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A265" w14:textId="77777777" w:rsidR="00FC44E7" w:rsidRPr="004D33B4" w:rsidRDefault="00FC44E7" w:rsidP="00FC44E7">
      <w:pPr>
        <w:pStyle w:val="SubSubPar"/>
        <w:numPr>
          <w:ilvl w:val="0"/>
          <w:numId w:val="0"/>
        </w:numPr>
        <w:spacing w:after="0"/>
        <w:jc w:val="center"/>
        <w:rPr>
          <w:rFonts w:ascii="Arial" w:hAnsi="Arial" w:cs="Arial"/>
          <w:smallCaps/>
        </w:rPr>
      </w:pPr>
      <w:r w:rsidRPr="004D33B4">
        <w:rPr>
          <w:rFonts w:ascii="Arial" w:hAnsi="Arial" w:cs="Arial"/>
          <w:smallCaps/>
        </w:rPr>
        <w:t>Document of the Inter</w:t>
      </w:r>
      <w:r>
        <w:rPr>
          <w:rFonts w:ascii="Arial" w:hAnsi="Arial" w:cs="Arial"/>
          <w:smallCaps/>
        </w:rPr>
        <w:t>-</w:t>
      </w:r>
      <w:r w:rsidRPr="004D33B4">
        <w:rPr>
          <w:rFonts w:ascii="Arial" w:hAnsi="Arial" w:cs="Arial"/>
          <w:smallCaps/>
        </w:rPr>
        <w:t>American Development Bank</w:t>
      </w:r>
    </w:p>
    <w:p w14:paraId="2CDFCE5D" w14:textId="77777777" w:rsidR="00FC44E7" w:rsidRPr="004D33B4" w:rsidRDefault="00FC44E7" w:rsidP="00FC44E7">
      <w:pPr>
        <w:tabs>
          <w:tab w:val="left" w:pos="1440"/>
          <w:tab w:val="left" w:pos="3060"/>
        </w:tabs>
        <w:jc w:val="center"/>
        <w:rPr>
          <w:rFonts w:ascii="Arial" w:hAnsi="Arial" w:cs="Arial"/>
        </w:rPr>
      </w:pPr>
    </w:p>
    <w:p w14:paraId="20FC9F2D" w14:textId="77777777" w:rsidR="00FC44E7" w:rsidRPr="004D33B4" w:rsidRDefault="00FC44E7" w:rsidP="00FC44E7">
      <w:pPr>
        <w:tabs>
          <w:tab w:val="left" w:pos="1440"/>
          <w:tab w:val="left" w:pos="3060"/>
        </w:tabs>
        <w:jc w:val="center"/>
        <w:rPr>
          <w:rFonts w:ascii="Arial" w:hAnsi="Arial" w:cs="Arial"/>
        </w:rPr>
      </w:pPr>
    </w:p>
    <w:p w14:paraId="16734F93" w14:textId="4B706CB1" w:rsidR="00FC44E7" w:rsidRDefault="00FC44E7" w:rsidP="00FC44E7">
      <w:pPr>
        <w:tabs>
          <w:tab w:val="left" w:pos="1440"/>
          <w:tab w:val="left" w:pos="3060"/>
        </w:tabs>
        <w:jc w:val="center"/>
        <w:rPr>
          <w:rFonts w:ascii="Arial" w:hAnsi="Arial" w:cs="Arial"/>
        </w:rPr>
      </w:pPr>
    </w:p>
    <w:p w14:paraId="3306970C" w14:textId="23FAB84D" w:rsidR="00E23A0F" w:rsidRDefault="00E23A0F" w:rsidP="00FC44E7">
      <w:pPr>
        <w:tabs>
          <w:tab w:val="left" w:pos="1440"/>
          <w:tab w:val="left" w:pos="3060"/>
        </w:tabs>
        <w:jc w:val="center"/>
        <w:rPr>
          <w:rFonts w:ascii="Arial" w:hAnsi="Arial" w:cs="Arial"/>
        </w:rPr>
      </w:pPr>
    </w:p>
    <w:p w14:paraId="647D270E" w14:textId="77777777" w:rsidR="00E23A0F" w:rsidRPr="004D33B4" w:rsidRDefault="00E23A0F" w:rsidP="00FC44E7">
      <w:pPr>
        <w:tabs>
          <w:tab w:val="left" w:pos="1440"/>
          <w:tab w:val="left" w:pos="3060"/>
        </w:tabs>
        <w:jc w:val="center"/>
        <w:rPr>
          <w:rFonts w:ascii="Arial" w:hAnsi="Arial" w:cs="Arial"/>
        </w:rPr>
      </w:pPr>
    </w:p>
    <w:p w14:paraId="60C08627" w14:textId="77777777" w:rsidR="00FC44E7" w:rsidRPr="004D33B4" w:rsidRDefault="00FC44E7" w:rsidP="00FC44E7">
      <w:pPr>
        <w:ind w:left="540" w:hanging="540"/>
        <w:jc w:val="center"/>
        <w:rPr>
          <w:rFonts w:ascii="Arial" w:hAnsi="Arial" w:cs="Arial"/>
          <w:b/>
          <w:sz w:val="24"/>
          <w:szCs w:val="24"/>
        </w:rPr>
      </w:pPr>
    </w:p>
    <w:p w14:paraId="2CF3C413" w14:textId="77777777" w:rsidR="00E23A0F" w:rsidRPr="007E1383" w:rsidRDefault="00E23A0F" w:rsidP="00E23A0F">
      <w:pPr>
        <w:tabs>
          <w:tab w:val="left" w:pos="1440"/>
          <w:tab w:val="left" w:pos="3060"/>
        </w:tabs>
        <w:jc w:val="center"/>
        <w:rPr>
          <w:rFonts w:ascii="Arial" w:hAnsi="Arial" w:cs="Arial"/>
          <w:b/>
          <w:smallCaps/>
          <w:sz w:val="28"/>
          <w:szCs w:val="28"/>
        </w:rPr>
      </w:pPr>
      <w:r>
        <w:rPr>
          <w:rFonts w:ascii="Arial" w:hAnsi="Arial" w:cs="Arial"/>
          <w:b/>
          <w:smallCaps/>
          <w:sz w:val="28"/>
          <w:szCs w:val="28"/>
        </w:rPr>
        <w:t>Paraguay</w:t>
      </w:r>
    </w:p>
    <w:p w14:paraId="1EB5E6F8" w14:textId="77777777" w:rsidR="00E23A0F" w:rsidRPr="007E1383" w:rsidRDefault="00E23A0F" w:rsidP="00E23A0F">
      <w:pPr>
        <w:tabs>
          <w:tab w:val="left" w:pos="1440"/>
          <w:tab w:val="left" w:pos="3060"/>
        </w:tabs>
        <w:jc w:val="center"/>
        <w:rPr>
          <w:rFonts w:ascii="Arial" w:hAnsi="Arial" w:cs="Arial"/>
          <w:smallCaps/>
        </w:rPr>
      </w:pPr>
    </w:p>
    <w:p w14:paraId="66963BB9" w14:textId="77777777" w:rsidR="00E23A0F" w:rsidRPr="007E1383" w:rsidRDefault="00E23A0F" w:rsidP="00E23A0F">
      <w:pPr>
        <w:tabs>
          <w:tab w:val="left" w:pos="1440"/>
          <w:tab w:val="left" w:pos="3060"/>
        </w:tabs>
        <w:jc w:val="center"/>
        <w:rPr>
          <w:rFonts w:ascii="Arial" w:hAnsi="Arial" w:cs="Arial"/>
          <w:smallCaps/>
        </w:rPr>
      </w:pPr>
    </w:p>
    <w:p w14:paraId="2C7E1DEC" w14:textId="77777777" w:rsidR="00E23A0F" w:rsidRPr="007E1383" w:rsidRDefault="00E23A0F" w:rsidP="00E23A0F">
      <w:pPr>
        <w:tabs>
          <w:tab w:val="left" w:pos="1440"/>
          <w:tab w:val="left" w:pos="3060"/>
        </w:tabs>
        <w:jc w:val="center"/>
        <w:rPr>
          <w:rFonts w:ascii="Arial" w:hAnsi="Arial" w:cs="Arial"/>
          <w:smallCaps/>
        </w:rPr>
      </w:pPr>
    </w:p>
    <w:p w14:paraId="7D4EA7EB" w14:textId="77777777" w:rsidR="00E23A0F" w:rsidRPr="007E1383" w:rsidRDefault="00E23A0F" w:rsidP="00E23A0F">
      <w:pPr>
        <w:tabs>
          <w:tab w:val="left" w:pos="1440"/>
          <w:tab w:val="left" w:pos="3060"/>
        </w:tabs>
        <w:jc w:val="center"/>
        <w:rPr>
          <w:rFonts w:ascii="Arial" w:hAnsi="Arial" w:cs="Arial"/>
          <w:smallCaps/>
        </w:rPr>
      </w:pPr>
    </w:p>
    <w:p w14:paraId="4D8CE39F" w14:textId="77777777" w:rsidR="00E23A0F" w:rsidRPr="007E1383" w:rsidRDefault="00E23A0F" w:rsidP="00E23A0F">
      <w:pPr>
        <w:tabs>
          <w:tab w:val="left" w:pos="1440"/>
          <w:tab w:val="left" w:pos="3060"/>
        </w:tabs>
        <w:jc w:val="center"/>
        <w:rPr>
          <w:rFonts w:ascii="Arial" w:hAnsi="Arial" w:cs="Arial"/>
          <w:b/>
          <w:smallCaps/>
          <w:sz w:val="28"/>
          <w:szCs w:val="28"/>
        </w:rPr>
      </w:pPr>
      <w:bookmarkStart w:id="0" w:name="_Hlk500781678"/>
      <w:r>
        <w:rPr>
          <w:rFonts w:ascii="Arial" w:hAnsi="Arial" w:cs="Arial"/>
          <w:b/>
          <w:smallCaps/>
          <w:sz w:val="28"/>
          <w:szCs w:val="28"/>
        </w:rPr>
        <w:t>Promoting Private Sector</w:t>
      </w:r>
      <w:r w:rsidRPr="007E1383">
        <w:rPr>
          <w:rFonts w:ascii="Arial" w:hAnsi="Arial" w:cs="Arial"/>
          <w:b/>
          <w:smallCaps/>
          <w:sz w:val="28"/>
          <w:szCs w:val="28"/>
        </w:rPr>
        <w:t xml:space="preserve"> Investments</w:t>
      </w:r>
      <w:r>
        <w:rPr>
          <w:rFonts w:ascii="Arial" w:hAnsi="Arial" w:cs="Arial"/>
          <w:b/>
          <w:smallCaps/>
          <w:sz w:val="28"/>
          <w:szCs w:val="28"/>
        </w:rPr>
        <w:t xml:space="preserve"> in Energy Efficiency in the Industrial Sector in Paraguay</w:t>
      </w:r>
    </w:p>
    <w:bookmarkEnd w:id="0"/>
    <w:p w14:paraId="31053157" w14:textId="77777777" w:rsidR="00E23A0F" w:rsidRPr="007E1383" w:rsidRDefault="00E23A0F" w:rsidP="00E23A0F">
      <w:pPr>
        <w:tabs>
          <w:tab w:val="left" w:pos="1440"/>
          <w:tab w:val="left" w:pos="3060"/>
        </w:tabs>
        <w:jc w:val="center"/>
        <w:rPr>
          <w:rFonts w:ascii="Arial" w:hAnsi="Arial" w:cs="Arial"/>
          <w:b/>
          <w:smallCaps/>
          <w:sz w:val="28"/>
          <w:szCs w:val="28"/>
        </w:rPr>
      </w:pPr>
    </w:p>
    <w:p w14:paraId="2F42A3A2" w14:textId="6FF32B3C" w:rsidR="00E23A0F" w:rsidRPr="007E1383" w:rsidRDefault="00E23A0F" w:rsidP="00E23A0F">
      <w:pPr>
        <w:tabs>
          <w:tab w:val="left" w:pos="1440"/>
          <w:tab w:val="left" w:pos="3060"/>
        </w:tabs>
        <w:jc w:val="center"/>
        <w:rPr>
          <w:rFonts w:ascii="Arial" w:hAnsi="Arial" w:cs="Arial"/>
          <w:b/>
          <w:smallCaps/>
        </w:rPr>
      </w:pPr>
      <w:r>
        <w:rPr>
          <w:rFonts w:ascii="Arial" w:hAnsi="Arial" w:cs="Arial"/>
          <w:b/>
          <w:smallCaps/>
        </w:rPr>
        <w:t>(PR-L</w:t>
      </w:r>
      <w:r w:rsidR="003F6D71">
        <w:rPr>
          <w:rFonts w:ascii="Arial" w:hAnsi="Arial" w:cs="Arial"/>
          <w:b/>
          <w:smallCaps/>
        </w:rPr>
        <w:t>1146)</w:t>
      </w:r>
    </w:p>
    <w:p w14:paraId="2A8C4D34" w14:textId="77777777" w:rsidR="00E23A0F" w:rsidRPr="007E1383" w:rsidRDefault="00E23A0F" w:rsidP="00E23A0F">
      <w:pPr>
        <w:tabs>
          <w:tab w:val="left" w:pos="1440"/>
          <w:tab w:val="left" w:pos="3060"/>
        </w:tabs>
        <w:jc w:val="center"/>
        <w:rPr>
          <w:rFonts w:ascii="Arial" w:hAnsi="Arial" w:cs="Arial"/>
          <w:b/>
          <w:smallCaps/>
          <w:sz w:val="28"/>
          <w:szCs w:val="28"/>
        </w:rPr>
      </w:pPr>
    </w:p>
    <w:p w14:paraId="51780268" w14:textId="77777777" w:rsidR="00FC44E7" w:rsidRPr="00F62DB1" w:rsidRDefault="00FC44E7" w:rsidP="00FC44E7">
      <w:pPr>
        <w:ind w:left="540" w:hanging="540"/>
        <w:jc w:val="center"/>
        <w:rPr>
          <w:rFonts w:ascii="Arial" w:hAnsi="Arial" w:cs="Arial"/>
          <w:b/>
          <w:sz w:val="24"/>
          <w:szCs w:val="24"/>
        </w:rPr>
      </w:pPr>
    </w:p>
    <w:p w14:paraId="04012C2C" w14:textId="77777777" w:rsidR="00FC44E7" w:rsidRPr="00F62DB1" w:rsidRDefault="00FC44E7" w:rsidP="00FC44E7">
      <w:pPr>
        <w:ind w:left="540" w:hanging="540"/>
        <w:jc w:val="center"/>
        <w:rPr>
          <w:rFonts w:ascii="Arial" w:hAnsi="Arial" w:cs="Arial"/>
          <w:b/>
          <w:sz w:val="24"/>
          <w:szCs w:val="24"/>
        </w:rPr>
      </w:pPr>
    </w:p>
    <w:p w14:paraId="3C084609" w14:textId="77777777" w:rsidR="00051B6C" w:rsidRPr="00F62DB1" w:rsidRDefault="006C16A5" w:rsidP="00051B6C">
      <w:pPr>
        <w:jc w:val="center"/>
        <w:rPr>
          <w:rFonts w:ascii="Arial" w:hAnsi="Arial" w:cs="Arial"/>
          <w:b/>
          <w:smallCaps/>
          <w:sz w:val="24"/>
          <w:szCs w:val="28"/>
        </w:rPr>
      </w:pPr>
      <w:r w:rsidRPr="006C16A5">
        <w:rPr>
          <w:rFonts w:ascii="Arial" w:hAnsi="Arial" w:cs="Arial"/>
          <w:b/>
          <w:smallCaps/>
          <w:sz w:val="24"/>
          <w:szCs w:val="28"/>
        </w:rPr>
        <w:t>Monitoring and Evaluation Plan</w:t>
      </w:r>
    </w:p>
    <w:p w14:paraId="2473AE00" w14:textId="77777777" w:rsidR="00051B6C" w:rsidRPr="00F62DB1" w:rsidRDefault="00051B6C" w:rsidP="00051B6C">
      <w:pPr>
        <w:rPr>
          <w:rFonts w:ascii="Arial" w:hAnsi="Arial" w:cs="Arial"/>
        </w:rPr>
      </w:pPr>
    </w:p>
    <w:p w14:paraId="04E6EA9B" w14:textId="77777777" w:rsidR="00051B6C" w:rsidRPr="00F62DB1" w:rsidRDefault="00051B6C" w:rsidP="00051B6C">
      <w:pPr>
        <w:rPr>
          <w:rFonts w:ascii="Arial" w:hAnsi="Arial" w:cs="Arial"/>
        </w:rPr>
      </w:pPr>
    </w:p>
    <w:p w14:paraId="29C2DD0E" w14:textId="77777777" w:rsidR="002869CA" w:rsidRPr="00F62DB1" w:rsidRDefault="002869CA" w:rsidP="00051B6C">
      <w:pPr>
        <w:rPr>
          <w:rFonts w:ascii="Arial" w:hAnsi="Arial" w:cs="Arial"/>
        </w:rPr>
      </w:pPr>
    </w:p>
    <w:p w14:paraId="33A72406" w14:textId="77777777" w:rsidR="00E81FAF" w:rsidRPr="00F62DB1" w:rsidRDefault="00E81FAF" w:rsidP="00E81FAF">
      <w:pPr>
        <w:rPr>
          <w:rFonts w:ascii="Arial" w:hAnsi="Arial" w:cs="Arial"/>
        </w:rPr>
      </w:pPr>
    </w:p>
    <w:p w14:paraId="4827C9FE" w14:textId="77777777" w:rsidR="00413583" w:rsidRDefault="00413583" w:rsidP="00051B6C">
      <w:pPr>
        <w:spacing w:after="0"/>
        <w:jc w:val="center"/>
        <w:rPr>
          <w:rFonts w:ascii="Arial" w:hAnsi="Arial" w:cs="Arial"/>
          <w:b/>
          <w:smallCaps/>
          <w:sz w:val="24"/>
          <w:szCs w:val="24"/>
        </w:rPr>
      </w:pPr>
    </w:p>
    <w:p w14:paraId="222B2935" w14:textId="77777777" w:rsidR="00413583" w:rsidRDefault="00413583" w:rsidP="00051B6C">
      <w:pPr>
        <w:spacing w:after="0"/>
        <w:jc w:val="center"/>
        <w:rPr>
          <w:rFonts w:ascii="Arial" w:hAnsi="Arial" w:cs="Arial"/>
          <w:b/>
          <w:smallCaps/>
          <w:sz w:val="24"/>
          <w:szCs w:val="24"/>
        </w:rPr>
      </w:pPr>
    </w:p>
    <w:p w14:paraId="578F98BD" w14:textId="77777777" w:rsidR="00413583" w:rsidRDefault="00413583" w:rsidP="00051B6C">
      <w:pPr>
        <w:spacing w:after="0"/>
        <w:jc w:val="center"/>
        <w:rPr>
          <w:rFonts w:ascii="Arial" w:hAnsi="Arial" w:cs="Arial"/>
          <w:b/>
          <w:smallCaps/>
          <w:sz w:val="24"/>
          <w:szCs w:val="24"/>
        </w:rPr>
      </w:pPr>
    </w:p>
    <w:p w14:paraId="7C6E7C54" w14:textId="77777777" w:rsidR="00413583" w:rsidRDefault="00413583" w:rsidP="00051B6C">
      <w:pPr>
        <w:spacing w:after="0"/>
        <w:jc w:val="center"/>
        <w:rPr>
          <w:rFonts w:ascii="Arial" w:hAnsi="Arial" w:cs="Arial"/>
          <w:b/>
          <w:smallCaps/>
          <w:sz w:val="24"/>
          <w:szCs w:val="24"/>
        </w:rPr>
      </w:pPr>
    </w:p>
    <w:p w14:paraId="63819E8B" w14:textId="2DB10DE3" w:rsidR="00051B6C" w:rsidRPr="003B669D" w:rsidRDefault="00F86783" w:rsidP="00051B6C">
      <w:pPr>
        <w:spacing w:after="0"/>
        <w:jc w:val="center"/>
        <w:rPr>
          <w:rFonts w:ascii="Arial" w:hAnsi="Arial" w:cs="Arial"/>
          <w:b/>
          <w:smallCaps/>
        </w:rPr>
      </w:pPr>
      <w:r w:rsidRPr="003B669D">
        <w:rPr>
          <w:rFonts w:ascii="Arial" w:hAnsi="Arial" w:cs="Arial"/>
          <w:b/>
          <w:smallCaps/>
        </w:rPr>
        <w:lastRenderedPageBreak/>
        <w:t>Contents</w:t>
      </w:r>
    </w:p>
    <w:p w14:paraId="7EAC3779" w14:textId="77777777" w:rsidR="00051B6C" w:rsidRPr="003B669D" w:rsidRDefault="00051B6C" w:rsidP="00051B6C">
      <w:pPr>
        <w:spacing w:after="0"/>
        <w:rPr>
          <w:rFonts w:ascii="Arial" w:hAnsi="Arial" w:cs="Arial"/>
        </w:rPr>
      </w:pPr>
    </w:p>
    <w:p w14:paraId="45041046" w14:textId="09596B99" w:rsidR="00515710" w:rsidRPr="00907D83" w:rsidRDefault="00051B6C">
      <w:pPr>
        <w:pStyle w:val="TOC1"/>
        <w:rPr>
          <w:rFonts w:ascii="Arial" w:eastAsiaTheme="minorEastAsia" w:hAnsi="Arial" w:cs="Arial"/>
          <w:b w:val="0"/>
          <w:smallCaps w:val="0"/>
          <w:sz w:val="22"/>
          <w:lang w:val="en-US"/>
        </w:rPr>
      </w:pPr>
      <w:r w:rsidRPr="000116D0">
        <w:rPr>
          <w:rFonts w:ascii="Arial" w:hAnsi="Arial" w:cs="Arial"/>
          <w:sz w:val="22"/>
        </w:rPr>
        <w:fldChar w:fldCharType="begin"/>
      </w:r>
      <w:r w:rsidRPr="00907D83">
        <w:rPr>
          <w:rFonts w:ascii="Arial" w:hAnsi="Arial" w:cs="Arial"/>
          <w:sz w:val="22"/>
          <w:lang w:val="en-US"/>
        </w:rPr>
        <w:instrText xml:space="preserve"> TOC \f \t "Chapter,1,FirstHeading,2,SecHeading,3" </w:instrText>
      </w:r>
      <w:r w:rsidRPr="000116D0">
        <w:rPr>
          <w:rFonts w:ascii="Arial" w:hAnsi="Arial" w:cs="Arial"/>
          <w:sz w:val="22"/>
        </w:rPr>
        <w:fldChar w:fldCharType="separate"/>
      </w:r>
      <w:r w:rsidR="00515710" w:rsidRPr="00907D83">
        <w:rPr>
          <w:rFonts w:ascii="Arial" w:hAnsi="Arial" w:cs="Arial"/>
          <w:sz w:val="22"/>
          <w:lang w:val="en-US"/>
        </w:rPr>
        <w:t>I.</w:t>
      </w:r>
      <w:r w:rsidR="00515710" w:rsidRPr="00907D83">
        <w:rPr>
          <w:rFonts w:ascii="Arial" w:eastAsiaTheme="minorEastAsia" w:hAnsi="Arial" w:cs="Arial"/>
          <w:b w:val="0"/>
          <w:smallCaps w:val="0"/>
          <w:sz w:val="22"/>
          <w:lang w:val="en-US"/>
        </w:rPr>
        <w:tab/>
      </w:r>
      <w:r w:rsidR="00515710" w:rsidRPr="00907D83">
        <w:rPr>
          <w:rFonts w:ascii="Arial" w:hAnsi="Arial" w:cs="Arial"/>
          <w:sz w:val="22"/>
          <w:lang w:val="en-US"/>
        </w:rPr>
        <w:t>Introduction</w:t>
      </w:r>
      <w:r w:rsidR="00515710" w:rsidRPr="00907D83">
        <w:rPr>
          <w:rFonts w:ascii="Arial" w:hAnsi="Arial" w:cs="Arial"/>
          <w:sz w:val="22"/>
          <w:lang w:val="en-US"/>
        </w:rPr>
        <w:tab/>
      </w:r>
      <w:r w:rsidR="00515710" w:rsidRPr="000116D0">
        <w:rPr>
          <w:rFonts w:ascii="Arial" w:hAnsi="Arial" w:cs="Arial"/>
          <w:sz w:val="22"/>
        </w:rPr>
        <w:fldChar w:fldCharType="begin"/>
      </w:r>
      <w:r w:rsidR="00515710" w:rsidRPr="00907D83">
        <w:rPr>
          <w:rFonts w:ascii="Arial" w:hAnsi="Arial" w:cs="Arial"/>
          <w:sz w:val="22"/>
          <w:lang w:val="en-US"/>
        </w:rPr>
        <w:instrText xml:space="preserve"> PAGEREF _Toc501017803 \h </w:instrText>
      </w:r>
      <w:r w:rsidR="00515710" w:rsidRPr="000116D0">
        <w:rPr>
          <w:rFonts w:ascii="Arial" w:hAnsi="Arial" w:cs="Arial"/>
          <w:sz w:val="22"/>
        </w:rPr>
      </w:r>
      <w:r w:rsidR="00515710" w:rsidRPr="000116D0">
        <w:rPr>
          <w:rFonts w:ascii="Arial" w:hAnsi="Arial" w:cs="Arial"/>
          <w:sz w:val="22"/>
        </w:rPr>
        <w:fldChar w:fldCharType="separate"/>
      </w:r>
      <w:r w:rsidR="0075472E" w:rsidRPr="00907D83">
        <w:rPr>
          <w:rFonts w:ascii="Arial" w:hAnsi="Arial" w:cs="Arial"/>
          <w:sz w:val="22"/>
          <w:lang w:val="en-US"/>
        </w:rPr>
        <w:t>3</w:t>
      </w:r>
      <w:r w:rsidR="00515710" w:rsidRPr="000116D0">
        <w:rPr>
          <w:rFonts w:ascii="Arial" w:hAnsi="Arial" w:cs="Arial"/>
          <w:sz w:val="22"/>
        </w:rPr>
        <w:fldChar w:fldCharType="end"/>
      </w:r>
    </w:p>
    <w:p w14:paraId="47F118BC" w14:textId="70BE9542" w:rsidR="00515710" w:rsidRPr="00907D83" w:rsidRDefault="00515710">
      <w:pPr>
        <w:pStyle w:val="TOC2"/>
        <w:rPr>
          <w:rFonts w:ascii="Arial" w:eastAsiaTheme="minorEastAsia" w:hAnsi="Arial" w:cs="Arial"/>
          <w:noProof/>
          <w:sz w:val="22"/>
        </w:rPr>
      </w:pPr>
      <w:r w:rsidRPr="00907D83">
        <w:rPr>
          <w:rFonts w:ascii="Arial" w:hAnsi="Arial" w:cs="Arial"/>
          <w:noProof/>
          <w:sz w:val="22"/>
        </w:rPr>
        <w:t>A.</w:t>
      </w:r>
      <w:r w:rsidRPr="00907D83">
        <w:rPr>
          <w:rFonts w:ascii="Arial" w:eastAsiaTheme="minorEastAsia" w:hAnsi="Arial" w:cs="Arial"/>
          <w:noProof/>
          <w:sz w:val="22"/>
        </w:rPr>
        <w:tab/>
      </w:r>
      <w:r w:rsidRPr="00907D83">
        <w:rPr>
          <w:rFonts w:ascii="Arial" w:hAnsi="Arial" w:cs="Arial"/>
          <w:noProof/>
          <w:sz w:val="22"/>
        </w:rPr>
        <w:t>General Framework</w:t>
      </w:r>
      <w:r w:rsidRPr="00907D83">
        <w:rPr>
          <w:rFonts w:ascii="Arial" w:hAnsi="Arial" w:cs="Arial"/>
          <w:noProof/>
          <w:sz w:val="22"/>
        </w:rPr>
        <w:tab/>
      </w:r>
      <w:r w:rsidRPr="000116D0">
        <w:rPr>
          <w:rFonts w:ascii="Arial" w:hAnsi="Arial" w:cs="Arial"/>
          <w:noProof/>
          <w:sz w:val="22"/>
        </w:rPr>
        <w:fldChar w:fldCharType="begin"/>
      </w:r>
      <w:r w:rsidRPr="00907D83">
        <w:rPr>
          <w:rFonts w:ascii="Arial" w:hAnsi="Arial" w:cs="Arial"/>
          <w:noProof/>
          <w:sz w:val="22"/>
        </w:rPr>
        <w:instrText xml:space="preserve"> PAGEREF _Toc501017804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rPr>
        <w:t>3</w:t>
      </w:r>
      <w:r w:rsidRPr="000116D0">
        <w:rPr>
          <w:rFonts w:ascii="Arial" w:hAnsi="Arial" w:cs="Arial"/>
          <w:noProof/>
          <w:sz w:val="22"/>
        </w:rPr>
        <w:fldChar w:fldCharType="end"/>
      </w:r>
    </w:p>
    <w:p w14:paraId="074EACD5" w14:textId="39936D7B" w:rsidR="00515710" w:rsidRPr="00907D83" w:rsidRDefault="00515710">
      <w:pPr>
        <w:pStyle w:val="TOC2"/>
        <w:rPr>
          <w:rFonts w:ascii="Arial" w:eastAsiaTheme="minorEastAsia" w:hAnsi="Arial" w:cs="Arial"/>
          <w:noProof/>
          <w:sz w:val="22"/>
        </w:rPr>
      </w:pPr>
      <w:r w:rsidRPr="00907D83">
        <w:rPr>
          <w:rFonts w:ascii="Arial" w:hAnsi="Arial" w:cs="Arial"/>
          <w:noProof/>
          <w:sz w:val="22"/>
        </w:rPr>
        <w:t>B.</w:t>
      </w:r>
      <w:r w:rsidRPr="00907D83">
        <w:rPr>
          <w:rFonts w:ascii="Arial" w:eastAsiaTheme="minorEastAsia" w:hAnsi="Arial" w:cs="Arial"/>
          <w:noProof/>
          <w:sz w:val="22"/>
        </w:rPr>
        <w:tab/>
      </w:r>
      <w:r w:rsidRPr="00907D83">
        <w:rPr>
          <w:rFonts w:ascii="Arial" w:hAnsi="Arial" w:cs="Arial"/>
          <w:noProof/>
          <w:sz w:val="22"/>
        </w:rPr>
        <w:t>Scheme for Implementation and Monitoring</w:t>
      </w:r>
      <w:r w:rsidRPr="00907D83">
        <w:rPr>
          <w:rFonts w:ascii="Arial" w:hAnsi="Arial" w:cs="Arial"/>
          <w:noProof/>
          <w:sz w:val="22"/>
        </w:rPr>
        <w:tab/>
      </w:r>
      <w:r w:rsidRPr="000116D0">
        <w:rPr>
          <w:rFonts w:ascii="Arial" w:hAnsi="Arial" w:cs="Arial"/>
          <w:noProof/>
          <w:sz w:val="22"/>
        </w:rPr>
        <w:fldChar w:fldCharType="begin"/>
      </w:r>
      <w:r w:rsidRPr="00907D83">
        <w:rPr>
          <w:rFonts w:ascii="Arial" w:hAnsi="Arial" w:cs="Arial"/>
          <w:noProof/>
          <w:sz w:val="22"/>
        </w:rPr>
        <w:instrText xml:space="preserve"> PAGEREF _Toc501017805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rPr>
        <w:t>5</w:t>
      </w:r>
      <w:r w:rsidRPr="000116D0">
        <w:rPr>
          <w:rFonts w:ascii="Arial" w:hAnsi="Arial" w:cs="Arial"/>
          <w:noProof/>
          <w:sz w:val="22"/>
        </w:rPr>
        <w:fldChar w:fldCharType="end"/>
      </w:r>
    </w:p>
    <w:p w14:paraId="3E9B209D" w14:textId="2C3F899E" w:rsidR="00515710" w:rsidRPr="00907D83" w:rsidRDefault="00515710">
      <w:pPr>
        <w:pStyle w:val="TOC1"/>
        <w:rPr>
          <w:rFonts w:ascii="Arial" w:eastAsiaTheme="minorEastAsia" w:hAnsi="Arial" w:cs="Arial"/>
          <w:b w:val="0"/>
          <w:smallCaps w:val="0"/>
          <w:sz w:val="22"/>
          <w:lang w:val="en-US"/>
        </w:rPr>
      </w:pPr>
      <w:r w:rsidRPr="00907D83">
        <w:rPr>
          <w:rFonts w:ascii="Arial" w:hAnsi="Arial" w:cs="Arial"/>
          <w:sz w:val="22"/>
          <w:lang w:val="en-US"/>
        </w:rPr>
        <w:t>II.</w:t>
      </w:r>
      <w:r w:rsidRPr="00907D83">
        <w:rPr>
          <w:rFonts w:ascii="Arial" w:eastAsiaTheme="minorEastAsia" w:hAnsi="Arial" w:cs="Arial"/>
          <w:b w:val="0"/>
          <w:smallCaps w:val="0"/>
          <w:sz w:val="22"/>
          <w:lang w:val="en-US"/>
        </w:rPr>
        <w:tab/>
      </w:r>
      <w:r w:rsidRPr="00907D83">
        <w:rPr>
          <w:rFonts w:ascii="Arial" w:hAnsi="Arial" w:cs="Arial"/>
          <w:sz w:val="22"/>
          <w:lang w:val="en-US"/>
        </w:rPr>
        <w:t>Monitoring</w:t>
      </w:r>
      <w:r w:rsidRPr="00907D83">
        <w:rPr>
          <w:rFonts w:ascii="Arial" w:hAnsi="Arial" w:cs="Arial"/>
          <w:sz w:val="22"/>
          <w:lang w:val="en-US"/>
        </w:rPr>
        <w:tab/>
      </w:r>
      <w:r w:rsidRPr="000116D0">
        <w:rPr>
          <w:rFonts w:ascii="Arial" w:hAnsi="Arial" w:cs="Arial"/>
          <w:sz w:val="22"/>
        </w:rPr>
        <w:fldChar w:fldCharType="begin"/>
      </w:r>
      <w:r w:rsidRPr="00907D83">
        <w:rPr>
          <w:rFonts w:ascii="Arial" w:hAnsi="Arial" w:cs="Arial"/>
          <w:sz w:val="22"/>
          <w:lang w:val="en-US"/>
        </w:rPr>
        <w:instrText xml:space="preserve"> PAGEREF _Toc501017807 \h </w:instrText>
      </w:r>
      <w:r w:rsidRPr="000116D0">
        <w:rPr>
          <w:rFonts w:ascii="Arial" w:hAnsi="Arial" w:cs="Arial"/>
          <w:sz w:val="22"/>
        </w:rPr>
      </w:r>
      <w:r w:rsidRPr="000116D0">
        <w:rPr>
          <w:rFonts w:ascii="Arial" w:hAnsi="Arial" w:cs="Arial"/>
          <w:sz w:val="22"/>
        </w:rPr>
        <w:fldChar w:fldCharType="separate"/>
      </w:r>
      <w:r w:rsidR="0075472E" w:rsidRPr="00907D83">
        <w:rPr>
          <w:rFonts w:ascii="Arial" w:hAnsi="Arial" w:cs="Arial"/>
          <w:sz w:val="22"/>
          <w:lang w:val="en-US"/>
        </w:rPr>
        <w:t>6</w:t>
      </w:r>
      <w:r w:rsidRPr="000116D0">
        <w:rPr>
          <w:rFonts w:ascii="Arial" w:hAnsi="Arial" w:cs="Arial"/>
          <w:sz w:val="22"/>
        </w:rPr>
        <w:fldChar w:fldCharType="end"/>
      </w:r>
    </w:p>
    <w:p w14:paraId="603EEB98" w14:textId="3E6FC8B9" w:rsidR="00515710" w:rsidRPr="00907D83" w:rsidRDefault="00515710">
      <w:pPr>
        <w:pStyle w:val="TOC2"/>
        <w:rPr>
          <w:rFonts w:ascii="Arial" w:eastAsiaTheme="minorEastAsia" w:hAnsi="Arial" w:cs="Arial"/>
          <w:noProof/>
          <w:sz w:val="22"/>
        </w:rPr>
      </w:pPr>
      <w:r w:rsidRPr="00907D83">
        <w:rPr>
          <w:rFonts w:ascii="Arial" w:hAnsi="Arial" w:cs="Arial"/>
          <w:noProof/>
          <w:sz w:val="22"/>
        </w:rPr>
        <w:t>A.</w:t>
      </w:r>
      <w:r w:rsidRPr="00907D83">
        <w:rPr>
          <w:rFonts w:ascii="Arial" w:eastAsiaTheme="minorEastAsia" w:hAnsi="Arial" w:cs="Arial"/>
          <w:noProof/>
          <w:sz w:val="22"/>
        </w:rPr>
        <w:tab/>
      </w:r>
      <w:r w:rsidRPr="00907D83">
        <w:rPr>
          <w:rFonts w:ascii="Arial" w:hAnsi="Arial" w:cs="Arial"/>
          <w:noProof/>
          <w:sz w:val="22"/>
        </w:rPr>
        <w:t>Indicators</w:t>
      </w:r>
      <w:r w:rsidRPr="00907D83">
        <w:rPr>
          <w:rFonts w:ascii="Arial" w:hAnsi="Arial" w:cs="Arial"/>
          <w:noProof/>
          <w:sz w:val="22"/>
        </w:rPr>
        <w:tab/>
      </w:r>
      <w:r w:rsidRPr="000116D0">
        <w:rPr>
          <w:rFonts w:ascii="Arial" w:hAnsi="Arial" w:cs="Arial"/>
          <w:noProof/>
          <w:sz w:val="22"/>
        </w:rPr>
        <w:fldChar w:fldCharType="begin"/>
      </w:r>
      <w:r w:rsidRPr="00907D83">
        <w:rPr>
          <w:rFonts w:ascii="Arial" w:hAnsi="Arial" w:cs="Arial"/>
          <w:noProof/>
          <w:sz w:val="22"/>
        </w:rPr>
        <w:instrText xml:space="preserve"> PAGEREF _Toc501017808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rPr>
        <w:t>6</w:t>
      </w:r>
      <w:r w:rsidRPr="000116D0">
        <w:rPr>
          <w:rFonts w:ascii="Arial" w:hAnsi="Arial" w:cs="Arial"/>
          <w:noProof/>
          <w:sz w:val="22"/>
        </w:rPr>
        <w:fldChar w:fldCharType="end"/>
      </w:r>
    </w:p>
    <w:p w14:paraId="68E107C6" w14:textId="430CECE7" w:rsidR="00515710" w:rsidRPr="00907D83" w:rsidRDefault="00515710">
      <w:pPr>
        <w:pStyle w:val="TOC2"/>
        <w:rPr>
          <w:rFonts w:ascii="Arial" w:eastAsiaTheme="minorEastAsia" w:hAnsi="Arial" w:cs="Arial"/>
          <w:noProof/>
          <w:sz w:val="22"/>
        </w:rPr>
      </w:pPr>
      <w:r w:rsidRPr="00907D83">
        <w:rPr>
          <w:rFonts w:ascii="Arial" w:hAnsi="Arial" w:cs="Arial"/>
          <w:noProof/>
          <w:sz w:val="22"/>
        </w:rPr>
        <w:t>B.</w:t>
      </w:r>
      <w:r w:rsidRPr="00907D83">
        <w:rPr>
          <w:rFonts w:ascii="Arial" w:eastAsiaTheme="minorEastAsia" w:hAnsi="Arial" w:cs="Arial"/>
          <w:noProof/>
          <w:sz w:val="22"/>
        </w:rPr>
        <w:tab/>
      </w:r>
      <w:r w:rsidRPr="00907D83">
        <w:rPr>
          <w:rFonts w:ascii="Arial" w:hAnsi="Arial" w:cs="Arial"/>
          <w:noProof/>
          <w:sz w:val="22"/>
        </w:rPr>
        <w:t>Data collection and Instruments</w:t>
      </w:r>
      <w:r w:rsidRPr="00907D83">
        <w:rPr>
          <w:rFonts w:ascii="Arial" w:hAnsi="Arial" w:cs="Arial"/>
          <w:noProof/>
          <w:sz w:val="22"/>
        </w:rPr>
        <w:tab/>
      </w:r>
      <w:r w:rsidRPr="000116D0">
        <w:rPr>
          <w:rFonts w:ascii="Arial" w:hAnsi="Arial" w:cs="Arial"/>
          <w:noProof/>
          <w:sz w:val="22"/>
        </w:rPr>
        <w:fldChar w:fldCharType="begin"/>
      </w:r>
      <w:r w:rsidRPr="00907D83">
        <w:rPr>
          <w:rFonts w:ascii="Arial" w:hAnsi="Arial" w:cs="Arial"/>
          <w:noProof/>
          <w:sz w:val="22"/>
        </w:rPr>
        <w:instrText xml:space="preserve"> PAGEREF _Toc501017809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rPr>
        <w:t>8</w:t>
      </w:r>
      <w:r w:rsidRPr="000116D0">
        <w:rPr>
          <w:rFonts w:ascii="Arial" w:hAnsi="Arial" w:cs="Arial"/>
          <w:noProof/>
          <w:sz w:val="22"/>
        </w:rPr>
        <w:fldChar w:fldCharType="end"/>
      </w:r>
    </w:p>
    <w:p w14:paraId="1BF423CE" w14:textId="49C41309" w:rsidR="00515710" w:rsidRPr="00907D83" w:rsidRDefault="00515710">
      <w:pPr>
        <w:pStyle w:val="TOC2"/>
        <w:rPr>
          <w:rFonts w:ascii="Arial" w:eastAsiaTheme="minorEastAsia" w:hAnsi="Arial" w:cs="Arial"/>
          <w:noProof/>
          <w:sz w:val="22"/>
        </w:rPr>
      </w:pPr>
      <w:r w:rsidRPr="00907D83">
        <w:rPr>
          <w:rFonts w:ascii="Arial" w:hAnsi="Arial" w:cs="Arial"/>
          <w:noProof/>
          <w:sz w:val="22"/>
        </w:rPr>
        <w:t>C.</w:t>
      </w:r>
      <w:r w:rsidRPr="00907D83">
        <w:rPr>
          <w:rFonts w:ascii="Arial" w:eastAsiaTheme="minorEastAsia" w:hAnsi="Arial" w:cs="Arial"/>
          <w:noProof/>
          <w:sz w:val="22"/>
        </w:rPr>
        <w:tab/>
      </w:r>
      <w:r w:rsidRPr="00907D83">
        <w:rPr>
          <w:rFonts w:ascii="Arial" w:hAnsi="Arial" w:cs="Arial"/>
          <w:noProof/>
          <w:sz w:val="22"/>
        </w:rPr>
        <w:t>Reporting of monitoring results</w:t>
      </w:r>
      <w:r w:rsidRPr="00907D83">
        <w:rPr>
          <w:rFonts w:ascii="Arial" w:hAnsi="Arial" w:cs="Arial"/>
          <w:noProof/>
          <w:sz w:val="22"/>
        </w:rPr>
        <w:tab/>
      </w:r>
      <w:r w:rsidRPr="000116D0">
        <w:rPr>
          <w:rFonts w:ascii="Arial" w:hAnsi="Arial" w:cs="Arial"/>
          <w:noProof/>
          <w:sz w:val="22"/>
        </w:rPr>
        <w:fldChar w:fldCharType="begin"/>
      </w:r>
      <w:r w:rsidRPr="00907D83">
        <w:rPr>
          <w:rFonts w:ascii="Arial" w:hAnsi="Arial" w:cs="Arial"/>
          <w:noProof/>
          <w:sz w:val="22"/>
        </w:rPr>
        <w:instrText xml:space="preserve"> PAGEREF _Toc501017810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rPr>
        <w:t>9</w:t>
      </w:r>
      <w:r w:rsidRPr="000116D0">
        <w:rPr>
          <w:rFonts w:ascii="Arial" w:hAnsi="Arial" w:cs="Arial"/>
          <w:noProof/>
          <w:sz w:val="22"/>
        </w:rPr>
        <w:fldChar w:fldCharType="end"/>
      </w:r>
    </w:p>
    <w:p w14:paraId="000E4665" w14:textId="67E1B205" w:rsidR="00515710" w:rsidRPr="00907D83" w:rsidRDefault="00515710">
      <w:pPr>
        <w:pStyle w:val="TOC2"/>
        <w:rPr>
          <w:rFonts w:ascii="Arial" w:eastAsiaTheme="minorEastAsia" w:hAnsi="Arial" w:cs="Arial"/>
          <w:noProof/>
          <w:sz w:val="22"/>
        </w:rPr>
      </w:pPr>
      <w:r w:rsidRPr="00907D83">
        <w:rPr>
          <w:rFonts w:ascii="Arial" w:hAnsi="Arial" w:cs="Arial"/>
          <w:noProof/>
          <w:sz w:val="22"/>
        </w:rPr>
        <w:t>D.</w:t>
      </w:r>
      <w:r w:rsidRPr="00907D83">
        <w:rPr>
          <w:rFonts w:ascii="Arial" w:eastAsiaTheme="minorEastAsia" w:hAnsi="Arial" w:cs="Arial"/>
          <w:noProof/>
          <w:sz w:val="22"/>
        </w:rPr>
        <w:tab/>
      </w:r>
      <w:r w:rsidRPr="00907D83">
        <w:rPr>
          <w:rFonts w:ascii="Arial" w:hAnsi="Arial" w:cs="Arial"/>
          <w:noProof/>
          <w:sz w:val="22"/>
        </w:rPr>
        <w:t>Coordination, workplan and budget for monitoring</w:t>
      </w:r>
      <w:r w:rsidRPr="00907D83">
        <w:rPr>
          <w:rFonts w:ascii="Arial" w:hAnsi="Arial" w:cs="Arial"/>
          <w:noProof/>
          <w:sz w:val="22"/>
        </w:rPr>
        <w:tab/>
      </w:r>
      <w:r w:rsidRPr="000116D0">
        <w:rPr>
          <w:rFonts w:ascii="Arial" w:hAnsi="Arial" w:cs="Arial"/>
          <w:noProof/>
          <w:sz w:val="22"/>
        </w:rPr>
        <w:fldChar w:fldCharType="begin"/>
      </w:r>
      <w:r w:rsidRPr="00907D83">
        <w:rPr>
          <w:rFonts w:ascii="Arial" w:hAnsi="Arial" w:cs="Arial"/>
          <w:noProof/>
          <w:sz w:val="22"/>
        </w:rPr>
        <w:instrText xml:space="preserve"> PAGEREF _Toc501017811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rPr>
        <w:t>9</w:t>
      </w:r>
      <w:r w:rsidRPr="000116D0">
        <w:rPr>
          <w:rFonts w:ascii="Arial" w:hAnsi="Arial" w:cs="Arial"/>
          <w:noProof/>
          <w:sz w:val="22"/>
        </w:rPr>
        <w:fldChar w:fldCharType="end"/>
      </w:r>
    </w:p>
    <w:p w14:paraId="63220AF3" w14:textId="73C17D50" w:rsidR="00515710" w:rsidRPr="00907D83" w:rsidRDefault="00515710">
      <w:pPr>
        <w:pStyle w:val="TOC1"/>
        <w:rPr>
          <w:rFonts w:ascii="Arial" w:eastAsiaTheme="minorEastAsia" w:hAnsi="Arial" w:cs="Arial"/>
          <w:b w:val="0"/>
          <w:smallCaps w:val="0"/>
          <w:sz w:val="22"/>
          <w:lang w:val="fr-FR"/>
        </w:rPr>
      </w:pPr>
      <w:r w:rsidRPr="00907D83">
        <w:rPr>
          <w:rFonts w:ascii="Arial" w:hAnsi="Arial" w:cs="Arial"/>
          <w:sz w:val="22"/>
          <w:lang w:val="fr-FR"/>
        </w:rPr>
        <w:t>III.</w:t>
      </w:r>
      <w:r w:rsidRPr="00907D83">
        <w:rPr>
          <w:rFonts w:ascii="Arial" w:eastAsiaTheme="minorEastAsia" w:hAnsi="Arial" w:cs="Arial"/>
          <w:b w:val="0"/>
          <w:smallCaps w:val="0"/>
          <w:sz w:val="22"/>
          <w:lang w:val="fr-FR"/>
        </w:rPr>
        <w:tab/>
      </w:r>
      <w:r w:rsidRPr="00907D83">
        <w:rPr>
          <w:rFonts w:ascii="Arial" w:hAnsi="Arial" w:cs="Arial"/>
          <w:sz w:val="22"/>
          <w:lang w:val="fr-FR"/>
        </w:rPr>
        <w:t>Ex-Post Evaluation</w:t>
      </w:r>
      <w:r w:rsidRPr="00907D83">
        <w:rPr>
          <w:rFonts w:ascii="Arial" w:hAnsi="Arial" w:cs="Arial"/>
          <w:sz w:val="22"/>
          <w:lang w:val="fr-FR"/>
        </w:rPr>
        <w:tab/>
      </w:r>
      <w:r w:rsidRPr="000116D0">
        <w:rPr>
          <w:rFonts w:ascii="Arial" w:hAnsi="Arial" w:cs="Arial"/>
          <w:sz w:val="22"/>
        </w:rPr>
        <w:fldChar w:fldCharType="begin"/>
      </w:r>
      <w:r w:rsidRPr="00907D83">
        <w:rPr>
          <w:rFonts w:ascii="Arial" w:hAnsi="Arial" w:cs="Arial"/>
          <w:sz w:val="22"/>
          <w:lang w:val="fr-FR"/>
        </w:rPr>
        <w:instrText xml:space="preserve"> PAGEREF _Toc501017813 \h </w:instrText>
      </w:r>
      <w:r w:rsidRPr="000116D0">
        <w:rPr>
          <w:rFonts w:ascii="Arial" w:hAnsi="Arial" w:cs="Arial"/>
          <w:sz w:val="22"/>
        </w:rPr>
      </w:r>
      <w:r w:rsidRPr="000116D0">
        <w:rPr>
          <w:rFonts w:ascii="Arial" w:hAnsi="Arial" w:cs="Arial"/>
          <w:sz w:val="22"/>
        </w:rPr>
        <w:fldChar w:fldCharType="separate"/>
      </w:r>
      <w:r w:rsidR="0075472E" w:rsidRPr="00907D83">
        <w:rPr>
          <w:rFonts w:ascii="Arial" w:hAnsi="Arial" w:cs="Arial"/>
          <w:sz w:val="22"/>
          <w:lang w:val="fr-FR"/>
        </w:rPr>
        <w:t>10</w:t>
      </w:r>
      <w:r w:rsidRPr="000116D0">
        <w:rPr>
          <w:rFonts w:ascii="Arial" w:hAnsi="Arial" w:cs="Arial"/>
          <w:sz w:val="22"/>
        </w:rPr>
        <w:fldChar w:fldCharType="end"/>
      </w:r>
    </w:p>
    <w:p w14:paraId="2C0AFFE5" w14:textId="27BF1285" w:rsidR="00515710" w:rsidRPr="00907D83" w:rsidRDefault="00515710">
      <w:pPr>
        <w:pStyle w:val="TOC2"/>
        <w:rPr>
          <w:rFonts w:ascii="Arial" w:eastAsiaTheme="minorEastAsia" w:hAnsi="Arial" w:cs="Arial"/>
          <w:noProof/>
          <w:sz w:val="22"/>
          <w:lang w:val="fr-FR"/>
        </w:rPr>
      </w:pPr>
      <w:r w:rsidRPr="00907D83">
        <w:rPr>
          <w:rFonts w:ascii="Arial" w:hAnsi="Arial" w:cs="Arial"/>
          <w:noProof/>
          <w:sz w:val="22"/>
          <w:lang w:val="fr-FR"/>
        </w:rPr>
        <w:t>A.</w:t>
      </w:r>
      <w:r w:rsidRPr="00907D83">
        <w:rPr>
          <w:rFonts w:ascii="Arial" w:eastAsiaTheme="minorEastAsia" w:hAnsi="Arial" w:cs="Arial"/>
          <w:noProof/>
          <w:sz w:val="22"/>
          <w:lang w:val="fr-FR"/>
        </w:rPr>
        <w:tab/>
      </w:r>
      <w:r w:rsidRPr="00907D83">
        <w:rPr>
          <w:rFonts w:ascii="Arial" w:hAnsi="Arial" w:cs="Arial"/>
          <w:noProof/>
          <w:sz w:val="22"/>
          <w:lang w:val="fr-FR"/>
        </w:rPr>
        <w:t>Main Question(s)</w:t>
      </w:r>
      <w:r w:rsidRPr="00907D83">
        <w:rPr>
          <w:rFonts w:ascii="Arial" w:hAnsi="Arial" w:cs="Arial"/>
          <w:noProof/>
          <w:sz w:val="22"/>
          <w:lang w:val="fr-FR"/>
        </w:rPr>
        <w:tab/>
      </w:r>
      <w:r w:rsidRPr="000116D0">
        <w:rPr>
          <w:rFonts w:ascii="Arial" w:hAnsi="Arial" w:cs="Arial"/>
          <w:noProof/>
          <w:sz w:val="22"/>
        </w:rPr>
        <w:fldChar w:fldCharType="begin"/>
      </w:r>
      <w:r w:rsidRPr="00907D83">
        <w:rPr>
          <w:rFonts w:ascii="Arial" w:hAnsi="Arial" w:cs="Arial"/>
          <w:noProof/>
          <w:sz w:val="22"/>
          <w:lang w:val="fr-FR"/>
        </w:rPr>
        <w:instrText xml:space="preserve"> PAGEREF _Toc501017814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lang w:val="fr-FR"/>
        </w:rPr>
        <w:t>10</w:t>
      </w:r>
      <w:r w:rsidRPr="000116D0">
        <w:rPr>
          <w:rFonts w:ascii="Arial" w:hAnsi="Arial" w:cs="Arial"/>
          <w:noProof/>
          <w:sz w:val="22"/>
        </w:rPr>
        <w:fldChar w:fldCharType="end"/>
      </w:r>
    </w:p>
    <w:p w14:paraId="3D07B215" w14:textId="0656C194" w:rsidR="00515710" w:rsidRPr="00907D83" w:rsidRDefault="00515710">
      <w:pPr>
        <w:pStyle w:val="TOC2"/>
        <w:rPr>
          <w:rFonts w:ascii="Arial" w:eastAsiaTheme="minorEastAsia" w:hAnsi="Arial" w:cs="Arial"/>
          <w:noProof/>
          <w:sz w:val="22"/>
        </w:rPr>
      </w:pPr>
      <w:r w:rsidRPr="00907D83">
        <w:rPr>
          <w:rFonts w:ascii="Arial" w:hAnsi="Arial" w:cs="Arial"/>
          <w:noProof/>
          <w:sz w:val="22"/>
        </w:rPr>
        <w:t>B.</w:t>
      </w:r>
      <w:r w:rsidRPr="00907D83">
        <w:rPr>
          <w:rFonts w:ascii="Arial" w:eastAsiaTheme="minorEastAsia" w:hAnsi="Arial" w:cs="Arial"/>
          <w:noProof/>
          <w:sz w:val="22"/>
        </w:rPr>
        <w:tab/>
      </w:r>
      <w:r w:rsidRPr="00907D83">
        <w:rPr>
          <w:rFonts w:ascii="Arial" w:hAnsi="Arial" w:cs="Arial"/>
          <w:noProof/>
          <w:sz w:val="22"/>
        </w:rPr>
        <w:t>Existing Knowledge</w:t>
      </w:r>
      <w:r w:rsidRPr="00907D83">
        <w:rPr>
          <w:rFonts w:ascii="Arial" w:hAnsi="Arial" w:cs="Arial"/>
          <w:noProof/>
          <w:sz w:val="22"/>
        </w:rPr>
        <w:tab/>
      </w:r>
      <w:r w:rsidRPr="000116D0">
        <w:rPr>
          <w:rFonts w:ascii="Arial" w:hAnsi="Arial" w:cs="Arial"/>
          <w:noProof/>
          <w:sz w:val="22"/>
        </w:rPr>
        <w:fldChar w:fldCharType="begin"/>
      </w:r>
      <w:r w:rsidRPr="00907D83">
        <w:rPr>
          <w:rFonts w:ascii="Arial" w:hAnsi="Arial" w:cs="Arial"/>
          <w:noProof/>
          <w:sz w:val="22"/>
        </w:rPr>
        <w:instrText xml:space="preserve"> PAGEREF _Toc501017815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rPr>
        <w:t>11</w:t>
      </w:r>
      <w:r w:rsidRPr="000116D0">
        <w:rPr>
          <w:rFonts w:ascii="Arial" w:hAnsi="Arial" w:cs="Arial"/>
          <w:noProof/>
          <w:sz w:val="22"/>
        </w:rPr>
        <w:fldChar w:fldCharType="end"/>
      </w:r>
    </w:p>
    <w:p w14:paraId="6B47AAD0" w14:textId="2A663AD3" w:rsidR="00515710" w:rsidRPr="00907D83" w:rsidRDefault="00515710">
      <w:pPr>
        <w:pStyle w:val="TOC2"/>
        <w:rPr>
          <w:rFonts w:ascii="Arial" w:eastAsiaTheme="minorEastAsia" w:hAnsi="Arial" w:cs="Arial"/>
          <w:noProof/>
          <w:sz w:val="22"/>
        </w:rPr>
      </w:pPr>
      <w:r w:rsidRPr="00907D83">
        <w:rPr>
          <w:rFonts w:ascii="Arial" w:hAnsi="Arial" w:cs="Arial"/>
          <w:noProof/>
          <w:sz w:val="22"/>
        </w:rPr>
        <w:t>C.</w:t>
      </w:r>
      <w:r w:rsidRPr="00907D83">
        <w:rPr>
          <w:rFonts w:ascii="Arial" w:eastAsiaTheme="minorEastAsia" w:hAnsi="Arial" w:cs="Arial"/>
          <w:noProof/>
          <w:sz w:val="22"/>
        </w:rPr>
        <w:tab/>
      </w:r>
      <w:r w:rsidRPr="00907D83">
        <w:rPr>
          <w:rFonts w:ascii="Arial" w:hAnsi="Arial" w:cs="Arial"/>
          <w:noProof/>
          <w:sz w:val="22"/>
        </w:rPr>
        <w:t>Evaluation methodology</w:t>
      </w:r>
      <w:r w:rsidRPr="00907D83">
        <w:rPr>
          <w:rFonts w:ascii="Arial" w:hAnsi="Arial" w:cs="Arial"/>
          <w:noProof/>
          <w:sz w:val="22"/>
        </w:rPr>
        <w:tab/>
      </w:r>
      <w:r w:rsidRPr="000116D0">
        <w:rPr>
          <w:rFonts w:ascii="Arial" w:hAnsi="Arial" w:cs="Arial"/>
          <w:noProof/>
          <w:sz w:val="22"/>
        </w:rPr>
        <w:fldChar w:fldCharType="begin"/>
      </w:r>
      <w:r w:rsidRPr="00907D83">
        <w:rPr>
          <w:rFonts w:ascii="Arial" w:hAnsi="Arial" w:cs="Arial"/>
          <w:noProof/>
          <w:sz w:val="22"/>
        </w:rPr>
        <w:instrText xml:space="preserve"> PAGEREF _Toc501017816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rPr>
        <w:t>14</w:t>
      </w:r>
      <w:r w:rsidRPr="000116D0">
        <w:rPr>
          <w:rFonts w:ascii="Arial" w:hAnsi="Arial" w:cs="Arial"/>
          <w:noProof/>
          <w:sz w:val="22"/>
        </w:rPr>
        <w:fldChar w:fldCharType="end"/>
      </w:r>
    </w:p>
    <w:p w14:paraId="3770EFF0" w14:textId="1C667E5F" w:rsidR="00515710" w:rsidRPr="00907D83" w:rsidRDefault="00515710">
      <w:pPr>
        <w:pStyle w:val="TOC2"/>
        <w:rPr>
          <w:rFonts w:ascii="Arial" w:eastAsiaTheme="minorEastAsia" w:hAnsi="Arial" w:cs="Arial"/>
          <w:noProof/>
          <w:sz w:val="22"/>
        </w:rPr>
      </w:pPr>
      <w:r w:rsidRPr="00907D83">
        <w:rPr>
          <w:rFonts w:ascii="Arial" w:hAnsi="Arial" w:cs="Arial"/>
          <w:noProof/>
          <w:sz w:val="22"/>
        </w:rPr>
        <w:t>D.</w:t>
      </w:r>
      <w:r w:rsidRPr="00907D83">
        <w:rPr>
          <w:rFonts w:ascii="Arial" w:eastAsiaTheme="minorEastAsia" w:hAnsi="Arial" w:cs="Arial"/>
          <w:noProof/>
          <w:sz w:val="22"/>
        </w:rPr>
        <w:tab/>
      </w:r>
      <w:r w:rsidRPr="00907D83">
        <w:rPr>
          <w:rFonts w:ascii="Arial" w:hAnsi="Arial" w:cs="Arial"/>
          <w:noProof/>
          <w:sz w:val="22"/>
        </w:rPr>
        <w:t>Reporting of evaluation results</w:t>
      </w:r>
      <w:r w:rsidRPr="00907D83">
        <w:rPr>
          <w:rFonts w:ascii="Arial" w:hAnsi="Arial" w:cs="Arial"/>
          <w:noProof/>
          <w:sz w:val="22"/>
        </w:rPr>
        <w:tab/>
      </w:r>
      <w:r w:rsidRPr="000116D0">
        <w:rPr>
          <w:rFonts w:ascii="Arial" w:hAnsi="Arial" w:cs="Arial"/>
          <w:noProof/>
          <w:sz w:val="22"/>
        </w:rPr>
        <w:fldChar w:fldCharType="begin"/>
      </w:r>
      <w:r w:rsidRPr="00907D83">
        <w:rPr>
          <w:rFonts w:ascii="Arial" w:hAnsi="Arial" w:cs="Arial"/>
          <w:noProof/>
          <w:sz w:val="22"/>
        </w:rPr>
        <w:instrText xml:space="preserve"> PAGEREF _Toc501017817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rPr>
        <w:t>16</w:t>
      </w:r>
      <w:r w:rsidRPr="000116D0">
        <w:rPr>
          <w:rFonts w:ascii="Arial" w:hAnsi="Arial" w:cs="Arial"/>
          <w:noProof/>
          <w:sz w:val="22"/>
        </w:rPr>
        <w:fldChar w:fldCharType="end"/>
      </w:r>
    </w:p>
    <w:p w14:paraId="02B1A621" w14:textId="6F41C211" w:rsidR="00515710" w:rsidRPr="00907D83" w:rsidRDefault="00515710">
      <w:pPr>
        <w:pStyle w:val="TOC2"/>
        <w:rPr>
          <w:rFonts w:ascii="Arial" w:eastAsiaTheme="minorEastAsia" w:hAnsi="Arial" w:cs="Arial"/>
          <w:noProof/>
          <w:sz w:val="22"/>
        </w:rPr>
      </w:pPr>
      <w:r w:rsidRPr="00907D83">
        <w:rPr>
          <w:rFonts w:ascii="Arial" w:hAnsi="Arial" w:cs="Arial"/>
          <w:noProof/>
          <w:sz w:val="22"/>
        </w:rPr>
        <w:t>E.</w:t>
      </w:r>
      <w:r w:rsidRPr="00907D83">
        <w:rPr>
          <w:rFonts w:ascii="Arial" w:eastAsiaTheme="minorEastAsia" w:hAnsi="Arial" w:cs="Arial"/>
          <w:noProof/>
          <w:sz w:val="22"/>
        </w:rPr>
        <w:tab/>
      </w:r>
      <w:r w:rsidRPr="00907D83">
        <w:rPr>
          <w:rFonts w:ascii="Arial" w:hAnsi="Arial" w:cs="Arial"/>
          <w:noProof/>
          <w:sz w:val="22"/>
        </w:rPr>
        <w:t>Complementary evaluation</w:t>
      </w:r>
      <w:r w:rsidRPr="00907D83">
        <w:rPr>
          <w:rFonts w:ascii="Arial" w:hAnsi="Arial" w:cs="Arial"/>
          <w:noProof/>
          <w:sz w:val="22"/>
        </w:rPr>
        <w:tab/>
      </w:r>
      <w:r w:rsidRPr="000116D0">
        <w:rPr>
          <w:rFonts w:ascii="Arial" w:hAnsi="Arial" w:cs="Arial"/>
          <w:noProof/>
          <w:sz w:val="22"/>
        </w:rPr>
        <w:fldChar w:fldCharType="begin"/>
      </w:r>
      <w:r w:rsidRPr="00907D83">
        <w:rPr>
          <w:rFonts w:ascii="Arial" w:hAnsi="Arial" w:cs="Arial"/>
          <w:noProof/>
          <w:sz w:val="22"/>
        </w:rPr>
        <w:instrText xml:space="preserve"> PAGEREF _Toc501017818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rPr>
        <w:t>16</w:t>
      </w:r>
      <w:r w:rsidRPr="000116D0">
        <w:rPr>
          <w:rFonts w:ascii="Arial" w:hAnsi="Arial" w:cs="Arial"/>
          <w:noProof/>
          <w:sz w:val="22"/>
        </w:rPr>
        <w:fldChar w:fldCharType="end"/>
      </w:r>
    </w:p>
    <w:p w14:paraId="743EEE97" w14:textId="6333AB42" w:rsidR="00515710" w:rsidRPr="00907D83" w:rsidRDefault="00515710">
      <w:pPr>
        <w:pStyle w:val="TOC2"/>
        <w:rPr>
          <w:rFonts w:ascii="Arial" w:eastAsiaTheme="minorEastAsia" w:hAnsi="Arial" w:cs="Arial"/>
          <w:noProof/>
          <w:sz w:val="22"/>
        </w:rPr>
      </w:pPr>
      <w:r w:rsidRPr="00907D83">
        <w:rPr>
          <w:rFonts w:ascii="Arial" w:hAnsi="Arial" w:cs="Arial"/>
          <w:noProof/>
          <w:sz w:val="22"/>
        </w:rPr>
        <w:t>F.</w:t>
      </w:r>
      <w:r w:rsidRPr="00907D83">
        <w:rPr>
          <w:rFonts w:ascii="Arial" w:eastAsiaTheme="minorEastAsia" w:hAnsi="Arial" w:cs="Arial"/>
          <w:noProof/>
          <w:sz w:val="22"/>
        </w:rPr>
        <w:tab/>
      </w:r>
      <w:r w:rsidRPr="00907D83">
        <w:rPr>
          <w:rFonts w:ascii="Arial" w:hAnsi="Arial" w:cs="Arial"/>
          <w:noProof/>
          <w:sz w:val="22"/>
        </w:rPr>
        <w:t>Coordination, workplan and budget for evaluation</w:t>
      </w:r>
      <w:r w:rsidRPr="00907D83">
        <w:rPr>
          <w:rFonts w:ascii="Arial" w:hAnsi="Arial" w:cs="Arial"/>
          <w:noProof/>
          <w:sz w:val="22"/>
        </w:rPr>
        <w:tab/>
      </w:r>
      <w:r w:rsidRPr="000116D0">
        <w:rPr>
          <w:rFonts w:ascii="Arial" w:hAnsi="Arial" w:cs="Arial"/>
          <w:noProof/>
          <w:sz w:val="22"/>
        </w:rPr>
        <w:fldChar w:fldCharType="begin"/>
      </w:r>
      <w:r w:rsidRPr="00907D83">
        <w:rPr>
          <w:rFonts w:ascii="Arial" w:hAnsi="Arial" w:cs="Arial"/>
          <w:noProof/>
          <w:sz w:val="22"/>
        </w:rPr>
        <w:instrText xml:space="preserve"> PAGEREF _Toc501017819 \h </w:instrText>
      </w:r>
      <w:r w:rsidRPr="000116D0">
        <w:rPr>
          <w:rFonts w:ascii="Arial" w:hAnsi="Arial" w:cs="Arial"/>
          <w:noProof/>
          <w:sz w:val="22"/>
        </w:rPr>
      </w:r>
      <w:r w:rsidRPr="000116D0">
        <w:rPr>
          <w:rFonts w:ascii="Arial" w:hAnsi="Arial" w:cs="Arial"/>
          <w:noProof/>
          <w:sz w:val="22"/>
        </w:rPr>
        <w:fldChar w:fldCharType="separate"/>
      </w:r>
      <w:r w:rsidR="0075472E" w:rsidRPr="00907D83">
        <w:rPr>
          <w:rFonts w:ascii="Arial" w:hAnsi="Arial" w:cs="Arial"/>
          <w:noProof/>
          <w:sz w:val="22"/>
        </w:rPr>
        <w:t>17</w:t>
      </w:r>
      <w:r w:rsidRPr="000116D0">
        <w:rPr>
          <w:rFonts w:ascii="Arial" w:hAnsi="Arial" w:cs="Arial"/>
          <w:noProof/>
          <w:sz w:val="22"/>
        </w:rPr>
        <w:fldChar w:fldCharType="end"/>
      </w:r>
    </w:p>
    <w:p w14:paraId="600E4E6E" w14:textId="3B36EBE2" w:rsidR="00051B6C" w:rsidRPr="00907D83" w:rsidRDefault="00051B6C" w:rsidP="00B659E2">
      <w:pPr>
        <w:pStyle w:val="TOC3"/>
        <w:tabs>
          <w:tab w:val="clear" w:pos="8741"/>
          <w:tab w:val="right" w:leader="dot" w:pos="8640"/>
        </w:tabs>
        <w:rPr>
          <w:rFonts w:ascii="Arial" w:hAnsi="Arial" w:cs="Arial"/>
          <w:sz w:val="22"/>
        </w:rPr>
        <w:sectPr w:rsidR="00051B6C" w:rsidRPr="00907D83" w:rsidSect="00FA03F1">
          <w:headerReference w:type="default" r:id="rId14"/>
          <w:footerReference w:type="default" r:id="rId15"/>
          <w:type w:val="continuous"/>
          <w:pgSz w:w="12240" w:h="16340"/>
          <w:pgMar w:top="1440" w:right="1800" w:bottom="1440" w:left="1800" w:header="720" w:footer="720" w:gutter="0"/>
          <w:pgNumType w:fmt="lowerRoman" w:start="1"/>
          <w:cols w:space="720"/>
          <w:noEndnote/>
          <w:titlePg/>
          <w:docGrid w:linePitch="299"/>
        </w:sectPr>
      </w:pPr>
      <w:r w:rsidRPr="000116D0">
        <w:rPr>
          <w:rFonts w:ascii="Arial" w:hAnsi="Arial" w:cs="Arial"/>
          <w:sz w:val="22"/>
          <w:lang w:val="es-ES_tradnl"/>
        </w:rPr>
        <w:fldChar w:fldCharType="end"/>
      </w:r>
    </w:p>
    <w:p w14:paraId="1FE3B2D8" w14:textId="77777777" w:rsidR="00051B6C" w:rsidRPr="00907D83" w:rsidRDefault="00051B6C" w:rsidP="00051B6C">
      <w:pPr>
        <w:pStyle w:val="Chapter"/>
        <w:rPr>
          <w:rFonts w:ascii="Arial" w:hAnsi="Arial" w:cs="Arial"/>
          <w:sz w:val="22"/>
          <w:szCs w:val="22"/>
          <w:lang w:val="es-ES_tradnl"/>
        </w:rPr>
      </w:pPr>
      <w:bookmarkStart w:id="1" w:name="_Toc300318302"/>
      <w:bookmarkStart w:id="2" w:name="_Toc331167632"/>
      <w:bookmarkStart w:id="3" w:name="_Toc501017803"/>
      <w:proofErr w:type="spellStart"/>
      <w:r w:rsidRPr="00907D83">
        <w:rPr>
          <w:rFonts w:ascii="Arial" w:hAnsi="Arial" w:cs="Arial"/>
          <w:sz w:val="22"/>
          <w:szCs w:val="22"/>
          <w:lang w:val="es-ES_tradnl"/>
        </w:rPr>
        <w:lastRenderedPageBreak/>
        <w:t>Introduc</w:t>
      </w:r>
      <w:r w:rsidR="00F86783" w:rsidRPr="00907D83">
        <w:rPr>
          <w:rFonts w:ascii="Arial" w:hAnsi="Arial" w:cs="Arial"/>
          <w:sz w:val="22"/>
          <w:szCs w:val="22"/>
          <w:lang w:val="es-ES_tradnl"/>
        </w:rPr>
        <w:t>tio</w:t>
      </w:r>
      <w:r w:rsidRPr="00907D83">
        <w:rPr>
          <w:rFonts w:ascii="Arial" w:hAnsi="Arial" w:cs="Arial"/>
          <w:sz w:val="22"/>
          <w:szCs w:val="22"/>
          <w:lang w:val="es-ES_tradnl"/>
        </w:rPr>
        <w:t>n</w:t>
      </w:r>
      <w:bookmarkEnd w:id="1"/>
      <w:bookmarkEnd w:id="2"/>
      <w:bookmarkEnd w:id="3"/>
      <w:proofErr w:type="spellEnd"/>
    </w:p>
    <w:p w14:paraId="7D50DCFC" w14:textId="77777777" w:rsidR="007600C9" w:rsidRPr="00907D83" w:rsidRDefault="00051B6C" w:rsidP="007600C9">
      <w:pPr>
        <w:pStyle w:val="FirstHeading"/>
        <w:ind w:left="720"/>
        <w:rPr>
          <w:rFonts w:ascii="Arial" w:hAnsi="Arial" w:cs="Arial"/>
          <w:noProof/>
          <w:sz w:val="22"/>
          <w:szCs w:val="22"/>
          <w:lang w:val="es-ES_tradnl"/>
        </w:rPr>
      </w:pPr>
      <w:r w:rsidRPr="000116D0">
        <w:rPr>
          <w:rFonts w:ascii="Arial" w:hAnsi="Arial" w:cs="Arial"/>
          <w:noProof/>
          <w:sz w:val="22"/>
          <w:szCs w:val="22"/>
          <w:lang w:val="es-ES_tradnl"/>
        </w:rPr>
        <w:fldChar w:fldCharType="begin"/>
      </w:r>
      <w:r w:rsidRPr="00907D83">
        <w:rPr>
          <w:rFonts w:ascii="Arial" w:hAnsi="Arial" w:cs="Arial"/>
          <w:noProof/>
          <w:sz w:val="22"/>
          <w:szCs w:val="22"/>
          <w:lang w:val="es-ES_tradnl"/>
        </w:rPr>
        <w:instrText xml:space="preserve"> SEQ "</w:instrText>
      </w:r>
      <w:r w:rsidRPr="003B669D">
        <w:rPr>
          <w:rFonts w:ascii="Arial" w:hAnsi="Arial" w:cs="Arial"/>
          <w:noProof/>
          <w:sz w:val="22"/>
          <w:szCs w:val="22"/>
          <w:lang w:val="es-ES_tradnl"/>
        </w:rPr>
        <w:fldChar w:fldCharType="begin"/>
      </w:r>
      <w:r w:rsidRPr="00907D83">
        <w:rPr>
          <w:rFonts w:ascii="Arial" w:hAnsi="Arial" w:cs="Arial"/>
          <w:noProof/>
          <w:sz w:val="22"/>
          <w:szCs w:val="22"/>
          <w:lang w:val="es-ES_tradnl"/>
        </w:rPr>
        <w:instrText xml:space="preserve"> SECTION  \* MERGEFORMAT </w:instrText>
      </w:r>
      <w:r w:rsidRPr="003B669D">
        <w:rPr>
          <w:rFonts w:ascii="Arial" w:hAnsi="Arial" w:cs="Arial"/>
          <w:noProof/>
          <w:sz w:val="22"/>
          <w:szCs w:val="22"/>
          <w:lang w:val="es-ES_tradnl"/>
        </w:rPr>
        <w:fldChar w:fldCharType="separate"/>
      </w:r>
      <w:r w:rsidRPr="00907D83">
        <w:rPr>
          <w:rFonts w:ascii="Arial" w:hAnsi="Arial" w:cs="Arial"/>
          <w:noProof/>
          <w:sz w:val="22"/>
          <w:szCs w:val="22"/>
          <w:lang w:val="es-ES_tradnl"/>
        </w:rPr>
        <w:instrText>3</w:instrText>
      </w:r>
      <w:r w:rsidRPr="003B669D">
        <w:rPr>
          <w:rFonts w:ascii="Arial" w:hAnsi="Arial" w:cs="Arial"/>
          <w:noProof/>
          <w:sz w:val="22"/>
          <w:szCs w:val="22"/>
          <w:lang w:val="es-ES_tradnl"/>
        </w:rPr>
        <w:fldChar w:fldCharType="end"/>
      </w:r>
      <w:r w:rsidRPr="00907D83">
        <w:rPr>
          <w:rFonts w:ascii="Arial" w:hAnsi="Arial" w:cs="Arial"/>
          <w:noProof/>
          <w:sz w:val="22"/>
          <w:szCs w:val="22"/>
          <w:lang w:val="es-ES_tradnl"/>
        </w:rPr>
        <w:instrText xml:space="preserve">#"\* ALPHABETIC \* MERGEFORMAT </w:instrText>
      </w:r>
      <w:r w:rsidRPr="000116D0">
        <w:rPr>
          <w:rFonts w:ascii="Arial" w:hAnsi="Arial" w:cs="Arial"/>
          <w:noProof/>
          <w:sz w:val="22"/>
          <w:szCs w:val="22"/>
          <w:lang w:val="es-ES_tradnl"/>
        </w:rPr>
        <w:fldChar w:fldCharType="separate"/>
      </w:r>
      <w:bookmarkStart w:id="4" w:name="_Toc331167633"/>
      <w:bookmarkStart w:id="5" w:name="_Toc501017804"/>
      <w:r w:rsidRPr="00907D83">
        <w:rPr>
          <w:rFonts w:ascii="Arial" w:hAnsi="Arial" w:cs="Arial"/>
          <w:noProof/>
          <w:sz w:val="22"/>
          <w:szCs w:val="22"/>
          <w:lang w:val="es-ES_tradnl"/>
        </w:rPr>
        <w:t>A</w:t>
      </w:r>
      <w:r w:rsidRPr="000116D0">
        <w:rPr>
          <w:rFonts w:ascii="Arial" w:hAnsi="Arial" w:cs="Arial"/>
          <w:noProof/>
          <w:sz w:val="22"/>
          <w:szCs w:val="22"/>
          <w:lang w:val="es-ES_tradnl"/>
        </w:rPr>
        <w:fldChar w:fldCharType="end"/>
      </w:r>
      <w:r w:rsidRPr="00907D83">
        <w:rPr>
          <w:rFonts w:ascii="Arial" w:hAnsi="Arial" w:cs="Arial"/>
          <w:noProof/>
          <w:sz w:val="22"/>
          <w:szCs w:val="22"/>
          <w:lang w:val="es-ES_tradnl"/>
        </w:rPr>
        <w:t>.</w:t>
      </w:r>
      <w:r w:rsidRPr="00907D83">
        <w:rPr>
          <w:rFonts w:ascii="Arial" w:hAnsi="Arial" w:cs="Arial"/>
          <w:noProof/>
          <w:sz w:val="22"/>
          <w:szCs w:val="22"/>
          <w:lang w:val="es-ES_tradnl"/>
        </w:rPr>
        <w:tab/>
        <w:t>General</w:t>
      </w:r>
      <w:bookmarkEnd w:id="4"/>
      <w:r w:rsidR="00F86783" w:rsidRPr="00907D83">
        <w:rPr>
          <w:rFonts w:ascii="Arial" w:hAnsi="Arial" w:cs="Arial"/>
          <w:noProof/>
          <w:sz w:val="22"/>
          <w:szCs w:val="22"/>
          <w:lang w:val="es-ES_tradnl"/>
        </w:rPr>
        <w:t xml:space="preserve"> Framework</w:t>
      </w:r>
      <w:bookmarkEnd w:id="5"/>
    </w:p>
    <w:p w14:paraId="36C9E29D" w14:textId="5410661D" w:rsidR="002A61D7" w:rsidRPr="00907D83" w:rsidRDefault="00413583" w:rsidP="0092469E">
      <w:pPr>
        <w:pStyle w:val="Paragraph"/>
        <w:numPr>
          <w:ilvl w:val="1"/>
          <w:numId w:val="3"/>
        </w:numPr>
        <w:tabs>
          <w:tab w:val="clear" w:pos="1746"/>
          <w:tab w:val="num" w:pos="720"/>
        </w:tabs>
        <w:ind w:left="720" w:hanging="720"/>
        <w:rPr>
          <w:rFonts w:ascii="Arial" w:hAnsi="Arial" w:cs="Arial"/>
          <w:sz w:val="22"/>
          <w:szCs w:val="22"/>
        </w:rPr>
      </w:pPr>
      <w:bookmarkStart w:id="6" w:name="_Ref401226893"/>
      <w:r w:rsidRPr="00907D83">
        <w:rPr>
          <w:rFonts w:ascii="Arial" w:hAnsi="Arial" w:cs="Arial"/>
          <w:sz w:val="22"/>
          <w:szCs w:val="22"/>
        </w:rPr>
        <w:t xml:space="preserve">The </w:t>
      </w:r>
      <w:r w:rsidR="00EC2648" w:rsidRPr="00907D83">
        <w:rPr>
          <w:rFonts w:ascii="Arial" w:hAnsi="Arial" w:cs="Arial"/>
          <w:sz w:val="22"/>
          <w:szCs w:val="22"/>
        </w:rPr>
        <w:t xml:space="preserve">following document presents the proposed monitoring and evaluation plan for the program </w:t>
      </w:r>
      <w:r w:rsidRPr="00907D83">
        <w:rPr>
          <w:rFonts w:ascii="Arial" w:hAnsi="Arial" w:cs="Arial"/>
          <w:sz w:val="22"/>
          <w:szCs w:val="22"/>
        </w:rPr>
        <w:t xml:space="preserve">Promoting Private Sector Investments in Energy Efficiency in the Industrial Sector in Paraguay </w:t>
      </w:r>
      <w:r w:rsidR="006229B9" w:rsidRPr="00907D83">
        <w:rPr>
          <w:rFonts w:ascii="Arial" w:hAnsi="Arial" w:cs="Arial"/>
          <w:sz w:val="22"/>
          <w:szCs w:val="22"/>
        </w:rPr>
        <w:t>(the “program”)</w:t>
      </w:r>
      <w:r w:rsidR="00EC2648" w:rsidRPr="00907D83">
        <w:rPr>
          <w:rFonts w:ascii="Arial" w:hAnsi="Arial" w:cs="Arial"/>
          <w:sz w:val="22"/>
          <w:szCs w:val="22"/>
        </w:rPr>
        <w:t>.</w:t>
      </w:r>
      <w:r w:rsidR="006229B9" w:rsidRPr="00907D83">
        <w:rPr>
          <w:rFonts w:ascii="Arial" w:hAnsi="Arial" w:cs="Arial"/>
          <w:sz w:val="22"/>
          <w:szCs w:val="22"/>
        </w:rPr>
        <w:t xml:space="preserve"> </w:t>
      </w:r>
      <w:r w:rsidR="002A61D7" w:rsidRPr="00907D83">
        <w:rPr>
          <w:rFonts w:ascii="Arial" w:hAnsi="Arial" w:cs="Arial"/>
          <w:sz w:val="22"/>
          <w:szCs w:val="22"/>
        </w:rPr>
        <w:t xml:space="preserve">The general objective of the program is to promote energy efficiency (EE) investments by SMEs in Paraguay, improving their productivity in the long-term. The specific objectives are: </w:t>
      </w:r>
    </w:p>
    <w:p w14:paraId="0177C070" w14:textId="142A54D5" w:rsidR="002A61D7" w:rsidRPr="00907D83" w:rsidRDefault="002A61D7" w:rsidP="002A61D7">
      <w:pPr>
        <w:pStyle w:val="Paragraph"/>
        <w:numPr>
          <w:ilvl w:val="0"/>
          <w:numId w:val="43"/>
        </w:numPr>
        <w:rPr>
          <w:rFonts w:ascii="Arial" w:hAnsi="Arial" w:cs="Arial"/>
          <w:sz w:val="22"/>
          <w:szCs w:val="22"/>
        </w:rPr>
      </w:pPr>
      <w:r w:rsidRPr="00907D83">
        <w:rPr>
          <w:rFonts w:ascii="Arial" w:hAnsi="Arial" w:cs="Arial"/>
          <w:sz w:val="22"/>
          <w:szCs w:val="22"/>
        </w:rPr>
        <w:t>to increase access to medium and long-term finance for EE investment projects by SMEs</w:t>
      </w:r>
    </w:p>
    <w:p w14:paraId="1CC603F3" w14:textId="2B87EEB6" w:rsidR="002A61D7" w:rsidRPr="00907D83" w:rsidRDefault="002A61D7" w:rsidP="002A61D7">
      <w:pPr>
        <w:pStyle w:val="Paragraph"/>
        <w:numPr>
          <w:ilvl w:val="0"/>
          <w:numId w:val="43"/>
        </w:numPr>
        <w:rPr>
          <w:rFonts w:ascii="Arial" w:hAnsi="Arial" w:cs="Arial"/>
          <w:sz w:val="22"/>
          <w:szCs w:val="22"/>
        </w:rPr>
      </w:pPr>
      <w:r w:rsidRPr="00907D83">
        <w:rPr>
          <w:rFonts w:ascii="Arial" w:hAnsi="Arial" w:cs="Arial"/>
          <w:sz w:val="22"/>
          <w:szCs w:val="22"/>
        </w:rPr>
        <w:t>to reduce greenhouse gas (GHG) emissions, supporting the achievement of the country’s climate change goals</w:t>
      </w:r>
    </w:p>
    <w:p w14:paraId="6E853438" w14:textId="1650E5DD" w:rsidR="00413583" w:rsidRPr="00907D83" w:rsidRDefault="00413583" w:rsidP="00413583">
      <w:pPr>
        <w:pStyle w:val="Paragraph"/>
        <w:numPr>
          <w:ilvl w:val="1"/>
          <w:numId w:val="3"/>
        </w:numPr>
        <w:tabs>
          <w:tab w:val="clear" w:pos="1746"/>
          <w:tab w:val="num" w:pos="720"/>
        </w:tabs>
        <w:ind w:left="720" w:hanging="720"/>
        <w:rPr>
          <w:rFonts w:ascii="Arial" w:hAnsi="Arial" w:cs="Arial"/>
          <w:sz w:val="22"/>
          <w:szCs w:val="22"/>
        </w:rPr>
      </w:pPr>
      <w:bookmarkStart w:id="7" w:name="_Ref500759808"/>
      <w:bookmarkStart w:id="8" w:name="_Ref459284721"/>
      <w:r w:rsidRPr="00907D83">
        <w:rPr>
          <w:rFonts w:ascii="Arial" w:hAnsi="Arial" w:cs="Arial"/>
          <w:sz w:val="22"/>
          <w:szCs w:val="22"/>
        </w:rPr>
        <w:t xml:space="preserve">As described in the Proposal for Operation Development (POD), one </w:t>
      </w:r>
      <w:proofErr w:type="gramStart"/>
      <w:r w:rsidRPr="00907D83">
        <w:rPr>
          <w:rFonts w:ascii="Arial" w:hAnsi="Arial" w:cs="Arial"/>
          <w:sz w:val="22"/>
          <w:szCs w:val="22"/>
        </w:rPr>
        <w:t>particular type of investment</w:t>
      </w:r>
      <w:proofErr w:type="gramEnd"/>
      <w:r w:rsidRPr="00907D83">
        <w:rPr>
          <w:rFonts w:ascii="Arial" w:hAnsi="Arial" w:cs="Arial"/>
          <w:sz w:val="22"/>
          <w:szCs w:val="22"/>
        </w:rPr>
        <w:t xml:space="preserve"> that is relevant to </w:t>
      </w:r>
      <w:r w:rsidR="00EC2648" w:rsidRPr="00907D83">
        <w:rPr>
          <w:rFonts w:ascii="Arial" w:hAnsi="Arial" w:cs="Arial"/>
          <w:sz w:val="22"/>
          <w:szCs w:val="22"/>
        </w:rPr>
        <w:t>SME</w:t>
      </w:r>
      <w:r w:rsidRPr="00907D83">
        <w:rPr>
          <w:rFonts w:ascii="Arial" w:hAnsi="Arial" w:cs="Arial"/>
          <w:sz w:val="22"/>
          <w:szCs w:val="22"/>
        </w:rPr>
        <w:t>s is associated to the implementation of EE measures, which can have a significant</w:t>
      </w:r>
      <w:r w:rsidR="006229B9" w:rsidRPr="00907D83">
        <w:rPr>
          <w:rFonts w:ascii="Arial" w:hAnsi="Arial" w:cs="Arial"/>
          <w:sz w:val="22"/>
          <w:szCs w:val="22"/>
        </w:rPr>
        <w:t xml:space="preserve"> </w:t>
      </w:r>
      <w:r w:rsidRPr="00907D83">
        <w:rPr>
          <w:rFonts w:ascii="Arial" w:hAnsi="Arial" w:cs="Arial"/>
          <w:sz w:val="22"/>
          <w:szCs w:val="22"/>
        </w:rPr>
        <w:t>impact in the firm’s energy consumption, contributing toward reducing company expenses and increasing productivity and competitiveness</w:t>
      </w:r>
      <w:r w:rsidRPr="00907D83">
        <w:rPr>
          <w:rFonts w:ascii="Arial" w:hAnsi="Arial" w:cs="Arial"/>
          <w:sz w:val="22"/>
          <w:szCs w:val="22"/>
          <w:vertAlign w:val="superscript"/>
          <w:lang w:val="es-ES_tradnl"/>
        </w:rPr>
        <w:footnoteReference w:id="2"/>
      </w:r>
      <w:r w:rsidRPr="00907D83">
        <w:rPr>
          <w:rFonts w:ascii="Arial" w:hAnsi="Arial" w:cs="Arial"/>
          <w:sz w:val="22"/>
          <w:szCs w:val="22"/>
        </w:rPr>
        <w:t>. However, EE</w:t>
      </w:r>
      <w:r w:rsidR="006229B9" w:rsidRPr="00907D83">
        <w:rPr>
          <w:rFonts w:ascii="Arial" w:hAnsi="Arial" w:cs="Arial"/>
          <w:sz w:val="22"/>
          <w:szCs w:val="22"/>
        </w:rPr>
        <w:t xml:space="preserve"> </w:t>
      </w:r>
      <w:r w:rsidRPr="00907D83">
        <w:rPr>
          <w:rFonts w:ascii="Arial" w:hAnsi="Arial" w:cs="Arial"/>
          <w:sz w:val="22"/>
          <w:szCs w:val="22"/>
        </w:rPr>
        <w:t xml:space="preserve">investments in Paraguay are hindered by credit constraints, which in the case of </w:t>
      </w:r>
      <w:r w:rsidR="00EC2648" w:rsidRPr="00907D83">
        <w:rPr>
          <w:rFonts w:ascii="Arial" w:hAnsi="Arial" w:cs="Arial"/>
          <w:sz w:val="22"/>
          <w:szCs w:val="22"/>
        </w:rPr>
        <w:t>SME</w:t>
      </w:r>
      <w:r w:rsidRPr="00907D83">
        <w:rPr>
          <w:rFonts w:ascii="Arial" w:hAnsi="Arial" w:cs="Arial"/>
          <w:sz w:val="22"/>
          <w:szCs w:val="22"/>
        </w:rPr>
        <w:t>s are heightened by extra collateral requirements, lack of credit history and documentation, and high transaction costs that translate into high interest rates. EE</w:t>
      </w:r>
      <w:r w:rsidR="006229B9" w:rsidRPr="00907D83">
        <w:rPr>
          <w:rFonts w:ascii="Arial" w:hAnsi="Arial" w:cs="Arial"/>
          <w:sz w:val="22"/>
          <w:szCs w:val="22"/>
        </w:rPr>
        <w:t xml:space="preserve"> </w:t>
      </w:r>
      <w:r w:rsidRPr="00907D83">
        <w:rPr>
          <w:rFonts w:ascii="Arial" w:hAnsi="Arial" w:cs="Arial"/>
          <w:sz w:val="22"/>
          <w:szCs w:val="22"/>
        </w:rPr>
        <w:t>technologies involve high up-front costs and long payback periods</w:t>
      </w:r>
      <w:r w:rsidRPr="00907D83">
        <w:rPr>
          <w:rFonts w:ascii="Arial" w:hAnsi="Arial" w:cs="Arial"/>
          <w:sz w:val="22"/>
          <w:szCs w:val="22"/>
          <w:vertAlign w:val="superscript"/>
          <w:lang w:val="es-ES_tradnl"/>
        </w:rPr>
        <w:footnoteReference w:id="3"/>
      </w:r>
      <w:r w:rsidRPr="00907D83">
        <w:rPr>
          <w:rFonts w:ascii="Arial" w:hAnsi="Arial" w:cs="Arial"/>
          <w:sz w:val="22"/>
          <w:szCs w:val="22"/>
        </w:rPr>
        <w:t>, and there is usually very little information on the performance of new equipment and availability of reliable service for its installation</w:t>
      </w:r>
      <w:r w:rsidR="00E51485" w:rsidRPr="00907D83">
        <w:rPr>
          <w:rFonts w:ascii="Arial" w:hAnsi="Arial" w:cs="Arial"/>
          <w:sz w:val="22"/>
          <w:szCs w:val="22"/>
        </w:rPr>
        <w:t>, operation</w:t>
      </w:r>
      <w:r w:rsidRPr="00907D83">
        <w:rPr>
          <w:rFonts w:ascii="Arial" w:hAnsi="Arial" w:cs="Arial"/>
          <w:sz w:val="22"/>
          <w:szCs w:val="22"/>
        </w:rPr>
        <w:t xml:space="preserve"> and maintenance. As a result, firms lack the capacity to develop bankable business plans and </w:t>
      </w:r>
      <w:r w:rsidR="00E138BA">
        <w:rPr>
          <w:rFonts w:ascii="Arial" w:hAnsi="Arial" w:cs="Arial"/>
          <w:sz w:val="22"/>
          <w:szCs w:val="22"/>
        </w:rPr>
        <w:t>L</w:t>
      </w:r>
      <w:r w:rsidRPr="00907D83">
        <w:rPr>
          <w:rFonts w:ascii="Arial" w:hAnsi="Arial" w:cs="Arial"/>
          <w:sz w:val="22"/>
          <w:szCs w:val="22"/>
        </w:rPr>
        <w:t xml:space="preserve">ocal </w:t>
      </w:r>
      <w:r w:rsidR="00E138BA">
        <w:rPr>
          <w:rFonts w:ascii="Arial" w:hAnsi="Arial" w:cs="Arial"/>
          <w:sz w:val="22"/>
          <w:szCs w:val="22"/>
        </w:rPr>
        <w:t>F</w:t>
      </w:r>
      <w:r w:rsidRPr="00907D83">
        <w:rPr>
          <w:rFonts w:ascii="Arial" w:hAnsi="Arial" w:cs="Arial"/>
          <w:sz w:val="22"/>
          <w:szCs w:val="22"/>
        </w:rPr>
        <w:t xml:space="preserve">inancial </w:t>
      </w:r>
      <w:r w:rsidR="00E138BA">
        <w:rPr>
          <w:rFonts w:ascii="Arial" w:hAnsi="Arial" w:cs="Arial"/>
          <w:sz w:val="22"/>
          <w:szCs w:val="22"/>
        </w:rPr>
        <w:t>Intermediation I</w:t>
      </w:r>
      <w:r w:rsidRPr="00907D83">
        <w:rPr>
          <w:rFonts w:ascii="Arial" w:hAnsi="Arial" w:cs="Arial"/>
          <w:sz w:val="22"/>
          <w:szCs w:val="22"/>
        </w:rPr>
        <w:t>nstitutions (</w:t>
      </w:r>
      <w:r w:rsidR="00E138BA">
        <w:rPr>
          <w:rFonts w:ascii="Arial" w:hAnsi="Arial" w:cs="Arial"/>
          <w:sz w:val="22"/>
          <w:szCs w:val="22"/>
        </w:rPr>
        <w:t>I</w:t>
      </w:r>
      <w:r w:rsidRPr="00907D83">
        <w:rPr>
          <w:rFonts w:ascii="Arial" w:hAnsi="Arial" w:cs="Arial"/>
          <w:sz w:val="22"/>
          <w:szCs w:val="22"/>
        </w:rPr>
        <w:t>FI</w:t>
      </w:r>
      <w:r w:rsidR="00E138BA">
        <w:rPr>
          <w:rFonts w:ascii="Arial" w:hAnsi="Arial" w:cs="Arial"/>
          <w:sz w:val="22"/>
          <w:szCs w:val="22"/>
        </w:rPr>
        <w:t>s</w:t>
      </w:r>
      <w:r w:rsidRPr="00907D83">
        <w:rPr>
          <w:rFonts w:ascii="Arial" w:hAnsi="Arial" w:cs="Arial"/>
          <w:sz w:val="22"/>
          <w:szCs w:val="22"/>
        </w:rPr>
        <w:t>) use traditional asset-based lending (future cash flows generated by</w:t>
      </w:r>
      <w:r w:rsidR="00515710" w:rsidRPr="00907D83">
        <w:rPr>
          <w:rFonts w:ascii="Arial" w:hAnsi="Arial" w:cs="Arial"/>
          <w:sz w:val="22"/>
          <w:szCs w:val="22"/>
        </w:rPr>
        <w:t xml:space="preserve"> the </w:t>
      </w:r>
      <w:r w:rsidRPr="00907D83">
        <w:rPr>
          <w:rFonts w:ascii="Arial" w:hAnsi="Arial" w:cs="Arial"/>
          <w:sz w:val="22"/>
          <w:szCs w:val="22"/>
        </w:rPr>
        <w:t xml:space="preserve">project are not included in the risk analysis), limiting financial flows to these </w:t>
      </w:r>
      <w:r w:rsidR="00515710" w:rsidRPr="00907D83">
        <w:rPr>
          <w:rFonts w:ascii="Arial" w:hAnsi="Arial" w:cs="Arial"/>
          <w:sz w:val="22"/>
          <w:szCs w:val="22"/>
        </w:rPr>
        <w:t>investments</w:t>
      </w:r>
      <w:r w:rsidRPr="00907D83">
        <w:rPr>
          <w:rFonts w:ascii="Arial" w:hAnsi="Arial" w:cs="Arial"/>
          <w:sz w:val="22"/>
          <w:szCs w:val="22"/>
          <w:vertAlign w:val="superscript"/>
          <w:lang w:val="es-ES_tradnl"/>
        </w:rPr>
        <w:footnoteReference w:id="4"/>
      </w:r>
      <w:r w:rsidRPr="00907D83">
        <w:rPr>
          <w:rFonts w:ascii="Arial" w:hAnsi="Arial" w:cs="Arial"/>
          <w:sz w:val="22"/>
          <w:szCs w:val="22"/>
        </w:rPr>
        <w:t>.</w:t>
      </w:r>
    </w:p>
    <w:p w14:paraId="58C6F1DB" w14:textId="22F3BA55" w:rsidR="00413583" w:rsidRPr="00907D83" w:rsidRDefault="00A278BC" w:rsidP="00413583">
      <w:pPr>
        <w:pStyle w:val="Paragraph"/>
        <w:numPr>
          <w:ilvl w:val="1"/>
          <w:numId w:val="3"/>
        </w:numPr>
        <w:tabs>
          <w:tab w:val="clear" w:pos="1746"/>
          <w:tab w:val="num" w:pos="720"/>
        </w:tabs>
        <w:ind w:left="720" w:hanging="720"/>
        <w:rPr>
          <w:rFonts w:ascii="Arial" w:hAnsi="Arial" w:cs="Arial"/>
          <w:sz w:val="22"/>
          <w:szCs w:val="22"/>
        </w:rPr>
      </w:pPr>
      <w:r w:rsidRPr="00907D83">
        <w:rPr>
          <w:rFonts w:ascii="Arial" w:hAnsi="Arial" w:cs="Arial"/>
          <w:sz w:val="22"/>
          <w:szCs w:val="22"/>
        </w:rPr>
        <w:t>In this context, u</w:t>
      </w:r>
      <w:r w:rsidR="00413583" w:rsidRPr="00907D83">
        <w:rPr>
          <w:rFonts w:ascii="Arial" w:hAnsi="Arial" w:cs="Arial"/>
          <w:sz w:val="22"/>
          <w:szCs w:val="22"/>
        </w:rPr>
        <w:t>nlocking Paraguay’s full EE potential requires a well</w:t>
      </w:r>
      <w:r w:rsidR="00413583" w:rsidRPr="00907D83">
        <w:rPr>
          <w:rFonts w:ascii="Arial" w:hAnsi="Arial" w:cs="Arial"/>
          <w:sz w:val="22"/>
          <w:szCs w:val="22"/>
        </w:rPr>
        <w:noBreakHyphen/>
        <w:t xml:space="preserve">designed financial strategy that coordinates all relevant actors (including government institutions, technology and service providers, </w:t>
      </w:r>
      <w:r w:rsidR="00E138BA">
        <w:rPr>
          <w:rFonts w:ascii="Arial" w:hAnsi="Arial" w:cs="Arial"/>
          <w:sz w:val="22"/>
          <w:szCs w:val="22"/>
        </w:rPr>
        <w:t>I</w:t>
      </w:r>
      <w:r w:rsidR="00413583" w:rsidRPr="00907D83">
        <w:rPr>
          <w:rFonts w:ascii="Arial" w:hAnsi="Arial" w:cs="Arial"/>
          <w:sz w:val="22"/>
          <w:szCs w:val="22"/>
        </w:rPr>
        <w:t xml:space="preserve">FIs and </w:t>
      </w:r>
      <w:r w:rsidR="00EC2648" w:rsidRPr="00907D83">
        <w:rPr>
          <w:rFonts w:ascii="Arial" w:hAnsi="Arial" w:cs="Arial"/>
          <w:sz w:val="22"/>
          <w:szCs w:val="22"/>
        </w:rPr>
        <w:t>SME</w:t>
      </w:r>
      <w:r w:rsidR="00413583" w:rsidRPr="00907D83">
        <w:rPr>
          <w:rFonts w:ascii="Arial" w:hAnsi="Arial" w:cs="Arial"/>
          <w:sz w:val="22"/>
          <w:szCs w:val="22"/>
        </w:rPr>
        <w:t xml:space="preserve">s) to incentivize private investment. The problem that the program intends to address is the lack of adequate financing for </w:t>
      </w:r>
      <w:r w:rsidR="00EC2648" w:rsidRPr="00907D83">
        <w:rPr>
          <w:rFonts w:ascii="Arial" w:hAnsi="Arial" w:cs="Arial"/>
          <w:sz w:val="22"/>
          <w:szCs w:val="22"/>
        </w:rPr>
        <w:t>SME</w:t>
      </w:r>
      <w:r w:rsidR="00413583" w:rsidRPr="00907D83">
        <w:rPr>
          <w:rFonts w:ascii="Arial" w:hAnsi="Arial" w:cs="Arial"/>
          <w:sz w:val="22"/>
          <w:szCs w:val="22"/>
        </w:rPr>
        <w:t>s operating in energy-consuming industrial sub</w:t>
      </w:r>
      <w:r w:rsidR="00413583" w:rsidRPr="00907D83">
        <w:rPr>
          <w:rFonts w:ascii="Arial" w:hAnsi="Arial" w:cs="Arial"/>
          <w:sz w:val="22"/>
          <w:szCs w:val="22"/>
        </w:rPr>
        <w:noBreakHyphen/>
        <w:t>sectors in Paraguay, where a significant potential for implementing EE measures has been identified</w:t>
      </w:r>
      <w:r w:rsidR="00413583" w:rsidRPr="00907D83">
        <w:rPr>
          <w:rFonts w:ascii="Arial" w:hAnsi="Arial" w:cs="Arial"/>
          <w:sz w:val="22"/>
          <w:szCs w:val="22"/>
          <w:vertAlign w:val="superscript"/>
          <w:lang w:val="es-ES_tradnl"/>
        </w:rPr>
        <w:footnoteReference w:id="5"/>
      </w:r>
      <w:r w:rsidR="00413583" w:rsidRPr="00907D83">
        <w:rPr>
          <w:rFonts w:ascii="Arial" w:hAnsi="Arial" w:cs="Arial"/>
          <w:sz w:val="22"/>
          <w:szCs w:val="22"/>
        </w:rPr>
        <w:t>.</w:t>
      </w:r>
    </w:p>
    <w:p w14:paraId="02221082" w14:textId="42264C13" w:rsidR="00413583" w:rsidRPr="00907D83" w:rsidRDefault="00413583" w:rsidP="00413583">
      <w:pPr>
        <w:pStyle w:val="Paragraph"/>
        <w:numPr>
          <w:ilvl w:val="1"/>
          <w:numId w:val="3"/>
        </w:numPr>
        <w:tabs>
          <w:tab w:val="clear" w:pos="1746"/>
          <w:tab w:val="num" w:pos="720"/>
        </w:tabs>
        <w:ind w:left="720" w:hanging="720"/>
        <w:rPr>
          <w:rFonts w:ascii="Arial" w:hAnsi="Arial" w:cs="Arial"/>
          <w:sz w:val="22"/>
          <w:szCs w:val="22"/>
        </w:rPr>
      </w:pPr>
      <w:r w:rsidRPr="00907D83">
        <w:rPr>
          <w:rFonts w:ascii="Arial" w:hAnsi="Arial" w:cs="Arial"/>
          <w:sz w:val="22"/>
          <w:szCs w:val="22"/>
        </w:rPr>
        <w:t xml:space="preserve">By increasing access by </w:t>
      </w:r>
      <w:r w:rsidR="00EC2648" w:rsidRPr="00907D83">
        <w:rPr>
          <w:rFonts w:ascii="Arial" w:hAnsi="Arial" w:cs="Arial"/>
          <w:sz w:val="22"/>
          <w:szCs w:val="22"/>
        </w:rPr>
        <w:t>SME</w:t>
      </w:r>
      <w:r w:rsidRPr="00907D83">
        <w:rPr>
          <w:rFonts w:ascii="Arial" w:hAnsi="Arial" w:cs="Arial"/>
          <w:sz w:val="22"/>
          <w:szCs w:val="22"/>
        </w:rPr>
        <w:t>s to medium and long</w:t>
      </w:r>
      <w:r w:rsidRPr="00907D83">
        <w:rPr>
          <w:rFonts w:ascii="Arial" w:hAnsi="Arial" w:cs="Arial"/>
          <w:sz w:val="22"/>
          <w:szCs w:val="22"/>
        </w:rPr>
        <w:noBreakHyphen/>
        <w:t xml:space="preserve">term financing, the program will enable the development of increased investment in EE in the short to medium </w:t>
      </w:r>
      <w:r w:rsidRPr="00907D83">
        <w:rPr>
          <w:rFonts w:ascii="Arial" w:hAnsi="Arial" w:cs="Arial"/>
          <w:sz w:val="22"/>
          <w:szCs w:val="22"/>
        </w:rPr>
        <w:lastRenderedPageBreak/>
        <w:t>term</w:t>
      </w:r>
      <w:r w:rsidRPr="00907D83">
        <w:rPr>
          <w:rFonts w:ascii="Arial" w:hAnsi="Arial" w:cs="Arial"/>
          <w:sz w:val="22"/>
          <w:szCs w:val="22"/>
          <w:vertAlign w:val="superscript"/>
          <w:lang w:val="es-ES_tradnl"/>
        </w:rPr>
        <w:footnoteReference w:id="6"/>
      </w:r>
      <w:r w:rsidRPr="00907D83">
        <w:rPr>
          <w:rFonts w:ascii="Arial" w:hAnsi="Arial" w:cs="Arial"/>
          <w:sz w:val="22"/>
          <w:szCs w:val="22"/>
        </w:rPr>
        <w:t>. In the longer term,</w:t>
      </w:r>
      <w:r w:rsidRPr="00907D83">
        <w:rPr>
          <w:rFonts w:ascii="Arial" w:hAnsi="Arial" w:cs="Arial"/>
          <w:bCs/>
          <w:sz w:val="22"/>
          <w:szCs w:val="22"/>
        </w:rPr>
        <w:t xml:space="preserve"> with the effective implementation of a diversified portfolio of subprojects,</w:t>
      </w:r>
      <w:r w:rsidRPr="00907D83">
        <w:rPr>
          <w:rFonts w:ascii="Arial" w:hAnsi="Arial" w:cs="Arial"/>
          <w:sz w:val="22"/>
          <w:szCs w:val="22"/>
        </w:rPr>
        <w:t xml:space="preserve"> the program aims to encourage a transformation in </w:t>
      </w:r>
      <w:r w:rsidR="00EC2648" w:rsidRPr="00907D83">
        <w:rPr>
          <w:rFonts w:ascii="Arial" w:hAnsi="Arial" w:cs="Arial"/>
          <w:sz w:val="22"/>
          <w:szCs w:val="22"/>
        </w:rPr>
        <w:t>SME</w:t>
      </w:r>
      <w:r w:rsidRPr="00907D83">
        <w:rPr>
          <w:rFonts w:ascii="Arial" w:hAnsi="Arial" w:cs="Arial"/>
          <w:sz w:val="22"/>
          <w:szCs w:val="22"/>
        </w:rPr>
        <w:t xml:space="preserve"> industrial practices, by </w:t>
      </w:r>
      <w:r w:rsidRPr="00907D83">
        <w:rPr>
          <w:rFonts w:ascii="Arial" w:hAnsi="Arial" w:cs="Arial"/>
          <w:bCs/>
          <w:sz w:val="22"/>
          <w:szCs w:val="22"/>
        </w:rPr>
        <w:t>demonstrating EE economic and financial viability for the private sector</w:t>
      </w:r>
      <w:r w:rsidRPr="00907D83">
        <w:rPr>
          <w:rFonts w:ascii="Arial" w:hAnsi="Arial" w:cs="Arial"/>
          <w:sz w:val="22"/>
          <w:szCs w:val="22"/>
        </w:rPr>
        <w:t xml:space="preserve">, while further reducing consumption of non-sustainable biomass and avoiding GHG emissions and forest degradation. Also, the financial intermediation design of the program aims to generate a demonstration effect with </w:t>
      </w:r>
      <w:r w:rsidR="00E138BA">
        <w:rPr>
          <w:rFonts w:ascii="Arial" w:hAnsi="Arial" w:cs="Arial"/>
          <w:sz w:val="22"/>
          <w:szCs w:val="22"/>
        </w:rPr>
        <w:t>I</w:t>
      </w:r>
      <w:r w:rsidRPr="00907D83">
        <w:rPr>
          <w:rFonts w:ascii="Arial" w:hAnsi="Arial" w:cs="Arial"/>
          <w:sz w:val="22"/>
          <w:szCs w:val="22"/>
        </w:rPr>
        <w:t>FIs that can contribute to transforming the local climate finance market in the long</w:t>
      </w:r>
      <w:r w:rsidR="00E51485" w:rsidRPr="00907D83">
        <w:rPr>
          <w:rFonts w:ascii="Arial" w:hAnsi="Arial" w:cs="Arial"/>
          <w:sz w:val="22"/>
          <w:szCs w:val="22"/>
        </w:rPr>
        <w:t>-</w:t>
      </w:r>
      <w:r w:rsidRPr="00907D83">
        <w:rPr>
          <w:rFonts w:ascii="Arial" w:hAnsi="Arial" w:cs="Arial"/>
          <w:sz w:val="22"/>
          <w:szCs w:val="22"/>
        </w:rPr>
        <w:t>term</w:t>
      </w:r>
    </w:p>
    <w:p w14:paraId="6B09DF91" w14:textId="2442CA30" w:rsidR="00413583" w:rsidRPr="00907D83" w:rsidRDefault="00413583" w:rsidP="00413583">
      <w:pPr>
        <w:pStyle w:val="Paragraph"/>
        <w:numPr>
          <w:ilvl w:val="1"/>
          <w:numId w:val="3"/>
        </w:numPr>
        <w:tabs>
          <w:tab w:val="clear" w:pos="1746"/>
          <w:tab w:val="num" w:pos="720"/>
        </w:tabs>
        <w:ind w:left="720" w:hanging="720"/>
        <w:rPr>
          <w:rFonts w:ascii="Arial" w:hAnsi="Arial" w:cs="Arial"/>
          <w:sz w:val="22"/>
          <w:szCs w:val="22"/>
        </w:rPr>
      </w:pPr>
      <w:bookmarkStart w:id="10" w:name="_Ref501018439"/>
      <w:r w:rsidRPr="00907D83">
        <w:rPr>
          <w:rFonts w:ascii="Arial" w:hAnsi="Arial" w:cs="Arial"/>
          <w:sz w:val="22"/>
          <w:szCs w:val="22"/>
        </w:rPr>
        <w:t xml:space="preserve">The program consists of a global credit loan operation </w:t>
      </w:r>
      <w:r w:rsidR="00087760" w:rsidRPr="00907D83">
        <w:rPr>
          <w:rFonts w:ascii="Arial" w:hAnsi="Arial" w:cs="Arial"/>
          <w:sz w:val="22"/>
          <w:szCs w:val="22"/>
        </w:rPr>
        <w:t xml:space="preserve">of US$40 million </w:t>
      </w:r>
      <w:r w:rsidRPr="00907D83">
        <w:rPr>
          <w:rFonts w:ascii="Arial" w:hAnsi="Arial" w:cs="Arial"/>
          <w:sz w:val="22"/>
          <w:szCs w:val="22"/>
        </w:rPr>
        <w:t xml:space="preserve">under a single component to be executed by </w:t>
      </w:r>
      <w:proofErr w:type="spellStart"/>
      <w:r w:rsidRPr="00907D83">
        <w:rPr>
          <w:rFonts w:ascii="Arial" w:hAnsi="Arial" w:cs="Arial"/>
          <w:i/>
          <w:sz w:val="22"/>
          <w:szCs w:val="22"/>
        </w:rPr>
        <w:t>Agencia</w:t>
      </w:r>
      <w:proofErr w:type="spellEnd"/>
      <w:r w:rsidRPr="00907D83">
        <w:rPr>
          <w:rFonts w:ascii="Arial" w:hAnsi="Arial" w:cs="Arial"/>
          <w:i/>
          <w:sz w:val="22"/>
          <w:szCs w:val="22"/>
        </w:rPr>
        <w:t xml:space="preserve"> </w:t>
      </w:r>
      <w:proofErr w:type="spellStart"/>
      <w:r w:rsidRPr="00907D83">
        <w:rPr>
          <w:rFonts w:ascii="Arial" w:hAnsi="Arial" w:cs="Arial"/>
          <w:i/>
          <w:sz w:val="22"/>
          <w:szCs w:val="22"/>
        </w:rPr>
        <w:t>Financiera</w:t>
      </w:r>
      <w:proofErr w:type="spellEnd"/>
      <w:r w:rsidRPr="00907D83">
        <w:rPr>
          <w:rFonts w:ascii="Arial" w:hAnsi="Arial" w:cs="Arial"/>
          <w:i/>
          <w:sz w:val="22"/>
          <w:szCs w:val="22"/>
        </w:rPr>
        <w:t xml:space="preserve"> de </w:t>
      </w:r>
      <w:proofErr w:type="spellStart"/>
      <w:r w:rsidRPr="00907D83">
        <w:rPr>
          <w:rFonts w:ascii="Arial" w:hAnsi="Arial" w:cs="Arial"/>
          <w:i/>
          <w:sz w:val="22"/>
          <w:szCs w:val="22"/>
        </w:rPr>
        <w:t>Desarrollo</w:t>
      </w:r>
      <w:proofErr w:type="spellEnd"/>
      <w:r w:rsidRPr="00907D83">
        <w:rPr>
          <w:rFonts w:ascii="Arial" w:hAnsi="Arial" w:cs="Arial"/>
          <w:sz w:val="22"/>
          <w:szCs w:val="22"/>
        </w:rPr>
        <w:t xml:space="preserve"> (AFD), development bank of Paraguay. AFD will use Green Climate Fund (GCF)</w:t>
      </w:r>
      <w:r w:rsidRPr="00907D83">
        <w:rPr>
          <w:rFonts w:ascii="Arial" w:hAnsi="Arial" w:cs="Arial"/>
          <w:sz w:val="22"/>
          <w:szCs w:val="22"/>
          <w:vertAlign w:val="superscript"/>
          <w:lang w:val="es-ES"/>
        </w:rPr>
        <w:footnoteReference w:id="7"/>
      </w:r>
      <w:r w:rsidRPr="00907D83">
        <w:rPr>
          <w:rFonts w:ascii="Arial" w:hAnsi="Arial" w:cs="Arial"/>
          <w:sz w:val="22"/>
          <w:szCs w:val="22"/>
        </w:rPr>
        <w:t xml:space="preserve"> reimbursable resources, channeled by the IDB, along with its own resources to provide long-term finance via its network of accredited </w:t>
      </w:r>
      <w:r w:rsidR="00E138BA">
        <w:rPr>
          <w:rFonts w:ascii="Arial" w:hAnsi="Arial" w:cs="Arial"/>
          <w:sz w:val="22"/>
          <w:szCs w:val="22"/>
        </w:rPr>
        <w:t>I</w:t>
      </w:r>
      <w:r w:rsidRPr="00907D83">
        <w:rPr>
          <w:rFonts w:ascii="Arial" w:hAnsi="Arial" w:cs="Arial"/>
          <w:sz w:val="22"/>
          <w:szCs w:val="22"/>
        </w:rPr>
        <w:t>FI</w:t>
      </w:r>
      <w:r w:rsidR="00A278BC" w:rsidRPr="00907D83">
        <w:rPr>
          <w:rFonts w:ascii="Arial" w:hAnsi="Arial" w:cs="Arial"/>
          <w:sz w:val="22"/>
          <w:szCs w:val="22"/>
        </w:rPr>
        <w:t>s</w:t>
      </w:r>
      <w:r w:rsidRPr="00907D83">
        <w:rPr>
          <w:rFonts w:ascii="Arial" w:hAnsi="Arial" w:cs="Arial"/>
          <w:sz w:val="22"/>
          <w:szCs w:val="22"/>
        </w:rPr>
        <w:t xml:space="preserve">, which will on-lend funds to EE projects by </w:t>
      </w:r>
      <w:r w:rsidR="00EC2648" w:rsidRPr="00907D83">
        <w:rPr>
          <w:rFonts w:ascii="Arial" w:hAnsi="Arial" w:cs="Arial"/>
          <w:sz w:val="22"/>
          <w:szCs w:val="22"/>
        </w:rPr>
        <w:t>SME</w:t>
      </w:r>
      <w:r w:rsidRPr="00907D83">
        <w:rPr>
          <w:rFonts w:ascii="Arial" w:hAnsi="Arial" w:cs="Arial"/>
          <w:sz w:val="22"/>
          <w:szCs w:val="22"/>
        </w:rPr>
        <w:t>s</w:t>
      </w:r>
      <w:r w:rsidRPr="00907D83">
        <w:rPr>
          <w:rFonts w:ascii="Arial" w:hAnsi="Arial" w:cs="Arial"/>
          <w:sz w:val="22"/>
          <w:szCs w:val="22"/>
          <w:vertAlign w:val="superscript"/>
        </w:rPr>
        <w:footnoteReference w:id="8"/>
      </w:r>
      <w:r w:rsidRPr="00907D83">
        <w:rPr>
          <w:rFonts w:ascii="Arial" w:hAnsi="Arial" w:cs="Arial"/>
          <w:sz w:val="22"/>
          <w:szCs w:val="22"/>
        </w:rPr>
        <w:t xml:space="preserve"> through second tier sub-loans. Additional US$3</w:t>
      </w:r>
      <w:r w:rsidR="00B913FC" w:rsidRPr="00907D83">
        <w:rPr>
          <w:rFonts w:ascii="Arial" w:hAnsi="Arial" w:cs="Arial"/>
          <w:sz w:val="22"/>
          <w:szCs w:val="22"/>
        </w:rPr>
        <w:t> </w:t>
      </w:r>
      <w:r w:rsidRPr="00907D83">
        <w:rPr>
          <w:rFonts w:ascii="Arial" w:hAnsi="Arial" w:cs="Arial"/>
          <w:sz w:val="22"/>
          <w:szCs w:val="22"/>
        </w:rPr>
        <w:t>million non</w:t>
      </w:r>
      <w:r w:rsidRPr="00907D83">
        <w:rPr>
          <w:rFonts w:ascii="Arial" w:hAnsi="Arial" w:cs="Arial"/>
          <w:sz w:val="22"/>
          <w:szCs w:val="22"/>
        </w:rPr>
        <w:noBreakHyphen/>
        <w:t>reimbursable resources from the GCF will be used for technical cooperation (TC) activities</w:t>
      </w:r>
      <w:r w:rsidR="00087819" w:rsidRPr="00907D83">
        <w:rPr>
          <w:rFonts w:ascii="Arial" w:hAnsi="Arial" w:cs="Arial"/>
          <w:sz w:val="22"/>
          <w:szCs w:val="22"/>
        </w:rPr>
        <w:t xml:space="preserve"> (PR-T1249)</w:t>
      </w:r>
      <w:r w:rsidRPr="00907D83">
        <w:rPr>
          <w:rFonts w:ascii="Arial" w:hAnsi="Arial" w:cs="Arial"/>
          <w:sz w:val="22"/>
          <w:szCs w:val="22"/>
        </w:rPr>
        <w:t xml:space="preserve"> to: (i) reduce </w:t>
      </w:r>
      <w:r w:rsidR="00EC2648" w:rsidRPr="00907D83">
        <w:rPr>
          <w:rFonts w:ascii="Arial" w:hAnsi="Arial" w:cs="Arial"/>
          <w:sz w:val="22"/>
          <w:szCs w:val="22"/>
        </w:rPr>
        <w:t>SME</w:t>
      </w:r>
      <w:r w:rsidRPr="00907D83">
        <w:rPr>
          <w:rFonts w:ascii="Arial" w:hAnsi="Arial" w:cs="Arial"/>
          <w:sz w:val="22"/>
          <w:szCs w:val="22"/>
        </w:rPr>
        <w:t xml:space="preserve">s and </w:t>
      </w:r>
      <w:r w:rsidR="00E138BA">
        <w:rPr>
          <w:rFonts w:ascii="Arial" w:hAnsi="Arial" w:cs="Arial"/>
          <w:sz w:val="22"/>
          <w:szCs w:val="22"/>
        </w:rPr>
        <w:t>I</w:t>
      </w:r>
      <w:r w:rsidRPr="00907D83">
        <w:rPr>
          <w:rFonts w:ascii="Arial" w:hAnsi="Arial" w:cs="Arial"/>
          <w:sz w:val="22"/>
          <w:szCs w:val="22"/>
        </w:rPr>
        <w:t xml:space="preserve">FI perceived risks associated to EE investments; (ii) support </w:t>
      </w:r>
      <w:r w:rsidR="00EC2648" w:rsidRPr="00907D83">
        <w:rPr>
          <w:rFonts w:ascii="Arial" w:hAnsi="Arial" w:cs="Arial"/>
          <w:sz w:val="22"/>
          <w:szCs w:val="22"/>
        </w:rPr>
        <w:t>SME</w:t>
      </w:r>
      <w:r w:rsidRPr="00907D83">
        <w:rPr>
          <w:rFonts w:ascii="Arial" w:hAnsi="Arial" w:cs="Arial"/>
          <w:sz w:val="22"/>
          <w:szCs w:val="22"/>
        </w:rPr>
        <w:t>s and technology providers in developing bankable sub-projects; and (iii) promote energy policy enabling environment for EE investments.</w:t>
      </w:r>
      <w:bookmarkEnd w:id="7"/>
      <w:bookmarkEnd w:id="10"/>
    </w:p>
    <w:p w14:paraId="74D2ABAB" w14:textId="315354DA" w:rsidR="00413583" w:rsidRPr="00907D83" w:rsidRDefault="00413583" w:rsidP="00413583">
      <w:pPr>
        <w:pStyle w:val="Paragraph"/>
        <w:numPr>
          <w:ilvl w:val="1"/>
          <w:numId w:val="3"/>
        </w:numPr>
        <w:tabs>
          <w:tab w:val="clear" w:pos="1746"/>
          <w:tab w:val="num" w:pos="720"/>
        </w:tabs>
        <w:ind w:left="720" w:hanging="720"/>
        <w:rPr>
          <w:rFonts w:ascii="Arial" w:hAnsi="Arial" w:cs="Arial"/>
          <w:sz w:val="22"/>
          <w:szCs w:val="22"/>
        </w:rPr>
      </w:pPr>
      <w:bookmarkStart w:id="11" w:name="_Ref494186756"/>
      <w:r w:rsidRPr="00907D83">
        <w:rPr>
          <w:rFonts w:ascii="Arial" w:hAnsi="Arial" w:cs="Arial"/>
          <w:sz w:val="22"/>
          <w:szCs w:val="22"/>
        </w:rPr>
        <w:t xml:space="preserve">Sub-loans will be provided to end borrowers through AFD accredited </w:t>
      </w:r>
      <w:r w:rsidR="00E138BA">
        <w:rPr>
          <w:rFonts w:ascii="Arial" w:hAnsi="Arial" w:cs="Arial"/>
          <w:sz w:val="22"/>
          <w:szCs w:val="22"/>
        </w:rPr>
        <w:t>I</w:t>
      </w:r>
      <w:r w:rsidRPr="00907D83">
        <w:rPr>
          <w:rFonts w:ascii="Arial" w:hAnsi="Arial" w:cs="Arial"/>
          <w:sz w:val="22"/>
          <w:szCs w:val="22"/>
        </w:rPr>
        <w:t>FIs</w:t>
      </w:r>
      <w:r w:rsidRPr="00907D83">
        <w:rPr>
          <w:rFonts w:ascii="Arial" w:hAnsi="Arial" w:cs="Arial"/>
          <w:sz w:val="22"/>
          <w:szCs w:val="22"/>
          <w:vertAlign w:val="superscript"/>
        </w:rPr>
        <w:footnoteReference w:id="9"/>
      </w:r>
      <w:r w:rsidRPr="00907D83">
        <w:rPr>
          <w:rFonts w:ascii="Arial" w:hAnsi="Arial" w:cs="Arial"/>
          <w:sz w:val="22"/>
          <w:szCs w:val="22"/>
        </w:rPr>
        <w:t>, seeking to encourage their participation in financing these investments in the future. Subprojects to be financed will be deemed eligible based on conditions established in the operating regulations (OR), to be agreed between IDB and AFD</w:t>
      </w:r>
      <w:r w:rsidR="00116FCC" w:rsidRPr="00907D83">
        <w:rPr>
          <w:rFonts w:ascii="Arial" w:hAnsi="Arial" w:cs="Arial"/>
          <w:sz w:val="22"/>
          <w:szCs w:val="22"/>
        </w:rPr>
        <w:t>,</w:t>
      </w:r>
      <w:r w:rsidRPr="00907D83">
        <w:rPr>
          <w:rFonts w:ascii="Arial" w:hAnsi="Arial" w:cs="Arial"/>
          <w:sz w:val="22"/>
          <w:szCs w:val="22"/>
        </w:rPr>
        <w:t xml:space="preserve"> consistent with AFD’s operational policies and with IDB policies and procedures, including legal, financial, environmental, social and technical requirements for each individual subproject, following local norms and legislation.</w:t>
      </w:r>
      <w:bookmarkEnd w:id="8"/>
      <w:bookmarkEnd w:id="11"/>
      <w:r w:rsidRPr="00907D83">
        <w:rPr>
          <w:rFonts w:ascii="Arial" w:hAnsi="Arial" w:cs="Arial"/>
          <w:sz w:val="22"/>
          <w:szCs w:val="22"/>
        </w:rPr>
        <w:t xml:space="preserve"> Although the program does not preestablish specific amounts to be allocated for each type of </w:t>
      </w:r>
      <w:r w:rsidR="00515710" w:rsidRPr="00907D83">
        <w:rPr>
          <w:rFonts w:ascii="Arial" w:hAnsi="Arial" w:cs="Arial"/>
          <w:sz w:val="22"/>
          <w:szCs w:val="22"/>
        </w:rPr>
        <w:t xml:space="preserve">sub </w:t>
      </w:r>
      <w:r w:rsidRPr="00907D83">
        <w:rPr>
          <w:rFonts w:ascii="Arial" w:hAnsi="Arial" w:cs="Arial"/>
          <w:sz w:val="22"/>
          <w:szCs w:val="22"/>
        </w:rPr>
        <w:t xml:space="preserve">project (by subsector or technology), it is expected that the </w:t>
      </w:r>
      <w:r w:rsidR="00087819" w:rsidRPr="00907D83">
        <w:rPr>
          <w:rFonts w:ascii="Arial" w:hAnsi="Arial" w:cs="Arial"/>
          <w:spacing w:val="-3"/>
          <w:sz w:val="22"/>
          <w:szCs w:val="22"/>
        </w:rPr>
        <w:t>majority of the resources (around 85%) will be used in efficiency measures in equipment without changing the energy source (mainly firewood) while the remaining funds (15%) will go to modernization by technologies involving substitution of biomass energy source with electricity</w:t>
      </w:r>
      <w:r w:rsidRPr="00907D83">
        <w:rPr>
          <w:rFonts w:ascii="Arial" w:hAnsi="Arial" w:cs="Arial"/>
          <w:sz w:val="22"/>
          <w:szCs w:val="22"/>
        </w:rPr>
        <w:t>.</w:t>
      </w:r>
      <w:bookmarkStart w:id="12" w:name="_Hlk497844540"/>
      <w:r w:rsidRPr="00907D83">
        <w:rPr>
          <w:rFonts w:ascii="Arial" w:hAnsi="Arial" w:cs="Arial"/>
          <w:sz w:val="22"/>
          <w:szCs w:val="22"/>
        </w:rPr>
        <w:t xml:space="preserve"> From a demand perspective, appetite for investing in EE is determined not only by the cost of energy, but also </w:t>
      </w:r>
      <w:r w:rsidR="0044752E" w:rsidRPr="00907D83">
        <w:rPr>
          <w:rFonts w:ascii="Arial" w:hAnsi="Arial" w:cs="Arial"/>
          <w:sz w:val="22"/>
          <w:szCs w:val="22"/>
        </w:rPr>
        <w:t xml:space="preserve">by </w:t>
      </w:r>
      <w:r w:rsidRPr="00907D83">
        <w:rPr>
          <w:rFonts w:ascii="Arial" w:hAnsi="Arial" w:cs="Arial"/>
          <w:sz w:val="22"/>
          <w:szCs w:val="22"/>
        </w:rPr>
        <w:t xml:space="preserve">potential productivity gains that </w:t>
      </w:r>
      <w:r w:rsidR="00EC2648" w:rsidRPr="00907D83">
        <w:rPr>
          <w:rFonts w:ascii="Arial" w:hAnsi="Arial" w:cs="Arial"/>
          <w:sz w:val="22"/>
          <w:szCs w:val="22"/>
        </w:rPr>
        <w:t>SME</w:t>
      </w:r>
      <w:r w:rsidRPr="00907D83">
        <w:rPr>
          <w:rFonts w:ascii="Arial" w:hAnsi="Arial" w:cs="Arial"/>
          <w:sz w:val="22"/>
          <w:szCs w:val="22"/>
        </w:rPr>
        <w:t>s expect to obtain from these technological changes.</w:t>
      </w:r>
      <w:bookmarkEnd w:id="12"/>
    </w:p>
    <w:p w14:paraId="5110B1D6" w14:textId="30FF97CC" w:rsidR="00413583" w:rsidRPr="00907D83" w:rsidRDefault="00413583" w:rsidP="00413583">
      <w:pPr>
        <w:pStyle w:val="Paragraph"/>
        <w:numPr>
          <w:ilvl w:val="1"/>
          <w:numId w:val="3"/>
        </w:numPr>
        <w:tabs>
          <w:tab w:val="clear" w:pos="1746"/>
          <w:tab w:val="num" w:pos="720"/>
        </w:tabs>
        <w:ind w:left="720" w:hanging="720"/>
        <w:rPr>
          <w:rFonts w:ascii="Arial" w:hAnsi="Arial" w:cs="Arial"/>
          <w:sz w:val="22"/>
          <w:szCs w:val="22"/>
        </w:rPr>
      </w:pPr>
      <w:bookmarkStart w:id="13" w:name="_Ref430614474"/>
      <w:bookmarkStart w:id="14" w:name="_Ref500760101"/>
      <w:r w:rsidRPr="00907D83">
        <w:rPr>
          <w:rFonts w:ascii="Arial" w:hAnsi="Arial" w:cs="Arial"/>
          <w:sz w:val="22"/>
          <w:szCs w:val="22"/>
        </w:rPr>
        <w:t xml:space="preserve">Owing to the highly concessional terms of GCF resources, the program shall provide a financial instrument that is adequate to the characteristics of the projects. </w:t>
      </w:r>
      <w:r w:rsidRPr="00907D83">
        <w:rPr>
          <w:rFonts w:ascii="Arial" w:hAnsi="Arial" w:cs="Arial"/>
          <w:sz w:val="22"/>
          <w:szCs w:val="22"/>
        </w:rPr>
        <w:lastRenderedPageBreak/>
        <w:t>By using GCF resources, AFD will increase its ability to provide a longer tenor consistent with eligible projects’ costs, risks and cash flow profile, as well as the expected returns to make these ventures successful</w:t>
      </w:r>
      <w:r w:rsidRPr="00907D83">
        <w:rPr>
          <w:rFonts w:ascii="Arial" w:hAnsi="Arial" w:cs="Arial"/>
          <w:sz w:val="22"/>
          <w:szCs w:val="22"/>
          <w:vertAlign w:val="superscript"/>
          <w:lang w:val="es-ES"/>
        </w:rPr>
        <w:footnoteReference w:id="10"/>
      </w:r>
      <w:bookmarkEnd w:id="13"/>
      <w:r w:rsidRPr="00907D83">
        <w:rPr>
          <w:rFonts w:ascii="Arial" w:hAnsi="Arial" w:cs="Arial"/>
          <w:sz w:val="22"/>
          <w:szCs w:val="22"/>
        </w:rPr>
        <w:t>.</w:t>
      </w:r>
      <w:bookmarkEnd w:id="14"/>
    </w:p>
    <w:p w14:paraId="586F314B" w14:textId="64EAF8A0" w:rsidR="00A278BC" w:rsidRPr="00907D83" w:rsidRDefault="00A278BC" w:rsidP="00413583">
      <w:pPr>
        <w:pStyle w:val="Paragraph"/>
        <w:numPr>
          <w:ilvl w:val="1"/>
          <w:numId w:val="3"/>
        </w:numPr>
        <w:tabs>
          <w:tab w:val="clear" w:pos="1746"/>
          <w:tab w:val="num" w:pos="720"/>
        </w:tabs>
        <w:ind w:left="720" w:hanging="720"/>
        <w:rPr>
          <w:rFonts w:ascii="Arial" w:hAnsi="Arial" w:cs="Arial"/>
          <w:sz w:val="22"/>
          <w:szCs w:val="22"/>
        </w:rPr>
      </w:pPr>
      <w:r w:rsidRPr="00907D83">
        <w:rPr>
          <w:rFonts w:ascii="Arial" w:hAnsi="Arial" w:cs="Arial"/>
          <w:sz w:val="22"/>
          <w:szCs w:val="22"/>
        </w:rPr>
        <w:t>The program will use US$20 million reimbursable resources from the GCF, co</w:t>
      </w:r>
      <w:r w:rsidR="00B913FC" w:rsidRPr="00907D83">
        <w:rPr>
          <w:rFonts w:ascii="Arial" w:hAnsi="Arial" w:cs="Arial"/>
          <w:sz w:val="22"/>
          <w:szCs w:val="22"/>
        </w:rPr>
        <w:noBreakHyphen/>
      </w:r>
      <w:r w:rsidRPr="00907D83">
        <w:rPr>
          <w:rFonts w:ascii="Arial" w:hAnsi="Arial" w:cs="Arial"/>
          <w:sz w:val="22"/>
          <w:szCs w:val="22"/>
        </w:rPr>
        <w:t>financed with a local counterpart of US$20 million from AFD. AFD will use GCF resources to diversify and lengthen its funding sources, blending them with its own resources to better respond to the financing needs of eligible firms. The total amount of program resources will be channeled to end borrowers (</w:t>
      </w:r>
      <w:r w:rsidR="00EC2648" w:rsidRPr="00907D83">
        <w:rPr>
          <w:rFonts w:ascii="Arial" w:hAnsi="Arial" w:cs="Arial"/>
          <w:sz w:val="22"/>
          <w:szCs w:val="22"/>
        </w:rPr>
        <w:t>SME</w:t>
      </w:r>
      <w:r w:rsidRPr="00907D83">
        <w:rPr>
          <w:rFonts w:ascii="Arial" w:hAnsi="Arial" w:cs="Arial"/>
          <w:sz w:val="22"/>
          <w:szCs w:val="22"/>
        </w:rPr>
        <w:t>s investing in EE projects)</w:t>
      </w:r>
      <w:r w:rsidRPr="00907D83">
        <w:rPr>
          <w:rFonts w:ascii="Arial" w:hAnsi="Arial" w:cs="Arial"/>
          <w:sz w:val="22"/>
          <w:szCs w:val="22"/>
          <w:vertAlign w:val="superscript"/>
          <w:lang w:val="es-ES_tradnl"/>
        </w:rPr>
        <w:footnoteReference w:id="11"/>
      </w:r>
      <w:r w:rsidRPr="00907D83">
        <w:rPr>
          <w:rFonts w:ascii="Arial" w:hAnsi="Arial" w:cs="Arial"/>
          <w:sz w:val="22"/>
          <w:szCs w:val="22"/>
        </w:rPr>
        <w:t xml:space="preserve"> by AFD through its network of accredited first-tier </w:t>
      </w:r>
      <w:r w:rsidR="00E138BA">
        <w:rPr>
          <w:rFonts w:ascii="Arial" w:hAnsi="Arial" w:cs="Arial"/>
          <w:sz w:val="22"/>
          <w:szCs w:val="22"/>
        </w:rPr>
        <w:t>I</w:t>
      </w:r>
      <w:r w:rsidRPr="00907D83">
        <w:rPr>
          <w:rFonts w:ascii="Arial" w:hAnsi="Arial" w:cs="Arial"/>
          <w:sz w:val="22"/>
          <w:szCs w:val="22"/>
        </w:rPr>
        <w:t>FIs.</w:t>
      </w:r>
    </w:p>
    <w:p w14:paraId="74A3C49D" w14:textId="2EE9A326" w:rsidR="00F86783" w:rsidRPr="00907D83" w:rsidRDefault="00F86783" w:rsidP="00F86783">
      <w:pPr>
        <w:pStyle w:val="Paragraph"/>
        <w:numPr>
          <w:ilvl w:val="1"/>
          <w:numId w:val="3"/>
        </w:numPr>
        <w:tabs>
          <w:tab w:val="clear" w:pos="1746"/>
          <w:tab w:val="num" w:pos="720"/>
        </w:tabs>
        <w:ind w:left="720" w:hanging="720"/>
        <w:rPr>
          <w:rFonts w:ascii="Arial" w:hAnsi="Arial" w:cs="Arial"/>
          <w:sz w:val="22"/>
          <w:szCs w:val="22"/>
        </w:rPr>
      </w:pPr>
      <w:r w:rsidRPr="00907D83">
        <w:rPr>
          <w:rFonts w:ascii="Arial" w:hAnsi="Arial" w:cs="Arial"/>
          <w:sz w:val="22"/>
          <w:szCs w:val="22"/>
        </w:rPr>
        <w:t xml:space="preserve">The purpose of this document is to present the </w:t>
      </w:r>
      <w:r w:rsidR="006709BA" w:rsidRPr="00907D83">
        <w:rPr>
          <w:rFonts w:ascii="Arial" w:hAnsi="Arial" w:cs="Arial"/>
          <w:sz w:val="22"/>
          <w:szCs w:val="22"/>
        </w:rPr>
        <w:t>M</w:t>
      </w:r>
      <w:r w:rsidRPr="00907D83">
        <w:rPr>
          <w:rFonts w:ascii="Arial" w:hAnsi="Arial" w:cs="Arial"/>
          <w:sz w:val="22"/>
          <w:szCs w:val="22"/>
        </w:rPr>
        <w:t xml:space="preserve">onitoring and </w:t>
      </w:r>
      <w:r w:rsidR="006709BA" w:rsidRPr="00907D83">
        <w:rPr>
          <w:rFonts w:ascii="Arial" w:hAnsi="Arial" w:cs="Arial"/>
          <w:sz w:val="22"/>
          <w:szCs w:val="22"/>
        </w:rPr>
        <w:t>E</w:t>
      </w:r>
      <w:r w:rsidRPr="00907D83">
        <w:rPr>
          <w:rFonts w:ascii="Arial" w:hAnsi="Arial" w:cs="Arial"/>
          <w:sz w:val="22"/>
          <w:szCs w:val="22"/>
        </w:rPr>
        <w:t xml:space="preserve">valuation </w:t>
      </w:r>
      <w:r w:rsidR="006709BA" w:rsidRPr="00907D83">
        <w:rPr>
          <w:rFonts w:ascii="Arial" w:hAnsi="Arial" w:cs="Arial"/>
          <w:sz w:val="22"/>
          <w:szCs w:val="22"/>
        </w:rPr>
        <w:t>P</w:t>
      </w:r>
      <w:r w:rsidRPr="00907D83">
        <w:rPr>
          <w:rFonts w:ascii="Arial" w:hAnsi="Arial" w:cs="Arial"/>
          <w:sz w:val="22"/>
          <w:szCs w:val="22"/>
        </w:rPr>
        <w:t>lan</w:t>
      </w:r>
      <w:r w:rsidR="006709BA" w:rsidRPr="00907D83">
        <w:rPr>
          <w:rFonts w:ascii="Arial" w:hAnsi="Arial" w:cs="Arial"/>
          <w:sz w:val="22"/>
          <w:szCs w:val="22"/>
        </w:rPr>
        <w:t xml:space="preserve"> (M&amp;EP)</w:t>
      </w:r>
      <w:r w:rsidRPr="00907D83">
        <w:rPr>
          <w:rFonts w:ascii="Arial" w:hAnsi="Arial" w:cs="Arial"/>
          <w:sz w:val="22"/>
          <w:szCs w:val="22"/>
        </w:rPr>
        <w:t xml:space="preserve"> of the </w:t>
      </w:r>
      <w:r w:rsidR="00A278BC" w:rsidRPr="00907D83">
        <w:rPr>
          <w:rFonts w:ascii="Arial" w:hAnsi="Arial" w:cs="Arial"/>
          <w:sz w:val="22"/>
          <w:szCs w:val="22"/>
        </w:rPr>
        <w:t>Promoting Private Sector Investments in Energy Efficiency in the Industrial Sector in Paraguay program (PR-L1146</w:t>
      </w:r>
      <w:r w:rsidRPr="00907D83">
        <w:rPr>
          <w:rFonts w:ascii="Arial" w:hAnsi="Arial" w:cs="Arial"/>
          <w:sz w:val="22"/>
          <w:szCs w:val="22"/>
        </w:rPr>
        <w:t xml:space="preserve">). </w:t>
      </w:r>
    </w:p>
    <w:p w14:paraId="49BAB46B" w14:textId="77777777" w:rsidR="00051B6C" w:rsidRPr="00907D83" w:rsidRDefault="00051B6C" w:rsidP="00051B6C">
      <w:pPr>
        <w:pStyle w:val="FirstHeading"/>
        <w:ind w:left="720"/>
        <w:rPr>
          <w:rFonts w:ascii="Arial" w:hAnsi="Arial" w:cs="Arial"/>
          <w:noProof/>
          <w:sz w:val="22"/>
          <w:szCs w:val="22"/>
        </w:rPr>
      </w:pPr>
      <w:bookmarkStart w:id="16" w:name="_Toc501017805"/>
      <w:bookmarkEnd w:id="6"/>
      <w:r w:rsidRPr="00907D83">
        <w:rPr>
          <w:rFonts w:ascii="Arial" w:hAnsi="Arial" w:cs="Arial"/>
          <w:noProof/>
          <w:sz w:val="22"/>
          <w:szCs w:val="22"/>
        </w:rPr>
        <w:t>B.</w:t>
      </w:r>
      <w:r w:rsidRPr="00907D83">
        <w:rPr>
          <w:rFonts w:ascii="Arial" w:hAnsi="Arial" w:cs="Arial"/>
          <w:noProof/>
          <w:sz w:val="22"/>
          <w:szCs w:val="22"/>
        </w:rPr>
        <w:tab/>
      </w:r>
      <w:r w:rsidR="0082293C" w:rsidRPr="00907D83">
        <w:rPr>
          <w:rFonts w:ascii="Arial" w:hAnsi="Arial" w:cs="Arial"/>
          <w:noProof/>
          <w:sz w:val="22"/>
          <w:szCs w:val="22"/>
        </w:rPr>
        <w:t>Scheme for Implementation and Monitoring</w:t>
      </w:r>
      <w:bookmarkEnd w:id="16"/>
    </w:p>
    <w:p w14:paraId="1AA8509A" w14:textId="3C2CBFE3" w:rsidR="0082293C" w:rsidRPr="00907D83" w:rsidRDefault="00A14BC5" w:rsidP="00600A12">
      <w:pPr>
        <w:pStyle w:val="Paragraph"/>
        <w:numPr>
          <w:ilvl w:val="1"/>
          <w:numId w:val="3"/>
        </w:numPr>
        <w:tabs>
          <w:tab w:val="clear" w:pos="1746"/>
          <w:tab w:val="num" w:pos="720"/>
        </w:tabs>
        <w:ind w:left="720" w:hanging="720"/>
        <w:rPr>
          <w:rFonts w:ascii="Arial" w:hAnsi="Arial" w:cs="Arial"/>
          <w:sz w:val="22"/>
          <w:szCs w:val="22"/>
        </w:rPr>
      </w:pPr>
      <w:bookmarkStart w:id="17" w:name="_Ref426391423"/>
      <w:r w:rsidRPr="00907D83">
        <w:rPr>
          <w:rFonts w:ascii="Arial" w:hAnsi="Arial" w:cs="Arial"/>
          <w:sz w:val="22"/>
          <w:szCs w:val="22"/>
        </w:rPr>
        <w:t xml:space="preserve">The borrower and </w:t>
      </w:r>
      <w:r w:rsidR="006709BA" w:rsidRPr="00907D83">
        <w:rPr>
          <w:rFonts w:ascii="Arial" w:hAnsi="Arial" w:cs="Arial"/>
          <w:sz w:val="22"/>
          <w:szCs w:val="22"/>
        </w:rPr>
        <w:t>E</w:t>
      </w:r>
      <w:r w:rsidRPr="00907D83">
        <w:rPr>
          <w:rFonts w:ascii="Arial" w:hAnsi="Arial" w:cs="Arial"/>
          <w:sz w:val="22"/>
          <w:szCs w:val="22"/>
        </w:rPr>
        <w:t xml:space="preserve">xecuting </w:t>
      </w:r>
      <w:r w:rsidR="006709BA" w:rsidRPr="00907D83">
        <w:rPr>
          <w:rFonts w:ascii="Arial" w:hAnsi="Arial" w:cs="Arial"/>
          <w:sz w:val="22"/>
          <w:szCs w:val="22"/>
        </w:rPr>
        <w:t>A</w:t>
      </w:r>
      <w:r w:rsidRPr="00907D83">
        <w:rPr>
          <w:rFonts w:ascii="Arial" w:hAnsi="Arial" w:cs="Arial"/>
          <w:sz w:val="22"/>
          <w:szCs w:val="22"/>
        </w:rPr>
        <w:t>gency</w:t>
      </w:r>
      <w:r w:rsidR="006709BA" w:rsidRPr="00907D83">
        <w:rPr>
          <w:rFonts w:ascii="Arial" w:hAnsi="Arial" w:cs="Arial"/>
          <w:sz w:val="22"/>
          <w:szCs w:val="22"/>
        </w:rPr>
        <w:t xml:space="preserve"> (EA)</w:t>
      </w:r>
      <w:r w:rsidRPr="00907D83">
        <w:rPr>
          <w:rFonts w:ascii="Arial" w:hAnsi="Arial" w:cs="Arial"/>
          <w:sz w:val="22"/>
          <w:szCs w:val="22"/>
        </w:rPr>
        <w:t xml:space="preserve"> of the program will be AFD. AFD is a second-tier bank that promotes economic development and job creation. It is Paraguay’s only channel for </w:t>
      </w:r>
      <w:r w:rsidR="00087819" w:rsidRPr="00907D83">
        <w:rPr>
          <w:rFonts w:ascii="Arial" w:hAnsi="Arial" w:cs="Arial"/>
          <w:sz w:val="22"/>
          <w:szCs w:val="22"/>
        </w:rPr>
        <w:t>public financing</w:t>
      </w:r>
      <w:r w:rsidRPr="00907D83">
        <w:rPr>
          <w:rFonts w:ascii="Arial" w:hAnsi="Arial" w:cs="Arial"/>
          <w:sz w:val="22"/>
          <w:szCs w:val="22"/>
        </w:rPr>
        <w:t xml:space="preserve"> (from or guaranteed by the government) to first-tier </w:t>
      </w:r>
      <w:r w:rsidR="00E138BA">
        <w:rPr>
          <w:rFonts w:ascii="Arial" w:hAnsi="Arial" w:cs="Arial"/>
          <w:sz w:val="22"/>
          <w:szCs w:val="22"/>
        </w:rPr>
        <w:t>I</w:t>
      </w:r>
      <w:r w:rsidRPr="00907D83">
        <w:rPr>
          <w:rFonts w:ascii="Arial" w:hAnsi="Arial" w:cs="Arial"/>
          <w:sz w:val="22"/>
          <w:szCs w:val="22"/>
        </w:rPr>
        <w:t>FIs, cooperatives and other financial entities created by law</w:t>
      </w:r>
      <w:r w:rsidRPr="00907D83">
        <w:rPr>
          <w:rFonts w:ascii="Arial" w:hAnsi="Arial" w:cs="Arial"/>
          <w:sz w:val="22"/>
          <w:szCs w:val="22"/>
          <w:vertAlign w:val="superscript"/>
        </w:rPr>
        <w:footnoteReference w:id="12"/>
      </w:r>
      <w:r w:rsidRPr="00907D83">
        <w:rPr>
          <w:rFonts w:ascii="Arial" w:hAnsi="Arial" w:cs="Arial"/>
          <w:sz w:val="22"/>
          <w:szCs w:val="22"/>
        </w:rPr>
        <w:t xml:space="preserve">. AFD will implement the program under its current organizational </w:t>
      </w:r>
      <w:r w:rsidR="00907D83" w:rsidRPr="00907D83">
        <w:rPr>
          <w:rFonts w:ascii="Arial" w:hAnsi="Arial" w:cs="Arial"/>
          <w:sz w:val="22"/>
          <w:szCs w:val="22"/>
        </w:rPr>
        <w:t>structure and</w:t>
      </w:r>
      <w:r w:rsidRPr="00907D83">
        <w:rPr>
          <w:rFonts w:ascii="Arial" w:hAnsi="Arial" w:cs="Arial"/>
          <w:sz w:val="22"/>
          <w:szCs w:val="22"/>
        </w:rPr>
        <w:t xml:space="preserve"> will be responsible for supervising the adequate use of program financial resources and for ensuring the timely provision of human and technical resources, as well as the necessary administrative and control mechanisms, to provide and maintain a transparent and effective administration of the program</w:t>
      </w:r>
      <w:r w:rsidR="0082293C" w:rsidRPr="00907D83">
        <w:rPr>
          <w:rFonts w:ascii="Arial" w:hAnsi="Arial" w:cs="Arial"/>
          <w:sz w:val="22"/>
          <w:szCs w:val="22"/>
        </w:rPr>
        <w:t>.</w:t>
      </w:r>
      <w:bookmarkEnd w:id="17"/>
    </w:p>
    <w:p w14:paraId="4628F4B8" w14:textId="38B9A4B3" w:rsidR="0082293C" w:rsidRPr="00907D83" w:rsidRDefault="0082293C" w:rsidP="00600A12">
      <w:pPr>
        <w:pStyle w:val="Paragraph"/>
        <w:numPr>
          <w:ilvl w:val="1"/>
          <w:numId w:val="3"/>
        </w:numPr>
        <w:tabs>
          <w:tab w:val="clear" w:pos="1746"/>
          <w:tab w:val="num" w:pos="720"/>
        </w:tabs>
        <w:ind w:left="720" w:hanging="720"/>
        <w:rPr>
          <w:rFonts w:ascii="Arial" w:hAnsi="Arial" w:cs="Arial"/>
          <w:sz w:val="22"/>
          <w:szCs w:val="22"/>
        </w:rPr>
      </w:pPr>
      <w:bookmarkStart w:id="18" w:name="_Ref404608489"/>
      <w:bookmarkStart w:id="19" w:name="_Ref430292690"/>
      <w:r w:rsidRPr="00907D83">
        <w:rPr>
          <w:rFonts w:ascii="Arial" w:hAnsi="Arial" w:cs="Arial"/>
          <w:sz w:val="22"/>
          <w:szCs w:val="22"/>
        </w:rPr>
        <w:t xml:space="preserve">All </w:t>
      </w:r>
      <w:r w:rsidR="00116FCC" w:rsidRPr="00907D83">
        <w:rPr>
          <w:rFonts w:ascii="Arial" w:hAnsi="Arial" w:cs="Arial"/>
          <w:sz w:val="22"/>
          <w:szCs w:val="22"/>
        </w:rPr>
        <w:t xml:space="preserve">specific </w:t>
      </w:r>
      <w:r w:rsidRPr="00907D83">
        <w:rPr>
          <w:rFonts w:ascii="Arial" w:hAnsi="Arial" w:cs="Arial"/>
          <w:sz w:val="22"/>
          <w:szCs w:val="22"/>
        </w:rPr>
        <w:t>norms related to execution of the program will be established in the OR of the program</w:t>
      </w:r>
      <w:bookmarkEnd w:id="18"/>
      <w:r w:rsidR="00116FCC" w:rsidRPr="00907D83">
        <w:rPr>
          <w:rFonts w:ascii="Arial" w:hAnsi="Arial" w:cs="Arial"/>
          <w:sz w:val="22"/>
          <w:szCs w:val="22"/>
          <w:vertAlign w:val="superscript"/>
        </w:rPr>
        <w:footnoteReference w:id="13"/>
      </w:r>
      <w:r w:rsidRPr="00907D83">
        <w:rPr>
          <w:rFonts w:ascii="Arial" w:hAnsi="Arial" w:cs="Arial"/>
          <w:sz w:val="22"/>
          <w:szCs w:val="22"/>
        </w:rPr>
        <w:t xml:space="preserve">. This includes specific procedures, conditions and requirements for individual projects to access resources from the program, including: (i) </w:t>
      </w:r>
      <w:r w:rsidR="00116FCC" w:rsidRPr="00907D83">
        <w:rPr>
          <w:rFonts w:ascii="Arial" w:hAnsi="Arial" w:cs="Arial"/>
          <w:sz w:val="22"/>
          <w:szCs w:val="22"/>
        </w:rPr>
        <w:t xml:space="preserve">eligibility </w:t>
      </w:r>
      <w:r w:rsidRPr="00907D83">
        <w:rPr>
          <w:rFonts w:ascii="Arial" w:hAnsi="Arial" w:cs="Arial"/>
          <w:sz w:val="22"/>
          <w:szCs w:val="22"/>
        </w:rPr>
        <w:t>criteria for accessing the sub</w:t>
      </w:r>
      <w:r w:rsidR="00FD6D02" w:rsidRPr="00907D83">
        <w:rPr>
          <w:rFonts w:ascii="Arial" w:hAnsi="Arial" w:cs="Arial"/>
          <w:sz w:val="22"/>
          <w:szCs w:val="22"/>
        </w:rPr>
        <w:t>-</w:t>
      </w:r>
      <w:r w:rsidRPr="00907D83">
        <w:rPr>
          <w:rFonts w:ascii="Arial" w:hAnsi="Arial" w:cs="Arial"/>
          <w:sz w:val="22"/>
          <w:szCs w:val="22"/>
        </w:rPr>
        <w:t xml:space="preserve">loans; (ii) disbursement mechanisms; (iii) eligibility criteria for the participating </w:t>
      </w:r>
      <w:r w:rsidR="00E138BA">
        <w:rPr>
          <w:rFonts w:ascii="Arial" w:hAnsi="Arial" w:cs="Arial"/>
          <w:sz w:val="22"/>
          <w:szCs w:val="22"/>
        </w:rPr>
        <w:t>I</w:t>
      </w:r>
      <w:r w:rsidR="00116FCC" w:rsidRPr="00907D83">
        <w:rPr>
          <w:rFonts w:ascii="Arial" w:hAnsi="Arial" w:cs="Arial"/>
          <w:sz w:val="22"/>
          <w:szCs w:val="22"/>
        </w:rPr>
        <w:t>FIs</w:t>
      </w:r>
      <w:r w:rsidRPr="00907D83">
        <w:rPr>
          <w:rFonts w:ascii="Arial" w:hAnsi="Arial" w:cs="Arial"/>
          <w:sz w:val="22"/>
          <w:szCs w:val="22"/>
        </w:rPr>
        <w:t>; and (iv) monitoring and evaluation requirements.</w:t>
      </w:r>
      <w:bookmarkEnd w:id="19"/>
      <w:r w:rsidRPr="00907D83">
        <w:rPr>
          <w:rFonts w:ascii="Arial" w:hAnsi="Arial" w:cs="Arial"/>
          <w:sz w:val="22"/>
          <w:szCs w:val="22"/>
        </w:rPr>
        <w:t xml:space="preserve"> An agreement between </w:t>
      </w:r>
      <w:r w:rsidR="00116FCC" w:rsidRPr="00907D83">
        <w:rPr>
          <w:rFonts w:ascii="Arial" w:hAnsi="Arial" w:cs="Arial"/>
          <w:sz w:val="22"/>
          <w:szCs w:val="22"/>
        </w:rPr>
        <w:t>AFD</w:t>
      </w:r>
      <w:r w:rsidRPr="00907D83">
        <w:rPr>
          <w:rFonts w:ascii="Arial" w:hAnsi="Arial" w:cs="Arial"/>
          <w:sz w:val="22"/>
          <w:szCs w:val="22"/>
        </w:rPr>
        <w:t xml:space="preserve"> and each eligible project will provide the precise terms and conditions (i.e. maturity, rates and costs for the end borrower) of the </w:t>
      </w:r>
      <w:r w:rsidRPr="00907D83">
        <w:rPr>
          <w:rFonts w:ascii="Arial" w:hAnsi="Arial" w:cs="Arial"/>
          <w:sz w:val="22"/>
          <w:szCs w:val="22"/>
        </w:rPr>
        <w:lastRenderedPageBreak/>
        <w:t>financing, which will depend on the characteristics of the project, its internal rate of return and its risk profile.</w:t>
      </w:r>
    </w:p>
    <w:p w14:paraId="2C410957" w14:textId="5F003255" w:rsidR="00600A12" w:rsidRPr="00907D83" w:rsidRDefault="00940FC4" w:rsidP="00496BB7">
      <w:pPr>
        <w:pStyle w:val="Paragraph"/>
        <w:numPr>
          <w:ilvl w:val="1"/>
          <w:numId w:val="3"/>
        </w:numPr>
        <w:tabs>
          <w:tab w:val="clear" w:pos="1746"/>
          <w:tab w:val="num" w:pos="720"/>
        </w:tabs>
        <w:ind w:left="720" w:hanging="720"/>
        <w:rPr>
          <w:rFonts w:ascii="Arial" w:hAnsi="Arial" w:cs="Arial"/>
          <w:sz w:val="22"/>
          <w:szCs w:val="22"/>
        </w:rPr>
      </w:pPr>
      <w:r w:rsidRPr="00907D83">
        <w:rPr>
          <w:rFonts w:ascii="Arial" w:hAnsi="Arial" w:cs="Arial"/>
          <w:b/>
          <w:sz w:val="22"/>
          <w:szCs w:val="22"/>
        </w:rPr>
        <w:t xml:space="preserve">Sub-project portfolio supervision. </w:t>
      </w:r>
      <w:r w:rsidR="00116FCC" w:rsidRPr="00907D83">
        <w:rPr>
          <w:rFonts w:ascii="Arial" w:hAnsi="Arial" w:cs="Arial"/>
          <w:sz w:val="22"/>
          <w:szCs w:val="22"/>
        </w:rPr>
        <w:t>As executor of the program, i</w:t>
      </w:r>
      <w:r w:rsidR="00496BB7" w:rsidRPr="00907D83">
        <w:rPr>
          <w:rFonts w:ascii="Arial" w:hAnsi="Arial" w:cs="Arial"/>
          <w:sz w:val="22"/>
          <w:szCs w:val="22"/>
        </w:rPr>
        <w:t xml:space="preserve">t is </w:t>
      </w:r>
      <w:r w:rsidR="00116FCC" w:rsidRPr="00907D83">
        <w:rPr>
          <w:rFonts w:ascii="Arial" w:hAnsi="Arial" w:cs="Arial"/>
          <w:sz w:val="22"/>
          <w:szCs w:val="22"/>
        </w:rPr>
        <w:t>AFD’s</w:t>
      </w:r>
      <w:r w:rsidR="00496BB7" w:rsidRPr="00907D83">
        <w:rPr>
          <w:rFonts w:ascii="Arial" w:hAnsi="Arial" w:cs="Arial"/>
          <w:sz w:val="22"/>
          <w:szCs w:val="22"/>
        </w:rPr>
        <w:t xml:space="preserve"> responsibility</w:t>
      </w:r>
      <w:r w:rsidR="00116FCC" w:rsidRPr="00907D83">
        <w:rPr>
          <w:rFonts w:ascii="Arial" w:hAnsi="Arial" w:cs="Arial"/>
          <w:sz w:val="22"/>
          <w:szCs w:val="22"/>
        </w:rPr>
        <w:t xml:space="preserve"> </w:t>
      </w:r>
      <w:r w:rsidR="00496BB7" w:rsidRPr="00907D83">
        <w:rPr>
          <w:rFonts w:ascii="Arial" w:hAnsi="Arial" w:cs="Arial"/>
          <w:sz w:val="22"/>
          <w:szCs w:val="22"/>
        </w:rPr>
        <w:t xml:space="preserve">to ensure that </w:t>
      </w:r>
      <w:r w:rsidR="00116FCC" w:rsidRPr="00907D83">
        <w:rPr>
          <w:rFonts w:ascii="Arial" w:hAnsi="Arial" w:cs="Arial"/>
          <w:sz w:val="22"/>
          <w:szCs w:val="22"/>
        </w:rPr>
        <w:t>each</w:t>
      </w:r>
      <w:r w:rsidR="00496BB7" w:rsidRPr="00907D83">
        <w:rPr>
          <w:rFonts w:ascii="Arial" w:hAnsi="Arial" w:cs="Arial"/>
          <w:sz w:val="22"/>
          <w:szCs w:val="22"/>
        </w:rPr>
        <w:t xml:space="preserve"> </w:t>
      </w:r>
      <w:r w:rsidR="00116FCC" w:rsidRPr="00907D83">
        <w:rPr>
          <w:rFonts w:ascii="Arial" w:hAnsi="Arial" w:cs="Arial"/>
          <w:sz w:val="22"/>
          <w:szCs w:val="22"/>
        </w:rPr>
        <w:t xml:space="preserve">end </w:t>
      </w:r>
      <w:r w:rsidR="00496BB7" w:rsidRPr="00907D83">
        <w:rPr>
          <w:rFonts w:ascii="Arial" w:hAnsi="Arial" w:cs="Arial"/>
          <w:sz w:val="22"/>
          <w:szCs w:val="22"/>
        </w:rPr>
        <w:t xml:space="preserve">borrower is eligible for funding from the program in accordance with the program’s eligibility criteria, as defined in the OR. </w:t>
      </w:r>
      <w:r w:rsidR="00600A12" w:rsidRPr="00907D83">
        <w:rPr>
          <w:rFonts w:ascii="Arial" w:hAnsi="Arial" w:cs="Arial"/>
          <w:sz w:val="22"/>
          <w:szCs w:val="22"/>
        </w:rPr>
        <w:t>Monitoring of</w:t>
      </w:r>
      <w:r w:rsidR="00116FCC" w:rsidRPr="00907D83">
        <w:rPr>
          <w:rFonts w:ascii="Arial" w:hAnsi="Arial" w:cs="Arial"/>
          <w:sz w:val="22"/>
          <w:szCs w:val="22"/>
        </w:rPr>
        <w:t xml:space="preserve"> </w:t>
      </w:r>
      <w:r w:rsidR="006D3BCD" w:rsidRPr="00907D83">
        <w:rPr>
          <w:rFonts w:ascii="Arial" w:hAnsi="Arial" w:cs="Arial"/>
          <w:sz w:val="22"/>
          <w:szCs w:val="22"/>
        </w:rPr>
        <w:t>portfolios of sub</w:t>
      </w:r>
      <w:r w:rsidR="00FD6D02" w:rsidRPr="00907D83">
        <w:rPr>
          <w:rFonts w:ascii="Arial" w:hAnsi="Arial" w:cs="Arial"/>
          <w:sz w:val="22"/>
          <w:szCs w:val="22"/>
        </w:rPr>
        <w:t>-</w:t>
      </w:r>
      <w:r w:rsidR="006D3BCD" w:rsidRPr="00907D83">
        <w:rPr>
          <w:rFonts w:ascii="Arial" w:hAnsi="Arial" w:cs="Arial"/>
          <w:sz w:val="22"/>
          <w:szCs w:val="22"/>
        </w:rPr>
        <w:t xml:space="preserve">projects undertaken by </w:t>
      </w:r>
      <w:r w:rsidR="00E138BA">
        <w:rPr>
          <w:rFonts w:ascii="Arial" w:hAnsi="Arial" w:cs="Arial"/>
          <w:sz w:val="22"/>
          <w:szCs w:val="22"/>
        </w:rPr>
        <w:t>I</w:t>
      </w:r>
      <w:r w:rsidR="006D3BCD" w:rsidRPr="00907D83">
        <w:rPr>
          <w:rFonts w:ascii="Arial" w:hAnsi="Arial" w:cs="Arial"/>
          <w:sz w:val="22"/>
          <w:szCs w:val="22"/>
        </w:rPr>
        <w:t>FIs will be held by the IDB in connection to</w:t>
      </w:r>
      <w:r w:rsidR="00600A12" w:rsidRPr="00907D83">
        <w:rPr>
          <w:rFonts w:ascii="Arial" w:hAnsi="Arial" w:cs="Arial"/>
          <w:sz w:val="22"/>
          <w:szCs w:val="22"/>
        </w:rPr>
        <w:t xml:space="preserve"> disbursements for eligible expenditures</w:t>
      </w:r>
      <w:r w:rsidR="006D3BCD" w:rsidRPr="00907D83">
        <w:rPr>
          <w:rFonts w:ascii="Arial" w:hAnsi="Arial" w:cs="Arial"/>
          <w:sz w:val="22"/>
          <w:szCs w:val="22"/>
        </w:rPr>
        <w:t xml:space="preserve"> presented by AFD</w:t>
      </w:r>
      <w:r w:rsidR="00600A12" w:rsidRPr="00907D83">
        <w:rPr>
          <w:rFonts w:ascii="Arial" w:hAnsi="Arial" w:cs="Arial"/>
          <w:sz w:val="22"/>
          <w:szCs w:val="22"/>
        </w:rPr>
        <w:t xml:space="preserve">. In coordination with </w:t>
      </w:r>
      <w:r w:rsidR="006D3BCD" w:rsidRPr="00907D83">
        <w:rPr>
          <w:rFonts w:ascii="Arial" w:hAnsi="Arial" w:cs="Arial"/>
          <w:sz w:val="22"/>
          <w:szCs w:val="22"/>
        </w:rPr>
        <w:t>AFD</w:t>
      </w:r>
      <w:r w:rsidR="00600A12" w:rsidRPr="00907D83">
        <w:rPr>
          <w:rFonts w:ascii="Arial" w:hAnsi="Arial" w:cs="Arial"/>
          <w:sz w:val="22"/>
          <w:szCs w:val="22"/>
        </w:rPr>
        <w:t xml:space="preserve">, the </w:t>
      </w:r>
      <w:r w:rsidR="006D3BCD" w:rsidRPr="00907D83">
        <w:rPr>
          <w:rFonts w:ascii="Arial" w:hAnsi="Arial" w:cs="Arial"/>
          <w:sz w:val="22"/>
          <w:szCs w:val="22"/>
        </w:rPr>
        <w:t>IDB</w:t>
      </w:r>
      <w:r w:rsidR="00600A12" w:rsidRPr="00907D83">
        <w:rPr>
          <w:rFonts w:ascii="Arial" w:hAnsi="Arial" w:cs="Arial"/>
          <w:sz w:val="22"/>
          <w:szCs w:val="22"/>
        </w:rPr>
        <w:t xml:space="preserve"> may schedule supervision visits to</w:t>
      </w:r>
      <w:r w:rsidR="006D3BCD" w:rsidRPr="00907D83">
        <w:rPr>
          <w:rFonts w:ascii="Arial" w:hAnsi="Arial" w:cs="Arial"/>
          <w:sz w:val="22"/>
          <w:szCs w:val="22"/>
        </w:rPr>
        <w:t xml:space="preserve"> </w:t>
      </w:r>
      <w:r w:rsidR="00E138BA">
        <w:rPr>
          <w:rFonts w:ascii="Arial" w:hAnsi="Arial" w:cs="Arial"/>
          <w:sz w:val="22"/>
          <w:szCs w:val="22"/>
        </w:rPr>
        <w:t>I</w:t>
      </w:r>
      <w:r w:rsidR="006D3BCD" w:rsidRPr="00907D83">
        <w:rPr>
          <w:rFonts w:ascii="Arial" w:hAnsi="Arial" w:cs="Arial"/>
          <w:sz w:val="22"/>
          <w:szCs w:val="22"/>
        </w:rPr>
        <w:t>FIs or</w:t>
      </w:r>
      <w:r w:rsidR="00600A12" w:rsidRPr="00907D83">
        <w:rPr>
          <w:rFonts w:ascii="Arial" w:hAnsi="Arial" w:cs="Arial"/>
          <w:sz w:val="22"/>
          <w:szCs w:val="22"/>
        </w:rPr>
        <w:t xml:space="preserve"> sub</w:t>
      </w:r>
      <w:r w:rsidR="00B913FC" w:rsidRPr="00907D83">
        <w:rPr>
          <w:rFonts w:ascii="Arial" w:hAnsi="Arial" w:cs="Arial"/>
          <w:sz w:val="22"/>
          <w:szCs w:val="22"/>
        </w:rPr>
        <w:noBreakHyphen/>
      </w:r>
      <w:r w:rsidR="00600A12" w:rsidRPr="00907D83">
        <w:rPr>
          <w:rFonts w:ascii="Arial" w:hAnsi="Arial" w:cs="Arial"/>
          <w:sz w:val="22"/>
          <w:szCs w:val="22"/>
        </w:rPr>
        <w:t>borrowers to verify compliance with contractual conditions of the program with regards to the use of funds.</w:t>
      </w:r>
    </w:p>
    <w:p w14:paraId="561027EB" w14:textId="0C3D3452" w:rsidR="00051B6C" w:rsidRPr="00907D83" w:rsidRDefault="00940FC4" w:rsidP="00496BB7">
      <w:pPr>
        <w:pStyle w:val="Paragraph"/>
        <w:numPr>
          <w:ilvl w:val="1"/>
          <w:numId w:val="3"/>
        </w:numPr>
        <w:tabs>
          <w:tab w:val="clear" w:pos="1746"/>
          <w:tab w:val="num" w:pos="720"/>
        </w:tabs>
        <w:ind w:left="720" w:hanging="720"/>
        <w:rPr>
          <w:rFonts w:ascii="Arial" w:hAnsi="Arial" w:cs="Arial"/>
          <w:sz w:val="22"/>
          <w:szCs w:val="22"/>
        </w:rPr>
      </w:pPr>
      <w:bookmarkStart w:id="20" w:name="_Ref500788531"/>
      <w:r w:rsidRPr="00907D83">
        <w:rPr>
          <w:rFonts w:ascii="Arial" w:hAnsi="Arial" w:cs="Arial"/>
          <w:b/>
          <w:sz w:val="22"/>
          <w:szCs w:val="22"/>
        </w:rPr>
        <w:t xml:space="preserve">Record keeping. </w:t>
      </w:r>
      <w:r w:rsidR="006D3BCD" w:rsidRPr="00907D83">
        <w:rPr>
          <w:rFonts w:ascii="Arial" w:hAnsi="Arial" w:cs="Arial"/>
          <w:sz w:val="22"/>
          <w:szCs w:val="22"/>
        </w:rPr>
        <w:t>All operations</w:t>
      </w:r>
      <w:r w:rsidR="00600A12" w:rsidRPr="00907D83">
        <w:rPr>
          <w:rFonts w:ascii="Arial" w:hAnsi="Arial" w:cs="Arial"/>
          <w:sz w:val="22"/>
          <w:szCs w:val="22"/>
        </w:rPr>
        <w:t xml:space="preserve"> presented to the </w:t>
      </w:r>
      <w:r w:rsidR="006D3BCD" w:rsidRPr="00907D83">
        <w:rPr>
          <w:rFonts w:ascii="Arial" w:hAnsi="Arial" w:cs="Arial"/>
          <w:sz w:val="22"/>
          <w:szCs w:val="22"/>
        </w:rPr>
        <w:t>IDB</w:t>
      </w:r>
      <w:r w:rsidR="00600A12" w:rsidRPr="00907D83">
        <w:rPr>
          <w:rFonts w:ascii="Arial" w:hAnsi="Arial" w:cs="Arial"/>
          <w:sz w:val="22"/>
          <w:szCs w:val="22"/>
        </w:rPr>
        <w:t xml:space="preserve"> to be </w:t>
      </w:r>
      <w:r w:rsidR="004104E2" w:rsidRPr="00907D83">
        <w:rPr>
          <w:rFonts w:ascii="Arial" w:hAnsi="Arial" w:cs="Arial"/>
          <w:sz w:val="22"/>
          <w:szCs w:val="22"/>
        </w:rPr>
        <w:t>recognized under each disbursement from the program</w:t>
      </w:r>
      <w:r w:rsidR="006D3BCD" w:rsidRPr="00907D83">
        <w:rPr>
          <w:rFonts w:ascii="Arial" w:hAnsi="Arial" w:cs="Arial"/>
          <w:sz w:val="22"/>
          <w:szCs w:val="22"/>
        </w:rPr>
        <w:t>, including all required information for monitoring at the sub</w:t>
      </w:r>
      <w:r w:rsidR="000F443E" w:rsidRPr="00907D83">
        <w:rPr>
          <w:rFonts w:ascii="Arial" w:hAnsi="Arial" w:cs="Arial"/>
          <w:sz w:val="22"/>
          <w:szCs w:val="22"/>
        </w:rPr>
        <w:t>-</w:t>
      </w:r>
      <w:r w:rsidR="006D3BCD" w:rsidRPr="00907D83">
        <w:rPr>
          <w:rFonts w:ascii="Arial" w:hAnsi="Arial" w:cs="Arial"/>
          <w:sz w:val="22"/>
          <w:szCs w:val="22"/>
        </w:rPr>
        <w:t>project level,</w:t>
      </w:r>
      <w:r w:rsidR="00600A12" w:rsidRPr="00907D83">
        <w:rPr>
          <w:rFonts w:ascii="Arial" w:hAnsi="Arial" w:cs="Arial"/>
          <w:sz w:val="22"/>
          <w:szCs w:val="22"/>
        </w:rPr>
        <w:t xml:space="preserve"> must be properly identified in </w:t>
      </w:r>
      <w:r w:rsidR="006D3BCD" w:rsidRPr="00907D83">
        <w:rPr>
          <w:rFonts w:ascii="Arial" w:hAnsi="Arial" w:cs="Arial"/>
          <w:sz w:val="22"/>
          <w:szCs w:val="22"/>
        </w:rPr>
        <w:t>AFD’s</w:t>
      </w:r>
      <w:r w:rsidR="00600A12" w:rsidRPr="00907D83">
        <w:rPr>
          <w:rFonts w:ascii="Arial" w:hAnsi="Arial" w:cs="Arial"/>
          <w:sz w:val="22"/>
          <w:szCs w:val="22"/>
        </w:rPr>
        <w:t xml:space="preserve"> </w:t>
      </w:r>
      <w:r w:rsidR="006D3BCD" w:rsidRPr="00907D83">
        <w:rPr>
          <w:rFonts w:ascii="Arial" w:hAnsi="Arial" w:cs="Arial"/>
          <w:sz w:val="22"/>
          <w:szCs w:val="22"/>
        </w:rPr>
        <w:t xml:space="preserve">reporting </w:t>
      </w:r>
      <w:r w:rsidR="00600A12" w:rsidRPr="00907D83">
        <w:rPr>
          <w:rFonts w:ascii="Arial" w:hAnsi="Arial" w:cs="Arial"/>
          <w:sz w:val="22"/>
          <w:szCs w:val="22"/>
        </w:rPr>
        <w:t>systems</w:t>
      </w:r>
      <w:r w:rsidR="001E003D" w:rsidRPr="00907D83">
        <w:rPr>
          <w:rFonts w:ascii="Arial" w:hAnsi="Arial" w:cs="Arial"/>
          <w:sz w:val="22"/>
          <w:szCs w:val="22"/>
        </w:rPr>
        <w:t>. R</w:t>
      </w:r>
      <w:r w:rsidR="00600A12" w:rsidRPr="00907D83">
        <w:rPr>
          <w:rFonts w:ascii="Arial" w:hAnsi="Arial" w:cs="Arial"/>
          <w:sz w:val="22"/>
          <w:szCs w:val="22"/>
        </w:rPr>
        <w:t xml:space="preserve">ecords of the </w:t>
      </w:r>
      <w:r w:rsidR="006D3BCD" w:rsidRPr="00907D83">
        <w:rPr>
          <w:rFonts w:ascii="Arial" w:hAnsi="Arial" w:cs="Arial"/>
          <w:sz w:val="22"/>
          <w:szCs w:val="22"/>
        </w:rPr>
        <w:t>sub</w:t>
      </w:r>
      <w:r w:rsidR="000F443E" w:rsidRPr="00907D83">
        <w:rPr>
          <w:rFonts w:ascii="Arial" w:hAnsi="Arial" w:cs="Arial"/>
          <w:sz w:val="22"/>
          <w:szCs w:val="22"/>
        </w:rPr>
        <w:t>-</w:t>
      </w:r>
      <w:r w:rsidR="006D3BCD" w:rsidRPr="00907D83">
        <w:rPr>
          <w:rFonts w:ascii="Arial" w:hAnsi="Arial" w:cs="Arial"/>
          <w:sz w:val="22"/>
          <w:szCs w:val="22"/>
        </w:rPr>
        <w:t>loans</w:t>
      </w:r>
      <w:r w:rsidR="00600A12" w:rsidRPr="00907D83">
        <w:rPr>
          <w:rFonts w:ascii="Arial" w:hAnsi="Arial" w:cs="Arial"/>
          <w:sz w:val="22"/>
          <w:szCs w:val="22"/>
        </w:rPr>
        <w:t xml:space="preserve"> </w:t>
      </w:r>
      <w:r w:rsidR="006D3BCD" w:rsidRPr="00907D83">
        <w:rPr>
          <w:rFonts w:ascii="Arial" w:hAnsi="Arial" w:cs="Arial"/>
          <w:sz w:val="22"/>
          <w:szCs w:val="22"/>
        </w:rPr>
        <w:t>shall</w:t>
      </w:r>
      <w:r w:rsidR="001E003D" w:rsidRPr="00907D83">
        <w:rPr>
          <w:rFonts w:ascii="Arial" w:hAnsi="Arial" w:cs="Arial"/>
          <w:sz w:val="22"/>
          <w:szCs w:val="22"/>
        </w:rPr>
        <w:t xml:space="preserve"> be </w:t>
      </w:r>
      <w:r w:rsidR="006D3BCD" w:rsidRPr="00907D83">
        <w:rPr>
          <w:rFonts w:ascii="Arial" w:hAnsi="Arial" w:cs="Arial"/>
          <w:sz w:val="22"/>
          <w:szCs w:val="22"/>
        </w:rPr>
        <w:t xml:space="preserve">registered </w:t>
      </w:r>
      <w:r w:rsidR="001E003D" w:rsidRPr="00907D83">
        <w:rPr>
          <w:rFonts w:ascii="Arial" w:hAnsi="Arial" w:cs="Arial"/>
          <w:sz w:val="22"/>
          <w:szCs w:val="22"/>
        </w:rPr>
        <w:t xml:space="preserve">in </w:t>
      </w:r>
      <w:r w:rsidR="006D3BCD" w:rsidRPr="00907D83">
        <w:rPr>
          <w:rFonts w:ascii="Arial" w:hAnsi="Arial" w:cs="Arial"/>
          <w:sz w:val="22"/>
          <w:szCs w:val="22"/>
        </w:rPr>
        <w:t>AFD’s</w:t>
      </w:r>
      <w:r w:rsidR="001E003D" w:rsidRPr="00907D83">
        <w:rPr>
          <w:rFonts w:ascii="Arial" w:hAnsi="Arial" w:cs="Arial"/>
          <w:sz w:val="22"/>
          <w:szCs w:val="22"/>
        </w:rPr>
        <w:t xml:space="preserve"> accounting </w:t>
      </w:r>
      <w:r w:rsidR="00287776" w:rsidRPr="00907D83">
        <w:rPr>
          <w:rFonts w:ascii="Arial" w:hAnsi="Arial" w:cs="Arial"/>
          <w:sz w:val="22"/>
          <w:szCs w:val="22"/>
        </w:rPr>
        <w:t xml:space="preserve">systems </w:t>
      </w:r>
      <w:r w:rsidR="00600A12" w:rsidRPr="00907D83">
        <w:rPr>
          <w:rFonts w:ascii="Arial" w:hAnsi="Arial" w:cs="Arial"/>
          <w:sz w:val="22"/>
          <w:szCs w:val="22"/>
        </w:rPr>
        <w:t xml:space="preserve">and </w:t>
      </w:r>
      <w:r w:rsidR="006D3BCD" w:rsidRPr="00907D83">
        <w:rPr>
          <w:rFonts w:ascii="Arial" w:hAnsi="Arial" w:cs="Arial"/>
          <w:sz w:val="22"/>
          <w:szCs w:val="22"/>
        </w:rPr>
        <w:t>consistent with their corresponding</w:t>
      </w:r>
      <w:r w:rsidR="001E003D" w:rsidRPr="00907D83">
        <w:rPr>
          <w:rFonts w:ascii="Arial" w:hAnsi="Arial" w:cs="Arial"/>
          <w:sz w:val="22"/>
          <w:szCs w:val="22"/>
        </w:rPr>
        <w:t xml:space="preserve"> loan agreements. </w:t>
      </w:r>
      <w:r w:rsidR="00600A12" w:rsidRPr="00907D83">
        <w:rPr>
          <w:rFonts w:ascii="Arial" w:hAnsi="Arial" w:cs="Arial"/>
          <w:sz w:val="22"/>
          <w:szCs w:val="22"/>
        </w:rPr>
        <w:t xml:space="preserve">These records </w:t>
      </w:r>
      <w:r w:rsidR="001E003D" w:rsidRPr="00907D83">
        <w:rPr>
          <w:rFonts w:ascii="Arial" w:hAnsi="Arial" w:cs="Arial"/>
          <w:sz w:val="22"/>
          <w:szCs w:val="22"/>
        </w:rPr>
        <w:t>should</w:t>
      </w:r>
      <w:r w:rsidR="00600A12" w:rsidRPr="00907D83">
        <w:rPr>
          <w:rFonts w:ascii="Arial" w:hAnsi="Arial" w:cs="Arial"/>
          <w:sz w:val="22"/>
          <w:szCs w:val="22"/>
        </w:rPr>
        <w:t xml:space="preserve"> </w:t>
      </w:r>
      <w:r w:rsidR="004104E2" w:rsidRPr="00907D83">
        <w:rPr>
          <w:rFonts w:ascii="Arial" w:hAnsi="Arial" w:cs="Arial"/>
          <w:sz w:val="22"/>
          <w:szCs w:val="22"/>
        </w:rPr>
        <w:t xml:space="preserve">be accessible to the IDB and should </w:t>
      </w:r>
      <w:r w:rsidR="00600A12" w:rsidRPr="00907D83">
        <w:rPr>
          <w:rFonts w:ascii="Arial" w:hAnsi="Arial" w:cs="Arial"/>
          <w:sz w:val="22"/>
          <w:szCs w:val="22"/>
        </w:rPr>
        <w:t xml:space="preserve">allow </w:t>
      </w:r>
      <w:r w:rsidR="001E003D" w:rsidRPr="00907D83">
        <w:rPr>
          <w:rFonts w:ascii="Arial" w:hAnsi="Arial" w:cs="Arial"/>
          <w:sz w:val="22"/>
          <w:szCs w:val="22"/>
        </w:rPr>
        <w:t>for identifying</w:t>
      </w:r>
      <w:r w:rsidR="00600A12" w:rsidRPr="00907D83">
        <w:rPr>
          <w:rFonts w:ascii="Arial" w:hAnsi="Arial" w:cs="Arial"/>
          <w:sz w:val="22"/>
          <w:szCs w:val="22"/>
        </w:rPr>
        <w:t xml:space="preserve"> financial conditions of </w:t>
      </w:r>
      <w:r w:rsidR="001E003D" w:rsidRPr="00907D83">
        <w:rPr>
          <w:rFonts w:ascii="Arial" w:hAnsi="Arial" w:cs="Arial"/>
          <w:sz w:val="22"/>
          <w:szCs w:val="22"/>
        </w:rPr>
        <w:t>each</w:t>
      </w:r>
      <w:r w:rsidR="00600A12" w:rsidRPr="00907D83">
        <w:rPr>
          <w:rFonts w:ascii="Arial" w:hAnsi="Arial" w:cs="Arial"/>
          <w:sz w:val="22"/>
          <w:szCs w:val="22"/>
        </w:rPr>
        <w:t xml:space="preserve"> transaction (</w:t>
      </w:r>
      <w:r w:rsidR="001E003D" w:rsidRPr="00907D83">
        <w:rPr>
          <w:rFonts w:ascii="Arial" w:hAnsi="Arial" w:cs="Arial"/>
          <w:sz w:val="22"/>
          <w:szCs w:val="22"/>
        </w:rPr>
        <w:t xml:space="preserve">e.g. </w:t>
      </w:r>
      <w:r w:rsidR="00600A12" w:rsidRPr="00907D83">
        <w:rPr>
          <w:rFonts w:ascii="Arial" w:hAnsi="Arial" w:cs="Arial"/>
          <w:sz w:val="22"/>
          <w:szCs w:val="22"/>
        </w:rPr>
        <w:t xml:space="preserve">currency, maturity, </w:t>
      </w:r>
      <w:r w:rsidR="001E003D" w:rsidRPr="00907D83">
        <w:rPr>
          <w:rFonts w:ascii="Arial" w:hAnsi="Arial" w:cs="Arial"/>
          <w:sz w:val="22"/>
          <w:szCs w:val="22"/>
        </w:rPr>
        <w:t>interest</w:t>
      </w:r>
      <w:r w:rsidR="00600A12" w:rsidRPr="00907D83">
        <w:rPr>
          <w:rFonts w:ascii="Arial" w:hAnsi="Arial" w:cs="Arial"/>
          <w:sz w:val="22"/>
          <w:szCs w:val="22"/>
        </w:rPr>
        <w:t xml:space="preserve"> rates), the value of the </w:t>
      </w:r>
      <w:r w:rsidR="001E003D" w:rsidRPr="00907D83">
        <w:rPr>
          <w:rFonts w:ascii="Arial" w:hAnsi="Arial" w:cs="Arial"/>
          <w:sz w:val="22"/>
          <w:szCs w:val="22"/>
        </w:rPr>
        <w:t>contract</w:t>
      </w:r>
      <w:r w:rsidR="00600A12" w:rsidRPr="00907D83">
        <w:rPr>
          <w:rFonts w:ascii="Arial" w:hAnsi="Arial" w:cs="Arial"/>
          <w:sz w:val="22"/>
          <w:szCs w:val="22"/>
        </w:rPr>
        <w:t xml:space="preserve">, </w:t>
      </w:r>
      <w:r w:rsidR="001E003D" w:rsidRPr="00907D83">
        <w:rPr>
          <w:rFonts w:ascii="Arial" w:hAnsi="Arial" w:cs="Arial"/>
          <w:sz w:val="22"/>
          <w:szCs w:val="22"/>
        </w:rPr>
        <w:t>loan proceeds</w:t>
      </w:r>
      <w:r w:rsidR="00287776" w:rsidRPr="00907D83">
        <w:rPr>
          <w:rFonts w:ascii="Arial" w:hAnsi="Arial" w:cs="Arial"/>
          <w:sz w:val="22"/>
          <w:szCs w:val="22"/>
        </w:rPr>
        <w:t>, program funds balances and default rates, if necessary</w:t>
      </w:r>
      <w:r w:rsidR="00051B6C" w:rsidRPr="00907D83">
        <w:rPr>
          <w:rFonts w:ascii="Arial" w:hAnsi="Arial" w:cs="Arial"/>
          <w:sz w:val="22"/>
          <w:szCs w:val="22"/>
        </w:rPr>
        <w:t>.</w:t>
      </w:r>
      <w:bookmarkEnd w:id="20"/>
    </w:p>
    <w:p w14:paraId="39819326" w14:textId="673EDDB3" w:rsidR="0065561A" w:rsidRPr="00907D83" w:rsidRDefault="004104E2" w:rsidP="00496BB7">
      <w:pPr>
        <w:pStyle w:val="Paragraph"/>
        <w:numPr>
          <w:ilvl w:val="1"/>
          <w:numId w:val="3"/>
        </w:numPr>
        <w:tabs>
          <w:tab w:val="clear" w:pos="1746"/>
          <w:tab w:val="num" w:pos="720"/>
        </w:tabs>
        <w:ind w:left="720" w:hanging="720"/>
        <w:rPr>
          <w:rFonts w:ascii="Arial" w:hAnsi="Arial" w:cs="Arial"/>
          <w:sz w:val="22"/>
          <w:szCs w:val="22"/>
        </w:rPr>
      </w:pPr>
      <w:r w:rsidRPr="00907D83">
        <w:rPr>
          <w:rFonts w:ascii="Arial" w:hAnsi="Arial" w:cs="Arial"/>
          <w:b/>
          <w:sz w:val="22"/>
          <w:szCs w:val="22"/>
        </w:rPr>
        <w:t xml:space="preserve">Financial statements and expenses of the program </w:t>
      </w:r>
      <w:r w:rsidRPr="00907D83">
        <w:rPr>
          <w:rFonts w:ascii="Arial" w:hAnsi="Arial" w:cs="Arial"/>
          <w:sz w:val="22"/>
          <w:szCs w:val="22"/>
        </w:rPr>
        <w:t xml:space="preserve">will be audited annually </w:t>
      </w:r>
      <w:r w:rsidRPr="00907D83">
        <w:rPr>
          <w:rFonts w:ascii="Arial" w:hAnsi="Arial" w:cs="Arial"/>
          <w:bCs/>
          <w:sz w:val="22"/>
          <w:szCs w:val="22"/>
        </w:rPr>
        <w:t xml:space="preserve">by </w:t>
      </w:r>
      <w:r w:rsidRPr="00907D83">
        <w:rPr>
          <w:rFonts w:ascii="Arial" w:hAnsi="Arial" w:cs="Arial"/>
          <w:sz w:val="22"/>
          <w:szCs w:val="22"/>
        </w:rPr>
        <w:t>an independent auditing firm acceptable to the IDB</w:t>
      </w:r>
      <w:r w:rsidRPr="00907D83">
        <w:rPr>
          <w:rFonts w:ascii="Arial" w:hAnsi="Arial" w:cs="Arial"/>
          <w:bCs/>
          <w:sz w:val="22"/>
          <w:szCs w:val="22"/>
        </w:rPr>
        <w:t>.</w:t>
      </w:r>
      <w:r w:rsidRPr="00907D83">
        <w:rPr>
          <w:rFonts w:ascii="Arial" w:hAnsi="Arial" w:cs="Arial"/>
          <w:sz w:val="22"/>
          <w:szCs w:val="22"/>
        </w:rPr>
        <w:t xml:space="preserve"> </w:t>
      </w:r>
      <w:r w:rsidRPr="00907D83">
        <w:rPr>
          <w:rFonts w:ascii="Arial" w:hAnsi="Arial" w:cs="Arial"/>
          <w:bCs/>
          <w:sz w:val="22"/>
          <w:szCs w:val="22"/>
        </w:rPr>
        <w:t>Annual audited reports will be presented to the Bank within 120 days after the end of AFD’s fiscal year, and the final audit will be presented to the bank 120 days after the date of last disbursement</w:t>
      </w:r>
      <w:r w:rsidRPr="00907D83">
        <w:rPr>
          <w:rFonts w:ascii="Arial" w:hAnsi="Arial" w:cs="Arial"/>
          <w:sz w:val="22"/>
          <w:szCs w:val="22"/>
        </w:rPr>
        <w:t>.</w:t>
      </w:r>
    </w:p>
    <w:p w14:paraId="572711AC" w14:textId="77777777" w:rsidR="00940FC4" w:rsidRPr="00907D83" w:rsidRDefault="00940FC4" w:rsidP="00940FC4">
      <w:pPr>
        <w:pStyle w:val="Paragraph"/>
        <w:numPr>
          <w:ilvl w:val="1"/>
          <w:numId w:val="3"/>
        </w:numPr>
        <w:tabs>
          <w:tab w:val="clear" w:pos="1746"/>
          <w:tab w:val="num" w:pos="720"/>
        </w:tabs>
        <w:ind w:left="720" w:hanging="720"/>
        <w:rPr>
          <w:rFonts w:ascii="Arial" w:hAnsi="Arial" w:cs="Arial"/>
          <w:sz w:val="22"/>
          <w:szCs w:val="22"/>
        </w:rPr>
      </w:pPr>
      <w:bookmarkStart w:id="21" w:name="_Ref500788534"/>
      <w:r w:rsidRPr="00907D83">
        <w:rPr>
          <w:rFonts w:ascii="Arial" w:hAnsi="Arial" w:cs="Arial"/>
          <w:sz w:val="22"/>
          <w:szCs w:val="22"/>
        </w:rPr>
        <w:t>A specific account shall be set up or designated by AFD for the transfer of funds following requests for disbursements. This will facilitate the control of financial transactions and the preparation of reports of financial progress.</w:t>
      </w:r>
      <w:bookmarkEnd w:id="21"/>
    </w:p>
    <w:p w14:paraId="3AF6E468" w14:textId="0555F223" w:rsidR="00600A12" w:rsidRPr="003A31D2" w:rsidRDefault="00600A12" w:rsidP="00496BB7">
      <w:pPr>
        <w:pStyle w:val="Paragraph"/>
        <w:numPr>
          <w:ilvl w:val="1"/>
          <w:numId w:val="3"/>
        </w:numPr>
        <w:tabs>
          <w:tab w:val="clear" w:pos="1746"/>
          <w:tab w:val="num" w:pos="720"/>
        </w:tabs>
        <w:ind w:left="720" w:hanging="720"/>
        <w:rPr>
          <w:rFonts w:ascii="Arial" w:hAnsi="Arial" w:cs="Arial"/>
          <w:sz w:val="22"/>
          <w:szCs w:val="22"/>
        </w:rPr>
      </w:pPr>
      <w:r w:rsidRPr="00907D83">
        <w:rPr>
          <w:rFonts w:ascii="Arial" w:hAnsi="Arial" w:cs="Arial"/>
          <w:sz w:val="22"/>
          <w:szCs w:val="22"/>
        </w:rPr>
        <w:t>The program will be executed under a sole component</w:t>
      </w:r>
      <w:r w:rsidR="0060081F" w:rsidRPr="00907D83">
        <w:rPr>
          <w:rFonts w:ascii="Arial" w:hAnsi="Arial" w:cs="Arial"/>
          <w:sz w:val="22"/>
          <w:szCs w:val="22"/>
        </w:rPr>
        <w:t>, using US$</w:t>
      </w:r>
      <w:r w:rsidR="004104E2" w:rsidRPr="00907D83">
        <w:rPr>
          <w:rFonts w:ascii="Arial" w:hAnsi="Arial" w:cs="Arial"/>
          <w:sz w:val="22"/>
          <w:szCs w:val="22"/>
        </w:rPr>
        <w:t>20</w:t>
      </w:r>
      <w:r w:rsidR="0060081F" w:rsidRPr="00907D83">
        <w:rPr>
          <w:rFonts w:ascii="Arial" w:hAnsi="Arial" w:cs="Arial"/>
          <w:sz w:val="22"/>
          <w:szCs w:val="22"/>
        </w:rPr>
        <w:t xml:space="preserve"> million from </w:t>
      </w:r>
      <w:r w:rsidR="004104E2" w:rsidRPr="00907D83">
        <w:rPr>
          <w:rFonts w:ascii="Arial" w:hAnsi="Arial" w:cs="Arial"/>
          <w:sz w:val="22"/>
          <w:szCs w:val="22"/>
        </w:rPr>
        <w:t>GCF’s reimbursable resources</w:t>
      </w:r>
      <w:r w:rsidR="0060081F" w:rsidRPr="00907D83">
        <w:rPr>
          <w:rFonts w:ascii="Arial" w:hAnsi="Arial" w:cs="Arial"/>
          <w:sz w:val="22"/>
          <w:szCs w:val="22"/>
        </w:rPr>
        <w:t xml:space="preserve"> and co-financed with an additional US$</w:t>
      </w:r>
      <w:r w:rsidR="004104E2" w:rsidRPr="00907D83">
        <w:rPr>
          <w:rFonts w:ascii="Arial" w:hAnsi="Arial" w:cs="Arial"/>
          <w:sz w:val="22"/>
          <w:szCs w:val="22"/>
        </w:rPr>
        <w:t>20</w:t>
      </w:r>
      <w:r w:rsidR="0060081F" w:rsidRPr="00907D83">
        <w:rPr>
          <w:rFonts w:ascii="Arial" w:hAnsi="Arial" w:cs="Arial"/>
          <w:sz w:val="22"/>
          <w:szCs w:val="22"/>
        </w:rPr>
        <w:t xml:space="preserve"> million </w:t>
      </w:r>
      <w:r w:rsidR="0060081F" w:rsidRPr="003A31D2">
        <w:rPr>
          <w:rFonts w:ascii="Arial" w:hAnsi="Arial" w:cs="Arial"/>
          <w:sz w:val="22"/>
          <w:szCs w:val="22"/>
        </w:rPr>
        <w:t xml:space="preserve">from </w:t>
      </w:r>
      <w:r w:rsidR="004104E2" w:rsidRPr="003A31D2">
        <w:rPr>
          <w:rFonts w:ascii="Arial" w:hAnsi="Arial" w:cs="Arial"/>
          <w:sz w:val="22"/>
          <w:szCs w:val="22"/>
        </w:rPr>
        <w:t>AFD</w:t>
      </w:r>
      <w:r w:rsidR="0060081F" w:rsidRPr="003A31D2">
        <w:rPr>
          <w:rFonts w:ascii="Arial" w:hAnsi="Arial" w:cs="Arial"/>
          <w:sz w:val="22"/>
          <w:szCs w:val="22"/>
        </w:rPr>
        <w:t>, for a total program funding of US$</w:t>
      </w:r>
      <w:r w:rsidR="004104E2" w:rsidRPr="003A31D2">
        <w:rPr>
          <w:rFonts w:ascii="Arial" w:hAnsi="Arial" w:cs="Arial"/>
          <w:sz w:val="22"/>
          <w:szCs w:val="22"/>
        </w:rPr>
        <w:t>40</w:t>
      </w:r>
      <w:r w:rsidR="0060081F" w:rsidRPr="003A31D2">
        <w:rPr>
          <w:rFonts w:ascii="Arial" w:hAnsi="Arial" w:cs="Arial"/>
          <w:sz w:val="22"/>
          <w:szCs w:val="22"/>
        </w:rPr>
        <w:t xml:space="preserve"> million.</w:t>
      </w:r>
      <w:r w:rsidR="00496BB7" w:rsidRPr="003A31D2">
        <w:rPr>
          <w:rFonts w:ascii="Arial" w:hAnsi="Arial" w:cs="Arial"/>
          <w:sz w:val="22"/>
          <w:szCs w:val="22"/>
        </w:rPr>
        <w:t xml:space="preserve"> Table 1.1 indicates </w:t>
      </w:r>
      <w:r w:rsidR="004104E2" w:rsidRPr="003A31D2">
        <w:rPr>
          <w:rFonts w:ascii="Arial" w:hAnsi="Arial" w:cs="Arial"/>
          <w:sz w:val="22"/>
          <w:szCs w:val="22"/>
        </w:rPr>
        <w:t xml:space="preserve">costs by </w:t>
      </w:r>
      <w:r w:rsidRPr="003A31D2">
        <w:rPr>
          <w:rFonts w:ascii="Arial" w:hAnsi="Arial" w:cs="Arial"/>
          <w:sz w:val="22"/>
          <w:szCs w:val="22"/>
        </w:rPr>
        <w:t>output</w:t>
      </w:r>
      <w:r w:rsidR="004104E2" w:rsidRPr="003A31D2">
        <w:rPr>
          <w:rFonts w:ascii="Arial" w:hAnsi="Arial" w:cs="Arial"/>
          <w:sz w:val="22"/>
          <w:szCs w:val="22"/>
        </w:rPr>
        <w:t xml:space="preserve"> for the proposed </w:t>
      </w:r>
      <w:r w:rsidR="00496BB7" w:rsidRPr="003A31D2">
        <w:rPr>
          <w:rFonts w:ascii="Arial" w:hAnsi="Arial" w:cs="Arial"/>
          <w:sz w:val="22"/>
          <w:szCs w:val="22"/>
        </w:rPr>
        <w:t>program.</w:t>
      </w:r>
    </w:p>
    <w:p w14:paraId="7E8F1BC3" w14:textId="2550EC44" w:rsidR="00F451C5" w:rsidRPr="003A31D2" w:rsidRDefault="00F451C5" w:rsidP="004A042F">
      <w:pPr>
        <w:pStyle w:val="Paragraph"/>
        <w:numPr>
          <w:ilvl w:val="1"/>
          <w:numId w:val="3"/>
        </w:numPr>
        <w:tabs>
          <w:tab w:val="clear" w:pos="1746"/>
          <w:tab w:val="num" w:pos="720"/>
        </w:tabs>
        <w:ind w:left="720" w:hanging="720"/>
        <w:rPr>
          <w:rFonts w:ascii="Arial" w:hAnsi="Arial" w:cs="Arial"/>
          <w:sz w:val="22"/>
          <w:szCs w:val="22"/>
        </w:rPr>
      </w:pPr>
      <w:r w:rsidRPr="003A31D2">
        <w:rPr>
          <w:rFonts w:ascii="Arial" w:hAnsi="Arial" w:cs="Arial"/>
          <w:sz w:val="22"/>
          <w:szCs w:val="22"/>
        </w:rPr>
        <w:t>Also,</w:t>
      </w:r>
      <w:r w:rsidR="00C72132" w:rsidRPr="003A31D2">
        <w:rPr>
          <w:rFonts w:ascii="Arial" w:hAnsi="Arial" w:cs="Arial"/>
          <w:sz w:val="22"/>
          <w:szCs w:val="22"/>
        </w:rPr>
        <w:t xml:space="preserve"> Non</w:t>
      </w:r>
      <w:r w:rsidR="00C72132" w:rsidRPr="003A31D2">
        <w:rPr>
          <w:rFonts w:ascii="Arial" w:hAnsi="Arial" w:cs="Arial"/>
          <w:sz w:val="22"/>
          <w:szCs w:val="22"/>
        </w:rPr>
        <w:noBreakHyphen/>
      </w:r>
      <w:r w:rsidRPr="003A31D2">
        <w:rPr>
          <w:rFonts w:ascii="Arial" w:hAnsi="Arial" w:cs="Arial"/>
          <w:sz w:val="22"/>
          <w:szCs w:val="22"/>
        </w:rPr>
        <w:t>audited Financial Report</w:t>
      </w:r>
      <w:r w:rsidR="00B813E8" w:rsidRPr="003A31D2">
        <w:rPr>
          <w:rFonts w:ascii="Arial" w:hAnsi="Arial" w:cs="Arial"/>
          <w:sz w:val="22"/>
          <w:szCs w:val="22"/>
        </w:rPr>
        <w:t>s</w:t>
      </w:r>
      <w:r w:rsidRPr="003A31D2">
        <w:rPr>
          <w:rFonts w:ascii="Arial" w:hAnsi="Arial" w:cs="Arial"/>
          <w:sz w:val="22"/>
          <w:szCs w:val="22"/>
        </w:rPr>
        <w:t xml:space="preserve"> </w:t>
      </w:r>
      <w:r w:rsidR="002E794E" w:rsidRPr="003A31D2">
        <w:rPr>
          <w:rFonts w:ascii="Arial" w:hAnsi="Arial" w:cs="Arial"/>
          <w:sz w:val="22"/>
          <w:szCs w:val="22"/>
        </w:rPr>
        <w:t>for</w:t>
      </w:r>
      <w:r w:rsidRPr="003A31D2">
        <w:rPr>
          <w:rFonts w:ascii="Arial" w:hAnsi="Arial" w:cs="Arial"/>
          <w:sz w:val="22"/>
          <w:szCs w:val="22"/>
        </w:rPr>
        <w:t xml:space="preserve"> the IDB </w:t>
      </w:r>
      <w:r w:rsidR="002E794E" w:rsidRPr="003A31D2">
        <w:rPr>
          <w:rFonts w:ascii="Arial" w:hAnsi="Arial" w:cs="Arial"/>
          <w:sz w:val="22"/>
          <w:szCs w:val="22"/>
        </w:rPr>
        <w:t xml:space="preserve">to report </w:t>
      </w:r>
      <w:r w:rsidRPr="003A31D2">
        <w:rPr>
          <w:rFonts w:ascii="Arial" w:hAnsi="Arial" w:cs="Arial"/>
          <w:sz w:val="22"/>
          <w:szCs w:val="22"/>
        </w:rPr>
        <w:t xml:space="preserve">to GCF, </w:t>
      </w:r>
      <w:r w:rsidR="004A042F" w:rsidRPr="003A31D2">
        <w:rPr>
          <w:rFonts w:ascii="Arial" w:hAnsi="Arial" w:cs="Arial"/>
          <w:sz w:val="22"/>
          <w:szCs w:val="22"/>
        </w:rPr>
        <w:t xml:space="preserve">based on existing financial information concerning the service of the </w:t>
      </w:r>
      <w:r w:rsidR="00382D0A" w:rsidRPr="003A31D2">
        <w:rPr>
          <w:rFonts w:ascii="Arial" w:hAnsi="Arial" w:cs="Arial"/>
          <w:sz w:val="22"/>
          <w:szCs w:val="22"/>
        </w:rPr>
        <w:t>l</w:t>
      </w:r>
      <w:r w:rsidR="004A042F" w:rsidRPr="003A31D2">
        <w:rPr>
          <w:rFonts w:ascii="Arial" w:hAnsi="Arial" w:cs="Arial"/>
          <w:sz w:val="22"/>
          <w:szCs w:val="22"/>
        </w:rPr>
        <w:t xml:space="preserve">oan </w:t>
      </w:r>
      <w:r w:rsidR="00382D0A" w:rsidRPr="003A31D2">
        <w:rPr>
          <w:rFonts w:ascii="Arial" w:hAnsi="Arial" w:cs="Arial"/>
          <w:sz w:val="22"/>
          <w:szCs w:val="22"/>
        </w:rPr>
        <w:t>a</w:t>
      </w:r>
      <w:r w:rsidR="004A042F" w:rsidRPr="003A31D2">
        <w:rPr>
          <w:rFonts w:ascii="Arial" w:hAnsi="Arial" w:cs="Arial"/>
          <w:sz w:val="22"/>
          <w:szCs w:val="22"/>
        </w:rPr>
        <w:t>greement,</w:t>
      </w:r>
      <w:r w:rsidR="002E794E" w:rsidRPr="003A31D2">
        <w:rPr>
          <w:rFonts w:ascii="Arial" w:hAnsi="Arial" w:cs="Arial"/>
          <w:sz w:val="22"/>
          <w:szCs w:val="22"/>
        </w:rPr>
        <w:t xml:space="preserve"> </w:t>
      </w:r>
      <w:r w:rsidRPr="003A31D2">
        <w:rPr>
          <w:rFonts w:ascii="Arial" w:hAnsi="Arial" w:cs="Arial"/>
          <w:sz w:val="22"/>
          <w:szCs w:val="22"/>
        </w:rPr>
        <w:t xml:space="preserve">including confirmation from AFD </w:t>
      </w:r>
      <w:r w:rsidR="004A042F" w:rsidRPr="003A31D2">
        <w:rPr>
          <w:rFonts w:ascii="Arial" w:hAnsi="Arial" w:cs="Arial"/>
          <w:sz w:val="22"/>
          <w:szCs w:val="22"/>
        </w:rPr>
        <w:t xml:space="preserve">to the GCF, </w:t>
      </w:r>
      <w:r w:rsidR="00B813E8" w:rsidRPr="003A31D2">
        <w:rPr>
          <w:rFonts w:ascii="Arial" w:hAnsi="Arial" w:cs="Arial"/>
          <w:color w:val="000000"/>
          <w:sz w:val="22"/>
          <w:szCs w:val="22"/>
        </w:rPr>
        <w:t xml:space="preserve">that: (i) appropriate </w:t>
      </w:r>
      <w:proofErr w:type="spellStart"/>
      <w:r w:rsidR="00B813E8" w:rsidRPr="003A31D2">
        <w:rPr>
          <w:rFonts w:ascii="Arial" w:hAnsi="Arial" w:cs="Arial"/>
          <w:color w:val="000000"/>
          <w:sz w:val="22"/>
          <w:szCs w:val="22"/>
        </w:rPr>
        <w:t>concessionality</w:t>
      </w:r>
      <w:proofErr w:type="spellEnd"/>
      <w:r w:rsidR="00B813E8" w:rsidRPr="003A31D2">
        <w:rPr>
          <w:rFonts w:ascii="Arial" w:hAnsi="Arial" w:cs="Arial"/>
          <w:color w:val="000000"/>
          <w:sz w:val="22"/>
          <w:szCs w:val="22"/>
        </w:rPr>
        <w:t xml:space="preserve"> is applied to the </w:t>
      </w:r>
      <w:r w:rsidR="00E138BA">
        <w:rPr>
          <w:rFonts w:ascii="Arial" w:hAnsi="Arial" w:cs="Arial"/>
          <w:color w:val="000000"/>
          <w:sz w:val="22"/>
          <w:szCs w:val="22"/>
        </w:rPr>
        <w:t>I</w:t>
      </w:r>
      <w:r w:rsidR="00B813E8" w:rsidRPr="003A31D2">
        <w:rPr>
          <w:rFonts w:ascii="Arial" w:hAnsi="Arial" w:cs="Arial"/>
          <w:color w:val="000000"/>
          <w:sz w:val="22"/>
          <w:szCs w:val="22"/>
        </w:rPr>
        <w:t xml:space="preserve">FIs and SMEs, (ii) a ratio of 1 : 1 of loan financing from GCF and AFD for the portfolio of Sub-Loans is maintained, and (iii) </w:t>
      </w:r>
      <w:r w:rsidR="00B813E8" w:rsidRPr="003A31D2">
        <w:rPr>
          <w:rFonts w:ascii="Arial" w:hAnsi="Arial" w:cs="Arial"/>
          <w:sz w:val="22"/>
          <w:szCs w:val="22"/>
        </w:rPr>
        <w:t xml:space="preserve">the use of resources available in the Revolving Account is in compliance with the OR. </w:t>
      </w:r>
      <w:r w:rsidR="002E794E" w:rsidRPr="003A31D2">
        <w:rPr>
          <w:rFonts w:ascii="Arial" w:hAnsi="Arial" w:cs="Arial"/>
          <w:sz w:val="22"/>
          <w:szCs w:val="22"/>
        </w:rPr>
        <w:t>The first un</w:t>
      </w:r>
      <w:r w:rsidR="00C72132" w:rsidRPr="003A31D2">
        <w:rPr>
          <w:rFonts w:ascii="Arial" w:hAnsi="Arial" w:cs="Arial"/>
          <w:sz w:val="22"/>
          <w:szCs w:val="22"/>
        </w:rPr>
        <w:noBreakHyphen/>
      </w:r>
      <w:r w:rsidR="002E794E" w:rsidRPr="003A31D2">
        <w:rPr>
          <w:rFonts w:ascii="Arial" w:hAnsi="Arial" w:cs="Arial"/>
          <w:sz w:val="22"/>
          <w:szCs w:val="22"/>
        </w:rPr>
        <w:t xml:space="preserve">audited Financial Reports </w:t>
      </w:r>
      <w:r w:rsidRPr="003A31D2">
        <w:rPr>
          <w:rFonts w:ascii="Arial" w:hAnsi="Arial" w:cs="Arial"/>
          <w:sz w:val="22"/>
          <w:szCs w:val="22"/>
        </w:rPr>
        <w:t xml:space="preserve">will be prepared within six (6) months after the end of the year in which the first repayment of principal was made. </w:t>
      </w:r>
      <w:r w:rsidR="00382D0A" w:rsidRPr="003A31D2">
        <w:rPr>
          <w:rFonts w:ascii="Arial" w:hAnsi="Arial" w:cs="Arial"/>
          <w:sz w:val="22"/>
          <w:szCs w:val="22"/>
        </w:rPr>
        <w:t xml:space="preserve"> </w:t>
      </w:r>
      <w:r w:rsidRPr="003A31D2">
        <w:rPr>
          <w:rFonts w:ascii="Arial" w:hAnsi="Arial" w:cs="Arial"/>
          <w:sz w:val="22"/>
          <w:szCs w:val="22"/>
        </w:rPr>
        <w:t>Second and subsequent Annual Unaudited Financial Report</w:t>
      </w:r>
      <w:r w:rsidR="00382D0A" w:rsidRPr="003A31D2">
        <w:rPr>
          <w:rFonts w:ascii="Arial" w:hAnsi="Arial" w:cs="Arial"/>
          <w:sz w:val="22"/>
          <w:szCs w:val="22"/>
        </w:rPr>
        <w:t>s</w:t>
      </w:r>
      <w:r w:rsidRPr="003A31D2">
        <w:rPr>
          <w:rFonts w:ascii="Arial" w:hAnsi="Arial" w:cs="Arial"/>
          <w:sz w:val="22"/>
          <w:szCs w:val="22"/>
        </w:rPr>
        <w:t xml:space="preserve"> from the IDB to GCF, will be prepared annually, not later than June 30 of each calendar year. The end of Project </w:t>
      </w:r>
      <w:r w:rsidR="00C72132" w:rsidRPr="003A31D2">
        <w:rPr>
          <w:rFonts w:ascii="Arial" w:hAnsi="Arial" w:cs="Arial"/>
          <w:sz w:val="22"/>
          <w:szCs w:val="22"/>
        </w:rPr>
        <w:t>u</w:t>
      </w:r>
      <w:r w:rsidRPr="003A31D2">
        <w:rPr>
          <w:rFonts w:ascii="Arial" w:hAnsi="Arial" w:cs="Arial"/>
          <w:sz w:val="22"/>
          <w:szCs w:val="22"/>
        </w:rPr>
        <w:t>n</w:t>
      </w:r>
      <w:r w:rsidR="00C72132" w:rsidRPr="003A31D2">
        <w:rPr>
          <w:rFonts w:ascii="Arial" w:hAnsi="Arial" w:cs="Arial"/>
          <w:sz w:val="22"/>
          <w:szCs w:val="22"/>
        </w:rPr>
        <w:noBreakHyphen/>
      </w:r>
      <w:r w:rsidRPr="003A31D2">
        <w:rPr>
          <w:rFonts w:ascii="Arial" w:hAnsi="Arial" w:cs="Arial"/>
          <w:sz w:val="22"/>
          <w:szCs w:val="22"/>
        </w:rPr>
        <w:t xml:space="preserve">audited Financial Reporting Period will be twenty (20) years as of the effectiveness of the </w:t>
      </w:r>
      <w:r w:rsidR="00382D0A" w:rsidRPr="003A31D2">
        <w:rPr>
          <w:rFonts w:ascii="Arial" w:hAnsi="Arial" w:cs="Arial"/>
          <w:sz w:val="22"/>
          <w:szCs w:val="22"/>
        </w:rPr>
        <w:t>l</w:t>
      </w:r>
      <w:r w:rsidRPr="003A31D2">
        <w:rPr>
          <w:rFonts w:ascii="Arial" w:hAnsi="Arial" w:cs="Arial"/>
          <w:sz w:val="22"/>
          <w:szCs w:val="22"/>
        </w:rPr>
        <w:t xml:space="preserve">oan </w:t>
      </w:r>
      <w:r w:rsidR="00382D0A" w:rsidRPr="003A31D2">
        <w:rPr>
          <w:rFonts w:ascii="Arial" w:hAnsi="Arial" w:cs="Arial"/>
          <w:sz w:val="22"/>
          <w:szCs w:val="22"/>
        </w:rPr>
        <w:t>a</w:t>
      </w:r>
      <w:r w:rsidRPr="003A31D2">
        <w:rPr>
          <w:rFonts w:ascii="Arial" w:hAnsi="Arial" w:cs="Arial"/>
          <w:sz w:val="22"/>
          <w:szCs w:val="22"/>
        </w:rPr>
        <w:t>greement</w:t>
      </w:r>
      <w:r w:rsidR="004A042F" w:rsidRPr="003A31D2">
        <w:rPr>
          <w:rFonts w:ascii="Cambria" w:hAnsi="Cambria"/>
          <w:sz w:val="22"/>
          <w:szCs w:val="22"/>
        </w:rPr>
        <w:t xml:space="preserve"> </w:t>
      </w:r>
      <w:r w:rsidR="004A042F" w:rsidRPr="003A31D2">
        <w:rPr>
          <w:rStyle w:val="FootnoteReference"/>
          <w:rFonts w:ascii="Cambria" w:hAnsi="Cambria"/>
          <w:sz w:val="22"/>
          <w:szCs w:val="22"/>
        </w:rPr>
        <w:t>*</w:t>
      </w:r>
    </w:p>
    <w:p w14:paraId="190D91E8" w14:textId="019E97C7" w:rsidR="00F451C5" w:rsidRDefault="00F451C5" w:rsidP="00993402">
      <w:pPr>
        <w:pStyle w:val="Paragraph"/>
        <w:numPr>
          <w:ilvl w:val="0"/>
          <w:numId w:val="0"/>
        </w:numPr>
        <w:ind w:left="720"/>
        <w:rPr>
          <w:rFonts w:ascii="Arial" w:hAnsi="Arial" w:cs="Arial"/>
          <w:sz w:val="22"/>
          <w:szCs w:val="22"/>
        </w:rPr>
      </w:pPr>
    </w:p>
    <w:p w14:paraId="3C316318" w14:textId="4DB3533B" w:rsidR="00C72132" w:rsidRDefault="00C72132" w:rsidP="00993402">
      <w:pPr>
        <w:pStyle w:val="Paragraph"/>
        <w:numPr>
          <w:ilvl w:val="0"/>
          <w:numId w:val="0"/>
        </w:numPr>
        <w:ind w:left="720"/>
        <w:rPr>
          <w:rFonts w:ascii="Arial" w:hAnsi="Arial" w:cs="Arial"/>
          <w:sz w:val="22"/>
          <w:szCs w:val="22"/>
        </w:rPr>
      </w:pPr>
    </w:p>
    <w:p w14:paraId="738CD69F" w14:textId="7D1289F1" w:rsidR="00C72132" w:rsidRDefault="00C72132" w:rsidP="00993402">
      <w:pPr>
        <w:pStyle w:val="Paragraph"/>
        <w:numPr>
          <w:ilvl w:val="0"/>
          <w:numId w:val="0"/>
        </w:numPr>
        <w:ind w:left="720"/>
        <w:rPr>
          <w:rFonts w:ascii="Arial" w:hAnsi="Arial" w:cs="Arial"/>
          <w:sz w:val="22"/>
          <w:szCs w:val="22"/>
        </w:rPr>
      </w:pPr>
    </w:p>
    <w:p w14:paraId="4B42F03D" w14:textId="77777777" w:rsidR="00C72132" w:rsidRPr="00F451C5" w:rsidRDefault="00C72132" w:rsidP="00993402">
      <w:pPr>
        <w:pStyle w:val="Paragraph"/>
        <w:numPr>
          <w:ilvl w:val="0"/>
          <w:numId w:val="0"/>
        </w:numPr>
        <w:ind w:left="720"/>
        <w:rPr>
          <w:rFonts w:ascii="Arial" w:hAnsi="Arial" w:cs="Arial"/>
          <w:sz w:val="22"/>
          <w:szCs w:val="22"/>
        </w:rPr>
      </w:pPr>
    </w:p>
    <w:p w14:paraId="7F4AB44D" w14:textId="406D9A78" w:rsidR="00940FC4" w:rsidRPr="00907D83" w:rsidRDefault="00940FC4" w:rsidP="00940FC4">
      <w:pPr>
        <w:pStyle w:val="Paragraph"/>
        <w:numPr>
          <w:ilvl w:val="0"/>
          <w:numId w:val="0"/>
        </w:numPr>
        <w:jc w:val="left"/>
        <w:rPr>
          <w:rFonts w:ascii="Arial" w:hAnsi="Arial" w:cs="Arial"/>
          <w:b/>
          <w:sz w:val="22"/>
          <w:szCs w:val="22"/>
        </w:rPr>
      </w:pPr>
      <w:r w:rsidRPr="00907D83">
        <w:rPr>
          <w:rFonts w:ascii="Arial" w:eastAsia="Calibri" w:hAnsi="Arial" w:cs="Arial"/>
          <w:b/>
          <w:sz w:val="22"/>
          <w:szCs w:val="22"/>
          <w:lang w:val="x-none" w:eastAsia="x-none"/>
        </w:rPr>
        <w:lastRenderedPageBreak/>
        <w:t xml:space="preserve">Table </w:t>
      </w:r>
      <w:r w:rsidRPr="00907D83">
        <w:rPr>
          <w:rFonts w:ascii="Arial" w:eastAsia="Calibri" w:hAnsi="Arial" w:cs="Arial"/>
          <w:b/>
          <w:sz w:val="22"/>
          <w:szCs w:val="22"/>
          <w:lang w:eastAsia="x-none"/>
        </w:rPr>
        <w:t>1</w:t>
      </w:r>
      <w:r w:rsidRPr="00907D83">
        <w:rPr>
          <w:rFonts w:ascii="Arial" w:eastAsia="Calibri" w:hAnsi="Arial" w:cs="Arial"/>
          <w:b/>
          <w:sz w:val="22"/>
          <w:szCs w:val="22"/>
          <w:lang w:val="x-none" w:eastAsia="x-none"/>
        </w:rPr>
        <w:t xml:space="preserve">.1.- Costs of the program by </w:t>
      </w:r>
      <w:r w:rsidRPr="00907D83">
        <w:rPr>
          <w:rFonts w:ascii="Arial" w:eastAsia="Calibri" w:hAnsi="Arial" w:cs="Arial"/>
          <w:b/>
          <w:sz w:val="22"/>
          <w:szCs w:val="22"/>
          <w:lang w:eastAsia="x-none"/>
        </w:rPr>
        <w:t>expected output</w:t>
      </w:r>
    </w:p>
    <w:tbl>
      <w:tblPr>
        <w:tblStyle w:val="LightShading-Accent1"/>
        <w:tblW w:w="0" w:type="auto"/>
        <w:tblLook w:val="04A0" w:firstRow="1" w:lastRow="0" w:firstColumn="1" w:lastColumn="0" w:noHBand="0" w:noVBand="1"/>
      </w:tblPr>
      <w:tblGrid>
        <w:gridCol w:w="4230"/>
        <w:gridCol w:w="743"/>
        <w:gridCol w:w="744"/>
        <w:gridCol w:w="744"/>
        <w:gridCol w:w="677"/>
        <w:gridCol w:w="648"/>
        <w:gridCol w:w="810"/>
      </w:tblGrid>
      <w:tr w:rsidR="004265A3" w:rsidRPr="00907D83" w14:paraId="217A04FE" w14:textId="77777777" w:rsidTr="00771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right w:val="single" w:sz="8" w:space="0" w:color="4F81BD" w:themeColor="accent1"/>
            </w:tcBorders>
            <w:vAlign w:val="center"/>
          </w:tcPr>
          <w:p w14:paraId="31EC5A4C" w14:textId="77777777" w:rsidR="00771B15" w:rsidRPr="00907D83" w:rsidRDefault="00771B15" w:rsidP="0060081F">
            <w:pPr>
              <w:pStyle w:val="Paragraph"/>
              <w:numPr>
                <w:ilvl w:val="0"/>
                <w:numId w:val="0"/>
              </w:numPr>
              <w:jc w:val="left"/>
              <w:rPr>
                <w:rFonts w:ascii="Arial" w:hAnsi="Arial" w:cs="Arial"/>
                <w:smallCaps/>
                <w:sz w:val="18"/>
                <w:szCs w:val="18"/>
              </w:rPr>
            </w:pPr>
            <w:r w:rsidRPr="00907D83">
              <w:rPr>
                <w:rFonts w:ascii="Arial" w:hAnsi="Arial" w:cs="Arial"/>
                <w:smallCaps/>
                <w:sz w:val="18"/>
                <w:szCs w:val="18"/>
              </w:rPr>
              <w:t>Output/Costs</w:t>
            </w:r>
          </w:p>
        </w:tc>
        <w:tc>
          <w:tcPr>
            <w:tcW w:w="743" w:type="dxa"/>
            <w:tcBorders>
              <w:left w:val="single" w:sz="8" w:space="0" w:color="4F81BD" w:themeColor="accent1"/>
              <w:right w:val="single" w:sz="8" w:space="0" w:color="4F81BD" w:themeColor="accent1"/>
            </w:tcBorders>
            <w:vAlign w:val="center"/>
          </w:tcPr>
          <w:p w14:paraId="5350F24B" w14:textId="77777777" w:rsidR="00771B15" w:rsidRPr="00907D83" w:rsidRDefault="00771B15" w:rsidP="0060081F">
            <w:pPr>
              <w:pStyle w:val="Paragraph"/>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smallCaps/>
                <w:sz w:val="18"/>
                <w:szCs w:val="18"/>
              </w:rPr>
            </w:pPr>
            <w:r w:rsidRPr="00907D83">
              <w:rPr>
                <w:rFonts w:ascii="Arial" w:hAnsi="Arial" w:cs="Arial"/>
                <w:smallCaps/>
                <w:sz w:val="18"/>
                <w:szCs w:val="18"/>
              </w:rPr>
              <w:t>Y1</w:t>
            </w:r>
          </w:p>
        </w:tc>
        <w:tc>
          <w:tcPr>
            <w:tcW w:w="744" w:type="dxa"/>
            <w:tcBorders>
              <w:left w:val="single" w:sz="8" w:space="0" w:color="4F81BD" w:themeColor="accent1"/>
              <w:right w:val="single" w:sz="8" w:space="0" w:color="4F81BD" w:themeColor="accent1"/>
            </w:tcBorders>
            <w:vAlign w:val="center"/>
          </w:tcPr>
          <w:p w14:paraId="636C1B88" w14:textId="77777777" w:rsidR="00771B15" w:rsidRPr="00907D83" w:rsidRDefault="00771B15" w:rsidP="0060081F">
            <w:pPr>
              <w:pStyle w:val="Paragraph"/>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smallCaps/>
                <w:sz w:val="18"/>
                <w:szCs w:val="18"/>
              </w:rPr>
            </w:pPr>
            <w:r w:rsidRPr="00907D83">
              <w:rPr>
                <w:rFonts w:ascii="Arial" w:hAnsi="Arial" w:cs="Arial"/>
                <w:smallCaps/>
                <w:sz w:val="18"/>
                <w:szCs w:val="18"/>
              </w:rPr>
              <w:t>Y2</w:t>
            </w:r>
          </w:p>
        </w:tc>
        <w:tc>
          <w:tcPr>
            <w:tcW w:w="744" w:type="dxa"/>
            <w:tcBorders>
              <w:left w:val="single" w:sz="8" w:space="0" w:color="4F81BD" w:themeColor="accent1"/>
              <w:right w:val="single" w:sz="8" w:space="0" w:color="4F81BD" w:themeColor="accent1"/>
            </w:tcBorders>
            <w:vAlign w:val="center"/>
          </w:tcPr>
          <w:p w14:paraId="45692D03" w14:textId="77777777" w:rsidR="00771B15" w:rsidRPr="00907D83" w:rsidRDefault="00771B15" w:rsidP="0060081F">
            <w:pPr>
              <w:pStyle w:val="Paragraph"/>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smallCaps/>
                <w:sz w:val="18"/>
                <w:szCs w:val="18"/>
              </w:rPr>
            </w:pPr>
            <w:r w:rsidRPr="00907D83">
              <w:rPr>
                <w:rFonts w:ascii="Arial" w:hAnsi="Arial" w:cs="Arial"/>
                <w:smallCaps/>
                <w:sz w:val="18"/>
                <w:szCs w:val="18"/>
              </w:rPr>
              <w:t>Y3</w:t>
            </w:r>
          </w:p>
        </w:tc>
        <w:tc>
          <w:tcPr>
            <w:tcW w:w="677" w:type="dxa"/>
            <w:tcBorders>
              <w:left w:val="single" w:sz="8" w:space="0" w:color="4F81BD" w:themeColor="accent1"/>
              <w:right w:val="single" w:sz="8" w:space="0" w:color="4F81BD" w:themeColor="accent1"/>
            </w:tcBorders>
            <w:vAlign w:val="center"/>
          </w:tcPr>
          <w:p w14:paraId="6EF0A88C" w14:textId="77777777" w:rsidR="00771B15" w:rsidRPr="00907D83" w:rsidRDefault="00771B15" w:rsidP="0060081F">
            <w:pPr>
              <w:pStyle w:val="Paragraph"/>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smallCaps/>
                <w:sz w:val="18"/>
                <w:szCs w:val="18"/>
              </w:rPr>
            </w:pPr>
            <w:r w:rsidRPr="00907D83">
              <w:rPr>
                <w:rFonts w:ascii="Arial" w:hAnsi="Arial" w:cs="Arial"/>
                <w:smallCaps/>
                <w:sz w:val="18"/>
                <w:szCs w:val="18"/>
              </w:rPr>
              <w:t>Y4</w:t>
            </w:r>
          </w:p>
        </w:tc>
        <w:tc>
          <w:tcPr>
            <w:tcW w:w="648" w:type="dxa"/>
            <w:tcBorders>
              <w:left w:val="single" w:sz="8" w:space="0" w:color="4F81BD" w:themeColor="accent1"/>
              <w:right w:val="single" w:sz="8" w:space="0" w:color="4F81BD" w:themeColor="accent1"/>
            </w:tcBorders>
          </w:tcPr>
          <w:p w14:paraId="3E9E727C" w14:textId="16D845F4" w:rsidR="00771B15" w:rsidRPr="00907D83" w:rsidRDefault="00771B15" w:rsidP="0060081F">
            <w:pPr>
              <w:pStyle w:val="Paragraph"/>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smallCaps/>
                <w:sz w:val="18"/>
                <w:szCs w:val="18"/>
              </w:rPr>
            </w:pPr>
            <w:r w:rsidRPr="00907D83">
              <w:rPr>
                <w:rFonts w:ascii="Arial" w:hAnsi="Arial" w:cs="Arial"/>
                <w:smallCaps/>
                <w:sz w:val="18"/>
                <w:szCs w:val="18"/>
              </w:rPr>
              <w:t>Y5</w:t>
            </w:r>
          </w:p>
        </w:tc>
        <w:tc>
          <w:tcPr>
            <w:tcW w:w="810" w:type="dxa"/>
            <w:tcBorders>
              <w:left w:val="single" w:sz="8" w:space="0" w:color="4F81BD" w:themeColor="accent1"/>
            </w:tcBorders>
            <w:vAlign w:val="center"/>
          </w:tcPr>
          <w:p w14:paraId="217F089C" w14:textId="42DD4B4C" w:rsidR="00771B15" w:rsidRPr="00907D83" w:rsidRDefault="00771B15" w:rsidP="0060081F">
            <w:pPr>
              <w:pStyle w:val="Paragraph"/>
              <w:numPr>
                <w:ilvl w:val="0"/>
                <w:numId w:val="0"/>
              </w:numPr>
              <w:jc w:val="left"/>
              <w:cnfStyle w:val="100000000000" w:firstRow="1" w:lastRow="0" w:firstColumn="0" w:lastColumn="0" w:oddVBand="0" w:evenVBand="0" w:oddHBand="0" w:evenHBand="0" w:firstRowFirstColumn="0" w:firstRowLastColumn="0" w:lastRowFirstColumn="0" w:lastRowLastColumn="0"/>
              <w:rPr>
                <w:rFonts w:ascii="Arial" w:hAnsi="Arial" w:cs="Arial"/>
                <w:smallCaps/>
                <w:sz w:val="18"/>
                <w:szCs w:val="18"/>
              </w:rPr>
            </w:pPr>
            <w:r w:rsidRPr="00907D83">
              <w:rPr>
                <w:rFonts w:ascii="Arial" w:hAnsi="Arial" w:cs="Arial"/>
                <w:smallCaps/>
                <w:sz w:val="18"/>
                <w:szCs w:val="18"/>
              </w:rPr>
              <w:t>Total</w:t>
            </w:r>
          </w:p>
        </w:tc>
      </w:tr>
      <w:tr w:rsidR="004265A3" w:rsidRPr="00907D83" w14:paraId="6E41B556" w14:textId="77777777" w:rsidTr="00A60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8" w:space="0" w:color="4F81BD" w:themeColor="accent1"/>
              <w:bottom w:val="nil"/>
              <w:right w:val="single" w:sz="8" w:space="0" w:color="4F81BD" w:themeColor="accent1"/>
            </w:tcBorders>
            <w:vAlign w:val="center"/>
          </w:tcPr>
          <w:p w14:paraId="611E4037" w14:textId="26E8EAAC" w:rsidR="0075472E" w:rsidRPr="00907D83" w:rsidRDefault="0075472E" w:rsidP="0075472E">
            <w:pPr>
              <w:pStyle w:val="SecHeading"/>
              <w:numPr>
                <w:ilvl w:val="0"/>
                <w:numId w:val="0"/>
              </w:numPr>
              <w:rPr>
                <w:rFonts w:ascii="Arial" w:hAnsi="Arial" w:cs="Arial"/>
                <w:sz w:val="18"/>
                <w:szCs w:val="18"/>
              </w:rPr>
            </w:pPr>
            <w:bookmarkStart w:id="22" w:name="_Toc461196710"/>
            <w:bookmarkStart w:id="23" w:name="_Toc461196947"/>
            <w:bookmarkStart w:id="24" w:name="_Toc501017806"/>
            <w:r w:rsidRPr="00907D83">
              <w:rPr>
                <w:rFonts w:ascii="Arial" w:hAnsi="Arial" w:cs="Arial"/>
                <w:sz w:val="18"/>
                <w:szCs w:val="18"/>
              </w:rPr>
              <w:t xml:space="preserve">1. EE </w:t>
            </w:r>
            <w:bookmarkEnd w:id="22"/>
            <w:bookmarkEnd w:id="23"/>
            <w:bookmarkEnd w:id="24"/>
            <w:r w:rsidR="00C37366" w:rsidRPr="00907D83">
              <w:rPr>
                <w:rFonts w:ascii="Arial" w:hAnsi="Arial" w:cs="Arial"/>
                <w:sz w:val="18"/>
                <w:szCs w:val="18"/>
              </w:rPr>
              <w:t xml:space="preserve">credit line used </w:t>
            </w:r>
            <w:r w:rsidR="004265A3" w:rsidRPr="00907D83">
              <w:rPr>
                <w:rFonts w:ascii="Arial" w:hAnsi="Arial" w:cs="Arial"/>
                <w:sz w:val="18"/>
                <w:szCs w:val="18"/>
              </w:rPr>
              <w:t>(US$ million)</w:t>
            </w:r>
          </w:p>
        </w:tc>
        <w:tc>
          <w:tcPr>
            <w:tcW w:w="743" w:type="dxa"/>
            <w:tcBorders>
              <w:top w:val="nil"/>
              <w:left w:val="single" w:sz="8" w:space="0" w:color="4F81BD" w:themeColor="accent1"/>
              <w:bottom w:val="nil"/>
              <w:right w:val="single" w:sz="8" w:space="0" w:color="4F81BD" w:themeColor="accent1"/>
            </w:tcBorders>
            <w:vAlign w:val="center"/>
          </w:tcPr>
          <w:p w14:paraId="609263CE" w14:textId="6A7D22A8" w:rsidR="0075472E" w:rsidRPr="00907D83" w:rsidRDefault="004265A3"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1.7</w:t>
            </w:r>
          </w:p>
        </w:tc>
        <w:tc>
          <w:tcPr>
            <w:tcW w:w="744" w:type="dxa"/>
            <w:tcBorders>
              <w:top w:val="nil"/>
              <w:left w:val="single" w:sz="8" w:space="0" w:color="4F81BD" w:themeColor="accent1"/>
              <w:bottom w:val="nil"/>
              <w:right w:val="single" w:sz="8" w:space="0" w:color="4F81BD" w:themeColor="accent1"/>
            </w:tcBorders>
          </w:tcPr>
          <w:p w14:paraId="6B0BD044" w14:textId="5DA7782C" w:rsidR="0075472E" w:rsidRPr="00907D83" w:rsidRDefault="004265A3"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3.4</w:t>
            </w:r>
          </w:p>
        </w:tc>
        <w:tc>
          <w:tcPr>
            <w:tcW w:w="744" w:type="dxa"/>
            <w:tcBorders>
              <w:top w:val="nil"/>
              <w:left w:val="single" w:sz="8" w:space="0" w:color="4F81BD" w:themeColor="accent1"/>
              <w:bottom w:val="nil"/>
              <w:right w:val="single" w:sz="8" w:space="0" w:color="4F81BD" w:themeColor="accent1"/>
            </w:tcBorders>
          </w:tcPr>
          <w:p w14:paraId="3F41B943" w14:textId="7CBA1476" w:rsidR="0075472E" w:rsidRPr="00907D83" w:rsidRDefault="004265A3"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9.7</w:t>
            </w:r>
          </w:p>
        </w:tc>
        <w:tc>
          <w:tcPr>
            <w:tcW w:w="677" w:type="dxa"/>
            <w:tcBorders>
              <w:top w:val="nil"/>
              <w:left w:val="single" w:sz="8" w:space="0" w:color="4F81BD" w:themeColor="accent1"/>
              <w:bottom w:val="nil"/>
              <w:right w:val="single" w:sz="8" w:space="0" w:color="4F81BD" w:themeColor="accent1"/>
            </w:tcBorders>
          </w:tcPr>
          <w:p w14:paraId="576D2338" w14:textId="09AFE2F7" w:rsidR="0075472E" w:rsidRPr="00907D83" w:rsidRDefault="004265A3"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12.6</w:t>
            </w:r>
          </w:p>
        </w:tc>
        <w:tc>
          <w:tcPr>
            <w:tcW w:w="648" w:type="dxa"/>
            <w:tcBorders>
              <w:top w:val="single" w:sz="8" w:space="0" w:color="4F81BD" w:themeColor="accent1"/>
              <w:left w:val="single" w:sz="8" w:space="0" w:color="4F81BD" w:themeColor="accent1"/>
              <w:bottom w:val="nil"/>
              <w:right w:val="single" w:sz="8" w:space="0" w:color="4F81BD" w:themeColor="accent1"/>
            </w:tcBorders>
          </w:tcPr>
          <w:p w14:paraId="505D26B5" w14:textId="3BA2C704" w:rsidR="0075472E" w:rsidRPr="00907D83" w:rsidRDefault="004265A3"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12.6</w:t>
            </w:r>
          </w:p>
        </w:tc>
        <w:tc>
          <w:tcPr>
            <w:tcW w:w="810" w:type="dxa"/>
            <w:tcBorders>
              <w:top w:val="single" w:sz="8" w:space="0" w:color="4F81BD" w:themeColor="accent1"/>
              <w:left w:val="single" w:sz="8" w:space="0" w:color="4F81BD" w:themeColor="accent1"/>
              <w:bottom w:val="nil"/>
            </w:tcBorders>
            <w:vAlign w:val="center"/>
          </w:tcPr>
          <w:p w14:paraId="10ECFA0E" w14:textId="6EB9C183" w:rsidR="0075472E" w:rsidRPr="00907D83" w:rsidRDefault="004265A3"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07D83">
              <w:rPr>
                <w:rFonts w:ascii="Arial" w:hAnsi="Arial" w:cs="Arial"/>
                <w:b/>
                <w:sz w:val="18"/>
                <w:szCs w:val="18"/>
              </w:rPr>
              <w:t>40</w:t>
            </w:r>
          </w:p>
        </w:tc>
      </w:tr>
      <w:tr w:rsidR="004265A3" w:rsidRPr="00907D83" w14:paraId="30AA7DBB" w14:textId="77777777" w:rsidTr="00A60CE7">
        <w:tc>
          <w:tcPr>
            <w:cnfStyle w:val="001000000000" w:firstRow="0" w:lastRow="0" w:firstColumn="1" w:lastColumn="0" w:oddVBand="0" w:evenVBand="0" w:oddHBand="0" w:evenHBand="0" w:firstRowFirstColumn="0" w:firstRowLastColumn="0" w:lastRowFirstColumn="0" w:lastRowLastColumn="0"/>
            <w:tcW w:w="4230" w:type="dxa"/>
            <w:tcBorders>
              <w:top w:val="nil"/>
              <w:bottom w:val="single" w:sz="8" w:space="0" w:color="4F81BD" w:themeColor="accent1"/>
              <w:right w:val="single" w:sz="8" w:space="0" w:color="4F81BD" w:themeColor="accent1"/>
            </w:tcBorders>
            <w:vAlign w:val="center"/>
          </w:tcPr>
          <w:p w14:paraId="69D6A4AB" w14:textId="735E7402" w:rsidR="0075472E" w:rsidRPr="00907D83" w:rsidRDefault="0075472E" w:rsidP="0075472E">
            <w:pPr>
              <w:pStyle w:val="Paragraph"/>
              <w:numPr>
                <w:ilvl w:val="0"/>
                <w:numId w:val="0"/>
              </w:numPr>
              <w:jc w:val="left"/>
              <w:rPr>
                <w:rFonts w:ascii="Arial" w:hAnsi="Arial" w:cs="Arial"/>
                <w:b w:val="0"/>
                <w:sz w:val="18"/>
                <w:szCs w:val="18"/>
              </w:rPr>
            </w:pPr>
            <w:r w:rsidRPr="00907D83">
              <w:rPr>
                <w:rFonts w:ascii="Arial" w:hAnsi="Arial" w:cs="Arial"/>
                <w:sz w:val="18"/>
                <w:szCs w:val="18"/>
              </w:rPr>
              <w:t>Costs Output 1 (US</w:t>
            </w:r>
            <w:r w:rsidR="00DE5D44" w:rsidRPr="00907D83">
              <w:rPr>
                <w:rFonts w:ascii="Arial" w:hAnsi="Arial" w:cs="Arial"/>
                <w:sz w:val="18"/>
                <w:szCs w:val="18"/>
              </w:rPr>
              <w:t>$</w:t>
            </w:r>
            <w:r w:rsidRPr="00907D83">
              <w:rPr>
                <w:rFonts w:ascii="Arial" w:hAnsi="Arial" w:cs="Arial"/>
                <w:sz w:val="18"/>
                <w:szCs w:val="18"/>
              </w:rPr>
              <w:t xml:space="preserve"> million)</w:t>
            </w:r>
          </w:p>
        </w:tc>
        <w:tc>
          <w:tcPr>
            <w:tcW w:w="743" w:type="dxa"/>
            <w:tcBorders>
              <w:top w:val="nil"/>
              <w:left w:val="single" w:sz="8" w:space="0" w:color="4F81BD" w:themeColor="accent1"/>
              <w:bottom w:val="single" w:sz="8" w:space="0" w:color="4F81BD" w:themeColor="accent1"/>
              <w:right w:val="single" w:sz="8" w:space="0" w:color="4F81BD" w:themeColor="accent1"/>
            </w:tcBorders>
            <w:vAlign w:val="center"/>
          </w:tcPr>
          <w:p w14:paraId="6A781AD8" w14:textId="60A79E06" w:rsidR="0075472E" w:rsidRPr="00907D83" w:rsidRDefault="00A34CDF" w:rsidP="0075472E">
            <w:pPr>
              <w:pStyle w:val="Paragraph"/>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1.7</w:t>
            </w:r>
          </w:p>
        </w:tc>
        <w:tc>
          <w:tcPr>
            <w:tcW w:w="744" w:type="dxa"/>
            <w:tcBorders>
              <w:top w:val="nil"/>
              <w:left w:val="single" w:sz="8" w:space="0" w:color="4F81BD" w:themeColor="accent1"/>
              <w:bottom w:val="single" w:sz="8" w:space="0" w:color="4F81BD" w:themeColor="accent1"/>
              <w:right w:val="single" w:sz="8" w:space="0" w:color="4F81BD" w:themeColor="accent1"/>
            </w:tcBorders>
          </w:tcPr>
          <w:p w14:paraId="1CAAD1CC" w14:textId="19663FF2" w:rsidR="0075472E" w:rsidRPr="00907D83" w:rsidRDefault="00A34CDF" w:rsidP="0075472E">
            <w:pPr>
              <w:pStyle w:val="Paragraph"/>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3.4</w:t>
            </w:r>
          </w:p>
        </w:tc>
        <w:tc>
          <w:tcPr>
            <w:tcW w:w="744" w:type="dxa"/>
            <w:tcBorders>
              <w:top w:val="nil"/>
              <w:left w:val="single" w:sz="8" w:space="0" w:color="4F81BD" w:themeColor="accent1"/>
              <w:bottom w:val="single" w:sz="8" w:space="0" w:color="4F81BD" w:themeColor="accent1"/>
              <w:right w:val="single" w:sz="8" w:space="0" w:color="4F81BD" w:themeColor="accent1"/>
            </w:tcBorders>
          </w:tcPr>
          <w:p w14:paraId="603F4637" w14:textId="02AFF2BF" w:rsidR="0075472E" w:rsidRPr="00907D83" w:rsidRDefault="00A34CDF" w:rsidP="0075472E">
            <w:pPr>
              <w:pStyle w:val="Paragraph"/>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9.7</w:t>
            </w:r>
          </w:p>
        </w:tc>
        <w:tc>
          <w:tcPr>
            <w:tcW w:w="677" w:type="dxa"/>
            <w:tcBorders>
              <w:top w:val="nil"/>
              <w:left w:val="single" w:sz="8" w:space="0" w:color="4F81BD" w:themeColor="accent1"/>
              <w:bottom w:val="single" w:sz="8" w:space="0" w:color="4F81BD" w:themeColor="accent1"/>
              <w:right w:val="single" w:sz="8" w:space="0" w:color="4F81BD" w:themeColor="accent1"/>
            </w:tcBorders>
          </w:tcPr>
          <w:p w14:paraId="76759447" w14:textId="330035F8" w:rsidR="0075472E" w:rsidRPr="00907D83" w:rsidRDefault="00A34CDF" w:rsidP="0075472E">
            <w:pPr>
              <w:pStyle w:val="Paragraph"/>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12.6</w:t>
            </w:r>
          </w:p>
        </w:tc>
        <w:tc>
          <w:tcPr>
            <w:tcW w:w="648" w:type="dxa"/>
            <w:tcBorders>
              <w:top w:val="nil"/>
              <w:left w:val="single" w:sz="8" w:space="0" w:color="4F81BD" w:themeColor="accent1"/>
              <w:bottom w:val="single" w:sz="8" w:space="0" w:color="4F81BD" w:themeColor="accent1"/>
              <w:right w:val="single" w:sz="8" w:space="0" w:color="4F81BD" w:themeColor="accent1"/>
            </w:tcBorders>
          </w:tcPr>
          <w:p w14:paraId="221A4983" w14:textId="2A2347DC" w:rsidR="0075472E" w:rsidRPr="00907D83" w:rsidRDefault="00A34CDF" w:rsidP="0075472E">
            <w:pPr>
              <w:pStyle w:val="Paragraph"/>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12.6</w:t>
            </w:r>
          </w:p>
        </w:tc>
        <w:tc>
          <w:tcPr>
            <w:tcW w:w="810" w:type="dxa"/>
            <w:tcBorders>
              <w:top w:val="nil"/>
              <w:left w:val="single" w:sz="8" w:space="0" w:color="4F81BD" w:themeColor="accent1"/>
              <w:bottom w:val="single" w:sz="8" w:space="0" w:color="4F81BD" w:themeColor="accent1"/>
            </w:tcBorders>
            <w:vAlign w:val="center"/>
          </w:tcPr>
          <w:p w14:paraId="17C66201" w14:textId="3ADB67E1" w:rsidR="0075472E" w:rsidRPr="00907D83" w:rsidRDefault="0075472E" w:rsidP="0075472E">
            <w:pPr>
              <w:pStyle w:val="Paragraph"/>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07D83">
              <w:rPr>
                <w:rFonts w:ascii="Arial" w:hAnsi="Arial" w:cs="Arial"/>
                <w:b/>
                <w:sz w:val="18"/>
                <w:szCs w:val="18"/>
              </w:rPr>
              <w:t>40</w:t>
            </w:r>
          </w:p>
        </w:tc>
      </w:tr>
      <w:tr w:rsidR="004265A3" w:rsidRPr="00907D83" w14:paraId="495F62AE" w14:textId="77777777" w:rsidTr="00A60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8" w:space="0" w:color="4F81BD" w:themeColor="accent1"/>
              <w:right w:val="single" w:sz="8" w:space="0" w:color="4F81BD" w:themeColor="accent1"/>
            </w:tcBorders>
            <w:vAlign w:val="center"/>
          </w:tcPr>
          <w:p w14:paraId="6DCA7EDB" w14:textId="77777777" w:rsidR="0075472E" w:rsidRPr="00907D83" w:rsidRDefault="0075472E" w:rsidP="0075472E">
            <w:pPr>
              <w:pStyle w:val="Paragraph"/>
              <w:numPr>
                <w:ilvl w:val="0"/>
                <w:numId w:val="0"/>
              </w:numPr>
              <w:jc w:val="left"/>
              <w:rPr>
                <w:rFonts w:ascii="Arial" w:hAnsi="Arial" w:cs="Arial"/>
                <w:smallCaps/>
                <w:sz w:val="18"/>
                <w:szCs w:val="18"/>
              </w:rPr>
            </w:pPr>
            <w:r w:rsidRPr="00907D83">
              <w:rPr>
                <w:rFonts w:ascii="Arial" w:hAnsi="Arial" w:cs="Arial"/>
                <w:smallCaps/>
                <w:sz w:val="18"/>
                <w:szCs w:val="18"/>
              </w:rPr>
              <w:t>Total Program Financing</w:t>
            </w:r>
          </w:p>
        </w:tc>
        <w:tc>
          <w:tcPr>
            <w:tcW w:w="7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C718841" w14:textId="26888875" w:rsidR="0075472E" w:rsidRPr="00907D83" w:rsidRDefault="00A34CDF"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b/>
                <w:smallCaps/>
                <w:sz w:val="18"/>
                <w:szCs w:val="18"/>
              </w:rPr>
            </w:pPr>
            <w:r w:rsidRPr="00907D83">
              <w:rPr>
                <w:rFonts w:ascii="Arial" w:hAnsi="Arial" w:cs="Arial"/>
                <w:sz w:val="18"/>
                <w:szCs w:val="18"/>
              </w:rPr>
              <w:t>1.7</w:t>
            </w:r>
          </w:p>
        </w:tc>
        <w:tc>
          <w:tcPr>
            <w:tcW w:w="7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A84E047" w14:textId="5EE7B98F" w:rsidR="0075472E" w:rsidRPr="00907D83" w:rsidRDefault="00A34CDF"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b/>
                <w:smallCaps/>
                <w:sz w:val="18"/>
                <w:szCs w:val="18"/>
              </w:rPr>
            </w:pPr>
            <w:r w:rsidRPr="00907D83">
              <w:rPr>
                <w:rFonts w:ascii="Arial" w:hAnsi="Arial" w:cs="Arial"/>
                <w:sz w:val="18"/>
                <w:szCs w:val="18"/>
              </w:rPr>
              <w:t>3.4</w:t>
            </w:r>
          </w:p>
        </w:tc>
        <w:tc>
          <w:tcPr>
            <w:tcW w:w="74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69D0C9C" w14:textId="7AC6809B" w:rsidR="0075472E" w:rsidRPr="00907D83" w:rsidRDefault="00A34CDF"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b/>
                <w:smallCaps/>
                <w:sz w:val="18"/>
                <w:szCs w:val="18"/>
              </w:rPr>
            </w:pPr>
            <w:r w:rsidRPr="00907D83">
              <w:rPr>
                <w:rFonts w:ascii="Arial" w:hAnsi="Arial" w:cs="Arial"/>
                <w:sz w:val="18"/>
                <w:szCs w:val="18"/>
              </w:rPr>
              <w:t>9.7</w:t>
            </w:r>
          </w:p>
        </w:tc>
        <w:tc>
          <w:tcPr>
            <w:tcW w:w="67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1F9B096" w14:textId="2C40BC76" w:rsidR="0075472E" w:rsidRPr="00907D83" w:rsidRDefault="00A34CDF"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b/>
                <w:smallCaps/>
                <w:sz w:val="18"/>
                <w:szCs w:val="18"/>
              </w:rPr>
            </w:pPr>
            <w:r w:rsidRPr="00907D83">
              <w:rPr>
                <w:rFonts w:ascii="Arial" w:hAnsi="Arial" w:cs="Arial"/>
                <w:sz w:val="18"/>
                <w:szCs w:val="18"/>
              </w:rPr>
              <w:t>12.6</w:t>
            </w:r>
          </w:p>
        </w:tc>
        <w:tc>
          <w:tcPr>
            <w:tcW w:w="648" w:type="dxa"/>
            <w:tcBorders>
              <w:top w:val="single" w:sz="8" w:space="0" w:color="4F81BD" w:themeColor="accent1"/>
              <w:left w:val="single" w:sz="8" w:space="0" w:color="4F81BD" w:themeColor="accent1"/>
              <w:right w:val="single" w:sz="8" w:space="0" w:color="4F81BD" w:themeColor="accent1"/>
            </w:tcBorders>
          </w:tcPr>
          <w:p w14:paraId="6861CAEE" w14:textId="4A8AC1F9" w:rsidR="0075472E" w:rsidRPr="00907D83" w:rsidRDefault="00A34CDF"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b/>
                <w:smallCaps/>
                <w:sz w:val="18"/>
                <w:szCs w:val="18"/>
              </w:rPr>
            </w:pPr>
            <w:r w:rsidRPr="00907D83">
              <w:rPr>
                <w:rFonts w:ascii="Arial" w:hAnsi="Arial" w:cs="Arial"/>
                <w:sz w:val="18"/>
                <w:szCs w:val="18"/>
              </w:rPr>
              <w:t>12.6</w:t>
            </w:r>
          </w:p>
        </w:tc>
        <w:tc>
          <w:tcPr>
            <w:tcW w:w="810" w:type="dxa"/>
            <w:tcBorders>
              <w:top w:val="single" w:sz="8" w:space="0" w:color="4F81BD" w:themeColor="accent1"/>
              <w:left w:val="single" w:sz="8" w:space="0" w:color="4F81BD" w:themeColor="accent1"/>
            </w:tcBorders>
            <w:vAlign w:val="center"/>
          </w:tcPr>
          <w:p w14:paraId="42F84442" w14:textId="028BF43B" w:rsidR="0075472E" w:rsidRPr="00907D83" w:rsidRDefault="0075472E" w:rsidP="0075472E">
            <w:pPr>
              <w:pStyle w:val="Paragraph"/>
              <w:numPr>
                <w:ilvl w:val="0"/>
                <w:numId w:val="0"/>
              </w:numPr>
              <w:jc w:val="left"/>
              <w:cnfStyle w:val="000000100000" w:firstRow="0" w:lastRow="0" w:firstColumn="0" w:lastColumn="0" w:oddVBand="0" w:evenVBand="0" w:oddHBand="1" w:evenHBand="0" w:firstRowFirstColumn="0" w:firstRowLastColumn="0" w:lastRowFirstColumn="0" w:lastRowLastColumn="0"/>
              <w:rPr>
                <w:rFonts w:ascii="Arial" w:hAnsi="Arial" w:cs="Arial"/>
                <w:b/>
                <w:smallCaps/>
                <w:sz w:val="18"/>
                <w:szCs w:val="18"/>
              </w:rPr>
            </w:pPr>
            <w:r w:rsidRPr="00907D83">
              <w:rPr>
                <w:rFonts w:ascii="Arial" w:hAnsi="Arial" w:cs="Arial"/>
                <w:b/>
                <w:smallCaps/>
                <w:sz w:val="18"/>
                <w:szCs w:val="18"/>
              </w:rPr>
              <w:t>40</w:t>
            </w:r>
          </w:p>
        </w:tc>
      </w:tr>
    </w:tbl>
    <w:p w14:paraId="6B598AB8" w14:textId="0BB9B525" w:rsidR="00051B6C" w:rsidRPr="00907D83" w:rsidRDefault="008578C6" w:rsidP="00287776">
      <w:pPr>
        <w:pStyle w:val="Chapter"/>
        <w:spacing w:before="360"/>
        <w:rPr>
          <w:rFonts w:ascii="Arial" w:hAnsi="Arial" w:cs="Arial"/>
          <w:sz w:val="22"/>
          <w:szCs w:val="22"/>
          <w:lang w:val="es-ES_tradnl"/>
        </w:rPr>
      </w:pPr>
      <w:bookmarkStart w:id="25" w:name="_Toc501017807"/>
      <w:proofErr w:type="spellStart"/>
      <w:r w:rsidRPr="00907D83">
        <w:rPr>
          <w:rFonts w:ascii="Arial" w:hAnsi="Arial" w:cs="Arial"/>
          <w:sz w:val="22"/>
          <w:szCs w:val="22"/>
          <w:lang w:val="es-ES_tradnl"/>
        </w:rPr>
        <w:t>Monitor</w:t>
      </w:r>
      <w:r w:rsidR="006C16A5" w:rsidRPr="00907D83">
        <w:rPr>
          <w:rFonts w:ascii="Arial" w:hAnsi="Arial" w:cs="Arial"/>
          <w:sz w:val="22"/>
          <w:szCs w:val="22"/>
          <w:lang w:val="es-ES_tradnl"/>
        </w:rPr>
        <w:t>ing</w:t>
      </w:r>
      <w:bookmarkEnd w:id="25"/>
      <w:proofErr w:type="spellEnd"/>
    </w:p>
    <w:p w14:paraId="652BA90E" w14:textId="77777777" w:rsidR="00051B6C" w:rsidRPr="00907D83" w:rsidRDefault="006C16A5" w:rsidP="00051B6C">
      <w:pPr>
        <w:pStyle w:val="FirstHeading"/>
        <w:ind w:left="720"/>
        <w:rPr>
          <w:rFonts w:ascii="Arial" w:hAnsi="Arial" w:cs="Arial"/>
          <w:noProof/>
          <w:sz w:val="22"/>
          <w:szCs w:val="22"/>
          <w:lang w:val="es-ES_tradnl"/>
        </w:rPr>
      </w:pPr>
      <w:bookmarkStart w:id="26" w:name="_Toc300318304"/>
      <w:bookmarkStart w:id="27" w:name="_Toc331167635"/>
      <w:bookmarkStart w:id="28" w:name="_Toc501017808"/>
      <w:r w:rsidRPr="00907D83">
        <w:rPr>
          <w:rFonts w:ascii="Arial" w:hAnsi="Arial" w:cs="Arial"/>
          <w:noProof/>
          <w:sz w:val="22"/>
          <w:szCs w:val="22"/>
          <w:lang w:val="es-ES_tradnl"/>
        </w:rPr>
        <w:t>A.</w:t>
      </w:r>
      <w:r w:rsidRPr="00907D83">
        <w:rPr>
          <w:rFonts w:ascii="Arial" w:hAnsi="Arial" w:cs="Arial"/>
          <w:noProof/>
          <w:sz w:val="22"/>
          <w:szCs w:val="22"/>
          <w:lang w:val="es-ES_tradnl"/>
        </w:rPr>
        <w:tab/>
        <w:t>Indicator</w:t>
      </w:r>
      <w:r w:rsidR="00051B6C" w:rsidRPr="00907D83">
        <w:rPr>
          <w:rFonts w:ascii="Arial" w:hAnsi="Arial" w:cs="Arial"/>
          <w:noProof/>
          <w:sz w:val="22"/>
          <w:szCs w:val="22"/>
          <w:lang w:val="es-ES_tradnl"/>
        </w:rPr>
        <w:t>s</w:t>
      </w:r>
      <w:bookmarkEnd w:id="26"/>
      <w:bookmarkEnd w:id="27"/>
      <w:bookmarkEnd w:id="28"/>
      <w:r w:rsidR="00051B6C" w:rsidRPr="00907D83">
        <w:rPr>
          <w:rFonts w:ascii="Arial" w:hAnsi="Arial" w:cs="Arial"/>
          <w:noProof/>
          <w:sz w:val="22"/>
          <w:szCs w:val="22"/>
          <w:lang w:val="es-ES_tradnl"/>
        </w:rPr>
        <w:t xml:space="preserve"> </w:t>
      </w:r>
    </w:p>
    <w:p w14:paraId="570173CC" w14:textId="6A3DDB2E" w:rsidR="00B63E64" w:rsidRPr="00907D83" w:rsidRDefault="006C16A5" w:rsidP="00E03E9E">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The </w:t>
      </w:r>
      <w:r w:rsidR="00771B15" w:rsidRPr="00907D83">
        <w:rPr>
          <w:rFonts w:ascii="Arial" w:hAnsi="Arial" w:cs="Arial"/>
          <w:sz w:val="22"/>
          <w:szCs w:val="22"/>
        </w:rPr>
        <w:t xml:space="preserve">proposed </w:t>
      </w:r>
      <w:r w:rsidRPr="00907D83">
        <w:rPr>
          <w:rFonts w:ascii="Arial" w:hAnsi="Arial" w:cs="Arial"/>
          <w:sz w:val="22"/>
          <w:szCs w:val="22"/>
        </w:rPr>
        <w:t xml:space="preserve">monitoring </w:t>
      </w:r>
      <w:r w:rsidR="00771B15" w:rsidRPr="00907D83">
        <w:rPr>
          <w:rFonts w:ascii="Arial" w:hAnsi="Arial" w:cs="Arial"/>
          <w:sz w:val="22"/>
          <w:szCs w:val="22"/>
        </w:rPr>
        <w:t xml:space="preserve">plan </w:t>
      </w:r>
      <w:r w:rsidRPr="00907D83">
        <w:rPr>
          <w:rFonts w:ascii="Arial" w:hAnsi="Arial" w:cs="Arial"/>
          <w:sz w:val="22"/>
          <w:szCs w:val="22"/>
        </w:rPr>
        <w:t xml:space="preserve">intends to follow up the </w:t>
      </w:r>
      <w:r w:rsidR="00771B15" w:rsidRPr="00907D83">
        <w:rPr>
          <w:rFonts w:ascii="Arial" w:hAnsi="Arial" w:cs="Arial"/>
          <w:sz w:val="22"/>
          <w:szCs w:val="22"/>
        </w:rPr>
        <w:t>gradual implementation</w:t>
      </w:r>
      <w:r w:rsidRPr="00907D83">
        <w:rPr>
          <w:rFonts w:ascii="Arial" w:hAnsi="Arial" w:cs="Arial"/>
          <w:sz w:val="22"/>
          <w:szCs w:val="22"/>
        </w:rPr>
        <w:t xml:space="preserve"> of the program in order to </w:t>
      </w:r>
      <w:r w:rsidR="00771B15" w:rsidRPr="00907D83">
        <w:rPr>
          <w:rFonts w:ascii="Arial" w:hAnsi="Arial" w:cs="Arial"/>
          <w:sz w:val="22"/>
          <w:szCs w:val="22"/>
        </w:rPr>
        <w:t>quantify actual</w:t>
      </w:r>
      <w:r w:rsidRPr="00907D83">
        <w:rPr>
          <w:rFonts w:ascii="Arial" w:hAnsi="Arial" w:cs="Arial"/>
          <w:sz w:val="22"/>
          <w:szCs w:val="22"/>
        </w:rPr>
        <w:t xml:space="preserve"> achieve</w:t>
      </w:r>
      <w:r w:rsidR="00771B15" w:rsidRPr="00907D83">
        <w:rPr>
          <w:rFonts w:ascii="Arial" w:hAnsi="Arial" w:cs="Arial"/>
          <w:sz w:val="22"/>
          <w:szCs w:val="22"/>
        </w:rPr>
        <w:t>ments</w:t>
      </w:r>
      <w:r w:rsidRPr="00907D83">
        <w:rPr>
          <w:rFonts w:ascii="Arial" w:hAnsi="Arial" w:cs="Arial"/>
          <w:sz w:val="22"/>
          <w:szCs w:val="22"/>
        </w:rPr>
        <w:t xml:space="preserve"> in</w:t>
      </w:r>
      <w:r w:rsidR="00771B15" w:rsidRPr="00907D83">
        <w:rPr>
          <w:rFonts w:ascii="Arial" w:hAnsi="Arial" w:cs="Arial"/>
          <w:sz w:val="22"/>
          <w:szCs w:val="22"/>
        </w:rPr>
        <w:t xml:space="preserve"> relation to the proposed targets for</w:t>
      </w:r>
      <w:r w:rsidRPr="00907D83">
        <w:rPr>
          <w:rFonts w:ascii="Arial" w:hAnsi="Arial" w:cs="Arial"/>
          <w:sz w:val="22"/>
          <w:szCs w:val="22"/>
        </w:rPr>
        <w:t xml:space="preserve"> each </w:t>
      </w:r>
      <w:r w:rsidR="00771B15" w:rsidRPr="00907D83">
        <w:rPr>
          <w:rFonts w:ascii="Arial" w:hAnsi="Arial" w:cs="Arial"/>
          <w:sz w:val="22"/>
          <w:szCs w:val="22"/>
        </w:rPr>
        <w:t>year</w:t>
      </w:r>
      <w:r w:rsidRPr="00907D83">
        <w:rPr>
          <w:rFonts w:ascii="Arial" w:hAnsi="Arial" w:cs="Arial"/>
          <w:sz w:val="22"/>
          <w:szCs w:val="22"/>
        </w:rPr>
        <w:t>,</w:t>
      </w:r>
      <w:r w:rsidR="00771B15" w:rsidRPr="00907D83">
        <w:rPr>
          <w:rFonts w:ascii="Arial" w:hAnsi="Arial" w:cs="Arial"/>
          <w:sz w:val="22"/>
          <w:szCs w:val="22"/>
        </w:rPr>
        <w:t xml:space="preserve"> evaluate outcomes and, if necessary,</w:t>
      </w:r>
      <w:r w:rsidRPr="00907D83">
        <w:rPr>
          <w:rFonts w:ascii="Arial" w:hAnsi="Arial" w:cs="Arial"/>
          <w:sz w:val="22"/>
          <w:szCs w:val="22"/>
        </w:rPr>
        <w:t xml:space="preserve"> identify</w:t>
      </w:r>
      <w:r w:rsidR="00771B15" w:rsidRPr="00907D83">
        <w:rPr>
          <w:rFonts w:ascii="Arial" w:hAnsi="Arial" w:cs="Arial"/>
          <w:sz w:val="22"/>
          <w:szCs w:val="22"/>
        </w:rPr>
        <w:t xml:space="preserve"> and recommend</w:t>
      </w:r>
      <w:r w:rsidRPr="00907D83">
        <w:rPr>
          <w:rFonts w:ascii="Arial" w:hAnsi="Arial" w:cs="Arial"/>
          <w:sz w:val="22"/>
          <w:szCs w:val="22"/>
        </w:rPr>
        <w:t xml:space="preserve"> corrective actions. The indicators to be monitored will be those in</w:t>
      </w:r>
      <w:r w:rsidR="00771B15" w:rsidRPr="00907D83">
        <w:rPr>
          <w:rFonts w:ascii="Arial" w:hAnsi="Arial" w:cs="Arial"/>
          <w:sz w:val="22"/>
          <w:szCs w:val="22"/>
        </w:rPr>
        <w:t>cluded in</w:t>
      </w:r>
      <w:r w:rsidRPr="00907D83">
        <w:rPr>
          <w:rFonts w:ascii="Arial" w:hAnsi="Arial" w:cs="Arial"/>
          <w:sz w:val="22"/>
          <w:szCs w:val="22"/>
        </w:rPr>
        <w:t xml:space="preserve"> the Results Matrix</w:t>
      </w:r>
      <w:r w:rsidR="00771B15" w:rsidRPr="00907D83">
        <w:rPr>
          <w:rFonts w:ascii="Arial" w:hAnsi="Arial" w:cs="Arial"/>
          <w:sz w:val="22"/>
          <w:szCs w:val="22"/>
        </w:rPr>
        <w:t xml:space="preserve">, which </w:t>
      </w:r>
      <w:r w:rsidR="00D3419D" w:rsidRPr="00907D83">
        <w:rPr>
          <w:rFonts w:ascii="Arial" w:hAnsi="Arial" w:cs="Arial"/>
          <w:sz w:val="22"/>
          <w:szCs w:val="22"/>
        </w:rPr>
        <w:t>also serves as the base for</w:t>
      </w:r>
      <w:r w:rsidRPr="00907D83">
        <w:rPr>
          <w:rFonts w:ascii="Arial" w:hAnsi="Arial" w:cs="Arial"/>
          <w:sz w:val="22"/>
          <w:szCs w:val="22"/>
        </w:rPr>
        <w:t xml:space="preserve"> the Progress Monitoring Report (PMR). Table 2.1 summarizes the</w:t>
      </w:r>
      <w:r w:rsidR="00D3419D" w:rsidRPr="00907D83">
        <w:rPr>
          <w:rFonts w:ascii="Arial" w:hAnsi="Arial" w:cs="Arial"/>
          <w:sz w:val="22"/>
          <w:szCs w:val="22"/>
        </w:rPr>
        <w:t>se indicators</w:t>
      </w:r>
      <w:r w:rsidRPr="00907D83">
        <w:rPr>
          <w:rFonts w:ascii="Arial" w:hAnsi="Arial" w:cs="Arial"/>
          <w:sz w:val="22"/>
          <w:szCs w:val="22"/>
        </w:rPr>
        <w:t xml:space="preserve"> and includes information on the source and frequency of collection and reporting process</w:t>
      </w:r>
      <w:r w:rsidR="00051B6C" w:rsidRPr="00907D83">
        <w:rPr>
          <w:rFonts w:ascii="Arial" w:hAnsi="Arial" w:cs="Arial"/>
          <w:sz w:val="22"/>
          <w:szCs w:val="22"/>
        </w:rPr>
        <w:t>.</w:t>
      </w:r>
    </w:p>
    <w:p w14:paraId="0EA474F9" w14:textId="446D61E8" w:rsidR="00D3419D" w:rsidRPr="00907D83" w:rsidRDefault="00D3419D" w:rsidP="0044752E">
      <w:pPr>
        <w:pStyle w:val="Paragraph"/>
        <w:numPr>
          <w:ilvl w:val="0"/>
          <w:numId w:val="0"/>
        </w:numPr>
        <w:spacing w:before="240" w:after="0"/>
        <w:rPr>
          <w:rFonts w:ascii="Arial" w:hAnsi="Arial" w:cs="Arial"/>
          <w:b/>
          <w:sz w:val="22"/>
          <w:szCs w:val="22"/>
        </w:rPr>
      </w:pPr>
      <w:r w:rsidRPr="00907D83">
        <w:rPr>
          <w:rFonts w:ascii="Arial" w:hAnsi="Arial" w:cs="Arial"/>
          <w:b/>
          <w:sz w:val="22"/>
          <w:szCs w:val="22"/>
        </w:rPr>
        <w:t>Table 2.1: Monitoring Indicators</w:t>
      </w:r>
    </w:p>
    <w:tbl>
      <w:tblPr>
        <w:tblStyle w:val="LightShading-Accent1"/>
        <w:tblW w:w="0" w:type="auto"/>
        <w:tblLook w:val="04A0" w:firstRow="1" w:lastRow="0" w:firstColumn="1" w:lastColumn="0" w:noHBand="0" w:noVBand="1"/>
      </w:tblPr>
      <w:tblGrid>
        <w:gridCol w:w="2635"/>
        <w:gridCol w:w="981"/>
        <w:gridCol w:w="1779"/>
        <w:gridCol w:w="3245"/>
      </w:tblGrid>
      <w:tr w:rsidR="00C93B0A" w:rsidRPr="00907D83" w14:paraId="6C16B126" w14:textId="77777777" w:rsidTr="0044752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635" w:type="dxa"/>
            <w:tcBorders>
              <w:right w:val="single" w:sz="8" w:space="0" w:color="4F81BD" w:themeColor="accent1"/>
            </w:tcBorders>
            <w:vAlign w:val="center"/>
          </w:tcPr>
          <w:p w14:paraId="7520A6BB" w14:textId="77777777" w:rsidR="00C93B0A" w:rsidRPr="00907D83" w:rsidRDefault="00C93B0A" w:rsidP="009D5001">
            <w:pPr>
              <w:pStyle w:val="Heading1"/>
              <w:tabs>
                <w:tab w:val="clear" w:pos="360"/>
              </w:tabs>
              <w:spacing w:before="120" w:after="120"/>
              <w:ind w:left="270"/>
              <w:jc w:val="left"/>
              <w:outlineLvl w:val="0"/>
              <w:rPr>
                <w:rFonts w:ascii="Arial" w:hAnsi="Arial" w:cs="Arial"/>
                <w:b/>
                <w:sz w:val="18"/>
                <w:szCs w:val="18"/>
                <w:lang w:val="es-ES_tradnl"/>
              </w:rPr>
            </w:pPr>
            <w:r w:rsidRPr="00907D83">
              <w:rPr>
                <w:rFonts w:ascii="Arial" w:hAnsi="Arial" w:cs="Arial"/>
                <w:sz w:val="18"/>
                <w:szCs w:val="18"/>
                <w:lang w:val="es-ES_tradnl"/>
              </w:rPr>
              <w:t>Indicator</w:t>
            </w:r>
          </w:p>
        </w:tc>
        <w:tc>
          <w:tcPr>
            <w:tcW w:w="981" w:type="dxa"/>
            <w:tcBorders>
              <w:left w:val="single" w:sz="8" w:space="0" w:color="4F81BD" w:themeColor="accent1"/>
              <w:right w:val="single" w:sz="8" w:space="0" w:color="4F81BD" w:themeColor="accent1"/>
            </w:tcBorders>
            <w:vAlign w:val="center"/>
          </w:tcPr>
          <w:p w14:paraId="00A94754" w14:textId="77777777" w:rsidR="00C93B0A" w:rsidRPr="00907D83" w:rsidRDefault="00C93B0A" w:rsidP="009D500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mallCaps/>
                <w:sz w:val="18"/>
                <w:szCs w:val="18"/>
              </w:rPr>
            </w:pPr>
            <w:r w:rsidRPr="00907D83">
              <w:rPr>
                <w:rFonts w:ascii="Arial" w:hAnsi="Arial" w:cs="Arial"/>
                <w:smallCaps/>
                <w:sz w:val="18"/>
                <w:szCs w:val="18"/>
              </w:rPr>
              <w:t>Unit</w:t>
            </w:r>
          </w:p>
        </w:tc>
        <w:tc>
          <w:tcPr>
            <w:tcW w:w="1779" w:type="dxa"/>
            <w:tcBorders>
              <w:left w:val="single" w:sz="8" w:space="0" w:color="4F81BD" w:themeColor="accent1"/>
              <w:right w:val="single" w:sz="8" w:space="0" w:color="4F81BD" w:themeColor="accent1"/>
            </w:tcBorders>
            <w:vAlign w:val="center"/>
          </w:tcPr>
          <w:p w14:paraId="79220A80" w14:textId="77777777" w:rsidR="00C93B0A" w:rsidRPr="00907D83" w:rsidRDefault="00C93B0A" w:rsidP="009D500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mallCaps/>
                <w:sz w:val="18"/>
                <w:szCs w:val="18"/>
              </w:rPr>
            </w:pPr>
            <w:r w:rsidRPr="00907D83">
              <w:rPr>
                <w:rFonts w:ascii="Arial" w:hAnsi="Arial" w:cs="Arial"/>
                <w:smallCaps/>
                <w:sz w:val="18"/>
                <w:szCs w:val="18"/>
              </w:rPr>
              <w:t>Frequency of measurement</w:t>
            </w:r>
          </w:p>
        </w:tc>
        <w:tc>
          <w:tcPr>
            <w:tcW w:w="3245" w:type="dxa"/>
            <w:tcBorders>
              <w:left w:val="single" w:sz="8" w:space="0" w:color="4F81BD" w:themeColor="accent1"/>
            </w:tcBorders>
            <w:vAlign w:val="center"/>
          </w:tcPr>
          <w:p w14:paraId="29F9B80E" w14:textId="77777777" w:rsidR="00C93B0A" w:rsidRPr="00907D83" w:rsidRDefault="00C93B0A" w:rsidP="009D5001">
            <w:pPr>
              <w:spacing w:before="120" w:after="120"/>
              <w:ind w:left="-70"/>
              <w:cnfStyle w:val="100000000000" w:firstRow="1" w:lastRow="0" w:firstColumn="0" w:lastColumn="0" w:oddVBand="0" w:evenVBand="0" w:oddHBand="0" w:evenHBand="0" w:firstRowFirstColumn="0" w:firstRowLastColumn="0" w:lastRowFirstColumn="0" w:lastRowLastColumn="0"/>
              <w:rPr>
                <w:rFonts w:ascii="Arial" w:hAnsi="Arial" w:cs="Arial"/>
                <w:bCs w:val="0"/>
                <w:smallCaps/>
                <w:sz w:val="18"/>
                <w:szCs w:val="18"/>
              </w:rPr>
            </w:pPr>
            <w:r w:rsidRPr="00907D83">
              <w:rPr>
                <w:rFonts w:ascii="Arial" w:hAnsi="Arial" w:cs="Arial"/>
                <w:smallCaps/>
                <w:sz w:val="18"/>
                <w:szCs w:val="18"/>
              </w:rPr>
              <w:t>Description / Source of verification</w:t>
            </w:r>
          </w:p>
        </w:tc>
      </w:tr>
      <w:tr w:rsidR="00C37366" w:rsidRPr="00907D83" w14:paraId="7138BD09" w14:textId="77777777" w:rsidTr="00C3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right w:val="single" w:sz="8" w:space="0" w:color="4F81BD" w:themeColor="accent1"/>
            </w:tcBorders>
          </w:tcPr>
          <w:p w14:paraId="1B4F131E" w14:textId="355C22F4" w:rsidR="00C37366" w:rsidRPr="00907D83" w:rsidRDefault="00C37366" w:rsidP="00C37366">
            <w:pPr>
              <w:spacing w:before="120" w:after="120"/>
              <w:rPr>
                <w:rFonts w:ascii="Arial" w:hAnsi="Arial" w:cs="Arial"/>
                <w:b w:val="0"/>
                <w:sz w:val="18"/>
                <w:szCs w:val="18"/>
              </w:rPr>
            </w:pPr>
            <w:r w:rsidRPr="00907D83">
              <w:rPr>
                <w:rFonts w:ascii="Arial" w:hAnsi="Arial" w:cs="Arial"/>
                <w:sz w:val="18"/>
                <w:szCs w:val="18"/>
              </w:rPr>
              <w:t>Energy efficiency (EE) credit line used</w:t>
            </w:r>
          </w:p>
        </w:tc>
        <w:tc>
          <w:tcPr>
            <w:tcW w:w="981" w:type="dxa"/>
            <w:tcBorders>
              <w:left w:val="single" w:sz="8" w:space="0" w:color="4F81BD" w:themeColor="accent1"/>
              <w:right w:val="single" w:sz="8" w:space="0" w:color="4F81BD" w:themeColor="accent1"/>
            </w:tcBorders>
          </w:tcPr>
          <w:p w14:paraId="439D145B" w14:textId="4CA110B0" w:rsidR="00C37366" w:rsidRPr="00907D83" w:rsidRDefault="004265A3"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Millions of US$</w:t>
            </w:r>
          </w:p>
        </w:tc>
        <w:tc>
          <w:tcPr>
            <w:tcW w:w="1779" w:type="dxa"/>
            <w:tcBorders>
              <w:left w:val="single" w:sz="8" w:space="0" w:color="4F81BD" w:themeColor="accent1"/>
              <w:right w:val="single" w:sz="8" w:space="0" w:color="4F81BD" w:themeColor="accent1"/>
            </w:tcBorders>
          </w:tcPr>
          <w:p w14:paraId="7C22B235" w14:textId="7E57B887" w:rsidR="00C37366" w:rsidRPr="00907D83" w:rsidRDefault="00C37366"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Annually and Final Program Report</w:t>
            </w:r>
          </w:p>
        </w:tc>
        <w:tc>
          <w:tcPr>
            <w:tcW w:w="3245" w:type="dxa"/>
            <w:tcBorders>
              <w:left w:val="single" w:sz="8" w:space="0" w:color="4F81BD" w:themeColor="accent1"/>
            </w:tcBorders>
            <w:vAlign w:val="center"/>
          </w:tcPr>
          <w:p w14:paraId="66EBBBB8" w14:textId="0D8CB1A7" w:rsidR="00C37366" w:rsidRPr="00907D83" w:rsidRDefault="00C37366" w:rsidP="00C37366">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Indicator measures the annual usage of the credit line as established by the program. Annual projections consider that the line is fully operational and ready to use in Y1.</w:t>
            </w:r>
          </w:p>
          <w:p w14:paraId="5A1BA293" w14:textId="7C8D7993" w:rsidR="00C37366" w:rsidRPr="00907D83" w:rsidRDefault="00C37366" w:rsidP="00C3736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
                <w:bCs/>
                <w:sz w:val="18"/>
                <w:szCs w:val="18"/>
              </w:rPr>
              <w:t>Source:</w:t>
            </w:r>
            <w:r w:rsidRPr="00907D83">
              <w:rPr>
                <w:rFonts w:ascii="Arial" w:hAnsi="Arial" w:cs="Arial"/>
                <w:bCs/>
                <w:sz w:val="18"/>
                <w:szCs w:val="18"/>
              </w:rPr>
              <w:t xml:space="preserve"> Annual report on program execution by AFD.</w:t>
            </w:r>
          </w:p>
        </w:tc>
      </w:tr>
      <w:tr w:rsidR="00C37366" w:rsidRPr="00907D83" w14:paraId="06FC06BF" w14:textId="77777777" w:rsidTr="00D3419D">
        <w:tc>
          <w:tcPr>
            <w:cnfStyle w:val="001000000000" w:firstRow="0" w:lastRow="0" w:firstColumn="1" w:lastColumn="0" w:oddVBand="0" w:evenVBand="0" w:oddHBand="0" w:evenHBand="0" w:firstRowFirstColumn="0" w:firstRowLastColumn="0" w:lastRowFirstColumn="0" w:lastRowLastColumn="0"/>
            <w:tcW w:w="2635" w:type="dxa"/>
            <w:tcBorders>
              <w:right w:val="single" w:sz="8" w:space="0" w:color="4F81BD" w:themeColor="accent1"/>
            </w:tcBorders>
          </w:tcPr>
          <w:p w14:paraId="5FAA1E1D" w14:textId="19830A21" w:rsidR="00C37366" w:rsidRPr="00907D83" w:rsidRDefault="00E138BA" w:rsidP="00C37366">
            <w:pPr>
              <w:spacing w:before="120" w:after="120"/>
              <w:rPr>
                <w:rFonts w:ascii="Arial" w:hAnsi="Arial" w:cs="Arial"/>
                <w:b w:val="0"/>
                <w:bCs w:val="0"/>
                <w:sz w:val="18"/>
                <w:szCs w:val="18"/>
              </w:rPr>
            </w:pPr>
            <w:r>
              <w:rPr>
                <w:rFonts w:ascii="Arial" w:hAnsi="Arial" w:cs="Arial"/>
                <w:sz w:val="18"/>
                <w:szCs w:val="18"/>
              </w:rPr>
              <w:t>S</w:t>
            </w:r>
            <w:r w:rsidR="00C37366" w:rsidRPr="00907D83">
              <w:rPr>
                <w:rFonts w:ascii="Arial" w:hAnsi="Arial" w:cs="Arial"/>
                <w:sz w:val="18"/>
                <w:szCs w:val="18"/>
              </w:rPr>
              <w:t>mall and medium enterprises (</w:t>
            </w:r>
            <w:r w:rsidR="00EC2648" w:rsidRPr="00907D83">
              <w:rPr>
                <w:rFonts w:ascii="Arial" w:hAnsi="Arial" w:cs="Arial"/>
                <w:sz w:val="18"/>
                <w:szCs w:val="18"/>
              </w:rPr>
              <w:t>SME</w:t>
            </w:r>
            <w:r w:rsidR="00C37366" w:rsidRPr="00907D83">
              <w:rPr>
                <w:rFonts w:ascii="Arial" w:hAnsi="Arial" w:cs="Arial"/>
                <w:sz w:val="18"/>
                <w:szCs w:val="18"/>
              </w:rPr>
              <w:t>) that finance EE projects with funds from the program</w:t>
            </w:r>
          </w:p>
        </w:tc>
        <w:tc>
          <w:tcPr>
            <w:tcW w:w="981" w:type="dxa"/>
            <w:tcBorders>
              <w:left w:val="single" w:sz="8" w:space="0" w:color="4F81BD" w:themeColor="accent1"/>
              <w:right w:val="single" w:sz="8" w:space="0" w:color="4F81BD" w:themeColor="accent1"/>
            </w:tcBorders>
          </w:tcPr>
          <w:p w14:paraId="1C522856" w14:textId="77777777" w:rsidR="00C37366" w:rsidRPr="00907D83" w:rsidRDefault="00C37366"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Number</w:t>
            </w:r>
          </w:p>
        </w:tc>
        <w:tc>
          <w:tcPr>
            <w:tcW w:w="1779" w:type="dxa"/>
            <w:tcBorders>
              <w:left w:val="single" w:sz="8" w:space="0" w:color="4F81BD" w:themeColor="accent1"/>
              <w:right w:val="single" w:sz="8" w:space="0" w:color="4F81BD" w:themeColor="accent1"/>
            </w:tcBorders>
          </w:tcPr>
          <w:p w14:paraId="16E23101" w14:textId="77777777" w:rsidR="00C37366" w:rsidRPr="00907D83" w:rsidRDefault="00C37366"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Annually and Final Program Report</w:t>
            </w:r>
          </w:p>
        </w:tc>
        <w:tc>
          <w:tcPr>
            <w:tcW w:w="3245" w:type="dxa"/>
            <w:tcBorders>
              <w:left w:val="single" w:sz="8" w:space="0" w:color="4F81BD" w:themeColor="accent1"/>
            </w:tcBorders>
          </w:tcPr>
          <w:p w14:paraId="7E7EAAF5" w14:textId="2C84B3E3" w:rsidR="00C37366" w:rsidRPr="00907D83" w:rsidRDefault="00C37366" w:rsidP="00C3736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 xml:space="preserve">Measures number of eligible EE projects implemented by </w:t>
            </w:r>
            <w:r w:rsidR="00EC2648" w:rsidRPr="00907D83">
              <w:rPr>
                <w:rFonts w:ascii="Arial" w:hAnsi="Arial" w:cs="Arial"/>
                <w:bCs/>
                <w:sz w:val="18"/>
                <w:szCs w:val="18"/>
              </w:rPr>
              <w:t>SME</w:t>
            </w:r>
            <w:r w:rsidRPr="00907D83">
              <w:rPr>
                <w:rFonts w:ascii="Arial" w:hAnsi="Arial" w:cs="Arial"/>
                <w:bCs/>
                <w:sz w:val="18"/>
                <w:szCs w:val="18"/>
              </w:rPr>
              <w:t>s and on operation (includes all subsectors and technologies)</w:t>
            </w:r>
          </w:p>
          <w:p w14:paraId="5C7170AA" w14:textId="544C2C57" w:rsidR="00C37366" w:rsidRPr="00907D83" w:rsidRDefault="00C37366" w:rsidP="00C3736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Source: Annual report on program execution by AFD.</w:t>
            </w:r>
          </w:p>
        </w:tc>
      </w:tr>
      <w:tr w:rsidR="00C37366" w:rsidRPr="00907D83" w14:paraId="194038AD" w14:textId="77777777" w:rsidTr="00D34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right w:val="single" w:sz="8" w:space="0" w:color="4F81BD" w:themeColor="accent1"/>
            </w:tcBorders>
          </w:tcPr>
          <w:p w14:paraId="0D9B90D3" w14:textId="77777777" w:rsidR="00C37366" w:rsidRPr="00907D83" w:rsidRDefault="00C37366" w:rsidP="00C37366">
            <w:pPr>
              <w:spacing w:before="120" w:after="120"/>
              <w:rPr>
                <w:rFonts w:ascii="Arial" w:hAnsi="Arial" w:cs="Arial"/>
                <w:b w:val="0"/>
                <w:bCs w:val="0"/>
                <w:sz w:val="18"/>
                <w:szCs w:val="18"/>
              </w:rPr>
            </w:pPr>
            <w:bookmarkStart w:id="29" w:name="_Hlk500954770"/>
            <w:r w:rsidRPr="00907D83">
              <w:rPr>
                <w:rFonts w:ascii="Arial" w:hAnsi="Arial" w:cs="Arial"/>
                <w:sz w:val="18"/>
                <w:szCs w:val="18"/>
              </w:rPr>
              <w:t>Financing from third parties mobilized by the program</w:t>
            </w:r>
          </w:p>
        </w:tc>
        <w:tc>
          <w:tcPr>
            <w:tcW w:w="981" w:type="dxa"/>
            <w:tcBorders>
              <w:left w:val="single" w:sz="8" w:space="0" w:color="4F81BD" w:themeColor="accent1"/>
              <w:right w:val="single" w:sz="8" w:space="0" w:color="4F81BD" w:themeColor="accent1"/>
            </w:tcBorders>
          </w:tcPr>
          <w:p w14:paraId="240FB46A" w14:textId="77777777" w:rsidR="00C37366" w:rsidRPr="00907D83" w:rsidRDefault="00C37366"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Millions of US$</w:t>
            </w:r>
          </w:p>
        </w:tc>
        <w:tc>
          <w:tcPr>
            <w:tcW w:w="1779" w:type="dxa"/>
            <w:tcBorders>
              <w:left w:val="single" w:sz="8" w:space="0" w:color="4F81BD" w:themeColor="accent1"/>
              <w:right w:val="single" w:sz="8" w:space="0" w:color="4F81BD" w:themeColor="accent1"/>
            </w:tcBorders>
          </w:tcPr>
          <w:p w14:paraId="0988FE1C" w14:textId="77777777" w:rsidR="00C37366" w:rsidRPr="00907D83" w:rsidRDefault="00C37366"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Annually and Final Program Report</w:t>
            </w:r>
          </w:p>
        </w:tc>
        <w:tc>
          <w:tcPr>
            <w:tcW w:w="3245" w:type="dxa"/>
            <w:tcBorders>
              <w:left w:val="single" w:sz="8" w:space="0" w:color="4F81BD" w:themeColor="accent1"/>
            </w:tcBorders>
          </w:tcPr>
          <w:p w14:paraId="6789231B" w14:textId="2F0E74DF" w:rsidR="00C37366" w:rsidRPr="00907D83" w:rsidRDefault="00C37366" w:rsidP="00C37366">
            <w:pPr>
              <w:spacing w:before="120" w:after="120"/>
              <w:ind w:left="-18"/>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Includes all sources of financing other than the program (debt or equity). Target estimate based on the average total investment required per project and a 90/10 debt to equity ratio.</w:t>
            </w:r>
            <w:r w:rsidR="004265A3" w:rsidRPr="00907D83">
              <w:rPr>
                <w:rFonts w:ascii="Arial" w:hAnsi="Arial" w:cs="Arial"/>
                <w:bCs/>
                <w:sz w:val="18"/>
                <w:szCs w:val="18"/>
              </w:rPr>
              <w:t xml:space="preserve"> Real values will be monitored and validated with information provided by AFD in periodical reports, which will include detail on sources of financing per individual project.</w:t>
            </w:r>
          </w:p>
          <w:p w14:paraId="13149FB9" w14:textId="547A14E9" w:rsidR="00C37366" w:rsidRPr="00907D83" w:rsidRDefault="00C37366" w:rsidP="00C37366">
            <w:pPr>
              <w:spacing w:before="120" w:after="120"/>
              <w:ind w:left="-18"/>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Source: Annual report on program execution by AFD.</w:t>
            </w:r>
          </w:p>
        </w:tc>
      </w:tr>
      <w:tr w:rsidR="00C37366" w:rsidRPr="00907D83" w14:paraId="1B386A36" w14:textId="77777777" w:rsidTr="00D3419D">
        <w:tc>
          <w:tcPr>
            <w:cnfStyle w:val="001000000000" w:firstRow="0" w:lastRow="0" w:firstColumn="1" w:lastColumn="0" w:oddVBand="0" w:evenVBand="0" w:oddHBand="0" w:evenHBand="0" w:firstRowFirstColumn="0" w:firstRowLastColumn="0" w:lastRowFirstColumn="0" w:lastRowLastColumn="0"/>
            <w:tcW w:w="2635" w:type="dxa"/>
            <w:tcBorders>
              <w:right w:val="single" w:sz="8" w:space="0" w:color="4F81BD" w:themeColor="accent1"/>
            </w:tcBorders>
          </w:tcPr>
          <w:p w14:paraId="48C42689" w14:textId="63803757" w:rsidR="00C37366" w:rsidRPr="00907D83" w:rsidRDefault="00C37366" w:rsidP="00C37366">
            <w:pPr>
              <w:spacing w:before="120" w:after="120"/>
              <w:rPr>
                <w:rFonts w:ascii="Arial" w:hAnsi="Arial" w:cs="Arial"/>
                <w:b w:val="0"/>
                <w:bCs w:val="0"/>
                <w:sz w:val="18"/>
                <w:szCs w:val="18"/>
              </w:rPr>
            </w:pPr>
            <w:r w:rsidRPr="00907D83">
              <w:rPr>
                <w:rFonts w:ascii="Arial" w:hAnsi="Arial" w:cs="Arial"/>
                <w:sz w:val="18"/>
                <w:szCs w:val="18"/>
              </w:rPr>
              <w:lastRenderedPageBreak/>
              <w:t xml:space="preserve">Average maturity of sub loans </w:t>
            </w:r>
          </w:p>
        </w:tc>
        <w:tc>
          <w:tcPr>
            <w:tcW w:w="981" w:type="dxa"/>
            <w:tcBorders>
              <w:left w:val="single" w:sz="8" w:space="0" w:color="4F81BD" w:themeColor="accent1"/>
              <w:right w:val="single" w:sz="8" w:space="0" w:color="4F81BD" w:themeColor="accent1"/>
            </w:tcBorders>
          </w:tcPr>
          <w:p w14:paraId="28072139" w14:textId="77777777" w:rsidR="00C37366" w:rsidRPr="00907D83" w:rsidRDefault="00C37366"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Years</w:t>
            </w:r>
          </w:p>
        </w:tc>
        <w:tc>
          <w:tcPr>
            <w:tcW w:w="1779" w:type="dxa"/>
            <w:tcBorders>
              <w:left w:val="single" w:sz="8" w:space="0" w:color="4F81BD" w:themeColor="accent1"/>
              <w:right w:val="single" w:sz="8" w:space="0" w:color="4F81BD" w:themeColor="accent1"/>
            </w:tcBorders>
          </w:tcPr>
          <w:p w14:paraId="34925E2D" w14:textId="77777777" w:rsidR="00C37366" w:rsidRPr="00907D83" w:rsidRDefault="00C37366"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Annually and Final Program Report</w:t>
            </w:r>
          </w:p>
        </w:tc>
        <w:tc>
          <w:tcPr>
            <w:tcW w:w="3245" w:type="dxa"/>
            <w:tcBorders>
              <w:left w:val="single" w:sz="8" w:space="0" w:color="4F81BD" w:themeColor="accent1"/>
            </w:tcBorders>
          </w:tcPr>
          <w:p w14:paraId="6E33AF59" w14:textId="4BCBA5C5" w:rsidR="00C37366" w:rsidRPr="00907D83" w:rsidRDefault="00C37366" w:rsidP="00C37366">
            <w:pPr>
              <w:spacing w:before="120" w:after="120"/>
              <w:ind w:left="-18"/>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Measures the length of the amortization period for the portfolio of sub projects financed in order to compare with alternative financing sources available (market average and/or AFD financing without program resources).</w:t>
            </w:r>
          </w:p>
          <w:p w14:paraId="4FDAE2B7" w14:textId="7B9B8C3D" w:rsidR="00C37366" w:rsidRPr="00907D83" w:rsidRDefault="00C37366" w:rsidP="00C37366">
            <w:pPr>
              <w:spacing w:before="120" w:after="120"/>
              <w:ind w:left="-18"/>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Source: Annual report on program execution by AFD</w:t>
            </w:r>
          </w:p>
        </w:tc>
      </w:tr>
      <w:tr w:rsidR="00C37366" w:rsidRPr="00907D83" w14:paraId="133D8314" w14:textId="77777777" w:rsidTr="00772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right w:val="single" w:sz="8" w:space="0" w:color="4F81BD" w:themeColor="accent1"/>
            </w:tcBorders>
          </w:tcPr>
          <w:p w14:paraId="7A5E8BFB" w14:textId="061DE3A9" w:rsidR="00C37366" w:rsidRPr="00907D83" w:rsidRDefault="00C37366" w:rsidP="00C37366">
            <w:pPr>
              <w:spacing w:before="120" w:after="120"/>
              <w:rPr>
                <w:rFonts w:ascii="Arial" w:hAnsi="Arial" w:cs="Arial"/>
                <w:b w:val="0"/>
                <w:bCs w:val="0"/>
                <w:sz w:val="18"/>
                <w:szCs w:val="18"/>
              </w:rPr>
            </w:pPr>
            <w:bookmarkStart w:id="30" w:name="_Hlk501015085"/>
            <w:r w:rsidRPr="00907D83">
              <w:rPr>
                <w:rFonts w:ascii="Arial" w:hAnsi="Arial" w:cs="Arial"/>
                <w:sz w:val="18"/>
                <w:szCs w:val="18"/>
              </w:rPr>
              <w:t>Average annual energy savings from sub projects financed by the program</w:t>
            </w:r>
            <w:bookmarkEnd w:id="30"/>
          </w:p>
        </w:tc>
        <w:tc>
          <w:tcPr>
            <w:tcW w:w="981" w:type="dxa"/>
            <w:tcBorders>
              <w:left w:val="single" w:sz="8" w:space="0" w:color="4F81BD" w:themeColor="accent1"/>
              <w:right w:val="single" w:sz="8" w:space="0" w:color="4F81BD" w:themeColor="accent1"/>
            </w:tcBorders>
          </w:tcPr>
          <w:p w14:paraId="182D0550" w14:textId="43B36DB0" w:rsidR="00C37366" w:rsidRPr="00907D83" w:rsidRDefault="006231B3"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toe</w:t>
            </w:r>
          </w:p>
        </w:tc>
        <w:tc>
          <w:tcPr>
            <w:tcW w:w="1779" w:type="dxa"/>
            <w:tcBorders>
              <w:left w:val="single" w:sz="8" w:space="0" w:color="4F81BD" w:themeColor="accent1"/>
              <w:right w:val="single" w:sz="8" w:space="0" w:color="4F81BD" w:themeColor="accent1"/>
            </w:tcBorders>
          </w:tcPr>
          <w:p w14:paraId="12317B8C" w14:textId="77777777" w:rsidR="00C37366" w:rsidRPr="00907D83" w:rsidRDefault="00C37366"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Annually and Final Program Report</w:t>
            </w:r>
          </w:p>
        </w:tc>
        <w:tc>
          <w:tcPr>
            <w:tcW w:w="3245" w:type="dxa"/>
            <w:tcBorders>
              <w:left w:val="single" w:sz="8" w:space="0" w:color="4F81BD" w:themeColor="accent1"/>
            </w:tcBorders>
          </w:tcPr>
          <w:p w14:paraId="222F2DC1" w14:textId="3AA7AB95" w:rsidR="00C37366" w:rsidRPr="00907D83" w:rsidRDefault="00C37366" w:rsidP="00C37366">
            <w:pPr>
              <w:ind w:left="-18"/>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Final target was estimated based on an average consumption of beneficiary firms</w:t>
            </w:r>
            <w:r w:rsidR="004265A3" w:rsidRPr="00907D83">
              <w:rPr>
                <w:rFonts w:ascii="Arial" w:hAnsi="Arial" w:cs="Arial"/>
                <w:bCs/>
                <w:sz w:val="18"/>
                <w:szCs w:val="18"/>
              </w:rPr>
              <w:t xml:space="preserve"> and</w:t>
            </w:r>
            <w:r w:rsidRPr="00907D83">
              <w:rPr>
                <w:rFonts w:ascii="Arial" w:hAnsi="Arial" w:cs="Arial"/>
                <w:bCs/>
                <w:sz w:val="18"/>
                <w:szCs w:val="18"/>
              </w:rPr>
              <w:t xml:space="preserve"> efficiency ratios of EE systems installed.</w:t>
            </w:r>
            <w:r w:rsidR="006231B3" w:rsidRPr="00907D83">
              <w:rPr>
                <w:rFonts w:ascii="Arial" w:hAnsi="Arial" w:cs="Arial"/>
                <w:bCs/>
                <w:sz w:val="18"/>
                <w:szCs w:val="18"/>
              </w:rPr>
              <w:t xml:space="preserve"> As sources may include electricity and firewood, energy measures (consumption and savings) are standardized by using tons of oil equivalent (toe) as unit.</w:t>
            </w:r>
          </w:p>
          <w:p w14:paraId="6860A330" w14:textId="77777777" w:rsidR="00C37366" w:rsidRPr="00907D83" w:rsidRDefault="00C37366" w:rsidP="00C37366">
            <w:pPr>
              <w:ind w:left="-18"/>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p>
          <w:p w14:paraId="0F5D6727" w14:textId="192D130E" w:rsidR="00C37366" w:rsidRPr="00907D83" w:rsidRDefault="00C37366" w:rsidP="00C37366">
            <w:pPr>
              <w:ind w:left="-18"/>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sidRPr="00907D83">
              <w:rPr>
                <w:rFonts w:ascii="Arial" w:hAnsi="Arial" w:cs="Arial"/>
                <w:bCs/>
                <w:i/>
                <w:sz w:val="18"/>
                <w:szCs w:val="18"/>
              </w:rPr>
              <w:t>Energy cost savings = energy consumed by beneficiary firms * [1 – (efficiency of system installed – efficiency of original system)]</w:t>
            </w:r>
          </w:p>
          <w:p w14:paraId="0D4B0CFA" w14:textId="263DA2FD" w:rsidR="00C37366" w:rsidRPr="00907D83" w:rsidRDefault="00C37366" w:rsidP="00C37366">
            <w:pPr>
              <w:spacing w:before="120" w:after="120"/>
              <w:ind w:left="-18"/>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Source: Annual report on program execution by AFD.</w:t>
            </w:r>
          </w:p>
        </w:tc>
      </w:tr>
      <w:tr w:rsidR="00C37366" w:rsidRPr="00907D83" w14:paraId="32F29F07" w14:textId="77777777" w:rsidTr="003B669D">
        <w:trPr>
          <w:trHeight w:val="72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4F81BD" w:themeColor="accent1"/>
              <w:right w:val="single" w:sz="8" w:space="0" w:color="4F81BD" w:themeColor="accent1"/>
            </w:tcBorders>
          </w:tcPr>
          <w:p w14:paraId="39DA48D8" w14:textId="5AFF5636" w:rsidR="00C37366" w:rsidRPr="00907D83" w:rsidRDefault="00C37366" w:rsidP="00C37366">
            <w:pPr>
              <w:spacing w:before="120" w:after="120"/>
              <w:rPr>
                <w:rFonts w:ascii="Arial" w:hAnsi="Arial" w:cs="Arial"/>
                <w:b w:val="0"/>
                <w:bCs w:val="0"/>
                <w:sz w:val="18"/>
                <w:szCs w:val="18"/>
              </w:rPr>
            </w:pPr>
            <w:r w:rsidRPr="00907D83">
              <w:rPr>
                <w:rFonts w:ascii="Arial" w:hAnsi="Arial" w:cs="Arial"/>
                <w:sz w:val="18"/>
                <w:szCs w:val="18"/>
              </w:rPr>
              <w:t>Average annual greenhouse gas (GHG) emissions reductions from sub projects financed by the program</w:t>
            </w:r>
          </w:p>
        </w:tc>
        <w:tc>
          <w:tcPr>
            <w:tcW w:w="0" w:type="dxa"/>
            <w:tcBorders>
              <w:left w:val="single" w:sz="8" w:space="0" w:color="4F81BD" w:themeColor="accent1"/>
              <w:bottom w:val="single" w:sz="8" w:space="0" w:color="4F81BD" w:themeColor="accent1"/>
              <w:right w:val="single" w:sz="8" w:space="0" w:color="4F81BD" w:themeColor="accent1"/>
            </w:tcBorders>
          </w:tcPr>
          <w:p w14:paraId="06295140" w14:textId="77777777" w:rsidR="00C37366" w:rsidRPr="00907D83" w:rsidRDefault="00C37366"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TM CO</w:t>
            </w:r>
            <w:r w:rsidRPr="00907D83">
              <w:rPr>
                <w:rFonts w:ascii="Arial" w:hAnsi="Arial" w:cs="Arial"/>
                <w:sz w:val="18"/>
                <w:szCs w:val="18"/>
                <w:vertAlign w:val="subscript"/>
              </w:rPr>
              <w:t>2</w:t>
            </w:r>
            <w:r w:rsidRPr="00907D83">
              <w:rPr>
                <w:rFonts w:ascii="Arial" w:hAnsi="Arial" w:cs="Arial"/>
                <w:sz w:val="18"/>
                <w:szCs w:val="18"/>
              </w:rPr>
              <w:t>e</w:t>
            </w:r>
          </w:p>
        </w:tc>
        <w:tc>
          <w:tcPr>
            <w:tcW w:w="0" w:type="dxa"/>
            <w:tcBorders>
              <w:left w:val="single" w:sz="8" w:space="0" w:color="4F81BD" w:themeColor="accent1"/>
              <w:bottom w:val="single" w:sz="8" w:space="0" w:color="4F81BD" w:themeColor="accent1"/>
              <w:right w:val="single" w:sz="8" w:space="0" w:color="4F81BD" w:themeColor="accent1"/>
            </w:tcBorders>
          </w:tcPr>
          <w:p w14:paraId="7A1EC25D" w14:textId="77777777" w:rsidR="00C37366" w:rsidRPr="00907D83" w:rsidRDefault="00C37366"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Annually and Final Program Report</w:t>
            </w:r>
          </w:p>
        </w:tc>
        <w:tc>
          <w:tcPr>
            <w:tcW w:w="0" w:type="dxa"/>
            <w:tcBorders>
              <w:left w:val="single" w:sz="8" w:space="0" w:color="4F81BD" w:themeColor="accent1"/>
              <w:bottom w:val="single" w:sz="8" w:space="0" w:color="4F81BD" w:themeColor="accent1"/>
            </w:tcBorders>
          </w:tcPr>
          <w:p w14:paraId="69C22DEF" w14:textId="5297865F" w:rsidR="00C37366" w:rsidRPr="00907D83" w:rsidRDefault="00C37366" w:rsidP="00C37366">
            <w:pPr>
              <w:ind w:left="-18"/>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Indicator is based on the CO</w:t>
            </w:r>
            <w:r w:rsidRPr="00907D83">
              <w:rPr>
                <w:rFonts w:ascii="Arial" w:hAnsi="Arial" w:cs="Arial"/>
                <w:bCs/>
                <w:sz w:val="18"/>
                <w:szCs w:val="18"/>
                <w:vertAlign w:val="subscript"/>
              </w:rPr>
              <w:t>2</w:t>
            </w:r>
            <w:r w:rsidRPr="00907D83">
              <w:rPr>
                <w:rFonts w:ascii="Arial" w:hAnsi="Arial" w:cs="Arial"/>
                <w:bCs/>
                <w:sz w:val="18"/>
                <w:szCs w:val="18"/>
              </w:rPr>
              <w:t xml:space="preserve">e emissions avoided by EE energy savings produced in sub projects financed. Final target was estimated based on envisaged EE savings. Conversion factors from: (i) default emission factor for stationary combustion of wood/wood waste in manufacturing industries and construction from the </w:t>
            </w:r>
            <w:hyperlink r:id="rId16" w:history="1">
              <w:r w:rsidRPr="00907D83">
                <w:rPr>
                  <w:rStyle w:val="Hyperlink"/>
                  <w:rFonts w:ascii="Arial" w:hAnsi="Arial" w:cs="Arial"/>
                  <w:sz w:val="18"/>
                  <w:szCs w:val="18"/>
                </w:rPr>
                <w:t>2006 IPCC Guidelines for National Greenhouse Gas Inventories</w:t>
              </w:r>
            </w:hyperlink>
            <w:r w:rsidRPr="00907D83">
              <w:rPr>
                <w:rFonts w:ascii="Arial" w:hAnsi="Arial" w:cs="Arial"/>
                <w:bCs/>
                <w:sz w:val="18"/>
                <w:szCs w:val="18"/>
              </w:rPr>
              <w:t xml:space="preserve"> (112,000 kg of CO</w:t>
            </w:r>
            <w:r w:rsidRPr="00907D83">
              <w:rPr>
                <w:rFonts w:ascii="Arial" w:hAnsi="Arial" w:cs="Arial"/>
                <w:bCs/>
                <w:sz w:val="18"/>
                <w:szCs w:val="18"/>
                <w:vertAlign w:val="subscript"/>
              </w:rPr>
              <w:t>2</w:t>
            </w:r>
            <w:r w:rsidRPr="00907D83">
              <w:rPr>
                <w:rFonts w:ascii="Arial" w:hAnsi="Arial" w:cs="Arial"/>
                <w:bCs/>
                <w:sz w:val="18"/>
                <w:szCs w:val="18"/>
              </w:rPr>
              <w:t xml:space="preserve"> per TJ); and (ii) Latin America’s average conversion factor for electricity (0.188 kg CO</w:t>
            </w:r>
            <w:r w:rsidRPr="00907D83">
              <w:rPr>
                <w:rFonts w:ascii="Arial" w:hAnsi="Arial" w:cs="Arial"/>
                <w:bCs/>
                <w:sz w:val="18"/>
                <w:szCs w:val="18"/>
                <w:vertAlign w:val="subscript"/>
              </w:rPr>
              <w:t>2</w:t>
            </w:r>
            <w:r w:rsidRPr="00907D83">
              <w:rPr>
                <w:rFonts w:ascii="Arial" w:hAnsi="Arial" w:cs="Arial"/>
                <w:bCs/>
                <w:sz w:val="18"/>
                <w:szCs w:val="18"/>
              </w:rPr>
              <w:t xml:space="preserve"> per kWh) from the </w:t>
            </w:r>
            <w:hyperlink r:id="rId17" w:history="1">
              <w:r w:rsidRPr="00907D83">
                <w:rPr>
                  <w:rStyle w:val="Hyperlink"/>
                  <w:rFonts w:ascii="Arial" w:hAnsi="Arial" w:cs="Arial"/>
                  <w:sz w:val="18"/>
                  <w:szCs w:val="18"/>
                </w:rPr>
                <w:t>List of international emission conversion factors for electricity</w:t>
              </w:r>
            </w:hyperlink>
            <w:r w:rsidRPr="00907D83">
              <w:rPr>
                <w:rFonts w:ascii="Arial" w:hAnsi="Arial" w:cs="Arial"/>
                <w:bCs/>
                <w:sz w:val="18"/>
                <w:szCs w:val="18"/>
              </w:rPr>
              <w:t>.</w:t>
            </w:r>
          </w:p>
          <w:p w14:paraId="5969096E" w14:textId="77777777" w:rsidR="00C37366" w:rsidRPr="00907D83" w:rsidRDefault="00C37366" w:rsidP="00C37366">
            <w:pPr>
              <w:ind w:left="-18"/>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2D9BB879" w14:textId="77777777" w:rsidR="00C37366" w:rsidRPr="00907D83" w:rsidRDefault="00C37366" w:rsidP="00C37366">
            <w:pPr>
              <w:ind w:left="254"/>
              <w:cnfStyle w:val="000000000000" w:firstRow="0" w:lastRow="0" w:firstColumn="0" w:lastColumn="0" w:oddVBand="0" w:evenVBand="0" w:oddHBand="0" w:evenHBand="0" w:firstRowFirstColumn="0" w:firstRowLastColumn="0" w:lastRowFirstColumn="0" w:lastRowLastColumn="0"/>
              <w:rPr>
                <w:rFonts w:ascii="Arial" w:hAnsi="Arial" w:cs="Arial"/>
                <w:bCs/>
                <w:i/>
                <w:sz w:val="18"/>
                <w:szCs w:val="18"/>
              </w:rPr>
            </w:pPr>
            <w:r w:rsidRPr="00907D83">
              <w:rPr>
                <w:rFonts w:ascii="Arial" w:hAnsi="Arial" w:cs="Arial"/>
                <w:bCs/>
                <w:i/>
                <w:sz w:val="18"/>
                <w:szCs w:val="18"/>
              </w:rPr>
              <w:t>GHG emissions = energy consumption x CO</w:t>
            </w:r>
            <w:r w:rsidRPr="00907D83">
              <w:rPr>
                <w:rFonts w:ascii="Arial" w:hAnsi="Arial" w:cs="Arial"/>
                <w:bCs/>
                <w:i/>
                <w:sz w:val="18"/>
                <w:szCs w:val="18"/>
                <w:vertAlign w:val="subscript"/>
              </w:rPr>
              <w:t>2</w:t>
            </w:r>
            <w:r w:rsidRPr="00907D83">
              <w:rPr>
                <w:rFonts w:ascii="Arial" w:hAnsi="Arial" w:cs="Arial"/>
                <w:bCs/>
                <w:i/>
                <w:sz w:val="18"/>
                <w:szCs w:val="18"/>
              </w:rPr>
              <w:t xml:space="preserve"> emission factor</w:t>
            </w:r>
          </w:p>
          <w:p w14:paraId="466BDC63" w14:textId="46451A55" w:rsidR="00C37366" w:rsidRPr="00907D83" w:rsidRDefault="00C37366" w:rsidP="00C37366">
            <w:pPr>
              <w:spacing w:before="120" w:after="120"/>
              <w:ind w:left="-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b/>
                <w:bCs/>
                <w:sz w:val="18"/>
                <w:szCs w:val="18"/>
              </w:rPr>
              <w:t>Source:</w:t>
            </w:r>
            <w:r w:rsidRPr="00907D83">
              <w:rPr>
                <w:rFonts w:ascii="Arial" w:hAnsi="Arial" w:cs="Arial"/>
                <w:bCs/>
                <w:sz w:val="18"/>
                <w:szCs w:val="18"/>
              </w:rPr>
              <w:t xml:space="preserve"> Annual report on program execution by AFD and conversion factor from internationally accepted GHG inventory guidelines.</w:t>
            </w:r>
          </w:p>
        </w:tc>
      </w:tr>
    </w:tbl>
    <w:p w14:paraId="6A5B0EFC" w14:textId="79F5D45E" w:rsidR="00B131AB" w:rsidRPr="00907D83" w:rsidRDefault="0044752E" w:rsidP="00EF0621">
      <w:pPr>
        <w:pStyle w:val="Paragraph"/>
        <w:tabs>
          <w:tab w:val="clear" w:pos="2736"/>
          <w:tab w:val="num" w:pos="720"/>
        </w:tabs>
        <w:ind w:left="720" w:hanging="720"/>
        <w:rPr>
          <w:rFonts w:ascii="Arial" w:hAnsi="Arial" w:cs="Arial"/>
          <w:sz w:val="22"/>
          <w:szCs w:val="22"/>
        </w:rPr>
      </w:pPr>
      <w:bookmarkStart w:id="31" w:name="_Ref501016623"/>
      <w:bookmarkEnd w:id="29"/>
      <w:r w:rsidRPr="00907D83">
        <w:rPr>
          <w:rFonts w:ascii="Arial" w:hAnsi="Arial" w:cs="Arial"/>
          <w:sz w:val="22"/>
          <w:szCs w:val="22"/>
        </w:rPr>
        <w:t>The</w:t>
      </w:r>
      <w:r w:rsidR="007E73EC" w:rsidRPr="00907D83">
        <w:rPr>
          <w:rFonts w:ascii="Arial" w:hAnsi="Arial" w:cs="Arial"/>
          <w:sz w:val="22"/>
          <w:szCs w:val="22"/>
        </w:rPr>
        <w:t xml:space="preserve"> complementary TC program (</w:t>
      </w:r>
      <w:r w:rsidR="00722213" w:rsidRPr="00907D83">
        <w:rPr>
          <w:rFonts w:ascii="Arial" w:hAnsi="Arial" w:cs="Arial"/>
          <w:sz w:val="22"/>
          <w:szCs w:val="22"/>
        </w:rPr>
        <w:t>PR-</w:t>
      </w:r>
      <w:r w:rsidR="00087819" w:rsidRPr="00907D83">
        <w:rPr>
          <w:rFonts w:ascii="Arial" w:hAnsi="Arial" w:cs="Arial"/>
          <w:sz w:val="22"/>
          <w:szCs w:val="22"/>
        </w:rPr>
        <w:t>T1249</w:t>
      </w:r>
      <w:r w:rsidRPr="00907D83">
        <w:rPr>
          <w:rFonts w:ascii="Arial" w:hAnsi="Arial" w:cs="Arial"/>
          <w:sz w:val="22"/>
          <w:szCs w:val="22"/>
        </w:rPr>
        <w:t>)</w:t>
      </w:r>
      <w:r w:rsidR="00722213" w:rsidRPr="00907D83">
        <w:rPr>
          <w:rFonts w:ascii="Arial" w:hAnsi="Arial" w:cs="Arial"/>
          <w:sz w:val="22"/>
          <w:szCs w:val="22"/>
        </w:rPr>
        <w:t xml:space="preserve">, </w:t>
      </w:r>
      <w:r w:rsidR="007E73EC" w:rsidRPr="00907D83">
        <w:rPr>
          <w:rFonts w:ascii="Arial" w:hAnsi="Arial" w:cs="Arial"/>
          <w:sz w:val="22"/>
          <w:szCs w:val="22"/>
        </w:rPr>
        <w:t>to be approved separately</w:t>
      </w:r>
      <w:r w:rsidRPr="00907D83">
        <w:rPr>
          <w:rFonts w:ascii="Arial" w:hAnsi="Arial" w:cs="Arial"/>
          <w:sz w:val="22"/>
          <w:szCs w:val="22"/>
        </w:rPr>
        <w:t xml:space="preserve"> (see ¶</w:t>
      </w:r>
      <w:r w:rsidRPr="000116D0">
        <w:rPr>
          <w:rFonts w:ascii="Arial" w:hAnsi="Arial" w:cs="Arial"/>
          <w:sz w:val="22"/>
          <w:szCs w:val="22"/>
        </w:rPr>
        <w:fldChar w:fldCharType="begin"/>
      </w:r>
      <w:r w:rsidRPr="00907D83">
        <w:rPr>
          <w:rFonts w:ascii="Arial" w:hAnsi="Arial" w:cs="Arial"/>
          <w:sz w:val="22"/>
          <w:szCs w:val="22"/>
        </w:rPr>
        <w:instrText xml:space="preserve"> REF _Ref501018439 \r \h </w:instrText>
      </w:r>
      <w:r w:rsidR="007E60E0" w:rsidRPr="00907D83">
        <w:rPr>
          <w:rFonts w:ascii="Arial" w:hAnsi="Arial" w:cs="Arial"/>
          <w:sz w:val="22"/>
          <w:szCs w:val="22"/>
        </w:rPr>
        <w:instrText xml:space="preserve"> \* MERGEFORMAT </w:instrText>
      </w:r>
      <w:r w:rsidRPr="000116D0">
        <w:rPr>
          <w:rFonts w:ascii="Arial" w:hAnsi="Arial" w:cs="Arial"/>
          <w:sz w:val="22"/>
          <w:szCs w:val="22"/>
        </w:rPr>
      </w:r>
      <w:r w:rsidRPr="000116D0">
        <w:rPr>
          <w:rFonts w:ascii="Arial" w:hAnsi="Arial" w:cs="Arial"/>
          <w:sz w:val="22"/>
          <w:szCs w:val="22"/>
        </w:rPr>
        <w:fldChar w:fldCharType="separate"/>
      </w:r>
      <w:r w:rsidRPr="00907D83">
        <w:rPr>
          <w:rFonts w:ascii="Arial" w:hAnsi="Arial" w:cs="Arial"/>
          <w:sz w:val="22"/>
          <w:szCs w:val="22"/>
        </w:rPr>
        <w:t>1.5</w:t>
      </w:r>
      <w:r w:rsidRPr="000116D0">
        <w:rPr>
          <w:rFonts w:ascii="Arial" w:hAnsi="Arial" w:cs="Arial"/>
          <w:sz w:val="22"/>
          <w:szCs w:val="22"/>
        </w:rPr>
        <w:fldChar w:fldCharType="end"/>
      </w:r>
      <w:r w:rsidR="007E73EC" w:rsidRPr="00907D83">
        <w:rPr>
          <w:rFonts w:ascii="Arial" w:hAnsi="Arial" w:cs="Arial"/>
          <w:sz w:val="22"/>
          <w:szCs w:val="22"/>
        </w:rPr>
        <w:t>) envisions a series of activities that will support the effective implementation of the loans produced by this program. Among its activities, it includes support to the d</w:t>
      </w:r>
      <w:r w:rsidR="00B131AB" w:rsidRPr="00907D83">
        <w:rPr>
          <w:rFonts w:ascii="Arial" w:hAnsi="Arial" w:cs="Arial"/>
          <w:sz w:val="22"/>
          <w:szCs w:val="22"/>
        </w:rPr>
        <w:t>evelop</w:t>
      </w:r>
      <w:r w:rsidR="007E73EC" w:rsidRPr="00907D83">
        <w:rPr>
          <w:rFonts w:ascii="Arial" w:hAnsi="Arial" w:cs="Arial"/>
          <w:sz w:val="22"/>
          <w:szCs w:val="22"/>
        </w:rPr>
        <w:t xml:space="preserve">ment of </w:t>
      </w:r>
      <w:r w:rsidR="00B131AB" w:rsidRPr="00907D83">
        <w:rPr>
          <w:rFonts w:ascii="Arial" w:hAnsi="Arial" w:cs="Arial"/>
          <w:sz w:val="22"/>
          <w:szCs w:val="22"/>
        </w:rPr>
        <w:t xml:space="preserve">methodologies </w:t>
      </w:r>
      <w:r w:rsidR="007E73EC" w:rsidRPr="00907D83">
        <w:rPr>
          <w:rFonts w:ascii="Arial" w:hAnsi="Arial" w:cs="Arial"/>
          <w:sz w:val="22"/>
          <w:szCs w:val="22"/>
        </w:rPr>
        <w:t>for computing</w:t>
      </w:r>
      <w:r w:rsidR="00B131AB" w:rsidRPr="00907D83">
        <w:rPr>
          <w:rFonts w:ascii="Arial" w:hAnsi="Arial" w:cs="Arial"/>
          <w:sz w:val="22"/>
          <w:szCs w:val="22"/>
        </w:rPr>
        <w:t xml:space="preserve"> energy savings</w:t>
      </w:r>
      <w:r w:rsidR="007E73EC" w:rsidRPr="00907D83">
        <w:rPr>
          <w:rFonts w:ascii="Arial" w:hAnsi="Arial" w:cs="Arial"/>
          <w:sz w:val="22"/>
          <w:szCs w:val="22"/>
        </w:rPr>
        <w:t xml:space="preserve"> at the sub project level (</w:t>
      </w:r>
      <w:r w:rsidR="00B131AB" w:rsidRPr="00907D83">
        <w:rPr>
          <w:rFonts w:ascii="Arial" w:hAnsi="Arial" w:cs="Arial"/>
          <w:sz w:val="22"/>
          <w:szCs w:val="22"/>
        </w:rPr>
        <w:t xml:space="preserve">validation, protocols, </w:t>
      </w:r>
      <w:r w:rsidR="007E73EC" w:rsidRPr="00907D83">
        <w:rPr>
          <w:rFonts w:ascii="Arial" w:hAnsi="Arial" w:cs="Arial"/>
          <w:sz w:val="22"/>
          <w:szCs w:val="22"/>
        </w:rPr>
        <w:t xml:space="preserve">formats and monitoring procedures). While these tools are aimed for </w:t>
      </w:r>
      <w:r w:rsidR="00B131AB" w:rsidRPr="00907D83">
        <w:rPr>
          <w:rFonts w:ascii="Arial" w:hAnsi="Arial" w:cs="Arial"/>
          <w:sz w:val="22"/>
          <w:szCs w:val="22"/>
        </w:rPr>
        <w:t>project developers (ESTP</w:t>
      </w:r>
      <w:r w:rsidR="007E73EC" w:rsidRPr="00907D83">
        <w:rPr>
          <w:rFonts w:ascii="Arial" w:hAnsi="Arial" w:cs="Arial"/>
          <w:sz w:val="22"/>
          <w:szCs w:val="22"/>
        </w:rPr>
        <w:t>,</w:t>
      </w:r>
      <w:r w:rsidR="00B131AB" w:rsidRPr="00907D83">
        <w:rPr>
          <w:rFonts w:ascii="Arial" w:hAnsi="Arial" w:cs="Arial"/>
          <w:sz w:val="22"/>
          <w:szCs w:val="22"/>
        </w:rPr>
        <w:t xml:space="preserve"> </w:t>
      </w:r>
      <w:r w:rsidR="00EC2648" w:rsidRPr="00907D83">
        <w:rPr>
          <w:rFonts w:ascii="Arial" w:hAnsi="Arial" w:cs="Arial"/>
          <w:sz w:val="22"/>
          <w:szCs w:val="22"/>
        </w:rPr>
        <w:t>SME</w:t>
      </w:r>
      <w:r w:rsidR="00B131AB" w:rsidRPr="00907D83">
        <w:rPr>
          <w:rFonts w:ascii="Arial" w:hAnsi="Arial" w:cs="Arial"/>
          <w:sz w:val="22"/>
          <w:szCs w:val="22"/>
        </w:rPr>
        <w:t>s) and validators verify</w:t>
      </w:r>
      <w:r w:rsidR="007E73EC" w:rsidRPr="00907D83">
        <w:rPr>
          <w:rFonts w:ascii="Arial" w:hAnsi="Arial" w:cs="Arial"/>
          <w:sz w:val="22"/>
          <w:szCs w:val="22"/>
        </w:rPr>
        <w:t>ing</w:t>
      </w:r>
      <w:r w:rsidR="00B131AB" w:rsidRPr="00907D83">
        <w:rPr>
          <w:rFonts w:ascii="Arial" w:hAnsi="Arial" w:cs="Arial"/>
          <w:sz w:val="22"/>
          <w:szCs w:val="22"/>
        </w:rPr>
        <w:t xml:space="preserve"> project </w:t>
      </w:r>
      <w:r w:rsidR="007E73EC" w:rsidRPr="00907D83">
        <w:rPr>
          <w:rFonts w:ascii="Arial" w:hAnsi="Arial" w:cs="Arial"/>
          <w:sz w:val="22"/>
          <w:szCs w:val="22"/>
        </w:rPr>
        <w:t xml:space="preserve">performance, it is considered that the data resulting from these tools will </w:t>
      </w:r>
      <w:r w:rsidR="00722213" w:rsidRPr="00907D83">
        <w:rPr>
          <w:rFonts w:ascii="Arial" w:hAnsi="Arial" w:cs="Arial"/>
          <w:sz w:val="22"/>
          <w:szCs w:val="22"/>
        </w:rPr>
        <w:t>serve</w:t>
      </w:r>
      <w:r w:rsidR="007E73EC" w:rsidRPr="00907D83">
        <w:rPr>
          <w:rFonts w:ascii="Arial" w:hAnsi="Arial" w:cs="Arial"/>
          <w:sz w:val="22"/>
          <w:szCs w:val="22"/>
        </w:rPr>
        <w:t xml:space="preserve"> </w:t>
      </w:r>
      <w:r w:rsidR="00722213" w:rsidRPr="00907D83">
        <w:rPr>
          <w:rFonts w:ascii="Arial" w:hAnsi="Arial" w:cs="Arial"/>
          <w:sz w:val="22"/>
          <w:szCs w:val="22"/>
        </w:rPr>
        <w:t xml:space="preserve">as </w:t>
      </w:r>
      <w:r w:rsidR="007E73EC" w:rsidRPr="00907D83">
        <w:rPr>
          <w:rFonts w:ascii="Arial" w:hAnsi="Arial" w:cs="Arial"/>
          <w:sz w:val="22"/>
          <w:szCs w:val="22"/>
        </w:rPr>
        <w:lastRenderedPageBreak/>
        <w:t xml:space="preserve">input </w:t>
      </w:r>
      <w:r w:rsidR="00722213" w:rsidRPr="00907D83">
        <w:rPr>
          <w:rFonts w:ascii="Arial" w:hAnsi="Arial" w:cs="Arial"/>
          <w:sz w:val="22"/>
          <w:szCs w:val="22"/>
        </w:rPr>
        <w:t xml:space="preserve">for the “Average annual energy cost savings from sub projects financed by the program” indicator. As such, </w:t>
      </w:r>
      <w:r w:rsidR="008D27B3" w:rsidRPr="00907D83">
        <w:rPr>
          <w:rFonts w:ascii="Arial" w:hAnsi="Arial" w:cs="Arial"/>
          <w:sz w:val="22"/>
          <w:szCs w:val="22"/>
        </w:rPr>
        <w:t xml:space="preserve">AFD shall </w:t>
      </w:r>
      <w:r w:rsidR="00EF7523" w:rsidRPr="00907D83">
        <w:rPr>
          <w:rFonts w:ascii="Arial" w:hAnsi="Arial" w:cs="Arial"/>
          <w:sz w:val="22"/>
          <w:szCs w:val="22"/>
        </w:rPr>
        <w:t xml:space="preserve">have access to this data, to </w:t>
      </w:r>
      <w:r w:rsidR="008D27B3" w:rsidRPr="00907D83">
        <w:rPr>
          <w:rFonts w:ascii="Arial" w:hAnsi="Arial" w:cs="Arial"/>
          <w:sz w:val="22"/>
          <w:szCs w:val="22"/>
        </w:rPr>
        <w:t>track</w:t>
      </w:r>
      <w:r w:rsidR="00EF7523" w:rsidRPr="00907D83">
        <w:rPr>
          <w:rFonts w:ascii="Arial" w:hAnsi="Arial" w:cs="Arial"/>
          <w:sz w:val="22"/>
          <w:szCs w:val="22"/>
        </w:rPr>
        <w:t xml:space="preserve"> and</w:t>
      </w:r>
      <w:r w:rsidR="008D27B3" w:rsidRPr="00907D83">
        <w:rPr>
          <w:rFonts w:ascii="Arial" w:hAnsi="Arial" w:cs="Arial"/>
          <w:sz w:val="22"/>
          <w:szCs w:val="22"/>
        </w:rPr>
        <w:t xml:space="preserve"> compile</w:t>
      </w:r>
      <w:r w:rsidR="00EF7523" w:rsidRPr="00907D83">
        <w:rPr>
          <w:rFonts w:ascii="Arial" w:hAnsi="Arial" w:cs="Arial"/>
          <w:sz w:val="22"/>
          <w:szCs w:val="22"/>
        </w:rPr>
        <w:t xml:space="preserve"> information related to </w:t>
      </w:r>
      <w:r w:rsidR="008D27B3" w:rsidRPr="00907D83">
        <w:rPr>
          <w:rFonts w:ascii="Arial" w:hAnsi="Arial" w:cs="Arial"/>
          <w:sz w:val="22"/>
          <w:szCs w:val="22"/>
        </w:rPr>
        <w:t>energy savings</w:t>
      </w:r>
      <w:r w:rsidR="00EF7523" w:rsidRPr="00907D83">
        <w:rPr>
          <w:rFonts w:ascii="Arial" w:hAnsi="Arial" w:cs="Arial"/>
          <w:sz w:val="22"/>
          <w:szCs w:val="22"/>
        </w:rPr>
        <w:t xml:space="preserve"> at the project level, and calculate the value of the aggregated indicator, periodically. T</w:t>
      </w:r>
      <w:r w:rsidR="00722213" w:rsidRPr="00907D83">
        <w:rPr>
          <w:rFonts w:ascii="Arial" w:hAnsi="Arial" w:cs="Arial"/>
          <w:sz w:val="22"/>
          <w:szCs w:val="22"/>
        </w:rPr>
        <w:t>he budget allocated for this activity under the TC i</w:t>
      </w:r>
      <w:r w:rsidR="00EF7523" w:rsidRPr="00907D83">
        <w:rPr>
          <w:rFonts w:ascii="Arial" w:hAnsi="Arial" w:cs="Arial"/>
          <w:sz w:val="22"/>
          <w:szCs w:val="22"/>
        </w:rPr>
        <w:t>s</w:t>
      </w:r>
      <w:r w:rsidR="00722213" w:rsidRPr="00907D83">
        <w:rPr>
          <w:rFonts w:ascii="Arial" w:hAnsi="Arial" w:cs="Arial"/>
          <w:sz w:val="22"/>
          <w:szCs w:val="22"/>
        </w:rPr>
        <w:t xml:space="preserve"> included in the monitoring budget of this program (Table 2.2).</w:t>
      </w:r>
      <w:bookmarkEnd w:id="31"/>
      <w:r w:rsidR="00722213" w:rsidRPr="00907D83">
        <w:rPr>
          <w:rFonts w:ascii="Arial" w:hAnsi="Arial" w:cs="Arial"/>
          <w:sz w:val="22"/>
          <w:szCs w:val="22"/>
        </w:rPr>
        <w:t xml:space="preserve"> </w:t>
      </w:r>
    </w:p>
    <w:p w14:paraId="35E5D5B6" w14:textId="73FAC12E" w:rsidR="00D3419D" w:rsidRPr="00907D83" w:rsidRDefault="00D3419D" w:rsidP="00EF0621">
      <w:pPr>
        <w:pStyle w:val="Paragraph"/>
        <w:tabs>
          <w:tab w:val="clear" w:pos="2736"/>
          <w:tab w:val="num" w:pos="720"/>
        </w:tabs>
        <w:ind w:left="720" w:hanging="720"/>
        <w:rPr>
          <w:rFonts w:ascii="Arial" w:hAnsi="Arial" w:cs="Arial"/>
          <w:sz w:val="22"/>
          <w:szCs w:val="22"/>
        </w:rPr>
      </w:pPr>
      <w:bookmarkStart w:id="32" w:name="_Ref505351955"/>
      <w:r w:rsidRPr="00907D83">
        <w:rPr>
          <w:rFonts w:ascii="Arial" w:hAnsi="Arial" w:cs="Arial"/>
          <w:sz w:val="22"/>
          <w:szCs w:val="22"/>
        </w:rPr>
        <w:t>Program preparation activities include the development of an Environmental and Social Management System (ESMS), to be fully integrated in the program’s OR. Risks at the sub</w:t>
      </w:r>
      <w:r w:rsidRPr="00907D83">
        <w:rPr>
          <w:rFonts w:ascii="Arial" w:hAnsi="Arial" w:cs="Arial"/>
          <w:sz w:val="22"/>
          <w:szCs w:val="22"/>
        </w:rPr>
        <w:noBreakHyphen/>
        <w:t xml:space="preserve">project level are expected to be low. Nevertheless, the ESMS will provide a framework for the proper </w:t>
      </w:r>
      <w:r w:rsidR="00551684" w:rsidRPr="00907D83">
        <w:rPr>
          <w:rFonts w:ascii="Arial" w:hAnsi="Arial" w:cs="Arial"/>
          <w:sz w:val="22"/>
          <w:szCs w:val="22"/>
        </w:rPr>
        <w:t>assessment</w:t>
      </w:r>
      <w:r w:rsidRPr="00907D83">
        <w:rPr>
          <w:rFonts w:ascii="Arial" w:hAnsi="Arial" w:cs="Arial"/>
          <w:sz w:val="22"/>
          <w:szCs w:val="22"/>
        </w:rPr>
        <w:t xml:space="preserve">, management and monitoring of individual sub-projects and overall portfolio, in accordance with the IDB environmental safeguards policies. The ESMS shall also integrate all applicable local systems and norms </w:t>
      </w:r>
      <w:r w:rsidR="009862A1" w:rsidRPr="00907D83">
        <w:rPr>
          <w:rFonts w:ascii="Arial" w:hAnsi="Arial" w:cs="Arial"/>
          <w:sz w:val="22"/>
          <w:szCs w:val="22"/>
        </w:rPr>
        <w:t xml:space="preserve">(see </w:t>
      </w:r>
      <w:hyperlink r:id="rId18" w:history="1">
        <w:r w:rsidR="009862A1" w:rsidRPr="00907D83">
          <w:rPr>
            <w:rStyle w:val="Hyperlink"/>
            <w:rFonts w:ascii="Arial" w:hAnsi="Arial" w:cs="Arial"/>
            <w:sz w:val="22"/>
            <w:szCs w:val="22"/>
          </w:rPr>
          <w:t xml:space="preserve">Environmental and Social Management </w:t>
        </w:r>
        <w:r w:rsidRPr="00907D83">
          <w:rPr>
            <w:rStyle w:val="Hyperlink"/>
            <w:rFonts w:ascii="Arial" w:hAnsi="Arial" w:cs="Arial"/>
            <w:sz w:val="22"/>
            <w:szCs w:val="22"/>
          </w:rPr>
          <w:t>System</w:t>
        </w:r>
      </w:hyperlink>
      <w:r w:rsidR="009862A1" w:rsidRPr="00907D83">
        <w:rPr>
          <w:rFonts w:ascii="Arial" w:hAnsi="Arial" w:cs="Arial"/>
          <w:sz w:val="22"/>
          <w:szCs w:val="22"/>
        </w:rPr>
        <w:t>).</w:t>
      </w:r>
      <w:bookmarkEnd w:id="32"/>
    </w:p>
    <w:p w14:paraId="20CB99F3" w14:textId="145DC6AD" w:rsidR="00051B6C" w:rsidRPr="00907D83" w:rsidRDefault="00D3419D" w:rsidP="00EF0621">
      <w:pPr>
        <w:pStyle w:val="Paragraph"/>
        <w:tabs>
          <w:tab w:val="clear" w:pos="2736"/>
          <w:tab w:val="num" w:pos="720"/>
        </w:tabs>
        <w:ind w:left="720" w:hanging="720"/>
        <w:rPr>
          <w:rFonts w:ascii="Arial" w:hAnsi="Arial" w:cs="Arial"/>
          <w:sz w:val="22"/>
          <w:szCs w:val="22"/>
        </w:rPr>
      </w:pPr>
      <w:bookmarkStart w:id="33" w:name="_Ref500788805"/>
      <w:r w:rsidRPr="00907D83">
        <w:rPr>
          <w:rFonts w:ascii="Arial" w:hAnsi="Arial" w:cs="Arial"/>
          <w:sz w:val="22"/>
          <w:szCs w:val="22"/>
        </w:rPr>
        <w:t>In relation with this, t</w:t>
      </w:r>
      <w:r w:rsidR="009862A1" w:rsidRPr="00907D83">
        <w:rPr>
          <w:rFonts w:ascii="Arial" w:hAnsi="Arial" w:cs="Arial"/>
          <w:sz w:val="22"/>
          <w:szCs w:val="22"/>
        </w:rPr>
        <w:t xml:space="preserve">he loan agreement will include environmental and social </w:t>
      </w:r>
      <w:r w:rsidRPr="00907D83">
        <w:rPr>
          <w:rFonts w:ascii="Arial" w:hAnsi="Arial" w:cs="Arial"/>
          <w:sz w:val="22"/>
          <w:szCs w:val="22"/>
        </w:rPr>
        <w:t>considerations</w:t>
      </w:r>
      <w:r w:rsidR="009862A1" w:rsidRPr="00907D83">
        <w:rPr>
          <w:rFonts w:ascii="Arial" w:hAnsi="Arial" w:cs="Arial"/>
          <w:sz w:val="22"/>
          <w:szCs w:val="22"/>
        </w:rPr>
        <w:t xml:space="preserve"> </w:t>
      </w:r>
      <w:r w:rsidRPr="00907D83">
        <w:rPr>
          <w:rFonts w:ascii="Arial" w:hAnsi="Arial" w:cs="Arial"/>
          <w:sz w:val="22"/>
          <w:szCs w:val="22"/>
        </w:rPr>
        <w:t>as follows</w:t>
      </w:r>
      <w:r w:rsidR="009862A1" w:rsidRPr="00907D83">
        <w:rPr>
          <w:rFonts w:ascii="Arial" w:hAnsi="Arial" w:cs="Arial"/>
          <w:sz w:val="22"/>
          <w:szCs w:val="22"/>
        </w:rPr>
        <w:t xml:space="preserve">: (i) </w:t>
      </w:r>
      <w:r w:rsidRPr="00907D83">
        <w:rPr>
          <w:rFonts w:ascii="Arial" w:hAnsi="Arial" w:cs="Arial"/>
          <w:sz w:val="22"/>
          <w:szCs w:val="22"/>
        </w:rPr>
        <w:t>AFD</w:t>
      </w:r>
      <w:r w:rsidR="009862A1" w:rsidRPr="00907D83">
        <w:rPr>
          <w:rFonts w:ascii="Arial" w:hAnsi="Arial" w:cs="Arial"/>
          <w:sz w:val="22"/>
          <w:szCs w:val="22"/>
        </w:rPr>
        <w:t xml:space="preserve"> and the </w:t>
      </w:r>
      <w:r w:rsidRPr="00907D83">
        <w:rPr>
          <w:rFonts w:ascii="Arial" w:hAnsi="Arial" w:cs="Arial"/>
          <w:sz w:val="22"/>
          <w:szCs w:val="22"/>
        </w:rPr>
        <w:t>IDB</w:t>
      </w:r>
      <w:r w:rsidR="009862A1" w:rsidRPr="00907D83">
        <w:rPr>
          <w:rFonts w:ascii="Arial" w:hAnsi="Arial" w:cs="Arial"/>
          <w:sz w:val="22"/>
          <w:szCs w:val="22"/>
        </w:rPr>
        <w:t xml:space="preserve"> will agree on an ESMS </w:t>
      </w:r>
      <w:r w:rsidR="009862A1" w:rsidRPr="00907D83" w:rsidDel="003B23B5">
        <w:rPr>
          <w:rFonts w:ascii="Arial" w:hAnsi="Arial" w:cs="Arial"/>
          <w:sz w:val="22"/>
          <w:szCs w:val="22"/>
        </w:rPr>
        <w:t xml:space="preserve">to be included in the OR; (ii) </w:t>
      </w:r>
      <w:r w:rsidRPr="00907D83">
        <w:rPr>
          <w:rFonts w:ascii="Arial" w:hAnsi="Arial" w:cs="Arial"/>
          <w:sz w:val="22"/>
          <w:szCs w:val="22"/>
        </w:rPr>
        <w:t>AFD</w:t>
      </w:r>
      <w:r w:rsidR="009862A1" w:rsidRPr="00907D83" w:rsidDel="003B23B5">
        <w:rPr>
          <w:rFonts w:ascii="Arial" w:hAnsi="Arial" w:cs="Arial"/>
          <w:sz w:val="22"/>
          <w:szCs w:val="22"/>
        </w:rPr>
        <w:t xml:space="preserve"> will coordinate any inter-institutional arrangements to facilitate the</w:t>
      </w:r>
      <w:r w:rsidRPr="00907D83">
        <w:rPr>
          <w:rFonts w:ascii="Arial" w:hAnsi="Arial" w:cs="Arial"/>
          <w:sz w:val="22"/>
          <w:szCs w:val="22"/>
        </w:rPr>
        <w:t xml:space="preserve"> adequate</w:t>
      </w:r>
      <w:r w:rsidR="009862A1" w:rsidRPr="00907D83" w:rsidDel="003B23B5">
        <w:rPr>
          <w:rFonts w:ascii="Arial" w:hAnsi="Arial" w:cs="Arial"/>
          <w:sz w:val="22"/>
          <w:szCs w:val="22"/>
        </w:rPr>
        <w:t xml:space="preserve"> implementation of the ESMS; and (iii) </w:t>
      </w:r>
      <w:r w:rsidRPr="00907D83">
        <w:rPr>
          <w:rFonts w:ascii="Arial" w:hAnsi="Arial" w:cs="Arial"/>
          <w:sz w:val="22"/>
          <w:szCs w:val="22"/>
        </w:rPr>
        <w:t>AFD</w:t>
      </w:r>
      <w:r w:rsidR="009862A1" w:rsidRPr="00907D83" w:rsidDel="003B23B5">
        <w:rPr>
          <w:rFonts w:ascii="Arial" w:hAnsi="Arial" w:cs="Arial"/>
          <w:sz w:val="22"/>
          <w:szCs w:val="22"/>
        </w:rPr>
        <w:t xml:space="preserve"> will ensure that all </w:t>
      </w:r>
      <w:r w:rsidRPr="00907D83">
        <w:rPr>
          <w:rFonts w:ascii="Arial" w:hAnsi="Arial" w:cs="Arial"/>
          <w:sz w:val="22"/>
          <w:szCs w:val="22"/>
        </w:rPr>
        <w:t xml:space="preserve">sub </w:t>
      </w:r>
      <w:r w:rsidR="009862A1" w:rsidRPr="00907D83" w:rsidDel="003B23B5">
        <w:rPr>
          <w:rFonts w:ascii="Arial" w:hAnsi="Arial" w:cs="Arial"/>
          <w:sz w:val="22"/>
          <w:szCs w:val="22"/>
        </w:rPr>
        <w:t xml:space="preserve">projects financed by the program are implemented in full compliance with the requirements of the ESMS. </w:t>
      </w:r>
      <w:r w:rsidRPr="00907D83">
        <w:rPr>
          <w:rFonts w:ascii="Arial" w:hAnsi="Arial" w:cs="Arial"/>
          <w:sz w:val="22"/>
          <w:szCs w:val="22"/>
        </w:rPr>
        <w:t>AFD</w:t>
      </w:r>
      <w:r w:rsidR="009862A1" w:rsidRPr="00907D83" w:rsidDel="003B23B5">
        <w:rPr>
          <w:rFonts w:ascii="Arial" w:hAnsi="Arial" w:cs="Arial"/>
          <w:sz w:val="22"/>
          <w:szCs w:val="22"/>
        </w:rPr>
        <w:t xml:space="preserve"> </w:t>
      </w:r>
      <w:r w:rsidR="00086DCF" w:rsidRPr="00907D83" w:rsidDel="003B23B5">
        <w:rPr>
          <w:rFonts w:ascii="Arial" w:hAnsi="Arial" w:cs="Arial"/>
          <w:sz w:val="22"/>
          <w:szCs w:val="22"/>
        </w:rPr>
        <w:t xml:space="preserve">shall include </w:t>
      </w:r>
      <w:r w:rsidR="00CF5FAC" w:rsidRPr="00907D83">
        <w:rPr>
          <w:rFonts w:ascii="Arial" w:hAnsi="Arial" w:cs="Arial"/>
          <w:sz w:val="22"/>
          <w:szCs w:val="22"/>
        </w:rPr>
        <w:t>relevant</w:t>
      </w:r>
      <w:r w:rsidRPr="00907D83">
        <w:rPr>
          <w:rFonts w:ascii="Arial" w:hAnsi="Arial" w:cs="Arial"/>
          <w:sz w:val="22"/>
          <w:szCs w:val="22"/>
        </w:rPr>
        <w:t xml:space="preserve"> environment and social</w:t>
      </w:r>
      <w:r w:rsidR="00086DCF" w:rsidRPr="00907D83" w:rsidDel="003B23B5">
        <w:rPr>
          <w:rFonts w:ascii="Arial" w:hAnsi="Arial" w:cs="Arial"/>
          <w:sz w:val="22"/>
          <w:szCs w:val="22"/>
        </w:rPr>
        <w:t xml:space="preserve"> aspects in the annual </w:t>
      </w:r>
      <w:r w:rsidRPr="00907D83">
        <w:rPr>
          <w:rFonts w:ascii="Arial" w:hAnsi="Arial" w:cs="Arial"/>
          <w:sz w:val="22"/>
          <w:szCs w:val="22"/>
        </w:rPr>
        <w:t xml:space="preserve">implementation </w:t>
      </w:r>
      <w:r w:rsidR="00086DCF" w:rsidRPr="00907D83" w:rsidDel="003B23B5">
        <w:rPr>
          <w:rFonts w:ascii="Arial" w:hAnsi="Arial" w:cs="Arial"/>
          <w:sz w:val="22"/>
          <w:szCs w:val="22"/>
        </w:rPr>
        <w:t xml:space="preserve">reports of the program, </w:t>
      </w:r>
      <w:r w:rsidR="00CF5FAC" w:rsidRPr="00907D83">
        <w:rPr>
          <w:rFonts w:ascii="Arial" w:hAnsi="Arial" w:cs="Arial"/>
          <w:sz w:val="22"/>
          <w:szCs w:val="22"/>
        </w:rPr>
        <w:t>in addition</w:t>
      </w:r>
      <w:r w:rsidR="00086DCF" w:rsidRPr="00907D83" w:rsidDel="003B23B5">
        <w:rPr>
          <w:rFonts w:ascii="Arial" w:hAnsi="Arial" w:cs="Arial"/>
          <w:sz w:val="22"/>
          <w:szCs w:val="22"/>
        </w:rPr>
        <w:t xml:space="preserve"> to the </w:t>
      </w:r>
      <w:r w:rsidR="00900D4A" w:rsidRPr="00907D83">
        <w:rPr>
          <w:rFonts w:ascii="Arial" w:hAnsi="Arial" w:cs="Arial"/>
          <w:sz w:val="22"/>
          <w:szCs w:val="22"/>
        </w:rPr>
        <w:t xml:space="preserve">accounting and </w:t>
      </w:r>
      <w:r w:rsidR="00086DCF" w:rsidRPr="00907D83" w:rsidDel="003B23B5">
        <w:rPr>
          <w:rFonts w:ascii="Arial" w:hAnsi="Arial" w:cs="Arial"/>
          <w:sz w:val="22"/>
          <w:szCs w:val="22"/>
        </w:rPr>
        <w:t>results framework requirements</w:t>
      </w:r>
      <w:r w:rsidR="00051B6C" w:rsidRPr="00907D83" w:rsidDel="003B23B5">
        <w:rPr>
          <w:rFonts w:ascii="Arial" w:hAnsi="Arial" w:cs="Arial"/>
          <w:sz w:val="22"/>
          <w:szCs w:val="22"/>
        </w:rPr>
        <w:t>.</w:t>
      </w:r>
      <w:bookmarkEnd w:id="33"/>
    </w:p>
    <w:p w14:paraId="3DDDC0EA" w14:textId="77777777" w:rsidR="00051B6C" w:rsidRPr="00907D83" w:rsidRDefault="00051B6C" w:rsidP="00051B6C">
      <w:pPr>
        <w:pStyle w:val="FirstHeading"/>
        <w:ind w:left="720"/>
        <w:rPr>
          <w:rFonts w:ascii="Arial" w:hAnsi="Arial" w:cs="Arial"/>
          <w:noProof/>
          <w:sz w:val="22"/>
          <w:szCs w:val="22"/>
          <w:lang w:val="es-ES_tradnl"/>
        </w:rPr>
      </w:pPr>
      <w:bookmarkStart w:id="34" w:name="_Toc300318305"/>
      <w:bookmarkStart w:id="35" w:name="_Toc331167636"/>
      <w:bookmarkStart w:id="36" w:name="_Toc501017809"/>
      <w:r w:rsidRPr="00907D83">
        <w:rPr>
          <w:rFonts w:ascii="Arial" w:hAnsi="Arial" w:cs="Arial"/>
          <w:noProof/>
          <w:sz w:val="22"/>
          <w:szCs w:val="22"/>
          <w:lang w:val="es-ES_tradnl"/>
        </w:rPr>
        <w:t>B.</w:t>
      </w:r>
      <w:r w:rsidRPr="00907D83">
        <w:rPr>
          <w:rFonts w:ascii="Arial" w:hAnsi="Arial" w:cs="Arial"/>
          <w:noProof/>
          <w:sz w:val="22"/>
          <w:szCs w:val="22"/>
          <w:lang w:val="es-ES_tradnl"/>
        </w:rPr>
        <w:tab/>
      </w:r>
      <w:r w:rsidR="00086DCF" w:rsidRPr="00907D83">
        <w:rPr>
          <w:rFonts w:ascii="Arial" w:hAnsi="Arial" w:cs="Arial"/>
          <w:noProof/>
          <w:sz w:val="22"/>
          <w:szCs w:val="22"/>
          <w:lang w:val="es-ES_tradnl"/>
        </w:rPr>
        <w:t xml:space="preserve">Data collection and </w:t>
      </w:r>
      <w:r w:rsidR="00B63E64" w:rsidRPr="00907D83">
        <w:rPr>
          <w:rFonts w:ascii="Arial" w:hAnsi="Arial" w:cs="Arial"/>
          <w:noProof/>
          <w:sz w:val="22"/>
          <w:szCs w:val="22"/>
          <w:lang w:val="es-ES_tradnl"/>
        </w:rPr>
        <w:t>I</w:t>
      </w:r>
      <w:r w:rsidRPr="00907D83">
        <w:rPr>
          <w:rFonts w:ascii="Arial" w:hAnsi="Arial" w:cs="Arial"/>
          <w:noProof/>
          <w:sz w:val="22"/>
          <w:szCs w:val="22"/>
          <w:lang w:val="es-ES_tradnl"/>
        </w:rPr>
        <w:t>nstruments</w:t>
      </w:r>
      <w:bookmarkEnd w:id="34"/>
      <w:bookmarkEnd w:id="35"/>
      <w:bookmarkEnd w:id="36"/>
      <w:r w:rsidRPr="00907D83">
        <w:rPr>
          <w:rFonts w:ascii="Arial" w:hAnsi="Arial" w:cs="Arial"/>
          <w:noProof/>
          <w:sz w:val="22"/>
          <w:szCs w:val="22"/>
          <w:lang w:val="es-ES_tradnl"/>
        </w:rPr>
        <w:t xml:space="preserve"> </w:t>
      </w:r>
    </w:p>
    <w:p w14:paraId="3DCE3169" w14:textId="0EF0401B" w:rsidR="00952CB1" w:rsidRPr="00907D83" w:rsidRDefault="00900D4A" w:rsidP="00086DCF">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AFD</w:t>
      </w:r>
      <w:r w:rsidR="00086DCF" w:rsidRPr="00907D83">
        <w:rPr>
          <w:rFonts w:ascii="Arial" w:hAnsi="Arial" w:cs="Arial"/>
          <w:sz w:val="22"/>
          <w:szCs w:val="22"/>
        </w:rPr>
        <w:t xml:space="preserve"> will collect the </w:t>
      </w:r>
      <w:r w:rsidRPr="00907D83">
        <w:rPr>
          <w:rFonts w:ascii="Arial" w:hAnsi="Arial" w:cs="Arial"/>
          <w:sz w:val="22"/>
          <w:szCs w:val="22"/>
        </w:rPr>
        <w:t>required</w:t>
      </w:r>
      <w:r w:rsidR="00086DCF" w:rsidRPr="00907D83">
        <w:rPr>
          <w:rFonts w:ascii="Arial" w:hAnsi="Arial" w:cs="Arial"/>
          <w:sz w:val="22"/>
          <w:szCs w:val="22"/>
        </w:rPr>
        <w:t xml:space="preserve"> data for monitoring and present annual reports to the IDB. In cases</w:t>
      </w:r>
      <w:r w:rsidRPr="00907D83">
        <w:rPr>
          <w:rFonts w:ascii="Arial" w:hAnsi="Arial" w:cs="Arial"/>
          <w:sz w:val="22"/>
          <w:szCs w:val="22"/>
        </w:rPr>
        <w:t xml:space="preserve"> where indicators involve </w:t>
      </w:r>
      <w:r w:rsidR="00086DCF" w:rsidRPr="00907D83">
        <w:rPr>
          <w:rFonts w:ascii="Arial" w:hAnsi="Arial" w:cs="Arial"/>
          <w:sz w:val="22"/>
          <w:szCs w:val="22"/>
        </w:rPr>
        <w:t>calculations</w:t>
      </w:r>
      <w:r w:rsidRPr="00907D83">
        <w:rPr>
          <w:rFonts w:ascii="Arial" w:hAnsi="Arial" w:cs="Arial"/>
          <w:sz w:val="22"/>
          <w:szCs w:val="22"/>
        </w:rPr>
        <w:t>, estimations or projections, the IDB will produce these</w:t>
      </w:r>
      <w:r w:rsidR="00086DCF" w:rsidRPr="00907D83">
        <w:rPr>
          <w:rFonts w:ascii="Arial" w:hAnsi="Arial" w:cs="Arial"/>
          <w:sz w:val="22"/>
          <w:szCs w:val="22"/>
        </w:rPr>
        <w:t xml:space="preserve"> based on the information provided by </w:t>
      </w:r>
      <w:r w:rsidRPr="00907D83">
        <w:rPr>
          <w:rFonts w:ascii="Arial" w:hAnsi="Arial" w:cs="Arial"/>
          <w:sz w:val="22"/>
          <w:szCs w:val="22"/>
        </w:rPr>
        <w:t>AFD</w:t>
      </w:r>
      <w:r w:rsidR="00086DCF" w:rsidRPr="00907D83">
        <w:rPr>
          <w:rFonts w:ascii="Arial" w:hAnsi="Arial" w:cs="Arial"/>
          <w:sz w:val="22"/>
          <w:szCs w:val="22"/>
        </w:rPr>
        <w:t xml:space="preserve"> in the annual reports.</w:t>
      </w:r>
      <w:r w:rsidR="00952CB1" w:rsidRPr="00907D83">
        <w:rPr>
          <w:rFonts w:ascii="Arial" w:hAnsi="Arial" w:cs="Arial"/>
          <w:sz w:val="22"/>
          <w:szCs w:val="22"/>
        </w:rPr>
        <w:t xml:space="preserve"> Secondary sources of information (especially international and government agencies publications related to the sector) are also acceptable and will serve to complement required information, as per description of monitoring indicators (see Table 2.1).</w:t>
      </w:r>
    </w:p>
    <w:p w14:paraId="7F3EAF57" w14:textId="5FE6DDC4" w:rsidR="00086DCF" w:rsidRPr="00907D83" w:rsidRDefault="00900D4A" w:rsidP="00086DCF">
      <w:pPr>
        <w:pStyle w:val="Paragraph"/>
        <w:tabs>
          <w:tab w:val="clear" w:pos="2736"/>
          <w:tab w:val="num" w:pos="720"/>
        </w:tabs>
        <w:ind w:left="720" w:hanging="720"/>
        <w:rPr>
          <w:rFonts w:ascii="Arial" w:hAnsi="Arial" w:cs="Arial"/>
          <w:sz w:val="22"/>
          <w:szCs w:val="22"/>
        </w:rPr>
      </w:pPr>
      <w:bookmarkStart w:id="37" w:name="_Ref500790139"/>
      <w:r w:rsidRPr="00907D83">
        <w:rPr>
          <w:rFonts w:ascii="Arial" w:hAnsi="Arial" w:cs="Arial"/>
          <w:sz w:val="22"/>
          <w:szCs w:val="22"/>
        </w:rPr>
        <w:t>AFD</w:t>
      </w:r>
      <w:r w:rsidR="00086DCF" w:rsidRPr="00907D83">
        <w:rPr>
          <w:rFonts w:ascii="Arial" w:hAnsi="Arial" w:cs="Arial"/>
          <w:sz w:val="22"/>
          <w:szCs w:val="22"/>
        </w:rPr>
        <w:t xml:space="preserve"> own information systems are considered sufficient and appropriate for monitoring the proposed indicators</w:t>
      </w:r>
      <w:r w:rsidRPr="00907D83">
        <w:rPr>
          <w:rFonts w:ascii="Arial" w:hAnsi="Arial" w:cs="Arial"/>
          <w:sz w:val="22"/>
          <w:szCs w:val="22"/>
        </w:rPr>
        <w:t xml:space="preserve">. However, it should be noted that </w:t>
      </w:r>
      <w:r w:rsidR="00722213" w:rsidRPr="00907D83">
        <w:rPr>
          <w:rFonts w:ascii="Arial" w:hAnsi="Arial" w:cs="Arial"/>
          <w:sz w:val="22"/>
          <w:szCs w:val="22"/>
        </w:rPr>
        <w:t>the aforementioned</w:t>
      </w:r>
      <w:r w:rsidRPr="00907D83">
        <w:rPr>
          <w:rFonts w:ascii="Arial" w:hAnsi="Arial" w:cs="Arial"/>
          <w:sz w:val="22"/>
          <w:szCs w:val="22"/>
        </w:rPr>
        <w:t xml:space="preserve"> complementary TC </w:t>
      </w:r>
      <w:r w:rsidR="00EC38F2" w:rsidRPr="00907D83">
        <w:rPr>
          <w:rFonts w:ascii="Arial" w:hAnsi="Arial" w:cs="Arial"/>
          <w:sz w:val="22"/>
          <w:szCs w:val="22"/>
        </w:rPr>
        <w:t xml:space="preserve">(PR-T1249) </w:t>
      </w:r>
      <w:r w:rsidRPr="00907D83">
        <w:rPr>
          <w:rFonts w:ascii="Arial" w:hAnsi="Arial" w:cs="Arial"/>
          <w:sz w:val="22"/>
          <w:szCs w:val="22"/>
        </w:rPr>
        <w:t>to be approved</w:t>
      </w:r>
      <w:r w:rsidR="00EC38F2" w:rsidRPr="00907D83">
        <w:rPr>
          <w:rFonts w:ascii="Arial" w:hAnsi="Arial" w:cs="Arial"/>
          <w:sz w:val="22"/>
          <w:szCs w:val="22"/>
        </w:rPr>
        <w:t xml:space="preserve"> </w:t>
      </w:r>
      <w:r w:rsidRPr="00907D83">
        <w:rPr>
          <w:rFonts w:ascii="Arial" w:hAnsi="Arial" w:cs="Arial"/>
          <w:sz w:val="22"/>
          <w:szCs w:val="22"/>
        </w:rPr>
        <w:t>in addition to this program, considers among its activities the support for the establishment of an electronic registry system for monitoring and evaluation of projects and program’s results</w:t>
      </w:r>
      <w:r w:rsidR="00722213" w:rsidRPr="00907D83">
        <w:rPr>
          <w:rFonts w:ascii="Arial" w:hAnsi="Arial" w:cs="Arial"/>
          <w:sz w:val="22"/>
          <w:szCs w:val="22"/>
        </w:rPr>
        <w:t xml:space="preserve"> in a more efficient manner</w:t>
      </w:r>
      <w:r w:rsidR="007E73EC" w:rsidRPr="00907D83">
        <w:rPr>
          <w:rFonts w:ascii="Arial" w:hAnsi="Arial" w:cs="Arial"/>
          <w:sz w:val="22"/>
          <w:szCs w:val="22"/>
        </w:rPr>
        <w:t>.</w:t>
      </w:r>
      <w:r w:rsidR="00722213" w:rsidRPr="00907D83">
        <w:rPr>
          <w:rFonts w:ascii="Arial" w:hAnsi="Arial" w:cs="Arial"/>
          <w:sz w:val="22"/>
          <w:szCs w:val="22"/>
        </w:rPr>
        <w:t xml:space="preserve"> The</w:t>
      </w:r>
      <w:r w:rsidR="007E73EC" w:rsidRPr="00907D83">
        <w:rPr>
          <w:rFonts w:ascii="Arial" w:hAnsi="Arial" w:cs="Arial"/>
          <w:sz w:val="22"/>
          <w:szCs w:val="22"/>
        </w:rPr>
        <w:t xml:space="preserve"> electronic registry system </w:t>
      </w:r>
      <w:r w:rsidR="00722213" w:rsidRPr="00907D83">
        <w:rPr>
          <w:rFonts w:ascii="Arial" w:hAnsi="Arial" w:cs="Arial"/>
          <w:sz w:val="22"/>
          <w:szCs w:val="22"/>
        </w:rPr>
        <w:t xml:space="preserve">will enable AFD to </w:t>
      </w:r>
      <w:r w:rsidR="007E73EC" w:rsidRPr="00907D83">
        <w:rPr>
          <w:rFonts w:ascii="Arial" w:hAnsi="Arial" w:cs="Arial"/>
          <w:sz w:val="22"/>
          <w:szCs w:val="22"/>
        </w:rPr>
        <w:t xml:space="preserve">collect/index information from </w:t>
      </w:r>
      <w:r w:rsidR="00722213" w:rsidRPr="00907D83">
        <w:rPr>
          <w:rFonts w:ascii="Arial" w:hAnsi="Arial" w:cs="Arial"/>
          <w:sz w:val="22"/>
          <w:szCs w:val="22"/>
        </w:rPr>
        <w:t xml:space="preserve">sub </w:t>
      </w:r>
      <w:r w:rsidR="007E73EC" w:rsidRPr="00907D83">
        <w:rPr>
          <w:rFonts w:ascii="Arial" w:hAnsi="Arial" w:cs="Arial"/>
          <w:sz w:val="22"/>
          <w:szCs w:val="22"/>
        </w:rPr>
        <w:t xml:space="preserve">projects </w:t>
      </w:r>
      <w:r w:rsidR="00722213" w:rsidRPr="00907D83">
        <w:rPr>
          <w:rFonts w:ascii="Arial" w:hAnsi="Arial" w:cs="Arial"/>
          <w:sz w:val="22"/>
          <w:szCs w:val="22"/>
        </w:rPr>
        <w:t>financed</w:t>
      </w:r>
      <w:r w:rsidR="007E73EC" w:rsidRPr="00907D83">
        <w:rPr>
          <w:rFonts w:ascii="Arial" w:hAnsi="Arial" w:cs="Arial"/>
          <w:sz w:val="22"/>
          <w:szCs w:val="22"/>
        </w:rPr>
        <w:t xml:space="preserve"> </w:t>
      </w:r>
      <w:r w:rsidR="00722213" w:rsidRPr="00907D83">
        <w:rPr>
          <w:rFonts w:ascii="Arial" w:hAnsi="Arial" w:cs="Arial"/>
          <w:sz w:val="22"/>
          <w:szCs w:val="22"/>
        </w:rPr>
        <w:t>and track the amount of</w:t>
      </w:r>
      <w:r w:rsidR="007E73EC" w:rsidRPr="00907D83">
        <w:rPr>
          <w:rFonts w:ascii="Arial" w:hAnsi="Arial" w:cs="Arial"/>
          <w:sz w:val="22"/>
          <w:szCs w:val="22"/>
        </w:rPr>
        <w:t xml:space="preserve"> investment</w:t>
      </w:r>
      <w:r w:rsidR="00722213" w:rsidRPr="00907D83">
        <w:rPr>
          <w:rFonts w:ascii="Arial" w:hAnsi="Arial" w:cs="Arial"/>
          <w:sz w:val="22"/>
          <w:szCs w:val="22"/>
        </w:rPr>
        <w:t>, the</w:t>
      </w:r>
      <w:r w:rsidR="007E73EC" w:rsidRPr="00907D83">
        <w:rPr>
          <w:rFonts w:ascii="Arial" w:hAnsi="Arial" w:cs="Arial"/>
          <w:sz w:val="22"/>
          <w:szCs w:val="22"/>
        </w:rPr>
        <w:t xml:space="preserve"> energy savings</w:t>
      </w:r>
      <w:r w:rsidR="00722213" w:rsidRPr="00907D83">
        <w:rPr>
          <w:rFonts w:ascii="Arial" w:hAnsi="Arial" w:cs="Arial"/>
          <w:sz w:val="22"/>
          <w:szCs w:val="22"/>
        </w:rPr>
        <w:t xml:space="preserve"> produced</w:t>
      </w:r>
      <w:r w:rsidR="007E73EC" w:rsidRPr="00907D83">
        <w:rPr>
          <w:rFonts w:ascii="Arial" w:hAnsi="Arial" w:cs="Arial"/>
          <w:sz w:val="22"/>
          <w:szCs w:val="22"/>
        </w:rPr>
        <w:t xml:space="preserve"> and </w:t>
      </w:r>
      <w:r w:rsidR="00722213" w:rsidRPr="00907D83">
        <w:rPr>
          <w:rFonts w:ascii="Arial" w:hAnsi="Arial" w:cs="Arial"/>
          <w:sz w:val="22"/>
          <w:szCs w:val="22"/>
        </w:rPr>
        <w:t xml:space="preserve">the resulting </w:t>
      </w:r>
      <w:r w:rsidR="007E73EC" w:rsidRPr="00907D83">
        <w:rPr>
          <w:rFonts w:ascii="Arial" w:hAnsi="Arial" w:cs="Arial"/>
          <w:sz w:val="22"/>
          <w:szCs w:val="22"/>
        </w:rPr>
        <w:t>GHG emission reductions</w:t>
      </w:r>
      <w:r w:rsidR="00722213" w:rsidRPr="00907D83">
        <w:rPr>
          <w:rFonts w:ascii="Arial" w:hAnsi="Arial" w:cs="Arial"/>
          <w:sz w:val="22"/>
          <w:szCs w:val="22"/>
        </w:rPr>
        <w:t>. Budget allocated for this activity under the TC i</w:t>
      </w:r>
      <w:r w:rsidR="00592997" w:rsidRPr="00907D83">
        <w:rPr>
          <w:rFonts w:ascii="Arial" w:hAnsi="Arial" w:cs="Arial"/>
          <w:sz w:val="22"/>
          <w:szCs w:val="22"/>
        </w:rPr>
        <w:t>s</w:t>
      </w:r>
      <w:r w:rsidR="00722213" w:rsidRPr="00907D83">
        <w:rPr>
          <w:rFonts w:ascii="Arial" w:hAnsi="Arial" w:cs="Arial"/>
          <w:sz w:val="22"/>
          <w:szCs w:val="22"/>
        </w:rPr>
        <w:t xml:space="preserve"> included in the monitoring budget of this program (Table 2.2)</w:t>
      </w:r>
      <w:r w:rsidRPr="00907D83">
        <w:rPr>
          <w:rFonts w:ascii="Arial" w:hAnsi="Arial" w:cs="Arial"/>
          <w:sz w:val="22"/>
          <w:szCs w:val="22"/>
        </w:rPr>
        <w:t>.</w:t>
      </w:r>
      <w:bookmarkEnd w:id="37"/>
      <w:r w:rsidR="00086DCF" w:rsidRPr="00907D83">
        <w:rPr>
          <w:rFonts w:ascii="Arial" w:hAnsi="Arial" w:cs="Arial"/>
          <w:sz w:val="22"/>
          <w:szCs w:val="22"/>
        </w:rPr>
        <w:t xml:space="preserve"> </w:t>
      </w:r>
    </w:p>
    <w:p w14:paraId="22D990BF" w14:textId="43B22D2D" w:rsidR="00996C76" w:rsidRPr="00907D83" w:rsidRDefault="00952CB1" w:rsidP="00086DCF">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IDB monitoring activities will be supported by a multi sector </w:t>
      </w:r>
      <w:r w:rsidR="00086DCF" w:rsidRPr="00907D83">
        <w:rPr>
          <w:rFonts w:ascii="Arial" w:hAnsi="Arial" w:cs="Arial"/>
          <w:sz w:val="22"/>
          <w:szCs w:val="22"/>
        </w:rPr>
        <w:t xml:space="preserve">team composed by specialists from </w:t>
      </w:r>
      <w:r w:rsidR="006E4E72" w:rsidRPr="00907D83">
        <w:rPr>
          <w:rFonts w:ascii="Arial" w:hAnsi="Arial" w:cs="Arial"/>
          <w:sz w:val="22"/>
          <w:szCs w:val="22"/>
        </w:rPr>
        <w:t>IFD/CMF</w:t>
      </w:r>
      <w:r w:rsidRPr="00907D83">
        <w:rPr>
          <w:rFonts w:ascii="Arial" w:hAnsi="Arial" w:cs="Arial"/>
          <w:sz w:val="22"/>
          <w:szCs w:val="22"/>
        </w:rPr>
        <w:t>,</w:t>
      </w:r>
      <w:r w:rsidR="006E4E72" w:rsidRPr="00907D83">
        <w:rPr>
          <w:rFonts w:ascii="Arial" w:hAnsi="Arial" w:cs="Arial"/>
          <w:sz w:val="22"/>
          <w:szCs w:val="22"/>
        </w:rPr>
        <w:t xml:space="preserve"> </w:t>
      </w:r>
      <w:r w:rsidR="00086DCF" w:rsidRPr="00907D83">
        <w:rPr>
          <w:rFonts w:ascii="Arial" w:hAnsi="Arial" w:cs="Arial"/>
          <w:sz w:val="22"/>
          <w:szCs w:val="22"/>
        </w:rPr>
        <w:t>INE/ENE</w:t>
      </w:r>
      <w:r w:rsidRPr="00907D83">
        <w:rPr>
          <w:rFonts w:ascii="Arial" w:hAnsi="Arial" w:cs="Arial"/>
          <w:sz w:val="22"/>
          <w:szCs w:val="22"/>
        </w:rPr>
        <w:t xml:space="preserve"> and CC</w:t>
      </w:r>
      <w:r w:rsidR="00030896" w:rsidRPr="00907D83">
        <w:rPr>
          <w:rFonts w:ascii="Arial" w:hAnsi="Arial" w:cs="Arial"/>
          <w:sz w:val="22"/>
          <w:szCs w:val="22"/>
        </w:rPr>
        <w:t>S</w:t>
      </w:r>
      <w:r w:rsidRPr="00907D83">
        <w:rPr>
          <w:rFonts w:ascii="Arial" w:hAnsi="Arial" w:cs="Arial"/>
          <w:sz w:val="22"/>
          <w:szCs w:val="22"/>
        </w:rPr>
        <w:t>/CSD</w:t>
      </w:r>
      <w:r w:rsidR="00086DCF" w:rsidRPr="00907D83">
        <w:rPr>
          <w:rFonts w:ascii="Arial" w:hAnsi="Arial" w:cs="Arial"/>
          <w:sz w:val="22"/>
          <w:szCs w:val="22"/>
        </w:rPr>
        <w:t xml:space="preserve">, </w:t>
      </w:r>
      <w:r w:rsidRPr="00907D83">
        <w:rPr>
          <w:rFonts w:ascii="Arial" w:hAnsi="Arial" w:cs="Arial"/>
          <w:sz w:val="22"/>
          <w:szCs w:val="22"/>
        </w:rPr>
        <w:t>as well as local assistance</w:t>
      </w:r>
      <w:r w:rsidR="00086DCF" w:rsidRPr="00907D83">
        <w:rPr>
          <w:rFonts w:ascii="Arial" w:hAnsi="Arial" w:cs="Arial"/>
          <w:sz w:val="22"/>
          <w:szCs w:val="22"/>
        </w:rPr>
        <w:t xml:space="preserve"> from the country office in </w:t>
      </w:r>
      <w:r w:rsidRPr="00907D83">
        <w:rPr>
          <w:rFonts w:ascii="Arial" w:hAnsi="Arial" w:cs="Arial"/>
          <w:sz w:val="22"/>
          <w:szCs w:val="22"/>
        </w:rPr>
        <w:t>Paraguay. They will be jointly</w:t>
      </w:r>
      <w:r w:rsidR="00086DCF" w:rsidRPr="00907D83">
        <w:rPr>
          <w:rFonts w:ascii="Arial" w:hAnsi="Arial" w:cs="Arial"/>
          <w:sz w:val="22"/>
          <w:szCs w:val="22"/>
        </w:rPr>
        <w:t xml:space="preserve"> in charge of following up the execution, monitoring and evaluation of the program. </w:t>
      </w:r>
      <w:r w:rsidR="0044752E" w:rsidRPr="00907D83">
        <w:rPr>
          <w:rFonts w:ascii="Arial" w:hAnsi="Arial" w:cs="Arial"/>
          <w:sz w:val="22"/>
          <w:szCs w:val="22"/>
        </w:rPr>
        <w:t>AFD</w:t>
      </w:r>
      <w:r w:rsidR="00086DCF" w:rsidRPr="00907D83">
        <w:rPr>
          <w:rFonts w:ascii="Arial" w:hAnsi="Arial" w:cs="Arial"/>
          <w:sz w:val="22"/>
          <w:szCs w:val="22"/>
        </w:rPr>
        <w:t xml:space="preserve"> and the </w:t>
      </w:r>
      <w:r w:rsidRPr="00907D83">
        <w:rPr>
          <w:rFonts w:ascii="Arial" w:hAnsi="Arial" w:cs="Arial"/>
          <w:sz w:val="22"/>
          <w:szCs w:val="22"/>
        </w:rPr>
        <w:t>IDB</w:t>
      </w:r>
      <w:r w:rsidR="00086DCF" w:rsidRPr="00907D83">
        <w:rPr>
          <w:rFonts w:ascii="Arial" w:hAnsi="Arial" w:cs="Arial"/>
          <w:sz w:val="22"/>
          <w:szCs w:val="22"/>
        </w:rPr>
        <w:t xml:space="preserve"> </w:t>
      </w:r>
      <w:r w:rsidRPr="00907D83">
        <w:rPr>
          <w:rFonts w:ascii="Arial" w:hAnsi="Arial" w:cs="Arial"/>
          <w:sz w:val="22"/>
          <w:szCs w:val="22"/>
        </w:rPr>
        <w:t>will</w:t>
      </w:r>
      <w:r w:rsidR="00086DCF" w:rsidRPr="00907D83">
        <w:rPr>
          <w:rFonts w:ascii="Arial" w:hAnsi="Arial" w:cs="Arial"/>
          <w:sz w:val="22"/>
          <w:szCs w:val="22"/>
        </w:rPr>
        <w:t xml:space="preserve"> </w:t>
      </w:r>
      <w:r w:rsidR="0044752E" w:rsidRPr="00907D83">
        <w:rPr>
          <w:rFonts w:ascii="Arial" w:hAnsi="Arial" w:cs="Arial"/>
          <w:sz w:val="22"/>
          <w:szCs w:val="22"/>
        </w:rPr>
        <w:t>commit</w:t>
      </w:r>
      <w:r w:rsidR="00086DCF" w:rsidRPr="00907D83">
        <w:rPr>
          <w:rFonts w:ascii="Arial" w:hAnsi="Arial" w:cs="Arial"/>
          <w:sz w:val="22"/>
          <w:szCs w:val="22"/>
        </w:rPr>
        <w:t xml:space="preserve"> to carry out monitoring meetings </w:t>
      </w:r>
      <w:r w:rsidRPr="00907D83">
        <w:rPr>
          <w:rFonts w:ascii="Arial" w:hAnsi="Arial" w:cs="Arial"/>
          <w:sz w:val="22"/>
          <w:szCs w:val="22"/>
        </w:rPr>
        <w:t xml:space="preserve">based on </w:t>
      </w:r>
      <w:r w:rsidR="00086DCF" w:rsidRPr="00907D83">
        <w:rPr>
          <w:rFonts w:ascii="Arial" w:hAnsi="Arial" w:cs="Arial"/>
          <w:sz w:val="22"/>
          <w:szCs w:val="22"/>
        </w:rPr>
        <w:t xml:space="preserve">a regular schedule to be agreed upon </w:t>
      </w:r>
      <w:r w:rsidRPr="00907D83">
        <w:rPr>
          <w:rFonts w:ascii="Arial" w:hAnsi="Arial" w:cs="Arial"/>
          <w:sz w:val="22"/>
          <w:szCs w:val="22"/>
        </w:rPr>
        <w:t xml:space="preserve">once the program starts implementation </w:t>
      </w:r>
      <w:r w:rsidR="00086DCF" w:rsidRPr="00907D83">
        <w:rPr>
          <w:rFonts w:ascii="Arial" w:hAnsi="Arial" w:cs="Arial"/>
          <w:sz w:val="22"/>
          <w:szCs w:val="22"/>
        </w:rPr>
        <w:t>(see Table 2.2</w:t>
      </w:r>
      <w:r w:rsidR="000324CA" w:rsidRPr="00907D83">
        <w:rPr>
          <w:rFonts w:ascii="Arial" w:hAnsi="Arial" w:cs="Arial"/>
          <w:sz w:val="22"/>
          <w:szCs w:val="22"/>
        </w:rPr>
        <w:t>)</w:t>
      </w:r>
      <w:r w:rsidR="00996C76" w:rsidRPr="00907D83">
        <w:rPr>
          <w:rFonts w:ascii="Arial" w:hAnsi="Arial" w:cs="Arial"/>
          <w:sz w:val="22"/>
          <w:szCs w:val="22"/>
        </w:rPr>
        <w:t>.</w:t>
      </w:r>
    </w:p>
    <w:p w14:paraId="0F92B7D8" w14:textId="77777777" w:rsidR="00051B6C" w:rsidRPr="00907D83" w:rsidRDefault="00051B6C" w:rsidP="00051B6C">
      <w:pPr>
        <w:pStyle w:val="FirstHeading"/>
        <w:ind w:left="720"/>
        <w:rPr>
          <w:rFonts w:ascii="Arial" w:hAnsi="Arial" w:cs="Arial"/>
          <w:noProof/>
          <w:sz w:val="22"/>
          <w:szCs w:val="22"/>
        </w:rPr>
      </w:pPr>
      <w:bookmarkStart w:id="38" w:name="_Toc300318306"/>
      <w:bookmarkStart w:id="39" w:name="_Toc331167637"/>
      <w:bookmarkStart w:id="40" w:name="_Toc501017810"/>
      <w:r w:rsidRPr="00907D83">
        <w:rPr>
          <w:rFonts w:ascii="Arial" w:hAnsi="Arial" w:cs="Arial"/>
          <w:noProof/>
          <w:sz w:val="22"/>
          <w:szCs w:val="22"/>
        </w:rPr>
        <w:lastRenderedPageBreak/>
        <w:t>C.</w:t>
      </w:r>
      <w:r w:rsidRPr="00907D83">
        <w:rPr>
          <w:rFonts w:ascii="Arial" w:hAnsi="Arial" w:cs="Arial"/>
          <w:noProof/>
          <w:sz w:val="22"/>
          <w:szCs w:val="22"/>
        </w:rPr>
        <w:tab/>
      </w:r>
      <w:r w:rsidR="006E4E72" w:rsidRPr="00907D83">
        <w:rPr>
          <w:rFonts w:ascii="Arial" w:hAnsi="Arial" w:cs="Arial"/>
          <w:noProof/>
          <w:sz w:val="22"/>
          <w:szCs w:val="22"/>
        </w:rPr>
        <w:t xml:space="preserve">Reporting of </w:t>
      </w:r>
      <w:r w:rsidR="00361FA4" w:rsidRPr="00907D83">
        <w:rPr>
          <w:rFonts w:ascii="Arial" w:hAnsi="Arial" w:cs="Arial"/>
          <w:noProof/>
          <w:sz w:val="22"/>
          <w:szCs w:val="22"/>
        </w:rPr>
        <w:t xml:space="preserve">monitoring </w:t>
      </w:r>
      <w:r w:rsidR="006E4E72" w:rsidRPr="00907D83">
        <w:rPr>
          <w:rFonts w:ascii="Arial" w:hAnsi="Arial" w:cs="Arial"/>
          <w:noProof/>
          <w:sz w:val="22"/>
          <w:szCs w:val="22"/>
        </w:rPr>
        <w:t>results</w:t>
      </w:r>
      <w:bookmarkEnd w:id="38"/>
      <w:bookmarkEnd w:id="39"/>
      <w:bookmarkEnd w:id="40"/>
      <w:r w:rsidRPr="00907D83">
        <w:rPr>
          <w:rFonts w:ascii="Arial" w:hAnsi="Arial" w:cs="Arial"/>
          <w:noProof/>
          <w:sz w:val="22"/>
          <w:szCs w:val="22"/>
        </w:rPr>
        <w:t xml:space="preserve"> </w:t>
      </w:r>
    </w:p>
    <w:p w14:paraId="0AA3A5C0" w14:textId="3983C745" w:rsidR="00996C76" w:rsidRPr="00907D83" w:rsidRDefault="00996C76" w:rsidP="00996C76">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The </w:t>
      </w:r>
      <w:r w:rsidR="00C0432A" w:rsidRPr="00907D83">
        <w:rPr>
          <w:rFonts w:ascii="Arial" w:hAnsi="Arial" w:cs="Arial"/>
          <w:sz w:val="22"/>
          <w:szCs w:val="22"/>
        </w:rPr>
        <w:t xml:space="preserve">Planning and Finance </w:t>
      </w:r>
      <w:r w:rsidR="00370EDE" w:rsidRPr="00907D83">
        <w:rPr>
          <w:rFonts w:ascii="Arial" w:hAnsi="Arial" w:cs="Arial"/>
          <w:sz w:val="22"/>
          <w:szCs w:val="22"/>
        </w:rPr>
        <w:t xml:space="preserve">Department of </w:t>
      </w:r>
      <w:r w:rsidR="00952CB1" w:rsidRPr="00907D83">
        <w:rPr>
          <w:rFonts w:ascii="Arial" w:hAnsi="Arial" w:cs="Arial"/>
          <w:sz w:val="22"/>
          <w:szCs w:val="22"/>
        </w:rPr>
        <w:t>AFD</w:t>
      </w:r>
      <w:r w:rsidRPr="00907D83">
        <w:rPr>
          <w:rFonts w:ascii="Arial" w:hAnsi="Arial" w:cs="Arial"/>
          <w:sz w:val="22"/>
          <w:szCs w:val="22"/>
        </w:rPr>
        <w:t xml:space="preserve">, </w:t>
      </w:r>
      <w:r w:rsidR="00952CB1" w:rsidRPr="00907D83">
        <w:rPr>
          <w:rFonts w:ascii="Arial" w:hAnsi="Arial" w:cs="Arial"/>
          <w:sz w:val="22"/>
          <w:szCs w:val="22"/>
        </w:rPr>
        <w:t>will act</w:t>
      </w:r>
      <w:r w:rsidRPr="00907D83">
        <w:rPr>
          <w:rFonts w:ascii="Arial" w:hAnsi="Arial" w:cs="Arial"/>
          <w:sz w:val="22"/>
          <w:szCs w:val="22"/>
        </w:rPr>
        <w:t xml:space="preserve"> as </w:t>
      </w:r>
      <w:r w:rsidR="00447684" w:rsidRPr="00907D83">
        <w:rPr>
          <w:rFonts w:ascii="Arial" w:hAnsi="Arial" w:cs="Arial"/>
          <w:sz w:val="22"/>
          <w:szCs w:val="22"/>
        </w:rPr>
        <w:t>p</w:t>
      </w:r>
      <w:r w:rsidRPr="00907D83">
        <w:rPr>
          <w:rFonts w:ascii="Arial" w:hAnsi="Arial" w:cs="Arial"/>
          <w:sz w:val="22"/>
          <w:szCs w:val="22"/>
        </w:rPr>
        <w:t xml:space="preserve">roject </w:t>
      </w:r>
      <w:r w:rsidR="00447684" w:rsidRPr="00907D83">
        <w:rPr>
          <w:rFonts w:ascii="Arial" w:hAnsi="Arial" w:cs="Arial"/>
          <w:sz w:val="22"/>
          <w:szCs w:val="22"/>
        </w:rPr>
        <w:t>c</w:t>
      </w:r>
      <w:r w:rsidRPr="00907D83">
        <w:rPr>
          <w:rFonts w:ascii="Arial" w:hAnsi="Arial" w:cs="Arial"/>
          <w:sz w:val="22"/>
          <w:szCs w:val="22"/>
        </w:rPr>
        <w:t xml:space="preserve">oordination </w:t>
      </w:r>
      <w:r w:rsidR="00447684" w:rsidRPr="00907D83">
        <w:rPr>
          <w:rFonts w:ascii="Arial" w:hAnsi="Arial" w:cs="Arial"/>
          <w:sz w:val="22"/>
          <w:szCs w:val="22"/>
        </w:rPr>
        <w:t>u</w:t>
      </w:r>
      <w:r w:rsidRPr="00907D83">
        <w:rPr>
          <w:rFonts w:ascii="Arial" w:hAnsi="Arial" w:cs="Arial"/>
          <w:sz w:val="22"/>
          <w:szCs w:val="22"/>
        </w:rPr>
        <w:t>nit</w:t>
      </w:r>
      <w:r w:rsidR="00952CB1" w:rsidRPr="00907D83">
        <w:rPr>
          <w:rFonts w:ascii="Arial" w:hAnsi="Arial" w:cs="Arial"/>
          <w:sz w:val="22"/>
          <w:szCs w:val="22"/>
        </w:rPr>
        <w:t>. As such, it</w:t>
      </w:r>
      <w:r w:rsidRPr="00907D83">
        <w:rPr>
          <w:rFonts w:ascii="Arial" w:hAnsi="Arial" w:cs="Arial"/>
          <w:sz w:val="22"/>
          <w:szCs w:val="22"/>
        </w:rPr>
        <w:t xml:space="preserve"> will be the</w:t>
      </w:r>
      <w:r w:rsidR="00952CB1" w:rsidRPr="00907D83">
        <w:rPr>
          <w:rFonts w:ascii="Arial" w:hAnsi="Arial" w:cs="Arial"/>
          <w:sz w:val="22"/>
          <w:szCs w:val="22"/>
        </w:rPr>
        <w:t xml:space="preserve"> main</w:t>
      </w:r>
      <w:r w:rsidRPr="00907D83">
        <w:rPr>
          <w:rFonts w:ascii="Arial" w:hAnsi="Arial" w:cs="Arial"/>
          <w:sz w:val="22"/>
          <w:szCs w:val="22"/>
        </w:rPr>
        <w:t xml:space="preserve"> channel of communication with the IDB</w:t>
      </w:r>
      <w:r w:rsidR="00952CB1" w:rsidRPr="00907D83">
        <w:rPr>
          <w:rFonts w:ascii="Arial" w:hAnsi="Arial" w:cs="Arial"/>
          <w:sz w:val="22"/>
          <w:szCs w:val="22"/>
        </w:rPr>
        <w:t xml:space="preserve"> in all matters related to the program, including</w:t>
      </w:r>
      <w:r w:rsidRPr="00907D83">
        <w:rPr>
          <w:rFonts w:ascii="Arial" w:hAnsi="Arial" w:cs="Arial"/>
          <w:sz w:val="22"/>
          <w:szCs w:val="22"/>
        </w:rPr>
        <w:t xml:space="preserve">: (i) coordination and supervision of </w:t>
      </w:r>
      <w:r w:rsidR="00952CB1" w:rsidRPr="00907D83">
        <w:rPr>
          <w:rFonts w:ascii="Arial" w:hAnsi="Arial" w:cs="Arial"/>
          <w:sz w:val="22"/>
          <w:szCs w:val="22"/>
        </w:rPr>
        <w:t xml:space="preserve">operational and administrative </w:t>
      </w:r>
      <w:r w:rsidRPr="00907D83">
        <w:rPr>
          <w:rFonts w:ascii="Arial" w:hAnsi="Arial" w:cs="Arial"/>
          <w:sz w:val="22"/>
          <w:szCs w:val="22"/>
        </w:rPr>
        <w:t xml:space="preserve">activities, (ii) monitoring compliance with contractual </w:t>
      </w:r>
      <w:r w:rsidR="00952CB1" w:rsidRPr="00907D83">
        <w:rPr>
          <w:rFonts w:ascii="Arial" w:hAnsi="Arial" w:cs="Arial"/>
          <w:sz w:val="22"/>
          <w:szCs w:val="22"/>
        </w:rPr>
        <w:t xml:space="preserve">and reporting </w:t>
      </w:r>
      <w:r w:rsidRPr="00907D83">
        <w:rPr>
          <w:rFonts w:ascii="Arial" w:hAnsi="Arial" w:cs="Arial"/>
          <w:sz w:val="22"/>
          <w:szCs w:val="22"/>
        </w:rPr>
        <w:t>commitments</w:t>
      </w:r>
      <w:r w:rsidR="004317CE" w:rsidRPr="00907D83">
        <w:rPr>
          <w:rFonts w:ascii="Arial" w:hAnsi="Arial" w:cs="Arial"/>
          <w:sz w:val="22"/>
          <w:szCs w:val="22"/>
        </w:rPr>
        <w:t>;</w:t>
      </w:r>
      <w:r w:rsidRPr="00907D83">
        <w:rPr>
          <w:rFonts w:ascii="Arial" w:hAnsi="Arial" w:cs="Arial"/>
          <w:sz w:val="22"/>
          <w:szCs w:val="22"/>
        </w:rPr>
        <w:t xml:space="preserve"> and (iii) coordination of </w:t>
      </w:r>
      <w:r w:rsidR="00447684" w:rsidRPr="00907D83">
        <w:rPr>
          <w:rFonts w:ascii="Arial" w:hAnsi="Arial" w:cs="Arial"/>
          <w:sz w:val="22"/>
          <w:szCs w:val="22"/>
        </w:rPr>
        <w:t xml:space="preserve">monitoring and supervision </w:t>
      </w:r>
      <w:r w:rsidRPr="00907D83">
        <w:rPr>
          <w:rFonts w:ascii="Arial" w:hAnsi="Arial" w:cs="Arial"/>
          <w:sz w:val="22"/>
          <w:szCs w:val="22"/>
        </w:rPr>
        <w:t>visits</w:t>
      </w:r>
      <w:r w:rsidR="00447684" w:rsidRPr="00907D83">
        <w:rPr>
          <w:rFonts w:ascii="Arial" w:hAnsi="Arial" w:cs="Arial"/>
          <w:sz w:val="22"/>
          <w:szCs w:val="22"/>
        </w:rPr>
        <w:t>, including IDB follow up missions related to the program</w:t>
      </w:r>
      <w:r w:rsidRPr="00907D83">
        <w:rPr>
          <w:rFonts w:ascii="Arial" w:hAnsi="Arial" w:cs="Arial"/>
          <w:sz w:val="22"/>
          <w:szCs w:val="22"/>
        </w:rPr>
        <w:t>.</w:t>
      </w:r>
    </w:p>
    <w:p w14:paraId="3BDDFE26" w14:textId="54DCBFD2" w:rsidR="00A34CDF" w:rsidRPr="00907D83" w:rsidRDefault="00562887" w:rsidP="00A34CDF">
      <w:pPr>
        <w:pStyle w:val="Paragraph"/>
        <w:tabs>
          <w:tab w:val="clear" w:pos="2736"/>
          <w:tab w:val="num" w:pos="720"/>
        </w:tabs>
        <w:ind w:left="720" w:hanging="720"/>
        <w:rPr>
          <w:rFonts w:ascii="Arial" w:hAnsi="Arial" w:cs="Arial"/>
          <w:sz w:val="22"/>
          <w:szCs w:val="22"/>
        </w:rPr>
      </w:pPr>
      <w:r w:rsidRPr="00907D83">
        <w:rPr>
          <w:rFonts w:ascii="Arial" w:hAnsi="Arial" w:cs="Arial"/>
          <w:b/>
          <w:sz w:val="22"/>
          <w:szCs w:val="22"/>
        </w:rPr>
        <w:t>Semi-</w:t>
      </w:r>
      <w:r w:rsidR="00A34CDF" w:rsidRPr="00907D83">
        <w:rPr>
          <w:rFonts w:ascii="Arial" w:hAnsi="Arial" w:cs="Arial"/>
          <w:b/>
          <w:sz w:val="22"/>
          <w:szCs w:val="22"/>
        </w:rPr>
        <w:t>a</w:t>
      </w:r>
      <w:r w:rsidRPr="00907D83">
        <w:rPr>
          <w:rFonts w:ascii="Arial" w:hAnsi="Arial" w:cs="Arial"/>
          <w:b/>
          <w:sz w:val="22"/>
          <w:szCs w:val="22"/>
        </w:rPr>
        <w:t>nnual and a</w:t>
      </w:r>
      <w:r w:rsidR="00996C76" w:rsidRPr="00907D83">
        <w:rPr>
          <w:rFonts w:ascii="Arial" w:hAnsi="Arial" w:cs="Arial"/>
          <w:b/>
          <w:sz w:val="22"/>
          <w:szCs w:val="22"/>
        </w:rPr>
        <w:t>nnual reports</w:t>
      </w:r>
      <w:r w:rsidR="004317CE" w:rsidRPr="00907D83">
        <w:rPr>
          <w:rFonts w:ascii="Arial" w:hAnsi="Arial" w:cs="Arial"/>
          <w:sz w:val="22"/>
          <w:szCs w:val="22"/>
        </w:rPr>
        <w:t xml:space="preserve"> shall be prepared by the AFD and presented to the IDB</w:t>
      </w:r>
      <w:r w:rsidR="00A34CDF" w:rsidRPr="00907D83">
        <w:rPr>
          <w:rFonts w:ascii="Arial" w:hAnsi="Arial" w:cs="Arial"/>
          <w:sz w:val="22"/>
          <w:szCs w:val="22"/>
        </w:rPr>
        <w:t xml:space="preserve">. Semi-annual reports </w:t>
      </w:r>
      <w:r w:rsidR="00EA3F36" w:rsidRPr="00907D83">
        <w:rPr>
          <w:rFonts w:ascii="Arial" w:hAnsi="Arial" w:cs="Arial"/>
          <w:sz w:val="22"/>
          <w:szCs w:val="22"/>
        </w:rPr>
        <w:t>must</w:t>
      </w:r>
      <w:r w:rsidR="00A34CDF" w:rsidRPr="00907D83">
        <w:rPr>
          <w:rFonts w:ascii="Arial" w:hAnsi="Arial" w:cs="Arial"/>
          <w:sz w:val="22"/>
          <w:szCs w:val="22"/>
        </w:rPr>
        <w:t xml:space="preserve"> provide</w:t>
      </w:r>
      <w:r w:rsidR="00EA3F36" w:rsidRPr="00907D83">
        <w:rPr>
          <w:rFonts w:ascii="Arial" w:hAnsi="Arial" w:cs="Arial"/>
          <w:sz w:val="22"/>
          <w:szCs w:val="22"/>
        </w:rPr>
        <w:t xml:space="preserve"> operational </w:t>
      </w:r>
      <w:r w:rsidR="005E72EF" w:rsidRPr="00907D83">
        <w:rPr>
          <w:rFonts w:ascii="Arial" w:hAnsi="Arial" w:cs="Arial"/>
          <w:sz w:val="22"/>
          <w:szCs w:val="22"/>
        </w:rPr>
        <w:t>data from the program, at least</w:t>
      </w:r>
      <w:r w:rsidR="00A34CDF" w:rsidRPr="00907D83">
        <w:rPr>
          <w:rFonts w:ascii="Arial" w:hAnsi="Arial" w:cs="Arial"/>
          <w:sz w:val="22"/>
          <w:szCs w:val="22"/>
        </w:rPr>
        <w:t xml:space="preserve"> on disbursements (amounts, dates, co-financing including local counterpart and other sources, when applicable)</w:t>
      </w:r>
      <w:r w:rsidR="00EA3F36" w:rsidRPr="00907D83">
        <w:rPr>
          <w:rFonts w:ascii="Arial" w:hAnsi="Arial" w:cs="Arial"/>
          <w:sz w:val="22"/>
          <w:szCs w:val="22"/>
        </w:rPr>
        <w:t>,</w:t>
      </w:r>
      <w:r w:rsidR="00A34CDF" w:rsidRPr="00907D83">
        <w:rPr>
          <w:rFonts w:ascii="Arial" w:hAnsi="Arial" w:cs="Arial"/>
          <w:sz w:val="22"/>
          <w:szCs w:val="22"/>
        </w:rPr>
        <w:t xml:space="preserve"> the corresponding eligible expenses financed, and the </w:t>
      </w:r>
      <w:r w:rsidR="00EA3F36" w:rsidRPr="00907D83">
        <w:rPr>
          <w:rFonts w:ascii="Arial" w:hAnsi="Arial" w:cs="Arial"/>
          <w:sz w:val="22"/>
          <w:szCs w:val="22"/>
        </w:rPr>
        <w:t xml:space="preserve">remaining amount of funds. Operational data shall be complemented by an </w:t>
      </w:r>
      <w:r w:rsidR="00551684" w:rsidRPr="00907D83">
        <w:rPr>
          <w:rFonts w:ascii="Arial" w:hAnsi="Arial" w:cs="Arial"/>
          <w:sz w:val="22"/>
          <w:szCs w:val="22"/>
        </w:rPr>
        <w:t>assessment</w:t>
      </w:r>
      <w:r w:rsidR="00EA3F36" w:rsidRPr="00907D83">
        <w:rPr>
          <w:rFonts w:ascii="Arial" w:hAnsi="Arial" w:cs="Arial"/>
          <w:sz w:val="22"/>
          <w:szCs w:val="22"/>
        </w:rPr>
        <w:t xml:space="preserve"> on the performance of the program, in particular, </w:t>
      </w:r>
      <w:r w:rsidR="005E72EF" w:rsidRPr="00907D83">
        <w:rPr>
          <w:rFonts w:ascii="Arial" w:hAnsi="Arial" w:cs="Arial"/>
          <w:sz w:val="22"/>
          <w:szCs w:val="22"/>
        </w:rPr>
        <w:t xml:space="preserve">with regard to the </w:t>
      </w:r>
      <w:r w:rsidR="00EA3F36" w:rsidRPr="00907D83">
        <w:rPr>
          <w:rFonts w:ascii="Arial" w:hAnsi="Arial" w:cs="Arial"/>
          <w:sz w:val="22"/>
          <w:szCs w:val="22"/>
        </w:rPr>
        <w:t xml:space="preserve">compliance on the eligibility and </w:t>
      </w:r>
      <w:proofErr w:type="spellStart"/>
      <w:r w:rsidR="00EA3F36" w:rsidRPr="00907D83">
        <w:rPr>
          <w:rFonts w:ascii="Arial" w:hAnsi="Arial" w:cs="Arial"/>
          <w:sz w:val="22"/>
          <w:szCs w:val="22"/>
        </w:rPr>
        <w:t>concessionality</w:t>
      </w:r>
      <w:proofErr w:type="spellEnd"/>
      <w:r w:rsidR="00EA3F36" w:rsidRPr="00907D83">
        <w:rPr>
          <w:rFonts w:ascii="Arial" w:hAnsi="Arial" w:cs="Arial"/>
          <w:sz w:val="22"/>
          <w:szCs w:val="22"/>
        </w:rPr>
        <w:t xml:space="preserve"> requirements, as established in the OR.</w:t>
      </w:r>
    </w:p>
    <w:p w14:paraId="2D089E8A" w14:textId="5D8CD684" w:rsidR="00192DFA" w:rsidRPr="00907D83" w:rsidRDefault="00EA3F36" w:rsidP="009E3AC7">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Annual reports must include a more in-depth examination on the performance of the program </w:t>
      </w:r>
      <w:r w:rsidR="005E72EF" w:rsidRPr="00907D83">
        <w:rPr>
          <w:rFonts w:ascii="Arial" w:hAnsi="Arial" w:cs="Arial"/>
          <w:sz w:val="22"/>
          <w:szCs w:val="22"/>
        </w:rPr>
        <w:t>relating to</w:t>
      </w:r>
      <w:r w:rsidRPr="00907D83">
        <w:rPr>
          <w:rFonts w:ascii="Arial" w:hAnsi="Arial" w:cs="Arial"/>
          <w:sz w:val="22"/>
          <w:szCs w:val="22"/>
        </w:rPr>
        <w:t xml:space="preserve"> the results framework</w:t>
      </w:r>
      <w:r w:rsidR="005E72EF" w:rsidRPr="00907D83">
        <w:rPr>
          <w:rFonts w:ascii="Arial" w:hAnsi="Arial" w:cs="Arial"/>
          <w:sz w:val="22"/>
          <w:szCs w:val="22"/>
        </w:rPr>
        <w:t xml:space="preserve"> (evolution of indicators included in Table 2.1 and any additional tracking requirements at the project and/or program level</w:t>
      </w:r>
      <w:r w:rsidRPr="00907D83">
        <w:rPr>
          <w:rFonts w:ascii="Arial" w:hAnsi="Arial" w:cs="Arial"/>
          <w:sz w:val="22"/>
          <w:szCs w:val="22"/>
        </w:rPr>
        <w:t>)</w:t>
      </w:r>
      <w:r w:rsidR="005E72EF" w:rsidRPr="00907D83">
        <w:rPr>
          <w:rFonts w:ascii="Arial" w:hAnsi="Arial" w:cs="Arial"/>
          <w:sz w:val="22"/>
          <w:szCs w:val="22"/>
        </w:rPr>
        <w:t>. This reports shall also include information on the fulfilment of fiduciary obligations (financial information regarding the use of the resources and the state of the program’s account), environmental and social aspects associated to the projects financed (see ¶</w:t>
      </w:r>
      <w:r w:rsidR="005E72EF" w:rsidRPr="000116D0">
        <w:rPr>
          <w:rFonts w:ascii="Arial" w:hAnsi="Arial" w:cs="Arial"/>
          <w:sz w:val="22"/>
          <w:szCs w:val="22"/>
        </w:rPr>
        <w:fldChar w:fldCharType="begin"/>
      </w:r>
      <w:r w:rsidR="005E72EF" w:rsidRPr="00907D83">
        <w:rPr>
          <w:rFonts w:ascii="Arial" w:hAnsi="Arial" w:cs="Arial"/>
          <w:sz w:val="22"/>
          <w:szCs w:val="22"/>
        </w:rPr>
        <w:instrText xml:space="preserve"> REF _Ref505351955 \r \h </w:instrText>
      </w:r>
      <w:r w:rsidR="00FB5E7A" w:rsidRPr="00907D83">
        <w:rPr>
          <w:rFonts w:ascii="Arial" w:hAnsi="Arial" w:cs="Arial"/>
          <w:sz w:val="22"/>
          <w:szCs w:val="22"/>
        </w:rPr>
        <w:instrText xml:space="preserve"> \* MERGEFORMAT </w:instrText>
      </w:r>
      <w:r w:rsidR="005E72EF" w:rsidRPr="000116D0">
        <w:rPr>
          <w:rFonts w:ascii="Arial" w:hAnsi="Arial" w:cs="Arial"/>
          <w:sz w:val="22"/>
          <w:szCs w:val="22"/>
        </w:rPr>
      </w:r>
      <w:r w:rsidR="005E72EF" w:rsidRPr="000116D0">
        <w:rPr>
          <w:rFonts w:ascii="Arial" w:hAnsi="Arial" w:cs="Arial"/>
          <w:sz w:val="22"/>
          <w:szCs w:val="22"/>
        </w:rPr>
        <w:fldChar w:fldCharType="separate"/>
      </w:r>
      <w:r w:rsidR="005E72EF" w:rsidRPr="00907D83">
        <w:rPr>
          <w:rFonts w:ascii="Arial" w:hAnsi="Arial" w:cs="Arial"/>
          <w:sz w:val="22"/>
          <w:szCs w:val="22"/>
        </w:rPr>
        <w:t>2.3</w:t>
      </w:r>
      <w:r w:rsidR="005E72EF" w:rsidRPr="000116D0">
        <w:rPr>
          <w:rFonts w:ascii="Arial" w:hAnsi="Arial" w:cs="Arial"/>
          <w:sz w:val="22"/>
          <w:szCs w:val="22"/>
        </w:rPr>
        <w:fldChar w:fldCharType="end"/>
      </w:r>
      <w:r w:rsidR="005E72EF" w:rsidRPr="00907D83">
        <w:rPr>
          <w:rFonts w:ascii="Arial" w:hAnsi="Arial" w:cs="Arial"/>
          <w:sz w:val="22"/>
          <w:szCs w:val="22"/>
        </w:rPr>
        <w:t xml:space="preserve"> and </w:t>
      </w:r>
      <w:r w:rsidR="005E72EF" w:rsidRPr="000116D0">
        <w:rPr>
          <w:rFonts w:ascii="Arial" w:hAnsi="Arial" w:cs="Arial"/>
          <w:sz w:val="22"/>
          <w:szCs w:val="22"/>
        </w:rPr>
        <w:fldChar w:fldCharType="begin"/>
      </w:r>
      <w:r w:rsidR="005E72EF" w:rsidRPr="00907D83">
        <w:rPr>
          <w:rFonts w:ascii="Arial" w:hAnsi="Arial" w:cs="Arial"/>
          <w:sz w:val="22"/>
          <w:szCs w:val="22"/>
        </w:rPr>
        <w:instrText xml:space="preserve"> REF _Ref500788805 \r \h </w:instrText>
      </w:r>
      <w:r w:rsidR="00FB5E7A" w:rsidRPr="00907D83">
        <w:rPr>
          <w:rFonts w:ascii="Arial" w:hAnsi="Arial" w:cs="Arial"/>
          <w:sz w:val="22"/>
          <w:szCs w:val="22"/>
        </w:rPr>
        <w:instrText xml:space="preserve"> \* MERGEFORMAT </w:instrText>
      </w:r>
      <w:r w:rsidR="005E72EF" w:rsidRPr="000116D0">
        <w:rPr>
          <w:rFonts w:ascii="Arial" w:hAnsi="Arial" w:cs="Arial"/>
          <w:sz w:val="22"/>
          <w:szCs w:val="22"/>
        </w:rPr>
      </w:r>
      <w:r w:rsidR="005E72EF" w:rsidRPr="000116D0">
        <w:rPr>
          <w:rFonts w:ascii="Arial" w:hAnsi="Arial" w:cs="Arial"/>
          <w:sz w:val="22"/>
          <w:szCs w:val="22"/>
        </w:rPr>
        <w:fldChar w:fldCharType="separate"/>
      </w:r>
      <w:r w:rsidR="005E72EF" w:rsidRPr="00907D83">
        <w:rPr>
          <w:rFonts w:ascii="Arial" w:hAnsi="Arial" w:cs="Arial"/>
          <w:sz w:val="22"/>
          <w:szCs w:val="22"/>
        </w:rPr>
        <w:t>2.4</w:t>
      </w:r>
      <w:r w:rsidR="005E72EF" w:rsidRPr="000116D0">
        <w:rPr>
          <w:rFonts w:ascii="Arial" w:hAnsi="Arial" w:cs="Arial"/>
          <w:sz w:val="22"/>
          <w:szCs w:val="22"/>
        </w:rPr>
        <w:fldChar w:fldCharType="end"/>
      </w:r>
      <w:r w:rsidR="005E72EF" w:rsidRPr="00907D83">
        <w:rPr>
          <w:rFonts w:ascii="Arial" w:hAnsi="Arial" w:cs="Arial"/>
          <w:sz w:val="22"/>
          <w:szCs w:val="22"/>
        </w:rPr>
        <w:t xml:space="preserve">), </w:t>
      </w:r>
      <w:r w:rsidR="004317CE" w:rsidRPr="00907D83">
        <w:rPr>
          <w:rFonts w:ascii="Arial" w:hAnsi="Arial" w:cs="Arial"/>
          <w:sz w:val="22"/>
          <w:szCs w:val="22"/>
        </w:rPr>
        <w:t>as well as gender-related information, as per prior agreement with the IDB.</w:t>
      </w:r>
      <w:r w:rsidR="006C2B9F" w:rsidRPr="00907D83">
        <w:rPr>
          <w:rStyle w:val="FootnoteReference"/>
          <w:rFonts w:ascii="Arial" w:hAnsi="Arial" w:cs="Arial"/>
          <w:sz w:val="22"/>
          <w:szCs w:val="22"/>
        </w:rPr>
        <w:footnoteReference w:id="14"/>
      </w:r>
      <w:r w:rsidR="00192DFA" w:rsidRPr="00907D83">
        <w:rPr>
          <w:rFonts w:ascii="Arial" w:hAnsi="Arial" w:cs="Arial"/>
          <w:sz w:val="22"/>
          <w:szCs w:val="22"/>
        </w:rPr>
        <w:t xml:space="preserve"> The products envisioned and eligible expenses for this program do not entail considerations on intellectual property.</w:t>
      </w:r>
    </w:p>
    <w:p w14:paraId="165F4180" w14:textId="45B23CFB" w:rsidR="000D2942" w:rsidRPr="00907D83" w:rsidRDefault="00192DFA" w:rsidP="00FB5E7A">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AFD will deliver annual reports within 60 calendar days after the end of each year of program implementation. Based</w:t>
      </w:r>
      <w:r w:rsidR="004317CE" w:rsidRPr="00907D83">
        <w:rPr>
          <w:rFonts w:ascii="Arial" w:hAnsi="Arial" w:cs="Arial"/>
          <w:sz w:val="22"/>
          <w:szCs w:val="22"/>
        </w:rPr>
        <w:t xml:space="preserve"> on valid and accepted conclusions from these reports, the AFD and the IDB could consider making adjustments to the program. </w:t>
      </w:r>
      <w:r w:rsidR="00996C76" w:rsidRPr="00907D83">
        <w:rPr>
          <w:rFonts w:ascii="Arial" w:hAnsi="Arial" w:cs="Arial"/>
          <w:sz w:val="22"/>
          <w:szCs w:val="22"/>
        </w:rPr>
        <w:t xml:space="preserve">The </w:t>
      </w:r>
      <w:r w:rsidR="004317CE" w:rsidRPr="00907D83">
        <w:rPr>
          <w:rFonts w:ascii="Arial" w:hAnsi="Arial" w:cs="Arial"/>
          <w:sz w:val="22"/>
          <w:szCs w:val="22"/>
        </w:rPr>
        <w:t>IDB</w:t>
      </w:r>
      <w:r w:rsidR="00996C76" w:rsidRPr="00907D83">
        <w:rPr>
          <w:rFonts w:ascii="Arial" w:hAnsi="Arial" w:cs="Arial"/>
          <w:sz w:val="22"/>
          <w:szCs w:val="22"/>
        </w:rPr>
        <w:t xml:space="preserve"> will be entitled to request additional information, if necessary</w:t>
      </w:r>
      <w:r w:rsidR="000D2942" w:rsidRPr="00907D83">
        <w:rPr>
          <w:rStyle w:val="FootnoteReference"/>
          <w:rFonts w:ascii="Arial" w:hAnsi="Arial" w:cs="Arial"/>
          <w:sz w:val="22"/>
          <w:szCs w:val="22"/>
        </w:rPr>
        <w:footnoteReference w:id="15"/>
      </w:r>
      <w:r w:rsidR="000D2942" w:rsidRPr="00907D83">
        <w:rPr>
          <w:rFonts w:ascii="Arial" w:hAnsi="Arial" w:cs="Arial"/>
          <w:sz w:val="22"/>
          <w:szCs w:val="22"/>
        </w:rPr>
        <w:t>.</w:t>
      </w:r>
      <w:r w:rsidR="005E72EF" w:rsidRPr="00907D83">
        <w:rPr>
          <w:rFonts w:ascii="Arial" w:hAnsi="Arial" w:cs="Arial"/>
          <w:sz w:val="22"/>
          <w:szCs w:val="22"/>
        </w:rPr>
        <w:t xml:space="preserve"> </w:t>
      </w:r>
    </w:p>
    <w:p w14:paraId="66E5CAB0" w14:textId="24269687" w:rsidR="00051B6C" w:rsidRPr="00907D83" w:rsidRDefault="00192DFA" w:rsidP="00996C76">
      <w:pPr>
        <w:pStyle w:val="Paragraph"/>
        <w:tabs>
          <w:tab w:val="clear" w:pos="2736"/>
          <w:tab w:val="num" w:pos="720"/>
        </w:tabs>
        <w:ind w:left="720" w:hanging="720"/>
        <w:rPr>
          <w:rFonts w:ascii="Arial" w:hAnsi="Arial" w:cs="Arial"/>
          <w:sz w:val="22"/>
          <w:szCs w:val="22"/>
        </w:rPr>
      </w:pPr>
      <w:r w:rsidRPr="00907D83">
        <w:rPr>
          <w:rFonts w:ascii="Arial" w:hAnsi="Arial" w:cs="Arial"/>
          <w:b/>
          <w:sz w:val="22"/>
          <w:szCs w:val="22"/>
        </w:rPr>
        <w:t>Additional monitoring products.</w:t>
      </w:r>
      <w:r w:rsidRPr="00907D83">
        <w:rPr>
          <w:rFonts w:ascii="Arial" w:hAnsi="Arial" w:cs="Arial"/>
          <w:sz w:val="22"/>
          <w:szCs w:val="22"/>
        </w:rPr>
        <w:t xml:space="preserve"> </w:t>
      </w:r>
      <w:r w:rsidR="004317CE" w:rsidRPr="00907D83">
        <w:rPr>
          <w:rFonts w:ascii="Arial" w:hAnsi="Arial" w:cs="Arial"/>
          <w:sz w:val="22"/>
          <w:szCs w:val="22"/>
        </w:rPr>
        <w:t>A final report will be presented to the IDB by the</w:t>
      </w:r>
      <w:r w:rsidR="00CD4BE8" w:rsidRPr="00907D83">
        <w:rPr>
          <w:rFonts w:ascii="Arial" w:hAnsi="Arial" w:cs="Arial"/>
          <w:sz w:val="22"/>
          <w:szCs w:val="22"/>
        </w:rPr>
        <w:t xml:space="preserve"> </w:t>
      </w:r>
      <w:r w:rsidR="004317CE" w:rsidRPr="00907D83">
        <w:rPr>
          <w:rFonts w:ascii="Arial" w:hAnsi="Arial" w:cs="Arial"/>
          <w:sz w:val="22"/>
          <w:szCs w:val="22"/>
        </w:rPr>
        <w:t xml:space="preserve">AFD </w:t>
      </w:r>
      <w:r w:rsidR="00CD4BE8" w:rsidRPr="00907D83">
        <w:rPr>
          <w:rFonts w:ascii="Arial" w:hAnsi="Arial" w:cs="Arial"/>
          <w:sz w:val="22"/>
          <w:szCs w:val="22"/>
        </w:rPr>
        <w:t xml:space="preserve">up to six months after the </w:t>
      </w:r>
      <w:r w:rsidR="004317CE" w:rsidRPr="00907D83">
        <w:rPr>
          <w:rFonts w:ascii="Arial" w:hAnsi="Arial" w:cs="Arial"/>
          <w:sz w:val="22"/>
          <w:szCs w:val="22"/>
        </w:rPr>
        <w:t>last</w:t>
      </w:r>
      <w:r w:rsidR="00CD4BE8" w:rsidRPr="00907D83">
        <w:rPr>
          <w:rFonts w:ascii="Arial" w:hAnsi="Arial" w:cs="Arial"/>
          <w:sz w:val="22"/>
          <w:szCs w:val="22"/>
        </w:rPr>
        <w:t xml:space="preserve"> disbursement </w:t>
      </w:r>
      <w:r w:rsidR="004317CE" w:rsidRPr="00907D83">
        <w:rPr>
          <w:rFonts w:ascii="Arial" w:hAnsi="Arial" w:cs="Arial"/>
          <w:sz w:val="22"/>
          <w:szCs w:val="22"/>
        </w:rPr>
        <w:t xml:space="preserve">or the end of the </w:t>
      </w:r>
      <w:r w:rsidR="00CD4BE8" w:rsidRPr="00907D83">
        <w:rPr>
          <w:rFonts w:ascii="Arial" w:hAnsi="Arial" w:cs="Arial"/>
          <w:sz w:val="22"/>
          <w:szCs w:val="22"/>
        </w:rPr>
        <w:t xml:space="preserve">execution period. This report shall contain </w:t>
      </w:r>
      <w:r w:rsidR="004317CE" w:rsidRPr="00907D83">
        <w:rPr>
          <w:rFonts w:ascii="Arial" w:hAnsi="Arial" w:cs="Arial"/>
          <w:sz w:val="22"/>
          <w:szCs w:val="22"/>
        </w:rPr>
        <w:t xml:space="preserve">a summary of the program implementation and </w:t>
      </w:r>
      <w:r w:rsidR="00CD4BE8" w:rsidRPr="00907D83">
        <w:rPr>
          <w:rFonts w:ascii="Arial" w:hAnsi="Arial" w:cs="Arial"/>
          <w:sz w:val="22"/>
          <w:szCs w:val="22"/>
        </w:rPr>
        <w:t>all relevant information to assess if objectives of the program and targets for each indicator have been met</w:t>
      </w:r>
      <w:r w:rsidR="00051B6C" w:rsidRPr="00907D83">
        <w:rPr>
          <w:rFonts w:ascii="Arial" w:hAnsi="Arial" w:cs="Arial"/>
          <w:sz w:val="22"/>
          <w:szCs w:val="22"/>
        </w:rPr>
        <w:t>.</w:t>
      </w:r>
      <w:r w:rsidR="00911B43" w:rsidRPr="00907D83">
        <w:rPr>
          <w:rFonts w:ascii="Arial" w:hAnsi="Arial" w:cs="Arial"/>
          <w:sz w:val="22"/>
          <w:szCs w:val="22"/>
        </w:rPr>
        <w:t xml:space="preserve"> Furthermore, lessons learn will be included that should be applied in similar operations.</w:t>
      </w:r>
      <w:r w:rsidRPr="00907D83">
        <w:rPr>
          <w:rFonts w:ascii="Arial" w:hAnsi="Arial" w:cs="Arial"/>
          <w:sz w:val="22"/>
          <w:szCs w:val="22"/>
        </w:rPr>
        <w:t xml:space="preserve"> After the 5-year execution of the program, two additional reports are required by the GCF on the use of funds (in year 6 and year 20), which shall include financial information on the loan and AFD’s declaration on: (i) continued </w:t>
      </w:r>
      <w:r w:rsidR="00F417CE" w:rsidRPr="00907D83">
        <w:rPr>
          <w:rFonts w:ascii="Arial" w:hAnsi="Arial" w:cs="Arial"/>
          <w:sz w:val="22"/>
          <w:szCs w:val="22"/>
        </w:rPr>
        <w:t>use</w:t>
      </w:r>
      <w:r w:rsidRPr="00907D83">
        <w:rPr>
          <w:rFonts w:ascii="Arial" w:hAnsi="Arial" w:cs="Arial"/>
          <w:sz w:val="22"/>
          <w:szCs w:val="22"/>
        </w:rPr>
        <w:t xml:space="preserve"> of resources; (ii) fulfilment of OR; and (iii) compliance with </w:t>
      </w:r>
      <w:proofErr w:type="spellStart"/>
      <w:r w:rsidRPr="00907D83">
        <w:rPr>
          <w:rFonts w:ascii="Arial" w:hAnsi="Arial" w:cs="Arial"/>
          <w:sz w:val="22"/>
          <w:szCs w:val="22"/>
        </w:rPr>
        <w:t>concessionality</w:t>
      </w:r>
      <w:proofErr w:type="spellEnd"/>
      <w:r w:rsidRPr="00907D83">
        <w:rPr>
          <w:rFonts w:ascii="Arial" w:hAnsi="Arial" w:cs="Arial"/>
          <w:sz w:val="22"/>
          <w:szCs w:val="22"/>
        </w:rPr>
        <w:t xml:space="preserve"> and co-financing requirements by the GCF. These reports are not required to be audited.</w:t>
      </w:r>
    </w:p>
    <w:p w14:paraId="189DBF72" w14:textId="77777777" w:rsidR="00051B6C" w:rsidRPr="00907D83" w:rsidRDefault="00447684" w:rsidP="00051B6C">
      <w:pPr>
        <w:pStyle w:val="FirstHeading"/>
        <w:ind w:left="720"/>
        <w:rPr>
          <w:rFonts w:ascii="Arial" w:hAnsi="Arial" w:cs="Arial"/>
          <w:noProof/>
          <w:sz w:val="22"/>
          <w:szCs w:val="22"/>
        </w:rPr>
      </w:pPr>
      <w:bookmarkStart w:id="41" w:name="_Toc300318307"/>
      <w:bookmarkStart w:id="42" w:name="_Toc331167638"/>
      <w:bookmarkStart w:id="43" w:name="_Toc501017811"/>
      <w:r w:rsidRPr="00907D83">
        <w:rPr>
          <w:rFonts w:ascii="Arial" w:hAnsi="Arial" w:cs="Arial"/>
          <w:noProof/>
          <w:sz w:val="22"/>
          <w:szCs w:val="22"/>
        </w:rPr>
        <w:t>D.</w:t>
      </w:r>
      <w:r w:rsidRPr="00907D83">
        <w:rPr>
          <w:rFonts w:ascii="Arial" w:hAnsi="Arial" w:cs="Arial"/>
          <w:noProof/>
          <w:sz w:val="22"/>
          <w:szCs w:val="22"/>
        </w:rPr>
        <w:tab/>
        <w:t>Coordinatio</w:t>
      </w:r>
      <w:r w:rsidR="00051B6C" w:rsidRPr="00907D83">
        <w:rPr>
          <w:rFonts w:ascii="Arial" w:hAnsi="Arial" w:cs="Arial"/>
          <w:noProof/>
          <w:sz w:val="22"/>
          <w:szCs w:val="22"/>
        </w:rPr>
        <w:t xml:space="preserve">n, </w:t>
      </w:r>
      <w:r w:rsidR="00361FA4" w:rsidRPr="00907D83">
        <w:rPr>
          <w:rFonts w:ascii="Arial" w:hAnsi="Arial" w:cs="Arial"/>
          <w:noProof/>
          <w:sz w:val="22"/>
          <w:szCs w:val="22"/>
        </w:rPr>
        <w:t>w</w:t>
      </w:r>
      <w:r w:rsidRPr="00907D83">
        <w:rPr>
          <w:rFonts w:ascii="Arial" w:hAnsi="Arial" w:cs="Arial"/>
          <w:noProof/>
          <w:sz w:val="22"/>
          <w:szCs w:val="22"/>
        </w:rPr>
        <w:t>orkplan</w:t>
      </w:r>
      <w:r w:rsidR="00051B6C" w:rsidRPr="00907D83">
        <w:rPr>
          <w:rFonts w:ascii="Arial" w:hAnsi="Arial" w:cs="Arial"/>
          <w:noProof/>
          <w:sz w:val="22"/>
          <w:szCs w:val="22"/>
        </w:rPr>
        <w:t xml:space="preserve"> </w:t>
      </w:r>
      <w:r w:rsidR="00361FA4" w:rsidRPr="00907D83">
        <w:rPr>
          <w:rFonts w:ascii="Arial" w:hAnsi="Arial" w:cs="Arial"/>
          <w:noProof/>
          <w:sz w:val="22"/>
          <w:szCs w:val="22"/>
        </w:rPr>
        <w:t>and b</w:t>
      </w:r>
      <w:r w:rsidRPr="00907D83">
        <w:rPr>
          <w:rFonts w:ascii="Arial" w:hAnsi="Arial" w:cs="Arial"/>
          <w:noProof/>
          <w:sz w:val="22"/>
          <w:szCs w:val="22"/>
        </w:rPr>
        <w:t>udget</w:t>
      </w:r>
      <w:r w:rsidR="00B63E64" w:rsidRPr="00907D83">
        <w:rPr>
          <w:rFonts w:ascii="Arial" w:hAnsi="Arial" w:cs="Arial"/>
          <w:noProof/>
          <w:sz w:val="22"/>
          <w:szCs w:val="22"/>
        </w:rPr>
        <w:t xml:space="preserve"> </w:t>
      </w:r>
      <w:r w:rsidR="00361FA4" w:rsidRPr="00907D83">
        <w:rPr>
          <w:rFonts w:ascii="Arial" w:hAnsi="Arial" w:cs="Arial"/>
          <w:noProof/>
          <w:sz w:val="22"/>
          <w:szCs w:val="22"/>
        </w:rPr>
        <w:t>for m</w:t>
      </w:r>
      <w:r w:rsidRPr="00907D83">
        <w:rPr>
          <w:rFonts w:ascii="Arial" w:hAnsi="Arial" w:cs="Arial"/>
          <w:noProof/>
          <w:sz w:val="22"/>
          <w:szCs w:val="22"/>
        </w:rPr>
        <w:t>onitoring</w:t>
      </w:r>
      <w:bookmarkEnd w:id="41"/>
      <w:bookmarkEnd w:id="42"/>
      <w:bookmarkEnd w:id="43"/>
      <w:r w:rsidR="00051B6C" w:rsidRPr="00907D83">
        <w:rPr>
          <w:rFonts w:ascii="Arial" w:hAnsi="Arial" w:cs="Arial"/>
          <w:noProof/>
          <w:sz w:val="22"/>
          <w:szCs w:val="22"/>
        </w:rPr>
        <w:t xml:space="preserve"> </w:t>
      </w:r>
    </w:p>
    <w:p w14:paraId="2CFBAB14" w14:textId="4B8AF792" w:rsidR="00447684" w:rsidRPr="00907D83" w:rsidRDefault="00447684" w:rsidP="00447684">
      <w:pPr>
        <w:pStyle w:val="Paragraph"/>
        <w:tabs>
          <w:tab w:val="clear" w:pos="2736"/>
          <w:tab w:val="num" w:pos="720"/>
        </w:tabs>
        <w:ind w:left="720" w:hanging="720"/>
        <w:rPr>
          <w:rFonts w:ascii="Arial" w:hAnsi="Arial" w:cs="Arial"/>
          <w:sz w:val="22"/>
          <w:szCs w:val="22"/>
        </w:rPr>
      </w:pPr>
      <w:bookmarkStart w:id="44" w:name="_Ref369790670"/>
      <w:r w:rsidRPr="00907D83">
        <w:rPr>
          <w:rFonts w:ascii="Arial" w:hAnsi="Arial" w:cs="Arial"/>
          <w:sz w:val="22"/>
          <w:szCs w:val="22"/>
        </w:rPr>
        <w:t xml:space="preserve">Program resources are to be fully committed and disbursed within </w:t>
      </w:r>
      <w:r w:rsidR="000D2942" w:rsidRPr="00907D83">
        <w:rPr>
          <w:rFonts w:ascii="Arial" w:hAnsi="Arial" w:cs="Arial"/>
          <w:sz w:val="22"/>
          <w:szCs w:val="22"/>
        </w:rPr>
        <w:t>five</w:t>
      </w:r>
      <w:r w:rsidRPr="00907D83">
        <w:rPr>
          <w:rFonts w:ascii="Arial" w:hAnsi="Arial" w:cs="Arial"/>
          <w:sz w:val="22"/>
          <w:szCs w:val="22"/>
        </w:rPr>
        <w:t xml:space="preserve"> years </w:t>
      </w:r>
      <w:r w:rsidR="000D2942" w:rsidRPr="00907D83">
        <w:rPr>
          <w:rFonts w:ascii="Arial" w:hAnsi="Arial" w:cs="Arial"/>
          <w:sz w:val="22"/>
          <w:szCs w:val="22"/>
        </w:rPr>
        <w:t>(60</w:t>
      </w:r>
      <w:r w:rsidR="0092339C" w:rsidRPr="00907D83">
        <w:rPr>
          <w:rFonts w:ascii="Arial" w:hAnsi="Arial" w:cs="Arial"/>
          <w:sz w:val="22"/>
          <w:szCs w:val="22"/>
        </w:rPr>
        <w:t> </w:t>
      </w:r>
      <w:r w:rsidR="000D2942" w:rsidRPr="00907D83">
        <w:rPr>
          <w:rFonts w:ascii="Arial" w:hAnsi="Arial" w:cs="Arial"/>
          <w:sz w:val="22"/>
          <w:szCs w:val="22"/>
        </w:rPr>
        <w:t xml:space="preserve">months) </w:t>
      </w:r>
      <w:r w:rsidRPr="00907D83">
        <w:rPr>
          <w:rFonts w:ascii="Arial" w:hAnsi="Arial" w:cs="Arial"/>
          <w:sz w:val="22"/>
          <w:szCs w:val="22"/>
        </w:rPr>
        <w:t>from the effective date of the loan agreement.</w:t>
      </w:r>
      <w:r w:rsidR="000D2942" w:rsidRPr="00907D83">
        <w:rPr>
          <w:rFonts w:ascii="Arial" w:hAnsi="Arial" w:cs="Arial"/>
          <w:sz w:val="22"/>
          <w:szCs w:val="22"/>
        </w:rPr>
        <w:t xml:space="preserve"> As explained above, </w:t>
      </w:r>
      <w:r w:rsidR="000D2942" w:rsidRPr="00907D83">
        <w:rPr>
          <w:rFonts w:ascii="Arial" w:hAnsi="Arial" w:cs="Arial"/>
          <w:sz w:val="22"/>
          <w:szCs w:val="22"/>
        </w:rPr>
        <w:lastRenderedPageBreak/>
        <w:t>AFD will be responsible for the execution, supervision, technical and administrative coordination of the program and for performing the necessary reporting duties to the IDB.</w:t>
      </w:r>
      <w:r w:rsidR="004A78F8" w:rsidRPr="00907D83">
        <w:rPr>
          <w:rFonts w:ascii="Arial" w:hAnsi="Arial" w:cs="Arial"/>
          <w:sz w:val="22"/>
          <w:szCs w:val="22"/>
        </w:rPr>
        <w:t xml:space="preserve"> The organizational structure of AFD and IDB’s proven successful experience working with AFD ensure that proper compliance with all tasks and commitments related to this plan can be achieved.</w:t>
      </w:r>
    </w:p>
    <w:p w14:paraId="6CDAB7BD" w14:textId="16F6CB77" w:rsidR="00907D83" w:rsidRPr="00C72132" w:rsidRDefault="006C2C4B" w:rsidP="003A31D2">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Costs of monitoring activities described in this plan are mainly derived from IDB and </w:t>
      </w:r>
      <w:r w:rsidR="000D2942" w:rsidRPr="00907D83">
        <w:rPr>
          <w:rFonts w:ascii="Arial" w:hAnsi="Arial" w:cs="Arial"/>
          <w:sz w:val="22"/>
          <w:szCs w:val="22"/>
        </w:rPr>
        <w:t>AFD</w:t>
      </w:r>
      <w:r w:rsidRPr="00907D83">
        <w:rPr>
          <w:rFonts w:ascii="Arial" w:hAnsi="Arial" w:cs="Arial"/>
          <w:sz w:val="22"/>
          <w:szCs w:val="22"/>
        </w:rPr>
        <w:t xml:space="preserve"> staff </w:t>
      </w:r>
      <w:r w:rsidR="000D2942" w:rsidRPr="00907D83">
        <w:rPr>
          <w:rFonts w:ascii="Arial" w:hAnsi="Arial" w:cs="Arial"/>
          <w:sz w:val="22"/>
          <w:szCs w:val="22"/>
        </w:rPr>
        <w:t xml:space="preserve">hours </w:t>
      </w:r>
      <w:r w:rsidRPr="00907D83">
        <w:rPr>
          <w:rFonts w:ascii="Arial" w:hAnsi="Arial" w:cs="Arial"/>
          <w:sz w:val="22"/>
          <w:szCs w:val="22"/>
        </w:rPr>
        <w:t>involved in th</w:t>
      </w:r>
      <w:r w:rsidR="000D2942" w:rsidRPr="00907D83">
        <w:rPr>
          <w:rFonts w:ascii="Arial" w:hAnsi="Arial" w:cs="Arial"/>
          <w:sz w:val="22"/>
          <w:szCs w:val="22"/>
        </w:rPr>
        <w:t>ese activities</w:t>
      </w:r>
      <w:r w:rsidRPr="00907D83">
        <w:rPr>
          <w:rFonts w:ascii="Arial" w:hAnsi="Arial" w:cs="Arial"/>
          <w:sz w:val="22"/>
          <w:szCs w:val="22"/>
        </w:rPr>
        <w:t xml:space="preserve">. </w:t>
      </w:r>
      <w:r w:rsidR="00447684" w:rsidRPr="00907D83">
        <w:rPr>
          <w:rFonts w:ascii="Arial" w:hAnsi="Arial" w:cs="Arial"/>
          <w:sz w:val="22"/>
          <w:szCs w:val="22"/>
        </w:rPr>
        <w:t xml:space="preserve">Resources to cover these costs will come from </w:t>
      </w:r>
      <w:r w:rsidR="000D2942" w:rsidRPr="00907D83">
        <w:rPr>
          <w:rFonts w:ascii="Arial" w:hAnsi="Arial" w:cs="Arial"/>
          <w:sz w:val="22"/>
          <w:szCs w:val="22"/>
        </w:rPr>
        <w:t xml:space="preserve">both institution’s </w:t>
      </w:r>
      <w:r w:rsidR="00ED486C" w:rsidRPr="00907D83">
        <w:rPr>
          <w:rFonts w:ascii="Arial" w:hAnsi="Arial" w:cs="Arial"/>
          <w:sz w:val="22"/>
          <w:szCs w:val="22"/>
        </w:rPr>
        <w:t>standard</w:t>
      </w:r>
      <w:r w:rsidR="005E2745" w:rsidRPr="00907D83">
        <w:rPr>
          <w:rFonts w:ascii="Arial" w:hAnsi="Arial" w:cs="Arial"/>
          <w:sz w:val="22"/>
          <w:szCs w:val="22"/>
        </w:rPr>
        <w:t xml:space="preserve"> operational </w:t>
      </w:r>
      <w:r w:rsidR="00ED486C" w:rsidRPr="00907D83">
        <w:rPr>
          <w:rFonts w:ascii="Arial" w:hAnsi="Arial" w:cs="Arial"/>
          <w:sz w:val="22"/>
          <w:szCs w:val="22"/>
        </w:rPr>
        <w:t xml:space="preserve">and administrative </w:t>
      </w:r>
      <w:r w:rsidR="005E2745" w:rsidRPr="00907D83">
        <w:rPr>
          <w:rFonts w:ascii="Arial" w:hAnsi="Arial" w:cs="Arial"/>
          <w:sz w:val="22"/>
          <w:szCs w:val="22"/>
        </w:rPr>
        <w:t>budget</w:t>
      </w:r>
      <w:r w:rsidR="00ED486C" w:rsidRPr="00907D83">
        <w:rPr>
          <w:rFonts w:ascii="Arial" w:hAnsi="Arial" w:cs="Arial"/>
          <w:sz w:val="22"/>
          <w:szCs w:val="22"/>
        </w:rPr>
        <w:t xml:space="preserve">s </w:t>
      </w:r>
      <w:r w:rsidR="00447684" w:rsidRPr="00907D83">
        <w:rPr>
          <w:rFonts w:ascii="Arial" w:hAnsi="Arial" w:cs="Arial"/>
          <w:sz w:val="22"/>
          <w:szCs w:val="22"/>
        </w:rPr>
        <w:t xml:space="preserve">associated to IDB and </w:t>
      </w:r>
      <w:r w:rsidR="000D2942" w:rsidRPr="00907D83">
        <w:rPr>
          <w:rFonts w:ascii="Arial" w:hAnsi="Arial" w:cs="Arial"/>
          <w:sz w:val="22"/>
          <w:szCs w:val="22"/>
        </w:rPr>
        <w:t>AFD</w:t>
      </w:r>
      <w:r w:rsidR="00447684" w:rsidRPr="00907D83">
        <w:rPr>
          <w:rFonts w:ascii="Arial" w:hAnsi="Arial" w:cs="Arial"/>
          <w:sz w:val="22"/>
          <w:szCs w:val="22"/>
        </w:rPr>
        <w:t xml:space="preserve"> staff </w:t>
      </w:r>
      <w:r w:rsidR="000D2942" w:rsidRPr="00907D83">
        <w:rPr>
          <w:rFonts w:ascii="Arial" w:hAnsi="Arial" w:cs="Arial"/>
          <w:sz w:val="22"/>
          <w:szCs w:val="22"/>
        </w:rPr>
        <w:t>participating</w:t>
      </w:r>
      <w:r w:rsidR="00447684" w:rsidRPr="00907D83">
        <w:rPr>
          <w:rFonts w:ascii="Arial" w:hAnsi="Arial" w:cs="Arial"/>
          <w:sz w:val="22"/>
          <w:szCs w:val="22"/>
        </w:rPr>
        <w:t xml:space="preserve"> in the program. </w:t>
      </w:r>
      <w:r w:rsidR="00ED486C" w:rsidRPr="00907D83">
        <w:rPr>
          <w:rFonts w:ascii="Arial" w:hAnsi="Arial" w:cs="Arial"/>
          <w:sz w:val="22"/>
          <w:szCs w:val="22"/>
        </w:rPr>
        <w:t xml:space="preserve">In addition, </w:t>
      </w:r>
      <w:r w:rsidR="000D2942" w:rsidRPr="00907D83">
        <w:rPr>
          <w:rFonts w:ascii="Arial" w:hAnsi="Arial" w:cs="Arial"/>
          <w:sz w:val="22"/>
          <w:szCs w:val="22"/>
        </w:rPr>
        <w:t xml:space="preserve">complementary TC </w:t>
      </w:r>
      <w:r w:rsidR="00AF4DD7" w:rsidRPr="00907D83">
        <w:rPr>
          <w:rFonts w:ascii="Arial" w:hAnsi="Arial" w:cs="Arial"/>
          <w:sz w:val="22"/>
          <w:szCs w:val="22"/>
        </w:rPr>
        <w:t>resources</w:t>
      </w:r>
      <w:r w:rsidR="000D2942" w:rsidRPr="00907D83">
        <w:rPr>
          <w:rFonts w:ascii="Arial" w:hAnsi="Arial" w:cs="Arial"/>
          <w:sz w:val="22"/>
          <w:szCs w:val="22"/>
        </w:rPr>
        <w:t xml:space="preserve"> will further support AFD in </w:t>
      </w:r>
      <w:r w:rsidR="004A78F8" w:rsidRPr="00907D83">
        <w:rPr>
          <w:rFonts w:ascii="Arial" w:hAnsi="Arial" w:cs="Arial"/>
          <w:sz w:val="22"/>
          <w:szCs w:val="22"/>
        </w:rPr>
        <w:t>establishing an electronic registry system for monitoring and evaluation of projects and program’s results (see ¶</w:t>
      </w:r>
      <w:r w:rsidR="004A78F8" w:rsidRPr="000116D0">
        <w:rPr>
          <w:rFonts w:ascii="Arial" w:hAnsi="Arial" w:cs="Arial"/>
        </w:rPr>
        <w:fldChar w:fldCharType="begin"/>
      </w:r>
      <w:r w:rsidR="004A78F8" w:rsidRPr="00907D83">
        <w:rPr>
          <w:rFonts w:ascii="Arial" w:hAnsi="Arial" w:cs="Arial"/>
          <w:sz w:val="22"/>
          <w:szCs w:val="22"/>
        </w:rPr>
        <w:instrText xml:space="preserve"> REF _Ref500790139 \r \h </w:instrText>
      </w:r>
      <w:r w:rsidR="00515710" w:rsidRPr="00907D83">
        <w:rPr>
          <w:rFonts w:ascii="Arial" w:hAnsi="Arial" w:cs="Arial"/>
          <w:sz w:val="22"/>
          <w:szCs w:val="22"/>
        </w:rPr>
        <w:instrText xml:space="preserve"> \* MERGEFORMAT </w:instrText>
      </w:r>
      <w:r w:rsidR="004A78F8" w:rsidRPr="000116D0">
        <w:rPr>
          <w:rFonts w:ascii="Arial" w:hAnsi="Arial" w:cs="Arial"/>
        </w:rPr>
      </w:r>
      <w:r w:rsidR="004A78F8" w:rsidRPr="000116D0">
        <w:rPr>
          <w:rFonts w:ascii="Arial" w:hAnsi="Arial" w:cs="Arial"/>
        </w:rPr>
        <w:fldChar w:fldCharType="separate"/>
      </w:r>
      <w:r w:rsidR="00D007AD" w:rsidRPr="00907D83">
        <w:rPr>
          <w:rFonts w:ascii="Arial" w:hAnsi="Arial" w:cs="Arial"/>
          <w:sz w:val="22"/>
          <w:szCs w:val="22"/>
        </w:rPr>
        <w:t>2.6</w:t>
      </w:r>
      <w:r w:rsidR="004A78F8" w:rsidRPr="000116D0">
        <w:rPr>
          <w:rFonts w:ascii="Arial" w:hAnsi="Arial" w:cs="Arial"/>
        </w:rPr>
        <w:fldChar w:fldCharType="end"/>
      </w:r>
      <w:r w:rsidR="004A78F8" w:rsidRPr="00907D83">
        <w:rPr>
          <w:rFonts w:ascii="Arial" w:hAnsi="Arial" w:cs="Arial"/>
          <w:sz w:val="22"/>
          <w:szCs w:val="22"/>
        </w:rPr>
        <w:t>)</w:t>
      </w:r>
      <w:r w:rsidR="00AF4DD7" w:rsidRPr="00907D83">
        <w:rPr>
          <w:rFonts w:ascii="Arial" w:hAnsi="Arial" w:cs="Arial"/>
          <w:sz w:val="22"/>
          <w:szCs w:val="22"/>
        </w:rPr>
        <w:t xml:space="preserve"> as well as support beneficiary firms in computing energy savings at the sub project level (see ¶</w:t>
      </w:r>
      <w:r w:rsidR="00AF4DD7" w:rsidRPr="000116D0">
        <w:rPr>
          <w:rFonts w:ascii="Arial" w:hAnsi="Arial" w:cs="Arial"/>
        </w:rPr>
        <w:fldChar w:fldCharType="begin"/>
      </w:r>
      <w:r w:rsidR="00AF4DD7" w:rsidRPr="00907D83">
        <w:rPr>
          <w:rFonts w:ascii="Arial" w:hAnsi="Arial" w:cs="Arial"/>
          <w:sz w:val="22"/>
          <w:szCs w:val="22"/>
        </w:rPr>
        <w:instrText xml:space="preserve"> REF _Ref501016623 \r \h </w:instrText>
      </w:r>
      <w:r w:rsidR="00515710" w:rsidRPr="00907D83">
        <w:rPr>
          <w:rFonts w:ascii="Arial" w:hAnsi="Arial" w:cs="Arial"/>
          <w:sz w:val="22"/>
          <w:szCs w:val="22"/>
        </w:rPr>
        <w:instrText xml:space="preserve"> \* MERGEFORMAT </w:instrText>
      </w:r>
      <w:r w:rsidR="00AF4DD7" w:rsidRPr="000116D0">
        <w:rPr>
          <w:rFonts w:ascii="Arial" w:hAnsi="Arial" w:cs="Arial"/>
        </w:rPr>
      </w:r>
      <w:r w:rsidR="00AF4DD7" w:rsidRPr="000116D0">
        <w:rPr>
          <w:rFonts w:ascii="Arial" w:hAnsi="Arial" w:cs="Arial"/>
        </w:rPr>
        <w:fldChar w:fldCharType="separate"/>
      </w:r>
      <w:r w:rsidR="00D007AD" w:rsidRPr="00907D83">
        <w:rPr>
          <w:rFonts w:ascii="Arial" w:hAnsi="Arial" w:cs="Arial"/>
          <w:sz w:val="22"/>
          <w:szCs w:val="22"/>
        </w:rPr>
        <w:t>2.2</w:t>
      </w:r>
      <w:r w:rsidR="00AF4DD7" w:rsidRPr="000116D0">
        <w:rPr>
          <w:rFonts w:ascii="Arial" w:hAnsi="Arial" w:cs="Arial"/>
        </w:rPr>
        <w:fldChar w:fldCharType="end"/>
      </w:r>
      <w:r w:rsidR="00AF4DD7" w:rsidRPr="00907D83">
        <w:rPr>
          <w:rFonts w:ascii="Arial" w:hAnsi="Arial" w:cs="Arial"/>
          <w:sz w:val="22"/>
          <w:szCs w:val="22"/>
        </w:rPr>
        <w:t>)</w:t>
      </w:r>
      <w:r w:rsidR="00447684" w:rsidRPr="00907D83">
        <w:rPr>
          <w:rFonts w:ascii="Arial" w:hAnsi="Arial" w:cs="Arial"/>
          <w:sz w:val="22"/>
          <w:szCs w:val="22"/>
        </w:rPr>
        <w:t xml:space="preserve">. It is estimated that the </w:t>
      </w:r>
      <w:r w:rsidR="004A78F8" w:rsidRPr="00907D83">
        <w:rPr>
          <w:rFonts w:ascii="Arial" w:hAnsi="Arial" w:cs="Arial"/>
          <w:sz w:val="22"/>
          <w:szCs w:val="22"/>
        </w:rPr>
        <w:t>IDB</w:t>
      </w:r>
      <w:r w:rsidR="00447684" w:rsidRPr="00907D83">
        <w:rPr>
          <w:rFonts w:ascii="Arial" w:hAnsi="Arial" w:cs="Arial"/>
          <w:sz w:val="22"/>
          <w:szCs w:val="22"/>
        </w:rPr>
        <w:t xml:space="preserve"> will dedicate 0,5 FTE </w:t>
      </w:r>
      <w:r w:rsidR="00F21A7C" w:rsidRPr="00907D83">
        <w:rPr>
          <w:rFonts w:ascii="Arial" w:hAnsi="Arial" w:cs="Arial"/>
          <w:sz w:val="22"/>
          <w:szCs w:val="22"/>
        </w:rPr>
        <w:t xml:space="preserve">(full time employee) </w:t>
      </w:r>
      <w:r w:rsidR="00447684" w:rsidRPr="00907D83">
        <w:rPr>
          <w:rFonts w:ascii="Arial" w:hAnsi="Arial" w:cs="Arial"/>
          <w:sz w:val="22"/>
          <w:szCs w:val="22"/>
        </w:rPr>
        <w:t xml:space="preserve">per year for program monitoring and </w:t>
      </w:r>
      <w:r w:rsidR="00ED486C" w:rsidRPr="00907D83">
        <w:rPr>
          <w:rFonts w:ascii="Arial" w:hAnsi="Arial" w:cs="Arial"/>
          <w:sz w:val="22"/>
          <w:szCs w:val="22"/>
        </w:rPr>
        <w:t>AFD</w:t>
      </w:r>
      <w:r w:rsidR="00447684" w:rsidRPr="00907D83">
        <w:rPr>
          <w:rFonts w:ascii="Arial" w:hAnsi="Arial" w:cs="Arial"/>
          <w:sz w:val="22"/>
          <w:szCs w:val="22"/>
        </w:rPr>
        <w:t xml:space="preserve"> will dedicate the equivalent to 1 FTE.</w:t>
      </w:r>
    </w:p>
    <w:p w14:paraId="20AA849B" w14:textId="6F6340A5" w:rsidR="00ED486C" w:rsidRPr="00907D83" w:rsidRDefault="00ED486C" w:rsidP="00ED486C">
      <w:pPr>
        <w:pStyle w:val="Paragraph"/>
        <w:numPr>
          <w:ilvl w:val="0"/>
          <w:numId w:val="0"/>
        </w:numPr>
        <w:rPr>
          <w:rFonts w:ascii="Arial" w:hAnsi="Arial" w:cs="Arial"/>
          <w:b/>
          <w:sz w:val="22"/>
          <w:szCs w:val="22"/>
        </w:rPr>
      </w:pPr>
      <w:r w:rsidRPr="00907D83">
        <w:rPr>
          <w:rFonts w:ascii="Arial" w:hAnsi="Arial" w:cs="Arial"/>
          <w:b/>
          <w:sz w:val="22"/>
          <w:szCs w:val="22"/>
        </w:rPr>
        <w:t>Table 2.2: Monitoring workplan and budget</w:t>
      </w:r>
      <w:r w:rsidR="00EC1E61" w:rsidRPr="00907D83">
        <w:rPr>
          <w:rStyle w:val="FootnoteReference"/>
          <w:rFonts w:ascii="Arial" w:hAnsi="Arial" w:cs="Arial"/>
          <w:b/>
          <w:sz w:val="22"/>
          <w:szCs w:val="22"/>
        </w:rPr>
        <w:footnoteReference w:id="16"/>
      </w:r>
    </w:p>
    <w:tbl>
      <w:tblPr>
        <w:tblStyle w:val="LightShading-Accent1"/>
        <w:tblW w:w="8820" w:type="dxa"/>
        <w:tblLayout w:type="fixed"/>
        <w:tblLook w:val="04A0" w:firstRow="1" w:lastRow="0" w:firstColumn="1" w:lastColumn="0" w:noHBand="0" w:noVBand="1"/>
      </w:tblPr>
      <w:tblGrid>
        <w:gridCol w:w="2880"/>
        <w:gridCol w:w="540"/>
        <w:gridCol w:w="540"/>
        <w:gridCol w:w="540"/>
        <w:gridCol w:w="540"/>
        <w:gridCol w:w="540"/>
        <w:gridCol w:w="540"/>
        <w:gridCol w:w="1710"/>
        <w:gridCol w:w="990"/>
      </w:tblGrid>
      <w:tr w:rsidR="00EC1E61" w:rsidRPr="00907D83" w14:paraId="28948211" w14:textId="77777777" w:rsidTr="00EC1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Align w:val="center"/>
          </w:tcPr>
          <w:bookmarkEnd w:id="44"/>
          <w:p w14:paraId="020D887C" w14:textId="77777777" w:rsidR="00EC1E61" w:rsidRPr="00907D83" w:rsidRDefault="00EC1E61" w:rsidP="00323456">
            <w:pPr>
              <w:rPr>
                <w:rFonts w:ascii="Arial" w:hAnsi="Arial" w:cs="Arial"/>
                <w:smallCaps/>
                <w:sz w:val="18"/>
                <w:szCs w:val="18"/>
              </w:rPr>
            </w:pPr>
            <w:r w:rsidRPr="00907D83">
              <w:rPr>
                <w:rFonts w:ascii="Arial" w:hAnsi="Arial" w:cs="Arial"/>
                <w:smallCaps/>
                <w:sz w:val="18"/>
                <w:szCs w:val="18"/>
              </w:rPr>
              <w:t>Activity</w:t>
            </w:r>
          </w:p>
        </w:tc>
        <w:tc>
          <w:tcPr>
            <w:tcW w:w="540" w:type="dxa"/>
            <w:vAlign w:val="center"/>
          </w:tcPr>
          <w:p w14:paraId="5C399C5E" w14:textId="77777777" w:rsidR="00EC1E61" w:rsidRPr="00907D83" w:rsidRDefault="00EC1E61"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Y1</w:t>
            </w:r>
          </w:p>
        </w:tc>
        <w:tc>
          <w:tcPr>
            <w:tcW w:w="540" w:type="dxa"/>
            <w:vAlign w:val="center"/>
          </w:tcPr>
          <w:p w14:paraId="29309925" w14:textId="77777777" w:rsidR="00EC1E61" w:rsidRPr="00907D83" w:rsidRDefault="00EC1E61"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Y2</w:t>
            </w:r>
          </w:p>
        </w:tc>
        <w:tc>
          <w:tcPr>
            <w:tcW w:w="540" w:type="dxa"/>
            <w:vAlign w:val="center"/>
          </w:tcPr>
          <w:p w14:paraId="486FE680" w14:textId="77777777" w:rsidR="00EC1E61" w:rsidRPr="00907D83" w:rsidRDefault="00EC1E61"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Y3</w:t>
            </w:r>
          </w:p>
        </w:tc>
        <w:tc>
          <w:tcPr>
            <w:tcW w:w="540" w:type="dxa"/>
            <w:vAlign w:val="center"/>
          </w:tcPr>
          <w:p w14:paraId="07EA8FF9" w14:textId="77777777" w:rsidR="00EC1E61" w:rsidRPr="00907D83" w:rsidRDefault="00EC1E61"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Y4</w:t>
            </w:r>
          </w:p>
        </w:tc>
        <w:tc>
          <w:tcPr>
            <w:tcW w:w="540" w:type="dxa"/>
            <w:vAlign w:val="center"/>
          </w:tcPr>
          <w:p w14:paraId="143CE1A6" w14:textId="5C2712C6" w:rsidR="00EC1E61" w:rsidRPr="00907D83" w:rsidRDefault="00EC1E61"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Y5</w:t>
            </w:r>
          </w:p>
        </w:tc>
        <w:tc>
          <w:tcPr>
            <w:tcW w:w="540" w:type="dxa"/>
            <w:vAlign w:val="center"/>
          </w:tcPr>
          <w:p w14:paraId="3FF55893" w14:textId="3DFA5E42" w:rsidR="00EC1E61" w:rsidRPr="00907D83" w:rsidRDefault="00EC1E61"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color w:val="8DB3E2" w:themeColor="text2" w:themeTint="66"/>
                <w:sz w:val="18"/>
                <w:szCs w:val="18"/>
              </w:rPr>
            </w:pPr>
            <w:r w:rsidRPr="00907D83">
              <w:rPr>
                <w:rFonts w:ascii="Arial" w:hAnsi="Arial" w:cs="Arial"/>
                <w:smallCaps/>
                <w:color w:val="8DB3E2" w:themeColor="text2" w:themeTint="66"/>
                <w:sz w:val="18"/>
                <w:szCs w:val="18"/>
              </w:rPr>
              <w:t>Y6</w:t>
            </w:r>
          </w:p>
        </w:tc>
        <w:tc>
          <w:tcPr>
            <w:tcW w:w="1710" w:type="dxa"/>
            <w:vAlign w:val="center"/>
          </w:tcPr>
          <w:p w14:paraId="4CA20445" w14:textId="50C56660" w:rsidR="00EC1E61" w:rsidRPr="00907D83" w:rsidRDefault="00EC1E61"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Responsible</w:t>
            </w:r>
            <w:r w:rsidRPr="00907D83">
              <w:rPr>
                <w:rFonts w:ascii="Arial" w:hAnsi="Arial" w:cs="Arial"/>
                <w:sz w:val="18"/>
                <w:szCs w:val="18"/>
                <w:vertAlign w:val="superscript"/>
              </w:rPr>
              <w:t>[a]</w:t>
            </w:r>
          </w:p>
        </w:tc>
        <w:tc>
          <w:tcPr>
            <w:tcW w:w="990" w:type="dxa"/>
            <w:vAlign w:val="center"/>
          </w:tcPr>
          <w:p w14:paraId="7E8AA979" w14:textId="24F6F068" w:rsidR="00EC1E61" w:rsidRPr="00907D83" w:rsidRDefault="00EC1E61"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Budget (US</w:t>
            </w:r>
            <w:r w:rsidR="00F52C95" w:rsidRPr="00907D83">
              <w:rPr>
                <w:rFonts w:ascii="Arial" w:hAnsi="Arial" w:cs="Arial"/>
                <w:smallCaps/>
                <w:sz w:val="18"/>
                <w:szCs w:val="18"/>
              </w:rPr>
              <w:t>$</w:t>
            </w:r>
            <w:r w:rsidRPr="00907D83">
              <w:rPr>
                <w:rFonts w:ascii="Arial" w:hAnsi="Arial" w:cs="Arial"/>
                <w:smallCaps/>
                <w:sz w:val="18"/>
                <w:szCs w:val="18"/>
              </w:rPr>
              <w:t>)</w:t>
            </w:r>
          </w:p>
        </w:tc>
      </w:tr>
      <w:tr w:rsidR="00EC1E61" w:rsidRPr="00907D83" w14:paraId="0C21FFE2" w14:textId="77777777" w:rsidTr="00EC1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4F81BD" w:themeColor="accent1"/>
            </w:tcBorders>
            <w:vAlign w:val="center"/>
          </w:tcPr>
          <w:p w14:paraId="644E8A6F" w14:textId="77777777" w:rsidR="00EC1E61" w:rsidRPr="00907D83" w:rsidRDefault="00EC1E61" w:rsidP="00EC1E61">
            <w:pPr>
              <w:spacing w:before="60" w:after="60"/>
              <w:rPr>
                <w:rFonts w:ascii="Arial" w:hAnsi="Arial" w:cs="Arial"/>
                <w:b w:val="0"/>
                <w:sz w:val="18"/>
                <w:szCs w:val="18"/>
              </w:rPr>
            </w:pPr>
            <w:r w:rsidRPr="00907D83">
              <w:rPr>
                <w:rFonts w:ascii="Arial" w:hAnsi="Arial" w:cs="Arial"/>
                <w:sz w:val="18"/>
                <w:szCs w:val="18"/>
              </w:rPr>
              <w:t>Coordination meetings and supervision visits</w:t>
            </w:r>
            <w:r w:rsidRPr="00907D83">
              <w:rPr>
                <w:rStyle w:val="FootnoteReference"/>
                <w:rFonts w:ascii="Arial" w:hAnsi="Arial" w:cs="Arial"/>
                <w:sz w:val="18"/>
                <w:szCs w:val="18"/>
              </w:rPr>
              <w:footnoteReference w:id="17"/>
            </w:r>
          </w:p>
        </w:tc>
        <w:tc>
          <w:tcPr>
            <w:tcW w:w="540" w:type="dxa"/>
            <w:tcBorders>
              <w:top w:val="single" w:sz="8" w:space="0" w:color="4F81BD" w:themeColor="accent1"/>
            </w:tcBorders>
            <w:vAlign w:val="center"/>
          </w:tcPr>
          <w:p w14:paraId="3421B05F" w14:textId="5F8C3C4F"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top w:val="single" w:sz="8" w:space="0" w:color="4F81BD" w:themeColor="accent1"/>
            </w:tcBorders>
            <w:vAlign w:val="center"/>
          </w:tcPr>
          <w:p w14:paraId="0B780382"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2</w:t>
            </w:r>
          </w:p>
        </w:tc>
        <w:tc>
          <w:tcPr>
            <w:tcW w:w="540" w:type="dxa"/>
            <w:tcBorders>
              <w:top w:val="single" w:sz="8" w:space="0" w:color="4F81BD" w:themeColor="accent1"/>
            </w:tcBorders>
            <w:vAlign w:val="center"/>
          </w:tcPr>
          <w:p w14:paraId="162B4149"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2</w:t>
            </w:r>
          </w:p>
        </w:tc>
        <w:tc>
          <w:tcPr>
            <w:tcW w:w="540" w:type="dxa"/>
            <w:tcBorders>
              <w:top w:val="single" w:sz="8" w:space="0" w:color="4F81BD" w:themeColor="accent1"/>
            </w:tcBorders>
            <w:vAlign w:val="center"/>
          </w:tcPr>
          <w:p w14:paraId="147443B2"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2</w:t>
            </w:r>
          </w:p>
        </w:tc>
        <w:tc>
          <w:tcPr>
            <w:tcW w:w="540" w:type="dxa"/>
            <w:tcBorders>
              <w:top w:val="single" w:sz="8" w:space="0" w:color="4F81BD" w:themeColor="accent1"/>
            </w:tcBorders>
            <w:vAlign w:val="center"/>
          </w:tcPr>
          <w:p w14:paraId="44724D74" w14:textId="517D5892"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2</w:t>
            </w:r>
          </w:p>
        </w:tc>
        <w:tc>
          <w:tcPr>
            <w:tcW w:w="540" w:type="dxa"/>
            <w:tcBorders>
              <w:top w:val="single" w:sz="8" w:space="0" w:color="4F81BD" w:themeColor="accent1"/>
            </w:tcBorders>
            <w:vAlign w:val="center"/>
          </w:tcPr>
          <w:p w14:paraId="2800D755" w14:textId="3BC69656"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10" w:type="dxa"/>
            <w:tcBorders>
              <w:top w:val="single" w:sz="8" w:space="0" w:color="4F81BD" w:themeColor="accent1"/>
            </w:tcBorders>
            <w:vAlign w:val="center"/>
          </w:tcPr>
          <w:p w14:paraId="4B55C3A7" w14:textId="4253E83A"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AFD/IDB</w:t>
            </w:r>
          </w:p>
        </w:tc>
        <w:tc>
          <w:tcPr>
            <w:tcW w:w="990" w:type="dxa"/>
            <w:tcBorders>
              <w:top w:val="single" w:sz="8" w:space="0" w:color="4F81BD" w:themeColor="accent1"/>
            </w:tcBorders>
            <w:vAlign w:val="center"/>
          </w:tcPr>
          <w:p w14:paraId="343FBC27" w14:textId="7D29BF7A"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12,000</w:t>
            </w:r>
          </w:p>
        </w:tc>
      </w:tr>
      <w:tr w:rsidR="00EC1E61" w:rsidRPr="00907D83" w14:paraId="2B81A4A1" w14:textId="77777777" w:rsidTr="00EC1E61">
        <w:tc>
          <w:tcPr>
            <w:cnfStyle w:val="001000000000" w:firstRow="0" w:lastRow="0" w:firstColumn="1" w:lastColumn="0" w:oddVBand="0" w:evenVBand="0" w:oddHBand="0" w:evenHBand="0" w:firstRowFirstColumn="0" w:firstRowLastColumn="0" w:lastRowFirstColumn="0" w:lastRowLastColumn="0"/>
            <w:tcW w:w="2880" w:type="dxa"/>
            <w:tcBorders>
              <w:bottom w:val="nil"/>
            </w:tcBorders>
            <w:vAlign w:val="center"/>
          </w:tcPr>
          <w:p w14:paraId="0F62412B" w14:textId="1A73A8AE" w:rsidR="00EC1E61" w:rsidRPr="00907D83" w:rsidRDefault="00515710" w:rsidP="00EC1E61">
            <w:pPr>
              <w:spacing w:before="60" w:after="60"/>
              <w:rPr>
                <w:rFonts w:ascii="Arial" w:hAnsi="Arial" w:cs="Arial"/>
                <w:b w:val="0"/>
                <w:sz w:val="18"/>
                <w:szCs w:val="18"/>
              </w:rPr>
            </w:pPr>
            <w:r w:rsidRPr="00907D83">
              <w:rPr>
                <w:rFonts w:ascii="Arial" w:hAnsi="Arial" w:cs="Arial"/>
                <w:sz w:val="18"/>
                <w:szCs w:val="18"/>
              </w:rPr>
              <w:t>Tools for computing energy savings at the sub project level</w:t>
            </w:r>
          </w:p>
        </w:tc>
        <w:tc>
          <w:tcPr>
            <w:tcW w:w="540" w:type="dxa"/>
            <w:tcBorders>
              <w:bottom w:val="nil"/>
            </w:tcBorders>
            <w:vAlign w:val="center"/>
          </w:tcPr>
          <w:p w14:paraId="476ACDB6" w14:textId="70D1CCB6" w:rsidR="00EC1E61" w:rsidRPr="00907D83" w:rsidRDefault="003F308D"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X</w:t>
            </w:r>
          </w:p>
        </w:tc>
        <w:tc>
          <w:tcPr>
            <w:tcW w:w="540" w:type="dxa"/>
            <w:tcBorders>
              <w:bottom w:val="nil"/>
            </w:tcBorders>
            <w:vAlign w:val="center"/>
          </w:tcPr>
          <w:p w14:paraId="676296B5" w14:textId="42F0990A" w:rsidR="00EC1E61" w:rsidRPr="00907D83" w:rsidRDefault="00515710"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x</w:t>
            </w:r>
          </w:p>
        </w:tc>
        <w:tc>
          <w:tcPr>
            <w:tcW w:w="540" w:type="dxa"/>
            <w:tcBorders>
              <w:bottom w:val="nil"/>
            </w:tcBorders>
            <w:vAlign w:val="center"/>
          </w:tcPr>
          <w:p w14:paraId="4C3C848E" w14:textId="6EAA7BE8" w:rsidR="00EC1E61" w:rsidRPr="00907D83" w:rsidRDefault="00515710"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x</w:t>
            </w:r>
          </w:p>
        </w:tc>
        <w:tc>
          <w:tcPr>
            <w:tcW w:w="540" w:type="dxa"/>
            <w:tcBorders>
              <w:bottom w:val="nil"/>
            </w:tcBorders>
            <w:vAlign w:val="center"/>
          </w:tcPr>
          <w:p w14:paraId="48B61D84" w14:textId="6F097E00" w:rsidR="00EC1E61" w:rsidRPr="00907D83" w:rsidRDefault="00515710"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x</w:t>
            </w:r>
          </w:p>
        </w:tc>
        <w:tc>
          <w:tcPr>
            <w:tcW w:w="540" w:type="dxa"/>
            <w:tcBorders>
              <w:bottom w:val="nil"/>
            </w:tcBorders>
            <w:vAlign w:val="center"/>
          </w:tcPr>
          <w:p w14:paraId="03E3A5BE" w14:textId="5CE439EC"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bottom w:val="nil"/>
            </w:tcBorders>
            <w:vAlign w:val="center"/>
          </w:tcPr>
          <w:p w14:paraId="2D41925E"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10" w:type="dxa"/>
            <w:tcBorders>
              <w:bottom w:val="nil"/>
            </w:tcBorders>
            <w:vAlign w:val="center"/>
          </w:tcPr>
          <w:p w14:paraId="0D973A4E" w14:textId="43519EB0"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IDB/Consultants</w:t>
            </w:r>
          </w:p>
        </w:tc>
        <w:tc>
          <w:tcPr>
            <w:tcW w:w="990" w:type="dxa"/>
            <w:tcBorders>
              <w:bottom w:val="nil"/>
            </w:tcBorders>
            <w:vAlign w:val="center"/>
          </w:tcPr>
          <w:p w14:paraId="7DA484A5" w14:textId="49A50F1F" w:rsidR="00EC1E61" w:rsidRPr="00907D83" w:rsidRDefault="00AF4DD7"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347,900</w:t>
            </w:r>
          </w:p>
        </w:tc>
      </w:tr>
      <w:tr w:rsidR="00EC1E61" w:rsidRPr="00907D83" w14:paraId="491EBB4D" w14:textId="77777777" w:rsidTr="00EC1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bottom w:val="nil"/>
            </w:tcBorders>
            <w:vAlign w:val="center"/>
          </w:tcPr>
          <w:p w14:paraId="2302341F" w14:textId="5A84BEB7" w:rsidR="00EC1E61" w:rsidRPr="00907D83" w:rsidRDefault="004862FF" w:rsidP="00EC1E61">
            <w:pPr>
              <w:spacing w:before="60" w:after="60"/>
              <w:rPr>
                <w:rFonts w:ascii="Arial" w:hAnsi="Arial" w:cs="Arial"/>
                <w:b w:val="0"/>
                <w:sz w:val="18"/>
                <w:szCs w:val="18"/>
              </w:rPr>
            </w:pPr>
            <w:r w:rsidRPr="00907D83">
              <w:rPr>
                <w:rFonts w:ascii="Arial" w:hAnsi="Arial" w:cs="Arial"/>
                <w:sz w:val="18"/>
                <w:szCs w:val="18"/>
              </w:rPr>
              <w:t>Electronic registry system</w:t>
            </w:r>
            <w:r w:rsidR="00515710" w:rsidRPr="00907D83">
              <w:rPr>
                <w:rFonts w:ascii="Arial" w:hAnsi="Arial" w:cs="Arial"/>
                <w:sz w:val="18"/>
                <w:szCs w:val="18"/>
              </w:rPr>
              <w:t xml:space="preserve"> at AFD</w:t>
            </w:r>
            <w:r w:rsidRPr="00907D83">
              <w:rPr>
                <w:rFonts w:ascii="Arial" w:hAnsi="Arial" w:cs="Arial"/>
                <w:sz w:val="18"/>
                <w:szCs w:val="18"/>
              </w:rPr>
              <w:t xml:space="preserve"> for monitoring and evaluation</w:t>
            </w:r>
          </w:p>
        </w:tc>
        <w:tc>
          <w:tcPr>
            <w:tcW w:w="540" w:type="dxa"/>
            <w:tcBorders>
              <w:bottom w:val="nil"/>
            </w:tcBorders>
            <w:vAlign w:val="center"/>
          </w:tcPr>
          <w:p w14:paraId="26964FD9" w14:textId="1D574DDA" w:rsidR="00EC1E61" w:rsidRPr="00907D83" w:rsidRDefault="003F308D"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X</w:t>
            </w:r>
          </w:p>
        </w:tc>
        <w:tc>
          <w:tcPr>
            <w:tcW w:w="540" w:type="dxa"/>
            <w:tcBorders>
              <w:bottom w:val="nil"/>
            </w:tcBorders>
            <w:vAlign w:val="center"/>
          </w:tcPr>
          <w:p w14:paraId="6F81EF5A" w14:textId="074EADCB" w:rsidR="00EC1E61" w:rsidRPr="00907D83" w:rsidRDefault="00515710"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x</w:t>
            </w:r>
          </w:p>
        </w:tc>
        <w:tc>
          <w:tcPr>
            <w:tcW w:w="540" w:type="dxa"/>
            <w:tcBorders>
              <w:bottom w:val="nil"/>
            </w:tcBorders>
            <w:vAlign w:val="center"/>
          </w:tcPr>
          <w:p w14:paraId="66C84063"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bottom w:val="nil"/>
            </w:tcBorders>
            <w:vAlign w:val="center"/>
          </w:tcPr>
          <w:p w14:paraId="2B5AF700"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bottom w:val="nil"/>
            </w:tcBorders>
            <w:vAlign w:val="center"/>
          </w:tcPr>
          <w:p w14:paraId="5BC27717"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bottom w:val="nil"/>
            </w:tcBorders>
            <w:vAlign w:val="center"/>
          </w:tcPr>
          <w:p w14:paraId="4E8DE0B1"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10" w:type="dxa"/>
            <w:tcBorders>
              <w:bottom w:val="nil"/>
            </w:tcBorders>
            <w:vAlign w:val="center"/>
          </w:tcPr>
          <w:p w14:paraId="4E5FA11E" w14:textId="4798DE1D"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IDB/Consultants</w:t>
            </w:r>
          </w:p>
        </w:tc>
        <w:tc>
          <w:tcPr>
            <w:tcW w:w="990" w:type="dxa"/>
            <w:tcBorders>
              <w:bottom w:val="nil"/>
            </w:tcBorders>
            <w:vAlign w:val="center"/>
          </w:tcPr>
          <w:p w14:paraId="45B4EE17" w14:textId="693D97AF" w:rsidR="00EC1E61" w:rsidRPr="00907D83" w:rsidRDefault="00AF4DD7"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89,000</w:t>
            </w:r>
          </w:p>
        </w:tc>
      </w:tr>
      <w:tr w:rsidR="00EC1E61" w:rsidRPr="00907D83" w14:paraId="7D43584C" w14:textId="77777777" w:rsidTr="00EC1E61">
        <w:tc>
          <w:tcPr>
            <w:cnfStyle w:val="001000000000" w:firstRow="0" w:lastRow="0" w:firstColumn="1" w:lastColumn="0" w:oddVBand="0" w:evenVBand="0" w:oddHBand="0" w:evenHBand="0" w:firstRowFirstColumn="0" w:firstRowLastColumn="0" w:lastRowFirstColumn="0" w:lastRowLastColumn="0"/>
            <w:tcW w:w="2880" w:type="dxa"/>
            <w:tcBorders>
              <w:bottom w:val="nil"/>
            </w:tcBorders>
            <w:vAlign w:val="center"/>
          </w:tcPr>
          <w:p w14:paraId="25F0DBE1" w14:textId="77777777" w:rsidR="00EC1E61" w:rsidRPr="00907D83" w:rsidRDefault="00EC1E61" w:rsidP="00EC1E61">
            <w:pPr>
              <w:spacing w:before="60" w:after="60"/>
              <w:rPr>
                <w:rFonts w:ascii="Arial" w:hAnsi="Arial" w:cs="Arial"/>
                <w:b w:val="0"/>
                <w:sz w:val="18"/>
                <w:szCs w:val="18"/>
              </w:rPr>
            </w:pPr>
            <w:r w:rsidRPr="00907D83">
              <w:rPr>
                <w:rFonts w:ascii="Arial" w:hAnsi="Arial" w:cs="Arial"/>
                <w:sz w:val="18"/>
                <w:szCs w:val="18"/>
              </w:rPr>
              <w:t>Preparation of annual reports on program execution to IDB</w:t>
            </w:r>
          </w:p>
        </w:tc>
        <w:tc>
          <w:tcPr>
            <w:tcW w:w="540" w:type="dxa"/>
            <w:tcBorders>
              <w:bottom w:val="nil"/>
            </w:tcBorders>
            <w:vAlign w:val="center"/>
          </w:tcPr>
          <w:p w14:paraId="2430156A"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bottom w:val="nil"/>
            </w:tcBorders>
            <w:vAlign w:val="center"/>
          </w:tcPr>
          <w:p w14:paraId="63B252B5"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bottom w:val="nil"/>
            </w:tcBorders>
            <w:vAlign w:val="center"/>
          </w:tcPr>
          <w:p w14:paraId="4B1BC35E"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bottom w:val="nil"/>
            </w:tcBorders>
            <w:vAlign w:val="center"/>
          </w:tcPr>
          <w:p w14:paraId="0322D048"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bottom w:val="nil"/>
            </w:tcBorders>
            <w:vAlign w:val="center"/>
          </w:tcPr>
          <w:p w14:paraId="699D198B"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bottom w:val="nil"/>
            </w:tcBorders>
            <w:vAlign w:val="center"/>
          </w:tcPr>
          <w:p w14:paraId="5C1A3A1C" w14:textId="508CDD42"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10" w:type="dxa"/>
            <w:tcBorders>
              <w:bottom w:val="nil"/>
            </w:tcBorders>
            <w:vAlign w:val="center"/>
          </w:tcPr>
          <w:p w14:paraId="4AE9DCF6" w14:textId="33F1BE31"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AFD</w:t>
            </w:r>
          </w:p>
        </w:tc>
        <w:tc>
          <w:tcPr>
            <w:tcW w:w="990" w:type="dxa"/>
            <w:tcBorders>
              <w:bottom w:val="nil"/>
            </w:tcBorders>
            <w:vAlign w:val="center"/>
          </w:tcPr>
          <w:p w14:paraId="08CEB6B1"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15,000</w:t>
            </w:r>
          </w:p>
        </w:tc>
      </w:tr>
      <w:tr w:rsidR="00EC1E61" w:rsidRPr="00907D83" w14:paraId="06858557" w14:textId="77777777" w:rsidTr="00EC1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vAlign w:val="center"/>
          </w:tcPr>
          <w:p w14:paraId="4BD3B359" w14:textId="784ED15C" w:rsidR="00EC1E61" w:rsidRPr="00907D83" w:rsidRDefault="00EC1E61" w:rsidP="00EC1E61">
            <w:pPr>
              <w:spacing w:before="60" w:after="60"/>
              <w:rPr>
                <w:rFonts w:ascii="Arial" w:hAnsi="Arial" w:cs="Arial"/>
                <w:b w:val="0"/>
                <w:sz w:val="18"/>
                <w:szCs w:val="18"/>
              </w:rPr>
            </w:pPr>
            <w:r w:rsidRPr="00907D83">
              <w:rPr>
                <w:rFonts w:ascii="Arial" w:hAnsi="Arial" w:cs="Arial"/>
                <w:sz w:val="18"/>
                <w:szCs w:val="18"/>
              </w:rPr>
              <w:t>Preparation of annual reports on program execution to GCF</w:t>
            </w:r>
          </w:p>
        </w:tc>
        <w:tc>
          <w:tcPr>
            <w:tcW w:w="540" w:type="dxa"/>
            <w:tcBorders>
              <w:top w:val="nil"/>
              <w:bottom w:val="nil"/>
            </w:tcBorders>
            <w:vAlign w:val="center"/>
          </w:tcPr>
          <w:p w14:paraId="139443B0" w14:textId="070CD652"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top w:val="nil"/>
              <w:bottom w:val="nil"/>
            </w:tcBorders>
            <w:vAlign w:val="center"/>
          </w:tcPr>
          <w:p w14:paraId="39F56F0F" w14:textId="1B816EEF"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top w:val="nil"/>
              <w:bottom w:val="nil"/>
            </w:tcBorders>
            <w:vAlign w:val="center"/>
          </w:tcPr>
          <w:p w14:paraId="17B26E2A" w14:textId="6B6CD3F4"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top w:val="nil"/>
              <w:bottom w:val="nil"/>
            </w:tcBorders>
            <w:vAlign w:val="center"/>
          </w:tcPr>
          <w:p w14:paraId="33390153" w14:textId="590572C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top w:val="nil"/>
              <w:bottom w:val="nil"/>
            </w:tcBorders>
            <w:vAlign w:val="center"/>
          </w:tcPr>
          <w:p w14:paraId="4D479EE6" w14:textId="2AE132D4"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top w:val="nil"/>
              <w:bottom w:val="nil"/>
            </w:tcBorders>
            <w:vAlign w:val="center"/>
          </w:tcPr>
          <w:p w14:paraId="6FEDF707" w14:textId="21D2B95B"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10" w:type="dxa"/>
            <w:tcBorders>
              <w:top w:val="nil"/>
              <w:bottom w:val="nil"/>
            </w:tcBorders>
            <w:vAlign w:val="center"/>
          </w:tcPr>
          <w:p w14:paraId="2CF48C3E" w14:textId="75343BFB"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IDB</w:t>
            </w:r>
          </w:p>
        </w:tc>
        <w:tc>
          <w:tcPr>
            <w:tcW w:w="990" w:type="dxa"/>
            <w:tcBorders>
              <w:top w:val="nil"/>
              <w:bottom w:val="nil"/>
            </w:tcBorders>
            <w:vAlign w:val="center"/>
          </w:tcPr>
          <w:p w14:paraId="3CB4FE1D" w14:textId="52D21FFD"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10,000</w:t>
            </w:r>
          </w:p>
        </w:tc>
      </w:tr>
      <w:tr w:rsidR="00EC1E61" w:rsidRPr="00907D83" w14:paraId="254F815F" w14:textId="77777777" w:rsidTr="00EC1E61">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vAlign w:val="center"/>
          </w:tcPr>
          <w:p w14:paraId="2795838A" w14:textId="77777777" w:rsidR="00EC1E61" w:rsidRPr="00907D83" w:rsidRDefault="00EC1E61" w:rsidP="00EC1E61">
            <w:pPr>
              <w:spacing w:before="60" w:after="60"/>
              <w:rPr>
                <w:rFonts w:ascii="Arial" w:hAnsi="Arial" w:cs="Arial"/>
                <w:b w:val="0"/>
                <w:sz w:val="18"/>
                <w:szCs w:val="18"/>
              </w:rPr>
            </w:pPr>
            <w:r w:rsidRPr="00907D83">
              <w:rPr>
                <w:rFonts w:ascii="Arial" w:hAnsi="Arial" w:cs="Arial"/>
                <w:sz w:val="18"/>
                <w:szCs w:val="18"/>
              </w:rPr>
              <w:t>Audits</w:t>
            </w:r>
          </w:p>
        </w:tc>
        <w:tc>
          <w:tcPr>
            <w:tcW w:w="540" w:type="dxa"/>
            <w:tcBorders>
              <w:top w:val="nil"/>
              <w:bottom w:val="nil"/>
            </w:tcBorders>
            <w:vAlign w:val="center"/>
          </w:tcPr>
          <w:p w14:paraId="2DE410D0" w14:textId="31A8CF6B"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top w:val="nil"/>
              <w:bottom w:val="nil"/>
            </w:tcBorders>
            <w:vAlign w:val="center"/>
          </w:tcPr>
          <w:p w14:paraId="2165C093"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top w:val="nil"/>
              <w:bottom w:val="nil"/>
            </w:tcBorders>
            <w:vAlign w:val="center"/>
          </w:tcPr>
          <w:p w14:paraId="5799860B"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top w:val="nil"/>
              <w:bottom w:val="nil"/>
            </w:tcBorders>
            <w:vAlign w:val="center"/>
          </w:tcPr>
          <w:p w14:paraId="37B82824"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top w:val="nil"/>
              <w:bottom w:val="nil"/>
            </w:tcBorders>
            <w:vAlign w:val="center"/>
          </w:tcPr>
          <w:p w14:paraId="70672D08" w14:textId="394D12F2"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540" w:type="dxa"/>
            <w:tcBorders>
              <w:top w:val="nil"/>
              <w:bottom w:val="nil"/>
            </w:tcBorders>
            <w:vAlign w:val="center"/>
          </w:tcPr>
          <w:p w14:paraId="5F603A94" w14:textId="59579BBA"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10" w:type="dxa"/>
            <w:tcBorders>
              <w:top w:val="nil"/>
              <w:bottom w:val="nil"/>
            </w:tcBorders>
            <w:vAlign w:val="center"/>
          </w:tcPr>
          <w:p w14:paraId="2EE8C63F" w14:textId="172AC8A6"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AFD/IDB</w:t>
            </w:r>
          </w:p>
        </w:tc>
        <w:tc>
          <w:tcPr>
            <w:tcW w:w="990" w:type="dxa"/>
            <w:tcBorders>
              <w:top w:val="nil"/>
              <w:bottom w:val="nil"/>
            </w:tcBorders>
            <w:vAlign w:val="center"/>
          </w:tcPr>
          <w:p w14:paraId="330A1835"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30,000</w:t>
            </w:r>
          </w:p>
        </w:tc>
      </w:tr>
      <w:tr w:rsidR="00EC1E61" w:rsidRPr="00907D83" w14:paraId="577456FB" w14:textId="77777777" w:rsidTr="00EC1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8" w:space="0" w:color="4F81BD" w:themeColor="accent1"/>
            </w:tcBorders>
            <w:vAlign w:val="center"/>
          </w:tcPr>
          <w:p w14:paraId="7622E45D" w14:textId="0D966225" w:rsidR="00EC1E61" w:rsidRPr="00907D83" w:rsidRDefault="00EC1E61" w:rsidP="00EC1E61">
            <w:pPr>
              <w:spacing w:before="60" w:after="60"/>
              <w:rPr>
                <w:rFonts w:ascii="Arial" w:hAnsi="Arial" w:cs="Arial"/>
                <w:b w:val="0"/>
                <w:sz w:val="18"/>
                <w:szCs w:val="18"/>
              </w:rPr>
            </w:pPr>
            <w:r w:rsidRPr="00907D83">
              <w:rPr>
                <w:rFonts w:ascii="Arial" w:hAnsi="Arial" w:cs="Arial"/>
                <w:sz w:val="18"/>
                <w:szCs w:val="18"/>
              </w:rPr>
              <w:t>Final report</w:t>
            </w:r>
            <w:r w:rsidR="00FB5E7A" w:rsidRPr="00907D83">
              <w:rPr>
                <w:rFonts w:ascii="Arial" w:hAnsi="Arial" w:cs="Arial"/>
                <w:sz w:val="18"/>
                <w:szCs w:val="18"/>
              </w:rPr>
              <w:t>s (for IDB and GCF)</w:t>
            </w:r>
          </w:p>
        </w:tc>
        <w:tc>
          <w:tcPr>
            <w:tcW w:w="540" w:type="dxa"/>
            <w:tcBorders>
              <w:top w:val="nil"/>
              <w:bottom w:val="single" w:sz="8" w:space="0" w:color="4F81BD" w:themeColor="accent1"/>
            </w:tcBorders>
            <w:vAlign w:val="center"/>
          </w:tcPr>
          <w:p w14:paraId="339FAF3C" w14:textId="4846D042"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nil"/>
              <w:bottom w:val="single" w:sz="8" w:space="0" w:color="4F81BD" w:themeColor="accent1"/>
            </w:tcBorders>
            <w:vAlign w:val="center"/>
          </w:tcPr>
          <w:p w14:paraId="1012568F" w14:textId="109892DD"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nil"/>
              <w:bottom w:val="single" w:sz="8" w:space="0" w:color="4F81BD" w:themeColor="accent1"/>
            </w:tcBorders>
            <w:vAlign w:val="center"/>
          </w:tcPr>
          <w:p w14:paraId="2A8F638C" w14:textId="276609F4"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nil"/>
              <w:bottom w:val="single" w:sz="8" w:space="0" w:color="4F81BD" w:themeColor="accent1"/>
            </w:tcBorders>
            <w:vAlign w:val="center"/>
          </w:tcPr>
          <w:p w14:paraId="59EAC328" w14:textId="00A725E9"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nil"/>
              <w:bottom w:val="single" w:sz="8" w:space="0" w:color="4F81BD" w:themeColor="accent1"/>
            </w:tcBorders>
            <w:vAlign w:val="center"/>
          </w:tcPr>
          <w:p w14:paraId="0B575C4D" w14:textId="09FD583C"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nil"/>
              <w:bottom w:val="single" w:sz="8" w:space="0" w:color="4F81BD" w:themeColor="accent1"/>
            </w:tcBorders>
            <w:vAlign w:val="center"/>
          </w:tcPr>
          <w:p w14:paraId="625786A7" w14:textId="7CB601AB"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color w:val="8DB3E2" w:themeColor="text2" w:themeTint="66"/>
                <w:sz w:val="18"/>
                <w:szCs w:val="18"/>
              </w:rPr>
              <w:t>1</w:t>
            </w:r>
          </w:p>
        </w:tc>
        <w:tc>
          <w:tcPr>
            <w:tcW w:w="1710" w:type="dxa"/>
            <w:tcBorders>
              <w:top w:val="nil"/>
              <w:bottom w:val="single" w:sz="8" w:space="0" w:color="4F81BD" w:themeColor="accent1"/>
            </w:tcBorders>
            <w:vAlign w:val="center"/>
          </w:tcPr>
          <w:p w14:paraId="1E4DB272" w14:textId="09B43B6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AFD</w:t>
            </w:r>
          </w:p>
        </w:tc>
        <w:tc>
          <w:tcPr>
            <w:tcW w:w="990" w:type="dxa"/>
            <w:tcBorders>
              <w:top w:val="nil"/>
              <w:bottom w:val="single" w:sz="8" w:space="0" w:color="4F81BD" w:themeColor="accent1"/>
            </w:tcBorders>
            <w:vAlign w:val="center"/>
          </w:tcPr>
          <w:p w14:paraId="25C37BE2"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10,000</w:t>
            </w:r>
          </w:p>
        </w:tc>
      </w:tr>
      <w:tr w:rsidR="00EC1E61" w:rsidRPr="00907D83" w14:paraId="5898A70D" w14:textId="77777777" w:rsidTr="00AF4DD7">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4F81BD" w:themeColor="accent1"/>
              <w:bottom w:val="single" w:sz="8" w:space="0" w:color="4F81BD" w:themeColor="accent1"/>
            </w:tcBorders>
            <w:vAlign w:val="center"/>
          </w:tcPr>
          <w:p w14:paraId="2539B8C5" w14:textId="77777777" w:rsidR="00EC1E61" w:rsidRPr="00907D83" w:rsidRDefault="00EC1E61" w:rsidP="00EC1E61">
            <w:pPr>
              <w:spacing w:before="60" w:after="60"/>
              <w:rPr>
                <w:rFonts w:ascii="Arial" w:hAnsi="Arial" w:cs="Arial"/>
                <w:b w:val="0"/>
                <w:sz w:val="18"/>
                <w:szCs w:val="18"/>
              </w:rPr>
            </w:pPr>
            <w:r w:rsidRPr="00907D83">
              <w:rPr>
                <w:rFonts w:ascii="Arial" w:hAnsi="Arial" w:cs="Arial"/>
                <w:sz w:val="18"/>
                <w:szCs w:val="18"/>
              </w:rPr>
              <w:t>Total</w:t>
            </w:r>
          </w:p>
        </w:tc>
        <w:tc>
          <w:tcPr>
            <w:tcW w:w="540" w:type="dxa"/>
            <w:tcBorders>
              <w:top w:val="single" w:sz="8" w:space="0" w:color="4F81BD" w:themeColor="accent1"/>
              <w:bottom w:val="single" w:sz="8" w:space="0" w:color="4F81BD" w:themeColor="accent1"/>
            </w:tcBorders>
            <w:vAlign w:val="center"/>
          </w:tcPr>
          <w:p w14:paraId="32723263"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top w:val="single" w:sz="8" w:space="0" w:color="4F81BD" w:themeColor="accent1"/>
              <w:bottom w:val="single" w:sz="8" w:space="0" w:color="4F81BD" w:themeColor="accent1"/>
            </w:tcBorders>
            <w:vAlign w:val="center"/>
          </w:tcPr>
          <w:p w14:paraId="6203CB1E"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top w:val="single" w:sz="8" w:space="0" w:color="4F81BD" w:themeColor="accent1"/>
              <w:bottom w:val="single" w:sz="8" w:space="0" w:color="4F81BD" w:themeColor="accent1"/>
            </w:tcBorders>
            <w:vAlign w:val="center"/>
          </w:tcPr>
          <w:p w14:paraId="46941EDB"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top w:val="single" w:sz="8" w:space="0" w:color="4F81BD" w:themeColor="accent1"/>
              <w:bottom w:val="single" w:sz="8" w:space="0" w:color="4F81BD" w:themeColor="accent1"/>
            </w:tcBorders>
            <w:vAlign w:val="center"/>
          </w:tcPr>
          <w:p w14:paraId="3B70930C"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top w:val="single" w:sz="8" w:space="0" w:color="4F81BD" w:themeColor="accent1"/>
              <w:bottom w:val="single" w:sz="8" w:space="0" w:color="4F81BD" w:themeColor="accent1"/>
            </w:tcBorders>
          </w:tcPr>
          <w:p w14:paraId="176C07B8"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top w:val="single" w:sz="8" w:space="0" w:color="4F81BD" w:themeColor="accent1"/>
              <w:bottom w:val="single" w:sz="8" w:space="0" w:color="4F81BD" w:themeColor="accent1"/>
            </w:tcBorders>
          </w:tcPr>
          <w:p w14:paraId="68E51F13"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10" w:type="dxa"/>
            <w:tcBorders>
              <w:top w:val="single" w:sz="8" w:space="0" w:color="4F81BD" w:themeColor="accent1"/>
              <w:bottom w:val="single" w:sz="8" w:space="0" w:color="4F81BD" w:themeColor="accent1"/>
            </w:tcBorders>
            <w:vAlign w:val="center"/>
          </w:tcPr>
          <w:p w14:paraId="68C604E1" w14:textId="52D5A343"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0" w:type="dxa"/>
            <w:tcBorders>
              <w:top w:val="single" w:sz="8" w:space="0" w:color="4F81BD" w:themeColor="accent1"/>
              <w:bottom w:val="single" w:sz="8" w:space="0" w:color="4F81BD" w:themeColor="accent1"/>
            </w:tcBorders>
            <w:vAlign w:val="center"/>
          </w:tcPr>
          <w:p w14:paraId="0FB61D8F" w14:textId="008BD2BF" w:rsidR="00EC1E61" w:rsidRPr="00907D83" w:rsidRDefault="00AF4DD7"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07D83">
              <w:rPr>
                <w:rFonts w:ascii="Arial" w:hAnsi="Arial" w:cs="Arial"/>
                <w:b/>
                <w:sz w:val="18"/>
                <w:szCs w:val="18"/>
              </w:rPr>
              <w:t>513</w:t>
            </w:r>
            <w:r w:rsidR="00EC1E61" w:rsidRPr="00907D83">
              <w:rPr>
                <w:rFonts w:ascii="Arial" w:hAnsi="Arial" w:cs="Arial"/>
                <w:b/>
                <w:sz w:val="18"/>
                <w:szCs w:val="18"/>
              </w:rPr>
              <w:t>,</w:t>
            </w:r>
            <w:r w:rsidRPr="00907D83">
              <w:rPr>
                <w:rFonts w:ascii="Arial" w:hAnsi="Arial" w:cs="Arial"/>
                <w:b/>
                <w:sz w:val="18"/>
                <w:szCs w:val="18"/>
              </w:rPr>
              <w:t>9</w:t>
            </w:r>
            <w:r w:rsidR="00EC1E61" w:rsidRPr="00907D83">
              <w:rPr>
                <w:rFonts w:ascii="Arial" w:hAnsi="Arial" w:cs="Arial"/>
                <w:b/>
                <w:sz w:val="18"/>
                <w:szCs w:val="18"/>
              </w:rPr>
              <w:t>00</w:t>
            </w:r>
          </w:p>
        </w:tc>
      </w:tr>
    </w:tbl>
    <w:p w14:paraId="1E97B926" w14:textId="4BEF5337" w:rsidR="004F5DB0" w:rsidRPr="003B669D" w:rsidRDefault="004F5DB0" w:rsidP="003B669D">
      <w:pPr>
        <w:pStyle w:val="Chapter"/>
        <w:numPr>
          <w:ilvl w:val="0"/>
          <w:numId w:val="0"/>
        </w:numPr>
        <w:spacing w:before="0"/>
        <w:jc w:val="left"/>
        <w:rPr>
          <w:rFonts w:ascii="Arial" w:hAnsi="Arial" w:cs="Arial"/>
          <w:b w:val="0"/>
          <w:smallCaps w:val="0"/>
          <w:sz w:val="16"/>
          <w:szCs w:val="16"/>
        </w:rPr>
      </w:pPr>
      <w:bookmarkStart w:id="45" w:name="_Toc461196716"/>
      <w:bookmarkStart w:id="46" w:name="_Toc461196953"/>
      <w:bookmarkStart w:id="47" w:name="_Toc501017812"/>
      <w:bookmarkStart w:id="48" w:name="_Toc300318308"/>
      <w:bookmarkStart w:id="49" w:name="_Toc331167639"/>
      <w:r w:rsidRPr="003B669D">
        <w:rPr>
          <w:rFonts w:ascii="Arial" w:hAnsi="Arial" w:cs="Arial"/>
          <w:b w:val="0"/>
          <w:smallCaps w:val="0"/>
          <w:sz w:val="16"/>
          <w:szCs w:val="16"/>
          <w:vertAlign w:val="superscript"/>
        </w:rPr>
        <w:t>[a]</w:t>
      </w:r>
      <w:r w:rsidRPr="003B669D">
        <w:rPr>
          <w:rFonts w:ascii="Arial" w:hAnsi="Arial" w:cs="Arial"/>
          <w:b w:val="0"/>
          <w:smallCaps w:val="0"/>
          <w:sz w:val="16"/>
          <w:szCs w:val="16"/>
        </w:rPr>
        <w:t xml:space="preserve"> </w:t>
      </w:r>
      <w:r w:rsidR="006A3FFD" w:rsidRPr="003B669D">
        <w:rPr>
          <w:rFonts w:ascii="Arial" w:hAnsi="Arial" w:cs="Arial"/>
          <w:b w:val="0"/>
          <w:smallCaps w:val="0"/>
          <w:sz w:val="16"/>
          <w:szCs w:val="16"/>
        </w:rPr>
        <w:t>A</w:t>
      </w:r>
      <w:r w:rsidR="00EC1E61" w:rsidRPr="003B669D">
        <w:rPr>
          <w:rFonts w:ascii="Arial" w:hAnsi="Arial" w:cs="Arial"/>
          <w:b w:val="0"/>
          <w:smallCaps w:val="0"/>
          <w:sz w:val="16"/>
          <w:szCs w:val="16"/>
        </w:rPr>
        <w:t>ll A</w:t>
      </w:r>
      <w:r w:rsidR="006A3FFD" w:rsidRPr="003B669D">
        <w:rPr>
          <w:rFonts w:ascii="Arial" w:hAnsi="Arial" w:cs="Arial"/>
          <w:b w:val="0"/>
          <w:smallCaps w:val="0"/>
          <w:sz w:val="16"/>
          <w:szCs w:val="16"/>
        </w:rPr>
        <w:t>FD</w:t>
      </w:r>
      <w:r w:rsidRPr="003B669D">
        <w:rPr>
          <w:rFonts w:ascii="Arial" w:hAnsi="Arial" w:cs="Arial"/>
          <w:b w:val="0"/>
          <w:smallCaps w:val="0"/>
          <w:sz w:val="16"/>
          <w:szCs w:val="16"/>
        </w:rPr>
        <w:t xml:space="preserve"> responsibilities in terms of budget are considered to be payable in-kind.</w:t>
      </w:r>
      <w:bookmarkEnd w:id="45"/>
      <w:bookmarkEnd w:id="46"/>
      <w:bookmarkEnd w:id="47"/>
    </w:p>
    <w:p w14:paraId="734D8F16" w14:textId="0C5E7413" w:rsidR="00051B6C" w:rsidRPr="00907D83" w:rsidRDefault="00F21A7C" w:rsidP="003B669D">
      <w:pPr>
        <w:pStyle w:val="Chapter"/>
        <w:spacing w:before="360"/>
        <w:rPr>
          <w:rFonts w:ascii="Arial" w:hAnsi="Arial" w:cs="Arial"/>
          <w:sz w:val="22"/>
          <w:szCs w:val="22"/>
        </w:rPr>
      </w:pPr>
      <w:bookmarkStart w:id="50" w:name="_Toc501017813"/>
      <w:r w:rsidRPr="00907D83">
        <w:rPr>
          <w:rFonts w:ascii="Arial" w:hAnsi="Arial" w:cs="Arial"/>
          <w:sz w:val="22"/>
          <w:szCs w:val="22"/>
        </w:rPr>
        <w:t xml:space="preserve">Ex-Post </w:t>
      </w:r>
      <w:r w:rsidR="00051B6C" w:rsidRPr="00907D83">
        <w:rPr>
          <w:rFonts w:ascii="Arial" w:hAnsi="Arial" w:cs="Arial"/>
          <w:sz w:val="22"/>
          <w:szCs w:val="22"/>
        </w:rPr>
        <w:t>Evalua</w:t>
      </w:r>
      <w:r w:rsidR="006C2C4B" w:rsidRPr="00907D83">
        <w:rPr>
          <w:rFonts w:ascii="Arial" w:hAnsi="Arial" w:cs="Arial"/>
          <w:sz w:val="22"/>
          <w:szCs w:val="22"/>
        </w:rPr>
        <w:t>tio</w:t>
      </w:r>
      <w:r w:rsidR="00051B6C" w:rsidRPr="00907D83">
        <w:rPr>
          <w:rFonts w:ascii="Arial" w:hAnsi="Arial" w:cs="Arial"/>
          <w:sz w:val="22"/>
          <w:szCs w:val="22"/>
        </w:rPr>
        <w:t>n</w:t>
      </w:r>
      <w:bookmarkEnd w:id="48"/>
      <w:bookmarkEnd w:id="49"/>
      <w:bookmarkEnd w:id="50"/>
      <w:r w:rsidR="00051B6C" w:rsidRPr="00907D83">
        <w:rPr>
          <w:rFonts w:ascii="Arial" w:hAnsi="Arial" w:cs="Arial"/>
          <w:sz w:val="22"/>
          <w:szCs w:val="22"/>
        </w:rPr>
        <w:t xml:space="preserve"> </w:t>
      </w:r>
    </w:p>
    <w:bookmarkStart w:id="51" w:name="_Toc300318309"/>
    <w:p w14:paraId="01773861" w14:textId="241C913E" w:rsidR="00F21A7C" w:rsidRPr="00907D83" w:rsidRDefault="00051B6C" w:rsidP="00F21A7C">
      <w:pPr>
        <w:pStyle w:val="FirstHeading"/>
        <w:ind w:left="720"/>
        <w:rPr>
          <w:rFonts w:ascii="Arial" w:hAnsi="Arial" w:cs="Arial"/>
          <w:sz w:val="22"/>
          <w:szCs w:val="22"/>
          <w:lang w:val="es-ES_tradnl"/>
        </w:rPr>
      </w:pPr>
      <w:r w:rsidRPr="000116D0">
        <w:rPr>
          <w:rFonts w:ascii="Arial" w:hAnsi="Arial" w:cs="Arial"/>
          <w:sz w:val="22"/>
          <w:szCs w:val="22"/>
          <w:lang w:val="es-ES_tradnl"/>
        </w:rPr>
        <w:fldChar w:fldCharType="begin"/>
      </w:r>
      <w:r w:rsidRPr="00907D83">
        <w:rPr>
          <w:rFonts w:ascii="Arial" w:hAnsi="Arial" w:cs="Arial"/>
          <w:sz w:val="22"/>
          <w:szCs w:val="22"/>
          <w:lang w:val="es-ES_tradnl"/>
        </w:rPr>
        <w:instrText xml:space="preserve"> SEQ "</w:instrText>
      </w:r>
      <w:r w:rsidR="00AF2C5C" w:rsidRPr="003B669D">
        <w:rPr>
          <w:rFonts w:ascii="Arial" w:hAnsi="Arial" w:cs="Arial"/>
          <w:sz w:val="22"/>
          <w:szCs w:val="22"/>
        </w:rPr>
        <w:fldChar w:fldCharType="begin"/>
      </w:r>
      <w:r w:rsidR="00AF2C5C" w:rsidRPr="00907D83">
        <w:rPr>
          <w:rFonts w:ascii="Arial" w:hAnsi="Arial" w:cs="Arial"/>
          <w:sz w:val="22"/>
          <w:szCs w:val="22"/>
        </w:rPr>
        <w:instrText xml:space="preserve"> SECTION  \* MERGEFORMAT </w:instrText>
      </w:r>
      <w:r w:rsidR="00AF2C5C" w:rsidRPr="003B669D">
        <w:rPr>
          <w:rFonts w:ascii="Arial" w:hAnsi="Arial" w:cs="Arial"/>
          <w:sz w:val="22"/>
          <w:szCs w:val="22"/>
        </w:rPr>
        <w:fldChar w:fldCharType="separate"/>
      </w:r>
      <w:r w:rsidRPr="00907D83">
        <w:rPr>
          <w:rFonts w:ascii="Arial" w:hAnsi="Arial" w:cs="Arial"/>
          <w:sz w:val="22"/>
          <w:szCs w:val="22"/>
          <w:lang w:val="es-ES_tradnl"/>
        </w:rPr>
        <w:instrText>4</w:instrText>
      </w:r>
      <w:r w:rsidR="00AF2C5C" w:rsidRPr="003B669D">
        <w:rPr>
          <w:rFonts w:ascii="Arial" w:hAnsi="Arial" w:cs="Arial"/>
          <w:sz w:val="22"/>
          <w:szCs w:val="22"/>
          <w:lang w:val="es-ES_tradnl"/>
        </w:rPr>
        <w:fldChar w:fldCharType="end"/>
      </w:r>
      <w:r w:rsidRPr="00907D83">
        <w:rPr>
          <w:rFonts w:ascii="Arial" w:hAnsi="Arial" w:cs="Arial"/>
          <w:sz w:val="22"/>
          <w:szCs w:val="22"/>
          <w:lang w:val="es-ES_tradnl"/>
        </w:rPr>
        <w:instrText xml:space="preserve">#"\* ALPHABETIC \* MERGEFORMAT </w:instrText>
      </w:r>
      <w:r w:rsidRPr="000116D0">
        <w:rPr>
          <w:rFonts w:ascii="Arial" w:hAnsi="Arial" w:cs="Arial"/>
          <w:sz w:val="22"/>
          <w:szCs w:val="22"/>
          <w:lang w:val="es-ES_tradnl"/>
        </w:rPr>
        <w:fldChar w:fldCharType="separate"/>
      </w:r>
      <w:bookmarkStart w:id="52" w:name="_Toc331167640"/>
      <w:bookmarkStart w:id="53" w:name="_Toc501017814"/>
      <w:r w:rsidRPr="00907D83">
        <w:rPr>
          <w:rFonts w:ascii="Arial" w:hAnsi="Arial" w:cs="Arial"/>
          <w:noProof/>
          <w:sz w:val="22"/>
          <w:szCs w:val="22"/>
          <w:lang w:val="es-ES_tradnl"/>
        </w:rPr>
        <w:t>A</w:t>
      </w:r>
      <w:r w:rsidRPr="000116D0">
        <w:rPr>
          <w:rFonts w:ascii="Arial" w:hAnsi="Arial" w:cs="Arial"/>
          <w:sz w:val="22"/>
          <w:szCs w:val="22"/>
          <w:lang w:val="es-ES_tradnl"/>
        </w:rPr>
        <w:fldChar w:fldCharType="end"/>
      </w:r>
      <w:r w:rsidRPr="00907D83">
        <w:rPr>
          <w:rFonts w:ascii="Arial" w:hAnsi="Arial" w:cs="Arial"/>
          <w:sz w:val="22"/>
          <w:szCs w:val="22"/>
          <w:lang w:val="es-ES_tradnl"/>
        </w:rPr>
        <w:t>.</w:t>
      </w:r>
      <w:r w:rsidRPr="00907D83">
        <w:rPr>
          <w:rFonts w:ascii="Arial" w:hAnsi="Arial" w:cs="Arial"/>
          <w:sz w:val="22"/>
          <w:szCs w:val="22"/>
          <w:lang w:val="es-ES_tradnl"/>
        </w:rPr>
        <w:tab/>
      </w:r>
      <w:bookmarkEnd w:id="51"/>
      <w:bookmarkEnd w:id="52"/>
      <w:proofErr w:type="spellStart"/>
      <w:r w:rsidR="00BF6957" w:rsidRPr="00907D83">
        <w:rPr>
          <w:rFonts w:ascii="Arial" w:hAnsi="Arial" w:cs="Arial"/>
          <w:sz w:val="22"/>
          <w:szCs w:val="22"/>
          <w:lang w:val="es-ES_tradnl"/>
        </w:rPr>
        <w:t>Main</w:t>
      </w:r>
      <w:proofErr w:type="spellEnd"/>
      <w:r w:rsidR="00BF6957" w:rsidRPr="00907D83">
        <w:rPr>
          <w:rFonts w:ascii="Arial" w:hAnsi="Arial" w:cs="Arial"/>
          <w:sz w:val="22"/>
          <w:szCs w:val="22"/>
          <w:lang w:val="es-ES_tradnl"/>
        </w:rPr>
        <w:t xml:space="preserve"> </w:t>
      </w:r>
      <w:proofErr w:type="spellStart"/>
      <w:r w:rsidR="00BF6957" w:rsidRPr="00907D83">
        <w:rPr>
          <w:rFonts w:ascii="Arial" w:hAnsi="Arial" w:cs="Arial"/>
          <w:sz w:val="22"/>
          <w:szCs w:val="22"/>
          <w:lang w:val="es-ES_tradnl"/>
        </w:rPr>
        <w:t>Question</w:t>
      </w:r>
      <w:proofErr w:type="spellEnd"/>
      <w:r w:rsidR="00BF6957" w:rsidRPr="00907D83">
        <w:rPr>
          <w:rFonts w:ascii="Arial" w:hAnsi="Arial" w:cs="Arial"/>
          <w:sz w:val="22"/>
          <w:szCs w:val="22"/>
          <w:lang w:val="es-ES_tradnl"/>
        </w:rPr>
        <w:t>(s)</w:t>
      </w:r>
      <w:bookmarkEnd w:id="53"/>
      <w:r w:rsidRPr="00907D83">
        <w:rPr>
          <w:rFonts w:ascii="Arial" w:hAnsi="Arial" w:cs="Arial"/>
          <w:sz w:val="22"/>
          <w:szCs w:val="22"/>
          <w:lang w:val="es-ES_tradnl"/>
        </w:rPr>
        <w:t xml:space="preserve"> </w:t>
      </w:r>
    </w:p>
    <w:p w14:paraId="55BA9E9B" w14:textId="1ABD2E11" w:rsidR="00BF6957" w:rsidRPr="00907D83" w:rsidRDefault="00BF6957" w:rsidP="00FF59DF">
      <w:pPr>
        <w:pStyle w:val="Paragraph"/>
        <w:tabs>
          <w:tab w:val="clear" w:pos="2736"/>
        </w:tabs>
        <w:ind w:left="709" w:hanging="709"/>
        <w:rPr>
          <w:rFonts w:ascii="Arial" w:hAnsi="Arial" w:cs="Arial"/>
          <w:sz w:val="22"/>
          <w:szCs w:val="22"/>
        </w:rPr>
      </w:pPr>
      <w:r w:rsidRPr="00907D83">
        <w:rPr>
          <w:rFonts w:ascii="Arial" w:hAnsi="Arial" w:cs="Arial"/>
          <w:sz w:val="22"/>
          <w:szCs w:val="22"/>
        </w:rPr>
        <w:t>This section includes a propos</w:t>
      </w:r>
      <w:r w:rsidR="00243E20" w:rsidRPr="00907D83">
        <w:rPr>
          <w:rFonts w:ascii="Arial" w:hAnsi="Arial" w:cs="Arial"/>
          <w:sz w:val="22"/>
          <w:szCs w:val="22"/>
        </w:rPr>
        <w:t xml:space="preserve">ed </w:t>
      </w:r>
      <w:r w:rsidRPr="00907D83">
        <w:rPr>
          <w:rFonts w:ascii="Arial" w:hAnsi="Arial" w:cs="Arial"/>
          <w:sz w:val="22"/>
          <w:szCs w:val="22"/>
        </w:rPr>
        <w:t xml:space="preserve">plan to evaluate the </w:t>
      </w:r>
      <w:r w:rsidR="00F21A7C" w:rsidRPr="00907D83">
        <w:rPr>
          <w:rFonts w:ascii="Arial" w:hAnsi="Arial" w:cs="Arial"/>
          <w:sz w:val="22"/>
          <w:szCs w:val="22"/>
        </w:rPr>
        <w:t xml:space="preserve">program </w:t>
      </w:r>
      <w:r w:rsidR="00243E20" w:rsidRPr="00907D83">
        <w:rPr>
          <w:rFonts w:ascii="Arial" w:hAnsi="Arial" w:cs="Arial"/>
          <w:sz w:val="22"/>
          <w:szCs w:val="22"/>
        </w:rPr>
        <w:t>after its completion</w:t>
      </w:r>
      <w:r w:rsidRPr="00907D83">
        <w:rPr>
          <w:rFonts w:ascii="Arial" w:hAnsi="Arial" w:cs="Arial"/>
          <w:sz w:val="22"/>
          <w:szCs w:val="22"/>
        </w:rPr>
        <w:t>.</w:t>
      </w:r>
      <w:r w:rsidR="00FF59DF" w:rsidRPr="00907D83">
        <w:rPr>
          <w:rFonts w:ascii="Arial" w:hAnsi="Arial" w:cs="Arial"/>
          <w:sz w:val="22"/>
          <w:szCs w:val="22"/>
        </w:rPr>
        <w:t xml:space="preserve"> </w:t>
      </w:r>
      <w:r w:rsidRPr="00907D83">
        <w:rPr>
          <w:rFonts w:ascii="Arial" w:hAnsi="Arial" w:cs="Arial"/>
          <w:sz w:val="22"/>
          <w:szCs w:val="22"/>
        </w:rPr>
        <w:t>In</w:t>
      </w:r>
      <w:r w:rsidR="00FF59DF" w:rsidRPr="00907D83">
        <w:rPr>
          <w:rFonts w:ascii="Arial" w:hAnsi="Arial" w:cs="Arial"/>
          <w:sz w:val="22"/>
          <w:szCs w:val="22"/>
        </w:rPr>
        <w:t xml:space="preserve"> </w:t>
      </w:r>
      <w:r w:rsidRPr="00907D83">
        <w:rPr>
          <w:rFonts w:ascii="Arial" w:hAnsi="Arial" w:cs="Arial"/>
          <w:sz w:val="22"/>
          <w:szCs w:val="22"/>
        </w:rPr>
        <w:t>particular</w:t>
      </w:r>
      <w:r w:rsidR="00FF59DF" w:rsidRPr="00907D83">
        <w:rPr>
          <w:rFonts w:ascii="Arial" w:hAnsi="Arial" w:cs="Arial"/>
          <w:sz w:val="22"/>
          <w:szCs w:val="22"/>
        </w:rPr>
        <w:t>,</w:t>
      </w:r>
      <w:r w:rsidRPr="00907D83">
        <w:rPr>
          <w:rFonts w:ascii="Arial" w:hAnsi="Arial" w:cs="Arial"/>
          <w:sz w:val="22"/>
          <w:szCs w:val="22"/>
        </w:rPr>
        <w:t xml:space="preserve"> </w:t>
      </w:r>
      <w:r w:rsidR="00434B57" w:rsidRPr="00907D83">
        <w:rPr>
          <w:rFonts w:ascii="Arial" w:hAnsi="Arial" w:cs="Arial"/>
          <w:sz w:val="22"/>
          <w:szCs w:val="22"/>
        </w:rPr>
        <w:t xml:space="preserve">and in line with the proposed program objectives, </w:t>
      </w:r>
      <w:r w:rsidR="00F21A7C" w:rsidRPr="00907D83">
        <w:rPr>
          <w:rFonts w:ascii="Arial" w:hAnsi="Arial" w:cs="Arial"/>
          <w:sz w:val="22"/>
          <w:szCs w:val="22"/>
        </w:rPr>
        <w:t xml:space="preserve">the </w:t>
      </w:r>
      <w:r w:rsidR="000C31D0" w:rsidRPr="00907D83">
        <w:rPr>
          <w:rFonts w:ascii="Arial" w:hAnsi="Arial" w:cs="Arial"/>
          <w:sz w:val="22"/>
          <w:szCs w:val="22"/>
        </w:rPr>
        <w:t>plan</w:t>
      </w:r>
      <w:r w:rsidR="00F21A7C" w:rsidRPr="00907D83">
        <w:rPr>
          <w:rFonts w:ascii="Arial" w:hAnsi="Arial" w:cs="Arial"/>
          <w:sz w:val="22"/>
          <w:szCs w:val="22"/>
        </w:rPr>
        <w:t xml:space="preserve"> </w:t>
      </w:r>
      <w:r w:rsidRPr="00907D83">
        <w:rPr>
          <w:rFonts w:ascii="Arial" w:hAnsi="Arial" w:cs="Arial"/>
          <w:sz w:val="22"/>
          <w:szCs w:val="22"/>
        </w:rPr>
        <w:t xml:space="preserve">will </w:t>
      </w:r>
      <w:r w:rsidR="000C31D0" w:rsidRPr="00907D83">
        <w:rPr>
          <w:rFonts w:ascii="Arial" w:hAnsi="Arial" w:cs="Arial"/>
          <w:sz w:val="22"/>
          <w:szCs w:val="22"/>
        </w:rPr>
        <w:t>seek to carry out an analysis that will serve to</w:t>
      </w:r>
      <w:r w:rsidRPr="00907D83">
        <w:rPr>
          <w:rFonts w:ascii="Arial" w:hAnsi="Arial" w:cs="Arial"/>
          <w:sz w:val="22"/>
          <w:szCs w:val="22"/>
        </w:rPr>
        <w:t xml:space="preserve"> answer the following questions: </w:t>
      </w:r>
    </w:p>
    <w:p w14:paraId="48F61097" w14:textId="6338B1D3" w:rsidR="00BF6957" w:rsidRPr="00907D83" w:rsidRDefault="009D2E97" w:rsidP="00BF6957">
      <w:pPr>
        <w:pStyle w:val="Paragraph"/>
        <w:numPr>
          <w:ilvl w:val="0"/>
          <w:numId w:val="22"/>
        </w:numPr>
        <w:ind w:left="1080"/>
        <w:rPr>
          <w:rFonts w:ascii="Arial" w:hAnsi="Arial" w:cs="Arial"/>
          <w:bCs/>
          <w:i/>
          <w:iCs/>
          <w:sz w:val="22"/>
          <w:szCs w:val="22"/>
        </w:rPr>
      </w:pPr>
      <w:r w:rsidRPr="00907D83">
        <w:rPr>
          <w:rFonts w:ascii="Arial" w:hAnsi="Arial" w:cs="Arial"/>
          <w:bCs/>
          <w:i/>
          <w:iCs/>
          <w:sz w:val="22"/>
          <w:szCs w:val="22"/>
        </w:rPr>
        <w:t xml:space="preserve">Related to the specific objective (i) to increase access to medium and long-term finance for EE investment projects by SMEs: </w:t>
      </w:r>
      <w:r w:rsidR="00434B57" w:rsidRPr="00907D83">
        <w:rPr>
          <w:rFonts w:ascii="Arial" w:hAnsi="Arial" w:cs="Arial"/>
          <w:bCs/>
          <w:i/>
          <w:iCs/>
          <w:sz w:val="22"/>
          <w:szCs w:val="22"/>
        </w:rPr>
        <w:t xml:space="preserve">Have SMEs received </w:t>
      </w:r>
      <w:r w:rsidR="00434B57" w:rsidRPr="00907D83">
        <w:rPr>
          <w:rFonts w:ascii="Arial" w:hAnsi="Arial" w:cs="Arial"/>
          <w:bCs/>
          <w:i/>
          <w:iCs/>
          <w:sz w:val="22"/>
          <w:szCs w:val="22"/>
        </w:rPr>
        <w:lastRenderedPageBreak/>
        <w:t>medium and long-term finance to support their EE investment projects? Have the supported EE projects been properly implemented? How much additional funding (public and private) was the program able to leverage in the development of projects financed by the program?</w:t>
      </w:r>
    </w:p>
    <w:p w14:paraId="1CE76ED3" w14:textId="42B323F6" w:rsidR="00BF6957" w:rsidRPr="00907D83" w:rsidRDefault="009D2E97" w:rsidP="00BF6957">
      <w:pPr>
        <w:pStyle w:val="Paragraph"/>
        <w:numPr>
          <w:ilvl w:val="0"/>
          <w:numId w:val="22"/>
        </w:numPr>
        <w:ind w:left="1080"/>
        <w:rPr>
          <w:rFonts w:ascii="Arial" w:hAnsi="Arial" w:cs="Arial"/>
          <w:bCs/>
          <w:i/>
          <w:iCs/>
          <w:sz w:val="22"/>
          <w:szCs w:val="22"/>
        </w:rPr>
      </w:pPr>
      <w:r w:rsidRPr="00907D83">
        <w:rPr>
          <w:rFonts w:ascii="Arial" w:hAnsi="Arial" w:cs="Arial"/>
          <w:bCs/>
          <w:i/>
          <w:iCs/>
          <w:sz w:val="22"/>
          <w:szCs w:val="22"/>
        </w:rPr>
        <w:t xml:space="preserve">Related to the specific objective (ii) to reduce greenhouse gas (GHG) emissions, supporting the achievement of the country’s climate change goals: </w:t>
      </w:r>
      <w:r w:rsidR="001C5592" w:rsidRPr="00907D83">
        <w:rPr>
          <w:rFonts w:ascii="Arial" w:hAnsi="Arial" w:cs="Arial"/>
          <w:bCs/>
          <w:i/>
          <w:iCs/>
          <w:sz w:val="22"/>
          <w:szCs w:val="22"/>
        </w:rPr>
        <w:t>Have the projects financed by</w:t>
      </w:r>
      <w:r w:rsidR="00BF6957" w:rsidRPr="00907D83">
        <w:rPr>
          <w:rFonts w:ascii="Arial" w:hAnsi="Arial" w:cs="Arial"/>
          <w:bCs/>
          <w:i/>
          <w:iCs/>
          <w:sz w:val="22"/>
          <w:szCs w:val="22"/>
        </w:rPr>
        <w:t xml:space="preserve"> </w:t>
      </w:r>
      <w:r w:rsidR="001C5592" w:rsidRPr="00907D83">
        <w:rPr>
          <w:rFonts w:ascii="Arial" w:hAnsi="Arial" w:cs="Arial"/>
          <w:bCs/>
          <w:i/>
          <w:iCs/>
          <w:sz w:val="22"/>
          <w:szCs w:val="22"/>
        </w:rPr>
        <w:t>the program contributed</w:t>
      </w:r>
      <w:r w:rsidR="00BF6957" w:rsidRPr="00907D83">
        <w:rPr>
          <w:rFonts w:ascii="Arial" w:hAnsi="Arial" w:cs="Arial"/>
          <w:bCs/>
          <w:i/>
          <w:iCs/>
          <w:sz w:val="22"/>
          <w:szCs w:val="22"/>
        </w:rPr>
        <w:t xml:space="preserve"> </w:t>
      </w:r>
      <w:r w:rsidR="001C5592" w:rsidRPr="00907D83">
        <w:rPr>
          <w:rFonts w:ascii="Arial" w:hAnsi="Arial" w:cs="Arial"/>
          <w:bCs/>
          <w:i/>
          <w:iCs/>
          <w:sz w:val="22"/>
          <w:szCs w:val="22"/>
        </w:rPr>
        <w:t>to reduce</w:t>
      </w:r>
      <w:r w:rsidR="00BF6957" w:rsidRPr="00907D83">
        <w:rPr>
          <w:rFonts w:ascii="Arial" w:hAnsi="Arial" w:cs="Arial"/>
          <w:bCs/>
          <w:i/>
          <w:iCs/>
          <w:sz w:val="22"/>
          <w:szCs w:val="22"/>
        </w:rPr>
        <w:t xml:space="preserve"> GHG emissions</w:t>
      </w:r>
      <w:r w:rsidR="001C5592" w:rsidRPr="00907D83">
        <w:rPr>
          <w:rFonts w:ascii="Arial" w:hAnsi="Arial" w:cs="Arial"/>
          <w:bCs/>
          <w:i/>
          <w:iCs/>
          <w:sz w:val="22"/>
          <w:szCs w:val="22"/>
        </w:rPr>
        <w:t>?</w:t>
      </w:r>
      <w:r w:rsidR="00434B57" w:rsidRPr="00907D83">
        <w:rPr>
          <w:rFonts w:ascii="Arial" w:hAnsi="Arial" w:cs="Arial"/>
          <w:bCs/>
          <w:i/>
          <w:iCs/>
          <w:sz w:val="22"/>
          <w:szCs w:val="22"/>
        </w:rPr>
        <w:t xml:space="preserve"> What are the energy savings [current and projected] from EE projects financed by the program?</w:t>
      </w:r>
    </w:p>
    <w:p w14:paraId="2717AEB1" w14:textId="53B962D8" w:rsidR="001C5592" w:rsidRPr="00907D83" w:rsidRDefault="00FF59DF" w:rsidP="00BF6957">
      <w:pPr>
        <w:pStyle w:val="Paragraph"/>
        <w:tabs>
          <w:tab w:val="clear" w:pos="2736"/>
        </w:tabs>
        <w:ind w:left="709" w:hanging="709"/>
        <w:rPr>
          <w:rFonts w:ascii="Arial" w:hAnsi="Arial" w:cs="Arial"/>
          <w:sz w:val="22"/>
          <w:szCs w:val="22"/>
          <w:lang w:val="en-GB"/>
        </w:rPr>
      </w:pPr>
      <w:r w:rsidRPr="00907D83">
        <w:rPr>
          <w:rFonts w:ascii="Arial" w:hAnsi="Arial" w:cs="Arial"/>
          <w:sz w:val="22"/>
          <w:szCs w:val="22"/>
        </w:rPr>
        <w:t>Due to the financial nature of the program, which necessarily involves a non</w:t>
      </w:r>
      <w:r w:rsidR="00B913FC" w:rsidRPr="00907D83">
        <w:rPr>
          <w:rFonts w:ascii="Arial" w:hAnsi="Arial" w:cs="Arial"/>
          <w:sz w:val="22"/>
          <w:szCs w:val="22"/>
        </w:rPr>
        <w:noBreakHyphen/>
      </w:r>
      <w:r w:rsidRPr="00907D83">
        <w:rPr>
          <w:rFonts w:ascii="Arial" w:hAnsi="Arial" w:cs="Arial"/>
          <w:sz w:val="22"/>
          <w:szCs w:val="22"/>
        </w:rPr>
        <w:t xml:space="preserve">random selection of projects (applicants are evaluated by </w:t>
      </w:r>
      <w:r w:rsidR="00E138BA">
        <w:rPr>
          <w:rFonts w:ascii="Arial" w:hAnsi="Arial" w:cs="Arial"/>
          <w:sz w:val="22"/>
          <w:szCs w:val="22"/>
        </w:rPr>
        <w:t>I</w:t>
      </w:r>
      <w:r w:rsidRPr="00907D83">
        <w:rPr>
          <w:rFonts w:ascii="Arial" w:hAnsi="Arial" w:cs="Arial"/>
          <w:sz w:val="22"/>
          <w:szCs w:val="22"/>
        </w:rPr>
        <w:t>FIs based of specific criteria and conditions), the use of experimental methodologies is not considered possible</w:t>
      </w:r>
      <w:r w:rsidR="000C31D0" w:rsidRPr="00907D83">
        <w:rPr>
          <w:rFonts w:ascii="Arial" w:hAnsi="Arial" w:cs="Arial"/>
          <w:sz w:val="22"/>
          <w:szCs w:val="22"/>
        </w:rPr>
        <w:t xml:space="preserve"> (or doing so would involve a level of sophistication and costs that are not considered appropriate for this program)</w:t>
      </w:r>
      <w:r w:rsidRPr="00907D83">
        <w:rPr>
          <w:rFonts w:ascii="Arial" w:hAnsi="Arial" w:cs="Arial"/>
          <w:sz w:val="22"/>
          <w:szCs w:val="22"/>
        </w:rPr>
        <w:t xml:space="preserve">, and an ex-post cost benefit analysis has been established as the more effective and convenient approach to be employed. </w:t>
      </w:r>
      <w:r w:rsidR="00BF6957" w:rsidRPr="00907D83">
        <w:rPr>
          <w:rFonts w:ascii="Arial" w:hAnsi="Arial" w:cs="Arial"/>
          <w:sz w:val="22"/>
          <w:szCs w:val="22"/>
        </w:rPr>
        <w:t xml:space="preserve">The </w:t>
      </w:r>
      <w:r w:rsidR="00456A2F" w:rsidRPr="00907D83">
        <w:rPr>
          <w:rFonts w:ascii="Arial" w:hAnsi="Arial" w:cs="Arial"/>
          <w:sz w:val="22"/>
          <w:szCs w:val="22"/>
        </w:rPr>
        <w:t xml:space="preserve">ex-post analysis </w:t>
      </w:r>
      <w:r w:rsidR="00BF6957" w:rsidRPr="00907D83">
        <w:rPr>
          <w:rFonts w:ascii="Arial" w:hAnsi="Arial" w:cs="Arial"/>
          <w:sz w:val="22"/>
          <w:szCs w:val="22"/>
        </w:rPr>
        <w:t>of the program will seek to measure the economic results of its implementation with regards to both the size of the induced investment an</w:t>
      </w:r>
      <w:r w:rsidR="001C5592" w:rsidRPr="00907D83">
        <w:rPr>
          <w:rFonts w:ascii="Arial" w:hAnsi="Arial" w:cs="Arial"/>
          <w:sz w:val="22"/>
          <w:szCs w:val="22"/>
        </w:rPr>
        <w:t>d the benefits of the technologies incorporated to the system</w:t>
      </w:r>
      <w:r w:rsidR="00BF6957" w:rsidRPr="00907D83">
        <w:rPr>
          <w:rFonts w:ascii="Arial" w:hAnsi="Arial" w:cs="Arial"/>
          <w:sz w:val="22"/>
          <w:szCs w:val="22"/>
        </w:rPr>
        <w:t>. To this end</w:t>
      </w:r>
      <w:r w:rsidR="000C31D0" w:rsidRPr="00907D83">
        <w:rPr>
          <w:rFonts w:ascii="Arial" w:hAnsi="Arial" w:cs="Arial"/>
          <w:sz w:val="22"/>
          <w:szCs w:val="22"/>
        </w:rPr>
        <w:t xml:space="preserve">, </w:t>
      </w:r>
      <w:r w:rsidR="00456A2F" w:rsidRPr="00907D83">
        <w:rPr>
          <w:rFonts w:ascii="Arial" w:hAnsi="Arial" w:cs="Arial"/>
          <w:sz w:val="22"/>
          <w:szCs w:val="22"/>
        </w:rPr>
        <w:t>the</w:t>
      </w:r>
      <w:r w:rsidR="00BF6957" w:rsidRPr="00907D83">
        <w:rPr>
          <w:rFonts w:ascii="Arial" w:hAnsi="Arial" w:cs="Arial"/>
          <w:sz w:val="22"/>
          <w:szCs w:val="22"/>
        </w:rPr>
        <w:t xml:space="preserve"> ex-post economic analysis </w:t>
      </w:r>
      <w:r w:rsidR="00456A2F" w:rsidRPr="00907D83">
        <w:rPr>
          <w:rFonts w:ascii="Arial" w:hAnsi="Arial" w:cs="Arial"/>
          <w:sz w:val="22"/>
          <w:szCs w:val="22"/>
        </w:rPr>
        <w:t xml:space="preserve">will follow </w:t>
      </w:r>
      <w:r w:rsidR="00BF6957" w:rsidRPr="00907D83">
        <w:rPr>
          <w:rFonts w:ascii="Arial" w:hAnsi="Arial" w:cs="Arial"/>
          <w:sz w:val="22"/>
          <w:szCs w:val="22"/>
        </w:rPr>
        <w:t>the methodology used for the ex</w:t>
      </w:r>
      <w:r w:rsidR="00B913FC" w:rsidRPr="00907D83">
        <w:rPr>
          <w:rFonts w:ascii="Arial" w:hAnsi="Arial" w:cs="Arial"/>
          <w:sz w:val="22"/>
          <w:szCs w:val="22"/>
        </w:rPr>
        <w:noBreakHyphen/>
      </w:r>
      <w:r w:rsidR="00BF6957" w:rsidRPr="00907D83">
        <w:rPr>
          <w:rFonts w:ascii="Arial" w:hAnsi="Arial" w:cs="Arial"/>
          <w:sz w:val="22"/>
          <w:szCs w:val="22"/>
        </w:rPr>
        <w:t>ante economic analysis linked to the program proposal</w:t>
      </w:r>
      <w:r w:rsidR="001C5592" w:rsidRPr="00907D83">
        <w:rPr>
          <w:rFonts w:ascii="Arial" w:hAnsi="Arial" w:cs="Arial"/>
          <w:sz w:val="22"/>
          <w:szCs w:val="22"/>
        </w:rPr>
        <w:t xml:space="preserve"> (see </w:t>
      </w:r>
      <w:hyperlink r:id="rId19" w:history="1">
        <w:r w:rsidR="001C5592" w:rsidRPr="00907D83">
          <w:rPr>
            <w:rStyle w:val="Hyperlink"/>
            <w:rFonts w:ascii="Arial" w:hAnsi="Arial" w:cs="Arial"/>
            <w:sz w:val="22"/>
            <w:szCs w:val="22"/>
          </w:rPr>
          <w:t>Economic Analysis</w:t>
        </w:r>
      </w:hyperlink>
      <w:r w:rsidR="001C5592" w:rsidRPr="00907D83">
        <w:rPr>
          <w:rFonts w:ascii="Arial" w:hAnsi="Arial" w:cs="Arial"/>
          <w:sz w:val="22"/>
          <w:szCs w:val="22"/>
        </w:rPr>
        <w:t>)</w:t>
      </w:r>
      <w:r w:rsidR="001C5592" w:rsidRPr="00907D83">
        <w:rPr>
          <w:rFonts w:ascii="Arial" w:hAnsi="Arial" w:cs="Arial"/>
          <w:sz w:val="22"/>
          <w:szCs w:val="22"/>
          <w:lang w:val="en-GB"/>
        </w:rPr>
        <w:t>.</w:t>
      </w:r>
    </w:p>
    <w:p w14:paraId="52958E46" w14:textId="5DE60ED6" w:rsidR="00BF6957" w:rsidRPr="00907D83" w:rsidRDefault="001C5592" w:rsidP="00BF6957">
      <w:pPr>
        <w:pStyle w:val="Paragraph"/>
        <w:tabs>
          <w:tab w:val="clear" w:pos="2736"/>
        </w:tabs>
        <w:ind w:left="709" w:hanging="709"/>
        <w:rPr>
          <w:rFonts w:ascii="Arial" w:hAnsi="Arial" w:cs="Arial"/>
          <w:sz w:val="22"/>
          <w:szCs w:val="22"/>
          <w:lang w:val="en-GB"/>
        </w:rPr>
      </w:pPr>
      <w:r w:rsidRPr="00907D83">
        <w:rPr>
          <w:rFonts w:ascii="Arial" w:hAnsi="Arial" w:cs="Arial"/>
          <w:sz w:val="22"/>
          <w:szCs w:val="22"/>
          <w:lang w:val="en-GB"/>
        </w:rPr>
        <w:t xml:space="preserve">Due to the </w:t>
      </w:r>
      <w:r w:rsidR="002D1541" w:rsidRPr="00907D83">
        <w:rPr>
          <w:rFonts w:ascii="Arial" w:hAnsi="Arial" w:cs="Arial"/>
          <w:sz w:val="22"/>
          <w:szCs w:val="22"/>
          <w:lang w:val="en-GB"/>
        </w:rPr>
        <w:t>expected</w:t>
      </w:r>
      <w:r w:rsidRPr="00907D83">
        <w:rPr>
          <w:rFonts w:ascii="Arial" w:hAnsi="Arial" w:cs="Arial"/>
          <w:sz w:val="22"/>
          <w:szCs w:val="22"/>
          <w:lang w:val="en-GB"/>
        </w:rPr>
        <w:t xml:space="preserve"> </w:t>
      </w:r>
      <w:r w:rsidR="000C31D0" w:rsidRPr="00907D83">
        <w:rPr>
          <w:rFonts w:ascii="Arial" w:hAnsi="Arial" w:cs="Arial"/>
          <w:sz w:val="22"/>
          <w:szCs w:val="22"/>
          <w:lang w:val="en-GB"/>
        </w:rPr>
        <w:t>lifetime</w:t>
      </w:r>
      <w:r w:rsidRPr="00907D83">
        <w:rPr>
          <w:rFonts w:ascii="Arial" w:hAnsi="Arial" w:cs="Arial"/>
          <w:sz w:val="22"/>
          <w:szCs w:val="22"/>
          <w:lang w:val="en-GB"/>
        </w:rPr>
        <w:t xml:space="preserve"> of </w:t>
      </w:r>
      <w:r w:rsidR="000C31D0" w:rsidRPr="00907D83">
        <w:rPr>
          <w:rFonts w:ascii="Arial" w:hAnsi="Arial" w:cs="Arial"/>
          <w:sz w:val="22"/>
          <w:szCs w:val="22"/>
          <w:lang w:val="en-GB"/>
        </w:rPr>
        <w:t xml:space="preserve">sub </w:t>
      </w:r>
      <w:r w:rsidRPr="00907D83">
        <w:rPr>
          <w:rFonts w:ascii="Arial" w:hAnsi="Arial" w:cs="Arial"/>
          <w:sz w:val="22"/>
          <w:szCs w:val="22"/>
          <w:lang w:val="en-GB"/>
        </w:rPr>
        <w:t>projects to be financed</w:t>
      </w:r>
      <w:r w:rsidR="002D1541" w:rsidRPr="00907D83">
        <w:rPr>
          <w:rFonts w:ascii="Arial" w:hAnsi="Arial" w:cs="Arial"/>
          <w:sz w:val="22"/>
          <w:szCs w:val="22"/>
          <w:lang w:val="en-GB"/>
        </w:rPr>
        <w:t xml:space="preserve"> (</w:t>
      </w:r>
      <w:r w:rsidR="0062582C" w:rsidRPr="00907D83">
        <w:rPr>
          <w:rFonts w:ascii="Arial" w:hAnsi="Arial" w:cs="Arial"/>
          <w:sz w:val="22"/>
          <w:szCs w:val="22"/>
          <w:lang w:val="en-GB"/>
        </w:rPr>
        <w:t>10</w:t>
      </w:r>
      <w:r w:rsidR="002D1541" w:rsidRPr="00907D83">
        <w:rPr>
          <w:rFonts w:ascii="Arial" w:hAnsi="Arial" w:cs="Arial"/>
          <w:sz w:val="22"/>
          <w:szCs w:val="22"/>
          <w:lang w:val="en-GB"/>
        </w:rPr>
        <w:t xml:space="preserve"> years)</w:t>
      </w:r>
      <w:r w:rsidRPr="00907D83">
        <w:rPr>
          <w:rFonts w:ascii="Arial" w:hAnsi="Arial" w:cs="Arial"/>
          <w:sz w:val="22"/>
          <w:szCs w:val="22"/>
          <w:lang w:val="en-GB"/>
        </w:rPr>
        <w:t xml:space="preserve">, real data available by the end of the execution period </w:t>
      </w:r>
      <w:r w:rsidR="000C31D0" w:rsidRPr="00907D83">
        <w:rPr>
          <w:rFonts w:ascii="Arial" w:hAnsi="Arial" w:cs="Arial"/>
          <w:sz w:val="22"/>
          <w:szCs w:val="22"/>
          <w:lang w:val="en-GB"/>
        </w:rPr>
        <w:t xml:space="preserve">(5 years from the effective date of the loan agreement) </w:t>
      </w:r>
      <w:r w:rsidRPr="00907D83">
        <w:rPr>
          <w:rFonts w:ascii="Arial" w:hAnsi="Arial" w:cs="Arial"/>
          <w:sz w:val="22"/>
          <w:szCs w:val="22"/>
          <w:lang w:val="en-GB"/>
        </w:rPr>
        <w:t xml:space="preserve">will not be sufficient to </w:t>
      </w:r>
      <w:r w:rsidR="00456A2F" w:rsidRPr="00907D83">
        <w:rPr>
          <w:rFonts w:ascii="Arial" w:hAnsi="Arial" w:cs="Arial"/>
          <w:sz w:val="22"/>
          <w:szCs w:val="22"/>
          <w:lang w:val="en-GB"/>
        </w:rPr>
        <w:t xml:space="preserve">run </w:t>
      </w:r>
      <w:r w:rsidR="000C31D0" w:rsidRPr="00907D83">
        <w:rPr>
          <w:rFonts w:ascii="Arial" w:hAnsi="Arial" w:cs="Arial"/>
          <w:sz w:val="22"/>
          <w:szCs w:val="22"/>
          <w:lang w:val="en-GB"/>
        </w:rPr>
        <w:t>an</w:t>
      </w:r>
      <w:r w:rsidR="00456A2F" w:rsidRPr="00907D83">
        <w:rPr>
          <w:rFonts w:ascii="Arial" w:hAnsi="Arial" w:cs="Arial"/>
          <w:sz w:val="22"/>
          <w:szCs w:val="22"/>
          <w:lang w:val="en-GB"/>
        </w:rPr>
        <w:t xml:space="preserve"> ex-post cost-benefit analysis</w:t>
      </w:r>
      <w:r w:rsidRPr="00907D83">
        <w:rPr>
          <w:rFonts w:ascii="Arial" w:hAnsi="Arial" w:cs="Arial"/>
          <w:sz w:val="22"/>
          <w:szCs w:val="22"/>
          <w:lang w:val="en-GB"/>
        </w:rPr>
        <w:t xml:space="preserve"> without </w:t>
      </w:r>
      <w:r w:rsidR="000C31D0" w:rsidRPr="00907D83">
        <w:rPr>
          <w:rFonts w:ascii="Arial" w:hAnsi="Arial" w:cs="Arial"/>
          <w:sz w:val="22"/>
          <w:szCs w:val="22"/>
          <w:lang w:val="en-GB"/>
        </w:rPr>
        <w:t xml:space="preserve">partially </w:t>
      </w:r>
      <w:r w:rsidR="00456A2F" w:rsidRPr="00907D83">
        <w:rPr>
          <w:rFonts w:ascii="Arial" w:hAnsi="Arial" w:cs="Arial"/>
          <w:sz w:val="22"/>
          <w:szCs w:val="22"/>
          <w:lang w:val="en-GB"/>
        </w:rPr>
        <w:t xml:space="preserve">relying on certain </w:t>
      </w:r>
      <w:r w:rsidR="00D17E9E" w:rsidRPr="00907D83">
        <w:rPr>
          <w:rFonts w:ascii="Arial" w:hAnsi="Arial" w:cs="Arial"/>
          <w:sz w:val="22"/>
          <w:szCs w:val="22"/>
          <w:lang w:val="en-GB"/>
        </w:rPr>
        <w:t>projections. The evaluation exercise included in this plan will be made</w:t>
      </w:r>
      <w:r w:rsidR="00BF6957" w:rsidRPr="00907D83">
        <w:rPr>
          <w:rFonts w:ascii="Arial" w:hAnsi="Arial" w:cs="Arial"/>
          <w:sz w:val="22"/>
          <w:szCs w:val="22"/>
          <w:lang w:val="en-GB"/>
        </w:rPr>
        <w:t xml:space="preserve"> </w:t>
      </w:r>
      <w:r w:rsidR="00D17E9E" w:rsidRPr="00907D83">
        <w:rPr>
          <w:rFonts w:ascii="Arial" w:hAnsi="Arial" w:cs="Arial"/>
          <w:sz w:val="22"/>
          <w:szCs w:val="22"/>
          <w:lang w:val="en-GB"/>
        </w:rPr>
        <w:t xml:space="preserve">at the time of program completion, time at which data collected will be used </w:t>
      </w:r>
      <w:r w:rsidRPr="00907D83">
        <w:rPr>
          <w:rFonts w:ascii="Arial" w:hAnsi="Arial" w:cs="Arial"/>
          <w:sz w:val="22"/>
          <w:szCs w:val="22"/>
          <w:lang w:val="en-GB"/>
        </w:rPr>
        <w:t xml:space="preserve">to adjust </w:t>
      </w:r>
      <w:r w:rsidR="00BF6957" w:rsidRPr="00907D83">
        <w:rPr>
          <w:rFonts w:ascii="Arial" w:hAnsi="Arial" w:cs="Arial"/>
          <w:sz w:val="22"/>
          <w:szCs w:val="22"/>
          <w:lang w:val="en-GB"/>
        </w:rPr>
        <w:t>projections on the expected results</w:t>
      </w:r>
      <w:r w:rsidRPr="00907D83">
        <w:rPr>
          <w:rFonts w:ascii="Arial" w:hAnsi="Arial" w:cs="Arial"/>
          <w:sz w:val="22"/>
          <w:szCs w:val="22"/>
          <w:lang w:val="en-GB"/>
        </w:rPr>
        <w:t xml:space="preserve">. After that, arrangements </w:t>
      </w:r>
      <w:r w:rsidR="00D17E9E" w:rsidRPr="00907D83">
        <w:rPr>
          <w:rFonts w:ascii="Arial" w:hAnsi="Arial" w:cs="Arial"/>
          <w:sz w:val="22"/>
          <w:szCs w:val="22"/>
          <w:lang w:val="en-GB"/>
        </w:rPr>
        <w:t>will need to</w:t>
      </w:r>
      <w:r w:rsidRPr="00907D83">
        <w:rPr>
          <w:rFonts w:ascii="Arial" w:hAnsi="Arial" w:cs="Arial"/>
          <w:sz w:val="22"/>
          <w:szCs w:val="22"/>
          <w:lang w:val="en-GB"/>
        </w:rPr>
        <w:t xml:space="preserve"> be made for </w:t>
      </w:r>
      <w:r w:rsidR="00D17E9E" w:rsidRPr="00907D83">
        <w:rPr>
          <w:rFonts w:ascii="Arial" w:hAnsi="Arial" w:cs="Arial"/>
          <w:sz w:val="22"/>
          <w:szCs w:val="22"/>
          <w:lang w:val="en-GB"/>
        </w:rPr>
        <w:t xml:space="preserve">a discussion on an optimal timeframe </w:t>
      </w:r>
      <w:r w:rsidR="002D1541" w:rsidRPr="00907D83">
        <w:rPr>
          <w:rFonts w:ascii="Arial" w:hAnsi="Arial" w:cs="Arial"/>
          <w:sz w:val="22"/>
          <w:szCs w:val="22"/>
          <w:lang w:val="en-GB"/>
        </w:rPr>
        <w:t>if</w:t>
      </w:r>
      <w:r w:rsidR="00D17E9E" w:rsidRPr="00907D83">
        <w:rPr>
          <w:rFonts w:ascii="Arial" w:hAnsi="Arial" w:cs="Arial"/>
          <w:sz w:val="22"/>
          <w:szCs w:val="22"/>
          <w:lang w:val="en-GB"/>
        </w:rPr>
        <w:t xml:space="preserve"> </w:t>
      </w:r>
      <w:r w:rsidRPr="00907D83">
        <w:rPr>
          <w:rFonts w:ascii="Arial" w:hAnsi="Arial" w:cs="Arial"/>
          <w:sz w:val="22"/>
          <w:szCs w:val="22"/>
          <w:lang w:val="en-GB"/>
        </w:rPr>
        <w:t xml:space="preserve">further </w:t>
      </w:r>
      <w:r w:rsidR="002D1541" w:rsidRPr="00907D83">
        <w:rPr>
          <w:rFonts w:ascii="Arial" w:hAnsi="Arial" w:cs="Arial"/>
          <w:sz w:val="22"/>
          <w:szCs w:val="22"/>
          <w:lang w:val="en-GB"/>
        </w:rPr>
        <w:t>real</w:t>
      </w:r>
      <w:r w:rsidRPr="00907D83">
        <w:rPr>
          <w:rFonts w:ascii="Arial" w:hAnsi="Arial" w:cs="Arial"/>
          <w:sz w:val="22"/>
          <w:szCs w:val="22"/>
          <w:lang w:val="en-GB"/>
        </w:rPr>
        <w:t xml:space="preserve"> </w:t>
      </w:r>
      <w:r w:rsidR="00BF6957" w:rsidRPr="00907D83">
        <w:rPr>
          <w:rFonts w:ascii="Arial" w:hAnsi="Arial" w:cs="Arial"/>
          <w:sz w:val="22"/>
          <w:szCs w:val="22"/>
          <w:lang w:val="en-GB"/>
        </w:rPr>
        <w:t>data</w:t>
      </w:r>
      <w:r w:rsidRPr="00907D83">
        <w:rPr>
          <w:rFonts w:ascii="Arial" w:hAnsi="Arial" w:cs="Arial"/>
          <w:sz w:val="22"/>
          <w:szCs w:val="22"/>
          <w:lang w:val="en-GB"/>
        </w:rPr>
        <w:t xml:space="preserve"> collection during the expected lifetime of the projects financed</w:t>
      </w:r>
      <w:r w:rsidR="002D1541" w:rsidRPr="00907D83">
        <w:rPr>
          <w:rFonts w:ascii="Arial" w:hAnsi="Arial" w:cs="Arial"/>
          <w:sz w:val="22"/>
          <w:szCs w:val="22"/>
          <w:lang w:val="en-GB"/>
        </w:rPr>
        <w:t xml:space="preserve"> is to be carried out</w:t>
      </w:r>
      <w:r w:rsidR="00BF6957" w:rsidRPr="00907D83">
        <w:rPr>
          <w:rFonts w:ascii="Arial" w:hAnsi="Arial" w:cs="Arial"/>
          <w:sz w:val="22"/>
          <w:szCs w:val="22"/>
          <w:lang w:val="en-GB"/>
        </w:rPr>
        <w:t xml:space="preserve">. </w:t>
      </w:r>
    </w:p>
    <w:bookmarkStart w:id="54" w:name="_Toc300318310"/>
    <w:p w14:paraId="4E7FE254" w14:textId="77777777" w:rsidR="00051B6C" w:rsidRPr="00907D83" w:rsidRDefault="00051B6C" w:rsidP="00051B6C">
      <w:pPr>
        <w:pStyle w:val="FirstHeading"/>
        <w:ind w:left="720"/>
        <w:rPr>
          <w:rFonts w:ascii="Arial" w:hAnsi="Arial" w:cs="Arial"/>
          <w:noProof/>
          <w:sz w:val="22"/>
          <w:szCs w:val="22"/>
          <w:lang w:val="es-ES_tradnl"/>
        </w:rPr>
      </w:pPr>
      <w:r w:rsidRPr="000116D0">
        <w:rPr>
          <w:rFonts w:ascii="Arial" w:hAnsi="Arial" w:cs="Arial"/>
          <w:noProof/>
          <w:sz w:val="22"/>
          <w:szCs w:val="22"/>
          <w:lang w:val="es-ES_tradnl"/>
        </w:rPr>
        <w:fldChar w:fldCharType="begin"/>
      </w:r>
      <w:r w:rsidRPr="00907D83">
        <w:rPr>
          <w:rFonts w:ascii="Arial" w:hAnsi="Arial" w:cs="Arial"/>
          <w:noProof/>
          <w:sz w:val="22"/>
          <w:szCs w:val="22"/>
          <w:lang w:val="es-ES_tradnl"/>
        </w:rPr>
        <w:instrText xml:space="preserve"> SEQ "</w:instrText>
      </w:r>
      <w:r w:rsidRPr="003B669D">
        <w:rPr>
          <w:rFonts w:ascii="Arial" w:hAnsi="Arial" w:cs="Arial"/>
          <w:noProof/>
          <w:sz w:val="22"/>
          <w:szCs w:val="22"/>
          <w:lang w:val="es-ES_tradnl"/>
        </w:rPr>
        <w:fldChar w:fldCharType="begin"/>
      </w:r>
      <w:r w:rsidRPr="00907D83">
        <w:rPr>
          <w:rFonts w:ascii="Arial" w:hAnsi="Arial" w:cs="Arial"/>
          <w:noProof/>
          <w:sz w:val="22"/>
          <w:szCs w:val="22"/>
          <w:lang w:val="es-ES_tradnl"/>
        </w:rPr>
        <w:instrText xml:space="preserve"> SECTION  \* MERGEFORMAT </w:instrText>
      </w:r>
      <w:r w:rsidRPr="003B669D">
        <w:rPr>
          <w:rFonts w:ascii="Arial" w:hAnsi="Arial" w:cs="Arial"/>
          <w:noProof/>
          <w:sz w:val="22"/>
          <w:szCs w:val="22"/>
          <w:lang w:val="es-ES_tradnl"/>
        </w:rPr>
        <w:fldChar w:fldCharType="separate"/>
      </w:r>
      <w:r w:rsidRPr="00907D83">
        <w:rPr>
          <w:rFonts w:ascii="Arial" w:hAnsi="Arial" w:cs="Arial"/>
          <w:noProof/>
          <w:sz w:val="22"/>
          <w:szCs w:val="22"/>
          <w:lang w:val="es-ES_tradnl"/>
        </w:rPr>
        <w:instrText>4</w:instrText>
      </w:r>
      <w:r w:rsidRPr="003B669D">
        <w:rPr>
          <w:rFonts w:ascii="Arial" w:hAnsi="Arial" w:cs="Arial"/>
          <w:noProof/>
          <w:sz w:val="22"/>
          <w:szCs w:val="22"/>
          <w:lang w:val="es-ES_tradnl"/>
        </w:rPr>
        <w:fldChar w:fldCharType="end"/>
      </w:r>
      <w:r w:rsidRPr="00907D83">
        <w:rPr>
          <w:rFonts w:ascii="Arial" w:hAnsi="Arial" w:cs="Arial"/>
          <w:noProof/>
          <w:sz w:val="22"/>
          <w:szCs w:val="22"/>
          <w:lang w:val="es-ES_tradnl"/>
        </w:rPr>
        <w:instrText xml:space="preserve">#"\* ALPHABETIC \* MERGEFORMAT </w:instrText>
      </w:r>
      <w:r w:rsidRPr="000116D0">
        <w:rPr>
          <w:rFonts w:ascii="Arial" w:hAnsi="Arial" w:cs="Arial"/>
          <w:noProof/>
          <w:sz w:val="22"/>
          <w:szCs w:val="22"/>
          <w:lang w:val="es-ES_tradnl"/>
        </w:rPr>
        <w:fldChar w:fldCharType="separate"/>
      </w:r>
      <w:bookmarkStart w:id="55" w:name="_Toc331167641"/>
      <w:bookmarkStart w:id="56" w:name="_Toc501017815"/>
      <w:r w:rsidRPr="00907D83">
        <w:rPr>
          <w:rFonts w:ascii="Arial" w:hAnsi="Arial" w:cs="Arial"/>
          <w:noProof/>
          <w:sz w:val="22"/>
          <w:szCs w:val="22"/>
          <w:lang w:val="es-ES_tradnl"/>
        </w:rPr>
        <w:t>B</w:t>
      </w:r>
      <w:r w:rsidRPr="000116D0">
        <w:rPr>
          <w:rFonts w:ascii="Arial" w:hAnsi="Arial" w:cs="Arial"/>
          <w:noProof/>
          <w:sz w:val="22"/>
          <w:szCs w:val="22"/>
          <w:lang w:val="es-ES_tradnl"/>
        </w:rPr>
        <w:fldChar w:fldCharType="end"/>
      </w:r>
      <w:r w:rsidRPr="00907D83">
        <w:rPr>
          <w:rFonts w:ascii="Arial" w:hAnsi="Arial" w:cs="Arial"/>
          <w:noProof/>
          <w:sz w:val="22"/>
          <w:szCs w:val="22"/>
          <w:lang w:val="es-ES_tradnl"/>
        </w:rPr>
        <w:t>.</w:t>
      </w:r>
      <w:r w:rsidRPr="00907D83">
        <w:rPr>
          <w:rFonts w:ascii="Arial" w:hAnsi="Arial" w:cs="Arial"/>
          <w:noProof/>
          <w:sz w:val="22"/>
          <w:szCs w:val="22"/>
          <w:lang w:val="es-ES_tradnl"/>
        </w:rPr>
        <w:tab/>
      </w:r>
      <w:r w:rsidR="00AF2C5C" w:rsidRPr="00907D83">
        <w:rPr>
          <w:rFonts w:ascii="Arial" w:hAnsi="Arial" w:cs="Arial"/>
          <w:noProof/>
          <w:sz w:val="22"/>
          <w:szCs w:val="22"/>
          <w:lang w:val="es-ES_tradnl"/>
        </w:rPr>
        <w:t>E</w:t>
      </w:r>
      <w:r w:rsidRPr="00907D83">
        <w:rPr>
          <w:rFonts w:ascii="Arial" w:hAnsi="Arial" w:cs="Arial"/>
          <w:noProof/>
          <w:sz w:val="22"/>
          <w:szCs w:val="22"/>
          <w:lang w:val="es-ES_tradnl"/>
        </w:rPr>
        <w:t>xist</w:t>
      </w:r>
      <w:bookmarkEnd w:id="54"/>
      <w:bookmarkEnd w:id="55"/>
      <w:r w:rsidR="00F62DB1" w:rsidRPr="00907D83">
        <w:rPr>
          <w:rFonts w:ascii="Arial" w:hAnsi="Arial" w:cs="Arial"/>
          <w:noProof/>
          <w:sz w:val="22"/>
          <w:szCs w:val="22"/>
          <w:lang w:val="es-ES_tradnl"/>
        </w:rPr>
        <w:t>ing Knowledge</w:t>
      </w:r>
      <w:bookmarkEnd w:id="56"/>
      <w:r w:rsidRPr="00907D83">
        <w:rPr>
          <w:rFonts w:ascii="Arial" w:hAnsi="Arial" w:cs="Arial"/>
          <w:noProof/>
          <w:sz w:val="22"/>
          <w:szCs w:val="22"/>
          <w:lang w:val="es-ES_tradnl"/>
        </w:rPr>
        <w:t xml:space="preserve"> </w:t>
      </w:r>
    </w:p>
    <w:p w14:paraId="2F4D76EA" w14:textId="7688C284" w:rsidR="00A8304D" w:rsidRPr="00907D83" w:rsidRDefault="00A8304D" w:rsidP="00A8304D">
      <w:pPr>
        <w:pStyle w:val="Paragraph"/>
        <w:tabs>
          <w:tab w:val="clear" w:pos="2736"/>
        </w:tabs>
        <w:ind w:left="709" w:hanging="709"/>
        <w:rPr>
          <w:rFonts w:ascii="Arial" w:hAnsi="Arial" w:cs="Arial"/>
          <w:bCs/>
          <w:sz w:val="22"/>
          <w:szCs w:val="22"/>
        </w:rPr>
      </w:pPr>
      <w:bookmarkStart w:id="57" w:name="_Ref460155740"/>
      <w:r w:rsidRPr="00907D83">
        <w:rPr>
          <w:rFonts w:ascii="Arial" w:hAnsi="Arial" w:cs="Arial"/>
          <w:bCs/>
          <w:sz w:val="22"/>
          <w:szCs w:val="22"/>
        </w:rPr>
        <w:t>Paraguay’s National Energy Policy (signed by Executive Decree 6092 on October 2016) defines the country’s energy mix in the short, medium and long-term (25</w:t>
      </w:r>
      <w:r w:rsidR="00F417CE" w:rsidRPr="00907D83">
        <w:rPr>
          <w:rFonts w:ascii="Arial" w:hAnsi="Arial" w:cs="Arial"/>
          <w:bCs/>
          <w:sz w:val="22"/>
          <w:szCs w:val="22"/>
        </w:rPr>
        <w:t> </w:t>
      </w:r>
      <w:r w:rsidRPr="00907D83">
        <w:rPr>
          <w:rFonts w:ascii="Arial" w:hAnsi="Arial" w:cs="Arial"/>
          <w:bCs/>
          <w:sz w:val="22"/>
          <w:szCs w:val="22"/>
        </w:rPr>
        <w:t xml:space="preserve">years) and acknowledges the importance of energy as key to realizing economic growth, industrial development and social progress. The policy also establishes the basics of public policy-making geared towards addressing the country’s energy needs. The policy outlines EE as one of its prioritized objectives and states an Action Plan composed of ten elements to encourage the growth of this sector, including a plan to promote EE in industry and support technology, equipment and process improvement through its </w:t>
      </w:r>
      <w:hyperlink r:id="rId20" w:history="1">
        <w:r w:rsidRPr="00907D83">
          <w:rPr>
            <w:rStyle w:val="Hyperlink"/>
            <w:rFonts w:ascii="Arial" w:hAnsi="Arial" w:cs="Arial"/>
            <w:sz w:val="22"/>
            <w:szCs w:val="22"/>
          </w:rPr>
          <w:t>National Energy Efficiency Plan</w:t>
        </w:r>
      </w:hyperlink>
      <w:r w:rsidR="00F52C95" w:rsidRPr="00907D83">
        <w:rPr>
          <w:rStyle w:val="Hyperlink"/>
          <w:rFonts w:ascii="Arial" w:hAnsi="Arial" w:cs="Arial"/>
          <w:sz w:val="22"/>
          <w:szCs w:val="22"/>
        </w:rPr>
        <w:t xml:space="preserve"> (NEEP)</w:t>
      </w:r>
      <w:r w:rsidRPr="00907D83">
        <w:rPr>
          <w:rFonts w:ascii="Arial" w:hAnsi="Arial" w:cs="Arial"/>
          <w:bCs/>
          <w:sz w:val="22"/>
          <w:szCs w:val="22"/>
          <w:vertAlign w:val="superscript"/>
        </w:rPr>
        <w:footnoteReference w:id="18"/>
      </w:r>
      <w:r w:rsidRPr="00907D83">
        <w:rPr>
          <w:rFonts w:ascii="Arial" w:hAnsi="Arial" w:cs="Arial"/>
          <w:bCs/>
          <w:sz w:val="22"/>
          <w:szCs w:val="22"/>
        </w:rPr>
        <w:t xml:space="preserve"> and its </w:t>
      </w:r>
      <w:proofErr w:type="spellStart"/>
      <w:r w:rsidRPr="00907D83">
        <w:rPr>
          <w:rFonts w:ascii="Arial" w:hAnsi="Arial" w:cs="Arial"/>
          <w:bCs/>
          <w:i/>
          <w:sz w:val="22"/>
          <w:szCs w:val="22"/>
        </w:rPr>
        <w:t>Comité</w:t>
      </w:r>
      <w:proofErr w:type="spellEnd"/>
      <w:r w:rsidRPr="00907D83">
        <w:rPr>
          <w:rFonts w:ascii="Arial" w:hAnsi="Arial" w:cs="Arial"/>
          <w:bCs/>
          <w:i/>
          <w:sz w:val="22"/>
          <w:szCs w:val="22"/>
        </w:rPr>
        <w:t xml:space="preserve"> Nacional de </w:t>
      </w:r>
      <w:proofErr w:type="spellStart"/>
      <w:r w:rsidRPr="00907D83">
        <w:rPr>
          <w:rFonts w:ascii="Arial" w:hAnsi="Arial" w:cs="Arial"/>
          <w:bCs/>
          <w:i/>
          <w:sz w:val="22"/>
          <w:szCs w:val="22"/>
        </w:rPr>
        <w:t>Eficiencia</w:t>
      </w:r>
      <w:proofErr w:type="spellEnd"/>
      <w:r w:rsidRPr="00907D83">
        <w:rPr>
          <w:rFonts w:ascii="Arial" w:hAnsi="Arial" w:cs="Arial"/>
          <w:bCs/>
          <w:i/>
          <w:sz w:val="22"/>
          <w:szCs w:val="22"/>
        </w:rPr>
        <w:t xml:space="preserve"> </w:t>
      </w:r>
      <w:proofErr w:type="spellStart"/>
      <w:r w:rsidRPr="00907D83">
        <w:rPr>
          <w:rFonts w:ascii="Arial" w:hAnsi="Arial" w:cs="Arial"/>
          <w:bCs/>
          <w:i/>
          <w:sz w:val="22"/>
          <w:szCs w:val="22"/>
        </w:rPr>
        <w:t>Energética</w:t>
      </w:r>
      <w:proofErr w:type="spellEnd"/>
      <w:r w:rsidRPr="00907D83">
        <w:rPr>
          <w:rFonts w:ascii="Arial" w:hAnsi="Arial" w:cs="Arial"/>
          <w:bCs/>
          <w:sz w:val="22"/>
          <w:szCs w:val="22"/>
        </w:rPr>
        <w:t>. The policy also states an Action Plan to ensure mobilization of capital for energy-related investments, including EE.</w:t>
      </w:r>
    </w:p>
    <w:p w14:paraId="49D7B3DE" w14:textId="30719CD9" w:rsidR="00A8304D" w:rsidRPr="00907D83" w:rsidRDefault="00A8304D" w:rsidP="00A8304D">
      <w:pPr>
        <w:pStyle w:val="Paragraph"/>
        <w:tabs>
          <w:tab w:val="clear" w:pos="2736"/>
        </w:tabs>
        <w:ind w:left="709" w:hanging="709"/>
        <w:rPr>
          <w:rFonts w:ascii="Arial" w:hAnsi="Arial" w:cs="Arial"/>
          <w:bCs/>
          <w:sz w:val="22"/>
          <w:szCs w:val="22"/>
        </w:rPr>
      </w:pPr>
      <w:r w:rsidRPr="00907D83">
        <w:rPr>
          <w:rFonts w:ascii="Arial" w:hAnsi="Arial" w:cs="Arial"/>
          <w:bCs/>
          <w:sz w:val="22"/>
          <w:szCs w:val="22"/>
        </w:rPr>
        <w:t xml:space="preserve">One of the pillars of the </w:t>
      </w:r>
      <w:r w:rsidR="00F52C95" w:rsidRPr="00907D83">
        <w:rPr>
          <w:rFonts w:ascii="Arial" w:hAnsi="Arial" w:cs="Arial"/>
          <w:bCs/>
          <w:sz w:val="22"/>
          <w:szCs w:val="22"/>
        </w:rPr>
        <w:t>NEEP</w:t>
      </w:r>
      <w:r w:rsidRPr="00907D83">
        <w:rPr>
          <w:rFonts w:ascii="Arial" w:hAnsi="Arial" w:cs="Arial"/>
          <w:bCs/>
          <w:sz w:val="22"/>
          <w:szCs w:val="22"/>
        </w:rPr>
        <w:t xml:space="preserve"> is the implementation of programs on the efficient and rational energy use, supporting the prioritization and development of specific measures in all sectors. Specifically, it seeks to introduce EE measures in the use of steam and heat, focused on promoting cogeneration (technology innovation), </w:t>
      </w:r>
      <w:r w:rsidRPr="00907D83">
        <w:rPr>
          <w:rFonts w:ascii="Arial" w:hAnsi="Arial" w:cs="Arial"/>
          <w:bCs/>
          <w:sz w:val="22"/>
          <w:szCs w:val="22"/>
        </w:rPr>
        <w:lastRenderedPageBreak/>
        <w:t>improvements in equipment and processes (substitution and modernization) to incorporate new technologies with higher efficiency levels, technical assistance and capacity building in EE project implementation and the implementation of energy audits and energy management systems.</w:t>
      </w:r>
    </w:p>
    <w:p w14:paraId="731C22B6" w14:textId="77777777" w:rsidR="00A8304D" w:rsidRPr="00907D83" w:rsidRDefault="00A8304D" w:rsidP="00A8304D">
      <w:pPr>
        <w:pStyle w:val="Paragraph"/>
        <w:tabs>
          <w:tab w:val="clear" w:pos="2736"/>
        </w:tabs>
        <w:ind w:left="709" w:hanging="709"/>
        <w:rPr>
          <w:rFonts w:ascii="Arial" w:hAnsi="Arial" w:cs="Arial"/>
          <w:bCs/>
          <w:sz w:val="22"/>
          <w:szCs w:val="22"/>
        </w:rPr>
      </w:pPr>
      <w:r w:rsidRPr="00907D83">
        <w:rPr>
          <w:rFonts w:ascii="Arial" w:hAnsi="Arial" w:cs="Arial"/>
          <w:bCs/>
          <w:sz w:val="22"/>
          <w:szCs w:val="22"/>
        </w:rPr>
        <w:t xml:space="preserve">At the same time, the </w:t>
      </w:r>
      <w:hyperlink r:id="rId21" w:history="1">
        <w:r w:rsidRPr="00907D83">
          <w:rPr>
            <w:rStyle w:val="Hyperlink"/>
            <w:rFonts w:ascii="Arial" w:hAnsi="Arial" w:cs="Arial"/>
            <w:sz w:val="22"/>
            <w:szCs w:val="22"/>
          </w:rPr>
          <w:t>Nationally Determined Contribution</w:t>
        </w:r>
      </w:hyperlink>
      <w:r w:rsidRPr="00907D83">
        <w:rPr>
          <w:rFonts w:ascii="Arial" w:hAnsi="Arial" w:cs="Arial"/>
          <w:bCs/>
          <w:sz w:val="22"/>
          <w:szCs w:val="22"/>
        </w:rPr>
        <w:t xml:space="preserve"> (NDC)</w:t>
      </w:r>
      <w:r w:rsidRPr="00907D83">
        <w:rPr>
          <w:rFonts w:ascii="Arial" w:hAnsi="Arial" w:cs="Arial"/>
          <w:bCs/>
          <w:sz w:val="22"/>
          <w:szCs w:val="22"/>
          <w:vertAlign w:val="superscript"/>
        </w:rPr>
        <w:footnoteReference w:id="19"/>
      </w:r>
      <w:r w:rsidRPr="00907D83">
        <w:rPr>
          <w:rFonts w:ascii="Arial" w:hAnsi="Arial" w:cs="Arial"/>
          <w:bCs/>
          <w:sz w:val="22"/>
          <w:szCs w:val="22"/>
        </w:rPr>
        <w:t xml:space="preserve"> submitted by Paraguay in 2015, established a unilateral goal of 10% of national GHG emissions reduction by 2030 and an additional 10% conditional of access to climate finance by 2030. The NDC also refers to the diverse objectives proposed in the </w:t>
      </w:r>
      <w:hyperlink r:id="rId22" w:history="1">
        <w:r w:rsidRPr="00907D83">
          <w:rPr>
            <w:rStyle w:val="Hyperlink"/>
            <w:rFonts w:ascii="Arial" w:hAnsi="Arial" w:cs="Arial"/>
            <w:i/>
            <w:sz w:val="22"/>
            <w:szCs w:val="22"/>
          </w:rPr>
          <w:t xml:space="preserve">Plan Nacional de </w:t>
        </w:r>
        <w:proofErr w:type="spellStart"/>
        <w:r w:rsidRPr="00907D83">
          <w:rPr>
            <w:rStyle w:val="Hyperlink"/>
            <w:rFonts w:ascii="Arial" w:hAnsi="Arial" w:cs="Arial"/>
            <w:i/>
            <w:sz w:val="22"/>
            <w:szCs w:val="22"/>
          </w:rPr>
          <w:t>Desarrollo</w:t>
        </w:r>
        <w:proofErr w:type="spellEnd"/>
        <w:r w:rsidRPr="00907D83">
          <w:rPr>
            <w:rStyle w:val="Hyperlink"/>
            <w:rFonts w:ascii="Arial" w:hAnsi="Arial" w:cs="Arial"/>
            <w:sz w:val="22"/>
            <w:szCs w:val="22"/>
          </w:rPr>
          <w:t xml:space="preserve"> 2014-2030</w:t>
        </w:r>
      </w:hyperlink>
      <w:r w:rsidRPr="00907D83">
        <w:rPr>
          <w:rFonts w:ascii="Arial" w:hAnsi="Arial" w:cs="Arial"/>
          <w:bCs/>
          <w:i/>
          <w:sz w:val="22"/>
          <w:szCs w:val="22"/>
        </w:rPr>
        <w:t xml:space="preserve"> </w:t>
      </w:r>
      <w:r w:rsidRPr="00907D83">
        <w:rPr>
          <w:rFonts w:ascii="Arial" w:hAnsi="Arial" w:cs="Arial"/>
          <w:bCs/>
          <w:sz w:val="22"/>
          <w:szCs w:val="22"/>
        </w:rPr>
        <w:t>(PND)</w:t>
      </w:r>
      <w:r w:rsidRPr="00907D83">
        <w:rPr>
          <w:rFonts w:ascii="Arial" w:hAnsi="Arial" w:cs="Arial"/>
          <w:bCs/>
          <w:sz w:val="22"/>
          <w:szCs w:val="22"/>
          <w:vertAlign w:val="superscript"/>
        </w:rPr>
        <w:t xml:space="preserve"> </w:t>
      </w:r>
      <w:r w:rsidRPr="00907D83">
        <w:rPr>
          <w:rFonts w:ascii="Arial" w:hAnsi="Arial" w:cs="Arial"/>
          <w:bCs/>
          <w:sz w:val="22"/>
          <w:szCs w:val="22"/>
          <w:vertAlign w:val="superscript"/>
        </w:rPr>
        <w:footnoteReference w:id="20"/>
      </w:r>
      <w:r w:rsidRPr="00907D83">
        <w:rPr>
          <w:rFonts w:ascii="Arial" w:hAnsi="Arial" w:cs="Arial"/>
          <w:bCs/>
          <w:sz w:val="22"/>
          <w:szCs w:val="22"/>
        </w:rPr>
        <w:t>, including, inter alia, the effective control of deforestation, increasing consumption of renewable energy, increasing efficiency in the agricultural system, and reducing forest degradation.</w:t>
      </w:r>
    </w:p>
    <w:p w14:paraId="7F6A5A32" w14:textId="58378D1C" w:rsidR="00A8304D" w:rsidRPr="00907D83" w:rsidRDefault="00A8304D" w:rsidP="00A8304D">
      <w:pPr>
        <w:pStyle w:val="Paragraph"/>
        <w:tabs>
          <w:tab w:val="clear" w:pos="2736"/>
        </w:tabs>
        <w:ind w:left="709" w:hanging="709"/>
        <w:rPr>
          <w:rFonts w:ascii="Arial" w:hAnsi="Arial" w:cs="Arial"/>
          <w:bCs/>
          <w:i/>
          <w:sz w:val="22"/>
          <w:szCs w:val="22"/>
        </w:rPr>
      </w:pPr>
      <w:bookmarkStart w:id="58" w:name="_Ref499749228"/>
      <w:r w:rsidRPr="00907D83">
        <w:rPr>
          <w:rFonts w:ascii="Arial" w:hAnsi="Arial" w:cs="Arial"/>
          <w:bCs/>
          <w:sz w:val="22"/>
          <w:szCs w:val="22"/>
        </w:rPr>
        <w:t xml:space="preserve">To achieve the goals set under the NDC, Paraguay developed the first phase (Mitigation Strategy) of a  </w:t>
      </w:r>
      <w:hyperlink r:id="rId23" w:history="1">
        <w:r w:rsidRPr="00907D83">
          <w:rPr>
            <w:rStyle w:val="Hyperlink"/>
            <w:rFonts w:ascii="Arial" w:hAnsi="Arial" w:cs="Arial"/>
            <w:sz w:val="22"/>
            <w:szCs w:val="22"/>
          </w:rPr>
          <w:t>National Climate Change Plan</w:t>
        </w:r>
      </w:hyperlink>
      <w:r w:rsidRPr="00907D83">
        <w:rPr>
          <w:rFonts w:ascii="Arial" w:hAnsi="Arial" w:cs="Arial"/>
          <w:bCs/>
          <w:sz w:val="22"/>
          <w:szCs w:val="22"/>
        </w:rPr>
        <w:t xml:space="preserve"> (2014), which among its strategic lines of action includes the following: (i) promote EE measures and provide financial incentives and access to finance; (ii) strengthen institutional capacity to coordinate actions towards EE and sustainable use of energy; (iii)</w:t>
      </w:r>
      <w:r w:rsidR="00B913FC" w:rsidRPr="00907D83">
        <w:rPr>
          <w:rFonts w:ascii="Arial" w:hAnsi="Arial" w:cs="Arial"/>
          <w:bCs/>
          <w:sz w:val="22"/>
          <w:szCs w:val="22"/>
        </w:rPr>
        <w:t> </w:t>
      </w:r>
      <w:r w:rsidRPr="00907D83">
        <w:rPr>
          <w:rFonts w:ascii="Arial" w:hAnsi="Arial" w:cs="Arial"/>
          <w:bCs/>
          <w:sz w:val="22"/>
          <w:szCs w:val="22"/>
        </w:rPr>
        <w:t>promote and adopt sector policies towards clean energy through measures oriented to private sector investment in EE equipment; (iv) mobilize financial resources to improve energy systems, including in the industry sector; and (v)</w:t>
      </w:r>
      <w:r w:rsidR="00B913FC" w:rsidRPr="00907D83">
        <w:rPr>
          <w:rFonts w:ascii="Arial" w:hAnsi="Arial" w:cs="Arial"/>
          <w:bCs/>
          <w:sz w:val="22"/>
          <w:szCs w:val="22"/>
        </w:rPr>
        <w:t> </w:t>
      </w:r>
      <w:r w:rsidRPr="00907D83">
        <w:rPr>
          <w:rFonts w:ascii="Arial" w:hAnsi="Arial" w:cs="Arial"/>
          <w:bCs/>
          <w:sz w:val="22"/>
          <w:szCs w:val="22"/>
        </w:rPr>
        <w:t>promote reforestation with energy purposes to diminish pressure on native forests.</w:t>
      </w:r>
    </w:p>
    <w:p w14:paraId="196CA2DF" w14:textId="0456F5C3" w:rsidR="00A8304D" w:rsidRPr="00907D83" w:rsidRDefault="00A8304D" w:rsidP="00A8304D">
      <w:pPr>
        <w:pStyle w:val="Paragraph"/>
        <w:tabs>
          <w:tab w:val="clear" w:pos="2736"/>
        </w:tabs>
        <w:ind w:left="709" w:hanging="709"/>
        <w:rPr>
          <w:rFonts w:ascii="Arial" w:hAnsi="Arial" w:cs="Arial"/>
          <w:bCs/>
          <w:i/>
          <w:sz w:val="22"/>
          <w:szCs w:val="22"/>
        </w:rPr>
      </w:pPr>
      <w:r w:rsidRPr="00907D83">
        <w:rPr>
          <w:rFonts w:ascii="Arial" w:hAnsi="Arial" w:cs="Arial"/>
          <w:bCs/>
          <w:sz w:val="22"/>
          <w:szCs w:val="22"/>
        </w:rPr>
        <w:t xml:space="preserve">According to the </w:t>
      </w:r>
      <w:hyperlink r:id="rId24" w:history="1">
        <w:proofErr w:type="spellStart"/>
        <w:r w:rsidRPr="00907D83">
          <w:rPr>
            <w:rStyle w:val="Hyperlink"/>
            <w:rFonts w:ascii="Arial" w:hAnsi="Arial" w:cs="Arial"/>
            <w:i/>
            <w:sz w:val="22"/>
            <w:szCs w:val="22"/>
          </w:rPr>
          <w:t>Prospectiva</w:t>
        </w:r>
        <w:proofErr w:type="spellEnd"/>
        <w:r w:rsidRPr="00907D83">
          <w:rPr>
            <w:rStyle w:val="Hyperlink"/>
            <w:rFonts w:ascii="Arial" w:hAnsi="Arial" w:cs="Arial"/>
            <w:i/>
            <w:sz w:val="22"/>
            <w:szCs w:val="22"/>
          </w:rPr>
          <w:t xml:space="preserve"> </w:t>
        </w:r>
        <w:proofErr w:type="spellStart"/>
        <w:r w:rsidRPr="00907D83">
          <w:rPr>
            <w:rStyle w:val="Hyperlink"/>
            <w:rFonts w:ascii="Arial" w:hAnsi="Arial" w:cs="Arial"/>
            <w:i/>
            <w:sz w:val="22"/>
            <w:szCs w:val="22"/>
          </w:rPr>
          <w:t>Energ</w:t>
        </w:r>
        <w:r w:rsidR="00F52C95" w:rsidRPr="00907D83">
          <w:rPr>
            <w:rStyle w:val="Hyperlink"/>
            <w:rFonts w:ascii="Arial" w:hAnsi="Arial" w:cs="Arial"/>
            <w:i/>
            <w:sz w:val="22"/>
            <w:szCs w:val="22"/>
          </w:rPr>
          <w:t>é</w:t>
        </w:r>
        <w:r w:rsidRPr="00907D83">
          <w:rPr>
            <w:rStyle w:val="Hyperlink"/>
            <w:rFonts w:ascii="Arial" w:hAnsi="Arial" w:cs="Arial"/>
            <w:i/>
            <w:sz w:val="22"/>
            <w:szCs w:val="22"/>
          </w:rPr>
          <w:t>tica</w:t>
        </w:r>
        <w:proofErr w:type="spellEnd"/>
        <w:r w:rsidRPr="00907D83">
          <w:rPr>
            <w:rStyle w:val="Hyperlink"/>
            <w:rFonts w:ascii="Arial" w:hAnsi="Arial" w:cs="Arial"/>
            <w:sz w:val="22"/>
            <w:szCs w:val="22"/>
          </w:rPr>
          <w:t xml:space="preserve"> 2013-2040</w:t>
        </w:r>
      </w:hyperlink>
      <w:r w:rsidRPr="00907D83">
        <w:rPr>
          <w:rFonts w:ascii="Arial" w:hAnsi="Arial" w:cs="Arial"/>
          <w:bCs/>
          <w:sz w:val="22"/>
          <w:szCs w:val="22"/>
        </w:rPr>
        <w:t xml:space="preserve">, in a scenario in which the core of the PND and </w:t>
      </w:r>
      <w:r w:rsidR="00F52C95" w:rsidRPr="00907D83">
        <w:rPr>
          <w:rFonts w:ascii="Arial" w:hAnsi="Arial" w:cs="Arial"/>
          <w:bCs/>
          <w:sz w:val="22"/>
          <w:szCs w:val="22"/>
        </w:rPr>
        <w:t>NEEP</w:t>
      </w:r>
      <w:r w:rsidRPr="00907D83">
        <w:rPr>
          <w:rFonts w:ascii="Arial" w:hAnsi="Arial" w:cs="Arial"/>
          <w:bCs/>
          <w:sz w:val="22"/>
          <w:szCs w:val="22"/>
        </w:rPr>
        <w:t xml:space="preserve"> policies are effectively implemented, Paraguay’s energy savings potential (accumulated over the period 2013-2040) resulting from the implementation of EE measures, is equivalent to four times the energy consumption in the country in 2013 (4,761 </w:t>
      </w:r>
      <w:proofErr w:type="spellStart"/>
      <w:r w:rsidRPr="00907D83">
        <w:rPr>
          <w:rFonts w:ascii="Arial" w:hAnsi="Arial" w:cs="Arial"/>
          <w:bCs/>
          <w:sz w:val="22"/>
          <w:szCs w:val="22"/>
        </w:rPr>
        <w:t>ktep</w:t>
      </w:r>
      <w:proofErr w:type="spellEnd"/>
      <w:r w:rsidRPr="00907D83">
        <w:rPr>
          <w:rFonts w:ascii="Arial" w:hAnsi="Arial" w:cs="Arial"/>
          <w:bCs/>
          <w:sz w:val="22"/>
          <w:szCs w:val="22"/>
        </w:rPr>
        <w:t>). This represents a savings potential of some 221,481.72 GWh over the 27-year period.</w:t>
      </w:r>
      <w:bookmarkEnd w:id="58"/>
    </w:p>
    <w:bookmarkEnd w:id="57"/>
    <w:p w14:paraId="77F9B294" w14:textId="09290BFA" w:rsidR="00A8304D" w:rsidRPr="00907D83" w:rsidRDefault="00A8304D" w:rsidP="00D16E79">
      <w:pPr>
        <w:pStyle w:val="Paragraph"/>
        <w:tabs>
          <w:tab w:val="clear" w:pos="2736"/>
        </w:tabs>
        <w:ind w:left="709" w:hanging="709"/>
        <w:rPr>
          <w:rFonts w:ascii="Arial" w:hAnsi="Arial" w:cs="Arial"/>
          <w:sz w:val="22"/>
          <w:szCs w:val="22"/>
        </w:rPr>
      </w:pPr>
      <w:r w:rsidRPr="00907D83">
        <w:rPr>
          <w:rFonts w:ascii="Arial" w:hAnsi="Arial" w:cs="Arial"/>
          <w:bCs/>
          <w:sz w:val="22"/>
          <w:szCs w:val="22"/>
        </w:rPr>
        <w:t xml:space="preserve">More specifically, the estimated potential for viable EE investment in the short to medium term is supported by an analysis of opportunities in specific high-potential subsectors, carried out as input for the program. </w:t>
      </w:r>
      <w:bookmarkStart w:id="59" w:name="_Hlk501218459"/>
      <w:r w:rsidRPr="00907D83">
        <w:rPr>
          <w:rFonts w:ascii="Arial" w:hAnsi="Arial" w:cs="Arial"/>
          <w:bCs/>
          <w:sz w:val="22"/>
          <w:szCs w:val="22"/>
        </w:rPr>
        <w:t>According to this study, significant potential for EE (US</w:t>
      </w:r>
      <w:r w:rsidR="00F52C95" w:rsidRPr="00907D83">
        <w:rPr>
          <w:rFonts w:ascii="Arial" w:hAnsi="Arial" w:cs="Arial"/>
          <w:bCs/>
          <w:sz w:val="22"/>
          <w:szCs w:val="22"/>
        </w:rPr>
        <w:t>$</w:t>
      </w:r>
      <w:r w:rsidRPr="00907D83">
        <w:rPr>
          <w:rFonts w:ascii="Arial" w:hAnsi="Arial" w:cs="Arial"/>
          <w:bCs/>
          <w:sz w:val="22"/>
          <w:szCs w:val="22"/>
        </w:rPr>
        <w:t xml:space="preserve"> 66.5 million potential demand for feasible investment) was identified in the industrial sector of Paraguay, linked to the replacement of equipment that is outdated, obsolete and inefficient (most of which over 10 years old</w:t>
      </w:r>
      <w:bookmarkEnd w:id="59"/>
      <w:r w:rsidRPr="00907D83">
        <w:rPr>
          <w:rFonts w:ascii="Arial" w:hAnsi="Arial" w:cs="Arial"/>
          <w:bCs/>
          <w:sz w:val="22"/>
          <w:szCs w:val="22"/>
        </w:rPr>
        <w:t>) and, in some cases, the substitution of energy sources, incorporating electricity as a replacement for non-renewable biomass</w:t>
      </w:r>
      <w:r w:rsidRPr="00907D83">
        <w:rPr>
          <w:rFonts w:ascii="Arial" w:hAnsi="Arial" w:cs="Arial"/>
          <w:bCs/>
          <w:sz w:val="22"/>
          <w:szCs w:val="22"/>
          <w:vertAlign w:val="superscript"/>
        </w:rPr>
        <w:footnoteReference w:id="21"/>
      </w:r>
      <w:r w:rsidRPr="00907D83">
        <w:rPr>
          <w:rFonts w:ascii="Arial" w:hAnsi="Arial" w:cs="Arial"/>
          <w:bCs/>
          <w:sz w:val="22"/>
          <w:szCs w:val="22"/>
        </w:rPr>
        <w:t>.</w:t>
      </w:r>
    </w:p>
    <w:p w14:paraId="50CB4275" w14:textId="77777777" w:rsidR="00A8304D" w:rsidRPr="00907D83" w:rsidRDefault="000324CA" w:rsidP="000324CA">
      <w:pPr>
        <w:pStyle w:val="Paragraph"/>
        <w:tabs>
          <w:tab w:val="clear" w:pos="2736"/>
        </w:tabs>
        <w:ind w:left="709" w:hanging="709"/>
        <w:rPr>
          <w:rFonts w:ascii="Arial" w:hAnsi="Arial" w:cs="Arial"/>
          <w:sz w:val="22"/>
          <w:szCs w:val="22"/>
        </w:rPr>
      </w:pPr>
      <w:r w:rsidRPr="00907D83">
        <w:rPr>
          <w:rFonts w:ascii="Arial" w:hAnsi="Arial" w:cs="Arial"/>
          <w:sz w:val="22"/>
          <w:szCs w:val="22"/>
        </w:rPr>
        <w:t xml:space="preserve">IDB’s previous experience with development banks in </w:t>
      </w:r>
      <w:r w:rsidR="00C265D3" w:rsidRPr="00907D83">
        <w:rPr>
          <w:rFonts w:ascii="Arial" w:hAnsi="Arial" w:cs="Arial"/>
          <w:sz w:val="22"/>
          <w:szCs w:val="22"/>
        </w:rPr>
        <w:t xml:space="preserve">the region </w:t>
      </w:r>
      <w:r w:rsidRPr="00907D83">
        <w:rPr>
          <w:rFonts w:ascii="Arial" w:hAnsi="Arial" w:cs="Arial"/>
          <w:sz w:val="22"/>
          <w:szCs w:val="22"/>
        </w:rPr>
        <w:t>–</w:t>
      </w:r>
      <w:r w:rsidR="00A8304D" w:rsidRPr="00907D83">
        <w:rPr>
          <w:rFonts w:ascii="Arial" w:hAnsi="Arial" w:cs="Arial"/>
          <w:sz w:val="22"/>
          <w:szCs w:val="22"/>
        </w:rPr>
        <w:t>including</w:t>
      </w:r>
      <w:r w:rsidRPr="00907D83">
        <w:rPr>
          <w:rFonts w:ascii="Arial" w:hAnsi="Arial" w:cs="Arial"/>
          <w:sz w:val="22"/>
          <w:szCs w:val="22"/>
        </w:rPr>
        <w:t xml:space="preserve"> NAFIN</w:t>
      </w:r>
      <w:r w:rsidR="00C265D3" w:rsidRPr="00907D83">
        <w:rPr>
          <w:rFonts w:ascii="Arial" w:hAnsi="Arial" w:cs="Arial"/>
          <w:sz w:val="22"/>
          <w:szCs w:val="22"/>
        </w:rPr>
        <w:t xml:space="preserve"> in Mexico</w:t>
      </w:r>
      <w:r w:rsidR="00A8304D" w:rsidRPr="00907D83">
        <w:rPr>
          <w:rFonts w:ascii="Arial" w:hAnsi="Arial" w:cs="Arial"/>
          <w:sz w:val="22"/>
          <w:szCs w:val="22"/>
        </w:rPr>
        <w:t>,</w:t>
      </w:r>
      <w:r w:rsidR="00C265D3" w:rsidRPr="00907D83">
        <w:rPr>
          <w:rFonts w:ascii="Arial" w:hAnsi="Arial" w:cs="Arial"/>
          <w:sz w:val="22"/>
          <w:szCs w:val="22"/>
        </w:rPr>
        <w:t xml:space="preserve"> BROU in Uruguay</w:t>
      </w:r>
      <w:r w:rsidR="00A8304D" w:rsidRPr="00907D83">
        <w:rPr>
          <w:rFonts w:ascii="Arial" w:hAnsi="Arial" w:cs="Arial"/>
          <w:sz w:val="22"/>
          <w:szCs w:val="22"/>
        </w:rPr>
        <w:t>, BANCOLDEX in Colombia and BANDESAL in El Salvador</w:t>
      </w:r>
      <w:r w:rsidRPr="00907D83">
        <w:rPr>
          <w:rFonts w:ascii="Arial" w:hAnsi="Arial" w:cs="Arial"/>
          <w:sz w:val="22"/>
          <w:szCs w:val="22"/>
        </w:rPr>
        <w:t xml:space="preserve">– in the development of financing solutions for clean energy projects has </w:t>
      </w:r>
      <w:r w:rsidRPr="00907D83">
        <w:rPr>
          <w:rFonts w:ascii="Arial" w:hAnsi="Arial" w:cs="Arial"/>
          <w:sz w:val="22"/>
          <w:szCs w:val="22"/>
        </w:rPr>
        <w:lastRenderedPageBreak/>
        <w:t>proven viable and effective with a number of programs</w:t>
      </w:r>
      <w:r w:rsidR="007861F4" w:rsidRPr="00907D83">
        <w:rPr>
          <w:rStyle w:val="FootnoteReference"/>
          <w:rFonts w:ascii="Arial" w:hAnsi="Arial" w:cs="Arial"/>
          <w:sz w:val="22"/>
          <w:szCs w:val="22"/>
        </w:rPr>
        <w:footnoteReference w:id="22"/>
      </w:r>
      <w:r w:rsidRPr="00907D83">
        <w:rPr>
          <w:rFonts w:ascii="Arial" w:hAnsi="Arial" w:cs="Arial"/>
          <w:sz w:val="22"/>
          <w:szCs w:val="22"/>
        </w:rPr>
        <w:t xml:space="preserve">, all of which had objectives related to the support of private sector investment in </w:t>
      </w:r>
      <w:r w:rsidR="00A8304D" w:rsidRPr="00907D83">
        <w:rPr>
          <w:rFonts w:ascii="Arial" w:hAnsi="Arial" w:cs="Arial"/>
          <w:sz w:val="22"/>
          <w:szCs w:val="22"/>
        </w:rPr>
        <w:t>sustainable energy technologies in small, medium and large projects</w:t>
      </w:r>
      <w:r w:rsidR="00C265D3" w:rsidRPr="00907D83">
        <w:rPr>
          <w:rFonts w:ascii="Arial" w:hAnsi="Arial" w:cs="Arial"/>
          <w:sz w:val="22"/>
          <w:szCs w:val="22"/>
        </w:rPr>
        <w:t>.</w:t>
      </w:r>
    </w:p>
    <w:p w14:paraId="7B10F04F" w14:textId="5803F280" w:rsidR="00907D83" w:rsidRPr="00C72132" w:rsidRDefault="00AC3B83" w:rsidP="003A31D2">
      <w:pPr>
        <w:pStyle w:val="Paragraph"/>
        <w:tabs>
          <w:tab w:val="clear" w:pos="2736"/>
        </w:tabs>
        <w:ind w:left="709" w:hanging="709"/>
        <w:rPr>
          <w:rFonts w:ascii="Arial" w:hAnsi="Arial" w:cs="Arial"/>
          <w:sz w:val="22"/>
          <w:szCs w:val="22"/>
        </w:rPr>
      </w:pPr>
      <w:r w:rsidRPr="00907D83">
        <w:rPr>
          <w:rFonts w:ascii="Arial" w:hAnsi="Arial" w:cs="Arial"/>
          <w:sz w:val="22"/>
          <w:szCs w:val="22"/>
        </w:rPr>
        <w:t xml:space="preserve">The </w:t>
      </w:r>
      <w:r w:rsidR="00A8304D" w:rsidRPr="00907D83">
        <w:rPr>
          <w:rFonts w:ascii="Arial" w:hAnsi="Arial" w:cs="Arial"/>
          <w:sz w:val="22"/>
          <w:szCs w:val="22"/>
        </w:rPr>
        <w:t>ex-ante</w:t>
      </w:r>
      <w:r w:rsidRPr="00907D83">
        <w:rPr>
          <w:rFonts w:ascii="Arial" w:hAnsi="Arial" w:cs="Arial"/>
          <w:sz w:val="22"/>
          <w:szCs w:val="22"/>
        </w:rPr>
        <w:t xml:space="preserve"> cost-benefit analysis</w:t>
      </w:r>
      <w:r w:rsidRPr="00907D83">
        <w:rPr>
          <w:rFonts w:ascii="Arial" w:hAnsi="Arial" w:cs="Arial"/>
          <w:sz w:val="22"/>
          <w:szCs w:val="22"/>
          <w:vertAlign w:val="superscript"/>
        </w:rPr>
        <w:footnoteReference w:id="23"/>
      </w:r>
      <w:r w:rsidRPr="00907D83">
        <w:rPr>
          <w:rFonts w:ascii="Arial" w:hAnsi="Arial" w:cs="Arial"/>
          <w:sz w:val="22"/>
          <w:szCs w:val="22"/>
        </w:rPr>
        <w:t xml:space="preserve"> for the proposed program found that the net cash flows discounted at a rate of 12% produce a </w:t>
      </w:r>
      <w:r w:rsidR="00F417CE" w:rsidRPr="00907D83">
        <w:rPr>
          <w:rFonts w:ascii="Arial" w:hAnsi="Arial" w:cs="Arial"/>
          <w:sz w:val="22"/>
          <w:szCs w:val="22"/>
        </w:rPr>
        <w:t>N</w:t>
      </w:r>
      <w:r w:rsidRPr="00907D83">
        <w:rPr>
          <w:rFonts w:ascii="Arial" w:hAnsi="Arial" w:cs="Arial"/>
          <w:sz w:val="22"/>
          <w:szCs w:val="22"/>
        </w:rPr>
        <w:t xml:space="preserve">et </w:t>
      </w:r>
      <w:r w:rsidR="00F417CE" w:rsidRPr="00907D83">
        <w:rPr>
          <w:rFonts w:ascii="Arial" w:hAnsi="Arial" w:cs="Arial"/>
          <w:sz w:val="22"/>
          <w:szCs w:val="22"/>
        </w:rPr>
        <w:t>P</w:t>
      </w:r>
      <w:r w:rsidRPr="00907D83">
        <w:rPr>
          <w:rFonts w:ascii="Arial" w:hAnsi="Arial" w:cs="Arial"/>
          <w:sz w:val="22"/>
          <w:szCs w:val="22"/>
        </w:rPr>
        <w:t xml:space="preserve">resent </w:t>
      </w:r>
      <w:r w:rsidR="00F417CE" w:rsidRPr="00907D83">
        <w:rPr>
          <w:rFonts w:ascii="Arial" w:hAnsi="Arial" w:cs="Arial"/>
          <w:sz w:val="22"/>
          <w:szCs w:val="22"/>
        </w:rPr>
        <w:t>V</w:t>
      </w:r>
      <w:r w:rsidRPr="00907D83">
        <w:rPr>
          <w:rFonts w:ascii="Arial" w:hAnsi="Arial" w:cs="Arial"/>
          <w:sz w:val="22"/>
          <w:szCs w:val="22"/>
        </w:rPr>
        <w:t>alue (NPV) for the program of US$</w:t>
      </w:r>
      <w:r w:rsidR="003B3929" w:rsidRPr="00907D83">
        <w:rPr>
          <w:rFonts w:ascii="Arial" w:hAnsi="Arial" w:cs="Arial"/>
          <w:sz w:val="22"/>
          <w:szCs w:val="22"/>
        </w:rPr>
        <w:t>54.9</w:t>
      </w:r>
      <w:r w:rsidRPr="00907D83">
        <w:rPr>
          <w:rFonts w:ascii="Arial" w:hAnsi="Arial" w:cs="Arial"/>
          <w:sz w:val="22"/>
          <w:szCs w:val="22"/>
        </w:rPr>
        <w:t xml:space="preserve"> million.</w:t>
      </w:r>
    </w:p>
    <w:p w14:paraId="57C928D1" w14:textId="4C260BB1" w:rsidR="0062582C" w:rsidRPr="00907D83" w:rsidRDefault="0062582C" w:rsidP="0044752E">
      <w:pPr>
        <w:pStyle w:val="Paragraph"/>
        <w:numPr>
          <w:ilvl w:val="0"/>
          <w:numId w:val="0"/>
        </w:numPr>
        <w:spacing w:before="240" w:after="80"/>
        <w:rPr>
          <w:rFonts w:ascii="Arial" w:hAnsi="Arial" w:cs="Arial"/>
          <w:b/>
          <w:sz w:val="22"/>
          <w:szCs w:val="22"/>
        </w:rPr>
      </w:pPr>
      <w:r w:rsidRPr="00907D83">
        <w:rPr>
          <w:rFonts w:ascii="Arial" w:hAnsi="Arial" w:cs="Arial"/>
          <w:b/>
          <w:sz w:val="22"/>
          <w:szCs w:val="22"/>
        </w:rPr>
        <w:t>Table 3.1: Key Outcome Indicators</w:t>
      </w:r>
    </w:p>
    <w:tbl>
      <w:tblPr>
        <w:tblStyle w:val="LightShading-Accent1"/>
        <w:tblW w:w="0" w:type="auto"/>
        <w:tblLook w:val="04A0" w:firstRow="1" w:lastRow="0" w:firstColumn="1" w:lastColumn="0" w:noHBand="0" w:noVBand="1"/>
      </w:tblPr>
      <w:tblGrid>
        <w:gridCol w:w="2609"/>
        <w:gridCol w:w="1007"/>
        <w:gridCol w:w="1779"/>
        <w:gridCol w:w="3245"/>
      </w:tblGrid>
      <w:tr w:rsidR="00AC3B83" w:rsidRPr="00907D83" w14:paraId="0791BBC3" w14:textId="77777777" w:rsidTr="00F41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Borders>
              <w:right w:val="single" w:sz="8" w:space="0" w:color="4F81BD" w:themeColor="accent1"/>
            </w:tcBorders>
            <w:vAlign w:val="center"/>
          </w:tcPr>
          <w:p w14:paraId="2A2EEAE0" w14:textId="77777777" w:rsidR="00AC3B83" w:rsidRPr="00907D83" w:rsidRDefault="00AC3B83" w:rsidP="00E215C7">
            <w:pPr>
              <w:pStyle w:val="Heading1"/>
              <w:tabs>
                <w:tab w:val="clear" w:pos="360"/>
              </w:tabs>
              <w:spacing w:before="120" w:after="120"/>
              <w:ind w:left="270"/>
              <w:jc w:val="left"/>
              <w:outlineLvl w:val="0"/>
              <w:rPr>
                <w:rFonts w:ascii="Arial" w:hAnsi="Arial" w:cs="Arial"/>
                <w:b/>
                <w:sz w:val="18"/>
                <w:szCs w:val="18"/>
                <w:lang w:val="es-ES_tradnl"/>
              </w:rPr>
            </w:pPr>
            <w:r w:rsidRPr="00907D83">
              <w:rPr>
                <w:rFonts w:ascii="Arial" w:hAnsi="Arial" w:cs="Arial"/>
                <w:sz w:val="18"/>
                <w:szCs w:val="18"/>
                <w:lang w:val="es-ES_tradnl"/>
              </w:rPr>
              <w:t>Indicator</w:t>
            </w:r>
          </w:p>
        </w:tc>
        <w:tc>
          <w:tcPr>
            <w:tcW w:w="1007" w:type="dxa"/>
            <w:tcBorders>
              <w:left w:val="single" w:sz="8" w:space="0" w:color="4F81BD" w:themeColor="accent1"/>
              <w:right w:val="single" w:sz="8" w:space="0" w:color="4F81BD" w:themeColor="accent1"/>
            </w:tcBorders>
            <w:vAlign w:val="center"/>
          </w:tcPr>
          <w:p w14:paraId="64F56F76" w14:textId="77777777" w:rsidR="00AC3B83" w:rsidRPr="00907D83" w:rsidRDefault="00AC3B83" w:rsidP="00E215C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Unit</w:t>
            </w:r>
          </w:p>
        </w:tc>
        <w:tc>
          <w:tcPr>
            <w:tcW w:w="1779" w:type="dxa"/>
            <w:tcBorders>
              <w:left w:val="single" w:sz="8" w:space="0" w:color="4F81BD" w:themeColor="accent1"/>
              <w:right w:val="single" w:sz="8" w:space="0" w:color="4F81BD" w:themeColor="accent1"/>
            </w:tcBorders>
            <w:vAlign w:val="center"/>
          </w:tcPr>
          <w:p w14:paraId="36C1E4C6" w14:textId="77777777" w:rsidR="00AC3B83" w:rsidRPr="00907D83" w:rsidRDefault="00AC3B83" w:rsidP="00E215C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Frequency of measurement</w:t>
            </w:r>
          </w:p>
        </w:tc>
        <w:tc>
          <w:tcPr>
            <w:tcW w:w="3245" w:type="dxa"/>
            <w:tcBorders>
              <w:left w:val="single" w:sz="8" w:space="0" w:color="4F81BD" w:themeColor="accent1"/>
            </w:tcBorders>
            <w:vAlign w:val="center"/>
          </w:tcPr>
          <w:p w14:paraId="477250C7" w14:textId="77777777" w:rsidR="00AC3B83" w:rsidRPr="00907D83" w:rsidRDefault="00AC3B83" w:rsidP="00E215C7">
            <w:pPr>
              <w:spacing w:before="120" w:after="120"/>
              <w:ind w:left="-70"/>
              <w:cnfStyle w:val="100000000000" w:firstRow="1" w:lastRow="0" w:firstColumn="0" w:lastColumn="0" w:oddVBand="0" w:evenVBand="0" w:oddHBand="0" w:evenHBand="0" w:firstRowFirstColumn="0" w:firstRowLastColumn="0" w:lastRowFirstColumn="0" w:lastRowLastColumn="0"/>
              <w:rPr>
                <w:rFonts w:ascii="Arial" w:hAnsi="Arial" w:cs="Arial"/>
                <w:b w:val="0"/>
                <w:bCs w:val="0"/>
                <w:smallCaps/>
                <w:sz w:val="18"/>
                <w:szCs w:val="18"/>
              </w:rPr>
            </w:pPr>
            <w:r w:rsidRPr="00907D83">
              <w:rPr>
                <w:rFonts w:ascii="Arial" w:hAnsi="Arial" w:cs="Arial"/>
                <w:smallCaps/>
                <w:sz w:val="18"/>
                <w:szCs w:val="18"/>
              </w:rPr>
              <w:t>Description / Source of verification</w:t>
            </w:r>
          </w:p>
        </w:tc>
      </w:tr>
      <w:tr w:rsidR="00C37366" w:rsidRPr="00907D83" w14:paraId="6831EE90" w14:textId="77777777" w:rsidTr="00F4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Borders>
              <w:right w:val="single" w:sz="8" w:space="0" w:color="4F81BD" w:themeColor="accent1"/>
            </w:tcBorders>
          </w:tcPr>
          <w:p w14:paraId="681E5571" w14:textId="60D5A8FA" w:rsidR="00C37366" w:rsidRPr="00907D83" w:rsidRDefault="00E138BA" w:rsidP="00C37366">
            <w:pPr>
              <w:spacing w:before="120" w:after="120"/>
              <w:rPr>
                <w:rFonts w:ascii="Arial" w:hAnsi="Arial" w:cs="Arial"/>
                <w:b w:val="0"/>
                <w:sz w:val="18"/>
                <w:szCs w:val="18"/>
              </w:rPr>
            </w:pPr>
            <w:r>
              <w:rPr>
                <w:rFonts w:ascii="Arial" w:hAnsi="Arial" w:cs="Arial"/>
                <w:sz w:val="18"/>
                <w:szCs w:val="18"/>
              </w:rPr>
              <w:t>S</w:t>
            </w:r>
            <w:r w:rsidR="00C37366" w:rsidRPr="00907D83">
              <w:rPr>
                <w:rFonts w:ascii="Arial" w:hAnsi="Arial" w:cs="Arial"/>
                <w:sz w:val="18"/>
                <w:szCs w:val="18"/>
              </w:rPr>
              <w:t>mall and medium enterprises (</w:t>
            </w:r>
            <w:r w:rsidR="00EC2648" w:rsidRPr="00907D83">
              <w:rPr>
                <w:rFonts w:ascii="Arial" w:hAnsi="Arial" w:cs="Arial"/>
                <w:sz w:val="18"/>
                <w:szCs w:val="18"/>
              </w:rPr>
              <w:t>SME</w:t>
            </w:r>
            <w:r w:rsidR="00C37366" w:rsidRPr="00907D83">
              <w:rPr>
                <w:rFonts w:ascii="Arial" w:hAnsi="Arial" w:cs="Arial"/>
                <w:sz w:val="18"/>
                <w:szCs w:val="18"/>
              </w:rPr>
              <w:t>) that finance EE projects with funds from the program</w:t>
            </w:r>
          </w:p>
        </w:tc>
        <w:tc>
          <w:tcPr>
            <w:tcW w:w="1007" w:type="dxa"/>
            <w:tcBorders>
              <w:left w:val="single" w:sz="8" w:space="0" w:color="4F81BD" w:themeColor="accent1"/>
              <w:right w:val="single" w:sz="8" w:space="0" w:color="4F81BD" w:themeColor="accent1"/>
            </w:tcBorders>
          </w:tcPr>
          <w:p w14:paraId="6EC0C22A" w14:textId="2A29D701" w:rsidR="00C37366" w:rsidRPr="00907D83" w:rsidRDefault="00C37366"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Number</w:t>
            </w:r>
          </w:p>
        </w:tc>
        <w:tc>
          <w:tcPr>
            <w:tcW w:w="1779" w:type="dxa"/>
            <w:tcBorders>
              <w:left w:val="single" w:sz="8" w:space="0" w:color="4F81BD" w:themeColor="accent1"/>
              <w:right w:val="single" w:sz="8" w:space="0" w:color="4F81BD" w:themeColor="accent1"/>
            </w:tcBorders>
          </w:tcPr>
          <w:p w14:paraId="73E5B798" w14:textId="6E0A996C" w:rsidR="00C37366" w:rsidRPr="00907D83" w:rsidRDefault="00C37366"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Annually and Final Program Report</w:t>
            </w:r>
          </w:p>
        </w:tc>
        <w:tc>
          <w:tcPr>
            <w:tcW w:w="3245" w:type="dxa"/>
            <w:tcBorders>
              <w:left w:val="single" w:sz="8" w:space="0" w:color="4F81BD" w:themeColor="accent1"/>
            </w:tcBorders>
            <w:vAlign w:val="center"/>
          </w:tcPr>
          <w:p w14:paraId="0CC5BA3B" w14:textId="110AD84D" w:rsidR="00C37366" w:rsidRPr="00907D83" w:rsidRDefault="00C37366" w:rsidP="003B669D">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 xml:space="preserve">Measures number of eligible EE projects implemented by </w:t>
            </w:r>
            <w:r w:rsidR="00EC2648" w:rsidRPr="00907D83">
              <w:rPr>
                <w:rFonts w:ascii="Arial" w:hAnsi="Arial" w:cs="Arial"/>
                <w:bCs/>
                <w:sz w:val="18"/>
                <w:szCs w:val="18"/>
              </w:rPr>
              <w:t>SME</w:t>
            </w:r>
            <w:r w:rsidRPr="00907D83">
              <w:rPr>
                <w:rFonts w:ascii="Arial" w:hAnsi="Arial" w:cs="Arial"/>
                <w:bCs/>
                <w:sz w:val="18"/>
                <w:szCs w:val="18"/>
              </w:rPr>
              <w:t>s, aggregated for all technologies</w:t>
            </w:r>
          </w:p>
          <w:p w14:paraId="4EC1499D" w14:textId="18861D23" w:rsidR="00C37366" w:rsidRPr="00907D83" w:rsidRDefault="00C37366" w:rsidP="003B669D">
            <w:pPr>
              <w:spacing w:before="120" w:after="120"/>
              <w:ind w:left="-1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
                <w:bCs/>
                <w:sz w:val="18"/>
                <w:szCs w:val="18"/>
              </w:rPr>
              <w:t>Source:</w:t>
            </w:r>
            <w:r w:rsidRPr="00907D83">
              <w:rPr>
                <w:rFonts w:ascii="Arial" w:hAnsi="Arial" w:cs="Arial"/>
                <w:bCs/>
                <w:sz w:val="18"/>
                <w:szCs w:val="18"/>
              </w:rPr>
              <w:t xml:space="preserve"> Annual report on program execution by AFD.</w:t>
            </w:r>
          </w:p>
        </w:tc>
      </w:tr>
      <w:tr w:rsidR="00C37366" w:rsidRPr="00907D83" w14:paraId="2FEFCE19" w14:textId="77777777" w:rsidTr="00F417CE">
        <w:tc>
          <w:tcPr>
            <w:cnfStyle w:val="001000000000" w:firstRow="0" w:lastRow="0" w:firstColumn="1" w:lastColumn="0" w:oddVBand="0" w:evenVBand="0" w:oddHBand="0" w:evenHBand="0" w:firstRowFirstColumn="0" w:firstRowLastColumn="0" w:lastRowFirstColumn="0" w:lastRowLastColumn="0"/>
            <w:tcW w:w="2609" w:type="dxa"/>
            <w:tcBorders>
              <w:right w:val="single" w:sz="8" w:space="0" w:color="4F81BD" w:themeColor="accent1"/>
            </w:tcBorders>
          </w:tcPr>
          <w:p w14:paraId="599015DE" w14:textId="77777777" w:rsidR="00C37366" w:rsidRPr="00907D83" w:rsidRDefault="00C37366" w:rsidP="00C37366">
            <w:pPr>
              <w:spacing w:before="120" w:after="120"/>
              <w:rPr>
                <w:rFonts w:ascii="Arial" w:hAnsi="Arial" w:cs="Arial"/>
                <w:b w:val="0"/>
                <w:bCs w:val="0"/>
                <w:sz w:val="18"/>
                <w:szCs w:val="18"/>
              </w:rPr>
            </w:pPr>
            <w:r w:rsidRPr="00907D83">
              <w:rPr>
                <w:rFonts w:ascii="Arial" w:hAnsi="Arial" w:cs="Arial"/>
                <w:sz w:val="18"/>
                <w:szCs w:val="18"/>
              </w:rPr>
              <w:t>Financing from third parties mobilized by the program</w:t>
            </w:r>
          </w:p>
        </w:tc>
        <w:tc>
          <w:tcPr>
            <w:tcW w:w="1007" w:type="dxa"/>
            <w:tcBorders>
              <w:left w:val="single" w:sz="8" w:space="0" w:color="4F81BD" w:themeColor="accent1"/>
              <w:right w:val="single" w:sz="8" w:space="0" w:color="4F81BD" w:themeColor="accent1"/>
            </w:tcBorders>
          </w:tcPr>
          <w:p w14:paraId="07A3BCB8" w14:textId="77777777" w:rsidR="00C37366" w:rsidRPr="00907D83" w:rsidRDefault="00C37366"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Millions of US$</w:t>
            </w:r>
          </w:p>
        </w:tc>
        <w:tc>
          <w:tcPr>
            <w:tcW w:w="1779" w:type="dxa"/>
            <w:tcBorders>
              <w:left w:val="single" w:sz="8" w:space="0" w:color="4F81BD" w:themeColor="accent1"/>
              <w:right w:val="single" w:sz="8" w:space="0" w:color="4F81BD" w:themeColor="accent1"/>
            </w:tcBorders>
          </w:tcPr>
          <w:p w14:paraId="2F8B94DE" w14:textId="77777777" w:rsidR="00C37366" w:rsidRPr="00907D83" w:rsidRDefault="00C37366"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Annually and Final Program Report</w:t>
            </w:r>
          </w:p>
        </w:tc>
        <w:tc>
          <w:tcPr>
            <w:tcW w:w="3245" w:type="dxa"/>
            <w:tcBorders>
              <w:left w:val="single" w:sz="8" w:space="0" w:color="4F81BD" w:themeColor="accent1"/>
            </w:tcBorders>
          </w:tcPr>
          <w:p w14:paraId="18DAE111" w14:textId="7F6A1D76" w:rsidR="00C37366" w:rsidRPr="00907D83" w:rsidRDefault="00C37366" w:rsidP="003B669D">
            <w:pPr>
              <w:spacing w:before="120" w:after="120"/>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Includes all sources of financing other than the program (debt or equity). Target estimate based on the average total investment required per project and a 90/10 debt to equity ratio.</w:t>
            </w:r>
            <w:r w:rsidR="004265A3" w:rsidRPr="00907D83">
              <w:rPr>
                <w:rFonts w:ascii="Arial" w:hAnsi="Arial" w:cs="Arial"/>
                <w:bCs/>
                <w:sz w:val="18"/>
                <w:szCs w:val="18"/>
              </w:rPr>
              <w:t xml:space="preserve"> Real values will be monitored and validated with information provided by AFD in periodical reports, which will include detail on sources of financing per individual project</w:t>
            </w:r>
          </w:p>
          <w:p w14:paraId="1FF9098B" w14:textId="77777777" w:rsidR="00C37366" w:rsidRPr="00907D83" w:rsidRDefault="00C37366" w:rsidP="003B669D">
            <w:pPr>
              <w:spacing w:before="120" w:after="120"/>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Source: Annual report on program execution by AFD.</w:t>
            </w:r>
          </w:p>
        </w:tc>
      </w:tr>
      <w:tr w:rsidR="00C37366" w:rsidRPr="00907D83" w14:paraId="50625E9F" w14:textId="77777777" w:rsidTr="00F4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Borders>
              <w:right w:val="single" w:sz="8" w:space="0" w:color="4F81BD" w:themeColor="accent1"/>
            </w:tcBorders>
          </w:tcPr>
          <w:p w14:paraId="1DC25C31" w14:textId="77777777" w:rsidR="00C37366" w:rsidRPr="00907D83" w:rsidRDefault="00C37366" w:rsidP="00C37366">
            <w:pPr>
              <w:spacing w:before="120" w:after="120"/>
              <w:rPr>
                <w:rFonts w:ascii="Arial" w:hAnsi="Arial" w:cs="Arial"/>
                <w:b w:val="0"/>
                <w:bCs w:val="0"/>
                <w:sz w:val="18"/>
                <w:szCs w:val="18"/>
              </w:rPr>
            </w:pPr>
            <w:r w:rsidRPr="00907D83">
              <w:rPr>
                <w:rFonts w:ascii="Arial" w:hAnsi="Arial" w:cs="Arial"/>
                <w:sz w:val="18"/>
                <w:szCs w:val="18"/>
              </w:rPr>
              <w:t xml:space="preserve">Average maturity of sub loans </w:t>
            </w:r>
          </w:p>
        </w:tc>
        <w:tc>
          <w:tcPr>
            <w:tcW w:w="1007" w:type="dxa"/>
            <w:tcBorders>
              <w:left w:val="single" w:sz="8" w:space="0" w:color="4F81BD" w:themeColor="accent1"/>
              <w:right w:val="single" w:sz="8" w:space="0" w:color="4F81BD" w:themeColor="accent1"/>
            </w:tcBorders>
          </w:tcPr>
          <w:p w14:paraId="445785BD" w14:textId="77777777" w:rsidR="00C37366" w:rsidRPr="00907D83" w:rsidRDefault="00C37366"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Years</w:t>
            </w:r>
          </w:p>
        </w:tc>
        <w:tc>
          <w:tcPr>
            <w:tcW w:w="1779" w:type="dxa"/>
            <w:tcBorders>
              <w:left w:val="single" w:sz="8" w:space="0" w:color="4F81BD" w:themeColor="accent1"/>
              <w:right w:val="single" w:sz="8" w:space="0" w:color="4F81BD" w:themeColor="accent1"/>
            </w:tcBorders>
          </w:tcPr>
          <w:p w14:paraId="6CB27781" w14:textId="77777777" w:rsidR="00C37366" w:rsidRPr="00907D83" w:rsidRDefault="00C37366"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Annually and Final Program Report</w:t>
            </w:r>
          </w:p>
        </w:tc>
        <w:tc>
          <w:tcPr>
            <w:tcW w:w="3245" w:type="dxa"/>
            <w:tcBorders>
              <w:left w:val="single" w:sz="8" w:space="0" w:color="4F81BD" w:themeColor="accent1"/>
            </w:tcBorders>
          </w:tcPr>
          <w:p w14:paraId="159F7385" w14:textId="123121B2" w:rsidR="00C37366" w:rsidRPr="00907D83" w:rsidRDefault="00C37366" w:rsidP="003B669D">
            <w:pPr>
              <w:spacing w:before="120" w:after="120"/>
              <w:ind w:left="-1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Measures the length of the amortization period for the portfolio of sub projects financed in order to compare with alternative financing sources available (market average and/or AFD financing without program resources).</w:t>
            </w:r>
          </w:p>
          <w:p w14:paraId="211F7F46" w14:textId="77777777" w:rsidR="00C37366" w:rsidRPr="00907D83" w:rsidRDefault="00C37366" w:rsidP="003B669D">
            <w:pPr>
              <w:spacing w:before="120" w:after="120"/>
              <w:ind w:left="-1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Source: Annual report on program execution by AFD</w:t>
            </w:r>
          </w:p>
        </w:tc>
      </w:tr>
      <w:tr w:rsidR="00C37366" w:rsidRPr="00907D83" w14:paraId="5239A66B" w14:textId="77777777" w:rsidTr="00F417CE">
        <w:tc>
          <w:tcPr>
            <w:cnfStyle w:val="001000000000" w:firstRow="0" w:lastRow="0" w:firstColumn="1" w:lastColumn="0" w:oddVBand="0" w:evenVBand="0" w:oddHBand="0" w:evenHBand="0" w:firstRowFirstColumn="0" w:firstRowLastColumn="0" w:lastRowFirstColumn="0" w:lastRowLastColumn="0"/>
            <w:tcW w:w="2609" w:type="dxa"/>
            <w:tcBorders>
              <w:right w:val="single" w:sz="8" w:space="0" w:color="4F81BD" w:themeColor="accent1"/>
            </w:tcBorders>
          </w:tcPr>
          <w:p w14:paraId="68D4CA75" w14:textId="2EF5AA84" w:rsidR="00C37366" w:rsidRPr="00907D83" w:rsidRDefault="00C37366" w:rsidP="00C37366">
            <w:pPr>
              <w:spacing w:before="120" w:after="120"/>
              <w:rPr>
                <w:rFonts w:ascii="Arial" w:hAnsi="Arial" w:cs="Arial"/>
                <w:b w:val="0"/>
                <w:bCs w:val="0"/>
                <w:sz w:val="18"/>
                <w:szCs w:val="18"/>
              </w:rPr>
            </w:pPr>
            <w:r w:rsidRPr="00907D83">
              <w:rPr>
                <w:rFonts w:ascii="Arial" w:hAnsi="Arial" w:cs="Arial"/>
                <w:sz w:val="18"/>
                <w:szCs w:val="18"/>
              </w:rPr>
              <w:t>Average annual energy savings from sub projects financed by the program</w:t>
            </w:r>
          </w:p>
        </w:tc>
        <w:tc>
          <w:tcPr>
            <w:tcW w:w="1007" w:type="dxa"/>
            <w:tcBorders>
              <w:left w:val="single" w:sz="8" w:space="0" w:color="4F81BD" w:themeColor="accent1"/>
              <w:right w:val="single" w:sz="8" w:space="0" w:color="4F81BD" w:themeColor="accent1"/>
            </w:tcBorders>
          </w:tcPr>
          <w:p w14:paraId="4667DC65" w14:textId="219B600C" w:rsidR="00C37366" w:rsidRPr="00907D83" w:rsidRDefault="006231B3"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toe</w:t>
            </w:r>
          </w:p>
        </w:tc>
        <w:tc>
          <w:tcPr>
            <w:tcW w:w="1779" w:type="dxa"/>
            <w:tcBorders>
              <w:left w:val="single" w:sz="8" w:space="0" w:color="4F81BD" w:themeColor="accent1"/>
              <w:right w:val="single" w:sz="8" w:space="0" w:color="4F81BD" w:themeColor="accent1"/>
            </w:tcBorders>
          </w:tcPr>
          <w:p w14:paraId="197EEC21" w14:textId="77777777" w:rsidR="00C37366" w:rsidRPr="00907D83" w:rsidRDefault="00C37366"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Annually and Final Program Report</w:t>
            </w:r>
          </w:p>
        </w:tc>
        <w:tc>
          <w:tcPr>
            <w:tcW w:w="3245" w:type="dxa"/>
            <w:tcBorders>
              <w:left w:val="single" w:sz="8" w:space="0" w:color="4F81BD" w:themeColor="accent1"/>
            </w:tcBorders>
          </w:tcPr>
          <w:p w14:paraId="353574DF" w14:textId="60C07AE2" w:rsidR="00C37366" w:rsidRPr="00907D83" w:rsidRDefault="00C37366" w:rsidP="003B669D">
            <w:pPr>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Final target was estimated based on an average consumption of beneficiary firms,</w:t>
            </w:r>
            <w:r w:rsidR="004265A3" w:rsidRPr="00907D83">
              <w:rPr>
                <w:rFonts w:ascii="Arial" w:hAnsi="Arial" w:cs="Arial"/>
                <w:bCs/>
                <w:sz w:val="18"/>
                <w:szCs w:val="18"/>
              </w:rPr>
              <w:t xml:space="preserve"> and</w:t>
            </w:r>
            <w:r w:rsidRPr="00907D83">
              <w:rPr>
                <w:rFonts w:ascii="Arial" w:hAnsi="Arial" w:cs="Arial"/>
                <w:bCs/>
                <w:sz w:val="18"/>
                <w:szCs w:val="18"/>
              </w:rPr>
              <w:t xml:space="preserve"> efficiency ratios of EE systems installed.</w:t>
            </w:r>
            <w:r w:rsidR="006231B3" w:rsidRPr="00907D83">
              <w:rPr>
                <w:rFonts w:ascii="Arial" w:hAnsi="Arial" w:cs="Arial"/>
                <w:bCs/>
                <w:sz w:val="18"/>
                <w:szCs w:val="18"/>
              </w:rPr>
              <w:t xml:space="preserve"> As sources may include electricity and firewood, energy measures (consumption and savings) are standardized by using tons of oil equivalent (toe) as unit.</w:t>
            </w:r>
          </w:p>
          <w:p w14:paraId="5ED16268" w14:textId="77777777" w:rsidR="00C37366" w:rsidRPr="00907D83" w:rsidRDefault="00C37366" w:rsidP="003B669D">
            <w:pPr>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i/>
                <w:sz w:val="18"/>
                <w:szCs w:val="18"/>
              </w:rPr>
            </w:pPr>
          </w:p>
          <w:p w14:paraId="21B90FFE" w14:textId="30CD63FB" w:rsidR="00C37366" w:rsidRPr="00907D83" w:rsidRDefault="00C37366" w:rsidP="003B669D">
            <w:pPr>
              <w:ind w:left="256"/>
              <w:jc w:val="both"/>
              <w:cnfStyle w:val="000000000000" w:firstRow="0" w:lastRow="0" w:firstColumn="0" w:lastColumn="0" w:oddVBand="0" w:evenVBand="0" w:oddHBand="0" w:evenHBand="0" w:firstRowFirstColumn="0" w:firstRowLastColumn="0" w:lastRowFirstColumn="0" w:lastRowLastColumn="0"/>
              <w:rPr>
                <w:rFonts w:ascii="Arial" w:hAnsi="Arial" w:cs="Arial"/>
                <w:bCs/>
                <w:i/>
                <w:sz w:val="18"/>
                <w:szCs w:val="18"/>
              </w:rPr>
            </w:pPr>
            <w:r w:rsidRPr="00907D83">
              <w:rPr>
                <w:rFonts w:ascii="Arial" w:hAnsi="Arial" w:cs="Arial"/>
                <w:bCs/>
                <w:i/>
                <w:sz w:val="18"/>
                <w:szCs w:val="18"/>
              </w:rPr>
              <w:lastRenderedPageBreak/>
              <w:t>Energy savings = energy consumed by beneficiary firms * [1 – (efficiency of system installed – efficiency of original system)]</w:t>
            </w:r>
          </w:p>
          <w:p w14:paraId="53A73F71" w14:textId="77777777" w:rsidR="00C37366" w:rsidRPr="00907D83" w:rsidRDefault="00C37366" w:rsidP="003B669D">
            <w:pPr>
              <w:spacing w:before="120" w:after="120"/>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Source: Annual report on program execution by AFD.</w:t>
            </w:r>
          </w:p>
        </w:tc>
      </w:tr>
      <w:tr w:rsidR="00C37366" w:rsidRPr="00907D83" w14:paraId="73AD05F9" w14:textId="77777777" w:rsidTr="00F4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Borders>
              <w:bottom w:val="single" w:sz="8" w:space="0" w:color="4F81BD" w:themeColor="accent1"/>
              <w:right w:val="single" w:sz="8" w:space="0" w:color="4F81BD" w:themeColor="accent1"/>
            </w:tcBorders>
          </w:tcPr>
          <w:p w14:paraId="08B244F2" w14:textId="77777777" w:rsidR="00C37366" w:rsidRPr="00907D83" w:rsidRDefault="00C37366" w:rsidP="00C37366">
            <w:pPr>
              <w:spacing w:before="120" w:after="120"/>
              <w:rPr>
                <w:rFonts w:ascii="Arial" w:hAnsi="Arial" w:cs="Arial"/>
                <w:b w:val="0"/>
                <w:bCs w:val="0"/>
                <w:sz w:val="18"/>
                <w:szCs w:val="18"/>
              </w:rPr>
            </w:pPr>
            <w:r w:rsidRPr="00907D83">
              <w:rPr>
                <w:rFonts w:ascii="Arial" w:hAnsi="Arial" w:cs="Arial"/>
                <w:sz w:val="18"/>
                <w:szCs w:val="18"/>
              </w:rPr>
              <w:lastRenderedPageBreak/>
              <w:t>Average annual greenhouse gas (GHG) emissions reductions from sub projects financed by the program</w:t>
            </w:r>
          </w:p>
        </w:tc>
        <w:tc>
          <w:tcPr>
            <w:tcW w:w="1007" w:type="dxa"/>
            <w:tcBorders>
              <w:left w:val="single" w:sz="8" w:space="0" w:color="4F81BD" w:themeColor="accent1"/>
              <w:bottom w:val="single" w:sz="8" w:space="0" w:color="4F81BD" w:themeColor="accent1"/>
              <w:right w:val="single" w:sz="8" w:space="0" w:color="4F81BD" w:themeColor="accent1"/>
            </w:tcBorders>
          </w:tcPr>
          <w:p w14:paraId="3A0BA4DF" w14:textId="77777777" w:rsidR="00C37366" w:rsidRPr="00907D83" w:rsidRDefault="00C37366"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TM CO</w:t>
            </w:r>
            <w:r w:rsidRPr="00907D83">
              <w:rPr>
                <w:rFonts w:ascii="Arial" w:hAnsi="Arial" w:cs="Arial"/>
                <w:sz w:val="18"/>
                <w:szCs w:val="18"/>
                <w:vertAlign w:val="subscript"/>
              </w:rPr>
              <w:t>2</w:t>
            </w:r>
            <w:r w:rsidRPr="00907D83">
              <w:rPr>
                <w:rFonts w:ascii="Arial" w:hAnsi="Arial" w:cs="Arial"/>
                <w:sz w:val="18"/>
                <w:szCs w:val="18"/>
              </w:rPr>
              <w:t>e</w:t>
            </w:r>
          </w:p>
        </w:tc>
        <w:tc>
          <w:tcPr>
            <w:tcW w:w="1779" w:type="dxa"/>
            <w:tcBorders>
              <w:left w:val="single" w:sz="8" w:space="0" w:color="4F81BD" w:themeColor="accent1"/>
              <w:bottom w:val="single" w:sz="8" w:space="0" w:color="4F81BD" w:themeColor="accent1"/>
              <w:right w:val="single" w:sz="8" w:space="0" w:color="4F81BD" w:themeColor="accent1"/>
            </w:tcBorders>
          </w:tcPr>
          <w:p w14:paraId="6BC0D840" w14:textId="77777777" w:rsidR="00C37366" w:rsidRPr="00907D83" w:rsidRDefault="00C37366" w:rsidP="00C37366">
            <w:pPr>
              <w:spacing w:before="120" w:after="120"/>
              <w:ind w:left="-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Annually and Final Program Report</w:t>
            </w:r>
          </w:p>
        </w:tc>
        <w:tc>
          <w:tcPr>
            <w:tcW w:w="3245" w:type="dxa"/>
            <w:tcBorders>
              <w:left w:val="single" w:sz="8" w:space="0" w:color="4F81BD" w:themeColor="accent1"/>
              <w:bottom w:val="single" w:sz="8" w:space="0" w:color="4F81BD" w:themeColor="accent1"/>
            </w:tcBorders>
          </w:tcPr>
          <w:p w14:paraId="6034F5E6" w14:textId="1CC44C61" w:rsidR="00C37366" w:rsidRPr="00907D83" w:rsidRDefault="00C37366" w:rsidP="003B669D">
            <w:pPr>
              <w:ind w:left="-1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Indicator is based on the CO</w:t>
            </w:r>
            <w:r w:rsidRPr="00907D83">
              <w:rPr>
                <w:rFonts w:ascii="Arial" w:hAnsi="Arial" w:cs="Arial"/>
                <w:bCs/>
                <w:sz w:val="18"/>
                <w:szCs w:val="18"/>
                <w:vertAlign w:val="subscript"/>
              </w:rPr>
              <w:t>2</w:t>
            </w:r>
            <w:r w:rsidRPr="00907D83">
              <w:rPr>
                <w:rFonts w:ascii="Arial" w:hAnsi="Arial" w:cs="Arial"/>
                <w:bCs/>
                <w:sz w:val="18"/>
                <w:szCs w:val="18"/>
              </w:rPr>
              <w:t xml:space="preserve">e emissions avoided by EE energy savings produced in sub projects financed. Final target was estimated based on envisaged EE savings. Conversion factors from: (i) default emission factor for stationary combustion of wood/wood waste in manufacturing industries and construction from the </w:t>
            </w:r>
            <w:hyperlink r:id="rId25" w:history="1">
              <w:r w:rsidRPr="00907D83">
                <w:rPr>
                  <w:rStyle w:val="Hyperlink"/>
                  <w:rFonts w:ascii="Arial" w:hAnsi="Arial" w:cs="Arial"/>
                  <w:sz w:val="18"/>
                  <w:szCs w:val="18"/>
                </w:rPr>
                <w:t>2006 IPCC Guidelines for National Greenhouse Gas Inventories</w:t>
              </w:r>
            </w:hyperlink>
            <w:r w:rsidRPr="00907D83">
              <w:rPr>
                <w:rFonts w:ascii="Arial" w:hAnsi="Arial" w:cs="Arial"/>
                <w:bCs/>
                <w:sz w:val="18"/>
                <w:szCs w:val="18"/>
              </w:rPr>
              <w:t xml:space="preserve"> (112,000 kg of CO</w:t>
            </w:r>
            <w:r w:rsidRPr="00907D83">
              <w:rPr>
                <w:rFonts w:ascii="Arial" w:hAnsi="Arial" w:cs="Arial"/>
                <w:bCs/>
                <w:sz w:val="18"/>
                <w:szCs w:val="18"/>
                <w:vertAlign w:val="subscript"/>
              </w:rPr>
              <w:t>2</w:t>
            </w:r>
            <w:r w:rsidRPr="00907D83">
              <w:rPr>
                <w:rFonts w:ascii="Arial" w:hAnsi="Arial" w:cs="Arial"/>
                <w:bCs/>
                <w:sz w:val="18"/>
                <w:szCs w:val="18"/>
              </w:rPr>
              <w:t xml:space="preserve"> per TJ); and (ii) Latin America’s average conversion factor for electricity (0.188 kg CO</w:t>
            </w:r>
            <w:r w:rsidRPr="00907D83">
              <w:rPr>
                <w:rFonts w:ascii="Arial" w:hAnsi="Arial" w:cs="Arial"/>
                <w:bCs/>
                <w:sz w:val="18"/>
                <w:szCs w:val="18"/>
                <w:vertAlign w:val="subscript"/>
              </w:rPr>
              <w:t>2</w:t>
            </w:r>
            <w:r w:rsidRPr="00907D83">
              <w:rPr>
                <w:rFonts w:ascii="Arial" w:hAnsi="Arial" w:cs="Arial"/>
                <w:bCs/>
                <w:sz w:val="18"/>
                <w:szCs w:val="18"/>
              </w:rPr>
              <w:t xml:space="preserve"> per kWh) from the </w:t>
            </w:r>
            <w:hyperlink r:id="rId26" w:history="1">
              <w:r w:rsidRPr="00907D83">
                <w:rPr>
                  <w:rStyle w:val="Hyperlink"/>
                  <w:rFonts w:ascii="Arial" w:hAnsi="Arial" w:cs="Arial"/>
                  <w:sz w:val="18"/>
                  <w:szCs w:val="18"/>
                </w:rPr>
                <w:t>List of international emission conversion factors for electricity</w:t>
              </w:r>
            </w:hyperlink>
            <w:r w:rsidRPr="00907D83">
              <w:rPr>
                <w:rFonts w:ascii="Arial" w:hAnsi="Arial" w:cs="Arial"/>
                <w:bCs/>
                <w:sz w:val="18"/>
                <w:szCs w:val="18"/>
              </w:rPr>
              <w:t>.</w:t>
            </w:r>
          </w:p>
          <w:p w14:paraId="2E003673" w14:textId="4D0594E5" w:rsidR="00C37366" w:rsidRPr="00907D83" w:rsidRDefault="00C37366" w:rsidP="003B669D">
            <w:pPr>
              <w:ind w:left="-1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90C3FD7" w14:textId="77777777" w:rsidR="00C37366" w:rsidRPr="00907D83" w:rsidRDefault="00C37366" w:rsidP="003A31D2">
            <w:pPr>
              <w:ind w:hanging="18"/>
              <w:jc w:val="both"/>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sidRPr="00907D83">
              <w:rPr>
                <w:rFonts w:ascii="Arial" w:hAnsi="Arial" w:cs="Arial"/>
                <w:bCs/>
                <w:i/>
                <w:sz w:val="18"/>
                <w:szCs w:val="18"/>
              </w:rPr>
              <w:t>GHG emissions = energy consumption x CO</w:t>
            </w:r>
            <w:r w:rsidRPr="00907D83">
              <w:rPr>
                <w:rFonts w:ascii="Arial" w:hAnsi="Arial" w:cs="Arial"/>
                <w:bCs/>
                <w:i/>
                <w:sz w:val="18"/>
                <w:szCs w:val="18"/>
                <w:vertAlign w:val="subscript"/>
              </w:rPr>
              <w:t>2</w:t>
            </w:r>
            <w:r w:rsidRPr="00907D83">
              <w:rPr>
                <w:rFonts w:ascii="Arial" w:hAnsi="Arial" w:cs="Arial"/>
                <w:bCs/>
                <w:i/>
                <w:sz w:val="18"/>
                <w:szCs w:val="18"/>
              </w:rPr>
              <w:t xml:space="preserve"> emission factor</w:t>
            </w:r>
          </w:p>
          <w:p w14:paraId="6ACA730F" w14:textId="77777777" w:rsidR="00C37366" w:rsidRPr="00907D83" w:rsidRDefault="00C37366" w:rsidP="003B669D">
            <w:pPr>
              <w:spacing w:before="120" w:after="120"/>
              <w:ind w:left="-1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b/>
                <w:bCs/>
                <w:sz w:val="18"/>
                <w:szCs w:val="18"/>
              </w:rPr>
              <w:t>Source:</w:t>
            </w:r>
            <w:r w:rsidRPr="00907D83">
              <w:rPr>
                <w:rFonts w:ascii="Arial" w:hAnsi="Arial" w:cs="Arial"/>
                <w:bCs/>
                <w:sz w:val="18"/>
                <w:szCs w:val="18"/>
              </w:rPr>
              <w:t xml:space="preserve"> Annual report on program execution by AFD and conversion factor from internationally accepted GHG inventory guidelines.</w:t>
            </w:r>
          </w:p>
        </w:tc>
      </w:tr>
      <w:tr w:rsidR="00C37366" w:rsidRPr="00907D83" w14:paraId="33233242" w14:textId="77777777" w:rsidTr="00F417CE">
        <w:tc>
          <w:tcPr>
            <w:cnfStyle w:val="001000000000" w:firstRow="0" w:lastRow="0" w:firstColumn="1" w:lastColumn="0" w:oddVBand="0" w:evenVBand="0" w:oddHBand="0" w:evenHBand="0" w:firstRowFirstColumn="0" w:firstRowLastColumn="0" w:lastRowFirstColumn="0" w:lastRowLastColumn="0"/>
            <w:tcW w:w="2609" w:type="dxa"/>
            <w:tcBorders>
              <w:bottom w:val="single" w:sz="8" w:space="0" w:color="4F81BD" w:themeColor="accent1"/>
              <w:right w:val="single" w:sz="8" w:space="0" w:color="4F81BD" w:themeColor="accent1"/>
            </w:tcBorders>
          </w:tcPr>
          <w:p w14:paraId="22794E9C" w14:textId="1EEC362C" w:rsidR="00C37366" w:rsidRPr="00907D83" w:rsidRDefault="00C37366" w:rsidP="00C37366">
            <w:pPr>
              <w:spacing w:before="120" w:after="120"/>
              <w:rPr>
                <w:rFonts w:ascii="Arial" w:hAnsi="Arial" w:cs="Arial"/>
                <w:b w:val="0"/>
                <w:sz w:val="18"/>
                <w:szCs w:val="18"/>
              </w:rPr>
            </w:pPr>
            <w:r w:rsidRPr="00907D83">
              <w:rPr>
                <w:rFonts w:ascii="Arial" w:hAnsi="Arial" w:cs="Arial"/>
                <w:sz w:val="18"/>
                <w:szCs w:val="18"/>
              </w:rPr>
              <w:t>Energy intensity in the industrial sector</w:t>
            </w:r>
          </w:p>
        </w:tc>
        <w:tc>
          <w:tcPr>
            <w:tcW w:w="1007" w:type="dxa"/>
            <w:tcBorders>
              <w:left w:val="single" w:sz="8" w:space="0" w:color="4F81BD" w:themeColor="accent1"/>
              <w:bottom w:val="single" w:sz="8" w:space="0" w:color="4F81BD" w:themeColor="accent1"/>
              <w:right w:val="single" w:sz="8" w:space="0" w:color="4F81BD" w:themeColor="accent1"/>
            </w:tcBorders>
          </w:tcPr>
          <w:p w14:paraId="22C97949" w14:textId="5A3A9367" w:rsidR="00C37366" w:rsidRPr="00907D83" w:rsidRDefault="00C37366"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lang w:val="es-ES_tradnl"/>
              </w:rPr>
              <w:t>toe/</w:t>
            </w:r>
            <w:proofErr w:type="spellStart"/>
            <w:r w:rsidRPr="00907D83">
              <w:rPr>
                <w:rFonts w:ascii="Arial" w:hAnsi="Arial" w:cs="Arial"/>
                <w:sz w:val="18"/>
                <w:szCs w:val="18"/>
                <w:lang w:val="es-ES_tradnl"/>
              </w:rPr>
              <w:t>million</w:t>
            </w:r>
            <w:proofErr w:type="spellEnd"/>
            <w:r w:rsidRPr="00907D83">
              <w:rPr>
                <w:rFonts w:ascii="Arial" w:hAnsi="Arial" w:cs="Arial"/>
                <w:sz w:val="18"/>
                <w:szCs w:val="18"/>
                <w:lang w:val="es-ES_tradnl"/>
              </w:rPr>
              <w:t xml:space="preserve"> PGY</w:t>
            </w:r>
          </w:p>
        </w:tc>
        <w:tc>
          <w:tcPr>
            <w:tcW w:w="1779" w:type="dxa"/>
            <w:tcBorders>
              <w:left w:val="single" w:sz="8" w:space="0" w:color="4F81BD" w:themeColor="accent1"/>
              <w:bottom w:val="single" w:sz="8" w:space="0" w:color="4F81BD" w:themeColor="accent1"/>
              <w:right w:val="single" w:sz="8" w:space="0" w:color="4F81BD" w:themeColor="accent1"/>
            </w:tcBorders>
          </w:tcPr>
          <w:p w14:paraId="263EAB5B" w14:textId="77777777" w:rsidR="00C37366" w:rsidRPr="00907D83" w:rsidRDefault="00C37366" w:rsidP="00C37366">
            <w:pPr>
              <w:spacing w:before="120" w:after="120"/>
              <w:ind w:left="-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Final Program Report</w:t>
            </w:r>
          </w:p>
        </w:tc>
        <w:tc>
          <w:tcPr>
            <w:tcW w:w="3245" w:type="dxa"/>
            <w:tcBorders>
              <w:left w:val="single" w:sz="8" w:space="0" w:color="4F81BD" w:themeColor="accent1"/>
              <w:bottom w:val="single" w:sz="8" w:space="0" w:color="4F81BD" w:themeColor="accent1"/>
            </w:tcBorders>
          </w:tcPr>
          <w:p w14:paraId="4D4080A0" w14:textId="3E52813A" w:rsidR="00C37366" w:rsidRPr="00907D83" w:rsidRDefault="00C37366" w:rsidP="003B669D">
            <w:pPr>
              <w:spacing w:before="120" w:after="120"/>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Measures the quantity of energy required to generate PGY 1 million of output in the industrial sector.</w:t>
            </w:r>
          </w:p>
          <w:p w14:paraId="3E93474D" w14:textId="497E61A5" w:rsidR="00C37366" w:rsidRPr="00907D83" w:rsidRDefault="00C37366" w:rsidP="003B669D">
            <w:pPr>
              <w:spacing w:before="120" w:after="120"/>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roofErr w:type="spellStart"/>
            <w:r w:rsidRPr="00907D83">
              <w:rPr>
                <w:rFonts w:ascii="Arial" w:hAnsi="Arial" w:cs="Arial"/>
                <w:bCs/>
                <w:sz w:val="18"/>
                <w:szCs w:val="18"/>
                <w:lang w:val="es-ES_tradnl"/>
              </w:rPr>
              <w:t>Source</w:t>
            </w:r>
            <w:proofErr w:type="spellEnd"/>
            <w:r w:rsidRPr="00907D83">
              <w:rPr>
                <w:rFonts w:ascii="Arial" w:hAnsi="Arial" w:cs="Arial"/>
                <w:b/>
                <w:bCs/>
                <w:sz w:val="18"/>
                <w:szCs w:val="18"/>
                <w:lang w:val="es-ES_tradnl"/>
              </w:rPr>
              <w:t>:</w:t>
            </w:r>
            <w:r w:rsidRPr="00907D83">
              <w:rPr>
                <w:rFonts w:ascii="Arial" w:hAnsi="Arial" w:cs="Arial"/>
                <w:bCs/>
                <w:sz w:val="18"/>
                <w:szCs w:val="18"/>
                <w:lang w:val="es-ES_tradnl"/>
              </w:rPr>
              <w:t xml:space="preserve"> </w:t>
            </w:r>
            <w:r w:rsidRPr="00907D83">
              <w:rPr>
                <w:rFonts w:ascii="Arial" w:hAnsi="Arial" w:cs="Arial"/>
                <w:sz w:val="18"/>
                <w:szCs w:val="18"/>
              </w:rPr>
              <w:t xml:space="preserve">Official figures from the </w:t>
            </w:r>
            <w:r w:rsidRPr="00907D83">
              <w:rPr>
                <w:rFonts w:ascii="Arial" w:hAnsi="Arial" w:cs="Arial"/>
                <w:i/>
                <w:sz w:val="18"/>
                <w:szCs w:val="18"/>
              </w:rPr>
              <w:t xml:space="preserve">Base de </w:t>
            </w:r>
            <w:proofErr w:type="spellStart"/>
            <w:r w:rsidRPr="00907D83">
              <w:rPr>
                <w:rFonts w:ascii="Arial" w:hAnsi="Arial" w:cs="Arial"/>
                <w:i/>
                <w:sz w:val="18"/>
                <w:szCs w:val="18"/>
              </w:rPr>
              <w:t>Indicadores</w:t>
            </w:r>
            <w:proofErr w:type="spellEnd"/>
            <w:r w:rsidRPr="00907D83">
              <w:rPr>
                <w:rFonts w:ascii="Arial" w:hAnsi="Arial" w:cs="Arial"/>
                <w:i/>
                <w:sz w:val="18"/>
                <w:szCs w:val="18"/>
              </w:rPr>
              <w:t xml:space="preserve"> de </w:t>
            </w:r>
            <w:proofErr w:type="spellStart"/>
            <w:r w:rsidRPr="00907D83">
              <w:rPr>
                <w:rFonts w:ascii="Arial" w:hAnsi="Arial" w:cs="Arial"/>
                <w:i/>
                <w:sz w:val="18"/>
                <w:szCs w:val="18"/>
              </w:rPr>
              <w:t>Eficiencia</w:t>
            </w:r>
            <w:proofErr w:type="spellEnd"/>
            <w:r w:rsidRPr="00907D83">
              <w:rPr>
                <w:rFonts w:ascii="Arial" w:hAnsi="Arial" w:cs="Arial"/>
                <w:i/>
                <w:sz w:val="18"/>
                <w:szCs w:val="18"/>
              </w:rPr>
              <w:t xml:space="preserve"> </w:t>
            </w:r>
            <w:proofErr w:type="spellStart"/>
            <w:r w:rsidRPr="00907D83">
              <w:rPr>
                <w:rFonts w:ascii="Arial" w:hAnsi="Arial" w:cs="Arial"/>
                <w:i/>
                <w:sz w:val="18"/>
                <w:szCs w:val="18"/>
              </w:rPr>
              <w:t>Energética</w:t>
            </w:r>
            <w:proofErr w:type="spellEnd"/>
            <w:r w:rsidRPr="00907D83">
              <w:rPr>
                <w:rFonts w:ascii="Arial" w:hAnsi="Arial" w:cs="Arial"/>
                <w:sz w:val="18"/>
                <w:szCs w:val="18"/>
              </w:rPr>
              <w:t xml:space="preserve"> (BIIE)</w:t>
            </w:r>
            <w:r w:rsidRPr="00907D83">
              <w:rPr>
                <w:rFonts w:ascii="Arial" w:hAnsi="Arial" w:cs="Arial"/>
                <w:i/>
                <w:sz w:val="18"/>
                <w:szCs w:val="18"/>
              </w:rPr>
              <w:t xml:space="preserve"> </w:t>
            </w:r>
            <w:r w:rsidRPr="00907D83">
              <w:rPr>
                <w:rFonts w:ascii="Arial" w:hAnsi="Arial" w:cs="Arial"/>
                <w:sz w:val="18"/>
                <w:szCs w:val="18"/>
              </w:rPr>
              <w:t xml:space="preserve">and the </w:t>
            </w:r>
            <w:r w:rsidRPr="00907D83">
              <w:rPr>
                <w:rFonts w:ascii="Arial" w:hAnsi="Arial" w:cs="Arial"/>
                <w:i/>
                <w:sz w:val="18"/>
                <w:szCs w:val="18"/>
              </w:rPr>
              <w:t xml:space="preserve">Balance </w:t>
            </w:r>
            <w:proofErr w:type="spellStart"/>
            <w:r w:rsidRPr="00907D83">
              <w:rPr>
                <w:rFonts w:ascii="Arial" w:hAnsi="Arial" w:cs="Arial"/>
                <w:i/>
                <w:sz w:val="18"/>
                <w:szCs w:val="18"/>
              </w:rPr>
              <w:t>Energetico</w:t>
            </w:r>
            <w:proofErr w:type="spellEnd"/>
            <w:r w:rsidRPr="00907D83">
              <w:rPr>
                <w:rFonts w:ascii="Arial" w:hAnsi="Arial" w:cs="Arial"/>
                <w:i/>
                <w:sz w:val="18"/>
                <w:szCs w:val="18"/>
              </w:rPr>
              <w:t xml:space="preserve"> Nacional</w:t>
            </w:r>
          </w:p>
        </w:tc>
      </w:tr>
    </w:tbl>
    <w:p w14:paraId="684BED49" w14:textId="464E8BAF" w:rsidR="00051B6C" w:rsidRPr="00907D83" w:rsidRDefault="00BB79EB" w:rsidP="00051B6C">
      <w:pPr>
        <w:pStyle w:val="FirstHeading"/>
        <w:ind w:left="720"/>
        <w:rPr>
          <w:rFonts w:ascii="Arial" w:hAnsi="Arial" w:cs="Arial"/>
          <w:noProof/>
          <w:sz w:val="22"/>
          <w:szCs w:val="22"/>
          <w:lang w:val="es-ES_tradnl"/>
        </w:rPr>
      </w:pPr>
      <w:bookmarkStart w:id="60" w:name="_Toc300318312"/>
      <w:bookmarkStart w:id="61" w:name="_Toc331167643"/>
      <w:bookmarkStart w:id="62" w:name="_Toc501017816"/>
      <w:r w:rsidRPr="00907D83">
        <w:rPr>
          <w:rFonts w:ascii="Arial" w:hAnsi="Arial" w:cs="Arial"/>
          <w:noProof/>
          <w:sz w:val="22"/>
          <w:szCs w:val="22"/>
          <w:lang w:val="es-ES_tradnl"/>
        </w:rPr>
        <w:t>C</w:t>
      </w:r>
      <w:r w:rsidR="00051B6C" w:rsidRPr="00907D83">
        <w:rPr>
          <w:rFonts w:ascii="Arial" w:hAnsi="Arial" w:cs="Arial"/>
          <w:noProof/>
          <w:sz w:val="22"/>
          <w:szCs w:val="22"/>
          <w:lang w:val="es-ES_tradnl"/>
        </w:rPr>
        <w:t>.</w:t>
      </w:r>
      <w:r w:rsidR="00051B6C" w:rsidRPr="00907D83">
        <w:rPr>
          <w:rFonts w:ascii="Arial" w:hAnsi="Arial" w:cs="Arial"/>
          <w:noProof/>
          <w:sz w:val="22"/>
          <w:szCs w:val="22"/>
          <w:lang w:val="es-ES_tradnl"/>
        </w:rPr>
        <w:tab/>
      </w:r>
      <w:r w:rsidR="00AF2C5C" w:rsidRPr="00907D83">
        <w:rPr>
          <w:rFonts w:ascii="Arial" w:hAnsi="Arial" w:cs="Arial"/>
          <w:noProof/>
          <w:sz w:val="22"/>
          <w:szCs w:val="22"/>
          <w:lang w:val="es-ES_tradnl"/>
        </w:rPr>
        <w:t>E</w:t>
      </w:r>
      <w:r w:rsidR="007861F4" w:rsidRPr="00907D83">
        <w:rPr>
          <w:rFonts w:ascii="Arial" w:hAnsi="Arial" w:cs="Arial"/>
          <w:noProof/>
          <w:sz w:val="22"/>
          <w:szCs w:val="22"/>
          <w:lang w:val="es-ES_tradnl"/>
        </w:rPr>
        <w:t>valuatio</w:t>
      </w:r>
      <w:r w:rsidR="00051B6C" w:rsidRPr="00907D83">
        <w:rPr>
          <w:rFonts w:ascii="Arial" w:hAnsi="Arial" w:cs="Arial"/>
          <w:noProof/>
          <w:sz w:val="22"/>
          <w:szCs w:val="22"/>
          <w:lang w:val="es-ES_tradnl"/>
        </w:rPr>
        <w:t>n</w:t>
      </w:r>
      <w:bookmarkEnd w:id="60"/>
      <w:bookmarkEnd w:id="61"/>
      <w:r w:rsidR="00361FA4" w:rsidRPr="00907D83">
        <w:rPr>
          <w:rFonts w:ascii="Arial" w:hAnsi="Arial" w:cs="Arial"/>
          <w:noProof/>
          <w:sz w:val="22"/>
          <w:szCs w:val="22"/>
          <w:lang w:val="es-ES_tradnl"/>
        </w:rPr>
        <w:t xml:space="preserve"> m</w:t>
      </w:r>
      <w:r w:rsidR="007861F4" w:rsidRPr="00907D83">
        <w:rPr>
          <w:rFonts w:ascii="Arial" w:hAnsi="Arial" w:cs="Arial"/>
          <w:noProof/>
          <w:sz w:val="22"/>
          <w:szCs w:val="22"/>
          <w:lang w:val="es-ES_tradnl"/>
        </w:rPr>
        <w:t>ethodology</w:t>
      </w:r>
      <w:bookmarkEnd w:id="62"/>
      <w:r w:rsidR="00051B6C" w:rsidRPr="00907D83">
        <w:rPr>
          <w:rFonts w:ascii="Arial" w:hAnsi="Arial" w:cs="Arial"/>
          <w:noProof/>
          <w:sz w:val="22"/>
          <w:szCs w:val="22"/>
          <w:lang w:val="es-ES_tradnl"/>
        </w:rPr>
        <w:t xml:space="preserve"> </w:t>
      </w:r>
    </w:p>
    <w:p w14:paraId="43DAE528" w14:textId="16C9BFB1" w:rsidR="0087484C" w:rsidRPr="00907D83" w:rsidRDefault="001E2FB3" w:rsidP="0087484C">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The evaluation </w:t>
      </w:r>
      <w:r w:rsidR="003E415B" w:rsidRPr="00907D83">
        <w:rPr>
          <w:rFonts w:ascii="Arial" w:hAnsi="Arial" w:cs="Arial"/>
          <w:sz w:val="22"/>
          <w:szCs w:val="22"/>
        </w:rPr>
        <w:t xml:space="preserve">proposed </w:t>
      </w:r>
      <w:r w:rsidRPr="00907D83">
        <w:rPr>
          <w:rFonts w:ascii="Arial" w:hAnsi="Arial" w:cs="Arial"/>
          <w:sz w:val="22"/>
          <w:szCs w:val="22"/>
        </w:rPr>
        <w:t xml:space="preserve">will follow an ex-post cost-benefit analysis, based on the data collected </w:t>
      </w:r>
      <w:r w:rsidR="00565CB1" w:rsidRPr="00907D83">
        <w:rPr>
          <w:rFonts w:ascii="Arial" w:hAnsi="Arial" w:cs="Arial"/>
          <w:sz w:val="22"/>
          <w:szCs w:val="22"/>
        </w:rPr>
        <w:t>in relation to the</w:t>
      </w:r>
      <w:r w:rsidRPr="00907D83">
        <w:rPr>
          <w:rFonts w:ascii="Arial" w:hAnsi="Arial" w:cs="Arial"/>
          <w:sz w:val="22"/>
          <w:szCs w:val="22"/>
        </w:rPr>
        <w:t xml:space="preserve"> set of indicators detailed above</w:t>
      </w:r>
      <w:r w:rsidR="00666830" w:rsidRPr="00907D83">
        <w:rPr>
          <w:rFonts w:ascii="Arial" w:hAnsi="Arial" w:cs="Arial"/>
          <w:sz w:val="22"/>
          <w:szCs w:val="22"/>
        </w:rPr>
        <w:t>.</w:t>
      </w:r>
      <w:r w:rsidR="0098245B" w:rsidRPr="00907D83">
        <w:rPr>
          <w:rFonts w:ascii="Arial" w:hAnsi="Arial" w:cs="Arial"/>
          <w:sz w:val="22"/>
          <w:szCs w:val="22"/>
        </w:rPr>
        <w:t xml:space="preserve"> </w:t>
      </w:r>
      <w:r w:rsidR="0087484C" w:rsidRPr="00907D83">
        <w:rPr>
          <w:rFonts w:ascii="Arial" w:hAnsi="Arial" w:cs="Arial"/>
          <w:sz w:val="22"/>
          <w:szCs w:val="22"/>
          <w:lang w:val="en"/>
        </w:rPr>
        <w:t xml:space="preserve">Following the recommendations of the Toolkit for the application of the </w:t>
      </w:r>
      <w:bookmarkStart w:id="63" w:name="_Hlk502861721"/>
      <w:r w:rsidR="00565CB1" w:rsidRPr="00907D83">
        <w:rPr>
          <w:rFonts w:ascii="Arial" w:hAnsi="Arial" w:cs="Arial"/>
          <w:sz w:val="22"/>
          <w:szCs w:val="22"/>
          <w:lang w:val="en"/>
        </w:rPr>
        <w:t>Development Effectiveness Matrix</w:t>
      </w:r>
      <w:bookmarkEnd w:id="63"/>
      <w:r w:rsidR="00565CB1" w:rsidRPr="00907D83">
        <w:rPr>
          <w:rFonts w:ascii="Arial" w:hAnsi="Arial" w:cs="Arial"/>
          <w:sz w:val="22"/>
          <w:szCs w:val="22"/>
          <w:lang w:val="en"/>
        </w:rPr>
        <w:t xml:space="preserve"> (</w:t>
      </w:r>
      <w:r w:rsidR="0087484C" w:rsidRPr="00907D83">
        <w:rPr>
          <w:rFonts w:ascii="Arial" w:hAnsi="Arial" w:cs="Arial"/>
          <w:sz w:val="22"/>
          <w:szCs w:val="22"/>
          <w:lang w:val="en"/>
        </w:rPr>
        <w:t>DEM</w:t>
      </w:r>
      <w:r w:rsidR="00565CB1" w:rsidRPr="00907D83">
        <w:rPr>
          <w:rFonts w:ascii="Arial" w:hAnsi="Arial" w:cs="Arial"/>
          <w:sz w:val="22"/>
          <w:szCs w:val="22"/>
          <w:lang w:val="en"/>
        </w:rPr>
        <w:t>)</w:t>
      </w:r>
      <w:r w:rsidR="0087484C" w:rsidRPr="00907D83">
        <w:rPr>
          <w:rFonts w:ascii="Arial" w:hAnsi="Arial" w:cs="Arial"/>
          <w:sz w:val="22"/>
          <w:szCs w:val="22"/>
          <w:lang w:val="en"/>
        </w:rPr>
        <w:t>, the ex post cost benefit analysis uses the same framework defined in the ex-ante economic analysis and replaces ​​assumed values ​with actual values</w:t>
      </w:r>
      <w:r w:rsidR="00565CB1" w:rsidRPr="00907D83">
        <w:rPr>
          <w:rFonts w:ascii="Arial" w:hAnsi="Arial" w:cs="Arial"/>
          <w:sz w:val="22"/>
          <w:szCs w:val="22"/>
          <w:lang w:val="en"/>
        </w:rPr>
        <w:t xml:space="preserve"> at the time of analysis</w:t>
      </w:r>
      <w:r w:rsidR="0087484C" w:rsidRPr="00907D83">
        <w:rPr>
          <w:rFonts w:ascii="Arial" w:hAnsi="Arial" w:cs="Arial"/>
          <w:sz w:val="22"/>
          <w:szCs w:val="22"/>
          <w:lang w:val="en"/>
        </w:rPr>
        <w:t>.</w:t>
      </w:r>
    </w:p>
    <w:p w14:paraId="3F960EFE" w14:textId="68A133AA" w:rsidR="00960CAA" w:rsidRPr="00907D83" w:rsidRDefault="00960CAA" w:rsidP="00960CAA">
      <w:pPr>
        <w:pStyle w:val="Paragraph"/>
        <w:tabs>
          <w:tab w:val="clear" w:pos="2736"/>
          <w:tab w:val="num" w:pos="720"/>
        </w:tabs>
        <w:ind w:left="720" w:hanging="720"/>
        <w:rPr>
          <w:rFonts w:ascii="Arial" w:hAnsi="Arial" w:cs="Arial"/>
          <w:sz w:val="22"/>
          <w:szCs w:val="22"/>
        </w:rPr>
      </w:pPr>
      <w:r w:rsidRPr="00907D83">
        <w:rPr>
          <w:rFonts w:ascii="Arial" w:hAnsi="Arial" w:cs="Arial"/>
          <w:b/>
          <w:sz w:val="22"/>
          <w:szCs w:val="22"/>
        </w:rPr>
        <w:t>Justification for the selected methodology.</w:t>
      </w:r>
      <w:r w:rsidRPr="00907D83">
        <w:rPr>
          <w:rFonts w:ascii="Arial" w:hAnsi="Arial" w:cs="Arial"/>
          <w:sz w:val="22"/>
          <w:szCs w:val="22"/>
        </w:rPr>
        <w:t xml:space="preserve"> This method is appropriate because the relatively small </w:t>
      </w:r>
      <w:r w:rsidR="00565CB1" w:rsidRPr="00907D83">
        <w:rPr>
          <w:rFonts w:ascii="Arial" w:hAnsi="Arial" w:cs="Arial"/>
          <w:sz w:val="22"/>
          <w:szCs w:val="22"/>
        </w:rPr>
        <w:t>universe</w:t>
      </w:r>
      <w:r w:rsidRPr="00907D83">
        <w:rPr>
          <w:rFonts w:ascii="Arial" w:hAnsi="Arial" w:cs="Arial"/>
          <w:sz w:val="22"/>
          <w:szCs w:val="22"/>
        </w:rPr>
        <w:t xml:space="preserve"> of </w:t>
      </w:r>
      <w:r w:rsidR="00565CB1" w:rsidRPr="00907D83">
        <w:rPr>
          <w:rFonts w:ascii="Arial" w:hAnsi="Arial" w:cs="Arial"/>
          <w:sz w:val="22"/>
          <w:szCs w:val="22"/>
        </w:rPr>
        <w:t xml:space="preserve">sub </w:t>
      </w:r>
      <w:r w:rsidRPr="00907D83">
        <w:rPr>
          <w:rFonts w:ascii="Arial" w:hAnsi="Arial" w:cs="Arial"/>
          <w:sz w:val="22"/>
          <w:szCs w:val="22"/>
        </w:rPr>
        <w:t xml:space="preserve">projects and </w:t>
      </w:r>
      <w:bookmarkStart w:id="64" w:name="_Hlk502861858"/>
      <w:r w:rsidRPr="00907D83">
        <w:rPr>
          <w:rFonts w:ascii="Arial" w:hAnsi="Arial" w:cs="Arial"/>
          <w:sz w:val="22"/>
          <w:szCs w:val="22"/>
        </w:rPr>
        <w:t xml:space="preserve">the </w:t>
      </w:r>
      <w:r w:rsidR="00565CB1" w:rsidRPr="00907D83">
        <w:rPr>
          <w:rFonts w:ascii="Arial" w:hAnsi="Arial" w:cs="Arial"/>
          <w:sz w:val="22"/>
          <w:szCs w:val="22"/>
        </w:rPr>
        <w:t xml:space="preserve">inherently non-random mechanisms that lead to the approval of the best sub projects for financing (applicants are evaluated by </w:t>
      </w:r>
      <w:r w:rsidR="00E138BA">
        <w:rPr>
          <w:rFonts w:ascii="Arial" w:hAnsi="Arial" w:cs="Arial"/>
          <w:sz w:val="22"/>
          <w:szCs w:val="22"/>
        </w:rPr>
        <w:t>I</w:t>
      </w:r>
      <w:r w:rsidR="00565CB1" w:rsidRPr="00907D83">
        <w:rPr>
          <w:rFonts w:ascii="Arial" w:hAnsi="Arial" w:cs="Arial"/>
          <w:sz w:val="22"/>
          <w:szCs w:val="22"/>
        </w:rPr>
        <w:t>FIs based of specific criteria and conditions</w:t>
      </w:r>
      <w:bookmarkEnd w:id="64"/>
      <w:r w:rsidR="00565CB1" w:rsidRPr="00907D83">
        <w:rPr>
          <w:rFonts w:ascii="Arial" w:hAnsi="Arial" w:cs="Arial"/>
          <w:sz w:val="22"/>
          <w:szCs w:val="22"/>
        </w:rPr>
        <w:t>)</w:t>
      </w:r>
      <w:r w:rsidRPr="00907D83">
        <w:rPr>
          <w:rFonts w:ascii="Arial" w:hAnsi="Arial" w:cs="Arial"/>
          <w:sz w:val="22"/>
          <w:szCs w:val="22"/>
        </w:rPr>
        <w:t xml:space="preserve"> do not allow for a construction of a control group </w:t>
      </w:r>
      <w:r w:rsidR="0087484C" w:rsidRPr="00907D83">
        <w:rPr>
          <w:rFonts w:ascii="Arial" w:hAnsi="Arial" w:cs="Arial"/>
          <w:sz w:val="22"/>
          <w:szCs w:val="22"/>
        </w:rPr>
        <w:t>f</w:t>
      </w:r>
      <w:r w:rsidRPr="00907D83">
        <w:rPr>
          <w:rFonts w:ascii="Arial" w:hAnsi="Arial" w:cs="Arial"/>
          <w:sz w:val="22"/>
          <w:szCs w:val="22"/>
        </w:rPr>
        <w:t>or an experimental or quasi</w:t>
      </w:r>
      <w:r w:rsidR="00B913FC" w:rsidRPr="00907D83">
        <w:rPr>
          <w:rFonts w:ascii="Arial" w:hAnsi="Arial" w:cs="Arial"/>
          <w:sz w:val="22"/>
          <w:szCs w:val="22"/>
        </w:rPr>
        <w:noBreakHyphen/>
      </w:r>
      <w:r w:rsidRPr="00907D83">
        <w:rPr>
          <w:rFonts w:ascii="Arial" w:hAnsi="Arial" w:cs="Arial"/>
          <w:sz w:val="22"/>
          <w:szCs w:val="22"/>
        </w:rPr>
        <w:t>experimental exercise for the evaluation.</w:t>
      </w:r>
    </w:p>
    <w:p w14:paraId="7AC9E97B" w14:textId="784E6F9E" w:rsidR="0098245B" w:rsidRPr="00907D83" w:rsidRDefault="0098245B" w:rsidP="0098245B">
      <w:pPr>
        <w:pStyle w:val="Paragraph"/>
        <w:tabs>
          <w:tab w:val="clear" w:pos="2736"/>
          <w:tab w:val="num" w:pos="720"/>
        </w:tabs>
        <w:ind w:left="720" w:hanging="720"/>
        <w:rPr>
          <w:rFonts w:ascii="Arial" w:hAnsi="Arial" w:cs="Arial"/>
          <w:sz w:val="22"/>
          <w:szCs w:val="22"/>
        </w:rPr>
      </w:pPr>
      <w:bookmarkStart w:id="65" w:name="_Hlk508892959"/>
      <w:r w:rsidRPr="00907D83">
        <w:rPr>
          <w:rFonts w:ascii="Arial" w:hAnsi="Arial" w:cs="Arial"/>
          <w:sz w:val="22"/>
          <w:szCs w:val="22"/>
          <w:lang w:val="en"/>
        </w:rPr>
        <w:t xml:space="preserve">The ex post cost benefit analysis can be considered a </w:t>
      </w:r>
      <w:r w:rsidR="00551684" w:rsidRPr="00907D83">
        <w:rPr>
          <w:rFonts w:ascii="Arial" w:hAnsi="Arial" w:cs="Arial"/>
          <w:sz w:val="22"/>
          <w:szCs w:val="22"/>
          <w:lang w:val="en"/>
        </w:rPr>
        <w:t>reassessment</w:t>
      </w:r>
      <w:r w:rsidRPr="00907D83">
        <w:rPr>
          <w:rFonts w:ascii="Arial" w:hAnsi="Arial" w:cs="Arial"/>
          <w:sz w:val="22"/>
          <w:szCs w:val="22"/>
          <w:lang w:val="en"/>
        </w:rPr>
        <w:t xml:space="preserve"> of the cost benefit analysis made as part of the program proposal</w:t>
      </w:r>
      <w:bookmarkEnd w:id="65"/>
      <w:r w:rsidRPr="00907D83">
        <w:rPr>
          <w:rFonts w:ascii="Arial" w:hAnsi="Arial" w:cs="Arial"/>
          <w:sz w:val="22"/>
          <w:szCs w:val="22"/>
          <w:lang w:val="en"/>
        </w:rPr>
        <w:t>, once</w:t>
      </w:r>
      <w:r w:rsidR="00565CB1" w:rsidRPr="00907D83">
        <w:rPr>
          <w:rFonts w:ascii="Arial" w:hAnsi="Arial" w:cs="Arial"/>
          <w:sz w:val="22"/>
          <w:szCs w:val="22"/>
          <w:lang w:val="en"/>
        </w:rPr>
        <w:t xml:space="preserve"> effective </w:t>
      </w:r>
      <w:r w:rsidRPr="00907D83">
        <w:rPr>
          <w:rFonts w:ascii="Arial" w:hAnsi="Arial" w:cs="Arial"/>
          <w:sz w:val="22"/>
          <w:szCs w:val="22"/>
          <w:lang w:val="en"/>
        </w:rPr>
        <w:t xml:space="preserve">magnitudes </w:t>
      </w:r>
      <w:r w:rsidR="00565CB1" w:rsidRPr="00907D83">
        <w:rPr>
          <w:rFonts w:ascii="Arial" w:hAnsi="Arial" w:cs="Arial"/>
          <w:sz w:val="22"/>
          <w:szCs w:val="22"/>
          <w:lang w:val="en"/>
        </w:rPr>
        <w:lastRenderedPageBreak/>
        <w:t xml:space="preserve">related to the sub projects financed </w:t>
      </w:r>
      <w:r w:rsidRPr="00907D83">
        <w:rPr>
          <w:rFonts w:ascii="Arial" w:hAnsi="Arial" w:cs="Arial"/>
          <w:sz w:val="22"/>
          <w:szCs w:val="22"/>
          <w:lang w:val="en"/>
        </w:rPr>
        <w:t>are known. In this sense,</w:t>
      </w:r>
      <w:r w:rsidR="00565CB1" w:rsidRPr="00907D83">
        <w:rPr>
          <w:rFonts w:ascii="Arial" w:hAnsi="Arial" w:cs="Arial"/>
          <w:sz w:val="22"/>
          <w:szCs w:val="22"/>
          <w:lang w:val="en"/>
        </w:rPr>
        <w:t xml:space="preserve"> </w:t>
      </w:r>
      <w:r w:rsidRPr="00907D83">
        <w:rPr>
          <w:rFonts w:ascii="Arial" w:hAnsi="Arial" w:cs="Arial"/>
          <w:sz w:val="22"/>
          <w:szCs w:val="22"/>
          <w:lang w:val="en"/>
        </w:rPr>
        <w:t xml:space="preserve">the key elements of a cost benefit analysis ex post are similar to those of a cost </w:t>
      </w:r>
      <w:r w:rsidR="003F2147" w:rsidRPr="00907D83">
        <w:rPr>
          <w:rFonts w:ascii="Arial" w:hAnsi="Arial" w:cs="Arial"/>
          <w:sz w:val="22"/>
          <w:szCs w:val="22"/>
          <w:lang w:val="en"/>
        </w:rPr>
        <w:t>benefit analysis ex ante</w:t>
      </w:r>
      <w:r w:rsidRPr="00907D83">
        <w:rPr>
          <w:rFonts w:ascii="Arial" w:hAnsi="Arial" w:cs="Arial"/>
          <w:sz w:val="22"/>
          <w:szCs w:val="22"/>
          <w:lang w:val="en"/>
        </w:rPr>
        <w:t>.</w:t>
      </w:r>
    </w:p>
    <w:p w14:paraId="100580CF" w14:textId="6D5AA543" w:rsidR="00175C5E" w:rsidRPr="00907D83" w:rsidRDefault="00175C5E" w:rsidP="00175C5E">
      <w:pPr>
        <w:pStyle w:val="Paragraph"/>
        <w:tabs>
          <w:tab w:val="clear" w:pos="2736"/>
          <w:tab w:val="num" w:pos="720"/>
        </w:tabs>
        <w:ind w:left="720" w:hanging="720"/>
        <w:rPr>
          <w:rFonts w:ascii="Arial" w:hAnsi="Arial" w:cs="Arial"/>
          <w:sz w:val="22"/>
          <w:szCs w:val="22"/>
        </w:rPr>
      </w:pPr>
      <w:bookmarkStart w:id="66" w:name="_Ref508893149"/>
      <w:r w:rsidRPr="00907D83">
        <w:rPr>
          <w:rFonts w:ascii="Arial" w:hAnsi="Arial" w:cs="Arial"/>
          <w:sz w:val="22"/>
          <w:szCs w:val="22"/>
        </w:rPr>
        <w:t>The analysis is based on the comparison of two scenarios</w:t>
      </w:r>
      <w:r w:rsidRPr="00907D83">
        <w:rPr>
          <w:rFonts w:ascii="Arial" w:hAnsi="Arial" w:cs="Arial"/>
          <w:sz w:val="22"/>
          <w:szCs w:val="22"/>
          <w:vertAlign w:val="superscript"/>
        </w:rPr>
        <w:footnoteReference w:id="24"/>
      </w:r>
      <w:r w:rsidRPr="00907D83">
        <w:rPr>
          <w:rFonts w:ascii="Arial" w:hAnsi="Arial" w:cs="Arial"/>
          <w:sz w:val="22"/>
          <w:szCs w:val="22"/>
        </w:rPr>
        <w:t>:</w:t>
      </w:r>
      <w:bookmarkEnd w:id="66"/>
      <w:r w:rsidRPr="00907D83">
        <w:rPr>
          <w:rFonts w:ascii="Arial" w:hAnsi="Arial" w:cs="Arial"/>
          <w:sz w:val="22"/>
          <w:szCs w:val="22"/>
        </w:rPr>
        <w:t xml:space="preserve"> </w:t>
      </w:r>
    </w:p>
    <w:p w14:paraId="1940CB55" w14:textId="6818C3FB" w:rsidR="0044752E" w:rsidRPr="00907D83" w:rsidRDefault="0044752E" w:rsidP="0044752E">
      <w:pPr>
        <w:pStyle w:val="Paragraph"/>
        <w:numPr>
          <w:ilvl w:val="2"/>
          <w:numId w:val="26"/>
        </w:numPr>
        <w:tabs>
          <w:tab w:val="clear" w:pos="2304"/>
        </w:tabs>
        <w:spacing w:afterLines="80" w:after="192"/>
        <w:ind w:left="990" w:hanging="270"/>
        <w:rPr>
          <w:rFonts w:ascii="Arial" w:hAnsi="Arial" w:cs="Arial"/>
          <w:sz w:val="22"/>
          <w:szCs w:val="22"/>
        </w:rPr>
      </w:pPr>
      <w:r w:rsidRPr="00907D83">
        <w:rPr>
          <w:rFonts w:ascii="Arial" w:hAnsi="Arial" w:cs="Arial"/>
          <w:sz w:val="22"/>
          <w:szCs w:val="22"/>
        </w:rPr>
        <w:t xml:space="preserve">In the scenario A (“with” program), GCF funding and co-financing from AFD for the program provides financing to investments by </w:t>
      </w:r>
      <w:r w:rsidR="00EC2648" w:rsidRPr="00907D83">
        <w:rPr>
          <w:rFonts w:ascii="Arial" w:hAnsi="Arial" w:cs="Arial"/>
          <w:sz w:val="22"/>
          <w:szCs w:val="22"/>
        </w:rPr>
        <w:t>SME</w:t>
      </w:r>
      <w:r w:rsidRPr="00907D83">
        <w:rPr>
          <w:rFonts w:ascii="Arial" w:hAnsi="Arial" w:cs="Arial"/>
          <w:sz w:val="22"/>
          <w:szCs w:val="22"/>
        </w:rPr>
        <w:t xml:space="preserve">s in </w:t>
      </w:r>
      <w:proofErr w:type="gramStart"/>
      <w:r w:rsidRPr="00907D83">
        <w:rPr>
          <w:rFonts w:ascii="Arial" w:hAnsi="Arial" w:cs="Arial"/>
          <w:sz w:val="22"/>
          <w:szCs w:val="22"/>
        </w:rPr>
        <w:t>a number of</w:t>
      </w:r>
      <w:proofErr w:type="gramEnd"/>
      <w:r w:rsidRPr="00907D83">
        <w:rPr>
          <w:rFonts w:ascii="Arial" w:hAnsi="Arial" w:cs="Arial"/>
          <w:sz w:val="22"/>
          <w:szCs w:val="22"/>
        </w:rPr>
        <w:t xml:space="preserve"> EE sub projects. This will result in the implementation of specific EE measures in a subset of industrial sub sectors. Investment costs occur during the investment phase, while operation and maintenance (O&amp;M) costs occur throughout the life of the sub projects. Additional costs corresponding to the complementary TC activities, although not part of this proposal, are included, as they are considered essential for the investments to be deployed effectively. In this scenario, energy consumption and emissions are reduced.</w:t>
      </w:r>
    </w:p>
    <w:p w14:paraId="65C52BFB" w14:textId="1923755D" w:rsidR="0044752E" w:rsidRPr="00907D83" w:rsidRDefault="0044752E" w:rsidP="0044752E">
      <w:pPr>
        <w:pStyle w:val="Paragraph"/>
        <w:numPr>
          <w:ilvl w:val="2"/>
          <w:numId w:val="26"/>
        </w:numPr>
        <w:tabs>
          <w:tab w:val="clear" w:pos="2304"/>
        </w:tabs>
        <w:spacing w:afterLines="80" w:after="192"/>
        <w:ind w:left="990" w:hanging="270"/>
        <w:rPr>
          <w:rFonts w:ascii="Arial" w:hAnsi="Arial" w:cs="Arial"/>
          <w:sz w:val="22"/>
          <w:szCs w:val="22"/>
        </w:rPr>
      </w:pPr>
      <w:r w:rsidRPr="00907D83">
        <w:rPr>
          <w:rFonts w:ascii="Arial" w:hAnsi="Arial" w:cs="Arial"/>
          <w:sz w:val="22"/>
          <w:szCs w:val="22"/>
        </w:rPr>
        <w:t xml:space="preserve">In the alternative scenario B (“without” program), it is assumed that none of the EE sub projects in scenario A is implemented –without financing from the program, </w:t>
      </w:r>
      <w:r w:rsidR="00EC2648" w:rsidRPr="00907D83">
        <w:rPr>
          <w:rFonts w:ascii="Arial" w:hAnsi="Arial" w:cs="Arial"/>
          <w:sz w:val="22"/>
          <w:szCs w:val="22"/>
        </w:rPr>
        <w:t>SME</w:t>
      </w:r>
      <w:r w:rsidRPr="00907D83">
        <w:rPr>
          <w:rFonts w:ascii="Arial" w:hAnsi="Arial" w:cs="Arial"/>
          <w:sz w:val="22"/>
          <w:szCs w:val="22"/>
        </w:rPr>
        <w:t>s do not have the capacity to finance 100% of these investments by themselves and other sources of financing are not currently available at terms adequate to match their projects’ profiles. In this scenario, there are no investment costs and O&amp;M costs over the period of analysis correspond to those incurred by the use of old equipment currently in operation. No energy savings from EE projects are produced, maintenance costs remain high and there are no CO</w:t>
      </w:r>
      <w:r w:rsidRPr="00907D83">
        <w:rPr>
          <w:rFonts w:ascii="Arial" w:hAnsi="Arial" w:cs="Arial"/>
          <w:sz w:val="22"/>
          <w:szCs w:val="22"/>
          <w:vertAlign w:val="subscript"/>
        </w:rPr>
        <w:t>2</w:t>
      </w:r>
      <w:r w:rsidRPr="00907D83">
        <w:rPr>
          <w:rFonts w:ascii="Arial" w:hAnsi="Arial" w:cs="Arial"/>
          <w:sz w:val="22"/>
          <w:szCs w:val="22"/>
        </w:rPr>
        <w:t xml:space="preserve"> emission reductions.</w:t>
      </w:r>
    </w:p>
    <w:p w14:paraId="5FF6E8DE" w14:textId="72811ED1" w:rsidR="00E674AE" w:rsidRPr="00907D83" w:rsidRDefault="00E674AE" w:rsidP="00175C5E">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The cash flows in both scenarios are built from the following main elements: (i)</w:t>
      </w:r>
      <w:r w:rsidR="0092339C" w:rsidRPr="00907D83">
        <w:rPr>
          <w:rFonts w:ascii="Arial" w:hAnsi="Arial" w:cs="Arial"/>
          <w:sz w:val="22"/>
          <w:szCs w:val="22"/>
        </w:rPr>
        <w:t> </w:t>
      </w:r>
      <w:r w:rsidRPr="00907D83">
        <w:rPr>
          <w:rFonts w:ascii="Arial" w:hAnsi="Arial" w:cs="Arial"/>
          <w:sz w:val="22"/>
          <w:szCs w:val="22"/>
        </w:rPr>
        <w:t>investments costs of new equipment (incorporating all sources of financing, including third-party leveraged equity); (ii) operation and maintenance costs (O&amp;M), based on the average production/use of equipment (old and new); and (iii)</w:t>
      </w:r>
      <w:r w:rsidR="0092339C" w:rsidRPr="00907D83">
        <w:rPr>
          <w:rFonts w:ascii="Arial" w:hAnsi="Arial" w:cs="Arial"/>
          <w:sz w:val="22"/>
          <w:szCs w:val="22"/>
        </w:rPr>
        <w:t> </w:t>
      </w:r>
      <w:r w:rsidRPr="00907D83">
        <w:rPr>
          <w:rFonts w:ascii="Arial" w:hAnsi="Arial" w:cs="Arial"/>
          <w:sz w:val="22"/>
          <w:szCs w:val="22"/>
        </w:rPr>
        <w:t>average energy consumption of equipment (old and new). Based on the expected lifetime of sub projects to be financed, and the projected schedule of disbursements throughout the execution, the horizon for the analysis is 15 years.</w:t>
      </w:r>
    </w:p>
    <w:p w14:paraId="2F0F1144" w14:textId="6640D34C" w:rsidR="00C85750" w:rsidRPr="00907D83" w:rsidRDefault="00E674AE" w:rsidP="00175C5E">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The main principles pertaining the accounting of benefits for each scenario include the following</w:t>
      </w:r>
      <w:r w:rsidR="00C85750" w:rsidRPr="00907D83">
        <w:rPr>
          <w:rFonts w:ascii="Arial" w:hAnsi="Arial" w:cs="Arial"/>
          <w:sz w:val="22"/>
          <w:szCs w:val="22"/>
        </w:rPr>
        <w:t>:</w:t>
      </w:r>
    </w:p>
    <w:p w14:paraId="12E250F5" w14:textId="77777777" w:rsidR="00E674AE" w:rsidRPr="00907D83" w:rsidRDefault="00E674AE" w:rsidP="00E674AE">
      <w:pPr>
        <w:pStyle w:val="Paragraph"/>
        <w:numPr>
          <w:ilvl w:val="2"/>
          <w:numId w:val="37"/>
        </w:numPr>
        <w:spacing w:afterLines="80" w:after="192"/>
        <w:ind w:left="990" w:hanging="270"/>
        <w:rPr>
          <w:rFonts w:ascii="Arial" w:hAnsi="Arial" w:cs="Arial"/>
          <w:sz w:val="22"/>
          <w:szCs w:val="22"/>
        </w:rPr>
      </w:pPr>
      <w:r w:rsidRPr="00907D83">
        <w:rPr>
          <w:rFonts w:ascii="Arial" w:hAnsi="Arial" w:cs="Arial"/>
          <w:sz w:val="22"/>
          <w:szCs w:val="22"/>
        </w:rPr>
        <w:t>Economic benefits for the program derive from: (i) the difference of expected firm’s energy costs between the scenario with program (with new or retrofitted equipment installed and operating) and the scenario without program (no change in current equipment); (ii) the difference of O&amp;M costs of equipment between the scenario with program (with new or retrofitted equipment installed and operating) and the scenario without program (no changes to equipment); and (iii) a monetized value of CO</w:t>
      </w:r>
      <w:r w:rsidRPr="00907D83">
        <w:rPr>
          <w:rFonts w:ascii="Arial" w:hAnsi="Arial" w:cs="Arial"/>
          <w:sz w:val="22"/>
          <w:szCs w:val="22"/>
          <w:vertAlign w:val="subscript"/>
        </w:rPr>
        <w:t>2</w:t>
      </w:r>
      <w:r w:rsidRPr="00907D83">
        <w:rPr>
          <w:rFonts w:ascii="Arial" w:hAnsi="Arial" w:cs="Arial"/>
          <w:sz w:val="22"/>
          <w:szCs w:val="22"/>
        </w:rPr>
        <w:t xml:space="preserve"> emissions avoided, as a representation of the externalities associated with the reduction of GHG emissions.</w:t>
      </w:r>
    </w:p>
    <w:p w14:paraId="3E9A8D90" w14:textId="77777777" w:rsidR="00E674AE" w:rsidRPr="00907D83" w:rsidRDefault="00E674AE" w:rsidP="00E674AE">
      <w:pPr>
        <w:pStyle w:val="Paragraph"/>
        <w:numPr>
          <w:ilvl w:val="2"/>
          <w:numId w:val="37"/>
        </w:numPr>
        <w:spacing w:afterLines="80" w:after="192"/>
        <w:ind w:left="990" w:hanging="270"/>
        <w:rPr>
          <w:rFonts w:ascii="Arial" w:hAnsi="Arial" w:cs="Arial"/>
          <w:sz w:val="22"/>
          <w:szCs w:val="22"/>
        </w:rPr>
      </w:pPr>
      <w:r w:rsidRPr="00907D83">
        <w:rPr>
          <w:rFonts w:ascii="Arial" w:hAnsi="Arial" w:cs="Arial"/>
          <w:sz w:val="22"/>
          <w:szCs w:val="22"/>
        </w:rPr>
        <w:t>Benefits are mainly represented by the foregone costs that are implied by saving an amount of energy (mainly biomass-sourced) as a result of the EE measures implemented in the sub projects financed by the program. The value of these foregone costs in the scenario without program shall be zero, as no savings in energy are expected in the absence of an EE technology in place</w:t>
      </w:r>
    </w:p>
    <w:p w14:paraId="6A8C2DD9" w14:textId="54CBB833" w:rsidR="001E2FB3" w:rsidRPr="00907D83" w:rsidRDefault="00175C5E" w:rsidP="00E674AE">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lastRenderedPageBreak/>
        <w:t>A net present value (NPV) is calculated by projecting the net economic flows over the estimated useful life of each type of projects and discounting them at a rate of 12%</w:t>
      </w:r>
      <w:r w:rsidRPr="00907D83">
        <w:rPr>
          <w:rFonts w:ascii="Arial" w:hAnsi="Arial" w:cs="Arial"/>
          <w:sz w:val="22"/>
          <w:szCs w:val="22"/>
          <w:vertAlign w:val="superscript"/>
        </w:rPr>
        <w:footnoteReference w:id="25"/>
      </w:r>
      <w:r w:rsidRPr="00907D83">
        <w:rPr>
          <w:rFonts w:ascii="Arial" w:hAnsi="Arial" w:cs="Arial"/>
          <w:sz w:val="22"/>
          <w:szCs w:val="22"/>
        </w:rPr>
        <w:t>. The NPV</w:t>
      </w:r>
      <w:r w:rsidR="00634933" w:rsidRPr="00907D83">
        <w:rPr>
          <w:rFonts w:ascii="Arial" w:hAnsi="Arial" w:cs="Arial"/>
          <w:sz w:val="22"/>
          <w:szCs w:val="22"/>
        </w:rPr>
        <w:t xml:space="preserve"> for the program, as well as its </w:t>
      </w:r>
      <w:r w:rsidR="00F417CE" w:rsidRPr="00907D83">
        <w:rPr>
          <w:rFonts w:ascii="Arial" w:hAnsi="Arial" w:cs="Arial"/>
          <w:sz w:val="22"/>
          <w:szCs w:val="22"/>
        </w:rPr>
        <w:t>I</w:t>
      </w:r>
      <w:r w:rsidR="00634933" w:rsidRPr="00907D83">
        <w:rPr>
          <w:rFonts w:ascii="Arial" w:hAnsi="Arial" w:cs="Arial"/>
          <w:sz w:val="22"/>
          <w:szCs w:val="22"/>
        </w:rPr>
        <w:t xml:space="preserve">nternal </w:t>
      </w:r>
      <w:r w:rsidR="00F417CE" w:rsidRPr="00907D83">
        <w:rPr>
          <w:rFonts w:ascii="Arial" w:hAnsi="Arial" w:cs="Arial"/>
          <w:sz w:val="22"/>
          <w:szCs w:val="22"/>
        </w:rPr>
        <w:t>R</w:t>
      </w:r>
      <w:r w:rsidR="00634933" w:rsidRPr="00907D83">
        <w:rPr>
          <w:rFonts w:ascii="Arial" w:hAnsi="Arial" w:cs="Arial"/>
          <w:sz w:val="22"/>
          <w:szCs w:val="22"/>
        </w:rPr>
        <w:t xml:space="preserve">ate of </w:t>
      </w:r>
      <w:r w:rsidR="00F417CE" w:rsidRPr="00907D83">
        <w:rPr>
          <w:rFonts w:ascii="Arial" w:hAnsi="Arial" w:cs="Arial"/>
          <w:sz w:val="22"/>
          <w:szCs w:val="22"/>
        </w:rPr>
        <w:t>R</w:t>
      </w:r>
      <w:r w:rsidR="00634933" w:rsidRPr="00907D83">
        <w:rPr>
          <w:rFonts w:ascii="Arial" w:hAnsi="Arial" w:cs="Arial"/>
          <w:sz w:val="22"/>
          <w:szCs w:val="22"/>
        </w:rPr>
        <w:t xml:space="preserve">eturn (IRR), </w:t>
      </w:r>
      <w:r w:rsidRPr="00907D83">
        <w:rPr>
          <w:rFonts w:ascii="Arial" w:hAnsi="Arial" w:cs="Arial"/>
          <w:sz w:val="22"/>
          <w:szCs w:val="22"/>
        </w:rPr>
        <w:t xml:space="preserve">is </w:t>
      </w:r>
      <w:r w:rsidR="00634933" w:rsidRPr="00907D83">
        <w:rPr>
          <w:rFonts w:ascii="Arial" w:hAnsi="Arial" w:cs="Arial"/>
          <w:sz w:val="22"/>
          <w:szCs w:val="22"/>
        </w:rPr>
        <w:t>presented</w:t>
      </w:r>
      <w:r w:rsidRPr="00907D83">
        <w:rPr>
          <w:rFonts w:ascii="Arial" w:hAnsi="Arial" w:cs="Arial"/>
          <w:sz w:val="22"/>
          <w:szCs w:val="22"/>
        </w:rPr>
        <w:t xml:space="preserve"> to determine its economic viability</w:t>
      </w:r>
      <w:r w:rsidR="001E2FB3" w:rsidRPr="00907D83">
        <w:rPr>
          <w:rFonts w:ascii="Arial" w:hAnsi="Arial" w:cs="Arial"/>
          <w:sz w:val="22"/>
          <w:szCs w:val="22"/>
        </w:rPr>
        <w:t>.</w:t>
      </w:r>
    </w:p>
    <w:p w14:paraId="73ECE674" w14:textId="1B89733E" w:rsidR="001E2FB3" w:rsidRPr="00907D83" w:rsidRDefault="001E2FB3" w:rsidP="001E2FB3">
      <w:pPr>
        <w:pStyle w:val="Paragraph"/>
        <w:tabs>
          <w:tab w:val="clear" w:pos="2736"/>
          <w:tab w:val="num" w:pos="720"/>
        </w:tabs>
        <w:ind w:left="720" w:hanging="720"/>
        <w:rPr>
          <w:rFonts w:ascii="Arial" w:hAnsi="Arial" w:cs="Arial"/>
          <w:sz w:val="22"/>
          <w:szCs w:val="22"/>
        </w:rPr>
      </w:pPr>
      <w:r w:rsidRPr="00907D83">
        <w:rPr>
          <w:rFonts w:ascii="Arial" w:hAnsi="Arial" w:cs="Arial"/>
          <w:b/>
          <w:sz w:val="22"/>
          <w:szCs w:val="22"/>
        </w:rPr>
        <w:t>Treatment and control groups</w:t>
      </w:r>
      <w:r w:rsidRPr="00907D83">
        <w:rPr>
          <w:rFonts w:ascii="Arial" w:hAnsi="Arial" w:cs="Arial"/>
          <w:sz w:val="22"/>
          <w:szCs w:val="22"/>
        </w:rPr>
        <w:t>. The selected methodology does not require the assignment of treatment and control groups.</w:t>
      </w:r>
      <w:r w:rsidR="00522E31" w:rsidRPr="00907D83">
        <w:rPr>
          <w:rFonts w:ascii="Arial" w:hAnsi="Arial" w:cs="Arial"/>
          <w:sz w:val="22"/>
          <w:szCs w:val="22"/>
        </w:rPr>
        <w:t xml:space="preserve">  However, the ex-post cost-benefit analysis will rely on the counterfactual without-project scenario</w:t>
      </w:r>
      <w:r w:rsidR="00175C5E" w:rsidRPr="00907D83">
        <w:rPr>
          <w:rFonts w:ascii="Arial" w:hAnsi="Arial" w:cs="Arial"/>
          <w:sz w:val="22"/>
          <w:szCs w:val="22"/>
        </w:rPr>
        <w:t xml:space="preserve"> –</w:t>
      </w:r>
      <w:r w:rsidR="00522E31" w:rsidRPr="00907D83">
        <w:rPr>
          <w:rFonts w:ascii="Arial" w:hAnsi="Arial" w:cs="Arial"/>
          <w:sz w:val="22"/>
          <w:szCs w:val="22"/>
        </w:rPr>
        <w:t>as defined in the ex-ante cost-benefit analysis</w:t>
      </w:r>
      <w:r w:rsidR="00175C5E" w:rsidRPr="00907D83">
        <w:rPr>
          <w:rFonts w:ascii="Arial" w:hAnsi="Arial" w:cs="Arial"/>
          <w:sz w:val="22"/>
          <w:szCs w:val="22"/>
          <w:lang w:val="en"/>
        </w:rPr>
        <w:t>– with updated data</w:t>
      </w:r>
      <w:r w:rsidR="00522E31" w:rsidRPr="00907D83">
        <w:rPr>
          <w:rFonts w:ascii="Arial" w:hAnsi="Arial" w:cs="Arial"/>
          <w:sz w:val="22"/>
          <w:szCs w:val="22"/>
        </w:rPr>
        <w:t>.</w:t>
      </w:r>
    </w:p>
    <w:p w14:paraId="7B7C2D6B" w14:textId="005A29F6" w:rsidR="003F3387" w:rsidRPr="00907D83" w:rsidRDefault="003F3387" w:rsidP="001E2FB3">
      <w:pPr>
        <w:pStyle w:val="Paragraph"/>
        <w:tabs>
          <w:tab w:val="clear" w:pos="2736"/>
          <w:tab w:val="num" w:pos="720"/>
        </w:tabs>
        <w:ind w:left="720" w:hanging="720"/>
        <w:rPr>
          <w:rFonts w:ascii="Arial" w:hAnsi="Arial" w:cs="Arial"/>
          <w:sz w:val="22"/>
          <w:szCs w:val="22"/>
        </w:rPr>
      </w:pPr>
      <w:r w:rsidRPr="00907D83">
        <w:rPr>
          <w:rFonts w:ascii="Arial" w:hAnsi="Arial" w:cs="Arial"/>
          <w:b/>
          <w:sz w:val="22"/>
          <w:szCs w:val="22"/>
        </w:rPr>
        <w:t xml:space="preserve">Counterfactual. </w:t>
      </w:r>
      <w:r w:rsidR="000116D0">
        <w:rPr>
          <w:rFonts w:ascii="Arial" w:hAnsi="Arial" w:cs="Arial"/>
          <w:sz w:val="22"/>
          <w:szCs w:val="22"/>
          <w:lang w:val="en"/>
        </w:rPr>
        <w:t xml:space="preserve">As </w:t>
      </w:r>
      <w:r w:rsidR="00A9501E" w:rsidRPr="00A9501E">
        <w:rPr>
          <w:rFonts w:ascii="Arial" w:hAnsi="Arial" w:cs="Arial"/>
          <w:sz w:val="22"/>
          <w:szCs w:val="22"/>
        </w:rPr>
        <w:t>aforementioned, this program will employ an ex-post cost benefit analysis at closure and it is expected that analysis of attribution will be c</w:t>
      </w:r>
      <w:r w:rsidR="003B6F92">
        <w:rPr>
          <w:rFonts w:ascii="Arial" w:hAnsi="Arial" w:cs="Arial"/>
          <w:sz w:val="22"/>
          <w:szCs w:val="22"/>
        </w:rPr>
        <w:t xml:space="preserve">onducted in theoretical manner. Since the </w:t>
      </w:r>
      <w:r w:rsidR="003B6F92">
        <w:rPr>
          <w:rFonts w:ascii="Arial" w:hAnsi="Arial" w:cs="Arial"/>
          <w:sz w:val="22"/>
          <w:szCs w:val="22"/>
          <w:lang w:val="en"/>
        </w:rPr>
        <w:t xml:space="preserve">ex-post </w:t>
      </w:r>
      <w:r w:rsidR="000116D0" w:rsidRPr="000116D0">
        <w:rPr>
          <w:rFonts w:ascii="Arial" w:hAnsi="Arial" w:cs="Arial"/>
          <w:sz w:val="22"/>
          <w:szCs w:val="22"/>
          <w:lang w:val="en"/>
        </w:rPr>
        <w:t xml:space="preserve">analysis </w:t>
      </w:r>
      <w:r w:rsidR="003B6F92">
        <w:rPr>
          <w:rFonts w:ascii="Arial" w:hAnsi="Arial" w:cs="Arial"/>
          <w:sz w:val="22"/>
          <w:szCs w:val="22"/>
          <w:lang w:val="en"/>
        </w:rPr>
        <w:t>constitutes</w:t>
      </w:r>
      <w:r w:rsidR="000116D0" w:rsidRPr="000116D0">
        <w:rPr>
          <w:rFonts w:ascii="Arial" w:hAnsi="Arial" w:cs="Arial"/>
          <w:sz w:val="22"/>
          <w:szCs w:val="22"/>
          <w:lang w:val="en"/>
        </w:rPr>
        <w:t xml:space="preserve"> a reassessment of the cost benefit analysis made as part of the program proposal</w:t>
      </w:r>
      <w:r w:rsidR="000116D0">
        <w:rPr>
          <w:rFonts w:ascii="Arial" w:hAnsi="Arial" w:cs="Arial"/>
          <w:sz w:val="22"/>
          <w:szCs w:val="22"/>
          <w:lang w:val="en"/>
        </w:rPr>
        <w:t xml:space="preserve"> (ex-ante), the counterfactual scenario remains the same, i.e. </w:t>
      </w:r>
      <w:r w:rsidR="000116D0" w:rsidRPr="000116D0">
        <w:rPr>
          <w:rFonts w:ascii="Arial" w:hAnsi="Arial" w:cs="Arial"/>
          <w:sz w:val="22"/>
          <w:szCs w:val="22"/>
        </w:rPr>
        <w:t>“without” program, it is assumed that</w:t>
      </w:r>
      <w:r w:rsidR="003B6F92">
        <w:rPr>
          <w:rFonts w:ascii="Arial" w:hAnsi="Arial" w:cs="Arial"/>
          <w:sz w:val="22"/>
          <w:szCs w:val="22"/>
        </w:rPr>
        <w:t xml:space="preserve"> </w:t>
      </w:r>
      <w:r w:rsidR="003B6F92" w:rsidRPr="000116D0">
        <w:rPr>
          <w:rFonts w:ascii="Arial" w:hAnsi="Arial" w:cs="Arial"/>
          <w:sz w:val="22"/>
          <w:szCs w:val="22"/>
        </w:rPr>
        <w:t xml:space="preserve">other sources of financing are not available at terms adequate to match </w:t>
      </w:r>
      <w:r w:rsidR="003B6F92">
        <w:rPr>
          <w:rFonts w:ascii="Arial" w:hAnsi="Arial" w:cs="Arial"/>
          <w:sz w:val="22"/>
          <w:szCs w:val="22"/>
        </w:rPr>
        <w:t>the targeted</w:t>
      </w:r>
      <w:r w:rsidR="003B6F92" w:rsidRPr="000116D0">
        <w:rPr>
          <w:rFonts w:ascii="Arial" w:hAnsi="Arial" w:cs="Arial"/>
          <w:sz w:val="22"/>
          <w:szCs w:val="22"/>
        </w:rPr>
        <w:t xml:space="preserve"> projects’ profiles</w:t>
      </w:r>
      <w:r w:rsidR="000116D0" w:rsidRPr="000116D0">
        <w:rPr>
          <w:rFonts w:ascii="Arial" w:hAnsi="Arial" w:cs="Arial"/>
          <w:sz w:val="22"/>
          <w:szCs w:val="22"/>
        </w:rPr>
        <w:t xml:space="preserve"> </w:t>
      </w:r>
      <w:r w:rsidR="003B6F92">
        <w:rPr>
          <w:rFonts w:ascii="Arial" w:hAnsi="Arial" w:cs="Arial"/>
          <w:sz w:val="22"/>
          <w:szCs w:val="22"/>
        </w:rPr>
        <w:t>and that</w:t>
      </w:r>
      <w:r w:rsidR="000116D0" w:rsidRPr="000116D0">
        <w:rPr>
          <w:rFonts w:ascii="Arial" w:hAnsi="Arial" w:cs="Arial"/>
          <w:sz w:val="22"/>
          <w:szCs w:val="22"/>
        </w:rPr>
        <w:t xml:space="preserve"> SMEs do not have the capacity to finance 100% of these investments by themselves</w:t>
      </w:r>
      <w:r w:rsidR="000116D0">
        <w:rPr>
          <w:rFonts w:ascii="Arial" w:hAnsi="Arial" w:cs="Arial"/>
          <w:sz w:val="22"/>
          <w:szCs w:val="22"/>
        </w:rPr>
        <w:t>– thus, no EE projects of this sort are implemented (see ¶</w:t>
      </w:r>
      <w:r w:rsidR="000116D0">
        <w:rPr>
          <w:rFonts w:ascii="Arial" w:hAnsi="Arial" w:cs="Arial"/>
          <w:sz w:val="22"/>
          <w:szCs w:val="22"/>
        </w:rPr>
        <w:fldChar w:fldCharType="begin"/>
      </w:r>
      <w:r w:rsidR="000116D0">
        <w:rPr>
          <w:rFonts w:ascii="Arial" w:hAnsi="Arial" w:cs="Arial"/>
          <w:sz w:val="22"/>
          <w:szCs w:val="22"/>
        </w:rPr>
        <w:instrText xml:space="preserve"> REF _Ref508893149 \r \h </w:instrText>
      </w:r>
      <w:r w:rsidR="000116D0">
        <w:rPr>
          <w:rFonts w:ascii="Arial" w:hAnsi="Arial" w:cs="Arial"/>
          <w:sz w:val="22"/>
          <w:szCs w:val="22"/>
        </w:rPr>
      </w:r>
      <w:r w:rsidR="000116D0">
        <w:rPr>
          <w:rFonts w:ascii="Arial" w:hAnsi="Arial" w:cs="Arial"/>
          <w:sz w:val="22"/>
          <w:szCs w:val="22"/>
        </w:rPr>
        <w:fldChar w:fldCharType="separate"/>
      </w:r>
      <w:r w:rsidR="000116D0">
        <w:rPr>
          <w:rFonts w:ascii="Arial" w:hAnsi="Arial" w:cs="Arial"/>
          <w:sz w:val="22"/>
          <w:szCs w:val="22"/>
        </w:rPr>
        <w:t>3.15</w:t>
      </w:r>
      <w:r w:rsidR="000116D0">
        <w:rPr>
          <w:rFonts w:ascii="Arial" w:hAnsi="Arial" w:cs="Arial"/>
          <w:sz w:val="22"/>
          <w:szCs w:val="22"/>
        </w:rPr>
        <w:fldChar w:fldCharType="end"/>
      </w:r>
      <w:r w:rsidR="000116D0">
        <w:rPr>
          <w:rFonts w:ascii="Arial" w:hAnsi="Arial" w:cs="Arial"/>
          <w:sz w:val="22"/>
          <w:szCs w:val="22"/>
        </w:rPr>
        <w:t>)</w:t>
      </w:r>
      <w:r w:rsidRPr="00907D83">
        <w:rPr>
          <w:rFonts w:ascii="Arial" w:hAnsi="Arial" w:cs="Arial"/>
          <w:sz w:val="22"/>
          <w:szCs w:val="22"/>
        </w:rPr>
        <w:t>.</w:t>
      </w:r>
      <w:r w:rsidR="000116D0">
        <w:rPr>
          <w:rStyle w:val="FootnoteReference"/>
          <w:rFonts w:ascii="Arial" w:hAnsi="Arial"/>
          <w:sz w:val="22"/>
          <w:szCs w:val="22"/>
        </w:rPr>
        <w:footnoteReference w:id="26"/>
      </w:r>
    </w:p>
    <w:p w14:paraId="6251E926" w14:textId="6224C035" w:rsidR="001E2FB3" w:rsidRPr="00907D83" w:rsidRDefault="001E2FB3" w:rsidP="001E2FB3">
      <w:pPr>
        <w:pStyle w:val="Paragraph"/>
        <w:tabs>
          <w:tab w:val="clear" w:pos="2736"/>
          <w:tab w:val="num" w:pos="720"/>
        </w:tabs>
        <w:ind w:left="720" w:hanging="720"/>
        <w:rPr>
          <w:rFonts w:ascii="Arial" w:hAnsi="Arial" w:cs="Arial"/>
          <w:sz w:val="22"/>
          <w:szCs w:val="22"/>
        </w:rPr>
      </w:pPr>
      <w:r w:rsidRPr="00907D83">
        <w:rPr>
          <w:rFonts w:ascii="Arial" w:hAnsi="Arial" w:cs="Arial"/>
          <w:b/>
          <w:sz w:val="22"/>
          <w:szCs w:val="22"/>
        </w:rPr>
        <w:t>Data collection</w:t>
      </w:r>
      <w:r w:rsidRPr="00907D83">
        <w:rPr>
          <w:rFonts w:ascii="Arial" w:hAnsi="Arial" w:cs="Arial"/>
          <w:sz w:val="22"/>
          <w:szCs w:val="22"/>
        </w:rPr>
        <w:t xml:space="preserve">. </w:t>
      </w:r>
      <w:r w:rsidR="00634933" w:rsidRPr="00907D83">
        <w:rPr>
          <w:rFonts w:ascii="Arial" w:hAnsi="Arial" w:cs="Arial"/>
          <w:sz w:val="22"/>
          <w:szCs w:val="22"/>
        </w:rPr>
        <w:t>AFD</w:t>
      </w:r>
      <w:r w:rsidRPr="00907D83">
        <w:rPr>
          <w:rFonts w:ascii="Arial" w:hAnsi="Arial" w:cs="Arial"/>
          <w:sz w:val="22"/>
          <w:szCs w:val="22"/>
        </w:rPr>
        <w:t xml:space="preserve"> will collect the necessary data </w:t>
      </w:r>
      <w:r w:rsidR="00634933" w:rsidRPr="00907D83">
        <w:rPr>
          <w:rFonts w:ascii="Arial" w:hAnsi="Arial" w:cs="Arial"/>
          <w:sz w:val="22"/>
          <w:szCs w:val="22"/>
        </w:rPr>
        <w:t xml:space="preserve">to monitor indicators described in this plan </w:t>
      </w:r>
      <w:r w:rsidRPr="00907D83">
        <w:rPr>
          <w:rFonts w:ascii="Arial" w:hAnsi="Arial" w:cs="Arial"/>
          <w:sz w:val="22"/>
          <w:szCs w:val="22"/>
        </w:rPr>
        <w:t xml:space="preserve">and will submit annual reports to the IDB. Information systems </w:t>
      </w:r>
      <w:r w:rsidR="00FE0BAA" w:rsidRPr="00907D83">
        <w:rPr>
          <w:rFonts w:ascii="Arial" w:hAnsi="Arial" w:cs="Arial"/>
          <w:sz w:val="22"/>
          <w:szCs w:val="22"/>
        </w:rPr>
        <w:t>in AFD –those already</w:t>
      </w:r>
      <w:r w:rsidRPr="00907D83">
        <w:rPr>
          <w:rFonts w:ascii="Arial" w:hAnsi="Arial" w:cs="Arial"/>
          <w:sz w:val="22"/>
          <w:szCs w:val="22"/>
        </w:rPr>
        <w:t xml:space="preserve"> </w:t>
      </w:r>
      <w:r w:rsidR="00FE0BAA" w:rsidRPr="00907D83">
        <w:rPr>
          <w:rFonts w:ascii="Arial" w:hAnsi="Arial" w:cs="Arial"/>
          <w:sz w:val="22"/>
          <w:szCs w:val="22"/>
        </w:rPr>
        <w:t xml:space="preserve">in place and additional developments resulting from the TC support from IDB– </w:t>
      </w:r>
      <w:r w:rsidRPr="00907D83">
        <w:rPr>
          <w:rFonts w:ascii="Arial" w:hAnsi="Arial" w:cs="Arial"/>
          <w:sz w:val="22"/>
          <w:szCs w:val="22"/>
        </w:rPr>
        <w:t>and government and international institutions related to the energy sector, are considered sufficient to monitor the proposed indicators.</w:t>
      </w:r>
    </w:p>
    <w:p w14:paraId="7B6A3E21" w14:textId="657035EF" w:rsidR="001E2FB3" w:rsidRPr="00907D83" w:rsidRDefault="00FE0BAA" w:rsidP="001E2FB3">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AFD</w:t>
      </w:r>
      <w:r w:rsidR="001E2FB3" w:rsidRPr="00907D83">
        <w:rPr>
          <w:rFonts w:ascii="Arial" w:hAnsi="Arial" w:cs="Arial"/>
          <w:sz w:val="22"/>
          <w:szCs w:val="22"/>
        </w:rPr>
        <w:t xml:space="preserve"> has access to external sources of information, in addition to rigorous internal requirements for evaluating projects that apply for funding </w:t>
      </w:r>
      <w:r w:rsidRPr="00907D83">
        <w:rPr>
          <w:rFonts w:ascii="Arial" w:hAnsi="Arial" w:cs="Arial"/>
          <w:sz w:val="22"/>
          <w:szCs w:val="22"/>
        </w:rPr>
        <w:t>from</w:t>
      </w:r>
      <w:r w:rsidR="001E2FB3" w:rsidRPr="00907D83">
        <w:rPr>
          <w:rFonts w:ascii="Arial" w:hAnsi="Arial" w:cs="Arial"/>
          <w:sz w:val="22"/>
          <w:szCs w:val="22"/>
        </w:rPr>
        <w:t xml:space="preserve"> </w:t>
      </w:r>
      <w:r w:rsidRPr="00907D83">
        <w:rPr>
          <w:rFonts w:ascii="Arial" w:hAnsi="Arial" w:cs="Arial"/>
          <w:sz w:val="22"/>
          <w:szCs w:val="22"/>
        </w:rPr>
        <w:t xml:space="preserve">the </w:t>
      </w:r>
      <w:r w:rsidR="001E2FB3" w:rsidRPr="00907D83">
        <w:rPr>
          <w:rFonts w:ascii="Arial" w:hAnsi="Arial" w:cs="Arial"/>
          <w:sz w:val="22"/>
          <w:szCs w:val="22"/>
        </w:rPr>
        <w:t>program</w:t>
      </w:r>
      <w:r w:rsidRPr="00907D83">
        <w:rPr>
          <w:rFonts w:ascii="Arial" w:hAnsi="Arial" w:cs="Arial"/>
          <w:sz w:val="22"/>
          <w:szCs w:val="22"/>
        </w:rPr>
        <w:t>. I</w:t>
      </w:r>
      <w:r w:rsidR="001E2FB3" w:rsidRPr="00907D83">
        <w:rPr>
          <w:rFonts w:ascii="Arial" w:hAnsi="Arial" w:cs="Arial"/>
          <w:sz w:val="22"/>
          <w:szCs w:val="22"/>
        </w:rPr>
        <w:t xml:space="preserve">t is expected that this will facilitate the collection of information for the proposed analysis of the impact of the program. The </w:t>
      </w:r>
      <w:r w:rsidR="00FB5E7A" w:rsidRPr="00907D83">
        <w:rPr>
          <w:rFonts w:ascii="Arial" w:hAnsi="Arial" w:cs="Arial"/>
          <w:sz w:val="22"/>
          <w:szCs w:val="22"/>
        </w:rPr>
        <w:t xml:space="preserve">Planning and Finance Department </w:t>
      </w:r>
      <w:r w:rsidRPr="00907D83">
        <w:rPr>
          <w:rFonts w:ascii="Arial" w:hAnsi="Arial" w:cs="Arial"/>
          <w:sz w:val="22"/>
          <w:szCs w:val="22"/>
        </w:rPr>
        <w:t xml:space="preserve">at AFD </w:t>
      </w:r>
      <w:r w:rsidR="001E2FB3" w:rsidRPr="00907D83">
        <w:rPr>
          <w:rFonts w:ascii="Arial" w:hAnsi="Arial" w:cs="Arial"/>
          <w:sz w:val="22"/>
          <w:szCs w:val="22"/>
        </w:rPr>
        <w:t xml:space="preserve">will act as </w:t>
      </w:r>
      <w:r w:rsidRPr="00907D83">
        <w:rPr>
          <w:rFonts w:ascii="Arial" w:hAnsi="Arial" w:cs="Arial"/>
          <w:sz w:val="22"/>
          <w:szCs w:val="22"/>
        </w:rPr>
        <w:t xml:space="preserve">focal point and </w:t>
      </w:r>
      <w:r w:rsidR="001E2FB3" w:rsidRPr="00907D83">
        <w:rPr>
          <w:rFonts w:ascii="Arial" w:hAnsi="Arial" w:cs="Arial"/>
          <w:sz w:val="22"/>
          <w:szCs w:val="22"/>
        </w:rPr>
        <w:t xml:space="preserve">coordinator in the preparation of reports and liaison with the </w:t>
      </w:r>
      <w:r w:rsidRPr="00907D83">
        <w:rPr>
          <w:rFonts w:ascii="Arial" w:hAnsi="Arial" w:cs="Arial"/>
          <w:sz w:val="22"/>
          <w:szCs w:val="22"/>
        </w:rPr>
        <w:t>IDB</w:t>
      </w:r>
      <w:r w:rsidR="001E2FB3" w:rsidRPr="00907D83">
        <w:rPr>
          <w:rFonts w:ascii="Arial" w:hAnsi="Arial" w:cs="Arial"/>
          <w:sz w:val="22"/>
          <w:szCs w:val="22"/>
        </w:rPr>
        <w:t>.</w:t>
      </w:r>
    </w:p>
    <w:p w14:paraId="35DE6456" w14:textId="41339EE3" w:rsidR="001E2FB3" w:rsidRPr="00907D83" w:rsidRDefault="00FE0BAA" w:rsidP="001E2FB3">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Supervision </w:t>
      </w:r>
      <w:r w:rsidR="001E2FB3" w:rsidRPr="00907D83">
        <w:rPr>
          <w:rFonts w:ascii="Arial" w:hAnsi="Arial" w:cs="Arial"/>
          <w:sz w:val="22"/>
          <w:szCs w:val="22"/>
        </w:rPr>
        <w:t xml:space="preserve">visits to monitor the projects that </w:t>
      </w:r>
      <w:r w:rsidR="00960CAA" w:rsidRPr="00907D83">
        <w:rPr>
          <w:rFonts w:ascii="Arial" w:hAnsi="Arial" w:cs="Arial"/>
          <w:sz w:val="22"/>
          <w:szCs w:val="22"/>
        </w:rPr>
        <w:t>receive</w:t>
      </w:r>
      <w:r w:rsidR="001E2FB3" w:rsidRPr="00907D83">
        <w:rPr>
          <w:rFonts w:ascii="Arial" w:hAnsi="Arial" w:cs="Arial"/>
          <w:sz w:val="22"/>
          <w:szCs w:val="22"/>
        </w:rPr>
        <w:t xml:space="preserve"> financing from the program</w:t>
      </w:r>
      <w:r w:rsidRPr="00907D83">
        <w:rPr>
          <w:rFonts w:ascii="Arial" w:hAnsi="Arial" w:cs="Arial"/>
          <w:sz w:val="22"/>
          <w:szCs w:val="22"/>
        </w:rPr>
        <w:t xml:space="preserve"> may be</w:t>
      </w:r>
      <w:r w:rsidR="001E2FB3" w:rsidRPr="00907D83">
        <w:rPr>
          <w:rFonts w:ascii="Arial" w:hAnsi="Arial" w:cs="Arial"/>
          <w:sz w:val="22"/>
          <w:szCs w:val="22"/>
        </w:rPr>
        <w:t xml:space="preserve"> carried out</w:t>
      </w:r>
      <w:r w:rsidRPr="00907D83">
        <w:rPr>
          <w:rFonts w:ascii="Arial" w:hAnsi="Arial" w:cs="Arial"/>
          <w:sz w:val="22"/>
          <w:szCs w:val="22"/>
        </w:rPr>
        <w:t xml:space="preserve"> individually or</w:t>
      </w:r>
      <w:r w:rsidR="001E2FB3" w:rsidRPr="00907D83">
        <w:rPr>
          <w:rFonts w:ascii="Arial" w:hAnsi="Arial" w:cs="Arial"/>
          <w:sz w:val="22"/>
          <w:szCs w:val="22"/>
        </w:rPr>
        <w:t xml:space="preserve"> </w:t>
      </w:r>
      <w:r w:rsidRPr="00907D83">
        <w:rPr>
          <w:rFonts w:ascii="Arial" w:hAnsi="Arial" w:cs="Arial"/>
          <w:sz w:val="22"/>
          <w:szCs w:val="22"/>
        </w:rPr>
        <w:t xml:space="preserve">jointly </w:t>
      </w:r>
      <w:r w:rsidR="001E2FB3" w:rsidRPr="00907D83">
        <w:rPr>
          <w:rFonts w:ascii="Arial" w:hAnsi="Arial" w:cs="Arial"/>
          <w:sz w:val="22"/>
          <w:szCs w:val="22"/>
        </w:rPr>
        <w:t xml:space="preserve">by </w:t>
      </w:r>
      <w:r w:rsidRPr="00907D83">
        <w:rPr>
          <w:rFonts w:ascii="Arial" w:hAnsi="Arial" w:cs="Arial"/>
          <w:sz w:val="22"/>
          <w:szCs w:val="22"/>
        </w:rPr>
        <w:t>AFD and IDB</w:t>
      </w:r>
      <w:r w:rsidR="001E2FB3" w:rsidRPr="00907D83">
        <w:rPr>
          <w:rFonts w:ascii="Arial" w:hAnsi="Arial" w:cs="Arial"/>
          <w:sz w:val="22"/>
          <w:szCs w:val="22"/>
        </w:rPr>
        <w:t xml:space="preserve"> staff members</w:t>
      </w:r>
      <w:r w:rsidRPr="00907D83">
        <w:rPr>
          <w:rFonts w:ascii="Arial" w:hAnsi="Arial" w:cs="Arial"/>
          <w:sz w:val="22"/>
          <w:szCs w:val="22"/>
        </w:rPr>
        <w:t>. When IDB does not participate, AFD shall be responsible of providing access to the IDB to all information resulting from those visits</w:t>
      </w:r>
      <w:r w:rsidR="001E2FB3" w:rsidRPr="00907D83">
        <w:rPr>
          <w:rFonts w:ascii="Arial" w:hAnsi="Arial" w:cs="Arial"/>
          <w:sz w:val="22"/>
          <w:szCs w:val="22"/>
        </w:rPr>
        <w:t xml:space="preserve">. </w:t>
      </w:r>
    </w:p>
    <w:p w14:paraId="2FBC03E5" w14:textId="0CEA9C80" w:rsidR="00FA3C0B" w:rsidRDefault="00FA3C0B" w:rsidP="00FA3C0B">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lang w:val="en"/>
        </w:rPr>
        <w:t xml:space="preserve">Since the ex-post cost benefit analysis aims to replicate the ex-ante cost benefit analysis, </w:t>
      </w:r>
      <w:r w:rsidR="007375F9" w:rsidRPr="00907D83">
        <w:rPr>
          <w:rFonts w:ascii="Arial" w:hAnsi="Arial" w:cs="Arial"/>
          <w:sz w:val="22"/>
          <w:szCs w:val="22"/>
          <w:lang w:val="en"/>
        </w:rPr>
        <w:t xml:space="preserve">adjusting the assumptions or </w:t>
      </w:r>
      <w:r w:rsidRPr="00907D83">
        <w:rPr>
          <w:rFonts w:ascii="Arial" w:hAnsi="Arial" w:cs="Arial"/>
          <w:sz w:val="22"/>
          <w:szCs w:val="22"/>
          <w:lang w:val="en"/>
        </w:rPr>
        <w:t>replacing estimated values with values ​​effectively verified</w:t>
      </w:r>
      <w:r w:rsidR="007375F9" w:rsidRPr="00907D83">
        <w:rPr>
          <w:rFonts w:ascii="Arial" w:hAnsi="Arial" w:cs="Arial"/>
          <w:sz w:val="22"/>
          <w:szCs w:val="22"/>
          <w:lang w:val="en"/>
        </w:rPr>
        <w:t xml:space="preserve"> will require to gather</w:t>
      </w:r>
      <w:r w:rsidRPr="00907D83">
        <w:rPr>
          <w:rFonts w:ascii="Arial" w:hAnsi="Arial" w:cs="Arial"/>
          <w:sz w:val="22"/>
          <w:szCs w:val="22"/>
          <w:lang w:val="en"/>
        </w:rPr>
        <w:t xml:space="preserve"> information </w:t>
      </w:r>
      <w:r w:rsidR="007375F9" w:rsidRPr="00907D83">
        <w:rPr>
          <w:rFonts w:ascii="Arial" w:hAnsi="Arial" w:cs="Arial"/>
          <w:sz w:val="22"/>
          <w:szCs w:val="22"/>
          <w:lang w:val="en"/>
        </w:rPr>
        <w:t xml:space="preserve">that is </w:t>
      </w:r>
      <w:r w:rsidR="00FE0BAA" w:rsidRPr="00907D83">
        <w:rPr>
          <w:rFonts w:ascii="Arial" w:hAnsi="Arial" w:cs="Arial"/>
          <w:sz w:val="22"/>
          <w:szCs w:val="22"/>
          <w:lang w:val="en"/>
        </w:rPr>
        <w:t xml:space="preserve">consistent with </w:t>
      </w:r>
      <w:r w:rsidRPr="00907D83">
        <w:rPr>
          <w:rFonts w:ascii="Arial" w:hAnsi="Arial" w:cs="Arial"/>
          <w:sz w:val="22"/>
          <w:szCs w:val="22"/>
          <w:lang w:val="en"/>
        </w:rPr>
        <w:t xml:space="preserve">that used in the </w:t>
      </w:r>
      <w:r w:rsidR="00FE0BAA" w:rsidRPr="00907D83">
        <w:rPr>
          <w:rFonts w:ascii="Arial" w:hAnsi="Arial" w:cs="Arial"/>
          <w:sz w:val="22"/>
          <w:szCs w:val="22"/>
          <w:lang w:val="en"/>
        </w:rPr>
        <w:t>ex-ante</w:t>
      </w:r>
      <w:r w:rsidR="003F2147" w:rsidRPr="00907D83">
        <w:rPr>
          <w:rFonts w:ascii="Arial" w:hAnsi="Arial" w:cs="Arial"/>
          <w:sz w:val="22"/>
          <w:szCs w:val="22"/>
          <w:lang w:val="en"/>
        </w:rPr>
        <w:t xml:space="preserve"> analysis</w:t>
      </w:r>
      <w:r w:rsidR="009D2E97" w:rsidRPr="00907D83">
        <w:rPr>
          <w:rFonts w:ascii="Arial" w:hAnsi="Arial" w:cs="Arial"/>
          <w:sz w:val="22"/>
          <w:szCs w:val="22"/>
          <w:lang w:val="en"/>
        </w:rPr>
        <w:t xml:space="preserve"> (</w:t>
      </w:r>
      <w:r w:rsidR="009D2E97" w:rsidRPr="00907D83">
        <w:rPr>
          <w:rFonts w:ascii="Arial" w:hAnsi="Arial" w:cs="Arial"/>
          <w:sz w:val="22"/>
          <w:szCs w:val="22"/>
        </w:rPr>
        <w:t xml:space="preserve">see </w:t>
      </w:r>
      <w:hyperlink r:id="rId27" w:history="1">
        <w:r w:rsidR="009D2E97" w:rsidRPr="00907D83">
          <w:rPr>
            <w:rStyle w:val="Hyperlink"/>
            <w:rFonts w:ascii="Arial" w:hAnsi="Arial" w:cs="Arial"/>
            <w:sz w:val="22"/>
            <w:szCs w:val="22"/>
          </w:rPr>
          <w:t>Economic Analysis</w:t>
        </w:r>
      </w:hyperlink>
      <w:r w:rsidR="009D2E97" w:rsidRPr="00907D83">
        <w:rPr>
          <w:rFonts w:ascii="Arial" w:hAnsi="Arial" w:cs="Arial"/>
          <w:sz w:val="22"/>
          <w:szCs w:val="22"/>
          <w:lang w:val="en"/>
        </w:rPr>
        <w:t>)</w:t>
      </w:r>
      <w:r w:rsidR="003F2147" w:rsidRPr="00907D83">
        <w:rPr>
          <w:rFonts w:ascii="Arial" w:hAnsi="Arial" w:cs="Arial"/>
          <w:sz w:val="22"/>
          <w:szCs w:val="22"/>
          <w:lang w:val="en"/>
        </w:rPr>
        <w:t>.</w:t>
      </w:r>
      <w:bookmarkStart w:id="67" w:name="_Hlk502864918"/>
      <w:r w:rsidR="00FE0BAA" w:rsidRPr="00907D83">
        <w:rPr>
          <w:rFonts w:ascii="Arial" w:hAnsi="Arial" w:cs="Arial"/>
          <w:sz w:val="22"/>
          <w:szCs w:val="22"/>
          <w:lang w:val="en"/>
        </w:rPr>
        <w:t xml:space="preserve"> </w:t>
      </w:r>
      <w:r w:rsidR="009D2E97" w:rsidRPr="00907D83">
        <w:rPr>
          <w:rFonts w:ascii="Arial" w:hAnsi="Arial" w:cs="Arial"/>
          <w:sz w:val="22"/>
          <w:szCs w:val="22"/>
          <w:lang w:val="en"/>
        </w:rPr>
        <w:t xml:space="preserve">Table 3.2 illustrates </w:t>
      </w:r>
      <w:r w:rsidR="00FE0BAA" w:rsidRPr="00907D83">
        <w:rPr>
          <w:rFonts w:ascii="Arial" w:hAnsi="Arial" w:cs="Arial"/>
          <w:sz w:val="22"/>
          <w:szCs w:val="22"/>
          <w:lang w:val="en"/>
        </w:rPr>
        <w:t xml:space="preserve">sub project </w:t>
      </w:r>
      <w:r w:rsidR="00FE0BAA" w:rsidRPr="00907D83">
        <w:rPr>
          <w:rFonts w:ascii="Arial" w:hAnsi="Arial" w:cs="Arial"/>
          <w:sz w:val="22"/>
          <w:szCs w:val="22"/>
          <w:lang w:val="en"/>
        </w:rPr>
        <w:lastRenderedPageBreak/>
        <w:t>i</w:t>
      </w:r>
      <w:r w:rsidR="003F2147" w:rsidRPr="00907D83">
        <w:rPr>
          <w:rFonts w:ascii="Arial" w:hAnsi="Arial" w:cs="Arial"/>
          <w:sz w:val="22"/>
          <w:szCs w:val="22"/>
          <w:lang w:val="en"/>
        </w:rPr>
        <w:t>nformation to be obtained once the</w:t>
      </w:r>
      <w:r w:rsidR="00FE0BAA" w:rsidRPr="00907D83">
        <w:rPr>
          <w:rFonts w:ascii="Arial" w:hAnsi="Arial" w:cs="Arial"/>
          <w:sz w:val="22"/>
          <w:szCs w:val="22"/>
          <w:lang w:val="en"/>
        </w:rPr>
        <w:t xml:space="preserve">y </w:t>
      </w:r>
      <w:r w:rsidR="003F2147" w:rsidRPr="00907D83">
        <w:rPr>
          <w:rFonts w:ascii="Arial" w:hAnsi="Arial" w:cs="Arial"/>
          <w:sz w:val="22"/>
          <w:szCs w:val="22"/>
          <w:lang w:val="en"/>
        </w:rPr>
        <w:t xml:space="preserve">are recognized under the program, </w:t>
      </w:r>
      <w:r w:rsidR="00160A68" w:rsidRPr="00907D83">
        <w:rPr>
          <w:rFonts w:ascii="Arial" w:hAnsi="Arial" w:cs="Arial"/>
          <w:sz w:val="22"/>
          <w:szCs w:val="22"/>
          <w:lang w:val="en"/>
        </w:rPr>
        <w:t xml:space="preserve">will </w:t>
      </w:r>
      <w:r w:rsidR="003F2147" w:rsidRPr="00907D83">
        <w:rPr>
          <w:rFonts w:ascii="Arial" w:hAnsi="Arial" w:cs="Arial"/>
          <w:sz w:val="22"/>
          <w:szCs w:val="22"/>
          <w:lang w:val="en"/>
        </w:rPr>
        <w:t>includ</w:t>
      </w:r>
      <w:r w:rsidR="00FE0BAA" w:rsidRPr="00907D83">
        <w:rPr>
          <w:rFonts w:ascii="Arial" w:hAnsi="Arial" w:cs="Arial"/>
          <w:sz w:val="22"/>
          <w:szCs w:val="22"/>
          <w:lang w:val="en"/>
        </w:rPr>
        <w:t>e</w:t>
      </w:r>
      <w:r w:rsidR="00160A68" w:rsidRPr="00907D83">
        <w:rPr>
          <w:rFonts w:ascii="Arial" w:hAnsi="Arial" w:cs="Arial"/>
          <w:sz w:val="22"/>
          <w:szCs w:val="22"/>
          <w:lang w:val="en"/>
        </w:rPr>
        <w:t>:</w:t>
      </w:r>
      <w:r w:rsidR="003F2147" w:rsidRPr="00907D83">
        <w:rPr>
          <w:rFonts w:ascii="Arial" w:hAnsi="Arial" w:cs="Arial"/>
          <w:sz w:val="22"/>
          <w:szCs w:val="22"/>
          <w:lang w:val="en"/>
        </w:rPr>
        <w:t xml:space="preserve"> number of </w:t>
      </w:r>
      <w:r w:rsidR="00160A68" w:rsidRPr="00907D83">
        <w:rPr>
          <w:rFonts w:ascii="Arial" w:hAnsi="Arial" w:cs="Arial"/>
          <w:sz w:val="22"/>
          <w:szCs w:val="22"/>
          <w:lang w:val="en"/>
        </w:rPr>
        <w:t xml:space="preserve">sub </w:t>
      </w:r>
      <w:r w:rsidR="003F2147" w:rsidRPr="00907D83">
        <w:rPr>
          <w:rFonts w:ascii="Arial" w:hAnsi="Arial" w:cs="Arial"/>
          <w:sz w:val="22"/>
          <w:szCs w:val="22"/>
          <w:lang w:val="en"/>
        </w:rPr>
        <w:t>projects</w:t>
      </w:r>
      <w:r w:rsidR="00160A68" w:rsidRPr="00907D83">
        <w:rPr>
          <w:rFonts w:ascii="Arial" w:hAnsi="Arial" w:cs="Arial"/>
          <w:sz w:val="22"/>
          <w:szCs w:val="22"/>
          <w:lang w:val="en"/>
        </w:rPr>
        <w:t xml:space="preserve"> financed by technology, subsector and firm size,</w:t>
      </w:r>
      <w:r w:rsidR="003F2147" w:rsidRPr="00907D83">
        <w:rPr>
          <w:rFonts w:ascii="Arial" w:hAnsi="Arial" w:cs="Arial"/>
          <w:sz w:val="22"/>
          <w:szCs w:val="22"/>
          <w:lang w:val="en"/>
        </w:rPr>
        <w:t xml:space="preserve"> operating capacity, efficiency factors, time of start of operations, investment costs, O&amp;M costs, emission factor, etc.</w:t>
      </w:r>
      <w:bookmarkEnd w:id="67"/>
    </w:p>
    <w:p w14:paraId="0575938F" w14:textId="0D2E2977" w:rsidR="009D2E97" w:rsidRPr="00907D83" w:rsidRDefault="009D2E97" w:rsidP="003A31D2">
      <w:pPr>
        <w:pStyle w:val="Paragraph"/>
        <w:numPr>
          <w:ilvl w:val="0"/>
          <w:numId w:val="0"/>
        </w:numPr>
        <w:spacing w:before="240"/>
        <w:rPr>
          <w:rFonts w:ascii="Arial" w:hAnsi="Arial" w:cs="Arial"/>
          <w:b/>
          <w:sz w:val="22"/>
          <w:szCs w:val="22"/>
        </w:rPr>
      </w:pPr>
      <w:r w:rsidRPr="00907D83">
        <w:rPr>
          <w:rFonts w:ascii="Arial" w:hAnsi="Arial" w:cs="Arial"/>
          <w:b/>
          <w:sz w:val="22"/>
          <w:szCs w:val="22"/>
        </w:rPr>
        <w:t>Table 3.2.- Inputs for the cost benefit analysis</w:t>
      </w:r>
    </w:p>
    <w:tbl>
      <w:tblPr>
        <w:tblStyle w:val="LightShading-Accent1"/>
        <w:tblW w:w="8730" w:type="dxa"/>
        <w:tblLook w:val="04A0" w:firstRow="1" w:lastRow="0" w:firstColumn="1" w:lastColumn="0" w:noHBand="0" w:noVBand="1"/>
      </w:tblPr>
      <w:tblGrid>
        <w:gridCol w:w="2340"/>
        <w:gridCol w:w="1980"/>
        <w:gridCol w:w="2070"/>
        <w:gridCol w:w="2340"/>
      </w:tblGrid>
      <w:tr w:rsidR="00CD6BE1" w:rsidRPr="00907D83" w14:paraId="659EC64E" w14:textId="77777777" w:rsidTr="003B66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right w:val="single" w:sz="8" w:space="0" w:color="4F81BD" w:themeColor="accent1"/>
            </w:tcBorders>
            <w:shd w:val="clear" w:color="auto" w:fill="auto"/>
            <w:vAlign w:val="center"/>
          </w:tcPr>
          <w:p w14:paraId="04E70957" w14:textId="2DB80EDE" w:rsidR="009D2E97" w:rsidRPr="00907D83" w:rsidRDefault="009D2E97" w:rsidP="000116D0">
            <w:pPr>
              <w:pStyle w:val="Heading1"/>
              <w:tabs>
                <w:tab w:val="clear" w:pos="360"/>
              </w:tabs>
              <w:spacing w:before="120" w:after="120"/>
              <w:ind w:left="270"/>
              <w:jc w:val="left"/>
              <w:outlineLvl w:val="0"/>
              <w:rPr>
                <w:rFonts w:ascii="Arial" w:hAnsi="Arial" w:cs="Arial"/>
                <w:b/>
                <w:sz w:val="18"/>
                <w:szCs w:val="18"/>
                <w:lang w:val="es-ES_tradnl"/>
              </w:rPr>
            </w:pPr>
            <w:r w:rsidRPr="00907D83">
              <w:rPr>
                <w:rFonts w:ascii="Arial" w:hAnsi="Arial" w:cs="Arial"/>
                <w:sz w:val="18"/>
                <w:szCs w:val="18"/>
                <w:lang w:val="es-ES_tradnl"/>
              </w:rPr>
              <w:t>Indicator/Input</w:t>
            </w:r>
          </w:p>
        </w:tc>
        <w:tc>
          <w:tcPr>
            <w:tcW w:w="1980" w:type="dxa"/>
            <w:tcBorders>
              <w:left w:val="single" w:sz="8" w:space="0" w:color="4F81BD" w:themeColor="accent1"/>
              <w:right w:val="single" w:sz="8" w:space="0" w:color="4F81BD" w:themeColor="accent1"/>
            </w:tcBorders>
            <w:shd w:val="clear" w:color="auto" w:fill="auto"/>
            <w:vAlign w:val="center"/>
          </w:tcPr>
          <w:p w14:paraId="2E5DFF3C" w14:textId="1CE7EF0B" w:rsidR="009D2E97" w:rsidRPr="00907D83" w:rsidRDefault="009D2E97" w:rsidP="000116D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mallCaps/>
                <w:sz w:val="18"/>
                <w:szCs w:val="18"/>
              </w:rPr>
            </w:pPr>
            <w:r w:rsidRPr="00907D83">
              <w:rPr>
                <w:rFonts w:ascii="Arial" w:hAnsi="Arial" w:cs="Arial"/>
                <w:smallCaps/>
                <w:sz w:val="18"/>
                <w:szCs w:val="18"/>
              </w:rPr>
              <w:t>Ex-ante</w:t>
            </w:r>
          </w:p>
        </w:tc>
        <w:tc>
          <w:tcPr>
            <w:tcW w:w="2070" w:type="dxa"/>
            <w:tcBorders>
              <w:left w:val="single" w:sz="8" w:space="0" w:color="4F81BD" w:themeColor="accent1"/>
              <w:right w:val="single" w:sz="8" w:space="0" w:color="4F81BD" w:themeColor="accent1"/>
            </w:tcBorders>
            <w:shd w:val="clear" w:color="auto" w:fill="auto"/>
            <w:vAlign w:val="center"/>
          </w:tcPr>
          <w:p w14:paraId="67157637" w14:textId="0BBF8F43" w:rsidR="009D2E97" w:rsidRPr="00907D83" w:rsidRDefault="009D2E97" w:rsidP="000116D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mallCaps/>
                <w:sz w:val="18"/>
                <w:szCs w:val="18"/>
              </w:rPr>
            </w:pPr>
            <w:r w:rsidRPr="00907D83">
              <w:rPr>
                <w:rFonts w:ascii="Arial" w:hAnsi="Arial" w:cs="Arial"/>
                <w:smallCaps/>
                <w:sz w:val="18"/>
                <w:szCs w:val="18"/>
              </w:rPr>
              <w:t>Ex-Post</w:t>
            </w:r>
          </w:p>
        </w:tc>
        <w:tc>
          <w:tcPr>
            <w:tcW w:w="2340" w:type="dxa"/>
            <w:tcBorders>
              <w:left w:val="single" w:sz="8" w:space="0" w:color="4F81BD" w:themeColor="accent1"/>
            </w:tcBorders>
            <w:shd w:val="clear" w:color="auto" w:fill="auto"/>
            <w:vAlign w:val="center"/>
          </w:tcPr>
          <w:p w14:paraId="3D64F884" w14:textId="279C2933" w:rsidR="009D2E97" w:rsidRPr="00907D83" w:rsidRDefault="00361BBC" w:rsidP="000116D0">
            <w:pPr>
              <w:spacing w:before="120" w:after="120"/>
              <w:ind w:left="-70"/>
              <w:cnfStyle w:val="100000000000" w:firstRow="1" w:lastRow="0" w:firstColumn="0" w:lastColumn="0" w:oddVBand="0" w:evenVBand="0" w:oddHBand="0" w:evenHBand="0" w:firstRowFirstColumn="0" w:firstRowLastColumn="0" w:lastRowFirstColumn="0" w:lastRowLastColumn="0"/>
              <w:rPr>
                <w:rFonts w:ascii="Arial" w:hAnsi="Arial" w:cs="Arial"/>
                <w:bCs w:val="0"/>
                <w:smallCaps/>
                <w:sz w:val="18"/>
                <w:szCs w:val="18"/>
              </w:rPr>
            </w:pPr>
            <w:r w:rsidRPr="00907D83">
              <w:rPr>
                <w:rFonts w:ascii="Arial" w:hAnsi="Arial" w:cs="Arial"/>
                <w:smallCaps/>
                <w:sz w:val="18"/>
                <w:szCs w:val="18"/>
              </w:rPr>
              <w:t>Comments</w:t>
            </w:r>
          </w:p>
        </w:tc>
      </w:tr>
      <w:tr w:rsidR="00CD6BE1" w:rsidRPr="00907D83" w14:paraId="3438BC75" w14:textId="77777777" w:rsidTr="003B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0" w:type="dxa"/>
            <w:gridSpan w:val="4"/>
            <w:tcBorders>
              <w:top w:val="single" w:sz="8" w:space="0" w:color="4F81BD" w:themeColor="accent1"/>
              <w:bottom w:val="single" w:sz="8" w:space="0" w:color="4F81BD" w:themeColor="accent1"/>
            </w:tcBorders>
          </w:tcPr>
          <w:p w14:paraId="79E729BA" w14:textId="4AE7E22C" w:rsidR="00CD6BE1" w:rsidRPr="00907D83" w:rsidRDefault="00CD6BE1" w:rsidP="000116D0">
            <w:pPr>
              <w:spacing w:before="120" w:after="120"/>
              <w:ind w:left="-18"/>
              <w:rPr>
                <w:rFonts w:ascii="Arial" w:hAnsi="Arial" w:cs="Arial"/>
                <w:bCs w:val="0"/>
                <w:sz w:val="18"/>
                <w:szCs w:val="18"/>
              </w:rPr>
            </w:pPr>
            <w:r w:rsidRPr="00907D83">
              <w:rPr>
                <w:rFonts w:ascii="Arial" w:hAnsi="Arial" w:cs="Arial"/>
                <w:sz w:val="18"/>
                <w:szCs w:val="18"/>
              </w:rPr>
              <w:t>PROJECT INFORMATION</w:t>
            </w:r>
          </w:p>
        </w:tc>
      </w:tr>
      <w:tr w:rsidR="00D82CB6" w:rsidRPr="00907D83" w14:paraId="244876F1" w14:textId="77777777" w:rsidTr="003B669D">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4F81BD" w:themeColor="accent1"/>
              <w:right w:val="single" w:sz="8" w:space="0" w:color="4F81BD" w:themeColor="accent1"/>
            </w:tcBorders>
          </w:tcPr>
          <w:p w14:paraId="172A7CD3" w14:textId="2F8E6962" w:rsidR="009D2E97" w:rsidRPr="00907D83" w:rsidRDefault="00361BBC" w:rsidP="000116D0">
            <w:pPr>
              <w:spacing w:before="120" w:after="120"/>
              <w:rPr>
                <w:rFonts w:ascii="Arial" w:hAnsi="Arial" w:cs="Arial"/>
                <w:b w:val="0"/>
                <w:sz w:val="18"/>
                <w:szCs w:val="18"/>
              </w:rPr>
            </w:pPr>
            <w:r w:rsidRPr="00907D83">
              <w:rPr>
                <w:rFonts w:ascii="Arial" w:hAnsi="Arial" w:cs="Arial"/>
                <w:sz w:val="18"/>
                <w:szCs w:val="18"/>
              </w:rPr>
              <w:t>Investment</w:t>
            </w:r>
            <w:r w:rsidR="00CD6BE1" w:rsidRPr="00907D83">
              <w:rPr>
                <w:rFonts w:ascii="Arial" w:hAnsi="Arial" w:cs="Arial"/>
                <w:sz w:val="18"/>
                <w:szCs w:val="18"/>
              </w:rPr>
              <w:t xml:space="preserve"> in USD</w:t>
            </w:r>
          </w:p>
        </w:tc>
        <w:tc>
          <w:tcPr>
            <w:tcW w:w="1980" w:type="dxa"/>
            <w:tcBorders>
              <w:top w:val="single" w:sz="8" w:space="0" w:color="4F81BD" w:themeColor="accent1"/>
              <w:left w:val="single" w:sz="8" w:space="0" w:color="4F81BD" w:themeColor="accent1"/>
              <w:right w:val="single" w:sz="8" w:space="0" w:color="4F81BD" w:themeColor="accent1"/>
            </w:tcBorders>
          </w:tcPr>
          <w:p w14:paraId="54036000" w14:textId="765D2178" w:rsidR="009D2E97" w:rsidRPr="00907D83" w:rsidRDefault="00361BBC"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 xml:space="preserve">Projected </w:t>
            </w:r>
            <w:r w:rsidR="00D82CB6" w:rsidRPr="00907D83">
              <w:rPr>
                <w:rFonts w:ascii="Arial" w:hAnsi="Arial" w:cs="Arial"/>
                <w:sz w:val="18"/>
                <w:szCs w:val="18"/>
              </w:rPr>
              <w:t>annually based on</w:t>
            </w:r>
            <w:r w:rsidRPr="00907D83">
              <w:rPr>
                <w:rFonts w:ascii="Arial" w:hAnsi="Arial" w:cs="Arial"/>
                <w:sz w:val="18"/>
                <w:szCs w:val="18"/>
              </w:rPr>
              <w:t xml:space="preserve"> tentative pipeline</w:t>
            </w:r>
          </w:p>
        </w:tc>
        <w:tc>
          <w:tcPr>
            <w:tcW w:w="2070" w:type="dxa"/>
            <w:tcBorders>
              <w:top w:val="single" w:sz="8" w:space="0" w:color="4F81BD" w:themeColor="accent1"/>
              <w:left w:val="single" w:sz="8" w:space="0" w:color="4F81BD" w:themeColor="accent1"/>
              <w:right w:val="single" w:sz="8" w:space="0" w:color="4F81BD" w:themeColor="accent1"/>
            </w:tcBorders>
          </w:tcPr>
          <w:p w14:paraId="2086C66E" w14:textId="24BBC8EE" w:rsidR="009D2E97" w:rsidRPr="00907D83" w:rsidRDefault="00361BBC"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 xml:space="preserve">Real from actual </w:t>
            </w:r>
            <w:r w:rsidR="00D82CB6" w:rsidRPr="00907D83">
              <w:rPr>
                <w:rFonts w:ascii="Arial" w:hAnsi="Arial" w:cs="Arial"/>
                <w:sz w:val="18"/>
                <w:szCs w:val="18"/>
              </w:rPr>
              <w:t xml:space="preserve">annual </w:t>
            </w:r>
            <w:r w:rsidRPr="00907D83">
              <w:rPr>
                <w:rFonts w:ascii="Arial" w:hAnsi="Arial" w:cs="Arial"/>
                <w:sz w:val="18"/>
                <w:szCs w:val="18"/>
              </w:rPr>
              <w:t>disbursements justified and reported by AFD</w:t>
            </w:r>
          </w:p>
        </w:tc>
        <w:tc>
          <w:tcPr>
            <w:tcW w:w="2340" w:type="dxa"/>
            <w:tcBorders>
              <w:top w:val="single" w:sz="8" w:space="0" w:color="4F81BD" w:themeColor="accent1"/>
              <w:left w:val="single" w:sz="8" w:space="0" w:color="4F81BD" w:themeColor="accent1"/>
            </w:tcBorders>
            <w:vAlign w:val="center"/>
          </w:tcPr>
          <w:p w14:paraId="0F6EAF51" w14:textId="70447F11" w:rsidR="009D2E97" w:rsidRPr="00907D83" w:rsidRDefault="00361BBC" w:rsidP="003B669D">
            <w:pPr>
              <w:spacing w:before="120" w:after="120"/>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 xml:space="preserve">Information </w:t>
            </w:r>
            <w:r w:rsidR="00D82CB6" w:rsidRPr="00907D83">
              <w:rPr>
                <w:rFonts w:ascii="Arial" w:hAnsi="Arial" w:cs="Arial"/>
                <w:bCs/>
                <w:sz w:val="18"/>
                <w:szCs w:val="18"/>
              </w:rPr>
              <w:t xml:space="preserve">on investment </w:t>
            </w:r>
            <w:r w:rsidRPr="00907D83">
              <w:rPr>
                <w:rFonts w:ascii="Arial" w:hAnsi="Arial" w:cs="Arial"/>
                <w:bCs/>
                <w:sz w:val="18"/>
                <w:szCs w:val="18"/>
              </w:rPr>
              <w:t xml:space="preserve">is to be provided per individual project and shall include disaggregated </w:t>
            </w:r>
            <w:r w:rsidR="00D82CB6" w:rsidRPr="00907D83">
              <w:rPr>
                <w:rFonts w:ascii="Arial" w:hAnsi="Arial" w:cs="Arial"/>
                <w:bCs/>
                <w:sz w:val="18"/>
                <w:szCs w:val="18"/>
              </w:rPr>
              <w:t>data</w:t>
            </w:r>
            <w:r w:rsidRPr="00907D83">
              <w:rPr>
                <w:rFonts w:ascii="Arial" w:hAnsi="Arial" w:cs="Arial"/>
                <w:bCs/>
                <w:sz w:val="18"/>
                <w:szCs w:val="18"/>
              </w:rPr>
              <w:t>, i.e. share of financing from program and equity (leveraged finance).</w:t>
            </w:r>
          </w:p>
        </w:tc>
      </w:tr>
      <w:tr w:rsidR="005E425E" w:rsidRPr="00907D83" w14:paraId="56625CCF" w14:textId="77777777" w:rsidTr="003B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right w:val="single" w:sz="8" w:space="0" w:color="4F81BD" w:themeColor="accent1"/>
            </w:tcBorders>
          </w:tcPr>
          <w:p w14:paraId="0FAA27F3" w14:textId="10983F1E" w:rsidR="00361BBC" w:rsidRPr="00907D83" w:rsidRDefault="00361BBC" w:rsidP="00361BBC">
            <w:pPr>
              <w:spacing w:before="120" w:after="120"/>
              <w:rPr>
                <w:rFonts w:ascii="Arial" w:hAnsi="Arial" w:cs="Arial"/>
                <w:b w:val="0"/>
                <w:sz w:val="18"/>
                <w:szCs w:val="18"/>
              </w:rPr>
            </w:pPr>
            <w:r w:rsidRPr="00907D83">
              <w:rPr>
                <w:rFonts w:ascii="Arial" w:hAnsi="Arial" w:cs="Arial"/>
                <w:sz w:val="18"/>
                <w:szCs w:val="18"/>
              </w:rPr>
              <w:t>Number of projects</w:t>
            </w:r>
          </w:p>
        </w:tc>
        <w:tc>
          <w:tcPr>
            <w:tcW w:w="1980" w:type="dxa"/>
            <w:tcBorders>
              <w:left w:val="single" w:sz="8" w:space="0" w:color="4F81BD" w:themeColor="accent1"/>
              <w:right w:val="single" w:sz="8" w:space="0" w:color="4F81BD" w:themeColor="accent1"/>
            </w:tcBorders>
          </w:tcPr>
          <w:p w14:paraId="0DCB5F76" w14:textId="6E4403DE" w:rsidR="00361BBC" w:rsidRPr="00907D83" w:rsidRDefault="00361BBC"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Projected from tentative pipeline</w:t>
            </w:r>
          </w:p>
        </w:tc>
        <w:tc>
          <w:tcPr>
            <w:tcW w:w="2070" w:type="dxa"/>
            <w:tcBorders>
              <w:left w:val="single" w:sz="8" w:space="0" w:color="4F81BD" w:themeColor="accent1"/>
              <w:right w:val="single" w:sz="8" w:space="0" w:color="4F81BD" w:themeColor="accent1"/>
            </w:tcBorders>
          </w:tcPr>
          <w:p w14:paraId="4E19DE99" w14:textId="7A22F36C" w:rsidR="00361BBC" w:rsidRPr="00907D83" w:rsidRDefault="00361BBC"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Real from actual portfolio justified and reported by AFD</w:t>
            </w:r>
            <w:r w:rsidR="00D82CB6" w:rsidRPr="00907D83">
              <w:rPr>
                <w:rFonts w:ascii="Arial" w:hAnsi="Arial" w:cs="Arial"/>
                <w:sz w:val="18"/>
                <w:szCs w:val="18"/>
              </w:rPr>
              <w:t xml:space="preserve"> each year</w:t>
            </w:r>
          </w:p>
        </w:tc>
        <w:tc>
          <w:tcPr>
            <w:tcW w:w="2340" w:type="dxa"/>
            <w:tcBorders>
              <w:left w:val="single" w:sz="8" w:space="0" w:color="4F81BD" w:themeColor="accent1"/>
            </w:tcBorders>
          </w:tcPr>
          <w:p w14:paraId="517D7E47" w14:textId="06836B44" w:rsidR="00361BBC" w:rsidRPr="00907D83" w:rsidRDefault="00CD6BE1" w:rsidP="003B669D">
            <w:pPr>
              <w:spacing w:before="120" w:after="120"/>
              <w:ind w:left="-1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I</w:t>
            </w:r>
            <w:r w:rsidR="00361BBC" w:rsidRPr="00907D83">
              <w:rPr>
                <w:rFonts w:ascii="Arial" w:hAnsi="Arial" w:cs="Arial"/>
                <w:bCs/>
                <w:sz w:val="18"/>
                <w:szCs w:val="18"/>
              </w:rPr>
              <w:t xml:space="preserve">nformation </w:t>
            </w:r>
            <w:r w:rsidRPr="00907D83">
              <w:rPr>
                <w:rFonts w:ascii="Arial" w:hAnsi="Arial" w:cs="Arial"/>
                <w:bCs/>
                <w:sz w:val="18"/>
                <w:szCs w:val="18"/>
              </w:rPr>
              <w:t xml:space="preserve">must </w:t>
            </w:r>
            <w:r w:rsidR="00361BBC" w:rsidRPr="00907D83">
              <w:rPr>
                <w:rFonts w:ascii="Arial" w:hAnsi="Arial" w:cs="Arial"/>
                <w:bCs/>
                <w:sz w:val="18"/>
                <w:szCs w:val="18"/>
              </w:rPr>
              <w:t>include a description of the technology and activity of each individual project</w:t>
            </w:r>
            <w:r w:rsidR="009A79C5" w:rsidRPr="00907D83">
              <w:rPr>
                <w:rFonts w:ascii="Arial" w:hAnsi="Arial" w:cs="Arial"/>
                <w:bCs/>
                <w:sz w:val="18"/>
                <w:szCs w:val="18"/>
              </w:rPr>
              <w:t>.</w:t>
            </w:r>
          </w:p>
        </w:tc>
      </w:tr>
      <w:tr w:rsidR="00D82CB6" w:rsidRPr="00907D83" w14:paraId="4E118A8D" w14:textId="77777777" w:rsidTr="003B669D">
        <w:tc>
          <w:tcPr>
            <w:cnfStyle w:val="001000000000" w:firstRow="0" w:lastRow="0" w:firstColumn="1" w:lastColumn="0" w:oddVBand="0" w:evenVBand="0" w:oddHBand="0" w:evenHBand="0" w:firstRowFirstColumn="0" w:firstRowLastColumn="0" w:lastRowFirstColumn="0" w:lastRowLastColumn="0"/>
            <w:tcW w:w="2340" w:type="dxa"/>
            <w:tcBorders>
              <w:right w:val="single" w:sz="8" w:space="0" w:color="4F81BD" w:themeColor="accent1"/>
            </w:tcBorders>
          </w:tcPr>
          <w:p w14:paraId="0B07BE17" w14:textId="095BE2E6" w:rsidR="00361BBC" w:rsidRPr="00907D83" w:rsidRDefault="00361BBC" w:rsidP="00361BBC">
            <w:pPr>
              <w:spacing w:before="120" w:after="120"/>
              <w:rPr>
                <w:rFonts w:ascii="Arial" w:hAnsi="Arial" w:cs="Arial"/>
                <w:b w:val="0"/>
                <w:bCs w:val="0"/>
                <w:sz w:val="18"/>
                <w:szCs w:val="18"/>
              </w:rPr>
            </w:pPr>
            <w:r w:rsidRPr="00907D83">
              <w:rPr>
                <w:rFonts w:ascii="Arial" w:hAnsi="Arial" w:cs="Arial"/>
                <w:sz w:val="18"/>
                <w:szCs w:val="18"/>
              </w:rPr>
              <w:t>Baseline energy consumption per project</w:t>
            </w:r>
          </w:p>
        </w:tc>
        <w:tc>
          <w:tcPr>
            <w:tcW w:w="1980" w:type="dxa"/>
            <w:tcBorders>
              <w:left w:val="single" w:sz="8" w:space="0" w:color="4F81BD" w:themeColor="accent1"/>
              <w:right w:val="single" w:sz="8" w:space="0" w:color="4F81BD" w:themeColor="accent1"/>
            </w:tcBorders>
          </w:tcPr>
          <w:p w14:paraId="43143738" w14:textId="1E73326A" w:rsidR="00361BBC" w:rsidRPr="00907D83" w:rsidRDefault="00361BBC"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 xml:space="preserve">Estimated based on </w:t>
            </w:r>
            <w:r w:rsidR="005E425E" w:rsidRPr="00907D83">
              <w:rPr>
                <w:rFonts w:ascii="Arial" w:hAnsi="Arial" w:cs="Arial"/>
                <w:sz w:val="18"/>
                <w:szCs w:val="18"/>
              </w:rPr>
              <w:t>each category of project considered in the</w:t>
            </w:r>
            <w:r w:rsidRPr="00907D83">
              <w:rPr>
                <w:rFonts w:ascii="Arial" w:hAnsi="Arial" w:cs="Arial"/>
                <w:sz w:val="18"/>
                <w:szCs w:val="18"/>
              </w:rPr>
              <w:t xml:space="preserve"> assumed </w:t>
            </w:r>
            <w:r w:rsidR="005E425E" w:rsidRPr="00907D83">
              <w:rPr>
                <w:rFonts w:ascii="Arial" w:hAnsi="Arial" w:cs="Arial"/>
                <w:sz w:val="18"/>
                <w:szCs w:val="18"/>
              </w:rPr>
              <w:t>portfolio</w:t>
            </w:r>
          </w:p>
        </w:tc>
        <w:tc>
          <w:tcPr>
            <w:tcW w:w="2070" w:type="dxa"/>
            <w:tcBorders>
              <w:left w:val="single" w:sz="8" w:space="0" w:color="4F81BD" w:themeColor="accent1"/>
              <w:right w:val="single" w:sz="8" w:space="0" w:color="4F81BD" w:themeColor="accent1"/>
            </w:tcBorders>
          </w:tcPr>
          <w:p w14:paraId="79974864" w14:textId="2AC6BB68" w:rsidR="00361BBC" w:rsidRPr="00907D83" w:rsidRDefault="00361BBC"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 xml:space="preserve">Real as reported by </w:t>
            </w:r>
            <w:r w:rsidR="005E425E" w:rsidRPr="00907D83">
              <w:rPr>
                <w:rFonts w:ascii="Arial" w:hAnsi="Arial" w:cs="Arial"/>
                <w:sz w:val="18"/>
                <w:szCs w:val="18"/>
              </w:rPr>
              <w:t>each beneficiary project,</w:t>
            </w:r>
            <w:r w:rsidRPr="00907D83">
              <w:rPr>
                <w:rFonts w:ascii="Arial" w:hAnsi="Arial" w:cs="Arial"/>
                <w:sz w:val="18"/>
                <w:szCs w:val="18"/>
              </w:rPr>
              <w:t xml:space="preserve"> once recognized for financing</w:t>
            </w:r>
          </w:p>
        </w:tc>
        <w:tc>
          <w:tcPr>
            <w:tcW w:w="2340" w:type="dxa"/>
            <w:tcBorders>
              <w:left w:val="single" w:sz="8" w:space="0" w:color="4F81BD" w:themeColor="accent1"/>
            </w:tcBorders>
          </w:tcPr>
          <w:p w14:paraId="79AF1DA7" w14:textId="1E9731DA" w:rsidR="00361BBC" w:rsidRPr="00907D83" w:rsidRDefault="00361BBC" w:rsidP="003B669D">
            <w:pPr>
              <w:spacing w:before="120" w:after="120"/>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Baseline consumption refers to the amount of energy consumed before installation of efficient equipment</w:t>
            </w:r>
            <w:r w:rsidR="009A79C5" w:rsidRPr="00907D83">
              <w:rPr>
                <w:rFonts w:ascii="Arial" w:hAnsi="Arial" w:cs="Arial"/>
                <w:bCs/>
                <w:sz w:val="18"/>
                <w:szCs w:val="18"/>
              </w:rPr>
              <w:t>.</w:t>
            </w:r>
          </w:p>
        </w:tc>
      </w:tr>
      <w:tr w:rsidR="00D82CB6" w:rsidRPr="00907D83" w14:paraId="6088FA0E" w14:textId="77777777" w:rsidTr="003B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right w:val="single" w:sz="8" w:space="0" w:color="4F81BD" w:themeColor="accent1"/>
            </w:tcBorders>
          </w:tcPr>
          <w:p w14:paraId="11FD18DE" w14:textId="3E84C41C" w:rsidR="00361BBC" w:rsidRPr="00907D83" w:rsidRDefault="00361BBC" w:rsidP="00361BBC">
            <w:pPr>
              <w:spacing w:before="120" w:after="120"/>
              <w:rPr>
                <w:rFonts w:ascii="Arial" w:hAnsi="Arial" w:cs="Arial"/>
                <w:b w:val="0"/>
                <w:bCs w:val="0"/>
                <w:sz w:val="18"/>
                <w:szCs w:val="18"/>
              </w:rPr>
            </w:pPr>
            <w:r w:rsidRPr="00907D83">
              <w:rPr>
                <w:rFonts w:ascii="Arial" w:hAnsi="Arial" w:cs="Arial"/>
                <w:sz w:val="18"/>
                <w:szCs w:val="18"/>
              </w:rPr>
              <w:t>Savings ratio of equipment</w:t>
            </w:r>
            <w:r w:rsidR="00D82CB6" w:rsidRPr="00907D83">
              <w:rPr>
                <w:rFonts w:ascii="Arial" w:hAnsi="Arial" w:cs="Arial"/>
                <w:sz w:val="18"/>
                <w:szCs w:val="18"/>
              </w:rPr>
              <w:t xml:space="preserve"> per project</w:t>
            </w:r>
          </w:p>
        </w:tc>
        <w:tc>
          <w:tcPr>
            <w:tcW w:w="1980" w:type="dxa"/>
            <w:tcBorders>
              <w:left w:val="single" w:sz="8" w:space="0" w:color="4F81BD" w:themeColor="accent1"/>
              <w:right w:val="single" w:sz="8" w:space="0" w:color="4F81BD" w:themeColor="accent1"/>
            </w:tcBorders>
          </w:tcPr>
          <w:p w14:paraId="35AFC7BA" w14:textId="7050ED9F" w:rsidR="00361BBC" w:rsidRPr="00907D83" w:rsidRDefault="00361BBC"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Standard average for corresponding technolog</w:t>
            </w:r>
            <w:r w:rsidR="005E425E" w:rsidRPr="00907D83">
              <w:rPr>
                <w:rFonts w:ascii="Arial" w:hAnsi="Arial" w:cs="Arial"/>
                <w:sz w:val="18"/>
                <w:szCs w:val="18"/>
              </w:rPr>
              <w:t>ies</w:t>
            </w:r>
            <w:r w:rsidRPr="00907D83">
              <w:rPr>
                <w:rFonts w:ascii="Arial" w:hAnsi="Arial" w:cs="Arial"/>
                <w:sz w:val="18"/>
                <w:szCs w:val="18"/>
              </w:rPr>
              <w:t xml:space="preserve">, following the </w:t>
            </w:r>
            <w:r w:rsidR="005E425E" w:rsidRPr="00907D83">
              <w:rPr>
                <w:rFonts w:ascii="Arial" w:hAnsi="Arial" w:cs="Arial"/>
                <w:sz w:val="18"/>
                <w:szCs w:val="18"/>
              </w:rPr>
              <w:t xml:space="preserve">technology used in each category of project in the </w:t>
            </w:r>
            <w:r w:rsidRPr="00907D83">
              <w:rPr>
                <w:rFonts w:ascii="Arial" w:hAnsi="Arial" w:cs="Arial"/>
                <w:sz w:val="18"/>
                <w:szCs w:val="18"/>
              </w:rPr>
              <w:t xml:space="preserve">assumed </w:t>
            </w:r>
            <w:r w:rsidR="005E425E" w:rsidRPr="00907D83">
              <w:rPr>
                <w:rFonts w:ascii="Arial" w:hAnsi="Arial" w:cs="Arial"/>
                <w:sz w:val="18"/>
                <w:szCs w:val="18"/>
              </w:rPr>
              <w:t>portfolio</w:t>
            </w:r>
          </w:p>
        </w:tc>
        <w:tc>
          <w:tcPr>
            <w:tcW w:w="2070" w:type="dxa"/>
            <w:tcBorders>
              <w:left w:val="single" w:sz="8" w:space="0" w:color="4F81BD" w:themeColor="accent1"/>
              <w:right w:val="single" w:sz="8" w:space="0" w:color="4F81BD" w:themeColor="accent1"/>
            </w:tcBorders>
          </w:tcPr>
          <w:p w14:paraId="338E048F" w14:textId="6E2721CD" w:rsidR="00361BBC" w:rsidRPr="00907D83" w:rsidRDefault="005E425E"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Standard ratio featured by actual equipment to be installed in each beneficiary project, once recognized for financing</w:t>
            </w:r>
          </w:p>
        </w:tc>
        <w:tc>
          <w:tcPr>
            <w:tcW w:w="2340" w:type="dxa"/>
            <w:tcBorders>
              <w:left w:val="single" w:sz="8" w:space="0" w:color="4F81BD" w:themeColor="accent1"/>
            </w:tcBorders>
          </w:tcPr>
          <w:p w14:paraId="5D7B5C18" w14:textId="68E1927E" w:rsidR="00361BBC" w:rsidRPr="00907D83" w:rsidRDefault="00361BBC" w:rsidP="003B669D">
            <w:pPr>
              <w:spacing w:before="120" w:after="120"/>
              <w:ind w:left="-1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D82CB6" w:rsidRPr="00907D83" w14:paraId="30AE1A72" w14:textId="77777777" w:rsidTr="003B669D">
        <w:tc>
          <w:tcPr>
            <w:cnfStyle w:val="001000000000" w:firstRow="0" w:lastRow="0" w:firstColumn="1" w:lastColumn="0" w:oddVBand="0" w:evenVBand="0" w:oddHBand="0" w:evenHBand="0" w:firstRowFirstColumn="0" w:firstRowLastColumn="0" w:lastRowFirstColumn="0" w:lastRowLastColumn="0"/>
            <w:tcW w:w="2340" w:type="dxa"/>
            <w:tcBorders>
              <w:right w:val="single" w:sz="8" w:space="0" w:color="4F81BD" w:themeColor="accent1"/>
            </w:tcBorders>
          </w:tcPr>
          <w:p w14:paraId="01EDD62A" w14:textId="74FF0CD9" w:rsidR="00361BBC" w:rsidRPr="00907D83" w:rsidRDefault="005E425E" w:rsidP="00361BBC">
            <w:pPr>
              <w:spacing w:before="120" w:after="120"/>
              <w:rPr>
                <w:rFonts w:ascii="Arial" w:hAnsi="Arial" w:cs="Arial"/>
                <w:b w:val="0"/>
                <w:bCs w:val="0"/>
                <w:sz w:val="18"/>
                <w:szCs w:val="18"/>
              </w:rPr>
            </w:pPr>
            <w:r w:rsidRPr="00907D83">
              <w:rPr>
                <w:rFonts w:ascii="Arial" w:hAnsi="Arial" w:cs="Arial"/>
                <w:sz w:val="18"/>
                <w:szCs w:val="18"/>
              </w:rPr>
              <w:t>O&amp;M costs old equipment</w:t>
            </w:r>
            <w:r w:rsidR="00D82CB6" w:rsidRPr="00907D83">
              <w:rPr>
                <w:rFonts w:ascii="Arial" w:hAnsi="Arial" w:cs="Arial"/>
                <w:sz w:val="18"/>
                <w:szCs w:val="18"/>
              </w:rPr>
              <w:t xml:space="preserve"> per project</w:t>
            </w:r>
          </w:p>
        </w:tc>
        <w:tc>
          <w:tcPr>
            <w:tcW w:w="1980" w:type="dxa"/>
            <w:tcBorders>
              <w:left w:val="single" w:sz="8" w:space="0" w:color="4F81BD" w:themeColor="accent1"/>
              <w:right w:val="single" w:sz="8" w:space="0" w:color="4F81BD" w:themeColor="accent1"/>
            </w:tcBorders>
          </w:tcPr>
          <w:p w14:paraId="1C3DAC07" w14:textId="4F308FAE" w:rsidR="00361BBC" w:rsidRPr="00907D83" w:rsidRDefault="005E425E"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Estimated as a value relative to O&amp;M of new equipment</w:t>
            </w:r>
          </w:p>
        </w:tc>
        <w:tc>
          <w:tcPr>
            <w:tcW w:w="2070" w:type="dxa"/>
            <w:tcBorders>
              <w:left w:val="single" w:sz="8" w:space="0" w:color="4F81BD" w:themeColor="accent1"/>
              <w:right w:val="single" w:sz="8" w:space="0" w:color="4F81BD" w:themeColor="accent1"/>
            </w:tcBorders>
          </w:tcPr>
          <w:p w14:paraId="04FD46D1" w14:textId="1540B5EB" w:rsidR="00361BBC" w:rsidRPr="00907D83" w:rsidRDefault="005E425E"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Real as reported by each beneficiary project, once recognized for financing (may be approximate)</w:t>
            </w:r>
          </w:p>
        </w:tc>
        <w:tc>
          <w:tcPr>
            <w:tcW w:w="2340" w:type="dxa"/>
            <w:tcBorders>
              <w:left w:val="single" w:sz="8" w:space="0" w:color="4F81BD" w:themeColor="accent1"/>
            </w:tcBorders>
          </w:tcPr>
          <w:p w14:paraId="4055A52A" w14:textId="4BA140EB" w:rsidR="00361BBC" w:rsidRPr="00907D83" w:rsidRDefault="00361BBC" w:rsidP="003B669D">
            <w:pPr>
              <w:spacing w:before="120" w:after="120"/>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D82CB6" w:rsidRPr="00907D83" w14:paraId="2C3522A0" w14:textId="77777777" w:rsidTr="003B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single" w:sz="8" w:space="0" w:color="4F81BD" w:themeColor="accent1"/>
              <w:right w:val="single" w:sz="8" w:space="0" w:color="4F81BD" w:themeColor="accent1"/>
            </w:tcBorders>
          </w:tcPr>
          <w:p w14:paraId="22394741" w14:textId="5206C722" w:rsidR="005E425E" w:rsidRPr="00907D83" w:rsidRDefault="005E425E" w:rsidP="005E425E">
            <w:pPr>
              <w:spacing w:before="120" w:after="120"/>
              <w:rPr>
                <w:rFonts w:ascii="Arial" w:hAnsi="Arial" w:cs="Arial"/>
                <w:b w:val="0"/>
                <w:bCs w:val="0"/>
                <w:sz w:val="18"/>
                <w:szCs w:val="18"/>
              </w:rPr>
            </w:pPr>
            <w:r w:rsidRPr="00907D83">
              <w:rPr>
                <w:rFonts w:ascii="Arial" w:hAnsi="Arial" w:cs="Arial"/>
                <w:sz w:val="18"/>
                <w:szCs w:val="18"/>
              </w:rPr>
              <w:t>O&amp;M costs new equipment</w:t>
            </w:r>
            <w:r w:rsidR="00D82CB6" w:rsidRPr="00907D83">
              <w:rPr>
                <w:rFonts w:ascii="Arial" w:hAnsi="Arial" w:cs="Arial"/>
                <w:sz w:val="18"/>
                <w:szCs w:val="18"/>
              </w:rPr>
              <w:t xml:space="preserve"> per project</w:t>
            </w:r>
          </w:p>
        </w:tc>
        <w:tc>
          <w:tcPr>
            <w:tcW w:w="1980" w:type="dxa"/>
            <w:tcBorders>
              <w:left w:val="single" w:sz="8" w:space="0" w:color="4F81BD" w:themeColor="accent1"/>
              <w:bottom w:val="single" w:sz="8" w:space="0" w:color="4F81BD" w:themeColor="accent1"/>
              <w:right w:val="single" w:sz="8" w:space="0" w:color="4F81BD" w:themeColor="accent1"/>
            </w:tcBorders>
          </w:tcPr>
          <w:p w14:paraId="0A6F592A" w14:textId="0BF7E4AA" w:rsidR="005E425E" w:rsidRPr="00907D83" w:rsidRDefault="005E425E"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Estimated as a value relative to CAPEX</w:t>
            </w:r>
          </w:p>
        </w:tc>
        <w:tc>
          <w:tcPr>
            <w:tcW w:w="2070" w:type="dxa"/>
            <w:tcBorders>
              <w:left w:val="single" w:sz="8" w:space="0" w:color="4F81BD" w:themeColor="accent1"/>
              <w:bottom w:val="single" w:sz="8" w:space="0" w:color="4F81BD" w:themeColor="accent1"/>
              <w:right w:val="single" w:sz="8" w:space="0" w:color="4F81BD" w:themeColor="accent1"/>
            </w:tcBorders>
          </w:tcPr>
          <w:p w14:paraId="6CBC5DD9" w14:textId="65B6DBC9" w:rsidR="005E425E" w:rsidRPr="00907D83" w:rsidRDefault="005E425E"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Real as reported by each beneficiary project, once recognized for financing (may be approximate)</w:t>
            </w:r>
          </w:p>
        </w:tc>
        <w:tc>
          <w:tcPr>
            <w:tcW w:w="2340" w:type="dxa"/>
            <w:tcBorders>
              <w:left w:val="single" w:sz="8" w:space="0" w:color="4F81BD" w:themeColor="accent1"/>
              <w:bottom w:val="single" w:sz="8" w:space="0" w:color="4F81BD" w:themeColor="accent1"/>
            </w:tcBorders>
          </w:tcPr>
          <w:p w14:paraId="0E5D4BE4" w14:textId="4A9126C2" w:rsidR="005E425E" w:rsidRPr="00907D83" w:rsidRDefault="005E425E" w:rsidP="003B669D">
            <w:pPr>
              <w:spacing w:before="120" w:after="120"/>
              <w:ind w:left="-1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CD6BE1" w:rsidRPr="00907D83" w14:paraId="291F4F93" w14:textId="77777777" w:rsidTr="003B669D">
        <w:tc>
          <w:tcPr>
            <w:cnfStyle w:val="001000000000" w:firstRow="0" w:lastRow="0" w:firstColumn="1" w:lastColumn="0" w:oddVBand="0" w:evenVBand="0" w:oddHBand="0" w:evenHBand="0" w:firstRowFirstColumn="0" w:firstRowLastColumn="0" w:lastRowFirstColumn="0" w:lastRowLastColumn="0"/>
            <w:tcW w:w="8730" w:type="dxa"/>
            <w:gridSpan w:val="4"/>
            <w:tcBorders>
              <w:top w:val="single" w:sz="8" w:space="0" w:color="4F81BD" w:themeColor="accent1"/>
              <w:bottom w:val="single" w:sz="8" w:space="0" w:color="4F81BD" w:themeColor="accent1"/>
            </w:tcBorders>
          </w:tcPr>
          <w:p w14:paraId="196DECBA" w14:textId="4E79C500" w:rsidR="00CD6BE1" w:rsidRPr="00907D83" w:rsidRDefault="00CD6BE1" w:rsidP="00361BBC">
            <w:pPr>
              <w:spacing w:before="120" w:after="120"/>
              <w:ind w:left="-18"/>
              <w:rPr>
                <w:rFonts w:ascii="Arial" w:hAnsi="Arial" w:cs="Arial"/>
                <w:bCs w:val="0"/>
                <w:sz w:val="18"/>
                <w:szCs w:val="18"/>
              </w:rPr>
            </w:pPr>
            <w:r w:rsidRPr="00907D83">
              <w:rPr>
                <w:rFonts w:ascii="Arial" w:hAnsi="Arial" w:cs="Arial"/>
                <w:sz w:val="18"/>
                <w:szCs w:val="18"/>
              </w:rPr>
              <w:t>OTHER VARIABLES</w:t>
            </w:r>
          </w:p>
        </w:tc>
      </w:tr>
      <w:tr w:rsidR="00816AB8" w:rsidRPr="00907D83" w14:paraId="68E7451F" w14:textId="77777777" w:rsidTr="003B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4F81BD" w:themeColor="accent1"/>
              <w:right w:val="single" w:sz="8" w:space="0" w:color="4F81BD" w:themeColor="accent1"/>
            </w:tcBorders>
          </w:tcPr>
          <w:p w14:paraId="4251527C" w14:textId="305361A4" w:rsidR="00816AB8" w:rsidRPr="00907D83" w:rsidRDefault="00816AB8" w:rsidP="00816AB8">
            <w:pPr>
              <w:spacing w:before="120" w:after="120"/>
              <w:rPr>
                <w:rFonts w:ascii="Arial" w:hAnsi="Arial" w:cs="Arial"/>
                <w:b w:val="0"/>
                <w:sz w:val="18"/>
                <w:szCs w:val="18"/>
              </w:rPr>
            </w:pPr>
            <w:r w:rsidRPr="00907D83">
              <w:rPr>
                <w:rFonts w:ascii="Arial" w:hAnsi="Arial" w:cs="Arial"/>
                <w:sz w:val="18"/>
                <w:szCs w:val="18"/>
              </w:rPr>
              <w:t>Conversion factors</w:t>
            </w:r>
          </w:p>
        </w:tc>
        <w:tc>
          <w:tcPr>
            <w:tcW w:w="1980" w:type="dxa"/>
            <w:tcBorders>
              <w:top w:val="single" w:sz="8" w:space="0" w:color="4F81BD" w:themeColor="accent1"/>
              <w:left w:val="single" w:sz="8" w:space="0" w:color="4F81BD" w:themeColor="accent1"/>
              <w:right w:val="single" w:sz="8" w:space="0" w:color="4F81BD" w:themeColor="accent1"/>
            </w:tcBorders>
          </w:tcPr>
          <w:p w14:paraId="44D640AE" w14:textId="0D288E3A" w:rsidR="00816AB8" w:rsidRPr="00907D83" w:rsidRDefault="00816AB8"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907D83">
              <w:rPr>
                <w:rFonts w:ascii="Arial" w:hAnsi="Arial" w:cs="Arial"/>
                <w:sz w:val="18"/>
                <w:szCs w:val="18"/>
                <w:lang w:val="es-ES_tradnl"/>
              </w:rPr>
              <w:t>International standard</w:t>
            </w:r>
          </w:p>
        </w:tc>
        <w:tc>
          <w:tcPr>
            <w:tcW w:w="2070" w:type="dxa"/>
            <w:tcBorders>
              <w:top w:val="single" w:sz="8" w:space="0" w:color="4F81BD" w:themeColor="accent1"/>
              <w:left w:val="single" w:sz="8" w:space="0" w:color="4F81BD" w:themeColor="accent1"/>
              <w:right w:val="single" w:sz="8" w:space="0" w:color="4F81BD" w:themeColor="accent1"/>
            </w:tcBorders>
          </w:tcPr>
          <w:p w14:paraId="6A7C20AF" w14:textId="59C655AA" w:rsidR="00816AB8" w:rsidRPr="00907D83" w:rsidRDefault="00816AB8"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lang w:val="es-ES_tradnl"/>
              </w:rPr>
              <w:t>International standard</w:t>
            </w:r>
          </w:p>
        </w:tc>
        <w:tc>
          <w:tcPr>
            <w:tcW w:w="2340" w:type="dxa"/>
            <w:tcBorders>
              <w:top w:val="single" w:sz="8" w:space="0" w:color="4F81BD" w:themeColor="accent1"/>
              <w:left w:val="single" w:sz="8" w:space="0" w:color="4F81BD" w:themeColor="accent1"/>
            </w:tcBorders>
          </w:tcPr>
          <w:p w14:paraId="36FED2BC" w14:textId="1FE8A38A" w:rsidR="00816AB8" w:rsidRPr="00907D83" w:rsidRDefault="00816AB8" w:rsidP="003B669D">
            <w:pPr>
              <w:spacing w:before="120" w:after="120"/>
              <w:ind w:left="-1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 xml:space="preserve">Information normally found online. Sources can be verified when carrying out the ex-post analysis; if different values are used </w:t>
            </w:r>
            <w:r w:rsidRPr="00907D83">
              <w:rPr>
                <w:rFonts w:ascii="Arial" w:hAnsi="Arial" w:cs="Arial"/>
                <w:bCs/>
                <w:sz w:val="18"/>
                <w:szCs w:val="18"/>
              </w:rPr>
              <w:lastRenderedPageBreak/>
              <w:t xml:space="preserve">for any of these factors, it must be </w:t>
            </w:r>
            <w:r w:rsidR="009A79C5" w:rsidRPr="00907D83">
              <w:rPr>
                <w:rFonts w:ascii="Arial" w:hAnsi="Arial" w:cs="Arial"/>
                <w:bCs/>
                <w:sz w:val="18"/>
                <w:szCs w:val="18"/>
              </w:rPr>
              <w:t>specified.</w:t>
            </w:r>
          </w:p>
        </w:tc>
      </w:tr>
      <w:tr w:rsidR="00816AB8" w:rsidRPr="00907D83" w14:paraId="0691441A" w14:textId="77777777" w:rsidTr="003B669D">
        <w:tc>
          <w:tcPr>
            <w:cnfStyle w:val="001000000000" w:firstRow="0" w:lastRow="0" w:firstColumn="1" w:lastColumn="0" w:oddVBand="0" w:evenVBand="0" w:oddHBand="0" w:evenHBand="0" w:firstRowFirstColumn="0" w:firstRowLastColumn="0" w:lastRowFirstColumn="0" w:lastRowLastColumn="0"/>
            <w:tcW w:w="2340" w:type="dxa"/>
            <w:tcBorders>
              <w:right w:val="single" w:sz="8" w:space="0" w:color="4F81BD" w:themeColor="accent1"/>
            </w:tcBorders>
          </w:tcPr>
          <w:p w14:paraId="34667304" w14:textId="5F300C28" w:rsidR="00816AB8" w:rsidRPr="00907D83" w:rsidRDefault="00816AB8" w:rsidP="00816AB8">
            <w:pPr>
              <w:spacing w:before="120" w:after="120"/>
              <w:rPr>
                <w:rFonts w:ascii="Arial" w:hAnsi="Arial" w:cs="Arial"/>
                <w:b w:val="0"/>
                <w:sz w:val="18"/>
                <w:szCs w:val="18"/>
              </w:rPr>
            </w:pPr>
            <w:r w:rsidRPr="00907D83">
              <w:rPr>
                <w:rFonts w:ascii="Arial" w:hAnsi="Arial" w:cs="Arial"/>
                <w:sz w:val="18"/>
                <w:szCs w:val="18"/>
              </w:rPr>
              <w:lastRenderedPageBreak/>
              <w:t>Emission factors</w:t>
            </w:r>
          </w:p>
        </w:tc>
        <w:tc>
          <w:tcPr>
            <w:tcW w:w="1980" w:type="dxa"/>
            <w:tcBorders>
              <w:left w:val="single" w:sz="8" w:space="0" w:color="4F81BD" w:themeColor="accent1"/>
              <w:right w:val="single" w:sz="8" w:space="0" w:color="4F81BD" w:themeColor="accent1"/>
            </w:tcBorders>
          </w:tcPr>
          <w:p w14:paraId="5957217D" w14:textId="63F52C01" w:rsidR="00816AB8" w:rsidRPr="00907D83" w:rsidRDefault="00816AB8"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International standard and regional average</w:t>
            </w:r>
          </w:p>
        </w:tc>
        <w:tc>
          <w:tcPr>
            <w:tcW w:w="2070" w:type="dxa"/>
            <w:tcBorders>
              <w:left w:val="single" w:sz="8" w:space="0" w:color="4F81BD" w:themeColor="accent1"/>
              <w:right w:val="single" w:sz="8" w:space="0" w:color="4F81BD" w:themeColor="accent1"/>
            </w:tcBorders>
          </w:tcPr>
          <w:p w14:paraId="7EACABB9" w14:textId="3BD44511" w:rsidR="00816AB8" w:rsidRPr="00907D83" w:rsidRDefault="00816AB8"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International standard and regional average. If available, country values must be used</w:t>
            </w:r>
          </w:p>
        </w:tc>
        <w:tc>
          <w:tcPr>
            <w:tcW w:w="2340" w:type="dxa"/>
            <w:tcBorders>
              <w:left w:val="single" w:sz="8" w:space="0" w:color="4F81BD" w:themeColor="accent1"/>
            </w:tcBorders>
          </w:tcPr>
          <w:p w14:paraId="4144C6F4" w14:textId="4EBBBD4E" w:rsidR="00816AB8" w:rsidRPr="00907D83" w:rsidRDefault="007E51CA" w:rsidP="003B669D">
            <w:pPr>
              <w:spacing w:before="120" w:after="120"/>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 xml:space="preserve">Energy sector government agencies in other countries in the region regularly produce country emission factors and include them in periodical reports, such as the </w:t>
            </w:r>
            <w:r w:rsidRPr="00907D83">
              <w:rPr>
                <w:rFonts w:ascii="Arial" w:hAnsi="Arial" w:cs="Arial"/>
                <w:bCs/>
                <w:i/>
                <w:sz w:val="18"/>
                <w:szCs w:val="18"/>
              </w:rPr>
              <w:t xml:space="preserve">Balance </w:t>
            </w:r>
            <w:proofErr w:type="spellStart"/>
            <w:r w:rsidRPr="00907D83">
              <w:rPr>
                <w:rFonts w:ascii="Arial" w:hAnsi="Arial" w:cs="Arial"/>
                <w:bCs/>
                <w:i/>
                <w:sz w:val="18"/>
                <w:szCs w:val="18"/>
              </w:rPr>
              <w:t>Energetico</w:t>
            </w:r>
            <w:proofErr w:type="spellEnd"/>
            <w:r w:rsidRPr="00907D83">
              <w:rPr>
                <w:rFonts w:ascii="Arial" w:hAnsi="Arial" w:cs="Arial"/>
                <w:bCs/>
                <w:i/>
                <w:sz w:val="18"/>
                <w:szCs w:val="18"/>
              </w:rPr>
              <w:t xml:space="preserve"> Nacional</w:t>
            </w:r>
            <w:r w:rsidRPr="00907D83">
              <w:rPr>
                <w:rFonts w:ascii="Arial" w:hAnsi="Arial" w:cs="Arial"/>
                <w:bCs/>
                <w:sz w:val="18"/>
                <w:szCs w:val="18"/>
              </w:rPr>
              <w:t>. Currently, Paraguay does not have such a practice but it may be developed by the time when the ex-post analysis is due.</w:t>
            </w:r>
          </w:p>
        </w:tc>
      </w:tr>
      <w:tr w:rsidR="00816AB8" w:rsidRPr="00907D83" w14:paraId="32012971" w14:textId="77777777" w:rsidTr="003B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right w:val="single" w:sz="8" w:space="0" w:color="4F81BD" w:themeColor="accent1"/>
            </w:tcBorders>
          </w:tcPr>
          <w:p w14:paraId="7CC740C2" w14:textId="51C77D50" w:rsidR="00816AB8" w:rsidRPr="00907D83" w:rsidRDefault="007E51CA" w:rsidP="00816AB8">
            <w:pPr>
              <w:spacing w:before="120" w:after="120"/>
              <w:rPr>
                <w:rFonts w:ascii="Arial" w:hAnsi="Arial" w:cs="Arial"/>
                <w:b w:val="0"/>
                <w:sz w:val="18"/>
                <w:szCs w:val="18"/>
              </w:rPr>
            </w:pPr>
            <w:r w:rsidRPr="00907D83">
              <w:rPr>
                <w:rFonts w:ascii="Arial" w:hAnsi="Arial" w:cs="Arial"/>
                <w:sz w:val="18"/>
                <w:szCs w:val="18"/>
              </w:rPr>
              <w:t>CO2 price</w:t>
            </w:r>
          </w:p>
        </w:tc>
        <w:tc>
          <w:tcPr>
            <w:tcW w:w="1980" w:type="dxa"/>
            <w:tcBorders>
              <w:left w:val="single" w:sz="8" w:space="0" w:color="4F81BD" w:themeColor="accent1"/>
              <w:right w:val="single" w:sz="8" w:space="0" w:color="4F81BD" w:themeColor="accent1"/>
            </w:tcBorders>
          </w:tcPr>
          <w:p w14:paraId="030C46B2" w14:textId="7ED896F1" w:rsidR="00816AB8" w:rsidRPr="00907D83" w:rsidRDefault="007E51CA"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International standard</w:t>
            </w:r>
          </w:p>
        </w:tc>
        <w:tc>
          <w:tcPr>
            <w:tcW w:w="2070" w:type="dxa"/>
            <w:tcBorders>
              <w:left w:val="single" w:sz="8" w:space="0" w:color="4F81BD" w:themeColor="accent1"/>
              <w:right w:val="single" w:sz="8" w:space="0" w:color="4F81BD" w:themeColor="accent1"/>
            </w:tcBorders>
          </w:tcPr>
          <w:p w14:paraId="0900C3A7" w14:textId="1E9CC483" w:rsidR="00816AB8" w:rsidRPr="00907D83" w:rsidRDefault="007E51CA"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International standard updated</w:t>
            </w:r>
          </w:p>
        </w:tc>
        <w:tc>
          <w:tcPr>
            <w:tcW w:w="2340" w:type="dxa"/>
            <w:tcBorders>
              <w:left w:val="single" w:sz="8" w:space="0" w:color="4F81BD" w:themeColor="accent1"/>
            </w:tcBorders>
          </w:tcPr>
          <w:p w14:paraId="7D5E9EDB" w14:textId="135F0A84" w:rsidR="00816AB8" w:rsidRPr="00907D83" w:rsidRDefault="007E51CA" w:rsidP="003B669D">
            <w:pPr>
              <w:spacing w:before="120" w:after="120"/>
              <w:ind w:left="-1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Due to the volatility of this price, available data should be revised and updated for the ex-post analysis</w:t>
            </w:r>
            <w:r w:rsidR="009A79C5" w:rsidRPr="00907D83">
              <w:rPr>
                <w:rFonts w:ascii="Arial" w:hAnsi="Arial" w:cs="Arial"/>
                <w:bCs/>
                <w:sz w:val="18"/>
                <w:szCs w:val="18"/>
              </w:rPr>
              <w:t>.</w:t>
            </w:r>
          </w:p>
        </w:tc>
      </w:tr>
      <w:tr w:rsidR="007E51CA" w:rsidRPr="00907D83" w14:paraId="0667EC4D" w14:textId="77777777" w:rsidTr="003B669D">
        <w:tc>
          <w:tcPr>
            <w:cnfStyle w:val="001000000000" w:firstRow="0" w:lastRow="0" w:firstColumn="1" w:lastColumn="0" w:oddVBand="0" w:evenVBand="0" w:oddHBand="0" w:evenHBand="0" w:firstRowFirstColumn="0" w:firstRowLastColumn="0" w:lastRowFirstColumn="0" w:lastRowLastColumn="0"/>
            <w:tcW w:w="2340" w:type="dxa"/>
            <w:tcBorders>
              <w:right w:val="single" w:sz="8" w:space="0" w:color="4F81BD" w:themeColor="accent1"/>
            </w:tcBorders>
          </w:tcPr>
          <w:p w14:paraId="5FE5045B" w14:textId="1E71EC18" w:rsidR="007E51CA" w:rsidRPr="00907D83" w:rsidRDefault="007E51CA" w:rsidP="00816AB8">
            <w:pPr>
              <w:spacing w:before="120" w:after="120"/>
              <w:rPr>
                <w:rFonts w:ascii="Arial" w:hAnsi="Arial" w:cs="Arial"/>
                <w:b w:val="0"/>
                <w:sz w:val="18"/>
                <w:szCs w:val="18"/>
              </w:rPr>
            </w:pPr>
            <w:r w:rsidRPr="00907D83">
              <w:rPr>
                <w:rFonts w:ascii="Arial" w:hAnsi="Arial" w:cs="Arial"/>
                <w:sz w:val="18"/>
                <w:szCs w:val="18"/>
              </w:rPr>
              <w:t>Electricity price</w:t>
            </w:r>
          </w:p>
        </w:tc>
        <w:tc>
          <w:tcPr>
            <w:tcW w:w="1980" w:type="dxa"/>
            <w:tcBorders>
              <w:left w:val="single" w:sz="8" w:space="0" w:color="4F81BD" w:themeColor="accent1"/>
              <w:right w:val="single" w:sz="8" w:space="0" w:color="4F81BD" w:themeColor="accent1"/>
            </w:tcBorders>
          </w:tcPr>
          <w:p w14:paraId="6FE5013B" w14:textId="32153FDA" w:rsidR="007E51CA" w:rsidRPr="00907D83" w:rsidRDefault="007E51CA"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Projected based on current and historical price scenario</w:t>
            </w:r>
          </w:p>
        </w:tc>
        <w:tc>
          <w:tcPr>
            <w:tcW w:w="2070" w:type="dxa"/>
            <w:tcBorders>
              <w:left w:val="single" w:sz="8" w:space="0" w:color="4F81BD" w:themeColor="accent1"/>
              <w:right w:val="single" w:sz="8" w:space="0" w:color="4F81BD" w:themeColor="accent1"/>
            </w:tcBorders>
          </w:tcPr>
          <w:p w14:paraId="3F6D1D09" w14:textId="218F945C" w:rsidR="007E51CA" w:rsidRPr="00907D83" w:rsidRDefault="007E51CA"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 xml:space="preserve">Updated with real values for each </w:t>
            </w:r>
            <w:r w:rsidR="00D82CB6" w:rsidRPr="00907D83">
              <w:rPr>
                <w:rFonts w:ascii="Arial" w:hAnsi="Arial" w:cs="Arial"/>
                <w:sz w:val="18"/>
                <w:szCs w:val="18"/>
              </w:rPr>
              <w:t>year of execution</w:t>
            </w:r>
          </w:p>
        </w:tc>
        <w:tc>
          <w:tcPr>
            <w:tcW w:w="2340" w:type="dxa"/>
            <w:tcBorders>
              <w:left w:val="single" w:sz="8" w:space="0" w:color="4F81BD" w:themeColor="accent1"/>
            </w:tcBorders>
          </w:tcPr>
          <w:p w14:paraId="57FFABA0" w14:textId="466076CA" w:rsidR="007E51CA" w:rsidRPr="00907D83" w:rsidRDefault="00D82CB6" w:rsidP="003B669D">
            <w:pPr>
              <w:spacing w:before="120" w:after="120"/>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Projections will need to be adjusted for the years following the time in which the ex-post analysis is carried out, based on updated values for the period Y0</w:t>
            </w:r>
            <w:r w:rsidR="009A79C5" w:rsidRPr="00907D83">
              <w:rPr>
                <w:rFonts w:ascii="Arial" w:hAnsi="Arial" w:cs="Arial"/>
                <w:bCs/>
                <w:sz w:val="18"/>
                <w:szCs w:val="18"/>
              </w:rPr>
              <w:t>-</w:t>
            </w:r>
            <w:r w:rsidRPr="00907D83">
              <w:rPr>
                <w:rFonts w:ascii="Arial" w:hAnsi="Arial" w:cs="Arial"/>
                <w:bCs/>
                <w:sz w:val="18"/>
                <w:szCs w:val="18"/>
              </w:rPr>
              <w:t>Y5 and any relevant information that affect the trend assumptions initially made.</w:t>
            </w:r>
          </w:p>
        </w:tc>
      </w:tr>
      <w:tr w:rsidR="00D82CB6" w:rsidRPr="00907D83" w14:paraId="2BFDF026" w14:textId="77777777" w:rsidTr="003B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right w:val="single" w:sz="8" w:space="0" w:color="4F81BD" w:themeColor="accent1"/>
            </w:tcBorders>
          </w:tcPr>
          <w:p w14:paraId="5FBBE24F" w14:textId="02E17616" w:rsidR="00D82CB6" w:rsidRPr="00907D83" w:rsidRDefault="00D82CB6" w:rsidP="00D82CB6">
            <w:pPr>
              <w:spacing w:before="120" w:after="120"/>
              <w:rPr>
                <w:rFonts w:ascii="Arial" w:hAnsi="Arial" w:cs="Arial"/>
                <w:b w:val="0"/>
                <w:sz w:val="18"/>
                <w:szCs w:val="18"/>
              </w:rPr>
            </w:pPr>
            <w:r w:rsidRPr="00907D83">
              <w:rPr>
                <w:rFonts w:ascii="Arial" w:hAnsi="Arial" w:cs="Arial"/>
                <w:sz w:val="18"/>
                <w:szCs w:val="18"/>
              </w:rPr>
              <w:t>Firewood price</w:t>
            </w:r>
          </w:p>
        </w:tc>
        <w:tc>
          <w:tcPr>
            <w:tcW w:w="1980" w:type="dxa"/>
            <w:tcBorders>
              <w:left w:val="single" w:sz="8" w:space="0" w:color="4F81BD" w:themeColor="accent1"/>
              <w:right w:val="single" w:sz="8" w:space="0" w:color="4F81BD" w:themeColor="accent1"/>
            </w:tcBorders>
          </w:tcPr>
          <w:p w14:paraId="45E5DC39" w14:textId="1955434A" w:rsidR="00D82CB6" w:rsidRPr="00907D83" w:rsidRDefault="00D82CB6"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Projected based on current and historical price scenario</w:t>
            </w:r>
          </w:p>
        </w:tc>
        <w:tc>
          <w:tcPr>
            <w:tcW w:w="2070" w:type="dxa"/>
            <w:tcBorders>
              <w:left w:val="single" w:sz="8" w:space="0" w:color="4F81BD" w:themeColor="accent1"/>
              <w:right w:val="single" w:sz="8" w:space="0" w:color="4F81BD" w:themeColor="accent1"/>
            </w:tcBorders>
          </w:tcPr>
          <w:p w14:paraId="1E3E4349" w14:textId="522DA575" w:rsidR="00D82CB6" w:rsidRPr="00907D83" w:rsidRDefault="00D82CB6" w:rsidP="003B669D">
            <w:pPr>
              <w:spacing w:before="120" w:after="120"/>
              <w:ind w:left="-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Updated with real values for each year of execution</w:t>
            </w:r>
          </w:p>
        </w:tc>
        <w:tc>
          <w:tcPr>
            <w:tcW w:w="2340" w:type="dxa"/>
            <w:tcBorders>
              <w:left w:val="single" w:sz="8" w:space="0" w:color="4F81BD" w:themeColor="accent1"/>
            </w:tcBorders>
          </w:tcPr>
          <w:p w14:paraId="55A8136C" w14:textId="56813F54" w:rsidR="00D82CB6" w:rsidRPr="00907D83" w:rsidRDefault="00D82CB6" w:rsidP="003B669D">
            <w:pPr>
              <w:spacing w:before="120" w:after="120"/>
              <w:ind w:left="-18"/>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07D83">
              <w:rPr>
                <w:rFonts w:ascii="Arial" w:hAnsi="Arial" w:cs="Arial"/>
                <w:bCs/>
                <w:sz w:val="18"/>
                <w:szCs w:val="18"/>
              </w:rPr>
              <w:t>Projections will need to be adjusted for the years following the time in which the ex-post analysis is carried out, based on updated values for the period Y0 to Y5 and any relevant information that can affect the trend assumptions initially made. Unlike electricity, firewood prices are not necessarily public so the sources and assumptions used for the revisions and projections of this input, shall be clearly specified.</w:t>
            </w:r>
          </w:p>
        </w:tc>
      </w:tr>
      <w:tr w:rsidR="00D82CB6" w:rsidRPr="00907D83" w14:paraId="6E24A829" w14:textId="77777777" w:rsidTr="003B669D">
        <w:tc>
          <w:tcPr>
            <w:cnfStyle w:val="001000000000" w:firstRow="0" w:lastRow="0" w:firstColumn="1" w:lastColumn="0" w:oddVBand="0" w:evenVBand="0" w:oddHBand="0" w:evenHBand="0" w:firstRowFirstColumn="0" w:firstRowLastColumn="0" w:lastRowFirstColumn="0" w:lastRowLastColumn="0"/>
            <w:tcW w:w="2340" w:type="dxa"/>
            <w:tcBorders>
              <w:bottom w:val="single" w:sz="8" w:space="0" w:color="4F81BD" w:themeColor="accent1"/>
              <w:right w:val="single" w:sz="8" w:space="0" w:color="4F81BD" w:themeColor="accent1"/>
            </w:tcBorders>
          </w:tcPr>
          <w:p w14:paraId="50A3D4EA" w14:textId="247B9498" w:rsidR="00D82CB6" w:rsidRPr="00907D83" w:rsidRDefault="00D82CB6" w:rsidP="00D82CB6">
            <w:pPr>
              <w:spacing w:before="120" w:after="120"/>
              <w:rPr>
                <w:rFonts w:ascii="Arial" w:hAnsi="Arial" w:cs="Arial"/>
                <w:b w:val="0"/>
                <w:sz w:val="18"/>
                <w:szCs w:val="18"/>
              </w:rPr>
            </w:pPr>
            <w:r w:rsidRPr="00907D83">
              <w:rPr>
                <w:rFonts w:ascii="Arial" w:hAnsi="Arial" w:cs="Arial"/>
                <w:sz w:val="18"/>
                <w:szCs w:val="18"/>
              </w:rPr>
              <w:t>TC funding</w:t>
            </w:r>
          </w:p>
        </w:tc>
        <w:tc>
          <w:tcPr>
            <w:tcW w:w="1980" w:type="dxa"/>
            <w:tcBorders>
              <w:left w:val="single" w:sz="8" w:space="0" w:color="4F81BD" w:themeColor="accent1"/>
              <w:bottom w:val="single" w:sz="8" w:space="0" w:color="4F81BD" w:themeColor="accent1"/>
              <w:right w:val="single" w:sz="8" w:space="0" w:color="4F81BD" w:themeColor="accent1"/>
            </w:tcBorders>
          </w:tcPr>
          <w:p w14:paraId="382BECC0" w14:textId="0AC7A338" w:rsidR="00D82CB6" w:rsidRPr="00907D83" w:rsidRDefault="00D82CB6"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Projected based on indicative disbursement plan</w:t>
            </w:r>
          </w:p>
        </w:tc>
        <w:tc>
          <w:tcPr>
            <w:tcW w:w="2070" w:type="dxa"/>
            <w:tcBorders>
              <w:left w:val="single" w:sz="8" w:space="0" w:color="4F81BD" w:themeColor="accent1"/>
              <w:bottom w:val="single" w:sz="8" w:space="0" w:color="4F81BD" w:themeColor="accent1"/>
              <w:right w:val="single" w:sz="8" w:space="0" w:color="4F81BD" w:themeColor="accent1"/>
            </w:tcBorders>
          </w:tcPr>
          <w:p w14:paraId="08265021" w14:textId="75D341B7" w:rsidR="00D82CB6" w:rsidRPr="00907D83" w:rsidRDefault="00D82CB6" w:rsidP="003B669D">
            <w:pPr>
              <w:spacing w:before="120" w:after="120"/>
              <w:ind w:left="-7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Real as per disbursements reported by the TC execution</w:t>
            </w:r>
          </w:p>
        </w:tc>
        <w:tc>
          <w:tcPr>
            <w:tcW w:w="2340" w:type="dxa"/>
            <w:tcBorders>
              <w:left w:val="single" w:sz="8" w:space="0" w:color="4F81BD" w:themeColor="accent1"/>
              <w:bottom w:val="single" w:sz="8" w:space="0" w:color="4F81BD" w:themeColor="accent1"/>
            </w:tcBorders>
          </w:tcPr>
          <w:p w14:paraId="40DCB550" w14:textId="77777777" w:rsidR="00D82CB6" w:rsidRPr="00907D83" w:rsidRDefault="00D82CB6" w:rsidP="003B669D">
            <w:pPr>
              <w:spacing w:before="120" w:after="120"/>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bl>
    <w:p w14:paraId="5510E9D2" w14:textId="77777777" w:rsidR="009D2E97" w:rsidRPr="00907D83" w:rsidRDefault="009D2E97" w:rsidP="009D2E97">
      <w:pPr>
        <w:pStyle w:val="Paragraph"/>
        <w:numPr>
          <w:ilvl w:val="0"/>
          <w:numId w:val="0"/>
        </w:numPr>
        <w:ind w:left="720"/>
        <w:rPr>
          <w:rFonts w:ascii="Arial" w:hAnsi="Arial" w:cs="Arial"/>
          <w:sz w:val="22"/>
          <w:szCs w:val="22"/>
        </w:rPr>
      </w:pPr>
    </w:p>
    <w:p w14:paraId="5AEE3B10" w14:textId="1C4B3AB2" w:rsidR="00051B6C" w:rsidRPr="00907D83" w:rsidRDefault="00BB79EB" w:rsidP="00051B6C">
      <w:pPr>
        <w:pStyle w:val="FirstHeading"/>
        <w:ind w:left="720"/>
        <w:rPr>
          <w:rFonts w:ascii="Arial" w:hAnsi="Arial" w:cs="Arial"/>
          <w:noProof/>
          <w:sz w:val="22"/>
          <w:szCs w:val="22"/>
        </w:rPr>
      </w:pPr>
      <w:bookmarkStart w:id="68" w:name="_Toc300318318"/>
      <w:bookmarkStart w:id="69" w:name="_Toc331167644"/>
      <w:bookmarkStart w:id="70" w:name="_Toc501017817"/>
      <w:r w:rsidRPr="00907D83">
        <w:rPr>
          <w:rFonts w:ascii="Arial" w:hAnsi="Arial" w:cs="Arial"/>
          <w:noProof/>
          <w:sz w:val="22"/>
          <w:szCs w:val="22"/>
        </w:rPr>
        <w:lastRenderedPageBreak/>
        <w:t>D</w:t>
      </w:r>
      <w:r w:rsidR="00051B6C" w:rsidRPr="00907D83">
        <w:rPr>
          <w:rFonts w:ascii="Arial" w:hAnsi="Arial" w:cs="Arial"/>
          <w:noProof/>
          <w:sz w:val="22"/>
          <w:szCs w:val="22"/>
        </w:rPr>
        <w:t>.</w:t>
      </w:r>
      <w:r w:rsidR="00051B6C" w:rsidRPr="00907D83">
        <w:rPr>
          <w:rFonts w:ascii="Arial" w:hAnsi="Arial" w:cs="Arial"/>
          <w:noProof/>
          <w:sz w:val="22"/>
          <w:szCs w:val="22"/>
        </w:rPr>
        <w:tab/>
      </w:r>
      <w:r w:rsidR="00361FA4" w:rsidRPr="00907D83">
        <w:rPr>
          <w:rFonts w:ascii="Arial" w:hAnsi="Arial" w:cs="Arial"/>
          <w:noProof/>
          <w:sz w:val="22"/>
          <w:szCs w:val="22"/>
        </w:rPr>
        <w:t>Reporting of evaluation result</w:t>
      </w:r>
      <w:r w:rsidR="00051B6C" w:rsidRPr="00907D83">
        <w:rPr>
          <w:rFonts w:ascii="Arial" w:hAnsi="Arial" w:cs="Arial"/>
          <w:noProof/>
          <w:sz w:val="22"/>
          <w:szCs w:val="22"/>
        </w:rPr>
        <w:t>s</w:t>
      </w:r>
      <w:bookmarkEnd w:id="68"/>
      <w:bookmarkEnd w:id="69"/>
      <w:bookmarkEnd w:id="70"/>
      <w:r w:rsidR="00051B6C" w:rsidRPr="00907D83">
        <w:rPr>
          <w:rFonts w:ascii="Arial" w:hAnsi="Arial" w:cs="Arial"/>
          <w:noProof/>
          <w:sz w:val="22"/>
          <w:szCs w:val="22"/>
        </w:rPr>
        <w:t xml:space="preserve"> </w:t>
      </w:r>
    </w:p>
    <w:p w14:paraId="005CAA9C" w14:textId="2A7AF5CA" w:rsidR="00CD4BE8" w:rsidRPr="00907D83" w:rsidRDefault="00CD4BE8" w:rsidP="00CD4BE8">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The </w:t>
      </w:r>
      <w:r w:rsidR="00FB5E7A" w:rsidRPr="00907D83">
        <w:rPr>
          <w:rFonts w:ascii="Arial" w:hAnsi="Arial" w:cs="Arial"/>
          <w:sz w:val="22"/>
          <w:szCs w:val="22"/>
        </w:rPr>
        <w:t xml:space="preserve">Planning and Finance </w:t>
      </w:r>
      <w:r w:rsidRPr="00907D83">
        <w:rPr>
          <w:rFonts w:ascii="Arial" w:hAnsi="Arial" w:cs="Arial"/>
          <w:sz w:val="22"/>
          <w:szCs w:val="22"/>
        </w:rPr>
        <w:t>Department</w:t>
      </w:r>
      <w:r w:rsidR="007375F9" w:rsidRPr="00907D83">
        <w:rPr>
          <w:rFonts w:ascii="Arial" w:hAnsi="Arial" w:cs="Arial"/>
          <w:sz w:val="22"/>
          <w:szCs w:val="22"/>
        </w:rPr>
        <w:t xml:space="preserve"> at AFD</w:t>
      </w:r>
      <w:r w:rsidRPr="00907D83">
        <w:rPr>
          <w:rFonts w:ascii="Arial" w:hAnsi="Arial" w:cs="Arial"/>
          <w:sz w:val="22"/>
          <w:szCs w:val="22"/>
        </w:rPr>
        <w:t xml:space="preserve">, </w:t>
      </w:r>
      <w:r w:rsidR="007375F9" w:rsidRPr="00907D83">
        <w:rPr>
          <w:rFonts w:ascii="Arial" w:hAnsi="Arial" w:cs="Arial"/>
          <w:sz w:val="22"/>
          <w:szCs w:val="22"/>
        </w:rPr>
        <w:t>acting</w:t>
      </w:r>
      <w:r w:rsidRPr="00907D83">
        <w:rPr>
          <w:rFonts w:ascii="Arial" w:hAnsi="Arial" w:cs="Arial"/>
          <w:sz w:val="22"/>
          <w:szCs w:val="22"/>
        </w:rPr>
        <w:t xml:space="preserve"> as project coordination unit, will </w:t>
      </w:r>
      <w:r w:rsidR="007375F9" w:rsidRPr="00907D83">
        <w:rPr>
          <w:rFonts w:ascii="Arial" w:hAnsi="Arial" w:cs="Arial"/>
          <w:sz w:val="22"/>
          <w:szCs w:val="22"/>
        </w:rPr>
        <w:t>oversee</w:t>
      </w:r>
      <w:r w:rsidRPr="00907D83">
        <w:rPr>
          <w:rFonts w:ascii="Arial" w:hAnsi="Arial" w:cs="Arial"/>
          <w:sz w:val="22"/>
          <w:szCs w:val="22"/>
        </w:rPr>
        <w:t xml:space="preserve"> the preparation </w:t>
      </w:r>
      <w:r w:rsidR="007375F9" w:rsidRPr="00907D83">
        <w:rPr>
          <w:rFonts w:ascii="Arial" w:hAnsi="Arial" w:cs="Arial"/>
          <w:sz w:val="22"/>
          <w:szCs w:val="22"/>
        </w:rPr>
        <w:t xml:space="preserve">and presentation </w:t>
      </w:r>
      <w:r w:rsidRPr="00907D83">
        <w:rPr>
          <w:rFonts w:ascii="Arial" w:hAnsi="Arial" w:cs="Arial"/>
          <w:sz w:val="22"/>
          <w:szCs w:val="22"/>
        </w:rPr>
        <w:t xml:space="preserve">of </w:t>
      </w:r>
      <w:r w:rsidR="007375F9" w:rsidRPr="00907D83">
        <w:rPr>
          <w:rFonts w:ascii="Arial" w:hAnsi="Arial" w:cs="Arial"/>
          <w:sz w:val="22"/>
          <w:szCs w:val="22"/>
        </w:rPr>
        <w:t xml:space="preserve">all required </w:t>
      </w:r>
      <w:r w:rsidRPr="00907D83">
        <w:rPr>
          <w:rFonts w:ascii="Arial" w:hAnsi="Arial" w:cs="Arial"/>
          <w:sz w:val="22"/>
          <w:szCs w:val="22"/>
        </w:rPr>
        <w:t>reports</w:t>
      </w:r>
      <w:r w:rsidR="007375F9" w:rsidRPr="00907D83">
        <w:rPr>
          <w:rFonts w:ascii="Arial" w:hAnsi="Arial" w:cs="Arial"/>
          <w:sz w:val="22"/>
          <w:szCs w:val="22"/>
        </w:rPr>
        <w:t xml:space="preserve">, as well as communication </w:t>
      </w:r>
      <w:r w:rsidRPr="00907D83">
        <w:rPr>
          <w:rFonts w:ascii="Arial" w:hAnsi="Arial" w:cs="Arial"/>
          <w:sz w:val="22"/>
          <w:szCs w:val="22"/>
        </w:rPr>
        <w:t xml:space="preserve">with the </w:t>
      </w:r>
      <w:r w:rsidR="007375F9" w:rsidRPr="00907D83">
        <w:rPr>
          <w:rFonts w:ascii="Arial" w:hAnsi="Arial" w:cs="Arial"/>
          <w:sz w:val="22"/>
          <w:szCs w:val="22"/>
        </w:rPr>
        <w:t>IDB in all administrative</w:t>
      </w:r>
      <w:r w:rsidR="00EF6647" w:rsidRPr="00907D83">
        <w:rPr>
          <w:rFonts w:ascii="Arial" w:hAnsi="Arial" w:cs="Arial"/>
          <w:sz w:val="22"/>
          <w:szCs w:val="22"/>
        </w:rPr>
        <w:t>, operational and evaluation</w:t>
      </w:r>
      <w:r w:rsidR="007375F9" w:rsidRPr="00907D83">
        <w:rPr>
          <w:rFonts w:ascii="Arial" w:hAnsi="Arial" w:cs="Arial"/>
          <w:sz w:val="22"/>
          <w:szCs w:val="22"/>
        </w:rPr>
        <w:t xml:space="preserve"> matters</w:t>
      </w:r>
      <w:r w:rsidR="00EF6647" w:rsidRPr="00907D83">
        <w:rPr>
          <w:rFonts w:ascii="Arial" w:hAnsi="Arial" w:cs="Arial"/>
          <w:sz w:val="22"/>
          <w:szCs w:val="22"/>
        </w:rPr>
        <w:t xml:space="preserve">. </w:t>
      </w:r>
      <w:r w:rsidR="00EF6647" w:rsidRPr="00907D83">
        <w:rPr>
          <w:rFonts w:ascii="Arial" w:hAnsi="Arial" w:cs="Arial"/>
          <w:sz w:val="22"/>
          <w:szCs w:val="22"/>
          <w:lang w:val="en"/>
        </w:rPr>
        <w:t xml:space="preserve">From a technical and operational perspective, </w:t>
      </w:r>
      <w:r w:rsidR="00117A7F">
        <w:rPr>
          <w:rFonts w:ascii="Arial" w:hAnsi="Arial" w:cs="Arial"/>
          <w:sz w:val="22"/>
          <w:szCs w:val="22"/>
          <w:lang w:val="en"/>
        </w:rPr>
        <w:t>AFD</w:t>
      </w:r>
      <w:r w:rsidR="00EF6647" w:rsidRPr="00907D83">
        <w:rPr>
          <w:rFonts w:ascii="Arial" w:hAnsi="Arial" w:cs="Arial"/>
          <w:sz w:val="22"/>
          <w:szCs w:val="22"/>
          <w:lang w:val="en"/>
        </w:rPr>
        <w:t xml:space="preserve"> </w:t>
      </w:r>
      <w:proofErr w:type="gramStart"/>
      <w:r w:rsidR="00EF6647" w:rsidRPr="00907D83">
        <w:rPr>
          <w:rFonts w:ascii="Arial" w:hAnsi="Arial" w:cs="Arial"/>
          <w:sz w:val="22"/>
          <w:szCs w:val="22"/>
          <w:lang w:val="en"/>
        </w:rPr>
        <w:t>is able to</w:t>
      </w:r>
      <w:proofErr w:type="gramEnd"/>
      <w:r w:rsidR="00EF6647" w:rsidRPr="00907D83">
        <w:rPr>
          <w:rFonts w:ascii="Arial" w:hAnsi="Arial" w:cs="Arial"/>
          <w:sz w:val="22"/>
          <w:szCs w:val="22"/>
          <w:lang w:val="en"/>
        </w:rPr>
        <w:t xml:space="preserve"> fulfill its responsibilities competently and has sufficient administrative and operational capacity, and qualified personnel to provide all inputs necessary to fulfill their commitments under the proposed program. In addition, the institution understands the benefits of optimizing the use of lessons learned to improve their programs.</w:t>
      </w:r>
    </w:p>
    <w:p w14:paraId="7E09D552" w14:textId="7E8431AF" w:rsidR="00CD4BE8" w:rsidRPr="00907D83" w:rsidRDefault="007375F9" w:rsidP="00CD4BE8">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AFD</w:t>
      </w:r>
      <w:r w:rsidR="00CD4BE8" w:rsidRPr="00907D83">
        <w:rPr>
          <w:rFonts w:ascii="Arial" w:hAnsi="Arial" w:cs="Arial"/>
          <w:sz w:val="22"/>
          <w:szCs w:val="22"/>
        </w:rPr>
        <w:t xml:space="preserve"> will report to IDB on </w:t>
      </w:r>
      <w:r w:rsidRPr="00907D83">
        <w:rPr>
          <w:rFonts w:ascii="Arial" w:hAnsi="Arial" w:cs="Arial"/>
          <w:sz w:val="22"/>
          <w:szCs w:val="22"/>
        </w:rPr>
        <w:t>agreed</w:t>
      </w:r>
      <w:r w:rsidR="00CD4BE8" w:rsidRPr="00907D83">
        <w:rPr>
          <w:rFonts w:ascii="Arial" w:hAnsi="Arial" w:cs="Arial"/>
          <w:sz w:val="22"/>
          <w:szCs w:val="22"/>
        </w:rPr>
        <w:t xml:space="preserve"> indicators</w:t>
      </w:r>
      <w:r w:rsidRPr="00907D83">
        <w:rPr>
          <w:rFonts w:ascii="Arial" w:hAnsi="Arial" w:cs="Arial"/>
          <w:sz w:val="22"/>
          <w:szCs w:val="22"/>
        </w:rPr>
        <w:t>,</w:t>
      </w:r>
      <w:r w:rsidR="00CD4BE8" w:rsidRPr="00907D83">
        <w:rPr>
          <w:rFonts w:ascii="Arial" w:hAnsi="Arial" w:cs="Arial"/>
          <w:sz w:val="22"/>
          <w:szCs w:val="22"/>
        </w:rPr>
        <w:t xml:space="preserve"> and </w:t>
      </w:r>
      <w:r w:rsidRPr="00907D83">
        <w:rPr>
          <w:rFonts w:ascii="Arial" w:hAnsi="Arial" w:cs="Arial"/>
          <w:sz w:val="22"/>
          <w:szCs w:val="22"/>
        </w:rPr>
        <w:t>all relevant considerations pertaining to program</w:t>
      </w:r>
      <w:r w:rsidR="00CD4BE8" w:rsidRPr="00907D83">
        <w:rPr>
          <w:rFonts w:ascii="Arial" w:hAnsi="Arial" w:cs="Arial"/>
          <w:sz w:val="22"/>
          <w:szCs w:val="22"/>
        </w:rPr>
        <w:t xml:space="preserve"> performance</w:t>
      </w:r>
      <w:r w:rsidRPr="00907D83">
        <w:rPr>
          <w:rFonts w:ascii="Arial" w:hAnsi="Arial" w:cs="Arial"/>
          <w:sz w:val="22"/>
          <w:szCs w:val="22"/>
        </w:rPr>
        <w:t>, through annual reports</w:t>
      </w:r>
      <w:r w:rsidR="00CD4BE8" w:rsidRPr="00907D83">
        <w:rPr>
          <w:rFonts w:ascii="Arial" w:hAnsi="Arial" w:cs="Arial"/>
          <w:sz w:val="22"/>
          <w:szCs w:val="22"/>
        </w:rPr>
        <w:t xml:space="preserve">. Based on the conclusions of these reports, </w:t>
      </w:r>
      <w:r w:rsidRPr="00907D83">
        <w:rPr>
          <w:rFonts w:ascii="Arial" w:hAnsi="Arial" w:cs="Arial"/>
          <w:sz w:val="22"/>
          <w:szCs w:val="22"/>
        </w:rPr>
        <w:t>AFD</w:t>
      </w:r>
      <w:r w:rsidR="00CD4BE8" w:rsidRPr="00907D83">
        <w:rPr>
          <w:rFonts w:ascii="Arial" w:hAnsi="Arial" w:cs="Arial"/>
          <w:sz w:val="22"/>
          <w:szCs w:val="22"/>
        </w:rPr>
        <w:t xml:space="preserve"> and IDB could</w:t>
      </w:r>
      <w:r w:rsidRPr="00907D83">
        <w:rPr>
          <w:rFonts w:ascii="Arial" w:hAnsi="Arial" w:cs="Arial"/>
          <w:sz w:val="22"/>
          <w:szCs w:val="22"/>
        </w:rPr>
        <w:t xml:space="preserve"> discuss and eventually</w:t>
      </w:r>
      <w:r w:rsidR="00CD4BE8" w:rsidRPr="00907D83">
        <w:rPr>
          <w:rFonts w:ascii="Arial" w:hAnsi="Arial" w:cs="Arial"/>
          <w:sz w:val="22"/>
          <w:szCs w:val="22"/>
        </w:rPr>
        <w:t xml:space="preserve"> introduce adjustments to the program. </w:t>
      </w:r>
      <w:r w:rsidRPr="00907D83">
        <w:rPr>
          <w:rFonts w:ascii="Arial" w:hAnsi="Arial" w:cs="Arial"/>
          <w:sz w:val="22"/>
          <w:szCs w:val="22"/>
        </w:rPr>
        <w:t>AFD</w:t>
      </w:r>
      <w:r w:rsidR="00CD4BE8" w:rsidRPr="00907D83">
        <w:rPr>
          <w:rFonts w:ascii="Arial" w:hAnsi="Arial" w:cs="Arial"/>
          <w:sz w:val="22"/>
          <w:szCs w:val="22"/>
        </w:rPr>
        <w:t xml:space="preserve"> will deliver the reports within 60 calendar days after the end of each year of program implementation. Periodical monitoring meetings are also scheduled (see Table 2.2 above).</w:t>
      </w:r>
    </w:p>
    <w:p w14:paraId="5A49A2E6" w14:textId="5E1FFA01" w:rsidR="00A73BBD" w:rsidRPr="00907D83" w:rsidRDefault="00A73BBD" w:rsidP="00CD4BE8">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This report shall contain </w:t>
      </w:r>
      <w:r w:rsidR="00364A0B" w:rsidRPr="00907D83">
        <w:rPr>
          <w:rFonts w:ascii="Arial" w:hAnsi="Arial" w:cs="Arial"/>
          <w:sz w:val="22"/>
          <w:szCs w:val="22"/>
        </w:rPr>
        <w:t>a clear and practical</w:t>
      </w:r>
      <w:r w:rsidRPr="00907D83">
        <w:rPr>
          <w:rFonts w:ascii="Arial" w:hAnsi="Arial" w:cs="Arial"/>
          <w:sz w:val="22"/>
          <w:szCs w:val="22"/>
        </w:rPr>
        <w:t xml:space="preserve"> </w:t>
      </w:r>
      <w:r w:rsidR="00551684" w:rsidRPr="00907D83">
        <w:rPr>
          <w:rFonts w:ascii="Arial" w:hAnsi="Arial" w:cs="Arial"/>
          <w:sz w:val="22"/>
          <w:szCs w:val="22"/>
        </w:rPr>
        <w:t>assessment</w:t>
      </w:r>
      <w:r w:rsidR="00364A0B" w:rsidRPr="00907D83">
        <w:rPr>
          <w:rFonts w:ascii="Arial" w:hAnsi="Arial" w:cs="Arial"/>
          <w:sz w:val="22"/>
          <w:szCs w:val="22"/>
        </w:rPr>
        <w:t xml:space="preserve"> on the level of achievement of </w:t>
      </w:r>
      <w:r w:rsidRPr="00907D83">
        <w:rPr>
          <w:rFonts w:ascii="Arial" w:hAnsi="Arial" w:cs="Arial"/>
          <w:sz w:val="22"/>
          <w:szCs w:val="22"/>
        </w:rPr>
        <w:t xml:space="preserve">objectives of the program and </w:t>
      </w:r>
      <w:r w:rsidR="00364A0B" w:rsidRPr="00907D83">
        <w:rPr>
          <w:rFonts w:ascii="Arial" w:hAnsi="Arial" w:cs="Arial"/>
          <w:sz w:val="22"/>
          <w:szCs w:val="22"/>
        </w:rPr>
        <w:t xml:space="preserve">potential gaps in relation to </w:t>
      </w:r>
      <w:r w:rsidRPr="00907D83">
        <w:rPr>
          <w:rFonts w:ascii="Arial" w:hAnsi="Arial" w:cs="Arial"/>
          <w:sz w:val="22"/>
          <w:szCs w:val="22"/>
        </w:rPr>
        <w:t xml:space="preserve">targets </w:t>
      </w:r>
      <w:r w:rsidR="00364A0B" w:rsidRPr="00907D83">
        <w:rPr>
          <w:rFonts w:ascii="Arial" w:hAnsi="Arial" w:cs="Arial"/>
          <w:sz w:val="22"/>
          <w:szCs w:val="22"/>
        </w:rPr>
        <w:t xml:space="preserve">set </w:t>
      </w:r>
      <w:r w:rsidRPr="00907D83">
        <w:rPr>
          <w:rFonts w:ascii="Arial" w:hAnsi="Arial" w:cs="Arial"/>
          <w:sz w:val="22"/>
          <w:szCs w:val="22"/>
        </w:rPr>
        <w:t>for each indicator</w:t>
      </w:r>
      <w:r w:rsidR="00364A0B" w:rsidRPr="00907D83">
        <w:rPr>
          <w:rFonts w:ascii="Arial" w:hAnsi="Arial" w:cs="Arial"/>
          <w:sz w:val="22"/>
          <w:szCs w:val="22"/>
        </w:rPr>
        <w:t>. Any special development with regards to the execution of the program shall be presented in the form of lessons learned and recommendations on these issues are highly desirable</w:t>
      </w:r>
      <w:r w:rsidRPr="00907D83">
        <w:rPr>
          <w:rFonts w:ascii="Arial" w:hAnsi="Arial" w:cs="Arial"/>
          <w:sz w:val="22"/>
          <w:szCs w:val="22"/>
        </w:rPr>
        <w:t>.</w:t>
      </w:r>
    </w:p>
    <w:p w14:paraId="55FB405F" w14:textId="5B18DA99" w:rsidR="00A73BBD" w:rsidRPr="00907D83" w:rsidRDefault="00A73BBD" w:rsidP="00030896">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The </w:t>
      </w:r>
      <w:r w:rsidR="00364A0B" w:rsidRPr="00907D83">
        <w:rPr>
          <w:rFonts w:ascii="Arial" w:hAnsi="Arial" w:cs="Arial"/>
          <w:sz w:val="22"/>
          <w:szCs w:val="22"/>
        </w:rPr>
        <w:t>IDB</w:t>
      </w:r>
      <w:r w:rsidRPr="00907D83">
        <w:rPr>
          <w:rFonts w:ascii="Arial" w:hAnsi="Arial" w:cs="Arial"/>
          <w:sz w:val="22"/>
          <w:szCs w:val="22"/>
        </w:rPr>
        <w:t xml:space="preserve">, </w:t>
      </w:r>
      <w:r w:rsidR="00030896" w:rsidRPr="00907D83">
        <w:rPr>
          <w:rFonts w:ascii="Arial" w:hAnsi="Arial" w:cs="Arial"/>
          <w:sz w:val="22"/>
          <w:szCs w:val="22"/>
        </w:rPr>
        <w:t>in a joint effort from</w:t>
      </w:r>
      <w:r w:rsidRPr="00907D83">
        <w:rPr>
          <w:rFonts w:ascii="Arial" w:hAnsi="Arial" w:cs="Arial"/>
          <w:sz w:val="22"/>
          <w:szCs w:val="22"/>
        </w:rPr>
        <w:t xml:space="preserve"> its IFD/CMF</w:t>
      </w:r>
      <w:r w:rsidR="00030896" w:rsidRPr="00907D83">
        <w:rPr>
          <w:rFonts w:ascii="Arial" w:hAnsi="Arial" w:cs="Arial"/>
          <w:sz w:val="22"/>
          <w:szCs w:val="22"/>
        </w:rPr>
        <w:t xml:space="preserve">, </w:t>
      </w:r>
      <w:r w:rsidRPr="00907D83">
        <w:rPr>
          <w:rFonts w:ascii="Arial" w:hAnsi="Arial" w:cs="Arial"/>
          <w:sz w:val="22"/>
          <w:szCs w:val="22"/>
        </w:rPr>
        <w:t>INE/ENE</w:t>
      </w:r>
      <w:r w:rsidR="00030896" w:rsidRPr="00907D83">
        <w:rPr>
          <w:rFonts w:ascii="Arial" w:hAnsi="Arial" w:cs="Arial"/>
          <w:sz w:val="22"/>
          <w:szCs w:val="22"/>
        </w:rPr>
        <w:t xml:space="preserve"> and CCS/CSD</w:t>
      </w:r>
      <w:r w:rsidRPr="00907D83">
        <w:rPr>
          <w:rFonts w:ascii="Arial" w:hAnsi="Arial" w:cs="Arial"/>
          <w:sz w:val="22"/>
          <w:szCs w:val="22"/>
        </w:rPr>
        <w:t xml:space="preserve"> divisions, with support from the Office of Strategic Planning and Development Effectiveness (SPD), will collaborate with </w:t>
      </w:r>
      <w:r w:rsidR="00030896" w:rsidRPr="00907D83">
        <w:rPr>
          <w:rFonts w:ascii="Arial" w:hAnsi="Arial" w:cs="Arial"/>
          <w:sz w:val="22"/>
          <w:szCs w:val="22"/>
        </w:rPr>
        <w:t xml:space="preserve">AFD in the development of the proposed evaluation plan, </w:t>
      </w:r>
      <w:r w:rsidRPr="00907D83">
        <w:rPr>
          <w:rFonts w:ascii="Arial" w:hAnsi="Arial" w:cs="Arial"/>
          <w:sz w:val="22"/>
          <w:szCs w:val="22"/>
        </w:rPr>
        <w:t>in any aspects requi</w:t>
      </w:r>
      <w:r w:rsidR="00030896" w:rsidRPr="00907D83">
        <w:rPr>
          <w:rFonts w:ascii="Arial" w:hAnsi="Arial" w:cs="Arial"/>
          <w:sz w:val="22"/>
          <w:szCs w:val="22"/>
        </w:rPr>
        <w:t>ring technical and expert assistance</w:t>
      </w:r>
      <w:r w:rsidRPr="00907D83">
        <w:rPr>
          <w:rFonts w:ascii="Arial" w:hAnsi="Arial" w:cs="Arial"/>
          <w:sz w:val="22"/>
          <w:szCs w:val="22"/>
        </w:rPr>
        <w:t xml:space="preserve">. If necessary, the </w:t>
      </w:r>
      <w:r w:rsidR="00030896" w:rsidRPr="00907D83">
        <w:rPr>
          <w:rFonts w:ascii="Arial" w:hAnsi="Arial" w:cs="Arial"/>
          <w:sz w:val="22"/>
          <w:szCs w:val="22"/>
        </w:rPr>
        <w:t>IDB</w:t>
      </w:r>
      <w:r w:rsidRPr="00907D83">
        <w:rPr>
          <w:rFonts w:ascii="Arial" w:hAnsi="Arial" w:cs="Arial"/>
          <w:sz w:val="22"/>
          <w:szCs w:val="22"/>
        </w:rPr>
        <w:t xml:space="preserve"> may provide </w:t>
      </w:r>
      <w:r w:rsidR="00E674AE" w:rsidRPr="00907D83">
        <w:rPr>
          <w:rFonts w:ascii="Arial" w:hAnsi="Arial" w:cs="Arial"/>
          <w:sz w:val="22"/>
          <w:szCs w:val="22"/>
        </w:rPr>
        <w:t xml:space="preserve">additional </w:t>
      </w:r>
      <w:r w:rsidRPr="00907D83">
        <w:rPr>
          <w:rFonts w:ascii="Arial" w:hAnsi="Arial" w:cs="Arial"/>
          <w:sz w:val="22"/>
          <w:szCs w:val="22"/>
        </w:rPr>
        <w:t>technical and financial support</w:t>
      </w:r>
      <w:r w:rsidR="00247F83" w:rsidRPr="00907D83">
        <w:rPr>
          <w:rFonts w:ascii="Arial" w:hAnsi="Arial" w:cs="Arial"/>
          <w:sz w:val="22"/>
          <w:szCs w:val="22"/>
        </w:rPr>
        <w:t xml:space="preserve"> </w:t>
      </w:r>
      <w:r w:rsidRPr="00907D83">
        <w:rPr>
          <w:rFonts w:ascii="Arial" w:hAnsi="Arial" w:cs="Arial"/>
          <w:sz w:val="22"/>
          <w:szCs w:val="22"/>
        </w:rPr>
        <w:t xml:space="preserve">to carry out the activities of specialized analysis on the economic </w:t>
      </w:r>
      <w:r w:rsidR="00551684" w:rsidRPr="00907D83">
        <w:rPr>
          <w:rFonts w:ascii="Arial" w:hAnsi="Arial" w:cs="Arial"/>
          <w:sz w:val="22"/>
          <w:szCs w:val="22"/>
        </w:rPr>
        <w:t>assessment</w:t>
      </w:r>
      <w:r w:rsidRPr="00907D83">
        <w:rPr>
          <w:rFonts w:ascii="Arial" w:hAnsi="Arial" w:cs="Arial"/>
          <w:sz w:val="22"/>
          <w:szCs w:val="22"/>
        </w:rPr>
        <w:t>.</w:t>
      </w:r>
    </w:p>
    <w:p w14:paraId="22E16F27" w14:textId="7302EE93" w:rsidR="00A73BBD" w:rsidRPr="00907D83" w:rsidRDefault="00BB79EB" w:rsidP="00A73BBD">
      <w:pPr>
        <w:pStyle w:val="FirstHeading"/>
        <w:ind w:left="720"/>
        <w:rPr>
          <w:rFonts w:ascii="Arial" w:hAnsi="Arial" w:cs="Arial"/>
          <w:noProof/>
          <w:sz w:val="22"/>
          <w:szCs w:val="22"/>
        </w:rPr>
      </w:pPr>
      <w:bookmarkStart w:id="71" w:name="_Toc501017818"/>
      <w:r w:rsidRPr="00907D83">
        <w:rPr>
          <w:rFonts w:ascii="Arial" w:hAnsi="Arial" w:cs="Arial"/>
          <w:noProof/>
          <w:sz w:val="22"/>
          <w:szCs w:val="22"/>
        </w:rPr>
        <w:t>E</w:t>
      </w:r>
      <w:r w:rsidR="00A73BBD" w:rsidRPr="00907D83">
        <w:rPr>
          <w:rFonts w:ascii="Arial" w:hAnsi="Arial" w:cs="Arial"/>
          <w:noProof/>
          <w:sz w:val="22"/>
          <w:szCs w:val="22"/>
        </w:rPr>
        <w:t>.</w:t>
      </w:r>
      <w:r w:rsidR="00A73BBD" w:rsidRPr="00907D83">
        <w:rPr>
          <w:rFonts w:ascii="Arial" w:hAnsi="Arial" w:cs="Arial"/>
          <w:noProof/>
          <w:sz w:val="22"/>
          <w:szCs w:val="22"/>
        </w:rPr>
        <w:tab/>
        <w:t>Complementary evaluation</w:t>
      </w:r>
      <w:bookmarkEnd w:id="71"/>
    </w:p>
    <w:p w14:paraId="3D720190" w14:textId="4CDC8689" w:rsidR="00CD4BE8" w:rsidRPr="00993402" w:rsidRDefault="00A73BBD" w:rsidP="000327F3">
      <w:pPr>
        <w:pStyle w:val="Paragraph"/>
        <w:tabs>
          <w:tab w:val="clear" w:pos="2736"/>
          <w:tab w:val="num" w:pos="720"/>
        </w:tabs>
        <w:ind w:left="720" w:hanging="720"/>
        <w:rPr>
          <w:rFonts w:ascii="Arial" w:hAnsi="Arial" w:cs="Arial"/>
        </w:rPr>
      </w:pPr>
      <w:r w:rsidRPr="00907D83">
        <w:rPr>
          <w:rFonts w:ascii="Arial" w:hAnsi="Arial" w:cs="Arial"/>
          <w:sz w:val="22"/>
          <w:szCs w:val="22"/>
        </w:rPr>
        <w:t xml:space="preserve">In </w:t>
      </w:r>
      <w:r w:rsidR="00CD4BE8" w:rsidRPr="00907D83">
        <w:rPr>
          <w:rFonts w:ascii="Arial" w:hAnsi="Arial" w:cs="Arial"/>
          <w:sz w:val="22"/>
          <w:szCs w:val="22"/>
        </w:rPr>
        <w:t>addition to the annual reports</w:t>
      </w:r>
      <w:r w:rsidRPr="00907D83">
        <w:rPr>
          <w:rFonts w:ascii="Arial" w:hAnsi="Arial" w:cs="Arial"/>
          <w:sz w:val="22"/>
          <w:szCs w:val="22"/>
        </w:rPr>
        <w:t xml:space="preserve"> and the scheduled contacts for monitoring of </w:t>
      </w:r>
      <w:r w:rsidR="00030896" w:rsidRPr="00907D83">
        <w:rPr>
          <w:rFonts w:ascii="Arial" w:hAnsi="Arial" w:cs="Arial"/>
          <w:sz w:val="22"/>
          <w:szCs w:val="22"/>
        </w:rPr>
        <w:t>program</w:t>
      </w:r>
      <w:r w:rsidRPr="00907D83">
        <w:rPr>
          <w:rFonts w:ascii="Arial" w:hAnsi="Arial" w:cs="Arial"/>
          <w:sz w:val="22"/>
          <w:szCs w:val="22"/>
        </w:rPr>
        <w:t xml:space="preserve"> operations</w:t>
      </w:r>
      <w:r w:rsidR="00CD4BE8" w:rsidRPr="00907D83">
        <w:rPr>
          <w:rFonts w:ascii="Arial" w:hAnsi="Arial" w:cs="Arial"/>
          <w:sz w:val="22"/>
          <w:szCs w:val="22"/>
        </w:rPr>
        <w:t xml:space="preserve">, </w:t>
      </w:r>
      <w:r w:rsidR="00030896" w:rsidRPr="00907D83">
        <w:rPr>
          <w:rFonts w:ascii="Arial" w:hAnsi="Arial" w:cs="Arial"/>
          <w:sz w:val="22"/>
          <w:szCs w:val="22"/>
        </w:rPr>
        <w:t xml:space="preserve">AFD </w:t>
      </w:r>
      <w:r w:rsidR="00CD4BE8" w:rsidRPr="00907D83">
        <w:rPr>
          <w:rFonts w:ascii="Arial" w:hAnsi="Arial" w:cs="Arial"/>
          <w:sz w:val="22"/>
          <w:szCs w:val="22"/>
        </w:rPr>
        <w:t xml:space="preserve">and </w:t>
      </w:r>
      <w:r w:rsidR="00030896" w:rsidRPr="00907D83">
        <w:rPr>
          <w:rFonts w:ascii="Arial" w:hAnsi="Arial" w:cs="Arial"/>
          <w:sz w:val="22"/>
          <w:szCs w:val="22"/>
        </w:rPr>
        <w:t>IDB</w:t>
      </w:r>
      <w:r w:rsidR="00CD4BE8" w:rsidRPr="00907D83">
        <w:rPr>
          <w:rFonts w:ascii="Arial" w:hAnsi="Arial" w:cs="Arial"/>
          <w:sz w:val="22"/>
          <w:szCs w:val="22"/>
        </w:rPr>
        <w:t xml:space="preserve"> will conduct </w:t>
      </w:r>
      <w:r w:rsidR="00C72132" w:rsidRPr="00907D83">
        <w:rPr>
          <w:rFonts w:ascii="Arial" w:hAnsi="Arial" w:cs="Arial"/>
          <w:sz w:val="22"/>
          <w:szCs w:val="22"/>
        </w:rPr>
        <w:t>an</w:t>
      </w:r>
      <w:r w:rsidR="000327F3" w:rsidRPr="006634EF">
        <w:rPr>
          <w:rFonts w:ascii="Arial" w:hAnsi="Arial" w:cs="Arial"/>
          <w:sz w:val="22"/>
          <w:szCs w:val="22"/>
        </w:rPr>
        <w:t xml:space="preserve"> </w:t>
      </w:r>
      <w:r w:rsidR="000327F3" w:rsidRPr="00993402">
        <w:rPr>
          <w:rFonts w:ascii="Arial" w:hAnsi="Arial" w:cs="Arial"/>
          <w:sz w:val="22"/>
          <w:szCs w:val="22"/>
        </w:rPr>
        <w:t xml:space="preserve">Interim </w:t>
      </w:r>
      <w:r w:rsidR="000327F3" w:rsidRPr="006634EF">
        <w:rPr>
          <w:rFonts w:ascii="Arial" w:hAnsi="Arial" w:cs="Arial"/>
          <w:sz w:val="22"/>
          <w:szCs w:val="22"/>
        </w:rPr>
        <w:t>Evaluation Report</w:t>
      </w:r>
      <w:r w:rsidR="00CD4BE8" w:rsidRPr="000327F3">
        <w:rPr>
          <w:rFonts w:ascii="Arial" w:hAnsi="Arial" w:cs="Arial"/>
          <w:sz w:val="22"/>
          <w:szCs w:val="22"/>
        </w:rPr>
        <w:t xml:space="preserve"> </w:t>
      </w:r>
      <w:r w:rsidR="00C72132">
        <w:rPr>
          <w:rFonts w:ascii="Arial" w:hAnsi="Arial" w:cs="Arial"/>
          <w:sz w:val="22"/>
          <w:szCs w:val="22"/>
        </w:rPr>
        <w:t>w</w:t>
      </w:r>
      <w:r w:rsidR="000327F3" w:rsidRPr="00993402">
        <w:rPr>
          <w:rFonts w:ascii="Arial" w:hAnsi="Arial" w:cs="Arial"/>
          <w:sz w:val="22"/>
          <w:szCs w:val="22"/>
        </w:rPr>
        <w:t xml:space="preserve">ithin six (6) months after Year 2 of </w:t>
      </w:r>
      <w:r w:rsidR="00382D0A">
        <w:rPr>
          <w:rFonts w:ascii="Arial" w:hAnsi="Arial" w:cs="Arial"/>
          <w:sz w:val="22"/>
          <w:szCs w:val="22"/>
        </w:rPr>
        <w:t>effective date of the loan agreement</w:t>
      </w:r>
      <w:r w:rsidR="00CD4BE8" w:rsidRPr="000327F3">
        <w:rPr>
          <w:rFonts w:ascii="Arial" w:hAnsi="Arial" w:cs="Arial"/>
          <w:sz w:val="22"/>
          <w:szCs w:val="22"/>
        </w:rPr>
        <w:t xml:space="preserve">. The evaluation will assess progress </w:t>
      </w:r>
      <w:r w:rsidR="00030896" w:rsidRPr="000327F3">
        <w:rPr>
          <w:rFonts w:ascii="Arial" w:hAnsi="Arial" w:cs="Arial"/>
          <w:sz w:val="22"/>
          <w:szCs w:val="22"/>
        </w:rPr>
        <w:t>the ongoing</w:t>
      </w:r>
      <w:r w:rsidR="00CD4BE8" w:rsidRPr="000327F3">
        <w:rPr>
          <w:rFonts w:ascii="Arial" w:hAnsi="Arial" w:cs="Arial"/>
          <w:sz w:val="22"/>
          <w:szCs w:val="22"/>
        </w:rPr>
        <w:t xml:space="preserve"> accomplish</w:t>
      </w:r>
      <w:r w:rsidR="00030896" w:rsidRPr="000327F3">
        <w:rPr>
          <w:rFonts w:ascii="Arial" w:hAnsi="Arial" w:cs="Arial"/>
          <w:sz w:val="22"/>
          <w:szCs w:val="22"/>
        </w:rPr>
        <w:t>ment of</w:t>
      </w:r>
      <w:r w:rsidR="00CD4BE8" w:rsidRPr="000327F3">
        <w:rPr>
          <w:rFonts w:ascii="Arial" w:hAnsi="Arial" w:cs="Arial"/>
          <w:sz w:val="22"/>
          <w:szCs w:val="22"/>
        </w:rPr>
        <w:t xml:space="preserve"> program objectives and outcomes </w:t>
      </w:r>
      <w:proofErr w:type="gramStart"/>
      <w:r w:rsidR="00CD4BE8" w:rsidRPr="000327F3">
        <w:rPr>
          <w:rFonts w:ascii="Arial" w:hAnsi="Arial" w:cs="Arial"/>
          <w:sz w:val="22"/>
          <w:szCs w:val="22"/>
        </w:rPr>
        <w:t>in order to</w:t>
      </w:r>
      <w:proofErr w:type="gramEnd"/>
      <w:r w:rsidR="00CD4BE8" w:rsidRPr="000327F3">
        <w:rPr>
          <w:rFonts w:ascii="Arial" w:hAnsi="Arial" w:cs="Arial"/>
          <w:sz w:val="22"/>
          <w:szCs w:val="22"/>
        </w:rPr>
        <w:t xml:space="preserve"> identify any </w:t>
      </w:r>
      <w:r w:rsidR="00030896" w:rsidRPr="000327F3">
        <w:rPr>
          <w:rFonts w:ascii="Arial" w:hAnsi="Arial" w:cs="Arial"/>
          <w:sz w:val="22"/>
          <w:szCs w:val="22"/>
        </w:rPr>
        <w:t xml:space="preserve">immediate </w:t>
      </w:r>
      <w:r w:rsidR="00CD4BE8" w:rsidRPr="000327F3">
        <w:rPr>
          <w:rFonts w:ascii="Arial" w:hAnsi="Arial" w:cs="Arial"/>
          <w:sz w:val="22"/>
          <w:szCs w:val="22"/>
        </w:rPr>
        <w:t>corrective action required.</w:t>
      </w:r>
    </w:p>
    <w:p w14:paraId="2708EFA3" w14:textId="0386C8F8" w:rsidR="009254DE" w:rsidRPr="008F5907" w:rsidRDefault="009254DE" w:rsidP="000327F3">
      <w:pPr>
        <w:pStyle w:val="Paragraph"/>
        <w:tabs>
          <w:tab w:val="clear" w:pos="2736"/>
          <w:tab w:val="num" w:pos="720"/>
        </w:tabs>
        <w:ind w:left="720" w:hanging="720"/>
        <w:rPr>
          <w:rFonts w:ascii="Arial" w:hAnsi="Arial" w:cs="Arial"/>
          <w:sz w:val="22"/>
          <w:szCs w:val="22"/>
        </w:rPr>
      </w:pPr>
      <w:r w:rsidRPr="00993402">
        <w:rPr>
          <w:rFonts w:ascii="Arial" w:hAnsi="Arial" w:cs="Arial"/>
          <w:sz w:val="22"/>
          <w:szCs w:val="22"/>
        </w:rPr>
        <w:t>Interim Progress Reports will also be prepared</w:t>
      </w:r>
      <w:r w:rsidR="008F5907">
        <w:rPr>
          <w:rFonts w:ascii="Arial" w:hAnsi="Arial" w:cs="Arial"/>
          <w:sz w:val="22"/>
          <w:szCs w:val="22"/>
        </w:rPr>
        <w:t xml:space="preserve"> at t</w:t>
      </w:r>
      <w:r w:rsidRPr="00993402">
        <w:rPr>
          <w:rFonts w:ascii="Arial" w:hAnsi="Arial" w:cs="Arial"/>
          <w:sz w:val="22"/>
          <w:szCs w:val="22"/>
        </w:rPr>
        <w:t xml:space="preserve">en (10) years as of the effectiveness of the </w:t>
      </w:r>
      <w:r w:rsidR="00382D0A">
        <w:rPr>
          <w:rFonts w:ascii="Arial" w:hAnsi="Arial" w:cs="Arial"/>
          <w:sz w:val="22"/>
          <w:szCs w:val="22"/>
        </w:rPr>
        <w:t>l</w:t>
      </w:r>
      <w:r w:rsidRPr="00993402">
        <w:rPr>
          <w:rFonts w:ascii="Arial" w:hAnsi="Arial" w:cs="Arial"/>
          <w:sz w:val="22"/>
          <w:szCs w:val="22"/>
        </w:rPr>
        <w:t xml:space="preserve">oan </w:t>
      </w:r>
      <w:r w:rsidR="00382D0A">
        <w:rPr>
          <w:rFonts w:ascii="Arial" w:hAnsi="Arial" w:cs="Arial"/>
          <w:sz w:val="22"/>
          <w:szCs w:val="22"/>
        </w:rPr>
        <w:t>a</w:t>
      </w:r>
      <w:r w:rsidRPr="00993402">
        <w:rPr>
          <w:rFonts w:ascii="Arial" w:hAnsi="Arial" w:cs="Arial"/>
          <w:sz w:val="22"/>
          <w:szCs w:val="22"/>
        </w:rPr>
        <w:t xml:space="preserve">greement, and Twenty (20) years as of the effectiveness of the </w:t>
      </w:r>
      <w:r w:rsidR="00382D0A">
        <w:rPr>
          <w:rFonts w:ascii="Arial" w:hAnsi="Arial" w:cs="Arial"/>
          <w:sz w:val="22"/>
          <w:szCs w:val="22"/>
        </w:rPr>
        <w:t>l</w:t>
      </w:r>
      <w:r w:rsidRPr="00993402">
        <w:rPr>
          <w:rFonts w:ascii="Arial" w:hAnsi="Arial" w:cs="Arial"/>
          <w:sz w:val="22"/>
          <w:szCs w:val="22"/>
        </w:rPr>
        <w:t xml:space="preserve">oan </w:t>
      </w:r>
      <w:r w:rsidR="00382D0A">
        <w:rPr>
          <w:rFonts w:ascii="Arial" w:hAnsi="Arial" w:cs="Arial"/>
          <w:sz w:val="22"/>
          <w:szCs w:val="22"/>
        </w:rPr>
        <w:t>a</w:t>
      </w:r>
      <w:r w:rsidRPr="00993402">
        <w:rPr>
          <w:rFonts w:ascii="Arial" w:hAnsi="Arial" w:cs="Arial"/>
          <w:sz w:val="22"/>
          <w:szCs w:val="22"/>
        </w:rPr>
        <w:t>greement</w:t>
      </w:r>
      <w:r w:rsidR="008F5907">
        <w:rPr>
          <w:rFonts w:ascii="Arial" w:hAnsi="Arial" w:cs="Arial"/>
          <w:sz w:val="22"/>
          <w:szCs w:val="22"/>
        </w:rPr>
        <w:t>.</w:t>
      </w:r>
    </w:p>
    <w:p w14:paraId="72D8EC3F" w14:textId="593B74C3" w:rsidR="008F5907" w:rsidRPr="006634EF" w:rsidRDefault="00A73BBD" w:rsidP="00CD4BE8">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A Project Completion Report (PCR) will be </w:t>
      </w:r>
      <w:r w:rsidR="0092469E" w:rsidRPr="00907D83">
        <w:rPr>
          <w:rFonts w:ascii="Arial" w:hAnsi="Arial" w:cs="Arial"/>
          <w:sz w:val="22"/>
          <w:szCs w:val="22"/>
        </w:rPr>
        <w:t xml:space="preserve">prepared </w:t>
      </w:r>
      <w:r w:rsidR="008F5907" w:rsidRPr="00993402">
        <w:rPr>
          <w:rFonts w:ascii="Arial" w:hAnsi="Arial" w:cs="Arial"/>
          <w:sz w:val="22"/>
          <w:szCs w:val="22"/>
        </w:rPr>
        <w:t>w</w:t>
      </w:r>
      <w:r w:rsidR="000327F3" w:rsidRPr="00993402">
        <w:rPr>
          <w:rFonts w:ascii="Arial" w:hAnsi="Arial" w:cs="Arial"/>
          <w:sz w:val="22"/>
          <w:szCs w:val="22"/>
        </w:rPr>
        <w:t>ithin six (6) months after the last disbursement of GCF Proceeds by the Accredited Entity to the Funded Activity</w:t>
      </w:r>
      <w:r w:rsidR="000327F3" w:rsidRPr="006634EF">
        <w:rPr>
          <w:rFonts w:ascii="Arial" w:hAnsi="Arial" w:cs="Arial"/>
          <w:sz w:val="22"/>
          <w:szCs w:val="22"/>
        </w:rPr>
        <w:t xml:space="preserve">. </w:t>
      </w:r>
      <w:r w:rsidRPr="006634EF">
        <w:rPr>
          <w:rFonts w:ascii="Arial" w:hAnsi="Arial" w:cs="Arial"/>
          <w:sz w:val="22"/>
          <w:szCs w:val="22"/>
        </w:rPr>
        <w:t xml:space="preserve">The PCR </w:t>
      </w:r>
      <w:r w:rsidR="00030896" w:rsidRPr="006634EF">
        <w:rPr>
          <w:rFonts w:ascii="Arial" w:hAnsi="Arial" w:cs="Arial"/>
          <w:sz w:val="22"/>
          <w:szCs w:val="22"/>
        </w:rPr>
        <w:t xml:space="preserve">is an IDB operational tool that </w:t>
      </w:r>
      <w:r w:rsidRPr="006634EF">
        <w:rPr>
          <w:rFonts w:ascii="Arial" w:hAnsi="Arial" w:cs="Arial"/>
          <w:sz w:val="22"/>
          <w:szCs w:val="22"/>
        </w:rPr>
        <w:t xml:space="preserve">will evaluate the fulfillment of targets and review the results of the operation. </w:t>
      </w:r>
      <w:r w:rsidR="00030896" w:rsidRPr="006634EF">
        <w:rPr>
          <w:rFonts w:ascii="Arial" w:hAnsi="Arial" w:cs="Arial"/>
          <w:sz w:val="22"/>
          <w:szCs w:val="22"/>
        </w:rPr>
        <w:t>While this report will be produced by the IDB, the AFD</w:t>
      </w:r>
      <w:r w:rsidR="00CD4BE8" w:rsidRPr="006634EF">
        <w:rPr>
          <w:rFonts w:ascii="Arial" w:hAnsi="Arial" w:cs="Arial"/>
          <w:sz w:val="22"/>
          <w:szCs w:val="22"/>
        </w:rPr>
        <w:t xml:space="preserve"> </w:t>
      </w:r>
      <w:r w:rsidRPr="006634EF">
        <w:rPr>
          <w:rFonts w:ascii="Arial" w:hAnsi="Arial" w:cs="Arial"/>
          <w:sz w:val="22"/>
          <w:szCs w:val="22"/>
        </w:rPr>
        <w:t xml:space="preserve">shall </w:t>
      </w:r>
      <w:r w:rsidR="0092469E" w:rsidRPr="006634EF">
        <w:rPr>
          <w:rFonts w:ascii="Arial" w:hAnsi="Arial" w:cs="Arial"/>
          <w:sz w:val="22"/>
          <w:szCs w:val="22"/>
        </w:rPr>
        <w:t xml:space="preserve">compile, maintain and </w:t>
      </w:r>
      <w:r w:rsidRPr="006634EF">
        <w:rPr>
          <w:rFonts w:ascii="Arial" w:hAnsi="Arial" w:cs="Arial"/>
          <w:sz w:val="22"/>
          <w:szCs w:val="22"/>
        </w:rPr>
        <w:t>be ready to</w:t>
      </w:r>
      <w:r w:rsidR="00CD4BE8" w:rsidRPr="006634EF">
        <w:rPr>
          <w:rFonts w:ascii="Arial" w:hAnsi="Arial" w:cs="Arial"/>
          <w:sz w:val="22"/>
          <w:szCs w:val="22"/>
        </w:rPr>
        <w:t xml:space="preserve"> provide </w:t>
      </w:r>
      <w:r w:rsidR="00030896" w:rsidRPr="006634EF">
        <w:rPr>
          <w:rFonts w:ascii="Arial" w:hAnsi="Arial" w:cs="Arial"/>
          <w:sz w:val="22"/>
          <w:szCs w:val="22"/>
        </w:rPr>
        <w:t>all</w:t>
      </w:r>
      <w:r w:rsidR="00CD4BE8" w:rsidRPr="006634EF">
        <w:rPr>
          <w:rFonts w:ascii="Arial" w:hAnsi="Arial" w:cs="Arial"/>
          <w:sz w:val="22"/>
          <w:szCs w:val="22"/>
        </w:rPr>
        <w:t xml:space="preserve"> information necessary to </w:t>
      </w:r>
      <w:r w:rsidRPr="006634EF">
        <w:rPr>
          <w:rFonts w:ascii="Arial" w:hAnsi="Arial" w:cs="Arial"/>
          <w:sz w:val="22"/>
          <w:szCs w:val="22"/>
        </w:rPr>
        <w:t xml:space="preserve">properly </w:t>
      </w:r>
      <w:r w:rsidR="00CD4BE8" w:rsidRPr="006634EF">
        <w:rPr>
          <w:rFonts w:ascii="Arial" w:hAnsi="Arial" w:cs="Arial"/>
          <w:sz w:val="22"/>
          <w:szCs w:val="22"/>
        </w:rPr>
        <w:t xml:space="preserve">conduct </w:t>
      </w:r>
      <w:r w:rsidRPr="006634EF">
        <w:rPr>
          <w:rFonts w:ascii="Arial" w:hAnsi="Arial" w:cs="Arial"/>
          <w:sz w:val="22"/>
          <w:szCs w:val="22"/>
        </w:rPr>
        <w:t xml:space="preserve">the </w:t>
      </w:r>
      <w:r w:rsidR="00CD4BE8" w:rsidRPr="006634EF">
        <w:rPr>
          <w:rFonts w:ascii="Arial" w:hAnsi="Arial" w:cs="Arial"/>
          <w:sz w:val="22"/>
          <w:szCs w:val="22"/>
        </w:rPr>
        <w:t>PCR.</w:t>
      </w:r>
    </w:p>
    <w:p w14:paraId="2D8787DB" w14:textId="58FB3A80" w:rsidR="000327F3" w:rsidRPr="00C72132" w:rsidRDefault="00C72132" w:rsidP="00C72132">
      <w:pPr>
        <w:pStyle w:val="Paragraph"/>
        <w:tabs>
          <w:tab w:val="clear" w:pos="2736"/>
          <w:tab w:val="num" w:pos="720"/>
        </w:tabs>
        <w:ind w:left="720" w:hanging="720"/>
        <w:rPr>
          <w:rFonts w:ascii="Arial" w:hAnsi="Arial" w:cs="Arial"/>
          <w:sz w:val="22"/>
          <w:szCs w:val="22"/>
        </w:rPr>
      </w:pPr>
      <w:r>
        <w:rPr>
          <w:rFonts w:ascii="Arial" w:hAnsi="Arial" w:cs="Arial"/>
          <w:sz w:val="22"/>
          <w:szCs w:val="22"/>
        </w:rPr>
        <w:t xml:space="preserve">The final annual report </w:t>
      </w:r>
      <w:r w:rsidR="008F5907" w:rsidRPr="00993402">
        <w:rPr>
          <w:rFonts w:ascii="Arial" w:hAnsi="Arial" w:cs="Arial"/>
          <w:sz w:val="22"/>
          <w:szCs w:val="22"/>
        </w:rPr>
        <w:t>will be prepared w</w:t>
      </w:r>
      <w:r w:rsidR="000327F3" w:rsidRPr="00993402">
        <w:rPr>
          <w:rFonts w:ascii="Arial" w:hAnsi="Arial" w:cs="Arial"/>
          <w:sz w:val="22"/>
          <w:szCs w:val="22"/>
        </w:rPr>
        <w:t xml:space="preserve">ithin nine (9) months after the submission of the </w:t>
      </w:r>
      <w:r w:rsidR="008F5907" w:rsidRPr="00993402">
        <w:rPr>
          <w:rFonts w:ascii="Arial" w:hAnsi="Arial" w:cs="Arial"/>
          <w:sz w:val="22"/>
          <w:szCs w:val="22"/>
        </w:rPr>
        <w:t xml:space="preserve">PCR. </w:t>
      </w:r>
    </w:p>
    <w:p w14:paraId="37E3EE79" w14:textId="2A6E66AB" w:rsidR="00051B6C" w:rsidRPr="00907D83" w:rsidRDefault="00BB79EB" w:rsidP="00051B6C">
      <w:pPr>
        <w:pStyle w:val="FirstHeading"/>
        <w:ind w:left="720"/>
        <w:rPr>
          <w:rFonts w:ascii="Arial" w:hAnsi="Arial" w:cs="Arial"/>
          <w:noProof/>
          <w:sz w:val="22"/>
          <w:szCs w:val="22"/>
        </w:rPr>
      </w:pPr>
      <w:bookmarkStart w:id="72" w:name="_Toc300318319"/>
      <w:bookmarkStart w:id="73" w:name="_Toc331167645"/>
      <w:bookmarkStart w:id="74" w:name="_Toc501017819"/>
      <w:r w:rsidRPr="00907D83">
        <w:rPr>
          <w:rFonts w:ascii="Arial" w:hAnsi="Arial" w:cs="Arial"/>
          <w:noProof/>
          <w:sz w:val="22"/>
          <w:szCs w:val="22"/>
        </w:rPr>
        <w:lastRenderedPageBreak/>
        <w:t>F</w:t>
      </w:r>
      <w:r w:rsidR="00051B6C" w:rsidRPr="00907D83">
        <w:rPr>
          <w:rFonts w:ascii="Arial" w:hAnsi="Arial" w:cs="Arial"/>
          <w:noProof/>
          <w:sz w:val="22"/>
          <w:szCs w:val="22"/>
        </w:rPr>
        <w:t>.</w:t>
      </w:r>
      <w:r w:rsidR="00051B6C" w:rsidRPr="00907D83">
        <w:rPr>
          <w:rFonts w:ascii="Arial" w:hAnsi="Arial" w:cs="Arial"/>
          <w:noProof/>
          <w:sz w:val="22"/>
          <w:szCs w:val="22"/>
        </w:rPr>
        <w:tab/>
      </w:r>
      <w:r w:rsidR="00361FA4" w:rsidRPr="00907D83">
        <w:rPr>
          <w:rFonts w:ascii="Arial" w:hAnsi="Arial" w:cs="Arial"/>
          <w:noProof/>
          <w:sz w:val="22"/>
          <w:szCs w:val="22"/>
        </w:rPr>
        <w:t>Coordination, workplan and budget for evaluation</w:t>
      </w:r>
      <w:bookmarkEnd w:id="72"/>
      <w:bookmarkEnd w:id="73"/>
      <w:bookmarkEnd w:id="74"/>
    </w:p>
    <w:p w14:paraId="3E407B50" w14:textId="41B3BC43" w:rsidR="005D3B9D" w:rsidRPr="00907D83" w:rsidRDefault="00361FA4" w:rsidP="00361FA4">
      <w:pPr>
        <w:pStyle w:val="Paragraph"/>
        <w:tabs>
          <w:tab w:val="clear" w:pos="2736"/>
          <w:tab w:val="num" w:pos="720"/>
        </w:tabs>
        <w:ind w:left="720" w:hanging="720"/>
        <w:rPr>
          <w:rFonts w:ascii="Arial" w:hAnsi="Arial" w:cs="Arial"/>
          <w:sz w:val="22"/>
          <w:szCs w:val="22"/>
        </w:rPr>
      </w:pPr>
      <w:bookmarkStart w:id="75" w:name="_Toc306977109"/>
      <w:r w:rsidRPr="00907D83">
        <w:rPr>
          <w:rFonts w:ascii="Arial" w:hAnsi="Arial" w:cs="Arial"/>
          <w:sz w:val="22"/>
          <w:szCs w:val="22"/>
        </w:rPr>
        <w:t xml:space="preserve">For the implementation of this </w:t>
      </w:r>
      <w:r w:rsidR="00030896" w:rsidRPr="00907D83">
        <w:rPr>
          <w:rFonts w:ascii="Arial" w:hAnsi="Arial" w:cs="Arial"/>
          <w:sz w:val="22"/>
          <w:szCs w:val="22"/>
        </w:rPr>
        <w:t>plan</w:t>
      </w:r>
      <w:r w:rsidRPr="00907D83">
        <w:rPr>
          <w:rFonts w:ascii="Arial" w:hAnsi="Arial" w:cs="Arial"/>
          <w:sz w:val="22"/>
          <w:szCs w:val="22"/>
        </w:rPr>
        <w:t xml:space="preserve">, it is expected that </w:t>
      </w:r>
      <w:r w:rsidR="00D3164E" w:rsidRPr="00907D83">
        <w:rPr>
          <w:rFonts w:ascii="Arial" w:hAnsi="Arial" w:cs="Arial"/>
          <w:sz w:val="22"/>
          <w:szCs w:val="22"/>
        </w:rPr>
        <w:t>IDB</w:t>
      </w:r>
      <w:r w:rsidRPr="00907D83">
        <w:rPr>
          <w:rFonts w:ascii="Arial" w:hAnsi="Arial" w:cs="Arial"/>
          <w:sz w:val="22"/>
          <w:szCs w:val="22"/>
        </w:rPr>
        <w:t xml:space="preserve"> will use its own staff, with the </w:t>
      </w:r>
      <w:r w:rsidR="00D3164E" w:rsidRPr="00907D83">
        <w:rPr>
          <w:rFonts w:ascii="Arial" w:hAnsi="Arial" w:cs="Arial"/>
          <w:sz w:val="22"/>
          <w:szCs w:val="22"/>
        </w:rPr>
        <w:t xml:space="preserve">assistance of and in coordination with the </w:t>
      </w:r>
      <w:r w:rsidR="00030896" w:rsidRPr="00907D83">
        <w:rPr>
          <w:rFonts w:ascii="Arial" w:hAnsi="Arial" w:cs="Arial"/>
          <w:sz w:val="22"/>
          <w:szCs w:val="22"/>
        </w:rPr>
        <w:t>AFD.</w:t>
      </w:r>
      <w:r w:rsidR="00D3164E" w:rsidRPr="00907D83">
        <w:rPr>
          <w:rFonts w:ascii="Arial" w:hAnsi="Arial" w:cs="Arial"/>
          <w:sz w:val="22"/>
          <w:szCs w:val="22"/>
        </w:rPr>
        <w:t xml:space="preserve"> This working scheme is</w:t>
      </w:r>
      <w:r w:rsidRPr="00907D83">
        <w:rPr>
          <w:rFonts w:ascii="Arial" w:hAnsi="Arial" w:cs="Arial"/>
          <w:sz w:val="22"/>
          <w:szCs w:val="22"/>
        </w:rPr>
        <w:t xml:space="preserve"> considered adequate and sufficient to ensure the quality and success of the evaluation work. For activities that require additional </w:t>
      </w:r>
      <w:r w:rsidR="00D3164E" w:rsidRPr="00907D83">
        <w:rPr>
          <w:rFonts w:ascii="Arial" w:hAnsi="Arial" w:cs="Arial"/>
          <w:sz w:val="22"/>
          <w:szCs w:val="22"/>
        </w:rPr>
        <w:t xml:space="preserve">or specific </w:t>
      </w:r>
      <w:r w:rsidRPr="00907D83">
        <w:rPr>
          <w:rFonts w:ascii="Arial" w:hAnsi="Arial" w:cs="Arial"/>
          <w:sz w:val="22"/>
          <w:szCs w:val="22"/>
        </w:rPr>
        <w:t xml:space="preserve">expertise, consultancy services may be hired by </w:t>
      </w:r>
      <w:r w:rsidR="00030896" w:rsidRPr="00907D83">
        <w:rPr>
          <w:rFonts w:ascii="Arial" w:hAnsi="Arial" w:cs="Arial"/>
          <w:sz w:val="22"/>
          <w:szCs w:val="22"/>
        </w:rPr>
        <w:t>AFD</w:t>
      </w:r>
      <w:r w:rsidRPr="00907D83">
        <w:rPr>
          <w:rFonts w:ascii="Arial" w:hAnsi="Arial" w:cs="Arial"/>
          <w:sz w:val="22"/>
          <w:szCs w:val="22"/>
        </w:rPr>
        <w:t xml:space="preserve"> or the IDB (see Table 3.</w:t>
      </w:r>
      <w:r w:rsidR="009D2E97" w:rsidRPr="00907D83">
        <w:rPr>
          <w:rFonts w:ascii="Arial" w:hAnsi="Arial" w:cs="Arial"/>
          <w:sz w:val="22"/>
          <w:szCs w:val="22"/>
        </w:rPr>
        <w:t>3</w:t>
      </w:r>
      <w:r w:rsidRPr="00907D83">
        <w:rPr>
          <w:rFonts w:ascii="Arial" w:hAnsi="Arial" w:cs="Arial"/>
          <w:sz w:val="22"/>
          <w:szCs w:val="22"/>
        </w:rPr>
        <w:t>)</w:t>
      </w:r>
      <w:r w:rsidR="005D3B9D" w:rsidRPr="00907D83">
        <w:rPr>
          <w:rFonts w:ascii="Arial" w:hAnsi="Arial" w:cs="Arial"/>
          <w:sz w:val="22"/>
          <w:szCs w:val="22"/>
        </w:rPr>
        <w:t>.</w:t>
      </w:r>
    </w:p>
    <w:p w14:paraId="4AC7805B" w14:textId="146D9AAC" w:rsidR="0087484C" w:rsidRPr="00907D83" w:rsidRDefault="0087484C" w:rsidP="0087484C">
      <w:pPr>
        <w:pStyle w:val="Paragraph"/>
        <w:tabs>
          <w:tab w:val="clear" w:pos="2736"/>
          <w:tab w:val="num" w:pos="720"/>
        </w:tabs>
        <w:ind w:left="720" w:hanging="720"/>
        <w:rPr>
          <w:rFonts w:ascii="Arial" w:hAnsi="Arial" w:cs="Arial"/>
          <w:sz w:val="22"/>
          <w:szCs w:val="22"/>
        </w:rPr>
      </w:pPr>
      <w:r w:rsidRPr="00907D83">
        <w:rPr>
          <w:rFonts w:ascii="Arial" w:hAnsi="Arial" w:cs="Arial"/>
          <w:sz w:val="22"/>
          <w:szCs w:val="22"/>
        </w:rPr>
        <w:t xml:space="preserve">It will be the responsibility of the </w:t>
      </w:r>
      <w:r w:rsidR="00030896" w:rsidRPr="00907D83">
        <w:rPr>
          <w:rFonts w:ascii="Arial" w:hAnsi="Arial" w:cs="Arial"/>
          <w:sz w:val="22"/>
          <w:szCs w:val="22"/>
        </w:rPr>
        <w:t>IDB</w:t>
      </w:r>
      <w:r w:rsidRPr="00907D83">
        <w:rPr>
          <w:rFonts w:ascii="Arial" w:hAnsi="Arial" w:cs="Arial"/>
          <w:sz w:val="22"/>
          <w:szCs w:val="22"/>
        </w:rPr>
        <w:t xml:space="preserve">, through its IFD/CMF division, to </w:t>
      </w:r>
      <w:r w:rsidR="00030896" w:rsidRPr="00907D83">
        <w:rPr>
          <w:rFonts w:ascii="Arial" w:hAnsi="Arial" w:cs="Arial"/>
          <w:sz w:val="22"/>
          <w:szCs w:val="22"/>
        </w:rPr>
        <w:t xml:space="preserve">follow-up and </w:t>
      </w:r>
      <w:r w:rsidRPr="00907D83">
        <w:rPr>
          <w:rFonts w:ascii="Arial" w:hAnsi="Arial" w:cs="Arial"/>
          <w:sz w:val="22"/>
          <w:szCs w:val="22"/>
        </w:rPr>
        <w:t>supervise the execution of the ex post cost-benefit analysis</w:t>
      </w:r>
      <w:r w:rsidR="00030896" w:rsidRPr="00907D83">
        <w:rPr>
          <w:rFonts w:ascii="Arial" w:hAnsi="Arial" w:cs="Arial"/>
          <w:sz w:val="22"/>
          <w:szCs w:val="22"/>
        </w:rPr>
        <w:t>,</w:t>
      </w:r>
      <w:r w:rsidRPr="00907D83">
        <w:rPr>
          <w:rFonts w:ascii="Arial" w:hAnsi="Arial" w:cs="Arial"/>
          <w:sz w:val="22"/>
          <w:szCs w:val="22"/>
        </w:rPr>
        <w:t xml:space="preserve"> in accordance with the plan proposed. </w:t>
      </w:r>
      <w:r w:rsidR="00030896" w:rsidRPr="00907D83">
        <w:rPr>
          <w:rFonts w:ascii="Arial" w:hAnsi="Arial" w:cs="Arial"/>
          <w:sz w:val="22"/>
          <w:szCs w:val="22"/>
        </w:rPr>
        <w:t>The</w:t>
      </w:r>
      <w:r w:rsidRPr="00907D83">
        <w:rPr>
          <w:rFonts w:ascii="Arial" w:hAnsi="Arial" w:cs="Arial"/>
          <w:sz w:val="22"/>
          <w:szCs w:val="22"/>
        </w:rPr>
        <w:t xml:space="preserve"> IFD/CMF </w:t>
      </w:r>
      <w:r w:rsidR="00030896" w:rsidRPr="00907D83">
        <w:rPr>
          <w:rFonts w:ascii="Arial" w:hAnsi="Arial" w:cs="Arial"/>
          <w:sz w:val="22"/>
          <w:szCs w:val="22"/>
        </w:rPr>
        <w:t xml:space="preserve">division </w:t>
      </w:r>
      <w:r w:rsidRPr="00907D83">
        <w:rPr>
          <w:rFonts w:ascii="Arial" w:hAnsi="Arial" w:cs="Arial"/>
          <w:sz w:val="22"/>
          <w:szCs w:val="22"/>
        </w:rPr>
        <w:t>has a group of specialists focused on climate finance that will participate in the revision of the final report</w:t>
      </w:r>
      <w:r w:rsidR="00030896" w:rsidRPr="00907D83">
        <w:rPr>
          <w:rFonts w:ascii="Arial" w:hAnsi="Arial" w:cs="Arial"/>
          <w:sz w:val="22"/>
          <w:szCs w:val="22"/>
        </w:rPr>
        <w:t>, with expert support from the INE/ENE and CCS/CSD divisions</w:t>
      </w:r>
      <w:r w:rsidRPr="00907D83">
        <w:rPr>
          <w:rFonts w:ascii="Arial" w:hAnsi="Arial" w:cs="Arial"/>
          <w:sz w:val="22"/>
          <w:szCs w:val="22"/>
        </w:rPr>
        <w:t>.</w:t>
      </w:r>
    </w:p>
    <w:p w14:paraId="64569E55" w14:textId="274A3281" w:rsidR="00EF7D29" w:rsidRDefault="0087484C" w:rsidP="00EF6647">
      <w:pPr>
        <w:pStyle w:val="Paragraph"/>
        <w:tabs>
          <w:tab w:val="clear" w:pos="2736"/>
          <w:tab w:val="num" w:pos="720"/>
        </w:tabs>
        <w:ind w:left="720" w:hanging="720"/>
        <w:rPr>
          <w:rFonts w:ascii="Arial" w:hAnsi="Arial" w:cs="Arial"/>
          <w:sz w:val="22"/>
          <w:szCs w:val="22"/>
        </w:rPr>
      </w:pPr>
      <w:bookmarkStart w:id="76" w:name="_Hlk502865600"/>
      <w:r w:rsidRPr="00907D83">
        <w:rPr>
          <w:rFonts w:ascii="Arial" w:hAnsi="Arial" w:cs="Arial"/>
          <w:sz w:val="22"/>
          <w:szCs w:val="22"/>
        </w:rPr>
        <w:t xml:space="preserve">It is expected that the information required for the calculations of the cost benefit ex post will be available from </w:t>
      </w:r>
      <w:r w:rsidR="00174A03" w:rsidRPr="00907D83">
        <w:rPr>
          <w:rFonts w:ascii="Arial" w:hAnsi="Arial" w:cs="Arial"/>
          <w:sz w:val="22"/>
          <w:szCs w:val="22"/>
        </w:rPr>
        <w:t xml:space="preserve">available </w:t>
      </w:r>
      <w:r w:rsidRPr="00907D83">
        <w:rPr>
          <w:rFonts w:ascii="Arial" w:hAnsi="Arial" w:cs="Arial"/>
          <w:sz w:val="22"/>
          <w:szCs w:val="22"/>
        </w:rPr>
        <w:t xml:space="preserve">national sources </w:t>
      </w:r>
      <w:r w:rsidR="00174A03" w:rsidRPr="00907D83">
        <w:rPr>
          <w:rFonts w:ascii="Arial" w:hAnsi="Arial" w:cs="Arial"/>
          <w:sz w:val="22"/>
          <w:szCs w:val="22"/>
        </w:rPr>
        <w:t xml:space="preserve">and program reports produced by AFD, </w:t>
      </w:r>
      <w:r w:rsidRPr="00907D83">
        <w:rPr>
          <w:rFonts w:ascii="Arial" w:hAnsi="Arial" w:cs="Arial"/>
          <w:sz w:val="22"/>
          <w:szCs w:val="22"/>
        </w:rPr>
        <w:t xml:space="preserve">as indicated in Table 3.1. </w:t>
      </w:r>
      <w:r w:rsidR="005D3B9D" w:rsidRPr="00907D83">
        <w:rPr>
          <w:rFonts w:ascii="Arial" w:hAnsi="Arial" w:cs="Arial"/>
          <w:sz w:val="22"/>
          <w:szCs w:val="22"/>
        </w:rPr>
        <w:t xml:space="preserve">Some of the information required </w:t>
      </w:r>
      <w:r w:rsidR="00EF6647" w:rsidRPr="00907D83">
        <w:rPr>
          <w:rFonts w:ascii="Arial" w:hAnsi="Arial" w:cs="Arial"/>
          <w:sz w:val="22"/>
          <w:szCs w:val="22"/>
        </w:rPr>
        <w:t xml:space="preserve">is </w:t>
      </w:r>
      <w:r w:rsidR="005D3B9D" w:rsidRPr="00907D83">
        <w:rPr>
          <w:rFonts w:ascii="Arial" w:hAnsi="Arial" w:cs="Arial"/>
          <w:sz w:val="22"/>
          <w:szCs w:val="22"/>
        </w:rPr>
        <w:t xml:space="preserve">generated </w:t>
      </w:r>
      <w:r w:rsidR="00EF6647" w:rsidRPr="00907D83">
        <w:rPr>
          <w:rFonts w:ascii="Arial" w:hAnsi="Arial" w:cs="Arial"/>
          <w:sz w:val="22"/>
          <w:szCs w:val="22"/>
        </w:rPr>
        <w:t>by</w:t>
      </w:r>
      <w:r w:rsidR="005D3B9D" w:rsidRPr="00907D83">
        <w:rPr>
          <w:rFonts w:ascii="Arial" w:hAnsi="Arial" w:cs="Arial"/>
          <w:sz w:val="22"/>
          <w:szCs w:val="22"/>
        </w:rPr>
        <w:t xml:space="preserve"> existing information systems of </w:t>
      </w:r>
      <w:r w:rsidR="00EF6647" w:rsidRPr="00907D83">
        <w:rPr>
          <w:rFonts w:ascii="Arial" w:hAnsi="Arial" w:cs="Arial"/>
          <w:sz w:val="22"/>
          <w:szCs w:val="22"/>
        </w:rPr>
        <w:t>AFD</w:t>
      </w:r>
      <w:r w:rsidR="005D3B9D" w:rsidRPr="00907D83">
        <w:rPr>
          <w:rFonts w:ascii="Arial" w:hAnsi="Arial" w:cs="Arial"/>
          <w:sz w:val="22"/>
          <w:szCs w:val="22"/>
        </w:rPr>
        <w:t>, and in this sense</w:t>
      </w:r>
      <w:r w:rsidR="00EF6647" w:rsidRPr="00907D83">
        <w:rPr>
          <w:rFonts w:ascii="Arial" w:hAnsi="Arial" w:cs="Arial"/>
          <w:sz w:val="22"/>
          <w:szCs w:val="22"/>
        </w:rPr>
        <w:t>,</w:t>
      </w:r>
      <w:r w:rsidR="005D3B9D" w:rsidRPr="00907D83">
        <w:rPr>
          <w:rFonts w:ascii="Arial" w:hAnsi="Arial" w:cs="Arial"/>
          <w:sz w:val="22"/>
          <w:szCs w:val="22"/>
        </w:rPr>
        <w:t xml:space="preserve"> is does not entail additional costs. Other information is periodically generated by government agencies (e.g. </w:t>
      </w:r>
      <w:r w:rsidR="00EF6647" w:rsidRPr="00907D83">
        <w:rPr>
          <w:rFonts w:ascii="Arial" w:hAnsi="Arial" w:cs="Arial"/>
          <w:sz w:val="22"/>
          <w:szCs w:val="22"/>
        </w:rPr>
        <w:t>Vice Ministry of Mines and Energy</w:t>
      </w:r>
      <w:r w:rsidR="005D3B9D" w:rsidRPr="00907D83">
        <w:rPr>
          <w:rFonts w:ascii="Arial" w:hAnsi="Arial" w:cs="Arial"/>
          <w:sz w:val="22"/>
          <w:szCs w:val="22"/>
        </w:rPr>
        <w:t xml:space="preserve">, </w:t>
      </w:r>
      <w:r w:rsidR="00EF6647" w:rsidRPr="00907D83">
        <w:rPr>
          <w:rFonts w:ascii="Arial" w:hAnsi="Arial" w:cs="Arial"/>
          <w:sz w:val="22"/>
          <w:szCs w:val="22"/>
        </w:rPr>
        <w:t>ANDE</w:t>
      </w:r>
      <w:r w:rsidR="005D3B9D" w:rsidRPr="00907D83">
        <w:rPr>
          <w:rFonts w:ascii="Arial" w:hAnsi="Arial" w:cs="Arial"/>
          <w:sz w:val="22"/>
          <w:szCs w:val="22"/>
        </w:rPr>
        <w:t xml:space="preserve">), in the normal course of its operations. Since the information is expected to be </w:t>
      </w:r>
      <w:r w:rsidR="00EF6647" w:rsidRPr="00907D83">
        <w:rPr>
          <w:rFonts w:ascii="Arial" w:hAnsi="Arial" w:cs="Arial"/>
          <w:sz w:val="22"/>
          <w:szCs w:val="22"/>
        </w:rPr>
        <w:t>publicly</w:t>
      </w:r>
      <w:r w:rsidR="005D3B9D" w:rsidRPr="00907D83">
        <w:rPr>
          <w:rFonts w:ascii="Arial" w:hAnsi="Arial" w:cs="Arial"/>
          <w:sz w:val="22"/>
          <w:szCs w:val="22"/>
        </w:rPr>
        <w:t xml:space="preserve"> available, it is assumed that any complementary consultancy services that may be needed will </w:t>
      </w:r>
      <w:r w:rsidR="00EF6647" w:rsidRPr="00907D83">
        <w:rPr>
          <w:rFonts w:ascii="Arial" w:hAnsi="Arial" w:cs="Arial"/>
          <w:sz w:val="22"/>
          <w:szCs w:val="22"/>
        </w:rPr>
        <w:t>focus on gathering information specific to sub projects financed</w:t>
      </w:r>
      <w:r w:rsidR="005D3B9D" w:rsidRPr="00907D83">
        <w:rPr>
          <w:rFonts w:ascii="Arial" w:hAnsi="Arial" w:cs="Arial"/>
          <w:sz w:val="22"/>
          <w:szCs w:val="22"/>
        </w:rPr>
        <w:t xml:space="preserve">. </w:t>
      </w:r>
      <w:r w:rsidR="007C49AA" w:rsidRPr="00907D83">
        <w:rPr>
          <w:rFonts w:ascii="Arial" w:hAnsi="Arial" w:cs="Arial"/>
          <w:sz w:val="22"/>
          <w:szCs w:val="22"/>
        </w:rPr>
        <w:t>All</w:t>
      </w:r>
      <w:r w:rsidR="00361FA4" w:rsidRPr="00907D83">
        <w:rPr>
          <w:rFonts w:ascii="Arial" w:hAnsi="Arial" w:cs="Arial"/>
          <w:sz w:val="22"/>
          <w:szCs w:val="22"/>
        </w:rPr>
        <w:t xml:space="preserve"> costs of the activities listed in this plan </w:t>
      </w:r>
      <w:r w:rsidR="007C49AA" w:rsidRPr="00907D83">
        <w:rPr>
          <w:rFonts w:ascii="Arial" w:hAnsi="Arial" w:cs="Arial"/>
          <w:sz w:val="22"/>
          <w:szCs w:val="22"/>
        </w:rPr>
        <w:t>wi</w:t>
      </w:r>
      <w:r w:rsidR="00361FA4" w:rsidRPr="00907D83">
        <w:rPr>
          <w:rFonts w:ascii="Arial" w:hAnsi="Arial" w:cs="Arial"/>
          <w:sz w:val="22"/>
          <w:szCs w:val="22"/>
        </w:rPr>
        <w:t xml:space="preserve">ll be financed by the </w:t>
      </w:r>
      <w:r w:rsidR="007C49AA" w:rsidRPr="00907D83">
        <w:rPr>
          <w:rFonts w:ascii="Arial" w:hAnsi="Arial" w:cs="Arial"/>
          <w:sz w:val="22"/>
          <w:szCs w:val="22"/>
        </w:rPr>
        <w:t xml:space="preserve">IDB, using the </w:t>
      </w:r>
      <w:r w:rsidR="00361FA4" w:rsidRPr="00907D83">
        <w:rPr>
          <w:rFonts w:ascii="Arial" w:hAnsi="Arial" w:cs="Arial"/>
          <w:sz w:val="22"/>
          <w:szCs w:val="22"/>
        </w:rPr>
        <w:t xml:space="preserve">supervision budget included in the transactional </w:t>
      </w:r>
      <w:r w:rsidR="007C49AA" w:rsidRPr="00907D83">
        <w:rPr>
          <w:rFonts w:ascii="Arial" w:hAnsi="Arial" w:cs="Arial"/>
          <w:sz w:val="22"/>
          <w:szCs w:val="22"/>
        </w:rPr>
        <w:t>funds</w:t>
      </w:r>
      <w:r w:rsidR="00361FA4" w:rsidRPr="00907D83">
        <w:rPr>
          <w:rFonts w:ascii="Arial" w:hAnsi="Arial" w:cs="Arial"/>
          <w:sz w:val="22"/>
          <w:szCs w:val="22"/>
        </w:rPr>
        <w:t xml:space="preserve"> of the </w:t>
      </w:r>
      <w:r w:rsidR="00D3164E" w:rsidRPr="00907D83">
        <w:rPr>
          <w:rFonts w:ascii="Arial" w:hAnsi="Arial" w:cs="Arial"/>
          <w:sz w:val="22"/>
          <w:szCs w:val="22"/>
        </w:rPr>
        <w:t>IFD/</w:t>
      </w:r>
      <w:r w:rsidR="00361FA4" w:rsidRPr="00907D83">
        <w:rPr>
          <w:rFonts w:ascii="Arial" w:hAnsi="Arial" w:cs="Arial"/>
          <w:sz w:val="22"/>
          <w:szCs w:val="22"/>
        </w:rPr>
        <w:t>CMF division. Its completion is expected by the end of the execution period of the program (see Table 3.</w:t>
      </w:r>
      <w:r w:rsidR="009D2E97" w:rsidRPr="00907D83">
        <w:rPr>
          <w:rFonts w:ascii="Arial" w:hAnsi="Arial" w:cs="Arial"/>
          <w:sz w:val="22"/>
          <w:szCs w:val="22"/>
        </w:rPr>
        <w:t>3</w:t>
      </w:r>
      <w:r w:rsidR="00361FA4" w:rsidRPr="00907D83">
        <w:rPr>
          <w:rFonts w:ascii="Arial" w:hAnsi="Arial" w:cs="Arial"/>
          <w:sz w:val="22"/>
          <w:szCs w:val="22"/>
        </w:rPr>
        <w:t>). Any further evaluat</w:t>
      </w:r>
      <w:r w:rsidR="00D3164E" w:rsidRPr="00907D83">
        <w:rPr>
          <w:rFonts w:ascii="Arial" w:hAnsi="Arial" w:cs="Arial"/>
          <w:sz w:val="22"/>
          <w:szCs w:val="22"/>
        </w:rPr>
        <w:t xml:space="preserve">ion </w:t>
      </w:r>
      <w:r w:rsidR="00EF6647" w:rsidRPr="00907D83">
        <w:rPr>
          <w:rFonts w:ascii="Arial" w:hAnsi="Arial" w:cs="Arial"/>
          <w:sz w:val="22"/>
          <w:szCs w:val="22"/>
        </w:rPr>
        <w:t>involving</w:t>
      </w:r>
      <w:r w:rsidR="00D3164E" w:rsidRPr="00907D83">
        <w:rPr>
          <w:rFonts w:ascii="Arial" w:hAnsi="Arial" w:cs="Arial"/>
          <w:sz w:val="22"/>
          <w:szCs w:val="22"/>
        </w:rPr>
        <w:t xml:space="preserve"> </w:t>
      </w:r>
      <w:r w:rsidR="00EF6647" w:rsidRPr="00907D83">
        <w:rPr>
          <w:rFonts w:ascii="Arial" w:hAnsi="Arial" w:cs="Arial"/>
          <w:sz w:val="22"/>
          <w:szCs w:val="22"/>
        </w:rPr>
        <w:t>other</w:t>
      </w:r>
      <w:r w:rsidR="00D3164E" w:rsidRPr="00907D83">
        <w:rPr>
          <w:rFonts w:ascii="Arial" w:hAnsi="Arial" w:cs="Arial"/>
          <w:sz w:val="22"/>
          <w:szCs w:val="22"/>
        </w:rPr>
        <w:t xml:space="preserve"> specific</w:t>
      </w:r>
      <w:r w:rsidR="00EF6647" w:rsidRPr="00907D83">
        <w:rPr>
          <w:rFonts w:ascii="Arial" w:hAnsi="Arial" w:cs="Arial"/>
          <w:sz w:val="22"/>
          <w:szCs w:val="22"/>
        </w:rPr>
        <w:t xml:space="preserve"> or more sophisticated</w:t>
      </w:r>
      <w:r w:rsidR="00D3164E" w:rsidRPr="00907D83">
        <w:rPr>
          <w:rFonts w:ascii="Arial" w:hAnsi="Arial" w:cs="Arial"/>
          <w:sz w:val="22"/>
          <w:szCs w:val="22"/>
        </w:rPr>
        <w:t xml:space="preserve"> purposes, longer timeframes</w:t>
      </w:r>
      <w:r w:rsidR="00EF6647" w:rsidRPr="00907D83">
        <w:rPr>
          <w:rFonts w:ascii="Arial" w:hAnsi="Arial" w:cs="Arial"/>
          <w:sz w:val="22"/>
          <w:szCs w:val="22"/>
        </w:rPr>
        <w:t xml:space="preserve"> of data collection</w:t>
      </w:r>
      <w:r w:rsidR="00D3164E" w:rsidRPr="00907D83">
        <w:rPr>
          <w:rFonts w:ascii="Arial" w:hAnsi="Arial" w:cs="Arial"/>
          <w:sz w:val="22"/>
          <w:szCs w:val="22"/>
        </w:rPr>
        <w:t xml:space="preserve"> </w:t>
      </w:r>
      <w:r w:rsidR="00361FA4" w:rsidRPr="00907D83">
        <w:rPr>
          <w:rFonts w:ascii="Arial" w:hAnsi="Arial" w:cs="Arial"/>
          <w:sz w:val="22"/>
          <w:szCs w:val="22"/>
        </w:rPr>
        <w:t xml:space="preserve">or seeking to determine </w:t>
      </w:r>
      <w:r w:rsidR="00EF6647" w:rsidRPr="00907D83">
        <w:rPr>
          <w:rFonts w:ascii="Arial" w:hAnsi="Arial" w:cs="Arial"/>
          <w:sz w:val="22"/>
          <w:szCs w:val="22"/>
        </w:rPr>
        <w:t xml:space="preserve">additional </w:t>
      </w:r>
      <w:r w:rsidR="00361FA4" w:rsidRPr="00907D83">
        <w:rPr>
          <w:rFonts w:ascii="Arial" w:hAnsi="Arial" w:cs="Arial"/>
          <w:sz w:val="22"/>
          <w:szCs w:val="22"/>
        </w:rPr>
        <w:t>externalities resulting from the execution of the program</w:t>
      </w:r>
      <w:r w:rsidR="00EF6647" w:rsidRPr="00907D83">
        <w:rPr>
          <w:rFonts w:ascii="Arial" w:hAnsi="Arial" w:cs="Arial"/>
          <w:sz w:val="22"/>
          <w:szCs w:val="22"/>
        </w:rPr>
        <w:t>,</w:t>
      </w:r>
      <w:r w:rsidR="00361FA4" w:rsidRPr="00907D83">
        <w:rPr>
          <w:rFonts w:ascii="Arial" w:hAnsi="Arial" w:cs="Arial"/>
          <w:sz w:val="22"/>
          <w:szCs w:val="22"/>
        </w:rPr>
        <w:t xml:space="preserve"> may be carried out if considered relevant, but will not be incorporated as part of this </w:t>
      </w:r>
      <w:bookmarkEnd w:id="76"/>
      <w:r w:rsidR="00846A04" w:rsidRPr="00907D83">
        <w:rPr>
          <w:rFonts w:ascii="Arial" w:hAnsi="Arial" w:cs="Arial"/>
          <w:sz w:val="22"/>
          <w:szCs w:val="22"/>
        </w:rPr>
        <w:t>M&amp;EP</w:t>
      </w:r>
      <w:r w:rsidR="00D3164E" w:rsidRPr="00907D83">
        <w:rPr>
          <w:rFonts w:ascii="Arial" w:hAnsi="Arial" w:cs="Arial"/>
          <w:sz w:val="22"/>
          <w:szCs w:val="22"/>
        </w:rPr>
        <w:t>.</w:t>
      </w:r>
    </w:p>
    <w:p w14:paraId="31846E2D" w14:textId="77777777" w:rsidR="00907D83" w:rsidRPr="00907D83" w:rsidRDefault="00907D83" w:rsidP="003B669D">
      <w:pPr>
        <w:pStyle w:val="Paragraph"/>
        <w:numPr>
          <w:ilvl w:val="0"/>
          <w:numId w:val="0"/>
        </w:numPr>
        <w:ind w:left="720"/>
        <w:rPr>
          <w:rFonts w:ascii="Arial" w:hAnsi="Arial" w:cs="Arial"/>
          <w:sz w:val="22"/>
          <w:szCs w:val="22"/>
        </w:rPr>
      </w:pPr>
    </w:p>
    <w:p w14:paraId="0F2BEF04" w14:textId="6480425F" w:rsidR="00EF6647" w:rsidRPr="00907D83" w:rsidRDefault="00EF6647" w:rsidP="00EF6647">
      <w:pPr>
        <w:pStyle w:val="Paragraph"/>
        <w:numPr>
          <w:ilvl w:val="0"/>
          <w:numId w:val="0"/>
        </w:numPr>
        <w:spacing w:after="0"/>
        <w:rPr>
          <w:rFonts w:ascii="Arial" w:hAnsi="Arial" w:cs="Arial"/>
          <w:b/>
          <w:sz w:val="22"/>
          <w:szCs w:val="22"/>
        </w:rPr>
      </w:pPr>
      <w:r w:rsidRPr="00907D83">
        <w:rPr>
          <w:rFonts w:ascii="Arial" w:hAnsi="Arial" w:cs="Arial"/>
          <w:b/>
          <w:sz w:val="22"/>
          <w:szCs w:val="22"/>
        </w:rPr>
        <w:t>Table 3.</w:t>
      </w:r>
      <w:r w:rsidR="009D2E97" w:rsidRPr="00907D83">
        <w:rPr>
          <w:rFonts w:ascii="Arial" w:hAnsi="Arial" w:cs="Arial"/>
          <w:b/>
          <w:sz w:val="22"/>
          <w:szCs w:val="22"/>
        </w:rPr>
        <w:t>3</w:t>
      </w:r>
      <w:r w:rsidRPr="00907D83">
        <w:rPr>
          <w:rFonts w:ascii="Arial" w:hAnsi="Arial" w:cs="Arial"/>
          <w:b/>
          <w:sz w:val="22"/>
          <w:szCs w:val="22"/>
        </w:rPr>
        <w:t>: Evaluation workplan and budget</w:t>
      </w:r>
    </w:p>
    <w:tbl>
      <w:tblPr>
        <w:tblStyle w:val="LightShading-Accent1"/>
        <w:tblW w:w="8928" w:type="dxa"/>
        <w:tblLayout w:type="fixed"/>
        <w:tblLook w:val="04A0" w:firstRow="1" w:lastRow="0" w:firstColumn="1" w:lastColumn="0" w:noHBand="0" w:noVBand="1"/>
      </w:tblPr>
      <w:tblGrid>
        <w:gridCol w:w="2880"/>
        <w:gridCol w:w="540"/>
        <w:gridCol w:w="540"/>
        <w:gridCol w:w="540"/>
        <w:gridCol w:w="540"/>
        <w:gridCol w:w="648"/>
        <w:gridCol w:w="612"/>
        <w:gridCol w:w="1710"/>
        <w:gridCol w:w="918"/>
      </w:tblGrid>
      <w:tr w:rsidR="009E4AD7" w:rsidRPr="00907D83" w14:paraId="12E81873" w14:textId="77777777" w:rsidTr="009E4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5ADB38C8" w14:textId="77777777" w:rsidR="009E4AD7" w:rsidRPr="00907D83" w:rsidRDefault="009E4AD7" w:rsidP="00323456">
            <w:pPr>
              <w:rPr>
                <w:rFonts w:ascii="Arial" w:hAnsi="Arial" w:cs="Arial"/>
                <w:smallCaps/>
                <w:sz w:val="18"/>
                <w:szCs w:val="18"/>
              </w:rPr>
            </w:pPr>
            <w:r w:rsidRPr="00907D83">
              <w:rPr>
                <w:rFonts w:ascii="Arial" w:hAnsi="Arial" w:cs="Arial"/>
                <w:smallCaps/>
                <w:sz w:val="18"/>
                <w:szCs w:val="18"/>
              </w:rPr>
              <w:t>Activity</w:t>
            </w:r>
          </w:p>
        </w:tc>
        <w:tc>
          <w:tcPr>
            <w:tcW w:w="540" w:type="dxa"/>
            <w:vAlign w:val="center"/>
          </w:tcPr>
          <w:p w14:paraId="271E4060" w14:textId="77777777" w:rsidR="009E4AD7" w:rsidRPr="00907D83" w:rsidRDefault="009E4AD7"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Y1</w:t>
            </w:r>
          </w:p>
        </w:tc>
        <w:tc>
          <w:tcPr>
            <w:tcW w:w="540" w:type="dxa"/>
            <w:vAlign w:val="center"/>
          </w:tcPr>
          <w:p w14:paraId="4E98760B" w14:textId="77777777" w:rsidR="009E4AD7" w:rsidRPr="00907D83" w:rsidRDefault="009E4AD7"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Y2</w:t>
            </w:r>
          </w:p>
        </w:tc>
        <w:tc>
          <w:tcPr>
            <w:tcW w:w="540" w:type="dxa"/>
            <w:vAlign w:val="center"/>
          </w:tcPr>
          <w:p w14:paraId="49F575A9" w14:textId="77777777" w:rsidR="009E4AD7" w:rsidRPr="00907D83" w:rsidRDefault="009E4AD7"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Y3</w:t>
            </w:r>
          </w:p>
        </w:tc>
        <w:tc>
          <w:tcPr>
            <w:tcW w:w="540" w:type="dxa"/>
            <w:vAlign w:val="center"/>
          </w:tcPr>
          <w:p w14:paraId="68AFC349" w14:textId="77777777" w:rsidR="009E4AD7" w:rsidRPr="00907D83" w:rsidRDefault="009E4AD7"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Y4</w:t>
            </w:r>
          </w:p>
        </w:tc>
        <w:tc>
          <w:tcPr>
            <w:tcW w:w="648" w:type="dxa"/>
            <w:vAlign w:val="center"/>
          </w:tcPr>
          <w:p w14:paraId="39E3C121" w14:textId="3EFC276C" w:rsidR="009E4AD7" w:rsidRPr="00907D83" w:rsidRDefault="009E4AD7"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color w:val="8DB3E2" w:themeColor="text2" w:themeTint="66"/>
                <w:sz w:val="18"/>
                <w:szCs w:val="18"/>
              </w:rPr>
            </w:pPr>
            <w:r w:rsidRPr="00907D83">
              <w:rPr>
                <w:rFonts w:ascii="Arial" w:hAnsi="Arial" w:cs="Arial"/>
                <w:smallCaps/>
                <w:sz w:val="18"/>
                <w:szCs w:val="18"/>
              </w:rPr>
              <w:t>Y5</w:t>
            </w:r>
          </w:p>
        </w:tc>
        <w:tc>
          <w:tcPr>
            <w:tcW w:w="612" w:type="dxa"/>
            <w:vAlign w:val="center"/>
          </w:tcPr>
          <w:p w14:paraId="0E58ACA6" w14:textId="70028EB0" w:rsidR="009E4AD7" w:rsidRPr="00907D83" w:rsidRDefault="009E4AD7"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color w:val="8DB3E2" w:themeColor="text2" w:themeTint="66"/>
                <w:sz w:val="18"/>
                <w:szCs w:val="18"/>
              </w:rPr>
              <w:t>Y6</w:t>
            </w:r>
          </w:p>
        </w:tc>
        <w:tc>
          <w:tcPr>
            <w:tcW w:w="1710" w:type="dxa"/>
            <w:vAlign w:val="center"/>
          </w:tcPr>
          <w:p w14:paraId="7174E142" w14:textId="1DDEFB3A" w:rsidR="009E4AD7" w:rsidRPr="00907D83" w:rsidRDefault="009E4AD7"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Responsible</w:t>
            </w:r>
            <w:r w:rsidRPr="00907D83">
              <w:rPr>
                <w:rFonts w:ascii="Arial" w:hAnsi="Arial" w:cs="Arial"/>
                <w:sz w:val="18"/>
                <w:szCs w:val="18"/>
                <w:vertAlign w:val="superscript"/>
              </w:rPr>
              <w:t>[a]</w:t>
            </w:r>
          </w:p>
        </w:tc>
        <w:tc>
          <w:tcPr>
            <w:tcW w:w="918" w:type="dxa"/>
            <w:vAlign w:val="center"/>
          </w:tcPr>
          <w:p w14:paraId="2BF28BC0" w14:textId="44D83A6C" w:rsidR="009E4AD7" w:rsidRPr="00907D83" w:rsidRDefault="009E4AD7" w:rsidP="00323456">
            <w:pPr>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18"/>
                <w:szCs w:val="18"/>
              </w:rPr>
            </w:pPr>
            <w:r w:rsidRPr="00907D83">
              <w:rPr>
                <w:rFonts w:ascii="Arial" w:hAnsi="Arial" w:cs="Arial"/>
                <w:smallCaps/>
                <w:sz w:val="18"/>
                <w:szCs w:val="18"/>
              </w:rPr>
              <w:t>Budget (US</w:t>
            </w:r>
            <w:r w:rsidR="00F52C95" w:rsidRPr="00907D83">
              <w:rPr>
                <w:rFonts w:ascii="Arial" w:hAnsi="Arial" w:cs="Arial"/>
                <w:smallCaps/>
                <w:sz w:val="18"/>
                <w:szCs w:val="18"/>
              </w:rPr>
              <w:t>$</w:t>
            </w:r>
            <w:r w:rsidRPr="00907D83">
              <w:rPr>
                <w:rFonts w:ascii="Arial" w:hAnsi="Arial" w:cs="Arial"/>
                <w:smallCaps/>
                <w:sz w:val="18"/>
                <w:szCs w:val="18"/>
              </w:rPr>
              <w:t>)</w:t>
            </w:r>
          </w:p>
        </w:tc>
      </w:tr>
      <w:tr w:rsidR="00EF6647" w:rsidRPr="00907D83" w14:paraId="636F707C" w14:textId="77777777" w:rsidTr="009E4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4F81BD" w:themeColor="accent1"/>
            </w:tcBorders>
            <w:vAlign w:val="center"/>
          </w:tcPr>
          <w:p w14:paraId="6CFEA321" w14:textId="77777777" w:rsidR="00EF6647" w:rsidRPr="00907D83" w:rsidRDefault="00EF6647" w:rsidP="00EF6647">
            <w:pPr>
              <w:spacing w:before="60" w:after="60"/>
              <w:rPr>
                <w:rFonts w:ascii="Arial" w:hAnsi="Arial" w:cs="Arial"/>
                <w:b w:val="0"/>
                <w:sz w:val="18"/>
                <w:szCs w:val="18"/>
              </w:rPr>
            </w:pPr>
            <w:r w:rsidRPr="00907D83">
              <w:rPr>
                <w:rFonts w:ascii="Arial" w:hAnsi="Arial" w:cs="Arial"/>
                <w:sz w:val="18"/>
                <w:szCs w:val="18"/>
              </w:rPr>
              <w:t>Collection of data for outcome indicators</w:t>
            </w:r>
            <w:r w:rsidRPr="00907D83">
              <w:rPr>
                <w:rStyle w:val="FootnoteReference"/>
                <w:rFonts w:ascii="Arial" w:hAnsi="Arial" w:cs="Arial"/>
                <w:sz w:val="18"/>
                <w:szCs w:val="18"/>
              </w:rPr>
              <w:footnoteReference w:id="27"/>
            </w:r>
          </w:p>
        </w:tc>
        <w:tc>
          <w:tcPr>
            <w:tcW w:w="540" w:type="dxa"/>
            <w:tcBorders>
              <w:top w:val="single" w:sz="8" w:space="0" w:color="4F81BD" w:themeColor="accent1"/>
            </w:tcBorders>
            <w:vAlign w:val="center"/>
          </w:tcPr>
          <w:p w14:paraId="7FC52165" w14:textId="77777777" w:rsidR="00EF6647" w:rsidRPr="00907D83" w:rsidRDefault="00EF6647" w:rsidP="00EF66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single" w:sz="8" w:space="0" w:color="4F81BD" w:themeColor="accent1"/>
            </w:tcBorders>
            <w:vAlign w:val="center"/>
          </w:tcPr>
          <w:p w14:paraId="489F1BFF" w14:textId="77777777" w:rsidR="00EF6647" w:rsidRPr="00907D83" w:rsidRDefault="00EF6647" w:rsidP="00EF66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single" w:sz="8" w:space="0" w:color="4F81BD" w:themeColor="accent1"/>
            </w:tcBorders>
            <w:vAlign w:val="center"/>
          </w:tcPr>
          <w:p w14:paraId="1B01ECAA" w14:textId="77777777" w:rsidR="00EF6647" w:rsidRPr="00907D83" w:rsidRDefault="00EF6647" w:rsidP="00EF66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single" w:sz="8" w:space="0" w:color="4F81BD" w:themeColor="accent1"/>
            </w:tcBorders>
            <w:vAlign w:val="center"/>
          </w:tcPr>
          <w:p w14:paraId="33E1063B" w14:textId="26E84AEE" w:rsidR="00EF6647" w:rsidRPr="00907D83" w:rsidRDefault="00EF6647" w:rsidP="00EF66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48" w:type="dxa"/>
            <w:tcBorders>
              <w:top w:val="single" w:sz="8" w:space="0" w:color="4F81BD" w:themeColor="accent1"/>
            </w:tcBorders>
            <w:vAlign w:val="center"/>
          </w:tcPr>
          <w:p w14:paraId="5AB8E26B" w14:textId="379064D5" w:rsidR="00EF6647" w:rsidRPr="00907D83" w:rsidRDefault="00EF6647" w:rsidP="00EF66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612" w:type="dxa"/>
            <w:tcBorders>
              <w:top w:val="single" w:sz="8" w:space="0" w:color="4F81BD" w:themeColor="accent1"/>
            </w:tcBorders>
          </w:tcPr>
          <w:p w14:paraId="1DE7532C" w14:textId="77777777" w:rsidR="00EF6647" w:rsidRPr="00907D83" w:rsidRDefault="00EF6647" w:rsidP="00EF66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10" w:type="dxa"/>
            <w:tcBorders>
              <w:top w:val="single" w:sz="8" w:space="0" w:color="4F81BD" w:themeColor="accent1"/>
            </w:tcBorders>
            <w:vAlign w:val="center"/>
          </w:tcPr>
          <w:p w14:paraId="01D30CAD" w14:textId="7AE42834" w:rsidR="00EF6647" w:rsidRPr="00907D83" w:rsidRDefault="00EF6647" w:rsidP="00EF66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AFD/IDB</w:t>
            </w:r>
          </w:p>
        </w:tc>
        <w:tc>
          <w:tcPr>
            <w:tcW w:w="918" w:type="dxa"/>
            <w:tcBorders>
              <w:top w:val="single" w:sz="8" w:space="0" w:color="4F81BD" w:themeColor="accent1"/>
            </w:tcBorders>
            <w:vAlign w:val="center"/>
          </w:tcPr>
          <w:p w14:paraId="1899E83F" w14:textId="77777777" w:rsidR="00EF6647" w:rsidRPr="00907D83" w:rsidRDefault="00EF6647" w:rsidP="00EF66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12,000</w:t>
            </w:r>
          </w:p>
        </w:tc>
      </w:tr>
      <w:tr w:rsidR="00EF6647" w:rsidRPr="00907D83" w14:paraId="7C2A1FBC" w14:textId="77777777" w:rsidTr="009E4AD7">
        <w:tc>
          <w:tcPr>
            <w:cnfStyle w:val="001000000000" w:firstRow="0" w:lastRow="0" w:firstColumn="1" w:lastColumn="0" w:oddVBand="0" w:evenVBand="0" w:oddHBand="0" w:evenHBand="0" w:firstRowFirstColumn="0" w:firstRowLastColumn="0" w:lastRowFirstColumn="0" w:lastRowLastColumn="0"/>
            <w:tcW w:w="2880" w:type="dxa"/>
            <w:tcBorders>
              <w:bottom w:val="nil"/>
            </w:tcBorders>
            <w:vAlign w:val="center"/>
          </w:tcPr>
          <w:p w14:paraId="453B2D59" w14:textId="77777777" w:rsidR="00EF6647" w:rsidRPr="00907D83" w:rsidRDefault="00EF6647" w:rsidP="00EF6647">
            <w:pPr>
              <w:spacing w:before="60" w:after="60"/>
              <w:rPr>
                <w:rFonts w:ascii="Arial" w:hAnsi="Arial" w:cs="Arial"/>
                <w:b w:val="0"/>
                <w:sz w:val="18"/>
                <w:szCs w:val="18"/>
              </w:rPr>
            </w:pPr>
            <w:r w:rsidRPr="00907D83">
              <w:rPr>
                <w:rFonts w:ascii="Arial" w:hAnsi="Arial" w:cs="Arial"/>
                <w:sz w:val="18"/>
                <w:szCs w:val="18"/>
              </w:rPr>
              <w:t>Data Projections and Analysis</w:t>
            </w:r>
          </w:p>
        </w:tc>
        <w:tc>
          <w:tcPr>
            <w:tcW w:w="540" w:type="dxa"/>
            <w:tcBorders>
              <w:bottom w:val="nil"/>
            </w:tcBorders>
            <w:vAlign w:val="center"/>
          </w:tcPr>
          <w:p w14:paraId="0A47832E" w14:textId="77777777" w:rsidR="00EF6647" w:rsidRPr="00907D83" w:rsidRDefault="00EF6647" w:rsidP="00EF664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bottom w:val="nil"/>
            </w:tcBorders>
            <w:vAlign w:val="center"/>
          </w:tcPr>
          <w:p w14:paraId="74803900" w14:textId="77777777" w:rsidR="00EF6647" w:rsidRPr="00907D83" w:rsidRDefault="00EF6647" w:rsidP="00EF664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bottom w:val="nil"/>
            </w:tcBorders>
            <w:vAlign w:val="center"/>
          </w:tcPr>
          <w:p w14:paraId="7617A52A" w14:textId="77777777" w:rsidR="00EF6647" w:rsidRPr="00907D83" w:rsidRDefault="00EF6647" w:rsidP="00EF664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bottom w:val="nil"/>
            </w:tcBorders>
            <w:vAlign w:val="center"/>
          </w:tcPr>
          <w:p w14:paraId="04283951" w14:textId="388F5E5C" w:rsidR="00EF6647" w:rsidRPr="00907D83" w:rsidRDefault="00EF6647" w:rsidP="00EF664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48" w:type="dxa"/>
            <w:tcBorders>
              <w:bottom w:val="nil"/>
            </w:tcBorders>
            <w:vAlign w:val="center"/>
          </w:tcPr>
          <w:p w14:paraId="162B920C" w14:textId="7E31B12E" w:rsidR="00EF6647" w:rsidRPr="00907D83" w:rsidRDefault="00EF6647" w:rsidP="00EF664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1</w:t>
            </w:r>
          </w:p>
        </w:tc>
        <w:tc>
          <w:tcPr>
            <w:tcW w:w="612" w:type="dxa"/>
            <w:tcBorders>
              <w:bottom w:val="nil"/>
            </w:tcBorders>
          </w:tcPr>
          <w:p w14:paraId="7DFBEC9B" w14:textId="77777777" w:rsidR="00EF6647" w:rsidRPr="00907D83" w:rsidRDefault="00EF6647" w:rsidP="00EF664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10" w:type="dxa"/>
            <w:tcBorders>
              <w:bottom w:val="nil"/>
            </w:tcBorders>
            <w:vAlign w:val="center"/>
          </w:tcPr>
          <w:p w14:paraId="208EA3FD" w14:textId="4E6E7143" w:rsidR="00EF6647" w:rsidRPr="00907D83" w:rsidRDefault="00EF6647" w:rsidP="00EF664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IDB/Consultants</w:t>
            </w:r>
          </w:p>
        </w:tc>
        <w:tc>
          <w:tcPr>
            <w:tcW w:w="918" w:type="dxa"/>
            <w:tcBorders>
              <w:bottom w:val="nil"/>
            </w:tcBorders>
            <w:vAlign w:val="center"/>
          </w:tcPr>
          <w:p w14:paraId="1B35DB48" w14:textId="77777777" w:rsidR="00EF6647" w:rsidRPr="00907D83" w:rsidRDefault="00EF6647" w:rsidP="00EF664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20,000</w:t>
            </w:r>
          </w:p>
        </w:tc>
      </w:tr>
      <w:tr w:rsidR="00EC1E61" w:rsidRPr="00907D83" w14:paraId="373E9DDE" w14:textId="77777777" w:rsidTr="00A60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bottom w:val="nil"/>
            </w:tcBorders>
            <w:vAlign w:val="center"/>
          </w:tcPr>
          <w:p w14:paraId="7710738B" w14:textId="77777777" w:rsidR="00EC1E61" w:rsidRPr="00907D83" w:rsidRDefault="00EC1E61" w:rsidP="00EC1E61">
            <w:pPr>
              <w:spacing w:before="60" w:after="60"/>
              <w:rPr>
                <w:rFonts w:ascii="Arial" w:hAnsi="Arial" w:cs="Arial"/>
                <w:b w:val="0"/>
                <w:sz w:val="18"/>
                <w:szCs w:val="18"/>
              </w:rPr>
            </w:pPr>
            <w:r w:rsidRPr="00907D83">
              <w:rPr>
                <w:rFonts w:ascii="Arial" w:hAnsi="Arial" w:cs="Arial"/>
                <w:sz w:val="18"/>
                <w:szCs w:val="18"/>
              </w:rPr>
              <w:t>Preparation of final evaluation: Cost-Benefit Analysis Ex-post</w:t>
            </w:r>
          </w:p>
        </w:tc>
        <w:tc>
          <w:tcPr>
            <w:tcW w:w="540" w:type="dxa"/>
            <w:tcBorders>
              <w:top w:val="nil"/>
              <w:bottom w:val="nil"/>
            </w:tcBorders>
            <w:vAlign w:val="center"/>
          </w:tcPr>
          <w:p w14:paraId="4D2D8C43"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nil"/>
              <w:bottom w:val="nil"/>
            </w:tcBorders>
            <w:vAlign w:val="center"/>
          </w:tcPr>
          <w:p w14:paraId="676ACE6A"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nil"/>
              <w:bottom w:val="nil"/>
            </w:tcBorders>
            <w:vAlign w:val="center"/>
          </w:tcPr>
          <w:p w14:paraId="077D9DD1"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nil"/>
              <w:bottom w:val="nil"/>
            </w:tcBorders>
            <w:vAlign w:val="center"/>
          </w:tcPr>
          <w:p w14:paraId="791BFE37" w14:textId="6F23B75A"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48" w:type="dxa"/>
            <w:tcBorders>
              <w:top w:val="nil"/>
              <w:bottom w:val="nil"/>
            </w:tcBorders>
            <w:vAlign w:val="center"/>
          </w:tcPr>
          <w:p w14:paraId="41F47306" w14:textId="1D01120B"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12" w:type="dxa"/>
            <w:tcBorders>
              <w:top w:val="nil"/>
              <w:bottom w:val="nil"/>
            </w:tcBorders>
            <w:vAlign w:val="center"/>
          </w:tcPr>
          <w:p w14:paraId="523EA4BC" w14:textId="53C30CB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color w:val="8DB3E2" w:themeColor="text2" w:themeTint="66"/>
                <w:sz w:val="18"/>
                <w:szCs w:val="18"/>
              </w:rPr>
              <w:t>1</w:t>
            </w:r>
          </w:p>
        </w:tc>
        <w:tc>
          <w:tcPr>
            <w:tcW w:w="1710" w:type="dxa"/>
            <w:tcBorders>
              <w:top w:val="nil"/>
              <w:bottom w:val="nil"/>
            </w:tcBorders>
            <w:vAlign w:val="center"/>
          </w:tcPr>
          <w:p w14:paraId="59ED8E83" w14:textId="280D66ED"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IDB/Consultants</w:t>
            </w:r>
          </w:p>
        </w:tc>
        <w:tc>
          <w:tcPr>
            <w:tcW w:w="918" w:type="dxa"/>
            <w:tcBorders>
              <w:top w:val="nil"/>
              <w:bottom w:val="nil"/>
            </w:tcBorders>
            <w:vAlign w:val="center"/>
          </w:tcPr>
          <w:p w14:paraId="09810F8F"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7D83">
              <w:rPr>
                <w:rFonts w:ascii="Arial" w:hAnsi="Arial" w:cs="Arial"/>
                <w:sz w:val="18"/>
                <w:szCs w:val="18"/>
              </w:rPr>
              <w:t>10,000</w:t>
            </w:r>
          </w:p>
        </w:tc>
      </w:tr>
      <w:tr w:rsidR="00EC1E61" w:rsidRPr="00907D83" w14:paraId="6882C9D3" w14:textId="77777777" w:rsidTr="00A60CE7">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8" w:space="0" w:color="4F81BD" w:themeColor="accent1"/>
            </w:tcBorders>
            <w:vAlign w:val="center"/>
          </w:tcPr>
          <w:p w14:paraId="783B1AF9" w14:textId="4C6624CE" w:rsidR="00EC1E61" w:rsidRPr="00907D83" w:rsidRDefault="00EC1E61" w:rsidP="00EC1E61">
            <w:pPr>
              <w:spacing w:before="60" w:after="60"/>
              <w:rPr>
                <w:rFonts w:ascii="Arial" w:hAnsi="Arial" w:cs="Arial"/>
                <w:b w:val="0"/>
                <w:sz w:val="18"/>
                <w:szCs w:val="18"/>
              </w:rPr>
            </w:pPr>
            <w:r w:rsidRPr="00907D83">
              <w:rPr>
                <w:rFonts w:ascii="Arial" w:hAnsi="Arial" w:cs="Arial"/>
                <w:sz w:val="18"/>
                <w:szCs w:val="18"/>
              </w:rPr>
              <w:t>Cost-Benefit Analysis Ex-post distribution and discussion</w:t>
            </w:r>
          </w:p>
        </w:tc>
        <w:tc>
          <w:tcPr>
            <w:tcW w:w="540" w:type="dxa"/>
            <w:tcBorders>
              <w:top w:val="nil"/>
              <w:bottom w:val="single" w:sz="8" w:space="0" w:color="4F81BD" w:themeColor="accent1"/>
            </w:tcBorders>
            <w:vAlign w:val="center"/>
          </w:tcPr>
          <w:p w14:paraId="0E86ADAF"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top w:val="nil"/>
              <w:bottom w:val="single" w:sz="8" w:space="0" w:color="4F81BD" w:themeColor="accent1"/>
            </w:tcBorders>
            <w:vAlign w:val="center"/>
          </w:tcPr>
          <w:p w14:paraId="5FC1C35A"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top w:val="nil"/>
              <w:bottom w:val="single" w:sz="8" w:space="0" w:color="4F81BD" w:themeColor="accent1"/>
            </w:tcBorders>
            <w:vAlign w:val="center"/>
          </w:tcPr>
          <w:p w14:paraId="2770370D"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0" w:type="dxa"/>
            <w:tcBorders>
              <w:top w:val="nil"/>
              <w:bottom w:val="single" w:sz="8" w:space="0" w:color="4F81BD" w:themeColor="accent1"/>
            </w:tcBorders>
            <w:vAlign w:val="center"/>
          </w:tcPr>
          <w:p w14:paraId="16FCC205"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48" w:type="dxa"/>
            <w:tcBorders>
              <w:top w:val="nil"/>
              <w:bottom w:val="single" w:sz="8" w:space="0" w:color="4F81BD" w:themeColor="accent1"/>
            </w:tcBorders>
          </w:tcPr>
          <w:p w14:paraId="79ABFA8D" w14:textId="2214DB6E"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12" w:type="dxa"/>
            <w:tcBorders>
              <w:top w:val="nil"/>
              <w:bottom w:val="single" w:sz="8" w:space="0" w:color="4F81BD" w:themeColor="accent1"/>
            </w:tcBorders>
            <w:vAlign w:val="center"/>
          </w:tcPr>
          <w:p w14:paraId="3FC0CFA3" w14:textId="77B75F75"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8DB3E2" w:themeColor="text2" w:themeTint="66"/>
                <w:sz w:val="18"/>
                <w:szCs w:val="18"/>
              </w:rPr>
            </w:pPr>
            <w:r w:rsidRPr="00907D83">
              <w:rPr>
                <w:rFonts w:ascii="Arial" w:hAnsi="Arial" w:cs="Arial"/>
                <w:color w:val="8DB3E2" w:themeColor="text2" w:themeTint="66"/>
                <w:sz w:val="18"/>
                <w:szCs w:val="18"/>
              </w:rPr>
              <w:t>1</w:t>
            </w:r>
          </w:p>
        </w:tc>
        <w:tc>
          <w:tcPr>
            <w:tcW w:w="1710" w:type="dxa"/>
            <w:tcBorders>
              <w:top w:val="nil"/>
              <w:bottom w:val="single" w:sz="8" w:space="0" w:color="4F81BD" w:themeColor="accent1"/>
            </w:tcBorders>
            <w:vAlign w:val="center"/>
          </w:tcPr>
          <w:p w14:paraId="55B7F107" w14:textId="63EB2A62"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IDB/AFD</w:t>
            </w:r>
          </w:p>
        </w:tc>
        <w:tc>
          <w:tcPr>
            <w:tcW w:w="918" w:type="dxa"/>
            <w:tcBorders>
              <w:top w:val="nil"/>
              <w:bottom w:val="single" w:sz="8" w:space="0" w:color="4F81BD" w:themeColor="accent1"/>
            </w:tcBorders>
            <w:vAlign w:val="center"/>
          </w:tcPr>
          <w:p w14:paraId="0CA6727C" w14:textId="77777777" w:rsidR="00EC1E61" w:rsidRPr="00907D83" w:rsidRDefault="00EC1E61" w:rsidP="00EC1E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7D83">
              <w:rPr>
                <w:rFonts w:ascii="Arial" w:hAnsi="Arial" w:cs="Arial"/>
                <w:sz w:val="18"/>
                <w:szCs w:val="18"/>
              </w:rPr>
              <w:t>3,000</w:t>
            </w:r>
          </w:p>
        </w:tc>
      </w:tr>
      <w:tr w:rsidR="00EC1E61" w:rsidRPr="00907D83" w14:paraId="463677F5" w14:textId="77777777" w:rsidTr="009E4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4F81BD" w:themeColor="accent1"/>
            </w:tcBorders>
            <w:vAlign w:val="center"/>
          </w:tcPr>
          <w:p w14:paraId="7C858821" w14:textId="77777777" w:rsidR="00EC1E61" w:rsidRPr="00907D83" w:rsidRDefault="00EC1E61" w:rsidP="00EC1E61">
            <w:pPr>
              <w:spacing w:before="60" w:after="60"/>
              <w:rPr>
                <w:rFonts w:ascii="Arial" w:hAnsi="Arial" w:cs="Arial"/>
                <w:b w:val="0"/>
                <w:sz w:val="18"/>
                <w:szCs w:val="18"/>
              </w:rPr>
            </w:pPr>
            <w:r w:rsidRPr="00907D83">
              <w:rPr>
                <w:rFonts w:ascii="Arial" w:hAnsi="Arial" w:cs="Arial"/>
                <w:sz w:val="18"/>
                <w:szCs w:val="18"/>
              </w:rPr>
              <w:t>Total</w:t>
            </w:r>
          </w:p>
        </w:tc>
        <w:tc>
          <w:tcPr>
            <w:tcW w:w="540" w:type="dxa"/>
            <w:tcBorders>
              <w:top w:val="single" w:sz="8" w:space="0" w:color="4F81BD" w:themeColor="accent1"/>
            </w:tcBorders>
            <w:vAlign w:val="center"/>
          </w:tcPr>
          <w:p w14:paraId="29C44A15"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single" w:sz="8" w:space="0" w:color="4F81BD" w:themeColor="accent1"/>
            </w:tcBorders>
            <w:vAlign w:val="center"/>
          </w:tcPr>
          <w:p w14:paraId="6A5AD747"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single" w:sz="8" w:space="0" w:color="4F81BD" w:themeColor="accent1"/>
            </w:tcBorders>
            <w:vAlign w:val="center"/>
          </w:tcPr>
          <w:p w14:paraId="3A019BDB"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0" w:type="dxa"/>
            <w:tcBorders>
              <w:top w:val="single" w:sz="8" w:space="0" w:color="4F81BD" w:themeColor="accent1"/>
            </w:tcBorders>
            <w:vAlign w:val="center"/>
          </w:tcPr>
          <w:p w14:paraId="6AC4EAF6"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48" w:type="dxa"/>
            <w:tcBorders>
              <w:top w:val="single" w:sz="8" w:space="0" w:color="4F81BD" w:themeColor="accent1"/>
            </w:tcBorders>
          </w:tcPr>
          <w:p w14:paraId="1F76C75F"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12" w:type="dxa"/>
            <w:tcBorders>
              <w:top w:val="single" w:sz="8" w:space="0" w:color="4F81BD" w:themeColor="accent1"/>
            </w:tcBorders>
          </w:tcPr>
          <w:p w14:paraId="54F803AF"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10" w:type="dxa"/>
            <w:tcBorders>
              <w:top w:val="single" w:sz="8" w:space="0" w:color="4F81BD" w:themeColor="accent1"/>
            </w:tcBorders>
            <w:vAlign w:val="center"/>
          </w:tcPr>
          <w:p w14:paraId="2ACB3F7C" w14:textId="62EA6380"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18" w:type="dxa"/>
            <w:tcBorders>
              <w:top w:val="single" w:sz="8" w:space="0" w:color="4F81BD" w:themeColor="accent1"/>
            </w:tcBorders>
            <w:vAlign w:val="center"/>
          </w:tcPr>
          <w:p w14:paraId="524F45D2" w14:textId="77777777" w:rsidR="00EC1E61" w:rsidRPr="00907D83" w:rsidRDefault="00EC1E61" w:rsidP="00EC1E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07D83">
              <w:rPr>
                <w:rFonts w:ascii="Arial" w:hAnsi="Arial" w:cs="Arial"/>
                <w:b/>
                <w:sz w:val="18"/>
                <w:szCs w:val="18"/>
              </w:rPr>
              <w:t>45,000</w:t>
            </w:r>
          </w:p>
        </w:tc>
      </w:tr>
    </w:tbl>
    <w:p w14:paraId="32A4D6B5" w14:textId="7697B5D9" w:rsidR="00361FA4" w:rsidRPr="00907D83" w:rsidRDefault="004F5DB0" w:rsidP="004F5DB0">
      <w:pPr>
        <w:pStyle w:val="Chapter"/>
        <w:numPr>
          <w:ilvl w:val="0"/>
          <w:numId w:val="0"/>
        </w:numPr>
        <w:spacing w:before="80"/>
        <w:jc w:val="left"/>
        <w:rPr>
          <w:rFonts w:ascii="Arial" w:hAnsi="Arial" w:cs="Arial"/>
          <w:b w:val="0"/>
          <w:smallCaps w:val="0"/>
          <w:sz w:val="16"/>
          <w:szCs w:val="16"/>
        </w:rPr>
      </w:pPr>
      <w:bookmarkStart w:id="77" w:name="_Toc461196724"/>
      <w:bookmarkStart w:id="78" w:name="_Toc461196961"/>
      <w:bookmarkStart w:id="79" w:name="_Toc501017820"/>
      <w:bookmarkEnd w:id="75"/>
      <w:r w:rsidRPr="00907D83">
        <w:rPr>
          <w:rFonts w:ascii="Arial" w:hAnsi="Arial" w:cs="Arial"/>
          <w:b w:val="0"/>
          <w:smallCaps w:val="0"/>
          <w:sz w:val="16"/>
          <w:szCs w:val="16"/>
          <w:vertAlign w:val="superscript"/>
        </w:rPr>
        <w:t>[a]</w:t>
      </w:r>
      <w:r w:rsidRPr="00907D83">
        <w:rPr>
          <w:rFonts w:ascii="Arial" w:hAnsi="Arial" w:cs="Arial"/>
          <w:b w:val="0"/>
          <w:smallCaps w:val="0"/>
          <w:sz w:val="16"/>
          <w:szCs w:val="16"/>
        </w:rPr>
        <w:t xml:space="preserve"> </w:t>
      </w:r>
      <w:r w:rsidR="00EF6647" w:rsidRPr="00907D83">
        <w:rPr>
          <w:rFonts w:ascii="Arial" w:hAnsi="Arial" w:cs="Arial"/>
          <w:b w:val="0"/>
          <w:smallCaps w:val="0"/>
          <w:sz w:val="16"/>
          <w:szCs w:val="16"/>
        </w:rPr>
        <w:t>A</w:t>
      </w:r>
      <w:r w:rsidR="00E674AE" w:rsidRPr="00907D83">
        <w:rPr>
          <w:rFonts w:ascii="Arial" w:hAnsi="Arial" w:cs="Arial"/>
          <w:b w:val="0"/>
          <w:smallCaps w:val="0"/>
          <w:sz w:val="16"/>
          <w:szCs w:val="16"/>
        </w:rPr>
        <w:t>ll A</w:t>
      </w:r>
      <w:r w:rsidR="00EF6647" w:rsidRPr="00907D83">
        <w:rPr>
          <w:rFonts w:ascii="Arial" w:hAnsi="Arial" w:cs="Arial"/>
          <w:b w:val="0"/>
          <w:smallCaps w:val="0"/>
          <w:sz w:val="16"/>
          <w:szCs w:val="16"/>
        </w:rPr>
        <w:t>FD</w:t>
      </w:r>
      <w:r w:rsidRPr="00907D83">
        <w:rPr>
          <w:rFonts w:ascii="Arial" w:hAnsi="Arial" w:cs="Arial"/>
          <w:b w:val="0"/>
          <w:smallCaps w:val="0"/>
          <w:sz w:val="16"/>
          <w:szCs w:val="16"/>
        </w:rPr>
        <w:t xml:space="preserve"> responsibilities in terms of budget are considered to be payable in-kind.</w:t>
      </w:r>
      <w:bookmarkEnd w:id="77"/>
      <w:bookmarkEnd w:id="78"/>
      <w:bookmarkEnd w:id="79"/>
    </w:p>
    <w:sectPr w:rsidR="00361FA4" w:rsidRPr="00907D83" w:rsidSect="0098245B">
      <w:headerReference w:type="default" r:id="rId28"/>
      <w:headerReference w:type="first" r:id="rId2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F0415" w14:textId="77777777" w:rsidR="00FD60C7" w:rsidRDefault="00FD60C7" w:rsidP="00051B6C">
      <w:pPr>
        <w:spacing w:after="0" w:line="240" w:lineRule="auto"/>
      </w:pPr>
      <w:r>
        <w:separator/>
      </w:r>
    </w:p>
  </w:endnote>
  <w:endnote w:type="continuationSeparator" w:id="0">
    <w:p w14:paraId="5E930047" w14:textId="77777777" w:rsidR="00FD60C7" w:rsidRDefault="00FD60C7" w:rsidP="00051B6C">
      <w:pPr>
        <w:spacing w:after="0" w:line="240" w:lineRule="auto"/>
      </w:pPr>
      <w:r>
        <w:continuationSeparator/>
      </w:r>
    </w:p>
  </w:endnote>
  <w:endnote w:type="continuationNotice" w:id="1">
    <w:p w14:paraId="39A34AA2" w14:textId="77777777" w:rsidR="00FD60C7" w:rsidRDefault="00FD6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tham Book">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3F67" w14:textId="77777777" w:rsidR="005B5C14" w:rsidRDefault="005B5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FA448" w14:textId="77777777" w:rsidR="00FD60C7" w:rsidRDefault="00FD60C7" w:rsidP="00051B6C">
      <w:pPr>
        <w:spacing w:after="0" w:line="240" w:lineRule="auto"/>
      </w:pPr>
      <w:r>
        <w:separator/>
      </w:r>
    </w:p>
  </w:footnote>
  <w:footnote w:type="continuationSeparator" w:id="0">
    <w:p w14:paraId="014CFD4B" w14:textId="77777777" w:rsidR="00FD60C7" w:rsidRDefault="00FD60C7" w:rsidP="00051B6C">
      <w:pPr>
        <w:spacing w:after="0" w:line="240" w:lineRule="auto"/>
      </w:pPr>
      <w:r>
        <w:continuationSeparator/>
      </w:r>
    </w:p>
  </w:footnote>
  <w:footnote w:type="continuationNotice" w:id="1">
    <w:p w14:paraId="1F6BA33F" w14:textId="77777777" w:rsidR="00FD60C7" w:rsidRDefault="00FD60C7">
      <w:pPr>
        <w:spacing w:after="0" w:line="240" w:lineRule="auto"/>
      </w:pPr>
    </w:p>
  </w:footnote>
  <w:footnote w:id="2">
    <w:p w14:paraId="4EFB9D36" w14:textId="77777777" w:rsidR="005B5C14" w:rsidRPr="00CF0F72" w:rsidRDefault="005B5C14" w:rsidP="00413583">
      <w:pPr>
        <w:pStyle w:val="FootnoteText"/>
        <w:spacing w:after="0"/>
        <w:ind w:left="270" w:hanging="270"/>
        <w:rPr>
          <w:rFonts w:ascii="Arial" w:hAnsi="Arial" w:cs="Arial"/>
          <w:sz w:val="18"/>
          <w:szCs w:val="18"/>
        </w:rPr>
      </w:pPr>
      <w:r w:rsidRPr="00CF0F72">
        <w:rPr>
          <w:rStyle w:val="FootnoteReference"/>
          <w:rFonts w:ascii="Arial" w:eastAsiaTheme="majorEastAsia" w:hAnsi="Arial" w:cs="Arial"/>
          <w:sz w:val="18"/>
          <w:szCs w:val="18"/>
        </w:rPr>
        <w:footnoteRef/>
      </w:r>
      <w:r w:rsidRPr="00CF0F72">
        <w:rPr>
          <w:rFonts w:ascii="Arial" w:hAnsi="Arial" w:cs="Arial"/>
          <w:sz w:val="18"/>
          <w:szCs w:val="18"/>
        </w:rPr>
        <w:t xml:space="preserve"> </w:t>
      </w:r>
      <w:r w:rsidRPr="00CF0F72">
        <w:rPr>
          <w:rFonts w:ascii="Arial" w:hAnsi="Arial" w:cs="Arial"/>
          <w:sz w:val="18"/>
          <w:szCs w:val="18"/>
        </w:rPr>
        <w:tab/>
      </w:r>
      <w:hyperlink r:id="rId1" w:history="1">
        <w:r w:rsidRPr="00CF0F72">
          <w:rPr>
            <w:rStyle w:val="Hyperlink"/>
            <w:rFonts w:ascii="Arial" w:hAnsi="Arial" w:cs="Arial"/>
            <w:sz w:val="18"/>
            <w:szCs w:val="18"/>
          </w:rPr>
          <w:t>Industrial EE and competitiveness</w:t>
        </w:r>
      </w:hyperlink>
      <w:r w:rsidRPr="00CF0F72">
        <w:rPr>
          <w:rFonts w:ascii="Arial" w:hAnsi="Arial" w:cs="Arial"/>
          <w:sz w:val="18"/>
          <w:szCs w:val="18"/>
        </w:rPr>
        <w:t>, Working Paper 05/2011, United Nations Industrial Development Organization (UNIDO), 2011.</w:t>
      </w:r>
    </w:p>
  </w:footnote>
  <w:footnote w:id="3">
    <w:p w14:paraId="25CAF849" w14:textId="36462C02" w:rsidR="005B5C14" w:rsidRPr="00CF0F72" w:rsidRDefault="005B5C14" w:rsidP="00413583">
      <w:pPr>
        <w:pStyle w:val="FootnoteText"/>
        <w:spacing w:after="0"/>
        <w:ind w:left="270" w:hanging="270"/>
        <w:rPr>
          <w:rFonts w:ascii="Arial" w:hAnsi="Arial" w:cs="Arial"/>
          <w:sz w:val="18"/>
          <w:szCs w:val="18"/>
        </w:rPr>
      </w:pPr>
      <w:r w:rsidRPr="00CF0F72">
        <w:rPr>
          <w:rStyle w:val="FootnoteReference"/>
          <w:rFonts w:ascii="Arial" w:eastAsiaTheme="majorEastAsia" w:hAnsi="Arial" w:cs="Arial"/>
          <w:sz w:val="18"/>
          <w:szCs w:val="18"/>
        </w:rPr>
        <w:footnoteRef/>
      </w:r>
      <w:r w:rsidRPr="00CF0F72">
        <w:rPr>
          <w:rFonts w:ascii="Arial" w:hAnsi="Arial" w:cs="Arial"/>
          <w:sz w:val="18"/>
          <w:szCs w:val="18"/>
        </w:rPr>
        <w:t xml:space="preserve"> </w:t>
      </w:r>
      <w:r w:rsidRPr="00CF0F72">
        <w:rPr>
          <w:rFonts w:ascii="Arial" w:hAnsi="Arial" w:cs="Arial"/>
          <w:sz w:val="18"/>
          <w:szCs w:val="18"/>
        </w:rPr>
        <w:tab/>
        <w:t>The average payback period is 3.6 years, which is incompatible with the conditions offered by the banking system, generating mismatches in loan amortization periods.</w:t>
      </w:r>
    </w:p>
  </w:footnote>
  <w:footnote w:id="4">
    <w:p w14:paraId="76A3CFEC" w14:textId="450FE511" w:rsidR="005B5C14" w:rsidRPr="00A5506F" w:rsidRDefault="005B5C14" w:rsidP="00413583">
      <w:pPr>
        <w:pStyle w:val="FootnoteText"/>
        <w:spacing w:after="0"/>
        <w:rPr>
          <w:rFonts w:ascii="Arial" w:hAnsi="Arial" w:cs="Arial"/>
          <w:sz w:val="18"/>
          <w:szCs w:val="18"/>
          <w:lang w:val="es-PE"/>
        </w:rPr>
      </w:pPr>
      <w:r w:rsidRPr="00A5506F">
        <w:rPr>
          <w:rStyle w:val="FootnoteReference"/>
          <w:rFonts w:ascii="Arial" w:eastAsiaTheme="majorEastAsia" w:hAnsi="Arial" w:cs="Arial"/>
          <w:sz w:val="18"/>
          <w:szCs w:val="18"/>
        </w:rPr>
        <w:footnoteRef/>
      </w:r>
      <w:r w:rsidRPr="00A5506F">
        <w:rPr>
          <w:rFonts w:ascii="Arial" w:hAnsi="Arial" w:cs="Arial"/>
          <w:sz w:val="18"/>
          <w:szCs w:val="18"/>
          <w:lang w:val="es-PE"/>
        </w:rPr>
        <w:t xml:space="preserve"> </w:t>
      </w:r>
      <w:bookmarkStart w:id="9" w:name="_Hlk494187432"/>
      <w:r w:rsidRPr="00A5506F">
        <w:rPr>
          <w:rFonts w:ascii="Arial" w:hAnsi="Arial" w:cs="Arial"/>
          <w:sz w:val="18"/>
          <w:szCs w:val="18"/>
          <w:lang w:val="es-PE"/>
        </w:rPr>
        <w:tab/>
      </w:r>
      <w:hyperlink r:id="rId2" w:history="1">
        <w:proofErr w:type="spellStart"/>
        <w:r w:rsidRPr="00B913FC">
          <w:rPr>
            <w:rStyle w:val="Hyperlink"/>
            <w:rFonts w:ascii="Arial" w:hAnsi="Arial" w:cs="Arial"/>
            <w:sz w:val="18"/>
            <w:szCs w:val="18"/>
            <w:lang w:val="es-PE"/>
          </w:rPr>
          <w:t>Carlino</w:t>
        </w:r>
        <w:proofErr w:type="spellEnd"/>
        <w:r w:rsidRPr="00B913FC">
          <w:rPr>
            <w:rStyle w:val="Hyperlink"/>
            <w:rFonts w:ascii="Arial" w:hAnsi="Arial" w:cs="Arial"/>
            <w:sz w:val="18"/>
            <w:szCs w:val="18"/>
            <w:lang w:val="es-PE"/>
          </w:rPr>
          <w:t>, H. 2017</w:t>
        </w:r>
      </w:hyperlink>
      <w:r w:rsidRPr="00B913FC">
        <w:rPr>
          <w:rFonts w:ascii="Arial" w:hAnsi="Arial" w:cs="Arial"/>
          <w:sz w:val="18"/>
          <w:szCs w:val="18"/>
          <w:lang w:val="es-PE"/>
        </w:rPr>
        <w:t xml:space="preserve">. </w:t>
      </w:r>
      <w:r w:rsidRPr="00B913FC">
        <w:rPr>
          <w:rFonts w:ascii="Arial" w:hAnsi="Arial" w:cs="Arial"/>
          <w:bCs/>
          <w:i/>
          <w:sz w:val="18"/>
          <w:szCs w:val="18"/>
          <w:lang w:val="es-PE"/>
        </w:rPr>
        <w:t xml:space="preserve">Guía para la estructuración de instrumentos financieros para la promoción de la eficiencia energética - </w:t>
      </w:r>
      <w:r w:rsidRPr="00B913FC">
        <w:rPr>
          <w:rFonts w:ascii="Arial" w:hAnsi="Arial" w:cs="Arial"/>
          <w:i/>
          <w:sz w:val="18"/>
          <w:szCs w:val="18"/>
          <w:lang w:val="es-PE"/>
        </w:rPr>
        <w:t>Estudio de caso de la Agencia Financiera de Desarrollo de Paraguay</w:t>
      </w:r>
      <w:r w:rsidRPr="00B913FC">
        <w:rPr>
          <w:rFonts w:ascii="Arial" w:hAnsi="Arial" w:cs="Arial"/>
          <w:sz w:val="18"/>
          <w:szCs w:val="18"/>
          <w:lang w:val="es-PE"/>
        </w:rPr>
        <w:t>.</w:t>
      </w:r>
      <w:r w:rsidRPr="00A5506F">
        <w:rPr>
          <w:rFonts w:ascii="Arial" w:hAnsi="Arial" w:cs="Arial"/>
          <w:sz w:val="18"/>
          <w:szCs w:val="18"/>
          <w:lang w:val="es-PE"/>
        </w:rPr>
        <w:t xml:space="preserve"> </w:t>
      </w:r>
      <w:bookmarkEnd w:id="9"/>
    </w:p>
  </w:footnote>
  <w:footnote w:id="5">
    <w:p w14:paraId="2699E2B1" w14:textId="6267C610" w:rsidR="005B5C14" w:rsidRPr="0043212D" w:rsidRDefault="005B5C14" w:rsidP="00413583">
      <w:pPr>
        <w:pStyle w:val="FootnoteText"/>
        <w:spacing w:after="0"/>
        <w:rPr>
          <w:rFonts w:ascii="Arial" w:hAnsi="Arial" w:cs="Arial"/>
          <w:sz w:val="18"/>
          <w:szCs w:val="18"/>
        </w:rPr>
      </w:pPr>
      <w:r w:rsidRPr="003D61F7">
        <w:rPr>
          <w:rStyle w:val="FootnoteReference"/>
          <w:rFonts w:ascii="Arial" w:eastAsiaTheme="majorEastAsia" w:hAnsi="Arial" w:cs="Arial"/>
          <w:sz w:val="18"/>
          <w:szCs w:val="18"/>
        </w:rPr>
        <w:footnoteRef/>
      </w:r>
      <w:r w:rsidRPr="003D61F7">
        <w:rPr>
          <w:rFonts w:ascii="Arial" w:hAnsi="Arial" w:cs="Arial"/>
          <w:sz w:val="18"/>
          <w:szCs w:val="18"/>
        </w:rPr>
        <w:t xml:space="preserve"> </w:t>
      </w:r>
      <w:r w:rsidRPr="003D61F7">
        <w:rPr>
          <w:rFonts w:ascii="Arial" w:hAnsi="Arial" w:cs="Arial"/>
          <w:sz w:val="18"/>
          <w:szCs w:val="18"/>
        </w:rPr>
        <w:tab/>
        <w:t xml:space="preserve">A market </w:t>
      </w:r>
      <w:r w:rsidRPr="00B913FC">
        <w:rPr>
          <w:rFonts w:ascii="Arial" w:hAnsi="Arial" w:cs="Arial"/>
          <w:sz w:val="18"/>
          <w:szCs w:val="18"/>
        </w:rPr>
        <w:t>study (</w:t>
      </w:r>
      <w:proofErr w:type="spellStart"/>
      <w:r>
        <w:fldChar w:fldCharType="begin"/>
      </w:r>
      <w:r>
        <w:instrText xml:space="preserve"> HYPERLINK "https://idbg.sharepoint.com/teams/EZ-PR-LON/PR-L1146/_layouts/15/DocIdRedir.aspx?ID=EZSHARE-1067953801-2" </w:instrText>
      </w:r>
      <w:r>
        <w:fldChar w:fldCharType="separate"/>
      </w:r>
      <w:r w:rsidRPr="00B913FC">
        <w:rPr>
          <w:rStyle w:val="Hyperlink"/>
          <w:rFonts w:ascii="Arial" w:hAnsi="Arial" w:cs="Arial"/>
          <w:sz w:val="18"/>
          <w:szCs w:val="18"/>
        </w:rPr>
        <w:t>Carlino</w:t>
      </w:r>
      <w:proofErr w:type="spellEnd"/>
      <w:r w:rsidRPr="00B913FC">
        <w:rPr>
          <w:rStyle w:val="Hyperlink"/>
          <w:rFonts w:ascii="Arial" w:hAnsi="Arial" w:cs="Arial"/>
          <w:sz w:val="18"/>
          <w:szCs w:val="18"/>
        </w:rPr>
        <w:t>, H., 2017</w:t>
      </w:r>
      <w:r>
        <w:rPr>
          <w:rStyle w:val="Hyperlink"/>
          <w:rFonts w:ascii="Arial" w:hAnsi="Arial" w:cs="Arial"/>
          <w:sz w:val="18"/>
          <w:szCs w:val="18"/>
        </w:rPr>
        <w:fldChar w:fldCharType="end"/>
      </w:r>
      <w:r w:rsidRPr="00B913FC">
        <w:rPr>
          <w:rFonts w:ascii="Arial" w:hAnsi="Arial" w:cs="Arial"/>
          <w:sz w:val="18"/>
          <w:szCs w:val="18"/>
        </w:rPr>
        <w:t xml:space="preserve">) has shown potential demand for credit for EE improvements in </w:t>
      </w:r>
      <w:r>
        <w:rPr>
          <w:rFonts w:ascii="Arial" w:hAnsi="Arial" w:cs="Arial"/>
          <w:sz w:val="18"/>
          <w:szCs w:val="18"/>
        </w:rPr>
        <w:t>SME</w:t>
      </w:r>
      <w:r w:rsidRPr="00B913FC">
        <w:rPr>
          <w:rFonts w:ascii="Arial" w:hAnsi="Arial" w:cs="Arial"/>
          <w:sz w:val="18"/>
          <w:szCs w:val="18"/>
        </w:rPr>
        <w:t>s, in sub-sectors such as brick fabrication, sugar mills</w:t>
      </w:r>
      <w:r w:rsidRPr="003D61F7">
        <w:rPr>
          <w:rFonts w:ascii="Arial" w:hAnsi="Arial" w:cs="Arial"/>
          <w:sz w:val="18"/>
          <w:szCs w:val="18"/>
        </w:rPr>
        <w:t xml:space="preserve"> and agroindustry. In selecting the target sectors for the study, several factors were taken into account, including participation in GDP, relevant value chains for Paraguay, impact on generating positive foreign trade and job creation.</w:t>
      </w:r>
      <w:r>
        <w:rPr>
          <w:rFonts w:ascii="Arial" w:hAnsi="Arial" w:cs="Arial"/>
          <w:sz w:val="18"/>
          <w:szCs w:val="18"/>
        </w:rPr>
        <w:t xml:space="preserve"> </w:t>
      </w:r>
      <w:r w:rsidRPr="0043212D">
        <w:rPr>
          <w:rFonts w:ascii="Arial" w:hAnsi="Arial" w:cs="Arial"/>
          <w:sz w:val="18"/>
          <w:szCs w:val="18"/>
        </w:rPr>
        <w:t xml:space="preserve">See also </w:t>
      </w:r>
      <w:hyperlink r:id="rId3" w:history="1">
        <w:proofErr w:type="spellStart"/>
        <w:r w:rsidRPr="0043212D">
          <w:rPr>
            <w:rStyle w:val="Hyperlink"/>
            <w:rFonts w:ascii="Arial" w:hAnsi="Arial" w:cs="Arial"/>
            <w:i/>
            <w:sz w:val="18"/>
            <w:szCs w:val="18"/>
          </w:rPr>
          <w:t>Producci</w:t>
        </w:r>
        <w:r>
          <w:rPr>
            <w:rStyle w:val="Hyperlink"/>
            <w:rFonts w:ascii="Arial" w:hAnsi="Arial" w:cs="Arial"/>
            <w:i/>
            <w:sz w:val="18"/>
            <w:szCs w:val="18"/>
          </w:rPr>
          <w:t>ó</w:t>
        </w:r>
        <w:r w:rsidRPr="0043212D">
          <w:rPr>
            <w:rStyle w:val="Hyperlink"/>
            <w:rFonts w:ascii="Arial" w:hAnsi="Arial" w:cs="Arial"/>
            <w:i/>
            <w:sz w:val="18"/>
            <w:szCs w:val="18"/>
          </w:rPr>
          <w:t>n</w:t>
        </w:r>
        <w:proofErr w:type="spellEnd"/>
        <w:r w:rsidRPr="0043212D">
          <w:rPr>
            <w:rStyle w:val="Hyperlink"/>
            <w:rFonts w:ascii="Arial" w:hAnsi="Arial" w:cs="Arial"/>
            <w:i/>
            <w:sz w:val="18"/>
            <w:szCs w:val="18"/>
          </w:rPr>
          <w:t xml:space="preserve"> y </w:t>
        </w:r>
        <w:proofErr w:type="spellStart"/>
        <w:r w:rsidRPr="0043212D">
          <w:rPr>
            <w:rStyle w:val="Hyperlink"/>
            <w:rFonts w:ascii="Arial" w:hAnsi="Arial" w:cs="Arial"/>
            <w:i/>
            <w:sz w:val="18"/>
            <w:szCs w:val="18"/>
          </w:rPr>
          <w:t>Consumo</w:t>
        </w:r>
        <w:proofErr w:type="spellEnd"/>
        <w:r w:rsidRPr="0043212D">
          <w:rPr>
            <w:rStyle w:val="Hyperlink"/>
            <w:rFonts w:ascii="Arial" w:hAnsi="Arial" w:cs="Arial"/>
            <w:i/>
            <w:sz w:val="18"/>
            <w:szCs w:val="18"/>
          </w:rPr>
          <w:t xml:space="preserve"> de </w:t>
        </w:r>
        <w:proofErr w:type="spellStart"/>
        <w:r w:rsidRPr="0043212D">
          <w:rPr>
            <w:rStyle w:val="Hyperlink"/>
            <w:rFonts w:ascii="Arial" w:hAnsi="Arial" w:cs="Arial"/>
            <w:i/>
            <w:sz w:val="18"/>
            <w:szCs w:val="18"/>
          </w:rPr>
          <w:t>Biomasa</w:t>
        </w:r>
        <w:proofErr w:type="spellEnd"/>
        <w:r w:rsidRPr="0043212D">
          <w:rPr>
            <w:rStyle w:val="Hyperlink"/>
            <w:rFonts w:ascii="Arial" w:hAnsi="Arial" w:cs="Arial"/>
            <w:i/>
            <w:sz w:val="18"/>
            <w:szCs w:val="18"/>
          </w:rPr>
          <w:t xml:space="preserve"> </w:t>
        </w:r>
        <w:proofErr w:type="spellStart"/>
        <w:r w:rsidRPr="0043212D">
          <w:rPr>
            <w:rStyle w:val="Hyperlink"/>
            <w:rFonts w:ascii="Arial" w:hAnsi="Arial" w:cs="Arial"/>
            <w:i/>
            <w:sz w:val="18"/>
            <w:szCs w:val="18"/>
          </w:rPr>
          <w:t>Solida</w:t>
        </w:r>
        <w:proofErr w:type="spellEnd"/>
        <w:r w:rsidRPr="0043212D">
          <w:rPr>
            <w:rStyle w:val="Hyperlink"/>
            <w:rFonts w:ascii="Arial" w:hAnsi="Arial" w:cs="Arial"/>
            <w:i/>
            <w:sz w:val="18"/>
            <w:szCs w:val="18"/>
          </w:rPr>
          <w:t xml:space="preserve"> </w:t>
        </w:r>
        <w:proofErr w:type="spellStart"/>
        <w:r w:rsidRPr="0043212D">
          <w:rPr>
            <w:rStyle w:val="Hyperlink"/>
            <w:rFonts w:ascii="Arial" w:hAnsi="Arial" w:cs="Arial"/>
            <w:i/>
            <w:sz w:val="18"/>
            <w:szCs w:val="18"/>
          </w:rPr>
          <w:t>en</w:t>
        </w:r>
        <w:proofErr w:type="spellEnd"/>
        <w:r w:rsidRPr="0043212D">
          <w:rPr>
            <w:rStyle w:val="Hyperlink"/>
            <w:rFonts w:ascii="Arial" w:hAnsi="Arial" w:cs="Arial"/>
            <w:i/>
            <w:sz w:val="18"/>
            <w:szCs w:val="18"/>
          </w:rPr>
          <w:t xml:space="preserve"> Paraguay</w:t>
        </w:r>
      </w:hyperlink>
      <w:r w:rsidRPr="0043212D">
        <w:rPr>
          <w:rFonts w:ascii="Arial" w:hAnsi="Arial" w:cs="Arial"/>
          <w:sz w:val="18"/>
          <w:szCs w:val="18"/>
        </w:rPr>
        <w:t>, Vice Ministry of Mines and Energy</w:t>
      </w:r>
      <w:r>
        <w:rPr>
          <w:rFonts w:ascii="Arial" w:hAnsi="Arial" w:cs="Arial"/>
          <w:sz w:val="18"/>
          <w:szCs w:val="18"/>
        </w:rPr>
        <w:t xml:space="preserve"> (VMME)</w:t>
      </w:r>
      <w:r w:rsidRPr="0043212D">
        <w:rPr>
          <w:rFonts w:ascii="Arial" w:hAnsi="Arial" w:cs="Arial"/>
          <w:sz w:val="18"/>
          <w:szCs w:val="18"/>
        </w:rPr>
        <w:t xml:space="preserve"> and GIZ, 2013.</w:t>
      </w:r>
    </w:p>
  </w:footnote>
  <w:footnote w:id="6">
    <w:p w14:paraId="789A6D66" w14:textId="2218D406" w:rsidR="005B5C14" w:rsidRPr="00CF0F72" w:rsidRDefault="005B5C14" w:rsidP="00413583">
      <w:pPr>
        <w:pStyle w:val="FootnoteText"/>
        <w:spacing w:after="0"/>
        <w:rPr>
          <w:rFonts w:ascii="Arial" w:hAnsi="Arial" w:cs="Arial"/>
          <w:sz w:val="18"/>
          <w:szCs w:val="18"/>
        </w:rPr>
      </w:pPr>
      <w:r w:rsidRPr="00CF0F72">
        <w:rPr>
          <w:rStyle w:val="FootnoteReference"/>
          <w:rFonts w:ascii="Arial" w:eastAsiaTheme="majorEastAsia" w:hAnsi="Arial" w:cs="Arial"/>
          <w:sz w:val="18"/>
          <w:szCs w:val="18"/>
        </w:rPr>
        <w:footnoteRef/>
      </w:r>
      <w:r w:rsidRPr="00CF0F72">
        <w:rPr>
          <w:rFonts w:ascii="Arial" w:hAnsi="Arial" w:cs="Arial"/>
          <w:sz w:val="18"/>
          <w:szCs w:val="18"/>
        </w:rPr>
        <w:t xml:space="preserve"> </w:t>
      </w:r>
      <w:r w:rsidRPr="00CF0F72">
        <w:rPr>
          <w:rFonts w:ascii="Arial" w:hAnsi="Arial" w:cs="Arial"/>
          <w:sz w:val="18"/>
          <w:szCs w:val="18"/>
        </w:rPr>
        <w:tab/>
        <w:t xml:space="preserve">Non-financial barriers such as lack of awareness of business opportunities, insufficient technical capacity, and entrenched behavioral patterns will be addressed through complementary </w:t>
      </w:r>
      <w:r>
        <w:rPr>
          <w:rFonts w:ascii="Arial" w:hAnsi="Arial" w:cs="Arial"/>
          <w:sz w:val="18"/>
          <w:szCs w:val="18"/>
        </w:rPr>
        <w:t>technical cooperation (TC)</w:t>
      </w:r>
      <w:r w:rsidRPr="00CF0F72">
        <w:rPr>
          <w:rFonts w:ascii="Arial" w:hAnsi="Arial" w:cs="Arial"/>
          <w:sz w:val="18"/>
          <w:szCs w:val="18"/>
        </w:rPr>
        <w:t xml:space="preserve"> activities (see </w:t>
      </w:r>
      <w:r w:rsidRPr="00087819">
        <w:rPr>
          <w:rFonts w:ascii="Arial" w:hAnsi="Arial" w:cs="Arial"/>
          <w:sz w:val="18"/>
          <w:szCs w:val="18"/>
        </w:rPr>
        <w:t>PR-T1249</w:t>
      </w:r>
      <w:r w:rsidRPr="00CF0F72">
        <w:rPr>
          <w:rFonts w:ascii="Arial" w:hAnsi="Arial" w:cs="Arial"/>
          <w:sz w:val="18"/>
          <w:szCs w:val="18"/>
        </w:rPr>
        <w:t>).</w:t>
      </w:r>
    </w:p>
  </w:footnote>
  <w:footnote w:id="7">
    <w:p w14:paraId="2DA87798" w14:textId="77777777" w:rsidR="005B5C14" w:rsidRPr="00CF0F72" w:rsidRDefault="005B5C14" w:rsidP="00413583">
      <w:pPr>
        <w:pStyle w:val="FootnoteText"/>
        <w:spacing w:after="0"/>
        <w:ind w:left="270" w:hanging="270"/>
        <w:rPr>
          <w:rFonts w:ascii="Arial" w:hAnsi="Arial" w:cs="Arial"/>
          <w:sz w:val="18"/>
          <w:szCs w:val="18"/>
        </w:rPr>
      </w:pPr>
      <w:r w:rsidRPr="00CF0F72">
        <w:rPr>
          <w:rStyle w:val="FootnoteReference"/>
          <w:rFonts w:ascii="Arial" w:eastAsiaTheme="majorEastAsia" w:hAnsi="Arial" w:cs="Arial"/>
          <w:sz w:val="18"/>
          <w:szCs w:val="18"/>
        </w:rPr>
        <w:footnoteRef/>
      </w:r>
      <w:r w:rsidRPr="00CF0F72">
        <w:rPr>
          <w:rFonts w:ascii="Arial" w:hAnsi="Arial" w:cs="Arial"/>
          <w:sz w:val="18"/>
          <w:szCs w:val="18"/>
        </w:rPr>
        <w:t xml:space="preserve"> </w:t>
      </w:r>
      <w:r w:rsidRPr="00CF0F72">
        <w:rPr>
          <w:rFonts w:ascii="Arial" w:hAnsi="Arial" w:cs="Arial"/>
          <w:sz w:val="18"/>
          <w:szCs w:val="18"/>
        </w:rPr>
        <w:tab/>
        <w:t>The GCF is a UNFCCC’s financial mechanism that provides funding to promote mitigation and adaptation to climate change. The IDB is accredited by the GCF to manage these resources. The framework for this relationship is established in the AMA approved by the IDB Board (GN</w:t>
      </w:r>
      <w:r w:rsidRPr="00CF0F72">
        <w:rPr>
          <w:rFonts w:ascii="Arial" w:hAnsi="Arial" w:cs="Arial"/>
          <w:sz w:val="18"/>
          <w:szCs w:val="18"/>
        </w:rPr>
        <w:noBreakHyphen/>
        <w:t>2895, Resolution DE-31/17). In addition, the FAA to be agreed between the IDB and GCF will establish terms and conditions specific to this program, and shall be signed prior to the signing of the loan contract.</w:t>
      </w:r>
    </w:p>
  </w:footnote>
  <w:footnote w:id="8">
    <w:p w14:paraId="3300D59D" w14:textId="77777777" w:rsidR="005B5C14" w:rsidRPr="00CF0F72" w:rsidRDefault="005B5C14" w:rsidP="00413583">
      <w:pPr>
        <w:pStyle w:val="FootnoteText"/>
        <w:spacing w:after="0"/>
        <w:ind w:left="270" w:hanging="270"/>
        <w:rPr>
          <w:rFonts w:ascii="Arial" w:hAnsi="Arial" w:cs="Arial"/>
          <w:sz w:val="18"/>
          <w:szCs w:val="18"/>
        </w:rPr>
      </w:pPr>
      <w:r w:rsidRPr="00CF0F72">
        <w:rPr>
          <w:rStyle w:val="FootnoteReference"/>
          <w:rFonts w:ascii="Arial" w:hAnsi="Arial" w:cs="Arial"/>
          <w:sz w:val="18"/>
          <w:szCs w:val="18"/>
        </w:rPr>
        <w:footnoteRef/>
      </w:r>
      <w:r w:rsidRPr="00CF0F72">
        <w:rPr>
          <w:rFonts w:ascii="Arial" w:hAnsi="Arial" w:cs="Arial"/>
          <w:sz w:val="18"/>
          <w:szCs w:val="18"/>
        </w:rPr>
        <w:tab/>
        <w:t>Eligible EE projects are expected to be related to efficiency improvements in industrial processes, including equipment replacement, energy substitution and co-generation.</w:t>
      </w:r>
    </w:p>
  </w:footnote>
  <w:footnote w:id="9">
    <w:p w14:paraId="7281D50D" w14:textId="11065A64" w:rsidR="005B5C14" w:rsidRPr="00CF0F72" w:rsidRDefault="005B5C14" w:rsidP="00413583">
      <w:pPr>
        <w:pStyle w:val="FootnoteText"/>
        <w:spacing w:after="0"/>
        <w:ind w:left="270" w:hanging="270"/>
        <w:rPr>
          <w:rFonts w:ascii="Arial" w:hAnsi="Arial" w:cs="Arial"/>
          <w:sz w:val="18"/>
          <w:szCs w:val="18"/>
        </w:rPr>
      </w:pPr>
      <w:r w:rsidRPr="00CF0F72">
        <w:rPr>
          <w:rStyle w:val="FootnoteReference"/>
          <w:rFonts w:ascii="Arial" w:hAnsi="Arial" w:cs="Arial"/>
          <w:sz w:val="18"/>
          <w:szCs w:val="18"/>
        </w:rPr>
        <w:footnoteRef/>
      </w:r>
      <w:r w:rsidRPr="00CF0F72">
        <w:rPr>
          <w:rFonts w:ascii="Arial" w:hAnsi="Arial" w:cs="Arial"/>
          <w:sz w:val="18"/>
          <w:szCs w:val="18"/>
        </w:rPr>
        <w:tab/>
      </w:r>
      <w:r w:rsidRPr="00CF0F72">
        <w:rPr>
          <w:rFonts w:ascii="Arial" w:hAnsi="Arial" w:cs="Arial"/>
          <w:sz w:val="18"/>
          <w:szCs w:val="18"/>
          <w:lang w:val="en-GB"/>
        </w:rPr>
        <w:t xml:space="preserve">AFD accredits </w:t>
      </w:r>
      <w:r w:rsidR="00E138BA">
        <w:rPr>
          <w:rFonts w:ascii="Arial" w:hAnsi="Arial" w:cs="Arial"/>
          <w:sz w:val="18"/>
          <w:szCs w:val="18"/>
          <w:lang w:val="en-GB"/>
        </w:rPr>
        <w:t>I</w:t>
      </w:r>
      <w:r w:rsidRPr="00CF0F72">
        <w:rPr>
          <w:rFonts w:ascii="Arial" w:hAnsi="Arial" w:cs="Arial"/>
          <w:sz w:val="18"/>
          <w:szCs w:val="18"/>
          <w:lang w:val="en-GB"/>
        </w:rPr>
        <w:t xml:space="preserve">FIs for lending annually by assessing their financial and institutional risk. AFD’s accredited </w:t>
      </w:r>
      <w:r w:rsidR="00E138BA">
        <w:rPr>
          <w:rFonts w:ascii="Arial" w:hAnsi="Arial" w:cs="Arial"/>
          <w:sz w:val="18"/>
          <w:szCs w:val="18"/>
          <w:lang w:val="en-GB"/>
        </w:rPr>
        <w:t>I</w:t>
      </w:r>
      <w:r w:rsidRPr="00CF0F72">
        <w:rPr>
          <w:rFonts w:ascii="Arial" w:hAnsi="Arial" w:cs="Arial"/>
          <w:sz w:val="18"/>
          <w:szCs w:val="18"/>
          <w:lang w:val="en-GB"/>
        </w:rPr>
        <w:t xml:space="preserve">FIs are supervised by the Central Bank and include 14 banks and 8 finance companies (see </w:t>
      </w:r>
      <w:hyperlink r:id="rId4" w:history="1">
        <w:r w:rsidRPr="00CF0F72">
          <w:rPr>
            <w:rStyle w:val="Hyperlink"/>
            <w:rFonts w:ascii="Arial" w:hAnsi="Arial" w:cs="Arial"/>
            <w:sz w:val="18"/>
            <w:szCs w:val="18"/>
            <w:lang w:val="en-GB"/>
          </w:rPr>
          <w:t xml:space="preserve">AFD- </w:t>
        </w:r>
        <w:r w:rsidRPr="00CF0F72">
          <w:rPr>
            <w:rStyle w:val="Hyperlink"/>
            <w:rFonts w:ascii="Arial" w:hAnsi="Arial" w:cs="Arial"/>
            <w:i/>
            <w:sz w:val="18"/>
            <w:szCs w:val="18"/>
            <w:lang w:val="en-GB"/>
          </w:rPr>
          <w:t xml:space="preserve">IFIS </w:t>
        </w:r>
        <w:proofErr w:type="spellStart"/>
        <w:r w:rsidRPr="00CF0F72">
          <w:rPr>
            <w:rStyle w:val="Hyperlink"/>
            <w:rFonts w:ascii="Arial" w:hAnsi="Arial" w:cs="Arial"/>
            <w:i/>
            <w:sz w:val="18"/>
            <w:szCs w:val="18"/>
            <w:lang w:val="en-GB"/>
          </w:rPr>
          <w:t>Habilitadas</w:t>
        </w:r>
        <w:proofErr w:type="spellEnd"/>
      </w:hyperlink>
      <w:r w:rsidRPr="00CF0F72">
        <w:rPr>
          <w:rFonts w:ascii="Arial" w:hAnsi="Arial" w:cs="Arial"/>
          <w:sz w:val="18"/>
          <w:szCs w:val="18"/>
          <w:lang w:val="en-GB"/>
        </w:rPr>
        <w:t xml:space="preserve">). Participant </w:t>
      </w:r>
      <w:r w:rsidR="00E138BA">
        <w:rPr>
          <w:rFonts w:ascii="Arial" w:hAnsi="Arial" w:cs="Arial"/>
          <w:sz w:val="18"/>
          <w:szCs w:val="18"/>
          <w:lang w:val="en-GB"/>
        </w:rPr>
        <w:t>I</w:t>
      </w:r>
      <w:r w:rsidRPr="00CF0F72">
        <w:rPr>
          <w:rFonts w:ascii="Arial" w:hAnsi="Arial" w:cs="Arial"/>
          <w:sz w:val="18"/>
          <w:szCs w:val="18"/>
          <w:lang w:val="en-GB"/>
        </w:rPr>
        <w:t xml:space="preserve">FIs will request rediscounting </w:t>
      </w:r>
      <w:r w:rsidRPr="00CF0F72">
        <w:rPr>
          <w:rFonts w:ascii="Arial" w:hAnsi="Arial" w:cs="Arial"/>
          <w:sz w:val="18"/>
          <w:szCs w:val="18"/>
        </w:rPr>
        <w:t>of expenses to AFD, based on a portfolio of sub-projects undertaken</w:t>
      </w:r>
      <w:r w:rsidRPr="00CF0F72">
        <w:rPr>
          <w:rFonts w:ascii="Arial" w:hAnsi="Arial" w:cs="Arial"/>
          <w:sz w:val="18"/>
          <w:szCs w:val="18"/>
          <w:lang w:val="en-GB"/>
        </w:rPr>
        <w:t xml:space="preserve"> that meet the conditions of the OR. T</w:t>
      </w:r>
      <w:r w:rsidRPr="00CF0F72">
        <w:rPr>
          <w:rFonts w:ascii="Arial" w:hAnsi="Arial" w:cs="Arial"/>
          <w:sz w:val="18"/>
          <w:szCs w:val="18"/>
        </w:rPr>
        <w:t>he IDB shall recognize all eligible expenditures in order to proceed with disbursements to AFD</w:t>
      </w:r>
      <w:r w:rsidRPr="00CF0F72">
        <w:rPr>
          <w:rFonts w:ascii="Arial" w:hAnsi="Arial" w:cs="Arial"/>
          <w:sz w:val="18"/>
          <w:szCs w:val="18"/>
          <w:lang w:val="en-GB"/>
        </w:rPr>
        <w:t>.</w:t>
      </w:r>
    </w:p>
  </w:footnote>
  <w:footnote w:id="10">
    <w:p w14:paraId="459FF8C1" w14:textId="77777777" w:rsidR="005B5C14" w:rsidRPr="00CF0F72" w:rsidRDefault="005B5C14" w:rsidP="00413583">
      <w:pPr>
        <w:pStyle w:val="FootnoteText"/>
        <w:spacing w:after="0"/>
        <w:ind w:left="270" w:hanging="270"/>
        <w:rPr>
          <w:rFonts w:ascii="Arial" w:hAnsi="Arial" w:cs="Arial"/>
          <w:sz w:val="18"/>
          <w:szCs w:val="18"/>
        </w:rPr>
      </w:pPr>
      <w:r w:rsidRPr="00CF0F72">
        <w:rPr>
          <w:rStyle w:val="FootnoteReference"/>
          <w:rFonts w:ascii="Arial" w:hAnsi="Arial" w:cs="Arial"/>
          <w:sz w:val="18"/>
          <w:szCs w:val="18"/>
        </w:rPr>
        <w:footnoteRef/>
      </w:r>
      <w:r w:rsidRPr="00CF0F72">
        <w:rPr>
          <w:rStyle w:val="FootnoteReference"/>
          <w:rFonts w:ascii="Arial" w:hAnsi="Arial" w:cs="Arial"/>
          <w:sz w:val="18"/>
          <w:szCs w:val="18"/>
        </w:rPr>
        <w:t xml:space="preserve"> </w:t>
      </w:r>
      <w:r w:rsidRPr="00CF0F72">
        <w:rPr>
          <w:rFonts w:ascii="Arial" w:hAnsi="Arial" w:cs="Arial"/>
          <w:sz w:val="18"/>
          <w:szCs w:val="18"/>
        </w:rPr>
        <w:tab/>
        <w:t xml:space="preserve">The program will be operated by AFD existing financing lines, which offer terms that are considerably longer than the average for the system. Over its nearly eleven years of operation, AFD has succeeded in becoming the main source of long-term financing in the Paraguayan financial system. </w:t>
      </w:r>
    </w:p>
  </w:footnote>
  <w:footnote w:id="11">
    <w:p w14:paraId="4741C212" w14:textId="304B3576" w:rsidR="005B5C14" w:rsidRPr="00CF0F72" w:rsidRDefault="005B5C14" w:rsidP="00A278BC">
      <w:pPr>
        <w:pStyle w:val="FootnoteText"/>
        <w:spacing w:after="0"/>
        <w:ind w:left="274" w:hanging="274"/>
        <w:rPr>
          <w:rFonts w:ascii="Arial" w:hAnsi="Arial" w:cs="Arial"/>
          <w:sz w:val="18"/>
          <w:szCs w:val="18"/>
        </w:rPr>
      </w:pPr>
      <w:r w:rsidRPr="00CF0F72">
        <w:rPr>
          <w:rStyle w:val="FootnoteReference"/>
          <w:rFonts w:ascii="Arial" w:hAnsi="Arial" w:cs="Arial"/>
          <w:sz w:val="18"/>
          <w:szCs w:val="18"/>
        </w:rPr>
        <w:footnoteRef/>
      </w:r>
      <w:r w:rsidRPr="00460865">
        <w:rPr>
          <w:rFonts w:ascii="Arial" w:hAnsi="Arial" w:cs="Arial"/>
          <w:sz w:val="18"/>
          <w:szCs w:val="18"/>
        </w:rPr>
        <w:tab/>
        <w:t xml:space="preserve">The program will use firm size definition as per </w:t>
      </w:r>
      <w:r>
        <w:rPr>
          <w:rFonts w:ascii="Arial" w:hAnsi="Arial" w:cs="Arial"/>
          <w:sz w:val="18"/>
          <w:szCs w:val="18"/>
        </w:rPr>
        <w:t xml:space="preserve">the definition of </w:t>
      </w:r>
      <w:r w:rsidRPr="00460865">
        <w:rPr>
          <w:rFonts w:ascii="Arial" w:hAnsi="Arial" w:cs="Arial"/>
          <w:sz w:val="18"/>
          <w:szCs w:val="18"/>
        </w:rPr>
        <w:t xml:space="preserve">economic unit </w:t>
      </w:r>
      <w:r>
        <w:rPr>
          <w:rFonts w:ascii="Arial" w:hAnsi="Arial" w:cs="Arial"/>
          <w:sz w:val="18"/>
          <w:szCs w:val="18"/>
        </w:rPr>
        <w:t xml:space="preserve">under the framework of the </w:t>
      </w:r>
      <w:proofErr w:type="spellStart"/>
      <w:r w:rsidRPr="00E8274A">
        <w:rPr>
          <w:rFonts w:ascii="Arial" w:hAnsi="Arial" w:cs="Arial"/>
          <w:i/>
          <w:sz w:val="18"/>
          <w:szCs w:val="18"/>
        </w:rPr>
        <w:t>Censo</w:t>
      </w:r>
      <w:proofErr w:type="spellEnd"/>
      <w:r w:rsidRPr="00E8274A">
        <w:rPr>
          <w:rFonts w:ascii="Arial" w:hAnsi="Arial" w:cs="Arial"/>
          <w:i/>
          <w:sz w:val="18"/>
          <w:szCs w:val="18"/>
        </w:rPr>
        <w:t xml:space="preserve"> </w:t>
      </w:r>
      <w:proofErr w:type="spellStart"/>
      <w:r w:rsidRPr="00E8274A">
        <w:rPr>
          <w:rFonts w:ascii="Arial" w:hAnsi="Arial" w:cs="Arial"/>
          <w:i/>
          <w:sz w:val="18"/>
          <w:szCs w:val="18"/>
        </w:rPr>
        <w:t>Economico</w:t>
      </w:r>
      <w:proofErr w:type="spellEnd"/>
      <w:r w:rsidRPr="00E8274A">
        <w:rPr>
          <w:rFonts w:ascii="Arial" w:hAnsi="Arial" w:cs="Arial"/>
          <w:i/>
          <w:sz w:val="18"/>
          <w:szCs w:val="18"/>
        </w:rPr>
        <w:t xml:space="preserve"> Nacional</w:t>
      </w:r>
      <w:r>
        <w:rPr>
          <w:rFonts w:ascii="Arial" w:hAnsi="Arial" w:cs="Arial"/>
          <w:sz w:val="18"/>
          <w:szCs w:val="18"/>
        </w:rPr>
        <w:t>. In this sense, SMEs under the program are firms with less than 50 employees and income equal to or less than</w:t>
      </w:r>
      <w:r w:rsidRPr="00460865">
        <w:rPr>
          <w:rFonts w:ascii="Arial" w:hAnsi="Arial" w:cs="Arial"/>
          <w:sz w:val="18"/>
          <w:szCs w:val="18"/>
        </w:rPr>
        <w:t xml:space="preserve"> </w:t>
      </w:r>
      <w:r>
        <w:rPr>
          <w:rFonts w:ascii="Arial" w:hAnsi="Arial" w:cs="Arial"/>
          <w:sz w:val="18"/>
          <w:szCs w:val="18"/>
        </w:rPr>
        <w:t>PYG 2,000</w:t>
      </w:r>
      <w:r w:rsidRPr="00460865">
        <w:rPr>
          <w:rFonts w:ascii="Arial" w:hAnsi="Arial" w:cs="Arial"/>
          <w:sz w:val="18"/>
          <w:szCs w:val="18"/>
        </w:rPr>
        <w:t xml:space="preserve"> </w:t>
      </w:r>
      <w:r>
        <w:rPr>
          <w:rFonts w:ascii="Arial" w:hAnsi="Arial" w:cs="Arial"/>
          <w:sz w:val="18"/>
          <w:szCs w:val="18"/>
        </w:rPr>
        <w:t>million</w:t>
      </w:r>
      <w:r w:rsidRPr="00460865">
        <w:rPr>
          <w:rFonts w:ascii="Arial" w:hAnsi="Arial" w:cs="Arial"/>
          <w:sz w:val="18"/>
          <w:szCs w:val="18"/>
        </w:rPr>
        <w:t>.</w:t>
      </w:r>
      <w:r>
        <w:rPr>
          <w:rFonts w:ascii="Arial" w:hAnsi="Arial" w:cs="Arial"/>
          <w:sz w:val="18"/>
          <w:szCs w:val="18"/>
        </w:rPr>
        <w:t xml:space="preserve"> In some particular subsectors with high potential, such as </w:t>
      </w:r>
      <w:r w:rsidRPr="00CF0F72">
        <w:rPr>
          <w:rFonts w:ascii="Arial" w:hAnsi="Arial" w:cs="Arial"/>
          <w:sz w:val="18"/>
          <w:szCs w:val="18"/>
        </w:rPr>
        <w:t xml:space="preserve">the sugar industry subsector, eligible firms may be larger in size. Whereas the analyses related to the potential demand and results of the program are based on an indicative set of </w:t>
      </w:r>
      <w:bookmarkStart w:id="15" w:name="_GoBack"/>
      <w:bookmarkEnd w:id="15"/>
      <w:r>
        <w:rPr>
          <w:rFonts w:ascii="Arial" w:hAnsi="Arial" w:cs="Arial"/>
          <w:sz w:val="18"/>
          <w:szCs w:val="18"/>
        </w:rPr>
        <w:t>SME</w:t>
      </w:r>
      <w:r w:rsidRPr="00CF0F72">
        <w:rPr>
          <w:rFonts w:ascii="Arial" w:hAnsi="Arial" w:cs="Arial"/>
          <w:sz w:val="18"/>
          <w:szCs w:val="18"/>
        </w:rPr>
        <w:t xml:space="preserve">s and technologies, </w:t>
      </w:r>
      <w:r w:rsidRPr="00CF0F72">
        <w:rPr>
          <w:rFonts w:ascii="Arial" w:hAnsi="Arial" w:cs="Arial"/>
          <w:sz w:val="18"/>
          <w:szCs w:val="18"/>
          <w:lang w:val="en-GB"/>
        </w:rPr>
        <w:t xml:space="preserve">the program remains open to other EE technologies and industrial </w:t>
      </w:r>
      <w:r>
        <w:rPr>
          <w:rFonts w:ascii="Arial" w:hAnsi="Arial" w:cs="Arial"/>
          <w:sz w:val="18"/>
          <w:szCs w:val="18"/>
          <w:lang w:val="en-GB"/>
        </w:rPr>
        <w:t>SME</w:t>
      </w:r>
      <w:r w:rsidRPr="00CF0F72">
        <w:rPr>
          <w:rFonts w:ascii="Arial" w:hAnsi="Arial" w:cs="Arial"/>
          <w:sz w:val="18"/>
          <w:szCs w:val="18"/>
          <w:lang w:val="en-GB"/>
        </w:rPr>
        <w:t>s subsectors.</w:t>
      </w:r>
      <w:r w:rsidRPr="00CF0F72">
        <w:rPr>
          <w:rFonts w:ascii="Arial" w:hAnsi="Arial" w:cs="Arial"/>
          <w:sz w:val="18"/>
          <w:szCs w:val="18"/>
        </w:rPr>
        <w:t xml:space="preserve"> The </w:t>
      </w:r>
      <w:r w:rsidRPr="00CF0F72">
        <w:rPr>
          <w:rFonts w:ascii="Arial" w:hAnsi="Arial" w:cs="Arial"/>
          <w:sz w:val="18"/>
          <w:szCs w:val="18"/>
          <w:lang w:val="en-GB"/>
        </w:rPr>
        <w:t>origination of innovative financial and non-financial instruments will allow for the introduction of various EE technologies (boilers, furnaces, electric motors, and ancillary equipment).</w:t>
      </w:r>
    </w:p>
  </w:footnote>
  <w:footnote w:id="12">
    <w:p w14:paraId="6DB17FB6" w14:textId="3F2602EE" w:rsidR="005B5C14" w:rsidRPr="00CF0F72" w:rsidRDefault="005B5C14" w:rsidP="00A14BC5">
      <w:pPr>
        <w:pStyle w:val="FootnoteText"/>
        <w:spacing w:after="0"/>
        <w:rPr>
          <w:rFonts w:ascii="Arial" w:hAnsi="Arial" w:cs="Arial"/>
          <w:i/>
          <w:sz w:val="18"/>
          <w:szCs w:val="18"/>
        </w:rPr>
      </w:pPr>
      <w:r w:rsidRPr="00CF0F72">
        <w:rPr>
          <w:rStyle w:val="FootnoteReference"/>
          <w:rFonts w:ascii="Arial" w:hAnsi="Arial" w:cs="Arial"/>
          <w:sz w:val="18"/>
          <w:szCs w:val="18"/>
        </w:rPr>
        <w:footnoteRef/>
      </w:r>
      <w:r w:rsidRPr="00CF0F72">
        <w:rPr>
          <w:rFonts w:ascii="Arial" w:hAnsi="Arial" w:cs="Arial"/>
          <w:sz w:val="18"/>
          <w:szCs w:val="18"/>
        </w:rPr>
        <w:t xml:space="preserve"> </w:t>
      </w:r>
      <w:r>
        <w:rPr>
          <w:rFonts w:ascii="Arial" w:hAnsi="Arial" w:cs="Arial"/>
          <w:sz w:val="18"/>
          <w:szCs w:val="18"/>
        </w:rPr>
        <w:tab/>
      </w:r>
      <w:r w:rsidRPr="00CF0F72">
        <w:rPr>
          <w:rFonts w:ascii="Arial" w:hAnsi="Arial" w:cs="Arial"/>
          <w:sz w:val="18"/>
          <w:szCs w:val="18"/>
        </w:rPr>
        <w:t xml:space="preserve">According to its mandate, </w:t>
      </w:r>
      <w:r>
        <w:rPr>
          <w:rFonts w:ascii="Arial" w:hAnsi="Arial" w:cs="Arial"/>
          <w:sz w:val="18"/>
          <w:szCs w:val="18"/>
        </w:rPr>
        <w:t xml:space="preserve">all funding provided to </w:t>
      </w:r>
      <w:r w:rsidRPr="00CF0F72">
        <w:rPr>
          <w:rFonts w:ascii="Arial" w:hAnsi="Arial" w:cs="Arial"/>
          <w:sz w:val="18"/>
          <w:szCs w:val="18"/>
        </w:rPr>
        <w:t xml:space="preserve">AFD shall be used for: (i) rural development; (ii) credits for microenterprises and </w:t>
      </w:r>
      <w:r>
        <w:rPr>
          <w:rFonts w:ascii="Arial" w:hAnsi="Arial" w:cs="Arial"/>
          <w:sz w:val="18"/>
          <w:szCs w:val="18"/>
        </w:rPr>
        <w:t>SME</w:t>
      </w:r>
      <w:r w:rsidRPr="00CF0F72">
        <w:rPr>
          <w:rFonts w:ascii="Arial" w:hAnsi="Arial" w:cs="Arial"/>
          <w:sz w:val="18"/>
          <w:szCs w:val="18"/>
        </w:rPr>
        <w:t xml:space="preserve">s; (iii) business creation and development, with emphasis on </w:t>
      </w:r>
      <w:r>
        <w:rPr>
          <w:rFonts w:ascii="Arial" w:hAnsi="Arial" w:cs="Arial"/>
          <w:sz w:val="18"/>
          <w:szCs w:val="18"/>
        </w:rPr>
        <w:t>SME</w:t>
      </w:r>
      <w:r w:rsidRPr="00CF0F72">
        <w:rPr>
          <w:rFonts w:ascii="Arial" w:hAnsi="Arial" w:cs="Arial"/>
          <w:sz w:val="18"/>
          <w:szCs w:val="18"/>
        </w:rPr>
        <w:t xml:space="preserve">s; (iv) exports of goods and services and imports of capital goods, especially for </w:t>
      </w:r>
      <w:r>
        <w:rPr>
          <w:rFonts w:ascii="Arial" w:hAnsi="Arial" w:cs="Arial"/>
          <w:sz w:val="18"/>
          <w:szCs w:val="18"/>
        </w:rPr>
        <w:t>SME</w:t>
      </w:r>
      <w:r w:rsidRPr="00CF0F72">
        <w:rPr>
          <w:rFonts w:ascii="Arial" w:hAnsi="Arial" w:cs="Arial"/>
          <w:sz w:val="18"/>
          <w:szCs w:val="18"/>
        </w:rPr>
        <w:t>s; (v) development of tourism; (vi)</w:t>
      </w:r>
      <w:r>
        <w:rPr>
          <w:rFonts w:ascii="Arial" w:hAnsi="Arial" w:cs="Arial"/>
          <w:sz w:val="18"/>
          <w:szCs w:val="18"/>
        </w:rPr>
        <w:t> </w:t>
      </w:r>
      <w:r w:rsidRPr="00CF0F72">
        <w:rPr>
          <w:rFonts w:ascii="Arial" w:hAnsi="Arial" w:cs="Arial"/>
          <w:sz w:val="18"/>
          <w:szCs w:val="18"/>
        </w:rPr>
        <w:t>basic infrastructure; and (vii) development of housing and urban programs and other actions aimed at reducing housing deficit.</w:t>
      </w:r>
    </w:p>
  </w:footnote>
  <w:footnote w:id="13">
    <w:p w14:paraId="7C2FCDA5" w14:textId="77777777" w:rsidR="005B5C14" w:rsidRPr="00CF0F72" w:rsidRDefault="005B5C14" w:rsidP="00116FCC">
      <w:pPr>
        <w:pStyle w:val="FootnoteText"/>
        <w:spacing w:after="0"/>
        <w:ind w:left="270" w:hanging="270"/>
        <w:rPr>
          <w:rFonts w:ascii="Arial" w:hAnsi="Arial" w:cs="Arial"/>
          <w:sz w:val="18"/>
          <w:szCs w:val="18"/>
        </w:rPr>
      </w:pPr>
      <w:r w:rsidRPr="00CF0F72">
        <w:rPr>
          <w:rStyle w:val="FootnoteReference"/>
          <w:rFonts w:ascii="Arial" w:hAnsi="Arial" w:cs="Arial"/>
          <w:sz w:val="18"/>
          <w:szCs w:val="18"/>
        </w:rPr>
        <w:footnoteRef/>
      </w:r>
      <w:r w:rsidRPr="00CF0F72">
        <w:rPr>
          <w:rFonts w:ascii="Arial" w:hAnsi="Arial" w:cs="Arial"/>
          <w:sz w:val="18"/>
          <w:szCs w:val="18"/>
        </w:rPr>
        <w:tab/>
        <w:t xml:space="preserve">The OR is an agreement by which the executing </w:t>
      </w:r>
      <w:r>
        <w:rPr>
          <w:rFonts w:ascii="Arial" w:hAnsi="Arial" w:cs="Arial"/>
          <w:sz w:val="18"/>
          <w:szCs w:val="18"/>
        </w:rPr>
        <w:t>agency</w:t>
      </w:r>
      <w:r w:rsidRPr="00CF0F72">
        <w:rPr>
          <w:rFonts w:ascii="Arial" w:hAnsi="Arial" w:cs="Arial"/>
          <w:sz w:val="18"/>
          <w:szCs w:val="18"/>
        </w:rPr>
        <w:t xml:space="preserve"> formally adapts their internal processes to requirements by the IDB</w:t>
      </w:r>
      <w:r>
        <w:rPr>
          <w:rFonts w:ascii="Arial" w:hAnsi="Arial" w:cs="Arial"/>
          <w:sz w:val="18"/>
          <w:szCs w:val="18"/>
        </w:rPr>
        <w:t xml:space="preserve">, in the context of </w:t>
      </w:r>
      <w:r w:rsidRPr="00CF0F72">
        <w:rPr>
          <w:rFonts w:ascii="Arial" w:hAnsi="Arial" w:cs="Arial"/>
          <w:sz w:val="18"/>
          <w:szCs w:val="18"/>
        </w:rPr>
        <w:t xml:space="preserve">the execution of </w:t>
      </w:r>
      <w:r>
        <w:rPr>
          <w:rFonts w:ascii="Arial" w:hAnsi="Arial" w:cs="Arial"/>
          <w:sz w:val="18"/>
          <w:szCs w:val="18"/>
        </w:rPr>
        <w:t>a</w:t>
      </w:r>
      <w:r w:rsidRPr="00CF0F72">
        <w:rPr>
          <w:rFonts w:ascii="Arial" w:hAnsi="Arial" w:cs="Arial"/>
          <w:sz w:val="18"/>
          <w:szCs w:val="18"/>
        </w:rPr>
        <w:t xml:space="preserve"> specific program. The </w:t>
      </w:r>
      <w:r>
        <w:rPr>
          <w:rFonts w:ascii="Arial" w:hAnsi="Arial" w:cs="Arial"/>
          <w:sz w:val="18"/>
          <w:szCs w:val="18"/>
        </w:rPr>
        <w:t>OR</w:t>
      </w:r>
      <w:r w:rsidRPr="00CF0F72">
        <w:rPr>
          <w:rFonts w:ascii="Arial" w:hAnsi="Arial" w:cs="Arial"/>
          <w:sz w:val="18"/>
          <w:szCs w:val="18"/>
        </w:rPr>
        <w:t xml:space="preserve"> </w:t>
      </w:r>
      <w:r>
        <w:rPr>
          <w:rFonts w:ascii="Arial" w:hAnsi="Arial" w:cs="Arial"/>
          <w:sz w:val="18"/>
          <w:szCs w:val="18"/>
        </w:rPr>
        <w:t>will be</w:t>
      </w:r>
      <w:r w:rsidRPr="00CF0F72">
        <w:rPr>
          <w:rFonts w:ascii="Arial" w:hAnsi="Arial" w:cs="Arial"/>
          <w:sz w:val="18"/>
          <w:szCs w:val="18"/>
        </w:rPr>
        <w:t xml:space="preserve"> prepared and owned by </w:t>
      </w:r>
      <w:r>
        <w:rPr>
          <w:rFonts w:ascii="Arial" w:hAnsi="Arial" w:cs="Arial"/>
          <w:sz w:val="18"/>
          <w:szCs w:val="18"/>
        </w:rPr>
        <w:t>AFD</w:t>
      </w:r>
      <w:r w:rsidRPr="00CF0F72">
        <w:rPr>
          <w:rFonts w:ascii="Arial" w:hAnsi="Arial" w:cs="Arial"/>
          <w:sz w:val="18"/>
          <w:szCs w:val="18"/>
        </w:rPr>
        <w:t xml:space="preserve">, with supervision from the IDB, </w:t>
      </w:r>
      <w:r>
        <w:rPr>
          <w:rFonts w:ascii="Arial" w:hAnsi="Arial" w:cs="Arial"/>
          <w:sz w:val="18"/>
          <w:szCs w:val="18"/>
        </w:rPr>
        <w:t>and must be</w:t>
      </w:r>
      <w:r w:rsidRPr="00CF0F72">
        <w:rPr>
          <w:rFonts w:ascii="Arial" w:hAnsi="Arial" w:cs="Arial"/>
          <w:sz w:val="18"/>
          <w:szCs w:val="18"/>
        </w:rPr>
        <w:t xml:space="preserve"> </w:t>
      </w:r>
      <w:r>
        <w:rPr>
          <w:rFonts w:ascii="Arial" w:hAnsi="Arial" w:cs="Arial"/>
          <w:sz w:val="18"/>
          <w:szCs w:val="18"/>
        </w:rPr>
        <w:t xml:space="preserve">finalized and </w:t>
      </w:r>
      <w:r w:rsidRPr="00CF0F72">
        <w:rPr>
          <w:rFonts w:ascii="Arial" w:hAnsi="Arial" w:cs="Arial"/>
          <w:sz w:val="18"/>
          <w:szCs w:val="18"/>
        </w:rPr>
        <w:t xml:space="preserve">approved by </w:t>
      </w:r>
      <w:r>
        <w:rPr>
          <w:rFonts w:ascii="Arial" w:hAnsi="Arial" w:cs="Arial"/>
          <w:sz w:val="18"/>
          <w:szCs w:val="18"/>
        </w:rPr>
        <w:t>AFD</w:t>
      </w:r>
      <w:r w:rsidRPr="00CF0F72">
        <w:rPr>
          <w:rFonts w:ascii="Arial" w:hAnsi="Arial" w:cs="Arial"/>
          <w:sz w:val="18"/>
          <w:szCs w:val="18"/>
        </w:rPr>
        <w:t>’s appropriate instances prior to the first disbursement of funds.</w:t>
      </w:r>
    </w:p>
  </w:footnote>
  <w:footnote w:id="14">
    <w:p w14:paraId="7F0E7EBC" w14:textId="69D0F477" w:rsidR="005B5C14" w:rsidRPr="000116D0" w:rsidRDefault="005B5C14" w:rsidP="003B669D">
      <w:pPr>
        <w:pStyle w:val="FootnoteText"/>
        <w:spacing w:after="0"/>
        <w:rPr>
          <w:rFonts w:ascii="Arial" w:hAnsi="Arial" w:cs="Arial"/>
          <w:sz w:val="18"/>
          <w:szCs w:val="18"/>
        </w:rPr>
      </w:pPr>
      <w:r w:rsidRPr="000116D0">
        <w:rPr>
          <w:rStyle w:val="FootnoteReference"/>
          <w:rFonts w:ascii="Arial" w:hAnsi="Arial" w:cs="Arial"/>
          <w:sz w:val="18"/>
          <w:szCs w:val="18"/>
        </w:rPr>
        <w:footnoteRef/>
      </w:r>
      <w:r w:rsidRPr="000116D0">
        <w:rPr>
          <w:rFonts w:ascii="Arial" w:hAnsi="Arial" w:cs="Arial"/>
          <w:sz w:val="18"/>
          <w:szCs w:val="18"/>
        </w:rPr>
        <w:t xml:space="preserve"> </w:t>
      </w:r>
      <w:r>
        <w:rPr>
          <w:rFonts w:ascii="Arial" w:hAnsi="Arial" w:cs="Arial"/>
          <w:sz w:val="18"/>
          <w:szCs w:val="18"/>
        </w:rPr>
        <w:tab/>
      </w:r>
      <w:r w:rsidRPr="000116D0">
        <w:rPr>
          <w:rFonts w:ascii="Arial" w:hAnsi="Arial" w:cs="Arial"/>
          <w:sz w:val="18"/>
          <w:szCs w:val="18"/>
        </w:rPr>
        <w:t>The collection of any gender-related information is part on ongoing agreement between IDB and AFD. These efforts are solely with the purpose of gathering information to better understand gender-related conditions.</w:t>
      </w:r>
    </w:p>
  </w:footnote>
  <w:footnote w:id="15">
    <w:p w14:paraId="7453889E" w14:textId="40D5C605" w:rsidR="005B5C14" w:rsidRPr="000116D0" w:rsidRDefault="005B5C14" w:rsidP="00F417CE">
      <w:pPr>
        <w:pStyle w:val="FootnoteText"/>
        <w:spacing w:after="0"/>
        <w:rPr>
          <w:rFonts w:ascii="Arial" w:hAnsi="Arial" w:cs="Arial"/>
          <w:sz w:val="18"/>
          <w:szCs w:val="18"/>
        </w:rPr>
      </w:pPr>
      <w:r w:rsidRPr="000116D0">
        <w:rPr>
          <w:rStyle w:val="FootnoteReference"/>
          <w:rFonts w:ascii="Arial" w:hAnsi="Arial" w:cs="Arial"/>
          <w:sz w:val="18"/>
          <w:szCs w:val="18"/>
        </w:rPr>
        <w:footnoteRef/>
      </w:r>
      <w:r w:rsidRPr="000116D0">
        <w:rPr>
          <w:rFonts w:ascii="Arial" w:hAnsi="Arial" w:cs="Arial"/>
          <w:sz w:val="18"/>
          <w:szCs w:val="18"/>
        </w:rPr>
        <w:t xml:space="preserve"> </w:t>
      </w:r>
      <w:r w:rsidRPr="000116D0">
        <w:rPr>
          <w:rFonts w:ascii="Arial" w:hAnsi="Arial" w:cs="Arial"/>
          <w:sz w:val="18"/>
          <w:szCs w:val="18"/>
        </w:rPr>
        <w:tab/>
        <w:t>All reporting required by the GCF on the use of their funds will be the sole responsibility of the IDB. However, it is expected that AFD will be available to support with the provision of any information required for GCF reporting, in addition to that included in AFD’s annual reports.</w:t>
      </w:r>
    </w:p>
  </w:footnote>
  <w:footnote w:id="16">
    <w:p w14:paraId="4DB3E311" w14:textId="13B86A6E" w:rsidR="005B5C14" w:rsidRPr="00515710" w:rsidRDefault="005B5C14" w:rsidP="00AF4DD7">
      <w:pPr>
        <w:pStyle w:val="FootnoteText"/>
        <w:spacing w:after="0"/>
        <w:rPr>
          <w:rFonts w:ascii="Arial" w:hAnsi="Arial" w:cs="Arial"/>
          <w:sz w:val="18"/>
        </w:rPr>
      </w:pPr>
      <w:r w:rsidRPr="000116D0">
        <w:rPr>
          <w:rStyle w:val="FootnoteReference"/>
          <w:rFonts w:ascii="Arial" w:hAnsi="Arial" w:cs="Arial"/>
          <w:sz w:val="18"/>
          <w:szCs w:val="18"/>
        </w:rPr>
        <w:footnoteRef/>
      </w:r>
      <w:r w:rsidRPr="000116D0">
        <w:rPr>
          <w:rFonts w:ascii="Arial" w:hAnsi="Arial" w:cs="Arial"/>
          <w:sz w:val="18"/>
          <w:szCs w:val="18"/>
        </w:rPr>
        <w:t xml:space="preserve"> </w:t>
      </w:r>
      <w:r w:rsidRPr="000116D0">
        <w:rPr>
          <w:rFonts w:ascii="Arial" w:hAnsi="Arial" w:cs="Arial"/>
          <w:sz w:val="18"/>
          <w:szCs w:val="18"/>
        </w:rPr>
        <w:tab/>
        <w:t>Funding for the proposed budget includes a portion of resources from the TC program PR-T1249.</w:t>
      </w:r>
    </w:p>
  </w:footnote>
  <w:footnote w:id="17">
    <w:p w14:paraId="2669DE4C" w14:textId="24D7C37F" w:rsidR="005B5C14" w:rsidRPr="00515710" w:rsidRDefault="005B5C14" w:rsidP="006A3FFD">
      <w:pPr>
        <w:pStyle w:val="FootnoteText"/>
        <w:spacing w:after="0"/>
        <w:rPr>
          <w:rFonts w:ascii="Arial" w:hAnsi="Arial" w:cs="Arial"/>
          <w:sz w:val="18"/>
        </w:rPr>
      </w:pPr>
      <w:r w:rsidRPr="00515710">
        <w:rPr>
          <w:rStyle w:val="FootnoteReference"/>
          <w:rFonts w:ascii="Arial" w:hAnsi="Arial" w:cs="Arial"/>
          <w:sz w:val="18"/>
        </w:rPr>
        <w:footnoteRef/>
      </w:r>
      <w:r w:rsidRPr="00515710">
        <w:rPr>
          <w:rFonts w:ascii="Arial" w:hAnsi="Arial" w:cs="Arial"/>
          <w:sz w:val="18"/>
        </w:rPr>
        <w:t xml:space="preserve"> </w:t>
      </w:r>
      <w:r>
        <w:rPr>
          <w:rFonts w:ascii="Arial" w:hAnsi="Arial" w:cs="Arial"/>
          <w:sz w:val="18"/>
        </w:rPr>
        <w:tab/>
      </w:r>
      <w:r w:rsidRPr="00515710">
        <w:rPr>
          <w:rFonts w:ascii="Arial" w:hAnsi="Arial" w:cs="Arial"/>
          <w:sz w:val="18"/>
        </w:rPr>
        <w:t>Includes travel and per diem costs of required travel. Coordination meetings may be carried out remotely, via video or call conference. It is expected that at least one coordination meeting/supervision visit per year will only include staff from the local office in Paraguay and will not involve international travel.</w:t>
      </w:r>
    </w:p>
  </w:footnote>
  <w:footnote w:id="18">
    <w:p w14:paraId="77B0F723" w14:textId="77777777" w:rsidR="005B5C14" w:rsidRPr="00CF0F72" w:rsidRDefault="005B5C14" w:rsidP="00A8304D">
      <w:pPr>
        <w:pStyle w:val="FootnoteText"/>
        <w:spacing w:after="0"/>
        <w:rPr>
          <w:rFonts w:ascii="Arial" w:hAnsi="Arial" w:cs="Arial"/>
          <w:sz w:val="18"/>
          <w:szCs w:val="18"/>
        </w:rPr>
      </w:pPr>
      <w:r w:rsidRPr="00CF0F72">
        <w:rPr>
          <w:rStyle w:val="FootnoteReference"/>
          <w:rFonts w:ascii="Arial" w:hAnsi="Arial" w:cs="Arial"/>
          <w:sz w:val="18"/>
          <w:szCs w:val="18"/>
        </w:rPr>
        <w:footnoteRef/>
      </w:r>
      <w:r w:rsidRPr="00CF0F72">
        <w:rPr>
          <w:rFonts w:ascii="Arial" w:hAnsi="Arial" w:cs="Arial"/>
          <w:sz w:val="18"/>
          <w:szCs w:val="18"/>
        </w:rPr>
        <w:t xml:space="preserve"> </w:t>
      </w:r>
      <w:r>
        <w:rPr>
          <w:rFonts w:ascii="Arial" w:hAnsi="Arial" w:cs="Arial"/>
          <w:sz w:val="18"/>
          <w:szCs w:val="18"/>
        </w:rPr>
        <w:tab/>
      </w:r>
      <w:r w:rsidRPr="00CF0F72">
        <w:rPr>
          <w:rFonts w:ascii="Arial" w:hAnsi="Arial" w:cs="Arial"/>
          <w:sz w:val="18"/>
          <w:szCs w:val="18"/>
        </w:rPr>
        <w:t xml:space="preserve">Vice </w:t>
      </w:r>
      <w:r>
        <w:rPr>
          <w:rFonts w:ascii="Arial" w:hAnsi="Arial" w:cs="Arial"/>
          <w:sz w:val="18"/>
          <w:szCs w:val="18"/>
        </w:rPr>
        <w:t>M</w:t>
      </w:r>
      <w:r w:rsidRPr="00CF0F72">
        <w:rPr>
          <w:rFonts w:ascii="Arial" w:hAnsi="Arial" w:cs="Arial"/>
          <w:sz w:val="18"/>
          <w:szCs w:val="18"/>
        </w:rPr>
        <w:t>inist</w:t>
      </w:r>
      <w:r>
        <w:rPr>
          <w:rFonts w:ascii="Arial" w:hAnsi="Arial" w:cs="Arial"/>
          <w:sz w:val="18"/>
          <w:szCs w:val="18"/>
        </w:rPr>
        <w:t>ry</w:t>
      </w:r>
      <w:r w:rsidRPr="00CF0F72">
        <w:rPr>
          <w:rFonts w:ascii="Arial" w:hAnsi="Arial" w:cs="Arial"/>
          <w:sz w:val="18"/>
          <w:szCs w:val="18"/>
        </w:rPr>
        <w:t xml:space="preserve"> of Mines and Energy, 2014.</w:t>
      </w:r>
    </w:p>
  </w:footnote>
  <w:footnote w:id="19">
    <w:p w14:paraId="5B05E769" w14:textId="77777777" w:rsidR="005B5C14" w:rsidRPr="00CF0F72" w:rsidRDefault="005B5C14" w:rsidP="00A8304D">
      <w:pPr>
        <w:pStyle w:val="FootnoteText"/>
        <w:spacing w:after="0"/>
        <w:rPr>
          <w:rFonts w:ascii="Arial" w:hAnsi="Arial" w:cs="Arial"/>
          <w:sz w:val="18"/>
          <w:szCs w:val="18"/>
        </w:rPr>
      </w:pPr>
      <w:r w:rsidRPr="00CF0F72">
        <w:rPr>
          <w:rStyle w:val="FootnoteReference"/>
          <w:rFonts w:ascii="Arial" w:hAnsi="Arial" w:cs="Arial"/>
          <w:sz w:val="18"/>
          <w:szCs w:val="18"/>
        </w:rPr>
        <w:footnoteRef/>
      </w:r>
      <w:r w:rsidRPr="00CF0F72">
        <w:rPr>
          <w:rFonts w:ascii="Arial" w:hAnsi="Arial" w:cs="Arial"/>
          <w:sz w:val="18"/>
          <w:szCs w:val="18"/>
        </w:rPr>
        <w:t xml:space="preserve"> </w:t>
      </w:r>
      <w:r>
        <w:rPr>
          <w:rFonts w:ascii="Arial" w:hAnsi="Arial" w:cs="Arial"/>
          <w:sz w:val="18"/>
          <w:szCs w:val="18"/>
        </w:rPr>
        <w:tab/>
      </w:r>
      <w:r w:rsidRPr="00CF0F72">
        <w:rPr>
          <w:rFonts w:ascii="Arial" w:hAnsi="Arial" w:cs="Arial"/>
          <w:sz w:val="18"/>
          <w:szCs w:val="18"/>
        </w:rPr>
        <w:t xml:space="preserve">The NDCs are public outlines of climate actions countries intend to take under the new international agreement adopted in December 2015 at the Conference of the Parties (COP21) in Paris. United Nations Framework Convention on Climate Change (UNFCCC), 2016. </w:t>
      </w:r>
    </w:p>
  </w:footnote>
  <w:footnote w:id="20">
    <w:p w14:paraId="0C8B7DFD" w14:textId="77777777" w:rsidR="005B5C14" w:rsidRPr="00907D83" w:rsidRDefault="005B5C14" w:rsidP="00A8304D">
      <w:pPr>
        <w:pStyle w:val="FootnoteText"/>
        <w:spacing w:after="0"/>
        <w:rPr>
          <w:rFonts w:ascii="Arial" w:hAnsi="Arial" w:cs="Arial"/>
          <w:sz w:val="18"/>
          <w:szCs w:val="18"/>
        </w:rPr>
      </w:pPr>
      <w:r w:rsidRPr="00907D83">
        <w:rPr>
          <w:rStyle w:val="FootnoteReference"/>
          <w:rFonts w:ascii="Arial" w:hAnsi="Arial" w:cs="Arial"/>
          <w:sz w:val="18"/>
          <w:szCs w:val="18"/>
        </w:rPr>
        <w:footnoteRef/>
      </w:r>
      <w:r w:rsidRPr="00907D83">
        <w:rPr>
          <w:rFonts w:ascii="Arial" w:hAnsi="Arial" w:cs="Arial"/>
          <w:sz w:val="18"/>
          <w:szCs w:val="18"/>
        </w:rPr>
        <w:t xml:space="preserve"> </w:t>
      </w:r>
      <w:r w:rsidRPr="00907D83">
        <w:rPr>
          <w:rFonts w:ascii="Arial" w:hAnsi="Arial" w:cs="Arial"/>
          <w:sz w:val="18"/>
          <w:szCs w:val="18"/>
        </w:rPr>
        <w:tab/>
        <w:t>As part of the PND, the Government of Paraguay supports economic diversification strategies and a strong public investment effort to alleviate binding infrastructure constraints.</w:t>
      </w:r>
    </w:p>
  </w:footnote>
  <w:footnote w:id="21">
    <w:p w14:paraId="18E37A6E" w14:textId="16092DCB" w:rsidR="005B5C14" w:rsidRPr="00907D83" w:rsidRDefault="005B5C14" w:rsidP="00A8304D">
      <w:pPr>
        <w:pStyle w:val="FootnoteText"/>
        <w:spacing w:after="0"/>
        <w:rPr>
          <w:rFonts w:ascii="Arial" w:hAnsi="Arial" w:cs="Arial"/>
          <w:sz w:val="18"/>
          <w:szCs w:val="18"/>
        </w:rPr>
      </w:pPr>
      <w:r w:rsidRPr="00907D83">
        <w:rPr>
          <w:rStyle w:val="FootnoteReference"/>
          <w:rFonts w:ascii="Arial" w:hAnsi="Arial" w:cs="Arial"/>
          <w:sz w:val="18"/>
          <w:szCs w:val="18"/>
        </w:rPr>
        <w:footnoteRef/>
      </w:r>
      <w:r w:rsidRPr="00907D83">
        <w:rPr>
          <w:rFonts w:ascii="Arial" w:hAnsi="Arial" w:cs="Arial"/>
          <w:sz w:val="18"/>
          <w:szCs w:val="18"/>
        </w:rPr>
        <w:t xml:space="preserve"> </w:t>
      </w:r>
      <w:r w:rsidRPr="00907D83">
        <w:rPr>
          <w:rFonts w:ascii="Arial" w:hAnsi="Arial" w:cs="Arial"/>
          <w:sz w:val="18"/>
          <w:szCs w:val="18"/>
        </w:rPr>
        <w:tab/>
      </w:r>
      <w:hyperlink r:id="rId5" w:history="1">
        <w:proofErr w:type="spellStart"/>
        <w:r w:rsidRPr="00907D83">
          <w:rPr>
            <w:rStyle w:val="Hyperlink"/>
            <w:rFonts w:ascii="Arial" w:hAnsi="Arial" w:cs="Arial"/>
            <w:sz w:val="18"/>
            <w:szCs w:val="18"/>
          </w:rPr>
          <w:t>Carlino</w:t>
        </w:r>
        <w:proofErr w:type="spellEnd"/>
        <w:r w:rsidRPr="00907D83">
          <w:rPr>
            <w:rStyle w:val="Hyperlink"/>
            <w:rFonts w:ascii="Arial" w:hAnsi="Arial" w:cs="Arial"/>
            <w:sz w:val="18"/>
            <w:szCs w:val="18"/>
          </w:rPr>
          <w:t>, H., 2015</w:t>
        </w:r>
      </w:hyperlink>
      <w:r w:rsidRPr="00907D83">
        <w:rPr>
          <w:rFonts w:ascii="Arial" w:hAnsi="Arial" w:cs="Arial"/>
          <w:sz w:val="18"/>
          <w:szCs w:val="18"/>
        </w:rPr>
        <w:t>.</w:t>
      </w:r>
    </w:p>
  </w:footnote>
  <w:footnote w:id="22">
    <w:p w14:paraId="4A3B40DE" w14:textId="792E7CDD" w:rsidR="005B5C14" w:rsidRPr="00907D83" w:rsidRDefault="005B5C14" w:rsidP="007861F4">
      <w:pPr>
        <w:pStyle w:val="FootnoteText"/>
        <w:spacing w:after="0"/>
        <w:rPr>
          <w:rFonts w:ascii="Arial" w:hAnsi="Arial" w:cs="Arial"/>
          <w:sz w:val="18"/>
          <w:szCs w:val="18"/>
        </w:rPr>
      </w:pPr>
      <w:r w:rsidRPr="00907D83">
        <w:rPr>
          <w:rStyle w:val="FootnoteReference"/>
          <w:rFonts w:ascii="Arial" w:hAnsi="Arial" w:cs="Arial"/>
          <w:sz w:val="18"/>
          <w:szCs w:val="18"/>
        </w:rPr>
        <w:footnoteRef/>
      </w:r>
      <w:r w:rsidRPr="00907D83">
        <w:rPr>
          <w:rFonts w:ascii="Arial" w:hAnsi="Arial" w:cs="Arial"/>
          <w:sz w:val="18"/>
          <w:szCs w:val="18"/>
        </w:rPr>
        <w:t xml:space="preserve"> </w:t>
      </w:r>
      <w:r w:rsidRPr="00907D83">
        <w:rPr>
          <w:rFonts w:ascii="Arial" w:hAnsi="Arial" w:cs="Arial"/>
          <w:sz w:val="18"/>
          <w:szCs w:val="18"/>
        </w:rPr>
        <w:tab/>
        <w:t xml:space="preserve">In Mexico, see loans under the CCLIP ME-X1010 with </w:t>
      </w:r>
      <w:r w:rsidRPr="00907D83">
        <w:rPr>
          <w:rFonts w:ascii="Arial" w:hAnsi="Arial" w:cs="Arial"/>
          <w:i/>
          <w:sz w:val="18"/>
          <w:szCs w:val="18"/>
        </w:rPr>
        <w:t xml:space="preserve">Nacional </w:t>
      </w:r>
      <w:proofErr w:type="spellStart"/>
      <w:r w:rsidRPr="00907D83">
        <w:rPr>
          <w:rFonts w:ascii="Arial" w:hAnsi="Arial" w:cs="Arial"/>
          <w:i/>
          <w:sz w:val="18"/>
          <w:szCs w:val="18"/>
        </w:rPr>
        <w:t>Financiera</w:t>
      </w:r>
      <w:proofErr w:type="spellEnd"/>
      <w:r w:rsidRPr="00907D83">
        <w:rPr>
          <w:rFonts w:ascii="Arial" w:hAnsi="Arial" w:cs="Arial"/>
          <w:i/>
          <w:sz w:val="18"/>
          <w:szCs w:val="18"/>
        </w:rPr>
        <w:t>,</w:t>
      </w:r>
      <w:r w:rsidRPr="00907D83">
        <w:rPr>
          <w:rFonts w:ascii="Arial" w:hAnsi="Arial" w:cs="Arial"/>
          <w:sz w:val="18"/>
          <w:szCs w:val="18"/>
        </w:rPr>
        <w:t xml:space="preserve"> and loan </w:t>
      </w:r>
      <w:hyperlink r:id="rId6" w:history="1">
        <w:r w:rsidRPr="00907D83">
          <w:rPr>
            <w:rStyle w:val="Hyperlink"/>
            <w:rFonts w:ascii="Arial" w:hAnsi="Arial" w:cs="Arial"/>
            <w:sz w:val="18"/>
            <w:szCs w:val="18"/>
          </w:rPr>
          <w:t>3563/OC-ME</w:t>
        </w:r>
      </w:hyperlink>
      <w:r w:rsidRPr="00907D83">
        <w:rPr>
          <w:rFonts w:ascii="Arial" w:hAnsi="Arial" w:cs="Arial"/>
          <w:sz w:val="18"/>
          <w:szCs w:val="18"/>
        </w:rPr>
        <w:t xml:space="preserve"> with </w:t>
      </w:r>
      <w:r w:rsidRPr="00907D83">
        <w:rPr>
          <w:rFonts w:ascii="Arial" w:hAnsi="Arial" w:cs="Arial"/>
          <w:i/>
          <w:sz w:val="18"/>
          <w:szCs w:val="18"/>
        </w:rPr>
        <w:t>Banco Nacional de Comercio Exterior</w:t>
      </w:r>
      <w:r w:rsidRPr="00907D83">
        <w:rPr>
          <w:rFonts w:ascii="Arial" w:hAnsi="Arial" w:cs="Arial"/>
          <w:sz w:val="18"/>
          <w:szCs w:val="18"/>
        </w:rPr>
        <w:t xml:space="preserve"> (BANCOMEXT). In Uruguay see operation </w:t>
      </w:r>
      <w:hyperlink r:id="rId7" w:history="1">
        <w:r w:rsidRPr="00907D83">
          <w:rPr>
            <w:rStyle w:val="Hyperlink"/>
            <w:rFonts w:ascii="Arial" w:hAnsi="Arial" w:cs="Arial"/>
            <w:sz w:val="18"/>
            <w:szCs w:val="18"/>
          </w:rPr>
          <w:t>3396/OC-UR</w:t>
        </w:r>
      </w:hyperlink>
      <w:r w:rsidRPr="00907D83">
        <w:rPr>
          <w:rFonts w:ascii="Arial" w:hAnsi="Arial" w:cs="Arial"/>
          <w:sz w:val="18"/>
          <w:szCs w:val="18"/>
        </w:rPr>
        <w:t xml:space="preserve">. In Colombia, see </w:t>
      </w:r>
      <w:hyperlink r:id="rId8" w:history="1">
        <w:r w:rsidRPr="00907D83">
          <w:rPr>
            <w:rStyle w:val="Hyperlink"/>
            <w:rFonts w:ascii="Arial" w:hAnsi="Arial" w:cs="Arial"/>
            <w:sz w:val="18"/>
            <w:szCs w:val="18"/>
          </w:rPr>
          <w:t>GRT/TC-15613-CO</w:t>
        </w:r>
      </w:hyperlink>
      <w:r w:rsidRPr="00907D83">
        <w:rPr>
          <w:rFonts w:ascii="Arial" w:hAnsi="Arial" w:cs="Arial"/>
          <w:sz w:val="18"/>
          <w:szCs w:val="18"/>
        </w:rPr>
        <w:t xml:space="preserve"> with </w:t>
      </w:r>
      <w:r w:rsidRPr="00907D83">
        <w:rPr>
          <w:rFonts w:ascii="Arial" w:hAnsi="Arial" w:cs="Arial"/>
          <w:i/>
          <w:sz w:val="18"/>
          <w:szCs w:val="18"/>
        </w:rPr>
        <w:t>Banco de Comercio Exterior de Colombia S.A.</w:t>
      </w:r>
      <w:r w:rsidRPr="00907D83">
        <w:rPr>
          <w:rFonts w:ascii="Arial" w:hAnsi="Arial" w:cs="Arial"/>
          <w:sz w:val="18"/>
          <w:szCs w:val="18"/>
        </w:rPr>
        <w:t xml:space="preserve"> (BANCOLDEX). </w:t>
      </w:r>
      <w:proofErr w:type="spellStart"/>
      <w:r w:rsidRPr="00907D83">
        <w:rPr>
          <w:rFonts w:ascii="Arial" w:hAnsi="Arial" w:cs="Arial"/>
          <w:sz w:val="18"/>
          <w:szCs w:val="18"/>
          <w:lang w:val="es-PE"/>
        </w:rPr>
        <w:t>See</w:t>
      </w:r>
      <w:proofErr w:type="spellEnd"/>
      <w:r w:rsidRPr="00907D83">
        <w:rPr>
          <w:rFonts w:ascii="Arial" w:hAnsi="Arial" w:cs="Arial"/>
          <w:sz w:val="18"/>
          <w:szCs w:val="18"/>
          <w:lang w:val="es-PE"/>
        </w:rPr>
        <w:t xml:space="preserve"> </w:t>
      </w:r>
      <w:proofErr w:type="spellStart"/>
      <w:r w:rsidRPr="00907D83">
        <w:rPr>
          <w:rFonts w:ascii="Arial" w:hAnsi="Arial" w:cs="Arial"/>
          <w:sz w:val="18"/>
          <w:szCs w:val="18"/>
          <w:lang w:val="es-PE"/>
        </w:rPr>
        <w:t>also</w:t>
      </w:r>
      <w:proofErr w:type="spellEnd"/>
      <w:r w:rsidRPr="00907D83">
        <w:rPr>
          <w:rFonts w:ascii="Arial" w:hAnsi="Arial" w:cs="Arial"/>
          <w:sz w:val="18"/>
          <w:szCs w:val="18"/>
          <w:lang w:val="es-PE"/>
        </w:rPr>
        <w:t xml:space="preserve">, </w:t>
      </w:r>
      <w:r w:rsidRPr="00907D83">
        <w:rPr>
          <w:rFonts w:ascii="Arial" w:hAnsi="Arial" w:cs="Arial"/>
          <w:sz w:val="18"/>
          <w:szCs w:val="18"/>
          <w:lang w:val="es-ES_tradnl"/>
        </w:rPr>
        <w:t xml:space="preserve">De Olloqui, F., </w:t>
      </w:r>
      <w:r w:rsidRPr="00907D83">
        <w:rPr>
          <w:rFonts w:ascii="Arial" w:hAnsi="Arial" w:cs="Arial"/>
          <w:i/>
          <w:sz w:val="18"/>
          <w:szCs w:val="18"/>
          <w:lang w:val="es-ES_tradnl"/>
        </w:rPr>
        <w:t>Bancos públicos de desarrollo: ¿Hacia un nuevo paradigma?</w:t>
      </w:r>
      <w:r w:rsidRPr="00907D83">
        <w:rPr>
          <w:rFonts w:ascii="Arial" w:hAnsi="Arial" w:cs="Arial"/>
          <w:sz w:val="18"/>
          <w:szCs w:val="18"/>
          <w:lang w:val="es-ES_tradnl"/>
        </w:rPr>
        <w:t xml:space="preserve"> </w:t>
      </w:r>
      <w:r w:rsidRPr="00907D83">
        <w:rPr>
          <w:rFonts w:ascii="Arial" w:hAnsi="Arial" w:cs="Arial"/>
          <w:sz w:val="18"/>
          <w:szCs w:val="18"/>
        </w:rPr>
        <w:t xml:space="preserve">IDB, 2013; </w:t>
      </w:r>
      <w:proofErr w:type="spellStart"/>
      <w:r w:rsidRPr="00907D83">
        <w:rPr>
          <w:rFonts w:ascii="Arial" w:hAnsi="Arial" w:cs="Arial"/>
          <w:sz w:val="18"/>
          <w:szCs w:val="18"/>
        </w:rPr>
        <w:t>Deason</w:t>
      </w:r>
      <w:proofErr w:type="spellEnd"/>
      <w:r w:rsidRPr="00907D83">
        <w:rPr>
          <w:rFonts w:ascii="Arial" w:hAnsi="Arial" w:cs="Arial"/>
          <w:sz w:val="18"/>
          <w:szCs w:val="18"/>
        </w:rPr>
        <w:t xml:space="preserve">, J., </w:t>
      </w:r>
      <w:proofErr w:type="spellStart"/>
      <w:r w:rsidRPr="00907D83">
        <w:rPr>
          <w:rFonts w:ascii="Arial" w:hAnsi="Arial" w:cs="Arial"/>
          <w:sz w:val="18"/>
          <w:szCs w:val="18"/>
        </w:rPr>
        <w:t>Varadarajan</w:t>
      </w:r>
      <w:proofErr w:type="spellEnd"/>
      <w:r w:rsidRPr="00907D83">
        <w:rPr>
          <w:rFonts w:ascii="Arial" w:hAnsi="Arial" w:cs="Arial"/>
          <w:sz w:val="18"/>
          <w:szCs w:val="18"/>
        </w:rPr>
        <w:t>, U., and Levi, P., Getting the most from your green: An approach to using public money effectively through green banks and other low-carbon financing. Climate Policy Initiative, 2015</w:t>
      </w:r>
    </w:p>
  </w:footnote>
  <w:footnote w:id="23">
    <w:p w14:paraId="5E345126" w14:textId="297B4245" w:rsidR="005B5C14" w:rsidRPr="00515710" w:rsidRDefault="005B5C14" w:rsidP="007861F4">
      <w:pPr>
        <w:pStyle w:val="FootnoteText"/>
        <w:spacing w:after="0"/>
        <w:rPr>
          <w:rFonts w:ascii="Arial" w:hAnsi="Arial" w:cs="Arial"/>
          <w:sz w:val="18"/>
          <w:szCs w:val="18"/>
        </w:rPr>
      </w:pPr>
      <w:r w:rsidRPr="00907D83">
        <w:rPr>
          <w:rStyle w:val="FootnoteReference"/>
          <w:rFonts w:ascii="Arial" w:hAnsi="Arial" w:cs="Arial"/>
          <w:sz w:val="18"/>
          <w:szCs w:val="18"/>
        </w:rPr>
        <w:footnoteRef/>
      </w:r>
      <w:r w:rsidRPr="00907D83">
        <w:rPr>
          <w:rFonts w:ascii="Arial" w:hAnsi="Arial" w:cs="Arial"/>
          <w:sz w:val="18"/>
          <w:szCs w:val="18"/>
        </w:rPr>
        <w:t xml:space="preserve"> </w:t>
      </w:r>
      <w:r w:rsidRPr="00907D83">
        <w:rPr>
          <w:rFonts w:ascii="Arial" w:hAnsi="Arial" w:cs="Arial"/>
          <w:sz w:val="18"/>
          <w:szCs w:val="18"/>
        </w:rPr>
        <w:tab/>
        <w:t xml:space="preserve">See </w:t>
      </w:r>
      <w:hyperlink r:id="rId9" w:history="1">
        <w:r w:rsidRPr="00907D83">
          <w:rPr>
            <w:rStyle w:val="Hyperlink"/>
            <w:rFonts w:ascii="Arial" w:hAnsi="Arial" w:cs="Arial"/>
            <w:sz w:val="18"/>
            <w:szCs w:val="18"/>
          </w:rPr>
          <w:t>Economic Analysis</w:t>
        </w:r>
      </w:hyperlink>
      <w:r w:rsidRPr="00907D83">
        <w:rPr>
          <w:rStyle w:val="Hyperlink"/>
          <w:rFonts w:ascii="Arial" w:hAnsi="Arial" w:cs="Arial"/>
          <w:sz w:val="18"/>
          <w:szCs w:val="18"/>
        </w:rPr>
        <w:t>.</w:t>
      </w:r>
    </w:p>
  </w:footnote>
  <w:footnote w:id="24">
    <w:p w14:paraId="4982E5F6" w14:textId="4EC374D3" w:rsidR="005B5C14" w:rsidRPr="00515710" w:rsidRDefault="005B5C14" w:rsidP="00175C5E">
      <w:pPr>
        <w:pStyle w:val="FootnoteText"/>
        <w:spacing w:after="0"/>
        <w:rPr>
          <w:rFonts w:ascii="Arial" w:hAnsi="Arial" w:cs="Arial"/>
          <w:sz w:val="18"/>
          <w:szCs w:val="18"/>
        </w:rPr>
      </w:pPr>
      <w:r w:rsidRPr="00B913FC">
        <w:rPr>
          <w:rStyle w:val="FootnoteReference"/>
          <w:rFonts w:ascii="Arial" w:hAnsi="Arial" w:cs="Arial"/>
          <w:sz w:val="18"/>
          <w:szCs w:val="18"/>
        </w:rPr>
        <w:footnoteRef/>
      </w:r>
      <w:r w:rsidRPr="00B913FC">
        <w:rPr>
          <w:rFonts w:ascii="Arial" w:hAnsi="Arial" w:cs="Arial"/>
          <w:sz w:val="18"/>
          <w:szCs w:val="18"/>
        </w:rPr>
        <w:t xml:space="preserve"> </w:t>
      </w:r>
      <w:r w:rsidRPr="00B913FC">
        <w:rPr>
          <w:rFonts w:ascii="Arial" w:hAnsi="Arial" w:cs="Arial"/>
          <w:sz w:val="18"/>
          <w:szCs w:val="18"/>
        </w:rPr>
        <w:tab/>
        <w:t xml:space="preserve">See </w:t>
      </w:r>
      <w:hyperlink r:id="rId10" w:history="1">
        <w:r w:rsidRPr="00B913FC">
          <w:rPr>
            <w:rStyle w:val="Hyperlink"/>
            <w:rFonts w:ascii="Arial" w:hAnsi="Arial" w:cs="Arial"/>
            <w:sz w:val="18"/>
            <w:szCs w:val="18"/>
          </w:rPr>
          <w:t>Economic Analysis</w:t>
        </w:r>
      </w:hyperlink>
      <w:r w:rsidRPr="00B913FC">
        <w:rPr>
          <w:rFonts w:ascii="Arial" w:hAnsi="Arial" w:cs="Arial"/>
          <w:sz w:val="18"/>
          <w:szCs w:val="18"/>
        </w:rPr>
        <w:t>.</w:t>
      </w:r>
      <w:r w:rsidRPr="00515710">
        <w:rPr>
          <w:rFonts w:ascii="Arial" w:hAnsi="Arial" w:cs="Arial"/>
          <w:sz w:val="18"/>
          <w:szCs w:val="18"/>
        </w:rPr>
        <w:t xml:space="preserve"> </w:t>
      </w:r>
    </w:p>
  </w:footnote>
  <w:footnote w:id="25">
    <w:p w14:paraId="233EA247" w14:textId="07E383A0" w:rsidR="005B5C14" w:rsidRPr="00515710" w:rsidRDefault="005B5C14" w:rsidP="007E60E0">
      <w:pPr>
        <w:pStyle w:val="FootnoteText"/>
        <w:spacing w:after="0"/>
        <w:ind w:left="270" w:hanging="270"/>
        <w:rPr>
          <w:rFonts w:ascii="Arial" w:hAnsi="Arial" w:cs="Arial"/>
          <w:sz w:val="18"/>
          <w:szCs w:val="18"/>
        </w:rPr>
      </w:pPr>
      <w:r w:rsidRPr="00515710">
        <w:rPr>
          <w:rStyle w:val="FootnoteReference"/>
          <w:rFonts w:ascii="Arial" w:hAnsi="Arial" w:cs="Arial"/>
          <w:sz w:val="18"/>
          <w:szCs w:val="18"/>
        </w:rPr>
        <w:footnoteRef/>
      </w:r>
      <w:r w:rsidRPr="00515710">
        <w:rPr>
          <w:rFonts w:ascii="Arial" w:hAnsi="Arial" w:cs="Arial"/>
          <w:sz w:val="18"/>
          <w:szCs w:val="18"/>
        </w:rPr>
        <w:t xml:space="preserve"> </w:t>
      </w:r>
      <w:r>
        <w:rPr>
          <w:rFonts w:ascii="Arial" w:hAnsi="Arial" w:cs="Arial"/>
          <w:sz w:val="18"/>
          <w:szCs w:val="18"/>
        </w:rPr>
        <w:tab/>
      </w:r>
      <w:r w:rsidRPr="00515710">
        <w:rPr>
          <w:rFonts w:ascii="Arial" w:hAnsi="Arial" w:cs="Arial"/>
          <w:sz w:val="18"/>
          <w:szCs w:val="18"/>
        </w:rPr>
        <w:t>Following IDB guidelines for economic analysis of programs financed by the IDB, it is recommended to use a discount rate of 12% for all IDB operations.</w:t>
      </w:r>
    </w:p>
  </w:footnote>
  <w:footnote w:id="26">
    <w:p w14:paraId="0FD8EC75" w14:textId="7817B4E3" w:rsidR="005B5C14" w:rsidRPr="000116D0" w:rsidRDefault="005B5C14" w:rsidP="003B669D">
      <w:pPr>
        <w:pStyle w:val="FootnoteText"/>
        <w:spacing w:after="0"/>
        <w:rPr>
          <w:rFonts w:ascii="Arial" w:hAnsi="Arial" w:cs="Arial"/>
          <w:sz w:val="18"/>
        </w:rPr>
      </w:pPr>
      <w:r w:rsidRPr="000116D0">
        <w:rPr>
          <w:rStyle w:val="FootnoteReference"/>
          <w:rFonts w:ascii="Arial" w:hAnsi="Arial" w:cs="Arial"/>
          <w:sz w:val="18"/>
        </w:rPr>
        <w:footnoteRef/>
      </w:r>
      <w:r w:rsidRPr="003B6F92">
        <w:rPr>
          <w:rFonts w:ascii="Arial" w:hAnsi="Arial" w:cs="Arial"/>
          <w:sz w:val="18"/>
        </w:rPr>
        <w:t xml:space="preserve"> </w:t>
      </w:r>
      <w:r>
        <w:rPr>
          <w:rFonts w:ascii="Arial" w:hAnsi="Arial" w:cs="Arial"/>
          <w:sz w:val="18"/>
        </w:rPr>
        <w:tab/>
        <w:t>I</w:t>
      </w:r>
      <w:r w:rsidRPr="003B6F92">
        <w:rPr>
          <w:rFonts w:ascii="Arial" w:hAnsi="Arial" w:cs="Arial"/>
          <w:sz w:val="18"/>
        </w:rPr>
        <w:t>f data is available and conditions allow, the team might commission a comparative exercise on energy use for existing beneficiaries and incoming beneficiaries in the fourth year.  The latter are expected to have similar characteristics as those already benefited so that their consumption and spending patterns before the investment would be valid as a counterfactual scenario for the beneficiaries who already have new equipment in operation. This would be demonstrated via propensity score matching</w:t>
      </w:r>
      <w:r>
        <w:rPr>
          <w:rFonts w:ascii="Arial" w:hAnsi="Arial" w:cs="Arial"/>
          <w:sz w:val="18"/>
        </w:rPr>
        <w:t>,</w:t>
      </w:r>
      <w:r w:rsidRPr="003B6F92">
        <w:rPr>
          <w:rFonts w:ascii="Arial" w:hAnsi="Arial" w:cs="Arial"/>
          <w:sz w:val="18"/>
        </w:rPr>
        <w:t xml:space="preserve"> if existing administrative data allow (such as sales, sector, size, and energy use)</w:t>
      </w:r>
      <w:r>
        <w:rPr>
          <w:rFonts w:ascii="Arial" w:hAnsi="Arial" w:cs="Arial"/>
          <w:sz w:val="18"/>
        </w:rPr>
        <w:t xml:space="preserve">, in an </w:t>
      </w:r>
      <w:r w:rsidRPr="00353F76">
        <w:rPr>
          <w:rFonts w:ascii="Arial" w:hAnsi="Arial" w:cs="Arial"/>
          <w:sz w:val="18"/>
        </w:rPr>
        <w:t xml:space="preserve">attempt to control for differences </w:t>
      </w:r>
      <w:r>
        <w:rPr>
          <w:rFonts w:ascii="Arial" w:hAnsi="Arial" w:cs="Arial"/>
          <w:sz w:val="18"/>
        </w:rPr>
        <w:t>between both groups and make them</w:t>
      </w:r>
      <w:r w:rsidRPr="00353F76">
        <w:rPr>
          <w:rFonts w:ascii="Arial" w:hAnsi="Arial" w:cs="Arial"/>
          <w:sz w:val="18"/>
        </w:rPr>
        <w:t xml:space="preserve"> more comparable</w:t>
      </w:r>
      <w:r w:rsidRPr="003B6F92">
        <w:rPr>
          <w:rFonts w:ascii="Arial" w:hAnsi="Arial" w:cs="Arial"/>
          <w:sz w:val="18"/>
        </w:rPr>
        <w:t>.  A baseline would be necessary, and this could be estimated reflexively with input from existing beneficiaries</w:t>
      </w:r>
      <w:r>
        <w:rPr>
          <w:rFonts w:ascii="Arial" w:hAnsi="Arial" w:cs="Arial"/>
          <w:sz w:val="18"/>
        </w:rPr>
        <w:t>.</w:t>
      </w:r>
      <w:r w:rsidRPr="003B6F92">
        <w:rPr>
          <w:rFonts w:ascii="Arial" w:hAnsi="Arial" w:cs="Arial"/>
          <w:sz w:val="18"/>
        </w:rPr>
        <w:t xml:space="preserve"> </w:t>
      </w:r>
      <w:r>
        <w:rPr>
          <w:rFonts w:ascii="Arial" w:hAnsi="Arial" w:cs="Arial"/>
          <w:sz w:val="18"/>
        </w:rPr>
        <w:t xml:space="preserve">The possibility to carry out this exercise will be evaluated following discussions with AFD once a reasonable number of projects are underway and experience on data collection has been gained. </w:t>
      </w:r>
    </w:p>
  </w:footnote>
  <w:footnote w:id="27">
    <w:p w14:paraId="08FBF7F4" w14:textId="7A40D3F9" w:rsidR="005B5C14" w:rsidRPr="00515710" w:rsidRDefault="005B5C14" w:rsidP="007E60E0">
      <w:pPr>
        <w:pStyle w:val="FootnoteText"/>
        <w:tabs>
          <w:tab w:val="left" w:pos="270"/>
        </w:tabs>
        <w:spacing w:after="0"/>
        <w:ind w:left="0" w:firstLine="0"/>
        <w:rPr>
          <w:rFonts w:ascii="Arial" w:hAnsi="Arial" w:cs="Arial"/>
          <w:sz w:val="18"/>
        </w:rPr>
      </w:pPr>
      <w:r w:rsidRPr="00515710">
        <w:rPr>
          <w:rStyle w:val="FootnoteReference"/>
          <w:rFonts w:ascii="Arial" w:hAnsi="Arial" w:cs="Arial"/>
          <w:sz w:val="18"/>
        </w:rPr>
        <w:footnoteRef/>
      </w:r>
      <w:r w:rsidRPr="00515710">
        <w:rPr>
          <w:rFonts w:ascii="Arial" w:hAnsi="Arial" w:cs="Arial"/>
          <w:sz w:val="18"/>
        </w:rPr>
        <w:t xml:space="preserve"> </w:t>
      </w:r>
      <w:r>
        <w:rPr>
          <w:rFonts w:ascii="Arial" w:hAnsi="Arial" w:cs="Arial"/>
          <w:sz w:val="18"/>
        </w:rPr>
        <w:tab/>
      </w:r>
      <w:r w:rsidRPr="00515710">
        <w:rPr>
          <w:rFonts w:ascii="Arial" w:hAnsi="Arial" w:cs="Arial"/>
          <w:sz w:val="18"/>
        </w:rPr>
        <w:t>Includes travel and per diem costs of required travel.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2FAC" w14:textId="77777777" w:rsidR="005B5C14" w:rsidRDefault="005B5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F618" w14:textId="0E9078AF" w:rsidR="005B5C14" w:rsidRPr="007E60E0" w:rsidRDefault="005B5C14" w:rsidP="007E60E0">
    <w:pPr>
      <w:pStyle w:val="Header"/>
      <w:rPr>
        <w:rFonts w:eastAsia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3214" w14:textId="77777777" w:rsidR="005B5C14" w:rsidRDefault="005B5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378"/>
    <w:multiLevelType w:val="multilevel"/>
    <w:tmpl w:val="EB92DB22"/>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746"/>
        </w:tabs>
        <w:ind w:left="174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 w15:restartNumberingAfterBreak="0">
    <w:nsid w:val="0CE55BA8"/>
    <w:multiLevelType w:val="multilevel"/>
    <w:tmpl w:val="F1144AC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i w:val="0"/>
        <w:lang w:val="es-ES"/>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15:restartNumberingAfterBreak="0">
    <w:nsid w:val="0F3B056B"/>
    <w:multiLevelType w:val="hybridMultilevel"/>
    <w:tmpl w:val="0ABC3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57FF8"/>
    <w:multiLevelType w:val="multilevel"/>
    <w:tmpl w:val="592C41DC"/>
    <w:lvl w:ilvl="0">
      <w:start w:val="1"/>
      <w:numFmt w:val="upperRoman"/>
      <w:lvlRestart w:val="0"/>
      <w:lvlText w:val="%1."/>
      <w:lvlJc w:val="center"/>
      <w:pPr>
        <w:tabs>
          <w:tab w:val="num" w:pos="1800"/>
        </w:tabs>
        <w:ind w:left="1152" w:firstLine="288"/>
      </w:pPr>
      <w:rPr>
        <w:rFonts w:hint="default"/>
        <w:b/>
        <w:i w:val="0"/>
      </w:rPr>
    </w:lvl>
    <w:lvl w:ilvl="1">
      <w:start w:val="1"/>
      <w:numFmt w:val="decimal"/>
      <w:isLgl/>
      <w:lvlText w:val="%1.%2"/>
      <w:lvlJc w:val="left"/>
      <w:pPr>
        <w:tabs>
          <w:tab w:val="num" w:pos="1476"/>
        </w:tabs>
        <w:ind w:left="1476" w:hanging="1296"/>
      </w:pPr>
      <w:rPr>
        <w:rFonts w:hint="default"/>
        <w:lang w:val="en-US"/>
      </w:rPr>
    </w:lvl>
    <w:lvl w:ilvl="2">
      <w:start w:val="1"/>
      <w:numFmt w:val="lowerLetter"/>
      <w:lvlText w:val="%3."/>
      <w:lvlJc w:val="left"/>
      <w:pPr>
        <w:tabs>
          <w:tab w:val="num" w:pos="2304"/>
        </w:tabs>
        <w:ind w:left="2304" w:hanging="432"/>
      </w:pPr>
      <w:rPr>
        <w:rFonts w:hint="default"/>
      </w:rPr>
    </w:lvl>
    <w:lvl w:ilvl="3">
      <w:start w:val="1"/>
      <w:numFmt w:val="lowerRoman"/>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4" w15:restartNumberingAfterBreak="0">
    <w:nsid w:val="11C26590"/>
    <w:multiLevelType w:val="hybridMultilevel"/>
    <w:tmpl w:val="3BFA381A"/>
    <w:lvl w:ilvl="0" w:tplc="BF3879C0">
      <w:start w:val="1"/>
      <w:numFmt w:val="decimal"/>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B53D2"/>
    <w:multiLevelType w:val="hybridMultilevel"/>
    <w:tmpl w:val="FFC86486"/>
    <w:lvl w:ilvl="0" w:tplc="04090019">
      <w:start w:val="1"/>
      <w:numFmt w:val="lowerLetter"/>
      <w:lvlText w:val="%1."/>
      <w:lvlJc w:val="left"/>
      <w:pPr>
        <w:ind w:left="2160" w:hanging="360"/>
      </w:pPr>
      <w:rPr>
        <w:rFonts w:hint="default"/>
      </w:rPr>
    </w:lvl>
    <w:lvl w:ilvl="1" w:tplc="B770D05E">
      <w:start w:val="1"/>
      <w:numFmt w:val="lowerRoman"/>
      <w:lvlText w:val="%2."/>
      <w:lvlJc w:val="right"/>
      <w:pPr>
        <w:ind w:left="2880" w:hanging="360"/>
      </w:pPr>
      <w:rPr>
        <w:rFonts w:ascii="Times New Roman" w:hAnsi="Times New Roman" w:cs="Times New Roman"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18954677"/>
    <w:multiLevelType w:val="hybridMultilevel"/>
    <w:tmpl w:val="9E36F9EE"/>
    <w:lvl w:ilvl="0" w:tplc="B46C303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25206B40"/>
    <w:multiLevelType w:val="multilevel"/>
    <w:tmpl w:val="2788FDC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1476"/>
        </w:tabs>
        <w:ind w:left="1476" w:hanging="1296"/>
      </w:pPr>
      <w:rPr>
        <w:lang w:val="en-US"/>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15:restartNumberingAfterBreak="0">
    <w:nsid w:val="254C1D8F"/>
    <w:multiLevelType w:val="hybridMultilevel"/>
    <w:tmpl w:val="7FCC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4635C"/>
    <w:multiLevelType w:val="multilevel"/>
    <w:tmpl w:val="D65C319A"/>
    <w:lvl w:ilvl="0">
      <w:start w:val="1"/>
      <w:numFmt w:val="upperRoman"/>
      <w:lvlRestart w:val="0"/>
      <w:lvlText w:val="%1."/>
      <w:lvlJc w:val="center"/>
      <w:pPr>
        <w:tabs>
          <w:tab w:val="num" w:pos="7470"/>
        </w:tabs>
        <w:ind w:left="6822"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0" w15:restartNumberingAfterBreak="0">
    <w:nsid w:val="2C3C268A"/>
    <w:multiLevelType w:val="hybridMultilevel"/>
    <w:tmpl w:val="78642D60"/>
    <w:lvl w:ilvl="0" w:tplc="0409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 w15:restartNumberingAfterBreak="0">
    <w:nsid w:val="2C532AF6"/>
    <w:multiLevelType w:val="hybridMultilevel"/>
    <w:tmpl w:val="B798C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0077F3"/>
    <w:multiLevelType w:val="hybridMultilevel"/>
    <w:tmpl w:val="DAFA4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A4BCA"/>
    <w:multiLevelType w:val="hybridMultilevel"/>
    <w:tmpl w:val="80BE6BA0"/>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4" w15:restartNumberingAfterBreak="0">
    <w:nsid w:val="32FD5346"/>
    <w:multiLevelType w:val="hybridMultilevel"/>
    <w:tmpl w:val="EB0E1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371AD"/>
    <w:multiLevelType w:val="hybridMultilevel"/>
    <w:tmpl w:val="FFC86486"/>
    <w:lvl w:ilvl="0" w:tplc="04090019">
      <w:start w:val="1"/>
      <w:numFmt w:val="lowerLetter"/>
      <w:lvlText w:val="%1."/>
      <w:lvlJc w:val="left"/>
      <w:pPr>
        <w:ind w:left="2160" w:hanging="360"/>
      </w:pPr>
      <w:rPr>
        <w:rFonts w:hint="default"/>
      </w:rPr>
    </w:lvl>
    <w:lvl w:ilvl="1" w:tplc="B770D05E">
      <w:start w:val="1"/>
      <w:numFmt w:val="lowerRoman"/>
      <w:lvlText w:val="%2."/>
      <w:lvlJc w:val="right"/>
      <w:pPr>
        <w:ind w:left="2880" w:hanging="360"/>
      </w:pPr>
      <w:rPr>
        <w:rFonts w:ascii="Times New Roman" w:hAnsi="Times New Roman" w:cs="Times New Roman"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6" w15:restartNumberingAfterBreak="0">
    <w:nsid w:val="445E79EA"/>
    <w:multiLevelType w:val="hybridMultilevel"/>
    <w:tmpl w:val="BA025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64948"/>
    <w:multiLevelType w:val="hybridMultilevel"/>
    <w:tmpl w:val="2FEA8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20AD3"/>
    <w:multiLevelType w:val="multilevel"/>
    <w:tmpl w:val="130E8270"/>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FirstHeading"/>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9" w15:restartNumberingAfterBreak="0">
    <w:nsid w:val="4CAF0826"/>
    <w:multiLevelType w:val="hybridMultilevel"/>
    <w:tmpl w:val="FFC86486"/>
    <w:lvl w:ilvl="0" w:tplc="04090019">
      <w:start w:val="1"/>
      <w:numFmt w:val="lowerLetter"/>
      <w:lvlText w:val="%1."/>
      <w:lvlJc w:val="left"/>
      <w:pPr>
        <w:ind w:left="2160" w:hanging="360"/>
      </w:pPr>
      <w:rPr>
        <w:rFonts w:hint="default"/>
      </w:rPr>
    </w:lvl>
    <w:lvl w:ilvl="1" w:tplc="B770D05E">
      <w:start w:val="1"/>
      <w:numFmt w:val="lowerRoman"/>
      <w:lvlText w:val="%2."/>
      <w:lvlJc w:val="right"/>
      <w:pPr>
        <w:ind w:left="2880" w:hanging="360"/>
      </w:pPr>
      <w:rPr>
        <w:rFonts w:ascii="Times New Roman" w:hAnsi="Times New Roman" w:cs="Times New Roman"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0" w15:restartNumberingAfterBreak="0">
    <w:nsid w:val="54A87DCA"/>
    <w:multiLevelType w:val="hybridMultilevel"/>
    <w:tmpl w:val="1284A10E"/>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b/>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1" w15:restartNumberingAfterBreak="0">
    <w:nsid w:val="551F3FF8"/>
    <w:multiLevelType w:val="multilevel"/>
    <w:tmpl w:val="B4EAF7C6"/>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i w:val="0"/>
      </w:rPr>
    </w:lvl>
    <w:lvl w:ilvl="2">
      <w:start w:val="1"/>
      <w:numFmt w:val="lowerLetter"/>
      <w:pStyle w:val="Paragraph"/>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2" w15:restartNumberingAfterBreak="0">
    <w:nsid w:val="56CE6169"/>
    <w:multiLevelType w:val="multilevel"/>
    <w:tmpl w:val="CE284FE2"/>
    <w:lvl w:ilvl="0">
      <w:start w:val="1"/>
      <w:numFmt w:val="none"/>
      <w:lvlRestart w:val="0"/>
      <w:suff w:val="nothing"/>
      <w:lvlText w:val=""/>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23" w15:restartNumberingAfterBreak="0">
    <w:nsid w:val="5F1B585A"/>
    <w:multiLevelType w:val="hybridMultilevel"/>
    <w:tmpl w:val="FA9CF158"/>
    <w:lvl w:ilvl="0" w:tplc="D882A696">
      <w:start w:val="1"/>
      <w:numFmt w:val="lowerLetter"/>
      <w:lvlText w:val="(%1)"/>
      <w:lvlJc w:val="left"/>
      <w:pPr>
        <w:ind w:left="1080" w:hanging="360"/>
      </w:pPr>
      <w:rPr>
        <w:rFonts w:hint="default"/>
        <w:sz w:val="18"/>
      </w:r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4" w15:restartNumberingAfterBreak="0">
    <w:nsid w:val="5F2905BA"/>
    <w:multiLevelType w:val="multilevel"/>
    <w:tmpl w:val="0EF8ADF2"/>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5" w15:restartNumberingAfterBreak="0">
    <w:nsid w:val="5FF509F5"/>
    <w:multiLevelType w:val="hybridMultilevel"/>
    <w:tmpl w:val="179C1E48"/>
    <w:lvl w:ilvl="0" w:tplc="1904FABE">
      <w:start w:val="1"/>
      <w:numFmt w:val="upperRoman"/>
      <w:lvlText w:val="%1."/>
      <w:lvlJc w:val="left"/>
      <w:pPr>
        <w:ind w:left="1425" w:hanging="720"/>
      </w:pPr>
      <w:rPr>
        <w:rFonts w:hint="default"/>
      </w:rPr>
    </w:lvl>
    <w:lvl w:ilvl="1" w:tplc="04090015">
      <w:start w:val="1"/>
      <w:numFmt w:val="upperLetter"/>
      <w:lvlText w:val="%2."/>
      <w:lvlJc w:val="left"/>
      <w:pPr>
        <w:ind w:left="1785" w:hanging="360"/>
      </w:pPr>
      <w:rPr>
        <w:sz w:val="28"/>
        <w:szCs w:val="28"/>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609923C8"/>
    <w:multiLevelType w:val="multilevel"/>
    <w:tmpl w:val="FFF87884"/>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Letter"/>
      <w:lvlRestart w:val="0"/>
      <w:lvlText w:val="%3."/>
      <w:lvlJc w:val="left"/>
      <w:pPr>
        <w:tabs>
          <w:tab w:val="num" w:pos="1800"/>
        </w:tabs>
        <w:ind w:left="1800" w:hanging="360"/>
      </w:pPr>
      <w:rPr>
        <w:rFonts w:ascii="Times New Roman Bold" w:hAnsi="Times New Roman Bold" w:hint="default"/>
        <w:b w:val="0"/>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7" w15:restartNumberingAfterBreak="0">
    <w:nsid w:val="61AF3E44"/>
    <w:multiLevelType w:val="hybridMultilevel"/>
    <w:tmpl w:val="CC10343E"/>
    <w:lvl w:ilvl="0" w:tplc="B456B370">
      <w:start w:val="1"/>
      <w:numFmt w:val="decimal"/>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933FF"/>
    <w:multiLevelType w:val="multilevel"/>
    <w:tmpl w:val="981A9BA2"/>
    <w:lvl w:ilvl="0">
      <w:start w:val="1"/>
      <w:numFmt w:val="none"/>
      <w:lvlRestart w:val="0"/>
      <w:suff w:val="nothing"/>
      <w:lvlText w:val=""/>
      <w:lvlJc w:val="left"/>
      <w:pPr>
        <w:ind w:left="1440" w:hanging="720"/>
      </w:pPr>
    </w:lvl>
    <w:lvl w:ilvl="1">
      <w:start w:val="1"/>
      <w:numFmt w:val="decimalZero"/>
      <w:isLgl/>
      <w:lvlText w:val="Section %1.%2"/>
      <w:lvlJc w:val="left"/>
      <w:pPr>
        <w:ind w:left="720" w:firstLine="0"/>
      </w:pPr>
      <w:rPr>
        <w:b/>
      </w:rPr>
    </w:lvl>
    <w:lvl w:ilvl="2">
      <w:start w:val="1"/>
      <w:numFmt w:val="lowerLetter"/>
      <w:lvlText w:val="(%3)"/>
      <w:lvlJc w:val="left"/>
      <w:pPr>
        <w:ind w:left="1440" w:hanging="432"/>
      </w:pPr>
      <w:rPr>
        <w:b/>
      </w:rPr>
    </w:lvl>
    <w:lvl w:ilvl="3">
      <w:start w:val="1"/>
      <w:numFmt w:val="lowerRoman"/>
      <w:lvlText w:val="(%4)"/>
      <w:lvlJc w:val="right"/>
      <w:pPr>
        <w:ind w:left="1584" w:hanging="144"/>
      </w:pPr>
      <w:rPr>
        <w:b/>
      </w:r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29" w15:restartNumberingAfterBreak="0">
    <w:nsid w:val="624711D4"/>
    <w:multiLevelType w:val="hybridMultilevel"/>
    <w:tmpl w:val="D5222B18"/>
    <w:lvl w:ilvl="0" w:tplc="7B284434">
      <w:start w:val="1"/>
      <w:numFmt w:val="upperLetter"/>
      <w:lvlText w:val="%1."/>
      <w:lvlJc w:val="left"/>
      <w:pPr>
        <w:ind w:left="360" w:hanging="360"/>
      </w:pPr>
      <w:rPr>
        <w:sz w:val="28"/>
        <w:szCs w:val="28"/>
      </w:rPr>
    </w:lvl>
    <w:lvl w:ilvl="1" w:tplc="0C0A0019" w:tentative="1">
      <w:start w:val="1"/>
      <w:numFmt w:val="lowerLetter"/>
      <w:lvlText w:val="%2."/>
      <w:lvlJc w:val="left"/>
      <w:pPr>
        <w:ind w:left="15" w:hanging="360"/>
      </w:pPr>
    </w:lvl>
    <w:lvl w:ilvl="2" w:tplc="0C0A001B" w:tentative="1">
      <w:start w:val="1"/>
      <w:numFmt w:val="lowerRoman"/>
      <w:lvlText w:val="%3."/>
      <w:lvlJc w:val="right"/>
      <w:pPr>
        <w:ind w:left="735" w:hanging="180"/>
      </w:pPr>
    </w:lvl>
    <w:lvl w:ilvl="3" w:tplc="0C0A000F" w:tentative="1">
      <w:start w:val="1"/>
      <w:numFmt w:val="decimal"/>
      <w:lvlText w:val="%4."/>
      <w:lvlJc w:val="left"/>
      <w:pPr>
        <w:ind w:left="1455" w:hanging="360"/>
      </w:pPr>
    </w:lvl>
    <w:lvl w:ilvl="4" w:tplc="0C0A0019" w:tentative="1">
      <w:start w:val="1"/>
      <w:numFmt w:val="lowerLetter"/>
      <w:lvlText w:val="%5."/>
      <w:lvlJc w:val="left"/>
      <w:pPr>
        <w:ind w:left="2175" w:hanging="360"/>
      </w:pPr>
    </w:lvl>
    <w:lvl w:ilvl="5" w:tplc="0C0A001B" w:tentative="1">
      <w:start w:val="1"/>
      <w:numFmt w:val="lowerRoman"/>
      <w:lvlText w:val="%6."/>
      <w:lvlJc w:val="right"/>
      <w:pPr>
        <w:ind w:left="2895" w:hanging="180"/>
      </w:pPr>
    </w:lvl>
    <w:lvl w:ilvl="6" w:tplc="0C0A000F" w:tentative="1">
      <w:start w:val="1"/>
      <w:numFmt w:val="decimal"/>
      <w:lvlText w:val="%7."/>
      <w:lvlJc w:val="left"/>
      <w:pPr>
        <w:ind w:left="3615" w:hanging="360"/>
      </w:pPr>
    </w:lvl>
    <w:lvl w:ilvl="7" w:tplc="0C0A0019" w:tentative="1">
      <w:start w:val="1"/>
      <w:numFmt w:val="lowerLetter"/>
      <w:lvlText w:val="%8."/>
      <w:lvlJc w:val="left"/>
      <w:pPr>
        <w:ind w:left="4335" w:hanging="360"/>
      </w:pPr>
    </w:lvl>
    <w:lvl w:ilvl="8" w:tplc="0C0A001B" w:tentative="1">
      <w:start w:val="1"/>
      <w:numFmt w:val="lowerRoman"/>
      <w:lvlText w:val="%9."/>
      <w:lvlJc w:val="right"/>
      <w:pPr>
        <w:ind w:left="5055" w:hanging="180"/>
      </w:pPr>
    </w:lvl>
  </w:abstractNum>
  <w:abstractNum w:abstractNumId="30" w15:restartNumberingAfterBreak="0">
    <w:nsid w:val="63CD6DEB"/>
    <w:multiLevelType w:val="hybridMultilevel"/>
    <w:tmpl w:val="5DD2D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031FEA"/>
    <w:multiLevelType w:val="multilevel"/>
    <w:tmpl w:val="84567670"/>
    <w:lvl w:ilvl="0">
      <w:start w:val="1"/>
      <w:numFmt w:val="upperRoman"/>
      <w:lvlRestart w:val="0"/>
      <w:lvlText w:val="%1."/>
      <w:lvlJc w:val="center"/>
      <w:pPr>
        <w:tabs>
          <w:tab w:val="num" w:pos="7470"/>
        </w:tabs>
        <w:ind w:left="6822" w:firstLine="288"/>
      </w:pPr>
      <w:rPr>
        <w:b/>
        <w:i w:val="0"/>
      </w:rPr>
    </w:lvl>
    <w:lvl w:ilvl="1">
      <w:start w:val="1"/>
      <w:numFmt w:val="bullet"/>
      <w:lvlText w:val=""/>
      <w:lvlJc w:val="left"/>
      <w:pPr>
        <w:tabs>
          <w:tab w:val="num" w:pos="2736"/>
        </w:tabs>
        <w:ind w:left="2736" w:hanging="1296"/>
      </w:pPr>
      <w:rPr>
        <w:rFonts w:ascii="Symbol" w:hAnsi="Symbol" w:hint="default"/>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2" w15:restartNumberingAfterBreak="0">
    <w:nsid w:val="72910776"/>
    <w:multiLevelType w:val="hybridMultilevel"/>
    <w:tmpl w:val="928A332E"/>
    <w:lvl w:ilvl="0" w:tplc="C7408A6C">
      <w:start w:val="1"/>
      <w:numFmt w:val="decimal"/>
      <w:lvlText w:val="1.0%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F72A4"/>
    <w:multiLevelType w:val="hybridMultilevel"/>
    <w:tmpl w:val="B0DEA0CA"/>
    <w:lvl w:ilvl="0" w:tplc="0409000F">
      <w:start w:val="1"/>
      <w:numFmt w:val="upperRoman"/>
      <w:lvlText w:val="%1."/>
      <w:lvlJc w:val="left"/>
      <w:pPr>
        <w:ind w:left="1425" w:hanging="720"/>
      </w:pPr>
      <w:rPr>
        <w:rFonts w:hint="default"/>
      </w:rPr>
    </w:lvl>
    <w:lvl w:ilvl="1" w:tplc="04090015">
      <w:start w:val="1"/>
      <w:numFmt w:val="upperLetter"/>
      <w:lvlText w:val="%2."/>
      <w:lvlJc w:val="left"/>
      <w:pPr>
        <w:ind w:left="1785" w:hanging="360"/>
      </w:pPr>
      <w:rPr>
        <w:sz w:val="28"/>
        <w:szCs w:val="28"/>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76D066DD"/>
    <w:multiLevelType w:val="hybridMultilevel"/>
    <w:tmpl w:val="9E36F9EE"/>
    <w:lvl w:ilvl="0" w:tplc="B46C303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79B44BBB"/>
    <w:multiLevelType w:val="hybridMultilevel"/>
    <w:tmpl w:val="31E213D6"/>
    <w:lvl w:ilvl="0" w:tplc="C506EDA8">
      <w:start w:val="3"/>
      <w:numFmt w:val="upperLetter"/>
      <w:lvlText w:val="%1."/>
      <w:lvlJc w:val="left"/>
      <w:pPr>
        <w:ind w:left="1785"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05CB3"/>
    <w:multiLevelType w:val="hybridMultilevel"/>
    <w:tmpl w:val="81180636"/>
    <w:lvl w:ilvl="0" w:tplc="B770D05E">
      <w:start w:val="1"/>
      <w:numFmt w:val="lowerRoman"/>
      <w:lvlText w:val="%1."/>
      <w:lvlJc w:val="right"/>
      <w:pPr>
        <w:ind w:left="1440" w:hanging="360"/>
      </w:pPr>
      <w:rPr>
        <w:rFonts w:ascii="Times New Roman" w:hAnsi="Times New Roman"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8"/>
  </w:num>
  <w:num w:numId="2">
    <w:abstractNumId w:val="21"/>
  </w:num>
  <w:num w:numId="3">
    <w:abstractNumId w:val="0"/>
  </w:num>
  <w:num w:numId="4">
    <w:abstractNumId w:val="24"/>
  </w:num>
  <w:num w:numId="5">
    <w:abstractNumId w:val="22"/>
  </w:num>
  <w:num w:numId="6">
    <w:abstractNumId w:val="25"/>
  </w:num>
  <w:num w:numId="7">
    <w:abstractNumId w:val="26"/>
  </w:num>
  <w:num w:numId="8">
    <w:abstractNumId w:val="36"/>
  </w:num>
  <w:num w:numId="9">
    <w:abstractNumId w:val="6"/>
  </w:num>
  <w:num w:numId="10">
    <w:abstractNumId w:val="34"/>
  </w:num>
  <w:num w:numId="11">
    <w:abstractNumId w:val="5"/>
  </w:num>
  <w:num w:numId="12">
    <w:abstractNumId w:val="19"/>
  </w:num>
  <w:num w:numId="13">
    <w:abstractNumId w:val="15"/>
  </w:num>
  <w:num w:numId="14">
    <w:abstractNumId w:val="33"/>
  </w:num>
  <w:num w:numId="15">
    <w:abstractNumId w:val="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5"/>
  </w:num>
  <w:num w:numId="19">
    <w:abstractNumId w:val="20"/>
  </w:num>
  <w:num w:numId="20">
    <w:abstractNumId w:val="13"/>
  </w:num>
  <w:num w:numId="21">
    <w:abstractNumId w:val="21"/>
  </w:num>
  <w:num w:numId="22">
    <w:abstractNumId w:val="17"/>
  </w:num>
  <w:num w:numId="23">
    <w:abstractNumId w:val="27"/>
  </w:num>
  <w:num w:numId="24">
    <w:abstractNumId w:val="18"/>
  </w:num>
  <w:num w:numId="25">
    <w:abstractNumId w:val="18"/>
  </w:num>
  <w:num w:numId="26">
    <w:abstractNumId w:val="3"/>
  </w:num>
  <w:num w:numId="27">
    <w:abstractNumId w:val="7"/>
  </w:num>
  <w:num w:numId="28">
    <w:abstractNumId w:val="2"/>
  </w:num>
  <w:num w:numId="29">
    <w:abstractNumId w:val="30"/>
  </w:num>
  <w:num w:numId="30">
    <w:abstractNumId w:val="28"/>
  </w:num>
  <w:num w:numId="31">
    <w:abstractNumId w:val="12"/>
  </w:num>
  <w:num w:numId="32">
    <w:abstractNumId w:val="18"/>
  </w:num>
  <w:num w:numId="33">
    <w:abstractNumId w:val="4"/>
  </w:num>
  <w:num w:numId="34">
    <w:abstractNumId w:val="1"/>
  </w:num>
  <w:num w:numId="35">
    <w:abstractNumId w:val="21"/>
  </w:num>
  <w:num w:numId="36">
    <w:abstractNumId w:val="14"/>
  </w:num>
  <w:num w:numId="37">
    <w:abstractNumId w:val="16"/>
  </w:num>
  <w:num w:numId="38">
    <w:abstractNumId w:val="21"/>
  </w:num>
  <w:num w:numId="39">
    <w:abstractNumId w:val="9"/>
  </w:num>
  <w:num w:numId="40">
    <w:abstractNumId w:val="31"/>
  </w:num>
  <w:num w:numId="41">
    <w:abstractNumId w:val="11"/>
  </w:num>
  <w:num w:numId="42">
    <w:abstractNumId w:val="21"/>
  </w:num>
  <w:num w:numId="43">
    <w:abstractNumId w:val="10"/>
  </w:num>
  <w:num w:numId="44">
    <w:abstractNumId w:val="21"/>
  </w:num>
  <w:num w:numId="45">
    <w:abstractNumId w:val="32"/>
  </w:num>
  <w:num w:numId="46">
    <w:abstractNumId w:val="21"/>
  </w:num>
  <w:num w:numId="4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0"/>
  <w:activeWritingStyle w:appName="MSWord" w:lang="es-AR" w:vendorID="64" w:dllVersion="6" w:nlCheck="1" w:checkStyle="1"/>
  <w:activeWritingStyle w:appName="MSWord" w:lang="es-MX" w:vendorID="64" w:dllVersion="6" w:nlCheck="1" w:checkStyle="1"/>
  <w:activeWritingStyle w:appName="MSWord" w:lang="en-GB" w:vendorID="64" w:dllVersion="6" w:nlCheck="1" w:checkStyle="0"/>
  <w:activeWritingStyle w:appName="MSWord" w:lang="es-BO"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BO" w:vendorID="64" w:dllVersion="4096" w:nlCheck="1" w:checkStyle="0"/>
  <w:activeWritingStyle w:appName="MSWord" w:lang="es-PE" w:vendorID="64" w:dllVersion="4096" w:nlCheck="1" w:checkStyle="0"/>
  <w:activeWritingStyle w:appName="MSWord" w:lang="en-US"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es-CO"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CE"/>
    <w:rsid w:val="000041EC"/>
    <w:rsid w:val="00007270"/>
    <w:rsid w:val="00007908"/>
    <w:rsid w:val="000116D0"/>
    <w:rsid w:val="00011F3A"/>
    <w:rsid w:val="00030896"/>
    <w:rsid w:val="000324CA"/>
    <w:rsid w:val="000327F3"/>
    <w:rsid w:val="000410FA"/>
    <w:rsid w:val="000422E9"/>
    <w:rsid w:val="000449E9"/>
    <w:rsid w:val="00044D3E"/>
    <w:rsid w:val="000466D3"/>
    <w:rsid w:val="00051361"/>
    <w:rsid w:val="00051B6C"/>
    <w:rsid w:val="00066E57"/>
    <w:rsid w:val="00070120"/>
    <w:rsid w:val="00070947"/>
    <w:rsid w:val="00077A51"/>
    <w:rsid w:val="000835F5"/>
    <w:rsid w:val="00086DCF"/>
    <w:rsid w:val="00087760"/>
    <w:rsid w:val="00087819"/>
    <w:rsid w:val="00090922"/>
    <w:rsid w:val="00097C57"/>
    <w:rsid w:val="000B3125"/>
    <w:rsid w:val="000C31D0"/>
    <w:rsid w:val="000C39FD"/>
    <w:rsid w:val="000D2942"/>
    <w:rsid w:val="000D7F56"/>
    <w:rsid w:val="000E4DAA"/>
    <w:rsid w:val="000F443E"/>
    <w:rsid w:val="001005B4"/>
    <w:rsid w:val="00103D97"/>
    <w:rsid w:val="00106F97"/>
    <w:rsid w:val="00110049"/>
    <w:rsid w:val="001103B2"/>
    <w:rsid w:val="00110638"/>
    <w:rsid w:val="00113817"/>
    <w:rsid w:val="00114423"/>
    <w:rsid w:val="00116FCC"/>
    <w:rsid w:val="00117A7F"/>
    <w:rsid w:val="0012076F"/>
    <w:rsid w:val="00125360"/>
    <w:rsid w:val="00134A25"/>
    <w:rsid w:val="00137679"/>
    <w:rsid w:val="00137921"/>
    <w:rsid w:val="00143B6F"/>
    <w:rsid w:val="001600C8"/>
    <w:rsid w:val="00160A68"/>
    <w:rsid w:val="00165F6C"/>
    <w:rsid w:val="0016681B"/>
    <w:rsid w:val="0016697D"/>
    <w:rsid w:val="001676BC"/>
    <w:rsid w:val="0017197F"/>
    <w:rsid w:val="00174A03"/>
    <w:rsid w:val="00175C5E"/>
    <w:rsid w:val="00177159"/>
    <w:rsid w:val="00182A4B"/>
    <w:rsid w:val="00186C78"/>
    <w:rsid w:val="00192DFA"/>
    <w:rsid w:val="001942F1"/>
    <w:rsid w:val="001A3F78"/>
    <w:rsid w:val="001B313E"/>
    <w:rsid w:val="001C5592"/>
    <w:rsid w:val="001D1895"/>
    <w:rsid w:val="001D434B"/>
    <w:rsid w:val="001D435C"/>
    <w:rsid w:val="001E003D"/>
    <w:rsid w:val="001E2FB3"/>
    <w:rsid w:val="001F1AFC"/>
    <w:rsid w:val="001F3871"/>
    <w:rsid w:val="00200EE5"/>
    <w:rsid w:val="002024B8"/>
    <w:rsid w:val="002034DF"/>
    <w:rsid w:val="00205BC8"/>
    <w:rsid w:val="00211339"/>
    <w:rsid w:val="00216230"/>
    <w:rsid w:val="0022491A"/>
    <w:rsid w:val="002334D9"/>
    <w:rsid w:val="00243E20"/>
    <w:rsid w:val="0024570D"/>
    <w:rsid w:val="0024622A"/>
    <w:rsid w:val="00247F83"/>
    <w:rsid w:val="00251E8D"/>
    <w:rsid w:val="0025251D"/>
    <w:rsid w:val="0025300B"/>
    <w:rsid w:val="00257C65"/>
    <w:rsid w:val="00270A9E"/>
    <w:rsid w:val="00282152"/>
    <w:rsid w:val="002869CA"/>
    <w:rsid w:val="00287776"/>
    <w:rsid w:val="00290758"/>
    <w:rsid w:val="00293E34"/>
    <w:rsid w:val="002A61D7"/>
    <w:rsid w:val="002B7F9A"/>
    <w:rsid w:val="002C58E0"/>
    <w:rsid w:val="002C745F"/>
    <w:rsid w:val="002D1541"/>
    <w:rsid w:val="002D2FC5"/>
    <w:rsid w:val="002D4AF3"/>
    <w:rsid w:val="002D6052"/>
    <w:rsid w:val="002E794E"/>
    <w:rsid w:val="002F07E9"/>
    <w:rsid w:val="00307CC0"/>
    <w:rsid w:val="00311FCE"/>
    <w:rsid w:val="00313A60"/>
    <w:rsid w:val="003155A8"/>
    <w:rsid w:val="003204DF"/>
    <w:rsid w:val="00323456"/>
    <w:rsid w:val="0033326A"/>
    <w:rsid w:val="0033517E"/>
    <w:rsid w:val="00335FBE"/>
    <w:rsid w:val="00341ECC"/>
    <w:rsid w:val="00353F76"/>
    <w:rsid w:val="0035553A"/>
    <w:rsid w:val="00357FA3"/>
    <w:rsid w:val="003602CD"/>
    <w:rsid w:val="00361BBC"/>
    <w:rsid w:val="00361FA4"/>
    <w:rsid w:val="00362A3F"/>
    <w:rsid w:val="00364A0B"/>
    <w:rsid w:val="00370EDE"/>
    <w:rsid w:val="003730FD"/>
    <w:rsid w:val="00381E73"/>
    <w:rsid w:val="00382D0A"/>
    <w:rsid w:val="00383960"/>
    <w:rsid w:val="00394009"/>
    <w:rsid w:val="00395BE4"/>
    <w:rsid w:val="003A3142"/>
    <w:rsid w:val="003A31D2"/>
    <w:rsid w:val="003B23B5"/>
    <w:rsid w:val="003B3929"/>
    <w:rsid w:val="003B4828"/>
    <w:rsid w:val="003B669D"/>
    <w:rsid w:val="003B6F92"/>
    <w:rsid w:val="003D06A9"/>
    <w:rsid w:val="003D086E"/>
    <w:rsid w:val="003D17DC"/>
    <w:rsid w:val="003E415B"/>
    <w:rsid w:val="003F0560"/>
    <w:rsid w:val="003F1412"/>
    <w:rsid w:val="003F2147"/>
    <w:rsid w:val="003F308D"/>
    <w:rsid w:val="003F3387"/>
    <w:rsid w:val="003F6D71"/>
    <w:rsid w:val="00404114"/>
    <w:rsid w:val="004057EB"/>
    <w:rsid w:val="004104E2"/>
    <w:rsid w:val="004129D8"/>
    <w:rsid w:val="00413583"/>
    <w:rsid w:val="00416362"/>
    <w:rsid w:val="00417504"/>
    <w:rsid w:val="004239E5"/>
    <w:rsid w:val="0042556B"/>
    <w:rsid w:val="004265A3"/>
    <w:rsid w:val="004301E9"/>
    <w:rsid w:val="004317CE"/>
    <w:rsid w:val="00434B57"/>
    <w:rsid w:val="00437FDB"/>
    <w:rsid w:val="0044154C"/>
    <w:rsid w:val="00446EFA"/>
    <w:rsid w:val="0044752E"/>
    <w:rsid w:val="00447684"/>
    <w:rsid w:val="004540F0"/>
    <w:rsid w:val="00456A2F"/>
    <w:rsid w:val="00481F56"/>
    <w:rsid w:val="004862FF"/>
    <w:rsid w:val="00486711"/>
    <w:rsid w:val="00494E11"/>
    <w:rsid w:val="00496452"/>
    <w:rsid w:val="00496BB7"/>
    <w:rsid w:val="00497489"/>
    <w:rsid w:val="004A042F"/>
    <w:rsid w:val="004A78F8"/>
    <w:rsid w:val="004B1102"/>
    <w:rsid w:val="004B36F0"/>
    <w:rsid w:val="004B558A"/>
    <w:rsid w:val="004C2D85"/>
    <w:rsid w:val="004D29EB"/>
    <w:rsid w:val="004E0308"/>
    <w:rsid w:val="004F5DB0"/>
    <w:rsid w:val="004F7E0F"/>
    <w:rsid w:val="00502AB4"/>
    <w:rsid w:val="00506774"/>
    <w:rsid w:val="00515710"/>
    <w:rsid w:val="0051689A"/>
    <w:rsid w:val="0052094B"/>
    <w:rsid w:val="0052099D"/>
    <w:rsid w:val="0052280B"/>
    <w:rsid w:val="00522E31"/>
    <w:rsid w:val="00536432"/>
    <w:rsid w:val="00542784"/>
    <w:rsid w:val="00551684"/>
    <w:rsid w:val="00555FEC"/>
    <w:rsid w:val="00562887"/>
    <w:rsid w:val="005652CC"/>
    <w:rsid w:val="00565756"/>
    <w:rsid w:val="00565CB1"/>
    <w:rsid w:val="00566616"/>
    <w:rsid w:val="00592997"/>
    <w:rsid w:val="00595CBE"/>
    <w:rsid w:val="005B5C14"/>
    <w:rsid w:val="005D39FD"/>
    <w:rsid w:val="005D3B9D"/>
    <w:rsid w:val="005D4951"/>
    <w:rsid w:val="005E2745"/>
    <w:rsid w:val="005E4127"/>
    <w:rsid w:val="005E425E"/>
    <w:rsid w:val="005E72EF"/>
    <w:rsid w:val="005F7E5F"/>
    <w:rsid w:val="0060081F"/>
    <w:rsid w:val="00600A12"/>
    <w:rsid w:val="00617549"/>
    <w:rsid w:val="006229B9"/>
    <w:rsid w:val="006231B3"/>
    <w:rsid w:val="0062567E"/>
    <w:rsid w:val="0062582C"/>
    <w:rsid w:val="00626DA6"/>
    <w:rsid w:val="00626E8B"/>
    <w:rsid w:val="00633C28"/>
    <w:rsid w:val="00634933"/>
    <w:rsid w:val="00634E17"/>
    <w:rsid w:val="0064226C"/>
    <w:rsid w:val="006436BA"/>
    <w:rsid w:val="006521BF"/>
    <w:rsid w:val="0065561A"/>
    <w:rsid w:val="00655FE5"/>
    <w:rsid w:val="00656D15"/>
    <w:rsid w:val="00661698"/>
    <w:rsid w:val="006634EF"/>
    <w:rsid w:val="0066360A"/>
    <w:rsid w:val="00666830"/>
    <w:rsid w:val="006709BA"/>
    <w:rsid w:val="00692EA2"/>
    <w:rsid w:val="006A25E8"/>
    <w:rsid w:val="006A3FFD"/>
    <w:rsid w:val="006C07A9"/>
    <w:rsid w:val="006C16A5"/>
    <w:rsid w:val="006C2B9F"/>
    <w:rsid w:val="006C2C4B"/>
    <w:rsid w:val="006C38D8"/>
    <w:rsid w:val="006C595F"/>
    <w:rsid w:val="006D13B1"/>
    <w:rsid w:val="006D3BCD"/>
    <w:rsid w:val="006D7AB5"/>
    <w:rsid w:val="006E1FD3"/>
    <w:rsid w:val="006E4E72"/>
    <w:rsid w:val="006F0E22"/>
    <w:rsid w:val="006F1320"/>
    <w:rsid w:val="006F2C7D"/>
    <w:rsid w:val="006F457B"/>
    <w:rsid w:val="00722213"/>
    <w:rsid w:val="0072570D"/>
    <w:rsid w:val="007279CF"/>
    <w:rsid w:val="007325D6"/>
    <w:rsid w:val="007329B4"/>
    <w:rsid w:val="00734C44"/>
    <w:rsid w:val="00736540"/>
    <w:rsid w:val="0073716D"/>
    <w:rsid w:val="007375F9"/>
    <w:rsid w:val="007409FB"/>
    <w:rsid w:val="00742CEE"/>
    <w:rsid w:val="007471BA"/>
    <w:rsid w:val="00750F40"/>
    <w:rsid w:val="0075472E"/>
    <w:rsid w:val="007600C9"/>
    <w:rsid w:val="007625AF"/>
    <w:rsid w:val="00765A60"/>
    <w:rsid w:val="00766560"/>
    <w:rsid w:val="00771B15"/>
    <w:rsid w:val="00772BE8"/>
    <w:rsid w:val="0077626E"/>
    <w:rsid w:val="007861F4"/>
    <w:rsid w:val="007A6758"/>
    <w:rsid w:val="007A6B01"/>
    <w:rsid w:val="007B1459"/>
    <w:rsid w:val="007B71E3"/>
    <w:rsid w:val="007C09A9"/>
    <w:rsid w:val="007C2FEE"/>
    <w:rsid w:val="007C48A4"/>
    <w:rsid w:val="007C49AA"/>
    <w:rsid w:val="007D215D"/>
    <w:rsid w:val="007D7B6E"/>
    <w:rsid w:val="007E51C4"/>
    <w:rsid w:val="007E51CA"/>
    <w:rsid w:val="007E60E0"/>
    <w:rsid w:val="007E73EC"/>
    <w:rsid w:val="007E7701"/>
    <w:rsid w:val="007F33DA"/>
    <w:rsid w:val="00804762"/>
    <w:rsid w:val="008052D7"/>
    <w:rsid w:val="0081439A"/>
    <w:rsid w:val="00816AB8"/>
    <w:rsid w:val="00817584"/>
    <w:rsid w:val="008220BA"/>
    <w:rsid w:val="00822781"/>
    <w:rsid w:val="0082293C"/>
    <w:rsid w:val="00824030"/>
    <w:rsid w:val="00831100"/>
    <w:rsid w:val="00834AD9"/>
    <w:rsid w:val="008350ED"/>
    <w:rsid w:val="0083666B"/>
    <w:rsid w:val="00841EC7"/>
    <w:rsid w:val="00843D54"/>
    <w:rsid w:val="00846A04"/>
    <w:rsid w:val="00846B57"/>
    <w:rsid w:val="008478D4"/>
    <w:rsid w:val="00853D4E"/>
    <w:rsid w:val="008578C6"/>
    <w:rsid w:val="00857F1E"/>
    <w:rsid w:val="00857F62"/>
    <w:rsid w:val="00866287"/>
    <w:rsid w:val="0087484C"/>
    <w:rsid w:val="00877C16"/>
    <w:rsid w:val="00884D75"/>
    <w:rsid w:val="00886559"/>
    <w:rsid w:val="00891137"/>
    <w:rsid w:val="00893744"/>
    <w:rsid w:val="008968C6"/>
    <w:rsid w:val="00897949"/>
    <w:rsid w:val="008A19C5"/>
    <w:rsid w:val="008A1E15"/>
    <w:rsid w:val="008A4558"/>
    <w:rsid w:val="008B1E7A"/>
    <w:rsid w:val="008C2032"/>
    <w:rsid w:val="008C756A"/>
    <w:rsid w:val="008D27B3"/>
    <w:rsid w:val="008D59C6"/>
    <w:rsid w:val="008D7388"/>
    <w:rsid w:val="008E1868"/>
    <w:rsid w:val="008E31EA"/>
    <w:rsid w:val="008E4A4B"/>
    <w:rsid w:val="008E6811"/>
    <w:rsid w:val="008F3B80"/>
    <w:rsid w:val="008F5907"/>
    <w:rsid w:val="00900D4A"/>
    <w:rsid w:val="00907D83"/>
    <w:rsid w:val="00911B43"/>
    <w:rsid w:val="0092339C"/>
    <w:rsid w:val="0092388E"/>
    <w:rsid w:val="0092469E"/>
    <w:rsid w:val="009254DE"/>
    <w:rsid w:val="00927775"/>
    <w:rsid w:val="009278B3"/>
    <w:rsid w:val="00937D30"/>
    <w:rsid w:val="00940FC4"/>
    <w:rsid w:val="009440E3"/>
    <w:rsid w:val="00952699"/>
    <w:rsid w:val="00952CB1"/>
    <w:rsid w:val="009552B7"/>
    <w:rsid w:val="00960B26"/>
    <w:rsid w:val="00960CAA"/>
    <w:rsid w:val="00962540"/>
    <w:rsid w:val="00973918"/>
    <w:rsid w:val="009814A8"/>
    <w:rsid w:val="0098245B"/>
    <w:rsid w:val="009862A1"/>
    <w:rsid w:val="00993402"/>
    <w:rsid w:val="009955F5"/>
    <w:rsid w:val="00996C76"/>
    <w:rsid w:val="009A02E5"/>
    <w:rsid w:val="009A0AFA"/>
    <w:rsid w:val="009A1FB0"/>
    <w:rsid w:val="009A6D3F"/>
    <w:rsid w:val="009A79C5"/>
    <w:rsid w:val="009C27BF"/>
    <w:rsid w:val="009C2B1B"/>
    <w:rsid w:val="009C43D3"/>
    <w:rsid w:val="009C5046"/>
    <w:rsid w:val="009D2E97"/>
    <w:rsid w:val="009D5001"/>
    <w:rsid w:val="009D61D2"/>
    <w:rsid w:val="009E12E9"/>
    <w:rsid w:val="009E3AC7"/>
    <w:rsid w:val="009E4AD7"/>
    <w:rsid w:val="009F55CB"/>
    <w:rsid w:val="00A0348B"/>
    <w:rsid w:val="00A13FD0"/>
    <w:rsid w:val="00A14BC5"/>
    <w:rsid w:val="00A17A4F"/>
    <w:rsid w:val="00A21914"/>
    <w:rsid w:val="00A278BC"/>
    <w:rsid w:val="00A33168"/>
    <w:rsid w:val="00A34CDF"/>
    <w:rsid w:val="00A34F79"/>
    <w:rsid w:val="00A4197F"/>
    <w:rsid w:val="00A47C90"/>
    <w:rsid w:val="00A513B7"/>
    <w:rsid w:val="00A5399B"/>
    <w:rsid w:val="00A60BF8"/>
    <w:rsid w:val="00A60CE7"/>
    <w:rsid w:val="00A6797B"/>
    <w:rsid w:val="00A71CFC"/>
    <w:rsid w:val="00A729EB"/>
    <w:rsid w:val="00A73BBD"/>
    <w:rsid w:val="00A8304D"/>
    <w:rsid w:val="00A8555F"/>
    <w:rsid w:val="00A879D2"/>
    <w:rsid w:val="00A87F04"/>
    <w:rsid w:val="00A87FDD"/>
    <w:rsid w:val="00A9501E"/>
    <w:rsid w:val="00AA791D"/>
    <w:rsid w:val="00AC3B83"/>
    <w:rsid w:val="00AF2C5C"/>
    <w:rsid w:val="00AF3541"/>
    <w:rsid w:val="00AF4DD7"/>
    <w:rsid w:val="00AF786B"/>
    <w:rsid w:val="00AF7B50"/>
    <w:rsid w:val="00B02B3D"/>
    <w:rsid w:val="00B10673"/>
    <w:rsid w:val="00B131AB"/>
    <w:rsid w:val="00B164A0"/>
    <w:rsid w:val="00B26519"/>
    <w:rsid w:val="00B27B8E"/>
    <w:rsid w:val="00B32450"/>
    <w:rsid w:val="00B40194"/>
    <w:rsid w:val="00B41DDD"/>
    <w:rsid w:val="00B51B50"/>
    <w:rsid w:val="00B52474"/>
    <w:rsid w:val="00B62D0C"/>
    <w:rsid w:val="00B63E64"/>
    <w:rsid w:val="00B659E2"/>
    <w:rsid w:val="00B74089"/>
    <w:rsid w:val="00B7606C"/>
    <w:rsid w:val="00B813E8"/>
    <w:rsid w:val="00B84DD9"/>
    <w:rsid w:val="00B913FC"/>
    <w:rsid w:val="00B934F5"/>
    <w:rsid w:val="00B94E12"/>
    <w:rsid w:val="00BA0D38"/>
    <w:rsid w:val="00BA74A0"/>
    <w:rsid w:val="00BB1522"/>
    <w:rsid w:val="00BB525A"/>
    <w:rsid w:val="00BB5C7F"/>
    <w:rsid w:val="00BB79EB"/>
    <w:rsid w:val="00BC0528"/>
    <w:rsid w:val="00BC430F"/>
    <w:rsid w:val="00BC6323"/>
    <w:rsid w:val="00BD084E"/>
    <w:rsid w:val="00BD1C79"/>
    <w:rsid w:val="00BD3716"/>
    <w:rsid w:val="00BD64E3"/>
    <w:rsid w:val="00BE0B15"/>
    <w:rsid w:val="00BE731D"/>
    <w:rsid w:val="00BF3FC4"/>
    <w:rsid w:val="00BF6957"/>
    <w:rsid w:val="00C0023C"/>
    <w:rsid w:val="00C0432A"/>
    <w:rsid w:val="00C07544"/>
    <w:rsid w:val="00C10762"/>
    <w:rsid w:val="00C120FF"/>
    <w:rsid w:val="00C12133"/>
    <w:rsid w:val="00C265D3"/>
    <w:rsid w:val="00C3186A"/>
    <w:rsid w:val="00C37366"/>
    <w:rsid w:val="00C37ACB"/>
    <w:rsid w:val="00C44203"/>
    <w:rsid w:val="00C458ED"/>
    <w:rsid w:val="00C46817"/>
    <w:rsid w:val="00C47AC0"/>
    <w:rsid w:val="00C47BE6"/>
    <w:rsid w:val="00C5361D"/>
    <w:rsid w:val="00C56A33"/>
    <w:rsid w:val="00C605F0"/>
    <w:rsid w:val="00C72132"/>
    <w:rsid w:val="00C81B6E"/>
    <w:rsid w:val="00C823E0"/>
    <w:rsid w:val="00C85750"/>
    <w:rsid w:val="00C87628"/>
    <w:rsid w:val="00C93B0A"/>
    <w:rsid w:val="00C955ED"/>
    <w:rsid w:val="00C95A4E"/>
    <w:rsid w:val="00C95AC8"/>
    <w:rsid w:val="00CA5850"/>
    <w:rsid w:val="00CB3921"/>
    <w:rsid w:val="00CB6B79"/>
    <w:rsid w:val="00CB7BCF"/>
    <w:rsid w:val="00CC015D"/>
    <w:rsid w:val="00CC2CE9"/>
    <w:rsid w:val="00CC4070"/>
    <w:rsid w:val="00CD4BE8"/>
    <w:rsid w:val="00CD6BE1"/>
    <w:rsid w:val="00CE2394"/>
    <w:rsid w:val="00CE7053"/>
    <w:rsid w:val="00CF5FAC"/>
    <w:rsid w:val="00CF620D"/>
    <w:rsid w:val="00D007AD"/>
    <w:rsid w:val="00D04B54"/>
    <w:rsid w:val="00D06131"/>
    <w:rsid w:val="00D16E79"/>
    <w:rsid w:val="00D17E9E"/>
    <w:rsid w:val="00D211E1"/>
    <w:rsid w:val="00D3164E"/>
    <w:rsid w:val="00D32388"/>
    <w:rsid w:val="00D3419D"/>
    <w:rsid w:val="00D67002"/>
    <w:rsid w:val="00D7305B"/>
    <w:rsid w:val="00D80C3D"/>
    <w:rsid w:val="00D82CB6"/>
    <w:rsid w:val="00D860FF"/>
    <w:rsid w:val="00D914CE"/>
    <w:rsid w:val="00D93B74"/>
    <w:rsid w:val="00D94320"/>
    <w:rsid w:val="00D9637F"/>
    <w:rsid w:val="00DB40E7"/>
    <w:rsid w:val="00DB510F"/>
    <w:rsid w:val="00DB5DCB"/>
    <w:rsid w:val="00DC54D5"/>
    <w:rsid w:val="00DD12E5"/>
    <w:rsid w:val="00DE5D44"/>
    <w:rsid w:val="00DF443C"/>
    <w:rsid w:val="00DF7742"/>
    <w:rsid w:val="00E03E9E"/>
    <w:rsid w:val="00E07157"/>
    <w:rsid w:val="00E138BA"/>
    <w:rsid w:val="00E215C7"/>
    <w:rsid w:val="00E23A0F"/>
    <w:rsid w:val="00E25097"/>
    <w:rsid w:val="00E46464"/>
    <w:rsid w:val="00E51485"/>
    <w:rsid w:val="00E54083"/>
    <w:rsid w:val="00E54445"/>
    <w:rsid w:val="00E555DA"/>
    <w:rsid w:val="00E57B60"/>
    <w:rsid w:val="00E674AE"/>
    <w:rsid w:val="00E740E4"/>
    <w:rsid w:val="00E81FAF"/>
    <w:rsid w:val="00E84FA1"/>
    <w:rsid w:val="00E855E6"/>
    <w:rsid w:val="00E870AC"/>
    <w:rsid w:val="00E877DE"/>
    <w:rsid w:val="00EA3F36"/>
    <w:rsid w:val="00EB410B"/>
    <w:rsid w:val="00EB445D"/>
    <w:rsid w:val="00EB68A2"/>
    <w:rsid w:val="00EC1416"/>
    <w:rsid w:val="00EC1E61"/>
    <w:rsid w:val="00EC2648"/>
    <w:rsid w:val="00EC38F2"/>
    <w:rsid w:val="00ED2221"/>
    <w:rsid w:val="00ED486C"/>
    <w:rsid w:val="00EE1087"/>
    <w:rsid w:val="00EE1B42"/>
    <w:rsid w:val="00EE7A3C"/>
    <w:rsid w:val="00EF0621"/>
    <w:rsid w:val="00EF6647"/>
    <w:rsid w:val="00EF7523"/>
    <w:rsid w:val="00EF791D"/>
    <w:rsid w:val="00EF7D29"/>
    <w:rsid w:val="00EF7E4B"/>
    <w:rsid w:val="00F060DD"/>
    <w:rsid w:val="00F07AA4"/>
    <w:rsid w:val="00F11520"/>
    <w:rsid w:val="00F12D02"/>
    <w:rsid w:val="00F15A0B"/>
    <w:rsid w:val="00F2072D"/>
    <w:rsid w:val="00F21A7C"/>
    <w:rsid w:val="00F24B9A"/>
    <w:rsid w:val="00F321DF"/>
    <w:rsid w:val="00F41133"/>
    <w:rsid w:val="00F417CE"/>
    <w:rsid w:val="00F451C5"/>
    <w:rsid w:val="00F50990"/>
    <w:rsid w:val="00F51E13"/>
    <w:rsid w:val="00F52587"/>
    <w:rsid w:val="00F52C95"/>
    <w:rsid w:val="00F52F5C"/>
    <w:rsid w:val="00F618D2"/>
    <w:rsid w:val="00F62DB1"/>
    <w:rsid w:val="00F66013"/>
    <w:rsid w:val="00F84D78"/>
    <w:rsid w:val="00F86783"/>
    <w:rsid w:val="00F93BFA"/>
    <w:rsid w:val="00F950A8"/>
    <w:rsid w:val="00FA03F1"/>
    <w:rsid w:val="00FA3C0B"/>
    <w:rsid w:val="00FB09C4"/>
    <w:rsid w:val="00FB2C78"/>
    <w:rsid w:val="00FB5E7A"/>
    <w:rsid w:val="00FB74C5"/>
    <w:rsid w:val="00FC2034"/>
    <w:rsid w:val="00FC44E7"/>
    <w:rsid w:val="00FD48DF"/>
    <w:rsid w:val="00FD60C7"/>
    <w:rsid w:val="00FD6D02"/>
    <w:rsid w:val="00FE0BAA"/>
    <w:rsid w:val="00FE63A7"/>
    <w:rsid w:val="00FF1D7C"/>
    <w:rsid w:val="00FF59DF"/>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2E072"/>
  <w15:docId w15:val="{5D84AB0B-7907-422C-A8E3-A734875D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82C"/>
    <w:rPr>
      <w:rFonts w:ascii="Calibri" w:eastAsia="Times New Roman" w:hAnsi="Calibri" w:cs="Times New Roman"/>
    </w:rPr>
  </w:style>
  <w:style w:type="paragraph" w:styleId="Heading1">
    <w:name w:val="heading 1"/>
    <w:aliases w:val="Heading 1.I"/>
    <w:next w:val="Normal"/>
    <w:link w:val="Heading1Char"/>
    <w:qFormat/>
    <w:rsid w:val="00F86783"/>
    <w:pPr>
      <w:keepNext/>
      <w:tabs>
        <w:tab w:val="num" w:pos="360"/>
      </w:tabs>
      <w:spacing w:before="240" w:after="240" w:line="240" w:lineRule="auto"/>
      <w:ind w:left="288" w:hanging="288"/>
      <w:jc w:val="center"/>
      <w:outlineLvl w:val="0"/>
    </w:pPr>
    <w:rPr>
      <w:rFonts w:ascii="Times New Roman Bold" w:eastAsia="Times New Roman" w:hAnsi="Times New Roman Bold" w:cs="Times New Roman"/>
      <w:b/>
      <w:smallCaps/>
      <w:noProof/>
      <w:sz w:val="28"/>
      <w:szCs w:val="20"/>
      <w:lang w:val="es-ES" w:eastAsia="es-ES"/>
    </w:rPr>
  </w:style>
  <w:style w:type="paragraph" w:styleId="Heading2">
    <w:name w:val="heading 2"/>
    <w:basedOn w:val="Normal"/>
    <w:next w:val="Normal"/>
    <w:link w:val="Heading2Char"/>
    <w:qFormat/>
    <w:rsid w:val="00F86783"/>
    <w:pPr>
      <w:keepNext/>
      <w:tabs>
        <w:tab w:val="num" w:pos="1080"/>
      </w:tabs>
      <w:spacing w:before="240" w:after="60" w:line="240" w:lineRule="auto"/>
      <w:ind w:left="720"/>
      <w:outlineLvl w:val="1"/>
    </w:pPr>
    <w:rPr>
      <w:rFonts w:ascii="Arial" w:hAnsi="Arial"/>
      <w:b/>
      <w:i/>
      <w:sz w:val="24"/>
      <w:szCs w:val="24"/>
    </w:rPr>
  </w:style>
  <w:style w:type="paragraph" w:styleId="Heading3">
    <w:name w:val="heading 3"/>
    <w:basedOn w:val="Normal"/>
    <w:next w:val="Normal"/>
    <w:link w:val="Heading3Char"/>
    <w:qFormat/>
    <w:rsid w:val="00F86783"/>
    <w:pPr>
      <w:keepNext/>
      <w:tabs>
        <w:tab w:val="num" w:pos="1800"/>
      </w:tabs>
      <w:spacing w:before="240" w:after="60" w:line="240" w:lineRule="auto"/>
      <w:ind w:left="1440"/>
      <w:outlineLvl w:val="2"/>
    </w:pPr>
    <w:rPr>
      <w:rFonts w:ascii="Arial" w:hAnsi="Arial"/>
      <w:sz w:val="24"/>
      <w:szCs w:val="24"/>
    </w:rPr>
  </w:style>
  <w:style w:type="paragraph" w:styleId="Heading4">
    <w:name w:val="heading 4"/>
    <w:aliases w:val="Heading 4.a"/>
    <w:basedOn w:val="Normal"/>
    <w:next w:val="Normal"/>
    <w:link w:val="Heading4Char"/>
    <w:unhideWhenUsed/>
    <w:qFormat/>
    <w:rsid w:val="00F867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i)"/>
    <w:basedOn w:val="Normal"/>
    <w:next w:val="Normal"/>
    <w:link w:val="Heading5Char"/>
    <w:unhideWhenUsed/>
    <w:qFormat/>
    <w:rsid w:val="00051B6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51B6C"/>
    <w:pPr>
      <w:numPr>
        <w:ilvl w:val="5"/>
        <w:numId w:val="1"/>
      </w:numPr>
      <w:spacing w:before="240" w:after="60"/>
      <w:outlineLvl w:val="5"/>
    </w:pPr>
    <w:rPr>
      <w:b/>
      <w:bCs/>
    </w:rPr>
  </w:style>
  <w:style w:type="paragraph" w:styleId="Heading7">
    <w:name w:val="heading 7"/>
    <w:basedOn w:val="Normal"/>
    <w:next w:val="Normal"/>
    <w:link w:val="Heading7Char"/>
    <w:unhideWhenUsed/>
    <w:qFormat/>
    <w:rsid w:val="00051B6C"/>
    <w:pPr>
      <w:numPr>
        <w:ilvl w:val="6"/>
        <w:numId w:val="1"/>
      </w:numPr>
      <w:spacing w:before="240" w:after="60"/>
      <w:outlineLvl w:val="6"/>
    </w:pPr>
    <w:rPr>
      <w:sz w:val="24"/>
      <w:szCs w:val="24"/>
    </w:rPr>
  </w:style>
  <w:style w:type="paragraph" w:styleId="Heading8">
    <w:name w:val="heading 8"/>
    <w:basedOn w:val="Normal"/>
    <w:next w:val="Normal"/>
    <w:link w:val="Heading8Char"/>
    <w:unhideWhenUsed/>
    <w:qFormat/>
    <w:rsid w:val="00051B6C"/>
    <w:pPr>
      <w:numPr>
        <w:ilvl w:val="7"/>
        <w:numId w:val="1"/>
      </w:numPr>
      <w:spacing w:before="240" w:after="60"/>
      <w:outlineLvl w:val="7"/>
    </w:pPr>
    <w:rPr>
      <w:i/>
      <w:iCs/>
      <w:sz w:val="24"/>
      <w:szCs w:val="24"/>
    </w:rPr>
  </w:style>
  <w:style w:type="paragraph" w:styleId="Heading9">
    <w:name w:val="heading 9"/>
    <w:basedOn w:val="Normal"/>
    <w:next w:val="Normal"/>
    <w:link w:val="Heading9Char"/>
    <w:unhideWhenUsed/>
    <w:qFormat/>
    <w:rsid w:val="00051B6C"/>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basedOn w:val="DefaultParagraphFont"/>
    <w:link w:val="Heading1"/>
    <w:rsid w:val="00F86783"/>
    <w:rPr>
      <w:rFonts w:ascii="Times New Roman Bold" w:eastAsia="Times New Roman" w:hAnsi="Times New Roman Bold" w:cs="Times New Roman"/>
      <w:b/>
      <w:smallCaps/>
      <w:noProof/>
      <w:sz w:val="28"/>
      <w:szCs w:val="20"/>
      <w:lang w:val="es-ES" w:eastAsia="es-ES"/>
    </w:rPr>
  </w:style>
  <w:style w:type="character" w:customStyle="1" w:styleId="Heading2Char">
    <w:name w:val="Heading 2 Char"/>
    <w:basedOn w:val="DefaultParagraphFont"/>
    <w:link w:val="Heading2"/>
    <w:rsid w:val="00F86783"/>
    <w:rPr>
      <w:rFonts w:ascii="Arial" w:eastAsia="Times New Roman" w:hAnsi="Arial" w:cs="Times New Roman"/>
      <w:b/>
      <w:i/>
      <w:sz w:val="24"/>
      <w:szCs w:val="24"/>
    </w:rPr>
  </w:style>
  <w:style w:type="character" w:customStyle="1" w:styleId="Heading3Char">
    <w:name w:val="Heading 3 Char"/>
    <w:basedOn w:val="DefaultParagraphFont"/>
    <w:link w:val="Heading3"/>
    <w:rsid w:val="00F86783"/>
    <w:rPr>
      <w:rFonts w:ascii="Arial" w:eastAsia="Times New Roman" w:hAnsi="Arial" w:cs="Times New Roman"/>
      <w:sz w:val="24"/>
      <w:szCs w:val="24"/>
    </w:rPr>
  </w:style>
  <w:style w:type="character" w:customStyle="1" w:styleId="Heading4Char">
    <w:name w:val="Heading 4 Char"/>
    <w:aliases w:val="Heading 4.a Char"/>
    <w:basedOn w:val="DefaultParagraphFont"/>
    <w:link w:val="Heading4"/>
    <w:rsid w:val="00F86783"/>
    <w:rPr>
      <w:rFonts w:asciiTheme="majorHAnsi" w:eastAsiaTheme="majorEastAsia" w:hAnsiTheme="majorHAnsi" w:cstheme="majorBidi"/>
      <w:b/>
      <w:bCs/>
      <w:i/>
      <w:iCs/>
      <w:color w:val="4F81BD" w:themeColor="accent1"/>
    </w:rPr>
  </w:style>
  <w:style w:type="character" w:customStyle="1" w:styleId="Heading5Char">
    <w:name w:val="Heading 5 Char"/>
    <w:aliases w:val="Heading 5.(i) Char"/>
    <w:basedOn w:val="DefaultParagraphFont"/>
    <w:link w:val="Heading5"/>
    <w:rsid w:val="00051B6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51B6C"/>
    <w:rPr>
      <w:rFonts w:ascii="Calibri" w:eastAsia="Times New Roman" w:hAnsi="Calibri" w:cs="Times New Roman"/>
      <w:b/>
      <w:bCs/>
    </w:rPr>
  </w:style>
  <w:style w:type="character" w:customStyle="1" w:styleId="Heading7Char">
    <w:name w:val="Heading 7 Char"/>
    <w:basedOn w:val="DefaultParagraphFont"/>
    <w:link w:val="Heading7"/>
    <w:rsid w:val="00051B6C"/>
    <w:rPr>
      <w:rFonts w:ascii="Calibri" w:eastAsia="Times New Roman" w:hAnsi="Calibri" w:cs="Times New Roman"/>
      <w:sz w:val="24"/>
      <w:szCs w:val="24"/>
    </w:rPr>
  </w:style>
  <w:style w:type="character" w:customStyle="1" w:styleId="Heading8Char">
    <w:name w:val="Heading 8 Char"/>
    <w:basedOn w:val="DefaultParagraphFont"/>
    <w:link w:val="Heading8"/>
    <w:rsid w:val="00051B6C"/>
    <w:rPr>
      <w:rFonts w:ascii="Calibri" w:eastAsia="Times New Roman" w:hAnsi="Calibri" w:cs="Times New Roman"/>
      <w:i/>
      <w:iCs/>
      <w:sz w:val="24"/>
      <w:szCs w:val="24"/>
    </w:rPr>
  </w:style>
  <w:style w:type="character" w:customStyle="1" w:styleId="Heading9Char">
    <w:name w:val="Heading 9 Char"/>
    <w:basedOn w:val="DefaultParagraphFont"/>
    <w:link w:val="Heading9"/>
    <w:rsid w:val="00051B6C"/>
    <w:rPr>
      <w:rFonts w:ascii="Cambria" w:eastAsia="Times New Roman" w:hAnsi="Cambria" w:cs="Times New Roman"/>
    </w:rPr>
  </w:style>
  <w:style w:type="paragraph" w:customStyle="1" w:styleId="Default">
    <w:name w:val="Default"/>
    <w:uiPriority w:val="99"/>
    <w:rsid w:val="00051B6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pter">
    <w:name w:val="Chapter"/>
    <w:basedOn w:val="Normal"/>
    <w:next w:val="Normal"/>
    <w:link w:val="ChapterChar"/>
    <w:qFormat/>
    <w:rsid w:val="00051B6C"/>
    <w:pPr>
      <w:keepNext/>
      <w:numPr>
        <w:numId w:val="2"/>
      </w:numPr>
      <w:tabs>
        <w:tab w:val="clear" w:pos="2088"/>
        <w:tab w:val="num" w:pos="648"/>
        <w:tab w:val="left" w:pos="1440"/>
      </w:tabs>
      <w:spacing w:before="240" w:after="240" w:line="240" w:lineRule="auto"/>
      <w:ind w:left="0"/>
      <w:jc w:val="center"/>
    </w:pPr>
    <w:rPr>
      <w:rFonts w:ascii="Times New Roman" w:hAnsi="Times New Roman"/>
      <w:b/>
      <w:smallCaps/>
      <w:sz w:val="24"/>
      <w:szCs w:val="24"/>
    </w:rPr>
  </w:style>
  <w:style w:type="character" w:customStyle="1" w:styleId="ChapterChar">
    <w:name w:val="Chapter Char"/>
    <w:basedOn w:val="DefaultParagraphFont"/>
    <w:link w:val="Chapter"/>
    <w:locked/>
    <w:rsid w:val="00051B6C"/>
    <w:rPr>
      <w:rFonts w:ascii="Times New Roman" w:eastAsia="Times New Roman" w:hAnsi="Times New Roman" w:cs="Times New Roman"/>
      <w:b/>
      <w:smallCaps/>
      <w:sz w:val="24"/>
      <w:szCs w:val="24"/>
    </w:rPr>
  </w:style>
  <w:style w:type="paragraph" w:customStyle="1" w:styleId="FirstHeading">
    <w:name w:val="FirstHeading"/>
    <w:basedOn w:val="Normal"/>
    <w:next w:val="Normal"/>
    <w:link w:val="FirstHeadingChar"/>
    <w:rsid w:val="00051B6C"/>
    <w:pPr>
      <w:keepNext/>
      <w:numPr>
        <w:numId w:val="1"/>
      </w:numPr>
      <w:tabs>
        <w:tab w:val="left" w:pos="0"/>
        <w:tab w:val="left" w:pos="86"/>
      </w:tabs>
      <w:spacing w:before="120" w:after="120" w:line="240" w:lineRule="auto"/>
    </w:pPr>
    <w:rPr>
      <w:rFonts w:ascii="Times New Roman" w:hAnsi="Times New Roman"/>
      <w:b/>
      <w:sz w:val="24"/>
      <w:szCs w:val="24"/>
    </w:rPr>
  </w:style>
  <w:style w:type="character" w:customStyle="1" w:styleId="FirstHeadingChar">
    <w:name w:val="FirstHeading Char"/>
    <w:basedOn w:val="DefaultParagraphFont"/>
    <w:link w:val="FirstHeading"/>
    <w:locked/>
    <w:rsid w:val="00051B6C"/>
    <w:rPr>
      <w:rFonts w:ascii="Times New Roman" w:eastAsia="Times New Roman" w:hAnsi="Times New Roman" w:cs="Times New Roman"/>
      <w:b/>
      <w:sz w:val="24"/>
      <w:szCs w:val="24"/>
    </w:rPr>
  </w:style>
  <w:style w:type="paragraph" w:customStyle="1" w:styleId="SecHeading">
    <w:name w:val="SecHeading"/>
    <w:basedOn w:val="Normal"/>
    <w:next w:val="Paragraph"/>
    <w:rsid w:val="00051B6C"/>
    <w:pPr>
      <w:keepNext/>
      <w:numPr>
        <w:ilvl w:val="1"/>
        <w:numId w:val="1"/>
      </w:numPr>
      <w:tabs>
        <w:tab w:val="clear" w:pos="5400"/>
        <w:tab w:val="num" w:pos="1296"/>
      </w:tabs>
      <w:spacing w:before="120" w:after="120" w:line="240" w:lineRule="auto"/>
      <w:ind w:left="1296"/>
    </w:pPr>
    <w:rPr>
      <w:rFonts w:ascii="Times New Roman" w:hAnsi="Times New Roman"/>
      <w:b/>
      <w:sz w:val="24"/>
      <w:szCs w:val="24"/>
    </w:rPr>
  </w:style>
  <w:style w:type="paragraph" w:customStyle="1" w:styleId="Paragraph">
    <w:name w:val="Paragraph"/>
    <w:aliases w:val="paragraph,p,PARAGRAPH,PG,pa,at,at Char"/>
    <w:basedOn w:val="BodyTextIndent"/>
    <w:link w:val="ParagraphChar"/>
    <w:qFormat/>
    <w:rsid w:val="00051B6C"/>
    <w:pPr>
      <w:numPr>
        <w:ilvl w:val="1"/>
        <w:numId w:val="2"/>
      </w:numPr>
      <w:spacing w:before="120" w:line="240" w:lineRule="auto"/>
      <w:jc w:val="both"/>
      <w:outlineLvl w:val="1"/>
    </w:pPr>
    <w:rPr>
      <w:rFonts w:ascii="Times New Roman" w:hAnsi="Times New Roman"/>
      <w:sz w:val="24"/>
      <w:szCs w:val="24"/>
    </w:rPr>
  </w:style>
  <w:style w:type="paragraph" w:styleId="BodyTextIndent">
    <w:name w:val="Body Text Indent"/>
    <w:basedOn w:val="Normal"/>
    <w:link w:val="BodyTextIndentChar"/>
    <w:uiPriority w:val="99"/>
    <w:semiHidden/>
    <w:unhideWhenUsed/>
    <w:rsid w:val="00051B6C"/>
    <w:pPr>
      <w:spacing w:after="120"/>
      <w:ind w:left="360"/>
    </w:pPr>
  </w:style>
  <w:style w:type="character" w:customStyle="1" w:styleId="BodyTextIndentChar">
    <w:name w:val="Body Text Indent Char"/>
    <w:basedOn w:val="DefaultParagraphFont"/>
    <w:link w:val="BodyTextIndent"/>
    <w:uiPriority w:val="99"/>
    <w:semiHidden/>
    <w:rsid w:val="00051B6C"/>
    <w:rPr>
      <w:rFonts w:ascii="Calibri" w:eastAsia="Times New Roman" w:hAnsi="Calibri" w:cs="Times New Roman"/>
    </w:rPr>
  </w:style>
  <w:style w:type="character" w:customStyle="1" w:styleId="ParagraphChar">
    <w:name w:val="Paragraph Char"/>
    <w:basedOn w:val="DefaultParagraphFont"/>
    <w:link w:val="Paragraph"/>
    <w:locked/>
    <w:rsid w:val="00051B6C"/>
    <w:rPr>
      <w:rFonts w:ascii="Times New Roman" w:eastAsia="Times New Roman" w:hAnsi="Times New Roman" w:cs="Times New Roman"/>
      <w:sz w:val="24"/>
      <w:szCs w:val="24"/>
    </w:rPr>
  </w:style>
  <w:style w:type="paragraph" w:customStyle="1" w:styleId="SubHeading1">
    <w:name w:val="SubHeading1"/>
    <w:basedOn w:val="SecHeading"/>
    <w:rsid w:val="00051B6C"/>
    <w:pPr>
      <w:numPr>
        <w:ilvl w:val="2"/>
      </w:numPr>
      <w:tabs>
        <w:tab w:val="clear" w:pos="5976"/>
        <w:tab w:val="num" w:pos="1872"/>
      </w:tabs>
      <w:ind w:left="1872"/>
    </w:pPr>
  </w:style>
  <w:style w:type="paragraph" w:customStyle="1" w:styleId="Subheading2">
    <w:name w:val="Subheading2"/>
    <w:basedOn w:val="SecHeading"/>
    <w:rsid w:val="00051B6C"/>
    <w:pPr>
      <w:numPr>
        <w:ilvl w:val="0"/>
        <w:numId w:val="0"/>
      </w:numPr>
      <w:tabs>
        <w:tab w:val="num" w:pos="2376"/>
      </w:tabs>
      <w:ind w:left="2376" w:hanging="288"/>
    </w:pPr>
  </w:style>
  <w:style w:type="paragraph" w:customStyle="1" w:styleId="subpar">
    <w:name w:val="subpar"/>
    <w:basedOn w:val="BodyTextIndent3"/>
    <w:link w:val="subparChar"/>
    <w:rsid w:val="00051B6C"/>
    <w:pPr>
      <w:tabs>
        <w:tab w:val="num" w:pos="1152"/>
      </w:tabs>
      <w:spacing w:before="120" w:line="240" w:lineRule="auto"/>
      <w:ind w:left="1152" w:hanging="432"/>
      <w:jc w:val="both"/>
      <w:outlineLvl w:val="2"/>
    </w:pPr>
    <w:rPr>
      <w:rFonts w:ascii="Times New Roman" w:hAnsi="Times New Roman"/>
      <w:sz w:val="24"/>
      <w:szCs w:val="24"/>
    </w:rPr>
  </w:style>
  <w:style w:type="paragraph" w:styleId="BodyTextIndent3">
    <w:name w:val="Body Text Indent 3"/>
    <w:basedOn w:val="Normal"/>
    <w:link w:val="BodyTextIndent3Char"/>
    <w:uiPriority w:val="99"/>
    <w:unhideWhenUsed/>
    <w:rsid w:val="00051B6C"/>
    <w:pPr>
      <w:spacing w:after="120"/>
      <w:ind w:left="360"/>
    </w:pPr>
    <w:rPr>
      <w:sz w:val="16"/>
      <w:szCs w:val="16"/>
    </w:rPr>
  </w:style>
  <w:style w:type="character" w:customStyle="1" w:styleId="BodyTextIndent3Char">
    <w:name w:val="Body Text Indent 3 Char"/>
    <w:basedOn w:val="DefaultParagraphFont"/>
    <w:link w:val="BodyTextIndent3"/>
    <w:uiPriority w:val="99"/>
    <w:rsid w:val="00051B6C"/>
    <w:rPr>
      <w:rFonts w:ascii="Calibri" w:eastAsia="Times New Roman" w:hAnsi="Calibri" w:cs="Times New Roman"/>
      <w:sz w:val="16"/>
      <w:szCs w:val="16"/>
    </w:rPr>
  </w:style>
  <w:style w:type="character" w:customStyle="1" w:styleId="subparChar">
    <w:name w:val="subpar Char"/>
    <w:basedOn w:val="DefaultParagraphFont"/>
    <w:link w:val="subpar"/>
    <w:locked/>
    <w:rsid w:val="00051B6C"/>
    <w:rPr>
      <w:rFonts w:ascii="Times New Roman" w:eastAsia="Times New Roman" w:hAnsi="Times New Roman" w:cs="Times New Roman"/>
      <w:sz w:val="24"/>
      <w:szCs w:val="24"/>
    </w:rPr>
  </w:style>
  <w:style w:type="paragraph" w:customStyle="1" w:styleId="SubSubPar">
    <w:name w:val="SubSubPar"/>
    <w:basedOn w:val="subpar"/>
    <w:link w:val="SubSubParChar"/>
    <w:rsid w:val="00051B6C"/>
    <w:pPr>
      <w:numPr>
        <w:ilvl w:val="3"/>
      </w:numPr>
      <w:tabs>
        <w:tab w:val="left" w:pos="0"/>
        <w:tab w:val="num" w:pos="360"/>
        <w:tab w:val="num" w:pos="1152"/>
        <w:tab w:val="num" w:pos="1296"/>
      </w:tabs>
      <w:ind w:left="1296" w:hanging="432"/>
    </w:pPr>
  </w:style>
  <w:style w:type="character" w:customStyle="1" w:styleId="SubSubParChar">
    <w:name w:val="SubSubPar Char"/>
    <w:basedOn w:val="DefaultParagraphFont"/>
    <w:link w:val="SubSubPar"/>
    <w:rsid w:val="00FC44E7"/>
    <w:rPr>
      <w:rFonts w:ascii="Times New Roman" w:eastAsia="Times New Roman" w:hAnsi="Times New Roman" w:cs="Times New Roman"/>
      <w:sz w:val="24"/>
      <w:szCs w:val="24"/>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single space,F"/>
    <w:basedOn w:val="Normal"/>
    <w:link w:val="FootnoteTextChar"/>
    <w:uiPriority w:val="99"/>
    <w:unhideWhenUsed/>
    <w:qFormat/>
    <w:rsid w:val="00051B6C"/>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F Char"/>
    <w:basedOn w:val="DefaultParagraphFont"/>
    <w:link w:val="FootnoteText"/>
    <w:uiPriority w:val="99"/>
    <w:rsid w:val="00051B6C"/>
    <w:rPr>
      <w:rFonts w:ascii="Times New Roman" w:eastAsia="Times New Roman" w:hAnsi="Times New Roman" w:cs="Times New Roman"/>
      <w:spacing w:val="-3"/>
      <w:sz w:val="20"/>
      <w:szCs w:val="20"/>
    </w:rPr>
  </w:style>
  <w:style w:type="character" w:styleId="FootnoteReference">
    <w:name w:val="footnote reference"/>
    <w:aliases w:val="ftref,titulo 2,FC,referencia nota al pie,Fußnotenzeichen DISS,16 Point,Superscript 6 Point,BVI fnr, BVI fnr,Знак сноски 1,Footnote Referencefra,Ref. de nota al pie.,Stinking Styles11,Texto de nota al pie,Footnote symbol,Footnote,fr"/>
    <w:basedOn w:val="DefaultParagraphFont"/>
    <w:uiPriority w:val="99"/>
    <w:unhideWhenUsed/>
    <w:qFormat/>
    <w:rsid w:val="00051B6C"/>
    <w:rPr>
      <w:rFonts w:cs="Times New Roman"/>
      <w:vertAlign w:val="superscript"/>
    </w:rPr>
  </w:style>
  <w:style w:type="paragraph" w:styleId="TOC1">
    <w:name w:val="toc 1"/>
    <w:basedOn w:val="Normal"/>
    <w:next w:val="Normal"/>
    <w:autoRedefine/>
    <w:uiPriority w:val="39"/>
    <w:unhideWhenUsed/>
    <w:rsid w:val="00216230"/>
    <w:pPr>
      <w:tabs>
        <w:tab w:val="left" w:pos="380"/>
        <w:tab w:val="right" w:leader="dot" w:pos="8741"/>
      </w:tabs>
      <w:spacing w:before="240" w:after="240" w:line="240" w:lineRule="auto"/>
      <w:ind w:left="547" w:hanging="547"/>
    </w:pPr>
    <w:rPr>
      <w:rFonts w:ascii="Gotham Book" w:hAnsi="Gotham Book"/>
      <w:b/>
      <w:smallCaps/>
      <w:noProof/>
      <w:sz w:val="24"/>
      <w:lang w:val="es-ES_tradnl"/>
    </w:rPr>
  </w:style>
  <w:style w:type="paragraph" w:styleId="TOC2">
    <w:name w:val="toc 2"/>
    <w:basedOn w:val="Normal"/>
    <w:next w:val="Normal"/>
    <w:autoRedefine/>
    <w:uiPriority w:val="39"/>
    <w:unhideWhenUsed/>
    <w:rsid w:val="00051B6C"/>
    <w:pPr>
      <w:tabs>
        <w:tab w:val="left" w:pos="1152"/>
        <w:tab w:val="right" w:leader="dot" w:pos="8741"/>
      </w:tabs>
      <w:spacing w:after="0" w:line="240" w:lineRule="auto"/>
      <w:ind w:left="1166" w:hanging="605"/>
    </w:pPr>
    <w:rPr>
      <w:rFonts w:ascii="Times New Roman" w:hAnsi="Times New Roman"/>
      <w:sz w:val="24"/>
    </w:rPr>
  </w:style>
  <w:style w:type="paragraph" w:styleId="TOC3">
    <w:name w:val="toc 3"/>
    <w:basedOn w:val="Normal"/>
    <w:next w:val="Normal"/>
    <w:autoRedefine/>
    <w:uiPriority w:val="39"/>
    <w:unhideWhenUsed/>
    <w:rsid w:val="00051B6C"/>
    <w:pPr>
      <w:tabs>
        <w:tab w:val="left" w:pos="1728"/>
        <w:tab w:val="right" w:leader="dot" w:pos="8741"/>
      </w:tabs>
      <w:spacing w:after="0" w:line="240" w:lineRule="auto"/>
      <w:ind w:left="1714" w:hanging="562"/>
    </w:pPr>
    <w:rPr>
      <w:rFonts w:ascii="Times New Roman" w:hAnsi="Times New Roman"/>
      <w:sz w:val="24"/>
    </w:rPr>
  </w:style>
  <w:style w:type="paragraph" w:styleId="Header">
    <w:name w:val="header"/>
    <w:basedOn w:val="Normal"/>
    <w:link w:val="HeaderChar"/>
    <w:uiPriority w:val="99"/>
    <w:unhideWhenUsed/>
    <w:rsid w:val="00051B6C"/>
    <w:pPr>
      <w:tabs>
        <w:tab w:val="center" w:pos="4680"/>
        <w:tab w:val="right" w:pos="9360"/>
      </w:tabs>
    </w:pPr>
  </w:style>
  <w:style w:type="character" w:customStyle="1" w:styleId="HeaderChar">
    <w:name w:val="Header Char"/>
    <w:basedOn w:val="DefaultParagraphFont"/>
    <w:link w:val="Header"/>
    <w:uiPriority w:val="99"/>
    <w:rsid w:val="00051B6C"/>
    <w:rPr>
      <w:rFonts w:ascii="Calibri" w:eastAsia="Times New Roman" w:hAnsi="Calibri" w:cs="Times New Roman"/>
    </w:rPr>
  </w:style>
  <w:style w:type="paragraph" w:styleId="Footer">
    <w:name w:val="footer"/>
    <w:basedOn w:val="Normal"/>
    <w:link w:val="FooterChar"/>
    <w:uiPriority w:val="99"/>
    <w:unhideWhenUsed/>
    <w:rsid w:val="00051B6C"/>
    <w:pPr>
      <w:tabs>
        <w:tab w:val="center" w:pos="4680"/>
        <w:tab w:val="right" w:pos="9360"/>
      </w:tabs>
    </w:pPr>
  </w:style>
  <w:style w:type="character" w:customStyle="1" w:styleId="FooterChar">
    <w:name w:val="Footer Char"/>
    <w:basedOn w:val="DefaultParagraphFont"/>
    <w:link w:val="Footer"/>
    <w:uiPriority w:val="99"/>
    <w:rsid w:val="00051B6C"/>
    <w:rPr>
      <w:rFonts w:ascii="Calibri" w:eastAsia="Times New Roman" w:hAnsi="Calibri" w:cs="Times New Roman"/>
    </w:rPr>
  </w:style>
  <w:style w:type="character" w:styleId="Hyperlink">
    <w:name w:val="Hyperlink"/>
    <w:basedOn w:val="DefaultParagraphFont"/>
    <w:uiPriority w:val="99"/>
    <w:unhideWhenUsed/>
    <w:rsid w:val="00051B6C"/>
    <w:rPr>
      <w:color w:val="0000FF" w:themeColor="hyperlink"/>
      <w:u w:val="single"/>
    </w:rPr>
  </w:style>
  <w:style w:type="table" w:customStyle="1" w:styleId="TableGrid1">
    <w:name w:val="Table Grid1"/>
    <w:basedOn w:val="TableNormal"/>
    <w:next w:val="TableGrid"/>
    <w:uiPriority w:val="59"/>
    <w:rsid w:val="00051B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5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84D78"/>
    <w:pPr>
      <w:spacing w:after="120"/>
    </w:pPr>
    <w:rPr>
      <w:rFonts w:asciiTheme="minorHAnsi" w:eastAsiaTheme="minorEastAsia" w:hAnsiTheme="minorHAnsi" w:cstheme="minorBidi"/>
      <w:lang w:val="es-ES" w:eastAsia="es-ES"/>
    </w:rPr>
  </w:style>
  <w:style w:type="character" w:customStyle="1" w:styleId="BodyTextChar">
    <w:name w:val="Body Text Char"/>
    <w:basedOn w:val="DefaultParagraphFont"/>
    <w:link w:val="BodyText"/>
    <w:uiPriority w:val="99"/>
    <w:rsid w:val="00F84D78"/>
    <w:rPr>
      <w:rFonts w:eastAsiaTheme="minorEastAsia"/>
      <w:lang w:val="es-ES" w:eastAsia="es-ES"/>
    </w:rPr>
  </w:style>
  <w:style w:type="paragraph" w:styleId="ListParagraph">
    <w:name w:val="List Paragraph"/>
    <w:aliases w:val="Table/Figure Heading,En tête 1,IFCL - List Paragraph,List Paragraph1,List Paragraph (numbered (a)),Bullets,Lapis Bulleted List,Dot pt,F5 List Paragraph,No Spacing1,List Paragraph Char Char Char,Indicator Text,Numbered Para 1,Bullet 1,L"/>
    <w:basedOn w:val="Normal"/>
    <w:link w:val="ListParagraphChar"/>
    <w:uiPriority w:val="14"/>
    <w:qFormat/>
    <w:rsid w:val="00B52474"/>
    <w:pPr>
      <w:ind w:left="720"/>
      <w:contextualSpacing/>
    </w:pPr>
    <w:rPr>
      <w:rFonts w:asciiTheme="minorHAnsi" w:eastAsiaTheme="minorHAnsi" w:hAnsiTheme="minorHAnsi" w:cstheme="minorBidi"/>
      <w:lang w:val="es-MX"/>
    </w:rPr>
  </w:style>
  <w:style w:type="paragraph" w:styleId="BalloonText">
    <w:name w:val="Balloon Text"/>
    <w:basedOn w:val="Normal"/>
    <w:link w:val="BalloonTextChar"/>
    <w:uiPriority w:val="99"/>
    <w:semiHidden/>
    <w:unhideWhenUsed/>
    <w:rsid w:val="00252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1D"/>
    <w:rPr>
      <w:rFonts w:ascii="Tahoma" w:eastAsia="Times New Roman" w:hAnsi="Tahoma" w:cs="Tahoma"/>
      <w:sz w:val="16"/>
      <w:szCs w:val="16"/>
    </w:rPr>
  </w:style>
  <w:style w:type="character" w:styleId="PageNumber">
    <w:name w:val="page number"/>
    <w:basedOn w:val="DefaultParagraphFont"/>
    <w:rsid w:val="00E81FAF"/>
  </w:style>
  <w:style w:type="character" w:styleId="CommentReference">
    <w:name w:val="annotation reference"/>
    <w:basedOn w:val="DefaultParagraphFont"/>
    <w:uiPriority w:val="99"/>
    <w:semiHidden/>
    <w:unhideWhenUsed/>
    <w:rsid w:val="00893744"/>
    <w:rPr>
      <w:sz w:val="16"/>
      <w:szCs w:val="16"/>
    </w:rPr>
  </w:style>
  <w:style w:type="paragraph" w:styleId="CommentText">
    <w:name w:val="annotation text"/>
    <w:basedOn w:val="Normal"/>
    <w:link w:val="CommentTextChar"/>
    <w:uiPriority w:val="99"/>
    <w:unhideWhenUsed/>
    <w:rsid w:val="00893744"/>
    <w:pPr>
      <w:spacing w:line="240" w:lineRule="auto"/>
    </w:pPr>
    <w:rPr>
      <w:sz w:val="20"/>
      <w:szCs w:val="20"/>
    </w:rPr>
  </w:style>
  <w:style w:type="character" w:customStyle="1" w:styleId="CommentTextChar">
    <w:name w:val="Comment Text Char"/>
    <w:basedOn w:val="DefaultParagraphFont"/>
    <w:link w:val="CommentText"/>
    <w:uiPriority w:val="99"/>
    <w:rsid w:val="0089374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3744"/>
    <w:rPr>
      <w:b/>
      <w:bCs/>
    </w:rPr>
  </w:style>
  <w:style w:type="character" w:customStyle="1" w:styleId="CommentSubjectChar">
    <w:name w:val="Comment Subject Char"/>
    <w:basedOn w:val="CommentTextChar"/>
    <w:link w:val="CommentSubject"/>
    <w:uiPriority w:val="99"/>
    <w:semiHidden/>
    <w:rsid w:val="00893744"/>
    <w:rPr>
      <w:rFonts w:ascii="Calibri" w:eastAsia="Times New Roman" w:hAnsi="Calibri" w:cs="Times New Roman"/>
      <w:b/>
      <w:bCs/>
      <w:sz w:val="20"/>
      <w:szCs w:val="20"/>
    </w:rPr>
  </w:style>
  <w:style w:type="paragraph" w:styleId="Revision">
    <w:name w:val="Revision"/>
    <w:hidden/>
    <w:uiPriority w:val="99"/>
    <w:semiHidden/>
    <w:rsid w:val="001676BC"/>
    <w:pPr>
      <w:spacing w:after="0" w:line="240" w:lineRule="auto"/>
    </w:pPr>
    <w:rPr>
      <w:rFonts w:ascii="Calibri" w:eastAsia="Times New Roman" w:hAnsi="Calibri" w:cs="Times New Roman"/>
    </w:rPr>
  </w:style>
  <w:style w:type="character" w:styleId="BookTitle">
    <w:name w:val="Book Title"/>
    <w:basedOn w:val="DefaultParagraphFont"/>
    <w:uiPriority w:val="33"/>
    <w:qFormat/>
    <w:rsid w:val="00766560"/>
    <w:rPr>
      <w:b/>
      <w:bCs/>
      <w:smallCaps/>
      <w:spacing w:val="5"/>
    </w:rPr>
  </w:style>
  <w:style w:type="paragraph" w:customStyle="1" w:styleId="Newpage">
    <w:name w:val="Newpage"/>
    <w:basedOn w:val="Chapter"/>
    <w:rsid w:val="00FC44E7"/>
    <w:pPr>
      <w:numPr>
        <w:numId w:val="0"/>
      </w:numPr>
      <w:tabs>
        <w:tab w:val="clear" w:pos="1440"/>
        <w:tab w:val="num" w:pos="648"/>
        <w:tab w:val="left" w:pos="3060"/>
      </w:tabs>
      <w:spacing w:after="0"/>
      <w:ind w:firstLine="288"/>
    </w:pPr>
    <w:rPr>
      <w:szCs w:val="20"/>
      <w:lang w:val="es-ES"/>
    </w:rPr>
  </w:style>
  <w:style w:type="paragraph" w:styleId="BodyText2">
    <w:name w:val="Body Text 2"/>
    <w:basedOn w:val="Normal"/>
    <w:link w:val="BodyText2Char"/>
    <w:unhideWhenUsed/>
    <w:rsid w:val="00F86783"/>
    <w:pPr>
      <w:spacing w:after="120" w:line="480" w:lineRule="auto"/>
    </w:pPr>
  </w:style>
  <w:style w:type="character" w:customStyle="1" w:styleId="BodyText2Char">
    <w:name w:val="Body Text 2 Char"/>
    <w:basedOn w:val="DefaultParagraphFont"/>
    <w:link w:val="BodyText2"/>
    <w:rsid w:val="00F86783"/>
    <w:rPr>
      <w:rFonts w:ascii="Calibri" w:eastAsia="Times New Roman" w:hAnsi="Calibri" w:cs="Times New Roman"/>
    </w:rPr>
  </w:style>
  <w:style w:type="paragraph" w:customStyle="1" w:styleId="ColorfulList-Accent11">
    <w:name w:val="Colorful List - Accent 11"/>
    <w:basedOn w:val="Normal"/>
    <w:link w:val="ColorfulList-Accent1Char"/>
    <w:uiPriority w:val="99"/>
    <w:qFormat/>
    <w:rsid w:val="00F86783"/>
    <w:pPr>
      <w:spacing w:after="0" w:line="240" w:lineRule="auto"/>
      <w:ind w:left="720"/>
      <w:contextualSpacing/>
    </w:pPr>
    <w:rPr>
      <w:rFonts w:eastAsia="Calibri"/>
      <w:lang w:val="x-none" w:eastAsia="x-none"/>
    </w:rPr>
  </w:style>
  <w:style w:type="character" w:customStyle="1" w:styleId="ColorfulList-Accent1Char">
    <w:name w:val="Colorful List - Accent 1 Char"/>
    <w:link w:val="ColorfulList-Accent11"/>
    <w:uiPriority w:val="99"/>
    <w:rsid w:val="00F86783"/>
    <w:rPr>
      <w:rFonts w:ascii="Calibri" w:eastAsia="Calibri" w:hAnsi="Calibri" w:cs="Times New Roman"/>
      <w:lang w:val="x-none" w:eastAsia="x-none"/>
    </w:rPr>
  </w:style>
  <w:style w:type="paragraph" w:customStyle="1" w:styleId="AutoNumpara">
    <w:name w:val="AutoNumpara"/>
    <w:basedOn w:val="BodyTextIndent"/>
    <w:uiPriority w:val="99"/>
    <w:rsid w:val="00F86783"/>
    <w:pPr>
      <w:tabs>
        <w:tab w:val="num" w:pos="720"/>
      </w:tabs>
      <w:spacing w:before="120" w:line="240" w:lineRule="auto"/>
      <w:ind w:left="720" w:hanging="720"/>
      <w:jc w:val="both"/>
    </w:pPr>
    <w:rPr>
      <w:rFonts w:ascii="Times New Roman" w:hAnsi="Times New Roman"/>
      <w:noProof/>
      <w:spacing w:val="-2"/>
      <w:sz w:val="24"/>
      <w:szCs w:val="20"/>
      <w:lang w:val="es-ES_tradnl" w:eastAsia="x-none"/>
    </w:rPr>
  </w:style>
  <w:style w:type="paragraph" w:styleId="TOCHeading">
    <w:name w:val="TOC Heading"/>
    <w:basedOn w:val="Heading1"/>
    <w:next w:val="Normal"/>
    <w:uiPriority w:val="39"/>
    <w:semiHidden/>
    <w:unhideWhenUsed/>
    <w:qFormat/>
    <w:rsid w:val="00F86783"/>
    <w:pPr>
      <w:keepLines/>
      <w:tabs>
        <w:tab w:val="clear" w:pos="360"/>
      </w:tabs>
      <w:spacing w:before="480" w:after="0" w:line="276" w:lineRule="auto"/>
      <w:ind w:left="0" w:firstLine="0"/>
      <w:jc w:val="left"/>
      <w:outlineLvl w:val="9"/>
    </w:pPr>
    <w:rPr>
      <w:rFonts w:asciiTheme="majorHAnsi" w:eastAsiaTheme="majorEastAsia" w:hAnsiTheme="majorHAnsi" w:cstheme="majorBidi"/>
      <w:bCs/>
      <w:smallCaps w:val="0"/>
      <w:noProof w:val="0"/>
      <w:color w:val="365F91" w:themeColor="accent1" w:themeShade="BF"/>
      <w:szCs w:val="28"/>
      <w:lang w:val="en-US" w:eastAsia="ja-JP"/>
    </w:rPr>
  </w:style>
  <w:style w:type="paragraph" w:customStyle="1" w:styleId="ABBR">
    <w:name w:val="ABBR"/>
    <w:basedOn w:val="Normal"/>
    <w:rsid w:val="00F86783"/>
    <w:pPr>
      <w:spacing w:after="0" w:line="240" w:lineRule="auto"/>
    </w:pPr>
    <w:rPr>
      <w:rFonts w:ascii="Times New Roman" w:eastAsia="MS Mincho" w:hAnsi="Times New Roman"/>
      <w:caps/>
      <w:sz w:val="24"/>
      <w:szCs w:val="24"/>
    </w:rPr>
  </w:style>
  <w:style w:type="paragraph" w:customStyle="1" w:styleId="AbbrDesc">
    <w:name w:val="AbbrDesc"/>
    <w:basedOn w:val="Normal"/>
    <w:rsid w:val="00F86783"/>
    <w:pPr>
      <w:tabs>
        <w:tab w:val="left" w:pos="3060"/>
      </w:tabs>
      <w:spacing w:after="0" w:line="240" w:lineRule="auto"/>
      <w:jc w:val="both"/>
    </w:pPr>
    <w:rPr>
      <w:rFonts w:ascii="Times New Roman" w:eastAsia="MS Mincho" w:hAnsi="Times New Roman"/>
      <w:sz w:val="24"/>
      <w:szCs w:val="24"/>
    </w:rPr>
  </w:style>
  <w:style w:type="paragraph" w:styleId="Caption">
    <w:name w:val="caption"/>
    <w:basedOn w:val="Normal"/>
    <w:next w:val="Normal"/>
    <w:uiPriority w:val="99"/>
    <w:qFormat/>
    <w:rsid w:val="00F86783"/>
    <w:pPr>
      <w:widowControl w:val="0"/>
      <w:spacing w:after="0" w:line="240" w:lineRule="auto"/>
    </w:pPr>
    <w:rPr>
      <w:rFonts w:ascii="Times New Roman" w:eastAsia="MS Mincho" w:hAnsi="Times New Roman"/>
      <w:spacing w:val="-3"/>
      <w:sz w:val="24"/>
      <w:szCs w:val="20"/>
      <w:lang w:val="es-ES_tradnl"/>
    </w:rPr>
  </w:style>
  <w:style w:type="paragraph" w:styleId="TOC4">
    <w:name w:val="toc 4"/>
    <w:basedOn w:val="Normal"/>
    <w:next w:val="Normal"/>
    <w:autoRedefine/>
    <w:uiPriority w:val="39"/>
    <w:unhideWhenUsed/>
    <w:rsid w:val="00F86783"/>
    <w:pPr>
      <w:spacing w:after="100"/>
      <w:ind w:left="660"/>
    </w:pPr>
    <w:rPr>
      <w:rFonts w:asciiTheme="minorHAnsi" w:eastAsiaTheme="minorEastAsia" w:hAnsiTheme="minorHAnsi" w:cstheme="minorBidi"/>
      <w:lang w:val="es-ES" w:eastAsia="es-ES"/>
    </w:rPr>
  </w:style>
  <w:style w:type="paragraph" w:styleId="TOC5">
    <w:name w:val="toc 5"/>
    <w:basedOn w:val="Normal"/>
    <w:next w:val="Normal"/>
    <w:autoRedefine/>
    <w:uiPriority w:val="39"/>
    <w:unhideWhenUsed/>
    <w:rsid w:val="00F86783"/>
    <w:pPr>
      <w:spacing w:after="100"/>
      <w:ind w:left="880"/>
    </w:pPr>
    <w:rPr>
      <w:rFonts w:asciiTheme="minorHAnsi" w:eastAsiaTheme="minorEastAsia" w:hAnsiTheme="minorHAnsi" w:cstheme="minorBidi"/>
      <w:lang w:val="es-ES" w:eastAsia="es-ES"/>
    </w:rPr>
  </w:style>
  <w:style w:type="paragraph" w:styleId="TOC6">
    <w:name w:val="toc 6"/>
    <w:basedOn w:val="Normal"/>
    <w:next w:val="Normal"/>
    <w:autoRedefine/>
    <w:uiPriority w:val="39"/>
    <w:unhideWhenUsed/>
    <w:rsid w:val="00F86783"/>
    <w:pPr>
      <w:spacing w:after="100"/>
      <w:ind w:left="1100"/>
    </w:pPr>
    <w:rPr>
      <w:rFonts w:asciiTheme="minorHAnsi" w:eastAsiaTheme="minorEastAsia" w:hAnsiTheme="minorHAnsi" w:cstheme="minorBidi"/>
      <w:lang w:val="es-ES" w:eastAsia="es-ES"/>
    </w:rPr>
  </w:style>
  <w:style w:type="paragraph" w:styleId="TOC7">
    <w:name w:val="toc 7"/>
    <w:basedOn w:val="Normal"/>
    <w:next w:val="Normal"/>
    <w:autoRedefine/>
    <w:uiPriority w:val="39"/>
    <w:unhideWhenUsed/>
    <w:rsid w:val="00F86783"/>
    <w:pPr>
      <w:tabs>
        <w:tab w:val="num" w:pos="1386"/>
      </w:tabs>
      <w:spacing w:after="100"/>
      <w:ind w:left="720" w:hanging="630"/>
    </w:pPr>
    <w:rPr>
      <w:rFonts w:asciiTheme="minorHAnsi" w:eastAsiaTheme="minorEastAsia" w:hAnsiTheme="minorHAnsi" w:cstheme="minorBidi"/>
      <w:lang w:val="es-ES" w:eastAsia="es-ES"/>
    </w:rPr>
  </w:style>
  <w:style w:type="paragraph" w:styleId="TOC8">
    <w:name w:val="toc 8"/>
    <w:basedOn w:val="Normal"/>
    <w:next w:val="Normal"/>
    <w:autoRedefine/>
    <w:uiPriority w:val="39"/>
    <w:unhideWhenUsed/>
    <w:rsid w:val="00F86783"/>
    <w:pPr>
      <w:spacing w:after="100"/>
      <w:ind w:left="1540"/>
    </w:pPr>
    <w:rPr>
      <w:rFonts w:asciiTheme="minorHAnsi" w:eastAsiaTheme="minorEastAsia" w:hAnsiTheme="minorHAnsi" w:cstheme="minorBidi"/>
      <w:lang w:val="es-ES" w:eastAsia="es-ES"/>
    </w:rPr>
  </w:style>
  <w:style w:type="paragraph" w:styleId="TOC9">
    <w:name w:val="toc 9"/>
    <w:basedOn w:val="Normal"/>
    <w:next w:val="Normal"/>
    <w:autoRedefine/>
    <w:uiPriority w:val="39"/>
    <w:unhideWhenUsed/>
    <w:rsid w:val="00F86783"/>
    <w:pPr>
      <w:tabs>
        <w:tab w:val="num" w:pos="1674"/>
      </w:tabs>
      <w:spacing w:after="100"/>
      <w:ind w:left="1674" w:hanging="432"/>
    </w:pPr>
    <w:rPr>
      <w:rFonts w:asciiTheme="minorHAnsi" w:eastAsiaTheme="minorEastAsia" w:hAnsiTheme="minorHAnsi" w:cstheme="minorBidi"/>
      <w:lang w:val="es-ES" w:eastAsia="es-ES"/>
    </w:rPr>
  </w:style>
  <w:style w:type="table" w:styleId="LightList">
    <w:name w:val="Light List"/>
    <w:basedOn w:val="TableNormal"/>
    <w:uiPriority w:val="61"/>
    <w:rsid w:val="00F867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Preformatted">
    <w:name w:val="HTML Preformatted"/>
    <w:basedOn w:val="Normal"/>
    <w:link w:val="HTMLPreformattedChar"/>
    <w:uiPriority w:val="99"/>
    <w:semiHidden/>
    <w:unhideWhenUsed/>
    <w:rsid w:val="00600A1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00A12"/>
    <w:rPr>
      <w:rFonts w:ascii="Consolas" w:eastAsia="Times New Roman" w:hAnsi="Consolas" w:cs="Consolas"/>
      <w:sz w:val="20"/>
      <w:szCs w:val="20"/>
    </w:rPr>
  </w:style>
  <w:style w:type="table" w:styleId="LightShading-Accent1">
    <w:name w:val="Light Shading Accent 1"/>
    <w:basedOn w:val="TableNormal"/>
    <w:uiPriority w:val="60"/>
    <w:rsid w:val="002D60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2D605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A8304D"/>
    <w:rPr>
      <w:color w:val="808080"/>
      <w:shd w:val="clear" w:color="auto" w:fill="E6E6E6"/>
    </w:rPr>
  </w:style>
  <w:style w:type="character" w:styleId="FollowedHyperlink">
    <w:name w:val="FollowedHyperlink"/>
    <w:basedOn w:val="DefaultParagraphFont"/>
    <w:uiPriority w:val="99"/>
    <w:semiHidden/>
    <w:unhideWhenUsed/>
    <w:rsid w:val="0044154C"/>
    <w:rPr>
      <w:color w:val="800080" w:themeColor="followedHyperlink"/>
      <w:u w:val="single"/>
    </w:rPr>
  </w:style>
  <w:style w:type="character" w:styleId="UnresolvedMention">
    <w:name w:val="Unresolved Mention"/>
    <w:basedOn w:val="DefaultParagraphFont"/>
    <w:uiPriority w:val="99"/>
    <w:semiHidden/>
    <w:unhideWhenUsed/>
    <w:rsid w:val="00B913FC"/>
    <w:rPr>
      <w:color w:val="808080"/>
      <w:shd w:val="clear" w:color="auto" w:fill="E6E6E6"/>
    </w:rPr>
  </w:style>
  <w:style w:type="table" w:customStyle="1" w:styleId="TableGrid0">
    <w:name w:val="TableGrid"/>
    <w:rsid w:val="000327F3"/>
    <w:pPr>
      <w:spacing w:after="0" w:line="240" w:lineRule="auto"/>
    </w:pPr>
    <w:rPr>
      <w:rFonts w:eastAsiaTheme="minorEastAsia"/>
    </w:rPr>
    <w:tblPr>
      <w:tblCellMar>
        <w:top w:w="0" w:type="dxa"/>
        <w:left w:w="0" w:type="dxa"/>
        <w:bottom w:w="0" w:type="dxa"/>
        <w:right w:w="0" w:type="dxa"/>
      </w:tblCellMar>
    </w:tblPr>
  </w:style>
  <w:style w:type="character" w:customStyle="1" w:styleId="ListParagraphChar">
    <w:name w:val="List Paragraph Char"/>
    <w:aliases w:val="Table/Figure Heading Char,En tête 1 Char,IFCL - List Paragraph Char,List Paragraph1 Char,List Paragraph (numbered (a)) Char,Bullets Char,Lapis Bulleted List Char,Dot pt Char,F5 List Paragraph Char,No Spacing1 Char,Indicator Text Char"/>
    <w:basedOn w:val="DefaultParagraphFont"/>
    <w:link w:val="ListParagraph"/>
    <w:uiPriority w:val="14"/>
    <w:qFormat/>
    <w:locked/>
    <w:rsid w:val="00DB510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0238">
      <w:bodyDiv w:val="1"/>
      <w:marLeft w:val="0"/>
      <w:marRight w:val="0"/>
      <w:marTop w:val="0"/>
      <w:marBottom w:val="0"/>
      <w:divBdr>
        <w:top w:val="none" w:sz="0" w:space="0" w:color="auto"/>
        <w:left w:val="none" w:sz="0" w:space="0" w:color="auto"/>
        <w:bottom w:val="none" w:sz="0" w:space="0" w:color="auto"/>
        <w:right w:val="none" w:sz="0" w:space="0" w:color="auto"/>
      </w:divBdr>
    </w:div>
    <w:div w:id="328749079">
      <w:bodyDiv w:val="1"/>
      <w:marLeft w:val="0"/>
      <w:marRight w:val="0"/>
      <w:marTop w:val="0"/>
      <w:marBottom w:val="0"/>
      <w:divBdr>
        <w:top w:val="none" w:sz="0" w:space="0" w:color="auto"/>
        <w:left w:val="none" w:sz="0" w:space="0" w:color="auto"/>
        <w:bottom w:val="none" w:sz="0" w:space="0" w:color="auto"/>
        <w:right w:val="none" w:sz="0" w:space="0" w:color="auto"/>
      </w:divBdr>
    </w:div>
    <w:div w:id="378601512">
      <w:bodyDiv w:val="1"/>
      <w:marLeft w:val="0"/>
      <w:marRight w:val="0"/>
      <w:marTop w:val="0"/>
      <w:marBottom w:val="0"/>
      <w:divBdr>
        <w:top w:val="none" w:sz="0" w:space="0" w:color="auto"/>
        <w:left w:val="none" w:sz="0" w:space="0" w:color="auto"/>
        <w:bottom w:val="none" w:sz="0" w:space="0" w:color="auto"/>
        <w:right w:val="none" w:sz="0" w:space="0" w:color="auto"/>
      </w:divBdr>
    </w:div>
    <w:div w:id="861820753">
      <w:bodyDiv w:val="1"/>
      <w:marLeft w:val="0"/>
      <w:marRight w:val="0"/>
      <w:marTop w:val="0"/>
      <w:marBottom w:val="0"/>
      <w:divBdr>
        <w:top w:val="none" w:sz="0" w:space="0" w:color="auto"/>
        <w:left w:val="none" w:sz="0" w:space="0" w:color="auto"/>
        <w:bottom w:val="none" w:sz="0" w:space="0" w:color="auto"/>
        <w:right w:val="none" w:sz="0" w:space="0" w:color="auto"/>
      </w:divBdr>
    </w:div>
    <w:div w:id="898898848">
      <w:bodyDiv w:val="1"/>
      <w:marLeft w:val="0"/>
      <w:marRight w:val="0"/>
      <w:marTop w:val="0"/>
      <w:marBottom w:val="0"/>
      <w:divBdr>
        <w:top w:val="none" w:sz="0" w:space="0" w:color="auto"/>
        <w:left w:val="none" w:sz="0" w:space="0" w:color="auto"/>
        <w:bottom w:val="none" w:sz="0" w:space="0" w:color="auto"/>
        <w:right w:val="none" w:sz="0" w:space="0" w:color="auto"/>
      </w:divBdr>
    </w:div>
    <w:div w:id="1469010054">
      <w:bodyDiv w:val="1"/>
      <w:marLeft w:val="0"/>
      <w:marRight w:val="0"/>
      <w:marTop w:val="0"/>
      <w:marBottom w:val="0"/>
      <w:divBdr>
        <w:top w:val="none" w:sz="0" w:space="0" w:color="auto"/>
        <w:left w:val="none" w:sz="0" w:space="0" w:color="auto"/>
        <w:bottom w:val="none" w:sz="0" w:space="0" w:color="auto"/>
        <w:right w:val="none" w:sz="0" w:space="0" w:color="auto"/>
      </w:divBdr>
    </w:div>
    <w:div w:id="1526357974">
      <w:bodyDiv w:val="1"/>
      <w:marLeft w:val="0"/>
      <w:marRight w:val="0"/>
      <w:marTop w:val="0"/>
      <w:marBottom w:val="0"/>
      <w:divBdr>
        <w:top w:val="none" w:sz="0" w:space="0" w:color="auto"/>
        <w:left w:val="none" w:sz="0" w:space="0" w:color="auto"/>
        <w:bottom w:val="none" w:sz="0" w:space="0" w:color="auto"/>
        <w:right w:val="none" w:sz="0" w:space="0" w:color="auto"/>
      </w:divBdr>
    </w:div>
    <w:div w:id="1863468556">
      <w:bodyDiv w:val="1"/>
      <w:marLeft w:val="0"/>
      <w:marRight w:val="0"/>
      <w:marTop w:val="0"/>
      <w:marBottom w:val="0"/>
      <w:divBdr>
        <w:top w:val="none" w:sz="0" w:space="0" w:color="auto"/>
        <w:left w:val="none" w:sz="0" w:space="0" w:color="auto"/>
        <w:bottom w:val="none" w:sz="0" w:space="0" w:color="auto"/>
        <w:right w:val="none" w:sz="0" w:space="0" w:color="auto"/>
      </w:divBdr>
    </w:div>
    <w:div w:id="1964576143">
      <w:bodyDiv w:val="1"/>
      <w:marLeft w:val="0"/>
      <w:marRight w:val="0"/>
      <w:marTop w:val="0"/>
      <w:marBottom w:val="0"/>
      <w:divBdr>
        <w:top w:val="none" w:sz="0" w:space="0" w:color="auto"/>
        <w:left w:val="none" w:sz="0" w:space="0" w:color="auto"/>
        <w:bottom w:val="none" w:sz="0" w:space="0" w:color="auto"/>
        <w:right w:val="none" w:sz="0" w:space="0" w:color="auto"/>
      </w:divBdr>
    </w:div>
    <w:div w:id="19826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dbg.sharepoint.com/teams/EZ-PR-LON/PR-L1146/_layouts/15/DocIdRedir.aspx?ID=EZSHARE-1067953801-11" TargetMode="External"/><Relationship Id="rId26" Type="http://schemas.openxmlformats.org/officeDocument/2006/relationships/hyperlink" Target="https://ig-tools.com/files/CF_for_IG_Tools.pdf" TargetMode="External"/><Relationship Id="rId3" Type="http://schemas.openxmlformats.org/officeDocument/2006/relationships/customXml" Target="../customXml/item3.xml"/><Relationship Id="rId21" Type="http://schemas.openxmlformats.org/officeDocument/2006/relationships/hyperlink" Target="http://www4.unfccc.int/Submissions/INDC/Published%20Documents/Paraguay/1/Documento%20INDC%20Paraguay%2001-10-15.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ig-tools.com/files/CF_for_IG_Tools.pdf" TargetMode="External"/><Relationship Id="rId25" Type="http://schemas.openxmlformats.org/officeDocument/2006/relationships/hyperlink" Target="http://www.ipcc-nggip.iges.or.jp/public/2006gl/pdf/2_Volume2/V2_2_Ch2_Stationary_Combustion.pdf" TargetMode="External"/><Relationship Id="rId2" Type="http://schemas.openxmlformats.org/officeDocument/2006/relationships/customXml" Target="../customXml/item2.xml"/><Relationship Id="rId16" Type="http://schemas.openxmlformats.org/officeDocument/2006/relationships/hyperlink" Target="http://www.ipcc-nggip.iges.or.jp/public/2006gl/pdf/2_Volume2/V2_2_Ch2_Stationary_Combustion.pdf" TargetMode="External"/><Relationship Id="rId20" Type="http://schemas.openxmlformats.org/officeDocument/2006/relationships/hyperlink" Target="http://www.ssme.gov.py/vmme/pdf/eficiencia/PNEE-CNEE%20-%20FINAL.pdf" TargetMode="External"/><Relationship Id="rId29" Type="http://schemas.openxmlformats.org/officeDocument/2006/relationships/header" Target="header3.xml"/><Relationship Id="rId24" Type="http://schemas.openxmlformats.org/officeDocument/2006/relationships/hyperlink" Target="http://die.itaipu.gov.py/die/files/files2016/file/Presentacion%20Final%20FB%2021-11-16%20Final.pdf" TargetMode="External"/><Relationship Id="rId6" Type="http://schemas.openxmlformats.org/officeDocument/2006/relationships/customXml" Target="../customXml/item6.xml"/><Relationship Id="rId11" Type="http://schemas.openxmlformats.org/officeDocument/2006/relationships/webSettings" Target="webSettings.xml"/><Relationship Id="rId32"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seam.gov.py/sites/default/files/users/comunicacion/Estrategia%20de%20Mitigaci%C3%B3n%20-%20Fase%201.pdf"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idbg.sharepoint.com/teams/EZ-PR-LON/PR-L1146/_layouts/15/DocIdRedir.aspx?ID=EZSHARE-1067953801-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stp.gov.py/pnd/wp-content/uploads/2014/12/pnd2030.pdf" TargetMode="External"/><Relationship Id="rId27" Type="http://schemas.openxmlformats.org/officeDocument/2006/relationships/hyperlink" Target="https://idbg.sharepoint.com/teams/EZ-PR-LON/PR-L1146/_layouts/15/DocIdRedir.aspx?ID=EZSHARE-1067953801-4"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adb.org/en/projects/project-description-title,1303.html?id=CO-G1007" TargetMode="External"/><Relationship Id="rId3" Type="http://schemas.openxmlformats.org/officeDocument/2006/relationships/hyperlink" Target="http://www.ssme.gov.py/vmme/pdf/biomasa/base/37.%20Produccion%20y%20Consumo%20Biomasa%20(1).pdf" TargetMode="External"/><Relationship Id="rId7" Type="http://schemas.openxmlformats.org/officeDocument/2006/relationships/hyperlink" Target="http://www.iadb.org/en/projects/project-description-title,1303.html?id=UR-L1099" TargetMode="External"/><Relationship Id="rId2" Type="http://schemas.openxmlformats.org/officeDocument/2006/relationships/hyperlink" Target="https://idbg.sharepoint.com/teams/EZ-PR-LON/PR-L1146/_layouts/15/DocIdRedir.aspx?ID=EZSHARE-1067953801-2" TargetMode="External"/><Relationship Id="rId1" Type="http://schemas.openxmlformats.org/officeDocument/2006/relationships/hyperlink" Target="https://www.unido.org/fileadmin/user_media/Services/Research_and_Statistics/WP052011_Ebook.pdf" TargetMode="External"/><Relationship Id="rId6" Type="http://schemas.openxmlformats.org/officeDocument/2006/relationships/hyperlink" Target="http://www.iadb.org/en/projects/project-description-title,1303.html?id=ME-L1172" TargetMode="External"/><Relationship Id="rId5" Type="http://schemas.openxmlformats.org/officeDocument/2006/relationships/hyperlink" Target="https://idbg.sharepoint.com/teams/EZ-PR-LON/PR-L1146/_layouts/15/DocIdRedir.aspx?ID=EZSHARE-1067953801-2" TargetMode="External"/><Relationship Id="rId10" Type="http://schemas.openxmlformats.org/officeDocument/2006/relationships/hyperlink" Target="https://idbg.sharepoint.com/teams/EZ-PR-LON/PR-L1146/_layouts/15/DocIdRedir.aspx?ID=EZSHARE-1067953801-4" TargetMode="External"/><Relationship Id="rId4" Type="http://schemas.openxmlformats.org/officeDocument/2006/relationships/hyperlink" Target="https://www.afd.gov.py/ifis" TargetMode="External"/><Relationship Id="rId9" Type="http://schemas.openxmlformats.org/officeDocument/2006/relationships/hyperlink" Target="https://idbg.sharepoint.com/teams/EZ-PR-LON/PR-L1146/_layouts/15/DocIdRedir.aspx?ID=EZSHARE-10679538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Display>_catalogs/masterpage/ECMForms/OperationsCT/View.aspx</Display>
  <Edit>_catalogs/masterpage/ECMForms/OperationsCT/Edit.aspx</Edit>
</FormUrl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520D4CA0E10454FB677C99A32C73F5E" ma:contentTypeVersion="178" ma:contentTypeDescription="A content type to manage public (operations) IDB documents" ma:contentTypeScope="" ma:versionID="c2832b166b0cd5b427172b329f96135d">
  <xsd:schema xmlns:xsd="http://www.w3.org/2001/XMLSchema" xmlns:xs="http://www.w3.org/2001/XMLSchema" xmlns:p="http://schemas.microsoft.com/office/2006/metadata/properties" xmlns:ns2="cdc7663a-08f0-4737-9e8c-148ce897a09c" targetNamespace="http://schemas.microsoft.com/office/2006/metadata/properties" ma:root="true" ma:fieldsID="f13cfc6ef225058d4f1aeda843700f6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R-L114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Proposal for Operation Development (POD)</TermName>
          <TermId xmlns="http://schemas.microsoft.com/office/infopath/2007/PartnerControls">24e0d6d4-9e5f-4c37-abe1-0e66100c0228</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PR</TermName>
          <TermId xmlns="http://schemas.microsoft.com/office/infopath/2007/PartnerControls">50282442-27e7-4526-9d04-55bf5da33a10</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Arauz Herrera, Alison</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FM-FES</TermName>
          <TermId xmlns="http://schemas.microsoft.com/office/infopath/2007/PartnerControls">dcc8718d-dd7c-4b5d-bcc4-86a6a708df42</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GRN</TermName>
          <TermId xmlns="http://schemas.microsoft.com/office/infopath/2007/PartnerControls">d0f1dc7f-e162-4a9c-9421-b7d8c382a710</TermId>
        </TermInfo>
      </Terms>
    </g511464f9e53401d84b16fa9b379a574>
    <Related_x0020_SisCor_x0020_Number xmlns="cdc7663a-08f0-4737-9e8c-148ce897a09c" xsi:nil="true"/>
    <TaxCatchAll xmlns="cdc7663a-08f0-4737-9e8c-148ce897a09c">
      <Value>128</Value>
      <Value>24</Value>
      <Value>52</Value>
      <Value>73</Value>
      <Value>1</Value>
      <Value>136</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PR-L1146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FM</TermName>
          <TermId xmlns="http://schemas.microsoft.com/office/infopath/2007/PartnerControls">75500f29-2419-473a-bcd8-84901ddc2aa7</TermId>
        </TermInfo>
      </Terms>
    </nddeef1749674d76abdbe4b239a70bc6>
    <Record_x0020_Number xmlns="cdc7663a-08f0-4737-9e8c-148ce897a09c">R0001966894</Record_x0020_Number>
    <_dlc_DocId xmlns="cdc7663a-08f0-4737-9e8c-148ce897a09c">EZSHARE-1067953801-14</_dlc_DocId>
    <_dlc_DocIdUrl xmlns="cdc7663a-08f0-4737-9e8c-148ce897a09c">
      <Url>https://idbg.sharepoint.com/teams/EZ-PR-LON/PR-L1146/_layouts/15/DocIdRedir.aspx?ID=EZSHARE-1067953801-14</Url>
      <Description>EZSHARE-1067953801-14</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45889AD7-4965-4143-8CC0-54AB2EB6EAAC}">
  <ds:schemaRefs>
    <ds:schemaRef ds:uri="http://schemas.microsoft.com/sharepoint/v3/contenttype/forms/url"/>
  </ds:schemaRefs>
</ds:datastoreItem>
</file>

<file path=customXml/itemProps2.xml><?xml version="1.0" encoding="utf-8"?>
<ds:datastoreItem xmlns:ds="http://schemas.openxmlformats.org/officeDocument/2006/customXml" ds:itemID="{9028425A-182E-4E37-9BDF-F5377C203B15}"/>
</file>

<file path=customXml/itemProps3.xml><?xml version="1.0" encoding="utf-8"?>
<ds:datastoreItem xmlns:ds="http://schemas.openxmlformats.org/officeDocument/2006/customXml" ds:itemID="{CD8C9088-940C-4F15-A424-81CD7E2D511A}">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E0CA6365-6449-4DE8-AFF6-09ABA0ABC065}"/>
</file>

<file path=customXml/itemProps5.xml><?xml version="1.0" encoding="utf-8"?>
<ds:datastoreItem xmlns:ds="http://schemas.openxmlformats.org/officeDocument/2006/customXml" ds:itemID="{0F732F87-9C3B-4B69-908D-04CF889DEBD5}">
  <ds:schemaRefs>
    <ds:schemaRef ds:uri="http://schemas.microsoft.com/sharepoint/events"/>
  </ds:schemaRefs>
</ds:datastoreItem>
</file>

<file path=customXml/itemProps6.xml><?xml version="1.0" encoding="utf-8"?>
<ds:datastoreItem xmlns:ds="http://schemas.openxmlformats.org/officeDocument/2006/customXml" ds:itemID="{1A5A005C-9D89-4CD3-BA93-47BB3EC46070}">
  <ds:schemaRefs>
    <ds:schemaRef ds:uri="http://schemas.microsoft.com/sharepoint/v3/contenttype/forms"/>
  </ds:schemaRefs>
</ds:datastoreItem>
</file>

<file path=customXml/itemProps7.xml><?xml version="1.0" encoding="utf-8"?>
<ds:datastoreItem xmlns:ds="http://schemas.openxmlformats.org/officeDocument/2006/customXml" ds:itemID="{83CBD8DE-5065-4188-A2F9-F2EA8C5F8F45}">
  <ds:schemaRefs>
    <ds:schemaRef ds:uri="http://schemas.openxmlformats.org/officeDocument/2006/bibliography"/>
  </ds:schemaRefs>
</ds:datastoreItem>
</file>

<file path=customXml/itemProps8.xml><?xml version="1.0" encoding="utf-8"?>
<ds:datastoreItem xmlns:ds="http://schemas.openxmlformats.org/officeDocument/2006/customXml" ds:itemID="{6619A38C-F656-4B0A-B028-D83EF503C224}"/>
</file>

<file path=docProps/app.xml><?xml version="1.0" encoding="utf-8"?>
<Properties xmlns="http://schemas.openxmlformats.org/officeDocument/2006/extended-properties" xmlns:vt="http://schemas.openxmlformats.org/officeDocument/2006/docPropsVTypes">
  <Template>Normal.dotm</Template>
  <TotalTime>33</TotalTime>
  <Pages>21</Pages>
  <Words>8086</Words>
  <Characters>44475</Characters>
  <Application>Microsoft Office Word</Application>
  <DocSecurity>0</DocSecurity>
  <Lines>370</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Arauz Herrera, Alison</cp:lastModifiedBy>
  <cp:revision>8</cp:revision>
  <dcterms:created xsi:type="dcterms:W3CDTF">2018-05-30T21:22:00Z</dcterms:created>
  <dcterms:modified xsi:type="dcterms:W3CDTF">2018-06-18T19:27:00Z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73;#Proposal for Operation Development (POD)|24e0d6d4-9e5f-4c37-abe1-0e66100c0228</vt:lpwstr>
  </property>
  <property fmtid="{D5CDD505-2E9C-101B-9397-08002B2CF9AE}" pid="6" name="Sub-Sector">
    <vt:lpwstr>128;#FM-FES|dcc8718d-dd7c-4b5d-bcc4-86a6a708df42</vt:lpwstr>
  </property>
  <property fmtid="{D5CDD505-2E9C-101B-9397-08002B2CF9AE}" pid="7" name="Fund IDB">
    <vt:lpwstr>136;#GRN|d0f1dc7f-e162-4a9c-9421-b7d8c382a710</vt:lpwstr>
  </property>
  <property fmtid="{D5CDD505-2E9C-101B-9397-08002B2CF9AE}" pid="8" name="Country">
    <vt:lpwstr>24;#PR|50282442-27e7-4526-9d04-55bf5da33a10</vt:lpwstr>
  </property>
  <property fmtid="{D5CDD505-2E9C-101B-9397-08002B2CF9AE}" pid="9" name="Sector IDB">
    <vt:lpwstr>52;#FM|75500f29-2419-473a-bcd8-84901ddc2aa7</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55c9e6e9-bcda-43a8-8eac-818ae9329d8b</vt:lpwstr>
  </property>
  <property fmtid="{D5CDD505-2E9C-101B-9397-08002B2CF9AE}" pid="12" name="RecordStorageActiveId">
    <vt:lpwstr>dc4466bd-7132-4478-ba7d-7675aa123ecc</vt:lpwstr>
  </property>
  <property fmtid="{D5CDD505-2E9C-101B-9397-08002B2CF9AE}" pid="13" name="Disclosure Activity">
    <vt:lpwstr>Loan Proposal</vt:lpwstr>
  </property>
  <property fmtid="{D5CDD505-2E9C-101B-9397-08002B2CF9AE}" pid="14" name="ContentTypeId">
    <vt:lpwstr>0x0101001A458A224826124E8B45B1D613300CFC002520D4CA0E10454FB677C99A32C73F5E</vt:lpwstr>
  </property>
</Properties>
</file>