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362533"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ES"/>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362533">
        <w:rPr>
          <w:rFonts w:asciiTheme="minorHAnsi" w:hAnsiTheme="minorHAnsi"/>
          <w:lang w:val="es-ES"/>
        </w:rPr>
        <w:t xml:space="preserve">                </w:t>
      </w:r>
    </w:p>
    <w:p w14:paraId="7BC714B6" w14:textId="11ACB68E" w:rsidR="00D761FB" w:rsidRPr="00362533"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
        </w:rPr>
      </w:pPr>
      <w:r w:rsidRPr="00362533">
        <w:rPr>
          <w:rFonts w:asciiTheme="minorHAnsi" w:eastAsiaTheme="minorEastAsia" w:hAnsiTheme="minorHAnsi" w:cstheme="minorBidi"/>
          <w:smallCaps w:val="0"/>
          <w:sz w:val="28"/>
          <w:szCs w:val="28"/>
          <w:u w:val="single"/>
          <w:lang w:val="es-ES"/>
        </w:rPr>
        <w:t xml:space="preserve">SOLICITUD DE </w:t>
      </w:r>
      <w:r w:rsidR="00E82ED1" w:rsidRPr="00362533">
        <w:rPr>
          <w:rFonts w:asciiTheme="minorHAnsi" w:eastAsiaTheme="minorEastAsia" w:hAnsiTheme="minorHAnsi" w:cstheme="minorBidi"/>
          <w:smallCaps w:val="0"/>
          <w:sz w:val="28"/>
          <w:szCs w:val="28"/>
          <w:u w:val="single"/>
          <w:lang w:val="es-ES"/>
        </w:rPr>
        <w:t xml:space="preserve">EXPRESIONES </w:t>
      </w:r>
      <w:r w:rsidRPr="00362533">
        <w:rPr>
          <w:rFonts w:asciiTheme="minorHAnsi" w:eastAsiaTheme="minorEastAsia" w:hAnsiTheme="minorHAnsi" w:cstheme="minorBidi"/>
          <w:smallCaps w:val="0"/>
          <w:sz w:val="28"/>
          <w:szCs w:val="28"/>
          <w:u w:val="single"/>
          <w:lang w:val="es-ES"/>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5E2B5E1E" w:rsidR="00D761FB" w:rsidRPr="00AB1E07" w:rsidRDefault="08202347" w:rsidP="08202347">
      <w:pPr>
        <w:suppressAutoHyphens/>
        <w:rPr>
          <w:rFonts w:asciiTheme="minorHAnsi" w:hAnsiTheme="minorHAnsi" w:cstheme="minorBidi"/>
          <w:i/>
          <w:iCs/>
          <w:color w:val="0070C0"/>
        </w:rPr>
      </w:pPr>
      <w:r w:rsidRPr="00AB1E07">
        <w:rPr>
          <w:rFonts w:asciiTheme="minorHAnsi" w:hAnsiTheme="minorHAnsi" w:cstheme="minorBidi"/>
          <w:i/>
          <w:iCs/>
          <w:color w:val="0070C0"/>
        </w:rPr>
        <w:t xml:space="preserve">Selección #: </w:t>
      </w:r>
      <w:r w:rsidR="00BD3CE8" w:rsidRPr="00AB1E07">
        <w:rPr>
          <w:rFonts w:asciiTheme="minorHAnsi" w:hAnsiTheme="minorHAnsi" w:cstheme="minorBidi"/>
          <w:i/>
          <w:iCs/>
          <w:color w:val="0070C0"/>
        </w:rPr>
        <w:t>RG-T3546-P00</w:t>
      </w:r>
      <w:r w:rsidR="00AB1E07" w:rsidRPr="00AB1E07">
        <w:rPr>
          <w:rFonts w:asciiTheme="minorHAnsi" w:hAnsiTheme="minorHAnsi" w:cstheme="minorBidi"/>
          <w:i/>
          <w:iCs/>
          <w:color w:val="0070C0"/>
        </w:rPr>
        <w:t>8</w:t>
      </w:r>
    </w:p>
    <w:p w14:paraId="2FE659F0" w14:textId="1248B257" w:rsidR="00D761FB" w:rsidRPr="00AB1E07" w:rsidRDefault="08202347">
      <w:pPr>
        <w:rPr>
          <w:rFonts w:asciiTheme="minorHAnsi" w:hAnsiTheme="minorHAnsi" w:cstheme="minorHAnsi"/>
          <w:i/>
          <w:iCs/>
        </w:rPr>
      </w:pPr>
      <w:r w:rsidRPr="00AB1E07">
        <w:rPr>
          <w:rFonts w:asciiTheme="minorHAnsi" w:hAnsiTheme="minorHAnsi" w:cstheme="minorBidi"/>
          <w:i/>
          <w:iCs/>
          <w:color w:val="0070C0"/>
        </w:rPr>
        <w:t>Método de selección:</w:t>
      </w:r>
      <w:r w:rsidR="00BD3CE8" w:rsidRPr="00AB1E07">
        <w:rPr>
          <w:rFonts w:asciiTheme="minorHAnsi" w:hAnsiTheme="minorHAnsi" w:cstheme="minorBidi"/>
          <w:i/>
          <w:iCs/>
          <w:color w:val="0070C0"/>
        </w:rPr>
        <w:t xml:space="preserve"> </w:t>
      </w:r>
      <w:r w:rsidR="00BD3CE8" w:rsidRPr="00AB1E07">
        <w:rPr>
          <w:rFonts w:asciiTheme="minorHAnsi" w:hAnsiTheme="minorHAnsi" w:cstheme="minorHAnsi"/>
          <w:i/>
          <w:iCs/>
          <w:color w:val="0070C0"/>
        </w:rPr>
        <w:t>Full Competitive Selection</w:t>
      </w:r>
    </w:p>
    <w:p w14:paraId="4356DB27" w14:textId="40C690F2" w:rsidR="00D761FB" w:rsidRPr="00AB1E07" w:rsidRDefault="08202347" w:rsidP="08202347">
      <w:pPr>
        <w:suppressAutoHyphens/>
        <w:rPr>
          <w:rFonts w:asciiTheme="minorHAnsi" w:hAnsiTheme="minorHAnsi" w:cstheme="minorBidi"/>
          <w:i/>
          <w:iCs/>
          <w:color w:val="0070C0"/>
        </w:rPr>
      </w:pPr>
      <w:r w:rsidRPr="00AB1E07">
        <w:rPr>
          <w:rFonts w:asciiTheme="minorHAnsi" w:hAnsiTheme="minorHAnsi" w:cstheme="minorBidi"/>
          <w:i/>
          <w:iCs/>
          <w:color w:val="0070C0"/>
        </w:rPr>
        <w:t xml:space="preserve">País: </w:t>
      </w:r>
      <w:r w:rsidR="00BD3CE8" w:rsidRPr="00AB1E07">
        <w:rPr>
          <w:rFonts w:asciiTheme="minorHAnsi" w:hAnsiTheme="minorHAnsi" w:cstheme="minorBidi"/>
          <w:i/>
          <w:iCs/>
          <w:color w:val="0070C0"/>
        </w:rPr>
        <w:t>Regional</w:t>
      </w:r>
    </w:p>
    <w:p w14:paraId="4C834057" w14:textId="6BB6BD7E" w:rsidR="00D761FB" w:rsidRPr="00AB1E07" w:rsidRDefault="08202347" w:rsidP="08202347">
      <w:pPr>
        <w:suppressAutoHyphens/>
        <w:rPr>
          <w:rFonts w:asciiTheme="minorHAnsi" w:hAnsiTheme="minorHAnsi" w:cstheme="minorBidi"/>
          <w:i/>
          <w:iCs/>
          <w:color w:val="0070C0"/>
        </w:rPr>
      </w:pPr>
      <w:r w:rsidRPr="00AB1E07">
        <w:rPr>
          <w:rFonts w:asciiTheme="minorHAnsi" w:hAnsiTheme="minorHAnsi" w:cstheme="minorBidi"/>
          <w:i/>
          <w:iCs/>
          <w:color w:val="0070C0"/>
        </w:rPr>
        <w:t>Sector:</w:t>
      </w:r>
      <w:r w:rsidR="00BD3CE8" w:rsidRPr="00AB1E07">
        <w:rPr>
          <w:rFonts w:asciiTheme="minorHAnsi" w:hAnsiTheme="minorHAnsi" w:cstheme="minorBidi"/>
          <w:i/>
          <w:iCs/>
          <w:color w:val="0070C0"/>
        </w:rPr>
        <w:t xml:space="preserve"> Sector Social – Unidad de Migración (SCL/MIG)</w:t>
      </w:r>
    </w:p>
    <w:p w14:paraId="420580C3" w14:textId="7306DC10" w:rsidR="00D761FB" w:rsidRPr="00AB1E07" w:rsidRDefault="08202347" w:rsidP="08202347">
      <w:pPr>
        <w:suppressAutoHyphens/>
        <w:rPr>
          <w:rFonts w:asciiTheme="minorHAnsi" w:hAnsiTheme="minorHAnsi" w:cstheme="minorBidi"/>
          <w:i/>
          <w:iCs/>
          <w:color w:val="0070C0"/>
        </w:rPr>
      </w:pPr>
      <w:r w:rsidRPr="00AB1E07">
        <w:rPr>
          <w:rFonts w:asciiTheme="minorHAnsi" w:hAnsiTheme="minorHAnsi" w:cstheme="minorBidi"/>
          <w:i/>
          <w:iCs/>
          <w:color w:val="0070C0"/>
        </w:rPr>
        <w:t xml:space="preserve">Financiación - TC #: </w:t>
      </w:r>
      <w:r w:rsidR="00BD3CE8" w:rsidRPr="00AB1E07">
        <w:rPr>
          <w:rFonts w:asciiTheme="minorHAnsi" w:hAnsiTheme="minorHAnsi" w:cstheme="minorBidi"/>
          <w:i/>
          <w:iCs/>
          <w:color w:val="0070C0"/>
        </w:rPr>
        <w:t>RG-T3546</w:t>
      </w:r>
      <w:r w:rsidRPr="00AB1E07">
        <w:rPr>
          <w:rFonts w:asciiTheme="minorHAnsi" w:hAnsiTheme="minorHAnsi" w:cstheme="minorBidi"/>
          <w:i/>
          <w:iCs/>
          <w:color w:val="0070C0"/>
        </w:rPr>
        <w:t xml:space="preserve">                           </w:t>
      </w:r>
    </w:p>
    <w:p w14:paraId="6B175998" w14:textId="0C463BD8" w:rsidR="00D761FB" w:rsidRPr="00AB1E07" w:rsidRDefault="08202347">
      <w:pPr>
        <w:pStyle w:val="BodyText"/>
        <w:rPr>
          <w:i/>
          <w:iCs/>
        </w:rPr>
      </w:pPr>
      <w:r w:rsidRPr="00AB1E07">
        <w:rPr>
          <w:rFonts w:asciiTheme="minorHAnsi" w:eastAsiaTheme="minorEastAsia" w:hAnsiTheme="minorHAnsi" w:cstheme="minorBidi"/>
          <w:i/>
          <w:iCs/>
          <w:color w:val="0070C0"/>
        </w:rPr>
        <w:t>Proyecto #:</w:t>
      </w:r>
      <w:r w:rsidR="00BD3CE8" w:rsidRPr="00AB1E07">
        <w:rPr>
          <w:rFonts w:asciiTheme="minorHAnsi" w:eastAsiaTheme="minorEastAsia" w:hAnsiTheme="minorHAnsi" w:cstheme="minorBidi"/>
          <w:i/>
          <w:iCs/>
          <w:color w:val="0070C0"/>
        </w:rPr>
        <w:t xml:space="preserve"> </w:t>
      </w:r>
      <w:r w:rsidR="00BD3CE8" w:rsidRPr="00AB1E07">
        <w:rPr>
          <w:rFonts w:asciiTheme="minorHAnsi" w:eastAsiaTheme="minorEastAsia" w:hAnsiTheme="minorHAnsi" w:cstheme="minorBidi"/>
          <w:i/>
          <w:iCs/>
          <w:color w:val="0070C0"/>
          <w:spacing w:val="0"/>
          <w:szCs w:val="24"/>
          <w:lang w:eastAsia="es-AR"/>
        </w:rPr>
        <w:t>ATN/OC-17833-RG</w:t>
      </w:r>
    </w:p>
    <w:p w14:paraId="08959238" w14:textId="1A2255EB" w:rsidR="00D761FB" w:rsidRPr="00AB1E07" w:rsidRDefault="08202347">
      <w:pPr>
        <w:pStyle w:val="BodyText"/>
        <w:rPr>
          <w:i/>
          <w:iCs/>
          <w:lang w:val="en-US"/>
        </w:rPr>
      </w:pPr>
      <w:proofErr w:type="spellStart"/>
      <w:r w:rsidRPr="00AB1E07">
        <w:rPr>
          <w:rFonts w:asciiTheme="minorHAnsi" w:eastAsiaTheme="minorEastAsia" w:hAnsiTheme="minorHAnsi" w:cstheme="minorBidi"/>
          <w:i/>
          <w:iCs/>
          <w:color w:val="0070C0"/>
          <w:lang w:val="en-US"/>
        </w:rPr>
        <w:t>Nombre</w:t>
      </w:r>
      <w:proofErr w:type="spellEnd"/>
      <w:r w:rsidRPr="00AB1E07">
        <w:rPr>
          <w:rFonts w:asciiTheme="minorHAnsi" w:eastAsiaTheme="minorEastAsia" w:hAnsiTheme="minorHAnsi" w:cstheme="minorBidi"/>
          <w:i/>
          <w:iCs/>
          <w:color w:val="0070C0"/>
          <w:lang w:val="en-US"/>
        </w:rPr>
        <w:t xml:space="preserve"> del TC:</w:t>
      </w:r>
      <w:r w:rsidR="00BD3CE8" w:rsidRPr="00AB1E07">
        <w:rPr>
          <w:rFonts w:asciiTheme="minorHAnsi" w:eastAsiaTheme="minorEastAsia" w:hAnsiTheme="minorHAnsi" w:cstheme="minorBidi"/>
          <w:i/>
          <w:iCs/>
          <w:color w:val="0070C0"/>
          <w:lang w:val="en-US"/>
        </w:rPr>
        <w:t xml:space="preserve"> Improving Migration Information Systems in the Region</w:t>
      </w:r>
    </w:p>
    <w:p w14:paraId="61D34B24" w14:textId="268AED7A" w:rsidR="00BD3CE8" w:rsidRPr="00AB1E07" w:rsidRDefault="08202347" w:rsidP="00BD3CE8">
      <w:pPr>
        <w:autoSpaceDE/>
        <w:autoSpaceDN/>
        <w:adjustRightInd/>
        <w:contextualSpacing/>
        <w:jc w:val="both"/>
        <w:rPr>
          <w:rFonts w:eastAsiaTheme="minorHAnsi"/>
          <w:b/>
          <w:i/>
          <w:iCs/>
          <w:sz w:val="22"/>
          <w:u w:val="single"/>
        </w:rPr>
      </w:pPr>
      <w:r w:rsidRPr="00AB1E07">
        <w:rPr>
          <w:rFonts w:asciiTheme="minorHAnsi" w:hAnsiTheme="minorHAnsi" w:cstheme="minorBidi"/>
          <w:i/>
          <w:iCs/>
          <w:color w:val="0070C0"/>
        </w:rPr>
        <w:t xml:space="preserve">Descripción de los Servicios: </w:t>
      </w:r>
      <w:r w:rsidR="007C3021" w:rsidRPr="00AB1E07">
        <w:rPr>
          <w:rFonts w:asciiTheme="minorHAnsi" w:hAnsiTheme="minorHAnsi" w:cstheme="minorBidi"/>
          <w:i/>
          <w:iCs/>
          <w:color w:val="0070C0"/>
        </w:rPr>
        <w:t>C</w:t>
      </w:r>
      <w:r w:rsidR="00BD3CE8" w:rsidRPr="00AB1E07">
        <w:rPr>
          <w:rFonts w:asciiTheme="minorHAnsi" w:hAnsiTheme="minorHAnsi" w:cstheme="minorBidi"/>
          <w:i/>
          <w:iCs/>
          <w:color w:val="0070C0"/>
        </w:rPr>
        <w:t xml:space="preserve">onstrucción de una herramienta (plataforma digital armada en base a un software libre -open </w:t>
      </w:r>
      <w:proofErr w:type="spellStart"/>
      <w:r w:rsidR="00BD3CE8" w:rsidRPr="00AB1E07">
        <w:rPr>
          <w:rFonts w:asciiTheme="minorHAnsi" w:hAnsiTheme="minorHAnsi" w:cstheme="minorBidi"/>
          <w:i/>
          <w:iCs/>
          <w:color w:val="0070C0"/>
        </w:rPr>
        <w:t>source</w:t>
      </w:r>
      <w:proofErr w:type="spellEnd"/>
      <w:r w:rsidR="00BD3CE8" w:rsidRPr="00AB1E07">
        <w:rPr>
          <w:rFonts w:asciiTheme="minorHAnsi" w:hAnsiTheme="minorHAnsi" w:cstheme="minorBidi"/>
          <w:i/>
          <w:iCs/>
          <w:color w:val="0070C0"/>
        </w:rPr>
        <w:t xml:space="preserve">-) de intercambio de información y procedimientos migratorios entre Chile, Colombia, Ecuador y Perú. La compañía seleccionada deberá construir la herramienta mencionada asegurando su operabilidad y su transferencia a las autoridades de migración de los Ecuador, Colombia, Chile y </w:t>
      </w:r>
      <w:proofErr w:type="spellStart"/>
      <w:r w:rsidR="00BD3CE8" w:rsidRPr="00AB1E07">
        <w:rPr>
          <w:rFonts w:asciiTheme="minorHAnsi" w:hAnsiTheme="minorHAnsi" w:cstheme="minorBidi"/>
          <w:i/>
          <w:iCs/>
          <w:color w:val="0070C0"/>
        </w:rPr>
        <w:t>Peru</w:t>
      </w:r>
      <w:proofErr w:type="spellEnd"/>
      <w:r w:rsidR="00BD3CE8" w:rsidRPr="00AB1E07">
        <w:rPr>
          <w:rFonts w:asciiTheme="minorHAnsi" w:hAnsiTheme="minorHAnsi" w:cstheme="minorBidi"/>
          <w:i/>
          <w:iCs/>
          <w:color w:val="0070C0"/>
        </w:rPr>
        <w:t>.</w:t>
      </w:r>
    </w:p>
    <w:p w14:paraId="35128683" w14:textId="01F686B0" w:rsidR="00D761FB" w:rsidRPr="00AB1E07" w:rsidRDefault="00D761FB" w:rsidP="08202347">
      <w:pPr>
        <w:pStyle w:val="BodyText"/>
        <w:rPr>
          <w:rFonts w:asciiTheme="minorHAnsi" w:eastAsiaTheme="minorEastAsia" w:hAnsiTheme="minorHAnsi" w:cstheme="minorBidi"/>
          <w:i/>
          <w:iCs/>
          <w:color w:val="0070C0"/>
        </w:rPr>
      </w:pPr>
    </w:p>
    <w:p w14:paraId="19F1721F" w14:textId="77777777" w:rsidR="00D761FB" w:rsidRPr="00AB1E07" w:rsidRDefault="00D761FB">
      <w:pPr>
        <w:pStyle w:val="BodyText"/>
        <w:rPr>
          <w:rFonts w:asciiTheme="minorHAnsi" w:hAnsiTheme="minorHAnsi" w:cstheme="minorHAnsi"/>
          <w:i/>
          <w:iCs/>
          <w:color w:val="0070C0"/>
        </w:rPr>
      </w:pPr>
    </w:p>
    <w:p w14:paraId="18F92703" w14:textId="6A6B1E6B" w:rsidR="00D761FB" w:rsidRPr="00AB1E07" w:rsidRDefault="08202347" w:rsidP="08202347">
      <w:pPr>
        <w:pStyle w:val="BodyText"/>
        <w:rPr>
          <w:rFonts w:asciiTheme="minorHAnsi" w:eastAsiaTheme="minorEastAsia" w:hAnsiTheme="minorHAnsi" w:cstheme="minorBidi"/>
          <w:i/>
          <w:iCs/>
          <w:color w:val="0070C0"/>
        </w:rPr>
      </w:pPr>
      <w:r w:rsidRPr="00AB1E07">
        <w:rPr>
          <w:rFonts w:asciiTheme="minorHAnsi" w:eastAsiaTheme="minorEastAsia" w:hAnsiTheme="minorHAnsi" w:cstheme="minorBidi"/>
          <w:i/>
          <w:iCs/>
          <w:color w:val="0070C0"/>
        </w:rPr>
        <w:t xml:space="preserve">Enlace al documento TC: </w:t>
      </w:r>
      <w:hyperlink r:id="rId13" w:history="1">
        <w:r w:rsidR="00BD3CE8" w:rsidRPr="00AB1E07">
          <w:rPr>
            <w:rStyle w:val="Hyperlink"/>
            <w:rFonts w:asciiTheme="minorHAnsi" w:hAnsiTheme="minorHAnsi" w:cstheme="minorHAnsi"/>
            <w:i/>
            <w:iCs/>
          </w:rPr>
          <w:t>https://www.iadb.org/en/project/RG-T3546</w:t>
        </w:r>
      </w:hyperlink>
    </w:p>
    <w:p w14:paraId="5D15DF79" w14:textId="77777777" w:rsidR="00D761FB" w:rsidRDefault="00D761FB">
      <w:pPr>
        <w:pStyle w:val="BodyText"/>
        <w:rPr>
          <w:rFonts w:asciiTheme="minorHAnsi" w:hAnsiTheme="minorHAnsi" w:cstheme="minorHAnsi"/>
          <w:i/>
          <w:color w:val="0070C0"/>
        </w:rPr>
      </w:pPr>
    </w:p>
    <w:p w14:paraId="2C0FC91B" w14:textId="661BC3F8" w:rsidR="00D761FB" w:rsidRPr="00342642" w:rsidRDefault="08202347" w:rsidP="005B434A">
      <w:pPr>
        <w:rPr>
          <w:rFonts w:asciiTheme="minorHAnsi" w:hAnsiTheme="minorHAnsi" w:cstheme="minorBidi"/>
          <w:color w:val="auto"/>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w:t>
      </w:r>
      <w:r w:rsidR="005B434A" w:rsidRPr="00342642">
        <w:rPr>
          <w:rFonts w:asciiTheme="minorHAnsi" w:hAnsiTheme="minorHAnsi" w:cstheme="minorBidi"/>
          <w:color w:val="auto"/>
        </w:rPr>
        <w:t>antes de</w:t>
      </w:r>
      <w:r w:rsidR="00342642" w:rsidRPr="00342642">
        <w:rPr>
          <w:rFonts w:asciiTheme="minorHAnsi" w:hAnsiTheme="minorHAnsi" w:cstheme="minorBidi"/>
          <w:color w:val="auto"/>
        </w:rPr>
        <w:t>l lunes,</w:t>
      </w:r>
      <w:r w:rsidR="005B434A" w:rsidRPr="00342642">
        <w:rPr>
          <w:rFonts w:asciiTheme="minorHAnsi" w:hAnsiTheme="minorHAnsi" w:cstheme="minorBidi"/>
          <w:color w:val="auto"/>
        </w:rPr>
        <w:t xml:space="preserve"> </w:t>
      </w:r>
      <w:r w:rsidR="00BD3CE8" w:rsidRPr="00342642">
        <w:rPr>
          <w:rFonts w:asciiTheme="minorHAnsi" w:hAnsiTheme="minorHAnsi" w:cstheme="minorBidi"/>
          <w:color w:val="auto"/>
        </w:rPr>
        <w:t>24 de abril</w:t>
      </w:r>
      <w:r w:rsidR="00EE44F3">
        <w:rPr>
          <w:rFonts w:asciiTheme="minorHAnsi" w:hAnsiTheme="minorHAnsi" w:cstheme="minorBidi"/>
          <w:color w:val="auto"/>
        </w:rPr>
        <w:t xml:space="preserve"> de </w:t>
      </w:r>
      <w:r w:rsidR="00BD3CE8" w:rsidRPr="00342642">
        <w:rPr>
          <w:rFonts w:asciiTheme="minorHAnsi" w:hAnsiTheme="minorHAnsi" w:cstheme="minorBidi"/>
          <w:color w:val="auto"/>
        </w:rPr>
        <w:t>2023</w:t>
      </w:r>
      <w:r w:rsidR="005B434A" w:rsidRPr="00342642">
        <w:rPr>
          <w:rFonts w:asciiTheme="minorHAnsi" w:hAnsiTheme="minorHAnsi" w:cstheme="minorBidi"/>
          <w:color w:val="auto"/>
        </w:rPr>
        <w:t xml:space="preserve"> 5:00 P.M. (Hora de Washington DC).</w:t>
      </w:r>
    </w:p>
    <w:p w14:paraId="3B4B0DCE" w14:textId="495D739F" w:rsidR="00E90C6D" w:rsidRDefault="00E90C6D" w:rsidP="005B434A">
      <w:pPr>
        <w:rPr>
          <w:rFonts w:asciiTheme="minorHAnsi" w:hAnsiTheme="minorHAnsi" w:cstheme="minorBidi"/>
          <w:color w:val="auto"/>
        </w:rPr>
      </w:pPr>
    </w:p>
    <w:p w14:paraId="2CDBF98B" w14:textId="79D2E17A" w:rsidR="00D761FB" w:rsidRDefault="00195118">
      <w:pPr>
        <w:jc w:val="both"/>
        <w:rPr>
          <w:rFonts w:asciiTheme="minorHAnsi" w:hAnsiTheme="minorHAnsi" w:cstheme="minorBidi"/>
          <w:color w:val="auto"/>
        </w:rPr>
      </w:pPr>
      <w:r w:rsidRPr="00195118">
        <w:rPr>
          <w:rFonts w:asciiTheme="minorHAnsi" w:hAnsiTheme="minorHAnsi" w:cstheme="minorBidi"/>
          <w:color w:val="auto"/>
        </w:rPr>
        <w:t xml:space="preserve">Para acceder al Portal del BID, las firmas deberán de generar una cuenta de registro, incluyendo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solicitados por el Portal. En caso de que alguno de los datos solicitados no sea completado, la firma no podrá participar en este o cualquier otro proceso de selección ejecutado por el BID para trabajo operacional. </w:t>
      </w:r>
      <w:r w:rsidR="00897ECF">
        <w:rPr>
          <w:rFonts w:asciiTheme="minorHAnsi" w:hAnsiTheme="minorHAnsi" w:cstheme="minorBidi"/>
          <w:color w:val="auto"/>
        </w:rPr>
        <w:t>Si</w:t>
      </w:r>
      <w:r w:rsidRPr="00195118">
        <w:rPr>
          <w:rFonts w:asciiTheme="minorHAnsi" w:hAnsiTheme="minorHAnsi" w:cstheme="minorBidi"/>
          <w:color w:val="auto"/>
        </w:rPr>
        <w:t xml:space="preserve"> su firma ya se haya registrado previamente, deberá de validar que cuenta con </w:t>
      </w:r>
      <w:r w:rsidRPr="00195118">
        <w:rPr>
          <w:rFonts w:asciiTheme="minorHAnsi" w:hAnsiTheme="minorHAnsi" w:cstheme="minorBidi"/>
          <w:b/>
          <w:bCs/>
          <w:i/>
          <w:iCs/>
          <w:color w:val="auto"/>
        </w:rPr>
        <w:t>todos</w:t>
      </w:r>
      <w:r w:rsidRPr="00195118">
        <w:rPr>
          <w:rFonts w:asciiTheme="minorHAnsi" w:hAnsiTheme="minorHAnsi" w:cstheme="minorBidi"/>
          <w:color w:val="auto"/>
        </w:rPr>
        <w:t xml:space="preserve"> los datos completos y actualizados antes de presentar una expresión de interés.</w:t>
      </w:r>
    </w:p>
    <w:p w14:paraId="2C349D0C" w14:textId="77777777" w:rsidR="00195118" w:rsidRPr="00195118" w:rsidRDefault="00195118">
      <w:pPr>
        <w:jc w:val="both"/>
        <w:rPr>
          <w:rFonts w:asciiTheme="minorHAnsi" w:hAnsiTheme="minorHAnsi" w:cstheme="minorHAnsi"/>
          <w:lang w:val="es-419"/>
        </w:rPr>
      </w:pPr>
    </w:p>
    <w:p w14:paraId="1BA4F4A3" w14:textId="3BAE160C" w:rsidR="00BD3CE8" w:rsidRDefault="08202347" w:rsidP="08202347">
      <w:pPr>
        <w:suppressAutoHyphens/>
        <w:jc w:val="both"/>
        <w:rPr>
          <w:rFonts w:asciiTheme="minorHAnsi" w:hAnsiTheme="minorHAnsi" w:cstheme="minorBidi"/>
        </w:rPr>
      </w:pPr>
      <w:r w:rsidRPr="08202347">
        <w:rPr>
          <w:rFonts w:asciiTheme="minorHAnsi" w:hAnsiTheme="minorHAnsi" w:cstheme="minorBidi"/>
        </w:rPr>
        <w:t>Los servicios de consultoría ("los Servicios") incluyen</w:t>
      </w:r>
      <w:r w:rsidR="00BD3CE8">
        <w:rPr>
          <w:rFonts w:asciiTheme="minorHAnsi" w:hAnsiTheme="minorHAnsi" w:cstheme="minorBidi"/>
        </w:rPr>
        <w:t xml:space="preserve"> </w:t>
      </w:r>
    </w:p>
    <w:p w14:paraId="20909F7B" w14:textId="77777777" w:rsidR="007C3021" w:rsidRDefault="007C3021" w:rsidP="08202347">
      <w:pPr>
        <w:suppressAutoHyphens/>
        <w:jc w:val="both"/>
        <w:rPr>
          <w:rFonts w:asciiTheme="minorHAnsi" w:hAnsiTheme="minorHAnsi" w:cstheme="minorBidi"/>
        </w:rPr>
      </w:pPr>
    </w:p>
    <w:p w14:paraId="2249CDFC" w14:textId="6ACAC92B" w:rsidR="00BD3CE8" w:rsidRPr="00AF5F9D" w:rsidRDefault="00BD3CE8" w:rsidP="00BD3CE8">
      <w:pPr>
        <w:pStyle w:val="ListParagraph"/>
        <w:numPr>
          <w:ilvl w:val="0"/>
          <w:numId w:val="3"/>
        </w:numPr>
        <w:jc w:val="both"/>
        <w:rPr>
          <w:rFonts w:asciiTheme="minorHAnsi" w:eastAsiaTheme="minorEastAsia" w:hAnsiTheme="minorHAnsi" w:cstheme="minorHAnsi"/>
          <w:i/>
          <w:iCs/>
          <w:sz w:val="22"/>
          <w:szCs w:val="22"/>
        </w:rPr>
      </w:pPr>
      <w:r w:rsidRPr="00AF5F9D">
        <w:rPr>
          <w:rFonts w:asciiTheme="minorHAnsi" w:eastAsiaTheme="minorEastAsia" w:hAnsiTheme="minorHAnsi" w:cstheme="minorHAnsi"/>
          <w:b/>
          <w:bCs/>
          <w:color w:val="006600"/>
          <w:sz w:val="22"/>
          <w:szCs w:val="22"/>
        </w:rPr>
        <w:t>L</w:t>
      </w:r>
      <w:r w:rsidRPr="00AF5F9D">
        <w:rPr>
          <w:rFonts w:asciiTheme="minorHAnsi" w:hAnsiTheme="minorHAnsi" w:cstheme="minorHAnsi"/>
          <w:sz w:val="22"/>
          <w:szCs w:val="22"/>
        </w:rPr>
        <w:t>a consultoría deberá realizar el análisis técnico y detallado de la herramienta diseñada bajo este mismo proyecto cuyo objetivo final es la construcción de esta plataforma. Dicho análisis deberá incluir a Chile, Colombia, Ecuador y Perú; y las guías de referencia y recomendaciones formuladas también deberán ser adaptables a los demás países que forman parte del Proceso de Quito. Este análisis deberá profundizar sobre los siguientes puntos:</w:t>
      </w:r>
    </w:p>
    <w:p w14:paraId="046FFBF1" w14:textId="77777777" w:rsidR="00BD3CE8" w:rsidRPr="00AF5F9D" w:rsidRDefault="00BD3CE8" w:rsidP="00BD3CE8">
      <w:pPr>
        <w:pStyle w:val="ListParagraph"/>
        <w:widowControl w:val="0"/>
        <w:numPr>
          <w:ilvl w:val="0"/>
          <w:numId w:val="2"/>
        </w:numPr>
        <w:jc w:val="both"/>
        <w:rPr>
          <w:rFonts w:asciiTheme="minorHAnsi" w:eastAsiaTheme="minorHAnsi" w:hAnsiTheme="minorHAnsi" w:cstheme="minorHAnsi"/>
          <w:bCs/>
          <w:sz w:val="22"/>
          <w:szCs w:val="22"/>
        </w:rPr>
      </w:pPr>
      <w:r w:rsidRPr="00AF5F9D">
        <w:rPr>
          <w:rFonts w:asciiTheme="minorHAnsi" w:eastAsiaTheme="minorHAnsi" w:hAnsiTheme="minorHAnsi" w:cstheme="minorHAnsi"/>
          <w:bCs/>
          <w:sz w:val="22"/>
          <w:szCs w:val="22"/>
        </w:rPr>
        <w:t xml:space="preserve">Experiencia del usuario (migrante y funcionario), a fin de comprender en detalle el servicio de gestión migratoria que se está prestando en los puertos de entrada y de salida, y determinar los potenciales desafíos que migrante y funcionario enfrentan. Sobre los </w:t>
      </w:r>
    </w:p>
    <w:p w14:paraId="5720F34A" w14:textId="77777777" w:rsidR="00BD3CE8" w:rsidRPr="00AF5F9D" w:rsidRDefault="00BD3CE8" w:rsidP="00BD3CE8">
      <w:pPr>
        <w:pStyle w:val="ListParagraph"/>
        <w:widowControl w:val="0"/>
        <w:numPr>
          <w:ilvl w:val="0"/>
          <w:numId w:val="2"/>
        </w:numPr>
        <w:jc w:val="both"/>
        <w:rPr>
          <w:rFonts w:asciiTheme="minorHAnsi" w:eastAsiaTheme="minorHAnsi" w:hAnsiTheme="minorHAnsi" w:cstheme="minorHAnsi"/>
          <w:bCs/>
          <w:sz w:val="22"/>
          <w:szCs w:val="22"/>
        </w:rPr>
      </w:pPr>
      <w:r w:rsidRPr="00AF5F9D">
        <w:rPr>
          <w:rFonts w:asciiTheme="minorHAnsi" w:eastAsiaTheme="minorHAnsi" w:hAnsiTheme="minorHAnsi" w:cstheme="minorHAnsi"/>
          <w:bCs/>
          <w:sz w:val="22"/>
          <w:szCs w:val="22"/>
        </w:rPr>
        <w:t xml:space="preserve">Sistemas de información, contemplando no solamente de gestión migratoria utilizada por los países, si no también analizando otras fuentes de información complementarias que podrían apoyar en la gestión de sistemas migratorios. </w:t>
      </w:r>
    </w:p>
    <w:p w14:paraId="26223434" w14:textId="77777777" w:rsidR="00BD3CE8" w:rsidRPr="00AF5F9D" w:rsidRDefault="00BD3CE8" w:rsidP="00BD3CE8">
      <w:pPr>
        <w:pStyle w:val="ListParagraph"/>
        <w:widowControl w:val="0"/>
        <w:numPr>
          <w:ilvl w:val="0"/>
          <w:numId w:val="2"/>
        </w:numPr>
        <w:jc w:val="both"/>
        <w:rPr>
          <w:rFonts w:asciiTheme="minorHAnsi" w:eastAsiaTheme="minorHAnsi" w:hAnsiTheme="minorHAnsi" w:cstheme="minorHAnsi"/>
          <w:bCs/>
          <w:sz w:val="22"/>
          <w:szCs w:val="22"/>
        </w:rPr>
      </w:pPr>
      <w:proofErr w:type="gramStart"/>
      <w:r w:rsidRPr="00AF5F9D">
        <w:rPr>
          <w:rFonts w:asciiTheme="minorHAnsi" w:eastAsiaTheme="minorHAnsi" w:hAnsiTheme="minorHAnsi" w:cstheme="minorHAnsi"/>
          <w:bCs/>
          <w:sz w:val="22"/>
          <w:szCs w:val="22"/>
        </w:rPr>
        <w:t>Confirmar</w:t>
      </w:r>
      <w:proofErr w:type="gramEnd"/>
      <w:r w:rsidRPr="00AF5F9D">
        <w:rPr>
          <w:rFonts w:asciiTheme="minorHAnsi" w:eastAsiaTheme="minorHAnsi" w:hAnsiTheme="minorHAnsi" w:cstheme="minorHAnsi"/>
          <w:bCs/>
          <w:sz w:val="22"/>
          <w:szCs w:val="22"/>
        </w:rPr>
        <w:t xml:space="preserve"> que el diseño contemple: privacidad y protección de datos; estándares abiertos y código abierto; viabilidad económica e infraestructura tecnológica disponible; y centrado en la experiencia del usuario.</w:t>
      </w:r>
    </w:p>
    <w:p w14:paraId="09396BF6" w14:textId="77777777" w:rsidR="00BD3CE8" w:rsidRPr="00AF5F9D" w:rsidRDefault="00BD3CE8" w:rsidP="00BD3CE8">
      <w:pPr>
        <w:pStyle w:val="ListParagraph"/>
        <w:widowControl w:val="0"/>
        <w:jc w:val="both"/>
        <w:rPr>
          <w:rFonts w:asciiTheme="minorHAnsi" w:eastAsiaTheme="minorHAnsi" w:hAnsiTheme="minorHAnsi" w:cstheme="minorHAnsi"/>
          <w:bCs/>
          <w:sz w:val="22"/>
          <w:szCs w:val="22"/>
        </w:rPr>
      </w:pPr>
    </w:p>
    <w:p w14:paraId="4ED920AF" w14:textId="5666AAAA" w:rsidR="00BD3CE8" w:rsidRPr="007C3021" w:rsidRDefault="00BD3CE8" w:rsidP="007C3021">
      <w:pPr>
        <w:pStyle w:val="ListParagraph"/>
        <w:numPr>
          <w:ilvl w:val="0"/>
          <w:numId w:val="3"/>
        </w:numPr>
        <w:jc w:val="both"/>
        <w:rPr>
          <w:rFonts w:asciiTheme="minorHAnsi" w:eastAsiaTheme="minorEastAsia" w:hAnsiTheme="minorHAnsi" w:cstheme="minorHAnsi"/>
          <w:sz w:val="22"/>
          <w:szCs w:val="22"/>
        </w:rPr>
      </w:pPr>
      <w:r w:rsidRPr="00AF5F9D">
        <w:rPr>
          <w:rFonts w:asciiTheme="minorHAnsi" w:eastAsiaTheme="minorEastAsia" w:hAnsiTheme="minorHAnsi" w:cstheme="minorHAnsi"/>
          <w:sz w:val="22"/>
          <w:szCs w:val="22"/>
        </w:rPr>
        <w:lastRenderedPageBreak/>
        <w:t xml:space="preserve">Construcción de una plataforma de intercambio de información y procedimientos </w:t>
      </w:r>
      <w:r w:rsidRPr="007C3021">
        <w:rPr>
          <w:rFonts w:asciiTheme="minorHAnsi" w:eastAsiaTheme="minorEastAsia" w:hAnsiTheme="minorHAnsi" w:cstheme="minorHAnsi"/>
          <w:sz w:val="22"/>
          <w:szCs w:val="22"/>
        </w:rPr>
        <w:t xml:space="preserve">migratorios que contemple las siguientes características: </w:t>
      </w:r>
    </w:p>
    <w:p w14:paraId="7AC7B176" w14:textId="77777777" w:rsidR="00BD3CE8" w:rsidRPr="00AF5F9D" w:rsidRDefault="00BD3CE8" w:rsidP="00BD3CE8">
      <w:pPr>
        <w:contextualSpacing/>
        <w:jc w:val="both"/>
        <w:rPr>
          <w:rFonts w:asciiTheme="minorHAnsi" w:hAnsiTheme="minorHAnsi" w:cstheme="minorHAnsi"/>
          <w:sz w:val="22"/>
          <w:szCs w:val="22"/>
        </w:rPr>
      </w:pPr>
    </w:p>
    <w:p w14:paraId="59EFFE8A" w14:textId="77777777" w:rsidR="00BD3CE8" w:rsidRPr="00AF5F9D" w:rsidRDefault="00BD3CE8" w:rsidP="00BD3CE8">
      <w:pPr>
        <w:pStyle w:val="ListParagraph"/>
        <w:widowControl w:val="0"/>
        <w:numPr>
          <w:ilvl w:val="0"/>
          <w:numId w:val="2"/>
        </w:numPr>
        <w:jc w:val="both"/>
        <w:rPr>
          <w:rFonts w:asciiTheme="minorHAnsi" w:hAnsiTheme="minorHAnsi" w:cstheme="minorHAnsi"/>
          <w:sz w:val="22"/>
          <w:szCs w:val="22"/>
          <w:lang w:val="es-ES"/>
        </w:rPr>
      </w:pPr>
      <w:r w:rsidRPr="00AF5F9D">
        <w:rPr>
          <w:rFonts w:asciiTheme="minorHAnsi" w:hAnsiTheme="minorHAnsi" w:cstheme="minorHAnsi"/>
          <w:sz w:val="22"/>
          <w:szCs w:val="22"/>
          <w:lang w:val="es-ES"/>
        </w:rPr>
        <w:t>Adaptabilidad: la plataforma debe establecer mecanismos para adaptar la información proveniente de diferentes formatos y niveles de detalle, como así prever la incorporación de otros países miembros del Proceso de Amigos de Quito.</w:t>
      </w:r>
    </w:p>
    <w:p w14:paraId="6704EBF1" w14:textId="77777777" w:rsidR="00BD3CE8" w:rsidRPr="00AF5F9D" w:rsidRDefault="00BD3CE8" w:rsidP="00BD3CE8">
      <w:pPr>
        <w:pStyle w:val="ListParagraph"/>
        <w:widowControl w:val="0"/>
        <w:numPr>
          <w:ilvl w:val="0"/>
          <w:numId w:val="2"/>
        </w:numPr>
        <w:jc w:val="both"/>
        <w:rPr>
          <w:rFonts w:asciiTheme="minorHAnsi" w:eastAsiaTheme="minorEastAsia" w:hAnsiTheme="minorHAnsi" w:cstheme="minorHAnsi"/>
          <w:sz w:val="22"/>
          <w:szCs w:val="22"/>
          <w:lang w:val="es-ES"/>
        </w:rPr>
      </w:pPr>
      <w:r w:rsidRPr="00AF5F9D">
        <w:rPr>
          <w:rFonts w:asciiTheme="minorHAnsi" w:eastAsiaTheme="minorEastAsia" w:hAnsiTheme="minorHAnsi" w:cstheme="minorHAnsi"/>
          <w:sz w:val="22"/>
          <w:szCs w:val="22"/>
        </w:rPr>
        <w:t xml:space="preserve">Interoperabilidad: la plataforma debe permitir la integración de las diferentes fuentes de información de los países miembros. El resultado a conseguir es una descripción y predicción de los flujos migratorios entre los países miembros.  </w:t>
      </w:r>
      <w:r w:rsidRPr="00AF5F9D">
        <w:rPr>
          <w:rFonts w:asciiTheme="minorHAnsi" w:eastAsiaTheme="minorEastAsia" w:hAnsiTheme="minorHAnsi" w:cstheme="minorHAnsi"/>
          <w:sz w:val="22"/>
          <w:szCs w:val="22"/>
          <w:lang w:val="es-CO"/>
        </w:rPr>
        <w:t>La plataforma debe apalancarse en nuevas tecnologías con el objetivo de establecer conexiones eficientes entre instituciones, actores y países a través de la definición de figuras que lideren el proceso migratorio de manera transversal para el intercambio de información. De igual forma, se debe impulsar el uso de buses empresariales gubernamentales y/o plataformas de interoperabilidad para unificar los ecosistemas tecnológicos que suponen limitaciones en los procesos de integración.</w:t>
      </w:r>
    </w:p>
    <w:p w14:paraId="42DC6766" w14:textId="77777777" w:rsidR="00BD3CE8" w:rsidRPr="00AF5F9D" w:rsidRDefault="00BD3CE8" w:rsidP="00BD3CE8">
      <w:pPr>
        <w:pStyle w:val="ListParagraph"/>
        <w:widowControl w:val="0"/>
        <w:numPr>
          <w:ilvl w:val="0"/>
          <w:numId w:val="2"/>
        </w:numPr>
        <w:jc w:val="both"/>
        <w:rPr>
          <w:rFonts w:asciiTheme="minorHAnsi" w:hAnsiTheme="minorHAnsi" w:cstheme="minorHAnsi"/>
          <w:sz w:val="22"/>
          <w:szCs w:val="22"/>
          <w:lang w:val="es-ES"/>
        </w:rPr>
      </w:pPr>
      <w:r w:rsidRPr="00AF5F9D">
        <w:rPr>
          <w:rFonts w:asciiTheme="minorHAnsi" w:eastAsiaTheme="minorEastAsia" w:hAnsiTheme="minorHAnsi" w:cstheme="minorHAnsi"/>
          <w:sz w:val="22"/>
          <w:szCs w:val="22"/>
          <w:lang w:val="es-ES"/>
        </w:rPr>
        <w:t>Protección de la información: rol de los usuarios, procesos de protección privada y confidencial, entre otros.</w:t>
      </w:r>
      <w:r w:rsidRPr="00AF5F9D">
        <w:rPr>
          <w:rFonts w:asciiTheme="minorHAnsi" w:hAnsiTheme="minorHAnsi" w:cstheme="minorHAnsi"/>
          <w:sz w:val="22"/>
          <w:szCs w:val="22"/>
          <w:lang w:val="es-ES"/>
        </w:rPr>
        <w:t xml:space="preserve"> </w:t>
      </w:r>
    </w:p>
    <w:p w14:paraId="1C778EA5" w14:textId="77777777" w:rsidR="00BD3CE8" w:rsidRPr="00AF5F9D" w:rsidRDefault="00BD3CE8" w:rsidP="00BD3CE8">
      <w:pPr>
        <w:pStyle w:val="ListParagraph"/>
        <w:widowControl w:val="0"/>
        <w:numPr>
          <w:ilvl w:val="0"/>
          <w:numId w:val="2"/>
        </w:numPr>
        <w:jc w:val="both"/>
        <w:rPr>
          <w:rFonts w:asciiTheme="minorHAnsi" w:eastAsiaTheme="minorEastAsia" w:hAnsiTheme="minorHAnsi" w:cstheme="minorHAnsi"/>
          <w:sz w:val="22"/>
          <w:szCs w:val="22"/>
        </w:rPr>
      </w:pPr>
      <w:r w:rsidRPr="00AF5F9D">
        <w:rPr>
          <w:rFonts w:asciiTheme="minorHAnsi" w:hAnsiTheme="minorHAnsi" w:cstheme="minorHAnsi"/>
          <w:sz w:val="22"/>
          <w:szCs w:val="22"/>
          <w:lang w:val="es-ES"/>
        </w:rPr>
        <w:t xml:space="preserve">Visualización de datos: gráficos y modelos descriptivos para poder analizar los datos de los flujos de los migrantes y otra información estadística pertinente. </w:t>
      </w:r>
    </w:p>
    <w:p w14:paraId="31A81A92" w14:textId="77777777" w:rsidR="00BD3CE8" w:rsidRPr="00AF5F9D" w:rsidRDefault="00BD3CE8" w:rsidP="00BD3CE8">
      <w:pPr>
        <w:pStyle w:val="ListParagraph"/>
        <w:widowControl w:val="0"/>
        <w:numPr>
          <w:ilvl w:val="0"/>
          <w:numId w:val="2"/>
        </w:numPr>
        <w:jc w:val="both"/>
        <w:rPr>
          <w:rFonts w:asciiTheme="minorHAnsi" w:eastAsiaTheme="minorHAnsi" w:hAnsiTheme="minorHAnsi" w:cstheme="minorHAnsi"/>
          <w:sz w:val="22"/>
          <w:szCs w:val="22"/>
        </w:rPr>
      </w:pPr>
      <w:r w:rsidRPr="00AF5F9D">
        <w:rPr>
          <w:rFonts w:asciiTheme="minorHAnsi" w:hAnsiTheme="minorHAnsi" w:cstheme="minorHAnsi"/>
          <w:sz w:val="22"/>
          <w:szCs w:val="22"/>
          <w:lang w:val="es-ES"/>
        </w:rPr>
        <w:t xml:space="preserve">Administración: registro, mantenimiento y manejo de la información migratoria para el control y predicción de los movimientos migratorios entre estos países. </w:t>
      </w:r>
    </w:p>
    <w:p w14:paraId="19102995" w14:textId="77777777" w:rsidR="00BD3CE8" w:rsidRPr="00AF5F9D" w:rsidRDefault="00BD3CE8" w:rsidP="00BD3CE8">
      <w:pPr>
        <w:pStyle w:val="ListParagraph"/>
        <w:widowControl w:val="0"/>
        <w:numPr>
          <w:ilvl w:val="0"/>
          <w:numId w:val="2"/>
        </w:numPr>
        <w:jc w:val="both"/>
        <w:rPr>
          <w:rFonts w:asciiTheme="minorHAnsi" w:eastAsiaTheme="minorHAnsi" w:hAnsiTheme="minorHAnsi" w:cstheme="minorHAnsi"/>
          <w:sz w:val="22"/>
          <w:szCs w:val="22"/>
        </w:rPr>
      </w:pPr>
      <w:r w:rsidRPr="00AF5F9D">
        <w:rPr>
          <w:rFonts w:asciiTheme="minorHAnsi" w:hAnsiTheme="minorHAnsi" w:cstheme="minorHAnsi"/>
          <w:sz w:val="22"/>
          <w:szCs w:val="22"/>
          <w:lang w:val="es-ES"/>
        </w:rPr>
        <w:t xml:space="preserve">Optimización: </w:t>
      </w:r>
      <w:r w:rsidRPr="00AF5F9D">
        <w:rPr>
          <w:rFonts w:asciiTheme="minorHAnsi" w:hAnsiTheme="minorHAnsi" w:cstheme="minorHAnsi"/>
          <w:sz w:val="22"/>
          <w:szCs w:val="22"/>
          <w:lang w:val="es-CO"/>
        </w:rPr>
        <w:t>La plataforma debe permitir el intercambio de información en tiempo real para optimizar la validación de datos del migrante y la trazabilidad de flujos migratorios.</w:t>
      </w:r>
    </w:p>
    <w:p w14:paraId="0C8F1E59" w14:textId="77777777" w:rsidR="00AF5F9D" w:rsidRPr="00AF5F9D" w:rsidRDefault="00AF5F9D">
      <w:pPr>
        <w:jc w:val="both"/>
        <w:rPr>
          <w:rFonts w:asciiTheme="minorHAnsi" w:hAnsiTheme="minorHAnsi" w:cstheme="minorHAnsi"/>
          <w:color w:val="auto"/>
        </w:rPr>
      </w:pPr>
    </w:p>
    <w:p w14:paraId="452E4AA1" w14:textId="77777777" w:rsidR="00AF5F9D" w:rsidRPr="00AF5F9D" w:rsidRDefault="00AF5F9D">
      <w:pPr>
        <w:jc w:val="both"/>
        <w:rPr>
          <w:rFonts w:asciiTheme="minorHAnsi" w:hAnsiTheme="minorHAnsi" w:cstheme="minorBidi"/>
          <w:color w:val="auto"/>
        </w:rPr>
      </w:pPr>
      <w:r w:rsidRPr="00AF5F9D">
        <w:rPr>
          <w:rFonts w:asciiTheme="minorHAnsi" w:hAnsiTheme="minorHAnsi" w:cstheme="minorBidi"/>
          <w:color w:val="auto"/>
        </w:rPr>
        <w:t>Este servicio deberá iniciar a partir del 15 de mayo de 2023.</w:t>
      </w:r>
    </w:p>
    <w:p w14:paraId="545B4BCE" w14:textId="3BEE6F3D"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49B5C2B" w:rsidR="00D761FB" w:rsidRDefault="00D761FB">
      <w:pPr>
        <w:jc w:val="both"/>
        <w:rPr>
          <w:rFonts w:asciiTheme="minorHAnsi" w:hAnsiTheme="minorHAnsi" w:cs="Times New Roman"/>
          <w:smallCaps/>
          <w:color w:val="4F81BD" w:themeColor="accent1"/>
        </w:rPr>
      </w:pPr>
    </w:p>
    <w:p w14:paraId="70D0EF38" w14:textId="3B6AD258"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AF5F9D">
        <w:rPr>
          <w:rFonts w:asciiTheme="minorHAnsi" w:hAnsiTheme="minorHAnsi" w:cstheme="minorBidi"/>
          <w:i/>
          <w:iCs/>
          <w:color w:val="0070C0"/>
        </w:rPr>
        <w:t>Francisco Zegarra fzegarra@iadb.org</w:t>
      </w:r>
    </w:p>
    <w:p w14:paraId="58A93C68" w14:textId="77777777" w:rsidR="00AF5F9D" w:rsidRDefault="00AF5F9D" w:rsidP="00AF5F9D">
      <w:pPr>
        <w:jc w:val="both"/>
        <w:rPr>
          <w:rFonts w:asciiTheme="minorHAnsi" w:hAnsiTheme="minorHAnsi" w:cstheme="minorHAnsi"/>
          <w:color w:val="auto"/>
        </w:rPr>
      </w:pPr>
    </w:p>
    <w:p w14:paraId="19807683" w14:textId="74B180DB" w:rsidR="00AF5F9D" w:rsidRPr="00FC673F" w:rsidRDefault="00AF5F9D" w:rsidP="00AF5F9D">
      <w:pPr>
        <w:jc w:val="both"/>
        <w:rPr>
          <w:rFonts w:asciiTheme="minorHAnsi" w:hAnsiTheme="minorHAnsi" w:cstheme="minorHAnsi"/>
          <w:color w:val="auto"/>
        </w:rPr>
      </w:pPr>
      <w:r w:rsidRPr="00FC673F">
        <w:rPr>
          <w:rFonts w:asciiTheme="minorHAnsi" w:hAnsiTheme="minorHAnsi" w:cstheme="minorHAnsi"/>
          <w:color w:val="auto"/>
        </w:rPr>
        <w:t>Banco Interamericano de Desarrollo</w:t>
      </w:r>
    </w:p>
    <w:p w14:paraId="704F4DBD" w14:textId="77777777" w:rsidR="00AF5F9D" w:rsidRPr="00FC673F" w:rsidRDefault="00AF5F9D" w:rsidP="00AF5F9D">
      <w:pPr>
        <w:jc w:val="both"/>
        <w:rPr>
          <w:rFonts w:asciiTheme="minorHAnsi" w:hAnsiTheme="minorHAnsi" w:cstheme="minorHAnsi"/>
          <w:i/>
          <w:iCs/>
          <w:color w:val="0070C0"/>
        </w:rPr>
      </w:pPr>
      <w:r w:rsidRPr="00FC673F">
        <w:rPr>
          <w:rFonts w:asciiTheme="minorHAnsi" w:hAnsiTheme="minorHAnsi" w:cstheme="minorHAnsi"/>
          <w:color w:val="auto"/>
        </w:rPr>
        <w:t>División: Unidad de Migración</w:t>
      </w:r>
    </w:p>
    <w:p w14:paraId="2D6636CF" w14:textId="77777777" w:rsidR="00AF5F9D" w:rsidRPr="00FC673F" w:rsidRDefault="00AF5F9D" w:rsidP="00AF5F9D">
      <w:pPr>
        <w:jc w:val="both"/>
        <w:rPr>
          <w:rFonts w:asciiTheme="minorHAnsi" w:hAnsiTheme="minorHAnsi" w:cstheme="minorHAnsi"/>
          <w:color w:val="auto"/>
        </w:rPr>
      </w:pPr>
      <w:r w:rsidRPr="00FC673F">
        <w:rPr>
          <w:rFonts w:asciiTheme="minorHAnsi" w:hAnsiTheme="minorHAnsi" w:cstheme="minorHAnsi"/>
          <w:color w:val="auto"/>
        </w:rPr>
        <w:t xml:space="preserve">Atención: Francisco Zegarra Azcui, </w:t>
      </w:r>
      <w:proofErr w:type="gramStart"/>
      <w:r w:rsidRPr="00FC673F">
        <w:rPr>
          <w:rFonts w:asciiTheme="minorHAnsi" w:hAnsiTheme="minorHAnsi" w:cstheme="minorHAnsi"/>
          <w:color w:val="auto"/>
        </w:rPr>
        <w:t>Jefe</w:t>
      </w:r>
      <w:proofErr w:type="gramEnd"/>
      <w:r w:rsidRPr="00FC673F">
        <w:rPr>
          <w:rFonts w:asciiTheme="minorHAnsi" w:hAnsiTheme="minorHAnsi" w:cstheme="minorHAnsi"/>
          <w:color w:val="auto"/>
        </w:rPr>
        <w:t xml:space="preserve"> del Equipo del Proyecto</w:t>
      </w:r>
    </w:p>
    <w:p w14:paraId="6C3797D2" w14:textId="08B770BD" w:rsidR="00D761FB" w:rsidRDefault="00D761FB">
      <w:pPr>
        <w:jc w:val="both"/>
        <w:rPr>
          <w:rFonts w:asciiTheme="minorHAnsi" w:hAnsiTheme="minorHAnsi" w:cs="Times New Roman"/>
          <w:color w:val="auto"/>
        </w:rPr>
      </w:pPr>
    </w:p>
    <w:p w14:paraId="419BDA8D" w14:textId="77777777" w:rsidR="00AF5F9D" w:rsidRPr="00FC673F" w:rsidRDefault="00AF5F9D" w:rsidP="00AF5F9D">
      <w:pPr>
        <w:jc w:val="both"/>
        <w:rPr>
          <w:rFonts w:asciiTheme="minorHAnsi" w:hAnsiTheme="minorHAnsi" w:cstheme="minorHAnsi"/>
          <w:color w:val="auto"/>
          <w:lang w:val="en-US"/>
        </w:rPr>
      </w:pPr>
      <w:r w:rsidRPr="00FC673F">
        <w:rPr>
          <w:rFonts w:asciiTheme="minorHAnsi" w:hAnsiTheme="minorHAnsi" w:cstheme="minorHAnsi"/>
          <w:color w:val="auto"/>
          <w:lang w:val="en-US"/>
        </w:rPr>
        <w:t>1300 New York Avenue, NW, Washington, DC 20577, EE.UU.</w:t>
      </w:r>
    </w:p>
    <w:p w14:paraId="131C3CBA" w14:textId="77777777" w:rsidR="00AF5F9D" w:rsidRPr="00FC673F" w:rsidRDefault="00AF5F9D" w:rsidP="00AF5F9D">
      <w:pPr>
        <w:suppressAutoHyphens/>
        <w:rPr>
          <w:rFonts w:asciiTheme="minorHAnsi" w:hAnsiTheme="minorHAnsi" w:cstheme="minorHAnsi"/>
          <w:lang w:val="en-CA"/>
        </w:rPr>
      </w:pPr>
      <w:r w:rsidRPr="00FC673F">
        <w:rPr>
          <w:rFonts w:asciiTheme="minorHAnsi" w:hAnsiTheme="minorHAnsi" w:cstheme="minorHAnsi"/>
          <w:lang w:val="en-CA"/>
        </w:rPr>
        <w:t xml:space="preserve">Tel: +1 (202) 623-1000 </w:t>
      </w:r>
    </w:p>
    <w:p w14:paraId="3D525575" w14:textId="77777777" w:rsidR="00AF5F9D" w:rsidRPr="00FC673F" w:rsidRDefault="00AF5F9D" w:rsidP="00AF5F9D">
      <w:pPr>
        <w:suppressAutoHyphens/>
        <w:rPr>
          <w:rFonts w:asciiTheme="minorHAnsi" w:hAnsiTheme="minorHAnsi" w:cstheme="minorHAnsi"/>
          <w:lang w:val="en-CA"/>
        </w:rPr>
      </w:pPr>
      <w:r w:rsidRPr="00FC673F">
        <w:rPr>
          <w:rFonts w:asciiTheme="minorHAnsi" w:hAnsiTheme="minorHAnsi" w:cstheme="minorHAnsi"/>
          <w:lang w:val="en-CA"/>
        </w:rPr>
        <w:t>Fax: + 1 (202) 623-3096</w:t>
      </w:r>
    </w:p>
    <w:p w14:paraId="1AA53196" w14:textId="77777777" w:rsidR="00AF5F9D" w:rsidRPr="00FC673F" w:rsidRDefault="00AF5F9D" w:rsidP="00AF5F9D">
      <w:pPr>
        <w:suppressAutoHyphens/>
        <w:jc w:val="both"/>
        <w:rPr>
          <w:rFonts w:asciiTheme="minorHAnsi" w:hAnsiTheme="minorHAnsi" w:cstheme="minorHAnsi"/>
          <w:color w:val="0070C0"/>
          <w:lang w:val="en-CA"/>
        </w:rPr>
      </w:pPr>
      <w:r w:rsidRPr="00FC673F">
        <w:rPr>
          <w:rFonts w:asciiTheme="minorHAnsi" w:hAnsiTheme="minorHAnsi" w:cstheme="minorHAnsi"/>
          <w:lang w:val="en-CA"/>
        </w:rPr>
        <w:t xml:space="preserve">Email: </w:t>
      </w:r>
      <w:hyperlink r:id="rId16" w:history="1">
        <w:r w:rsidRPr="00FC673F">
          <w:rPr>
            <w:rStyle w:val="Hyperlink"/>
            <w:rFonts w:asciiTheme="minorHAnsi" w:hAnsiTheme="minorHAnsi" w:cstheme="minorHAnsi"/>
            <w:lang w:val="en-CA"/>
          </w:rPr>
          <w:t>fzegarra@iadb.org</w:t>
        </w:r>
      </w:hyperlink>
    </w:p>
    <w:p w14:paraId="4E6C174A" w14:textId="77777777" w:rsidR="00AF5F9D" w:rsidRPr="00FC673F" w:rsidRDefault="00AF5F9D" w:rsidP="00AF5F9D">
      <w:pPr>
        <w:jc w:val="both"/>
        <w:rPr>
          <w:rFonts w:asciiTheme="minorHAnsi" w:hAnsiTheme="minorHAnsi" w:cstheme="minorHAnsi"/>
          <w:color w:val="auto"/>
        </w:rPr>
      </w:pPr>
      <w:r w:rsidRPr="00FC673F">
        <w:rPr>
          <w:rFonts w:asciiTheme="minorHAnsi" w:hAnsiTheme="minorHAnsi" w:cstheme="minorHAnsi"/>
          <w:color w:val="auto"/>
        </w:rPr>
        <w:t xml:space="preserve">Sitio Web: </w:t>
      </w:r>
      <w:hyperlink r:id="rId17">
        <w:r w:rsidRPr="00FC673F">
          <w:rPr>
            <w:rStyle w:val="Hyperlink"/>
            <w:rFonts w:asciiTheme="minorHAnsi" w:hAnsiTheme="minorHAnsi" w:cstheme="minorHAnsi"/>
          </w:rPr>
          <w:t>www.iadb.org</w:t>
        </w:r>
      </w:hyperlink>
      <w:r w:rsidRPr="00FC673F">
        <w:rPr>
          <w:rFonts w:asciiTheme="minorHAnsi" w:hAnsiTheme="minorHAnsi" w:cstheme="minorHAnsi"/>
          <w:color w:val="auto"/>
        </w:rPr>
        <w:t xml:space="preserve"> </w:t>
      </w:r>
    </w:p>
    <w:sectPr w:rsidR="00AF5F9D" w:rsidRPr="00FC673F">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1EA3" w14:textId="77777777" w:rsidR="00E56ABD" w:rsidRDefault="00E56ABD">
      <w:r>
        <w:separator/>
      </w:r>
    </w:p>
  </w:endnote>
  <w:endnote w:type="continuationSeparator" w:id="0">
    <w:p w14:paraId="02746B22" w14:textId="77777777" w:rsidR="00E56ABD" w:rsidRDefault="00E5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4F78" w14:textId="77777777" w:rsidR="00E56ABD" w:rsidRDefault="00E56ABD">
      <w:r>
        <w:separator/>
      </w:r>
    </w:p>
  </w:footnote>
  <w:footnote w:type="continuationSeparator" w:id="0">
    <w:p w14:paraId="7F94EE8F" w14:textId="77777777" w:rsidR="00E56ABD" w:rsidRDefault="00E5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B01"/>
    <w:multiLevelType w:val="hybridMultilevel"/>
    <w:tmpl w:val="1C7049F8"/>
    <w:lvl w:ilvl="0" w:tplc="0DA25786">
      <w:start w:val="1"/>
      <w:numFmt w:val="decimal"/>
      <w:lvlText w:val="%1."/>
      <w:lvlJc w:val="left"/>
      <w:pPr>
        <w:ind w:left="720" w:hanging="360"/>
      </w:pPr>
      <w:rPr>
        <w:rFonts w:hint="default"/>
        <w:b/>
        <w:i w:val="0"/>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539"/>
    <w:multiLevelType w:val="hybridMultilevel"/>
    <w:tmpl w:val="8A64B7C6"/>
    <w:lvl w:ilvl="0" w:tplc="30C4387E">
      <w:start w:val="1"/>
      <w:numFmt w:val="bullet"/>
      <w:lvlText w:val=""/>
      <w:lvlJc w:val="left"/>
      <w:pPr>
        <w:ind w:left="720" w:hanging="360"/>
      </w:pPr>
      <w:rPr>
        <w:rFonts w:ascii="Symbol" w:eastAsiaTheme="minorEastAsia"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65F78"/>
    <w:multiLevelType w:val="multilevel"/>
    <w:tmpl w:val="4C32980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1588310">
    <w:abstractNumId w:val="2"/>
  </w:num>
  <w:num w:numId="2" w16cid:durableId="300812042">
    <w:abstractNumId w:val="1"/>
  </w:num>
  <w:num w:numId="3" w16cid:durableId="206451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64AD6"/>
    <w:rsid w:val="000C118D"/>
    <w:rsid w:val="00195118"/>
    <w:rsid w:val="001C1EA2"/>
    <w:rsid w:val="001F2366"/>
    <w:rsid w:val="00201995"/>
    <w:rsid w:val="002044D9"/>
    <w:rsid w:val="00214F77"/>
    <w:rsid w:val="00342642"/>
    <w:rsid w:val="00360ACB"/>
    <w:rsid w:val="00362533"/>
    <w:rsid w:val="003800C7"/>
    <w:rsid w:val="003E2C20"/>
    <w:rsid w:val="003F5CA1"/>
    <w:rsid w:val="004003E8"/>
    <w:rsid w:val="00423E38"/>
    <w:rsid w:val="00463054"/>
    <w:rsid w:val="004A3654"/>
    <w:rsid w:val="004C0B86"/>
    <w:rsid w:val="004D51F3"/>
    <w:rsid w:val="0051231A"/>
    <w:rsid w:val="0052634A"/>
    <w:rsid w:val="00544F2D"/>
    <w:rsid w:val="00546C8D"/>
    <w:rsid w:val="00556C08"/>
    <w:rsid w:val="005673D5"/>
    <w:rsid w:val="0056772C"/>
    <w:rsid w:val="005B434A"/>
    <w:rsid w:val="006071D7"/>
    <w:rsid w:val="00637714"/>
    <w:rsid w:val="006571F5"/>
    <w:rsid w:val="006C3B20"/>
    <w:rsid w:val="007001EE"/>
    <w:rsid w:val="0078460F"/>
    <w:rsid w:val="007C3021"/>
    <w:rsid w:val="008171F3"/>
    <w:rsid w:val="008577C4"/>
    <w:rsid w:val="00891E3C"/>
    <w:rsid w:val="00897ECF"/>
    <w:rsid w:val="008C7908"/>
    <w:rsid w:val="00901303"/>
    <w:rsid w:val="0090355D"/>
    <w:rsid w:val="0090501E"/>
    <w:rsid w:val="00913640"/>
    <w:rsid w:val="00A15B62"/>
    <w:rsid w:val="00A37CA7"/>
    <w:rsid w:val="00A438EB"/>
    <w:rsid w:val="00A838F0"/>
    <w:rsid w:val="00A83D94"/>
    <w:rsid w:val="00AB1E07"/>
    <w:rsid w:val="00AD6E3D"/>
    <w:rsid w:val="00AE7268"/>
    <w:rsid w:val="00AF5F9D"/>
    <w:rsid w:val="00B17BF0"/>
    <w:rsid w:val="00B24F99"/>
    <w:rsid w:val="00B27293"/>
    <w:rsid w:val="00B747D9"/>
    <w:rsid w:val="00BC02E9"/>
    <w:rsid w:val="00BD3CE8"/>
    <w:rsid w:val="00BF0B50"/>
    <w:rsid w:val="00BF5CD3"/>
    <w:rsid w:val="00C27587"/>
    <w:rsid w:val="00C42B39"/>
    <w:rsid w:val="00C439C0"/>
    <w:rsid w:val="00C90263"/>
    <w:rsid w:val="00C94EA8"/>
    <w:rsid w:val="00CA1817"/>
    <w:rsid w:val="00CA7C9E"/>
    <w:rsid w:val="00CD2A27"/>
    <w:rsid w:val="00CD36BB"/>
    <w:rsid w:val="00CD4904"/>
    <w:rsid w:val="00CE0491"/>
    <w:rsid w:val="00D02572"/>
    <w:rsid w:val="00D761FB"/>
    <w:rsid w:val="00DE327F"/>
    <w:rsid w:val="00E277C5"/>
    <w:rsid w:val="00E56ABD"/>
    <w:rsid w:val="00E82ED1"/>
    <w:rsid w:val="00E90C6D"/>
    <w:rsid w:val="00ED4D33"/>
    <w:rsid w:val="00EE44F3"/>
    <w:rsid w:val="00F45D9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BD3CE8"/>
    <w:rPr>
      <w:color w:val="605E5C"/>
      <w:shd w:val="clear" w:color="auto" w:fill="E1DFDD"/>
    </w:rPr>
  </w:style>
  <w:style w:type="paragraph" w:styleId="ListParagraph">
    <w:name w:val="List Paragraph"/>
    <w:basedOn w:val="Normal"/>
    <w:link w:val="ListParagraphChar"/>
    <w:uiPriority w:val="34"/>
    <w:qFormat/>
    <w:rsid w:val="00BD3CE8"/>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BD3CE8"/>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587158416">
      <w:bodyDiv w:val="1"/>
      <w:marLeft w:val="0"/>
      <w:marRight w:val="0"/>
      <w:marTop w:val="0"/>
      <w:marBottom w:val="0"/>
      <w:divBdr>
        <w:top w:val="none" w:sz="0" w:space="0" w:color="auto"/>
        <w:left w:val="none" w:sz="0" w:space="0" w:color="auto"/>
        <w:bottom w:val="none" w:sz="0" w:space="0" w:color="auto"/>
        <w:right w:val="none" w:sz="0" w:space="0" w:color="auto"/>
      </w:divBdr>
    </w:div>
    <w:div w:id="18056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adb.org/en/project/RG-T3546" TargetMode="External"/><Relationship Id="rId18" Type="http://schemas.openxmlformats.org/officeDocument/2006/relationships/header" Target="header1.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zegarra@iad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eo-procurement.iadb.org/ho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A59C4C3D6D20D540978E4120BC70AD53" ma:contentTypeVersion="8202" ma:contentTypeDescription="The base project type from which other project content types inherit their information." ma:contentTypeScope="" ma:versionID="143776c0bbe6149def2748369db9bcc5">
  <xsd:schema xmlns:xsd="http://www.w3.org/2001/XMLSchema" xmlns:xs="http://www.w3.org/2001/XMLSchema" xmlns:p="http://schemas.microsoft.com/office/2006/metadata/properties" xmlns:ns2="cdc7663a-08f0-4737-9e8c-148ce897a09c" targetNamespace="http://schemas.microsoft.com/office/2006/metadata/properties" ma:root="true" ma:fieldsID="7168214f73ecfaf06b83462692d57c0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546"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SCL/GDI</Division_x0020_or_x0020_Unit>
    <From_x003a_ xmlns="cdc7663a-08f0-4737-9e8c-148ce897a09c" xsi:nil="true"/>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Zapata Penalosa,Maria Pia</Document_x0020_Author>
    <Document_x0020_Language_x0020_IDB xmlns="cdc7663a-08f0-4737-9e8c-148ce897a09c">Spanish</Document_x0020_Language_x0020_IDB>
    <TaxCatchAll xmlns="cdc7663a-08f0-4737-9e8c-148ce897a09c">
      <Value>6</Value>
      <Value>44</Value>
      <Value>107</Value>
      <Value>63</Value>
    </TaxCatchAll>
    <To_x003a_ xmlns="cdc7663a-08f0-4737-9e8c-148ce897a09c" xsi:nil="true"/>
    <Identifier xmlns="cdc7663a-08f0-4737-9e8c-148ce897a09c" xsi:nil="true"/>
    <_dlc_DocId xmlns="cdc7663a-08f0-4737-9e8c-148ce897a09c">EZIDB0000474-695126652-59</_dlc_DocId>
    <_dlc_DocIdUrl xmlns="cdc7663a-08f0-4737-9e8c-148ce897a09c">
      <Url>https://idbg.sharepoint.com/teams/EZ-RG-TCP/RG-T3546/_layouts/15/DocIdRedir.aspx?ID=EZIDB0000474-695126652-59</Url>
      <Description>EZIDB0000474-695126652-59</Description>
    </_dlc_DocIdUrl>
    <Related_x0020_SisCor_x0020_Number xmlns="cdc7663a-08f0-4737-9e8c-148ce897a09c" xsi:nil="true"/>
    <Record_x0020_Number xmlns="cdc7663a-08f0-4737-9e8c-148ce897a09c" xsi:nil="true"/>
    <Extracted_x0020_Keywords xmlns="cdc7663a-08f0-4737-9e8c-148ce897a09c" xsi:nil="true"/>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REGIONAL AND CROSS-BORDER COOPERATION</TermName>
          <TermId xmlns="http://schemas.microsoft.com/office/infopath/2007/PartnerControls">7208f771-2fab-49b8-ac23-627e139a1e28</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ransaction_x0020_Type xmlns="cdc7663a-08f0-4737-9e8c-148ce897a09c" xsi:nil="true"/>
    <Operation_x0020_Type xmlns="cdc7663a-08f0-4737-9e8c-148ce897a09c">Technical Cooperation</Operation_x0020_Type>
    <Package_x0020_Code xmlns="cdc7663a-08f0-4737-9e8c-148ce897a09c" xsi:nil="true"/>
    <Project_x0020_Number xmlns="cdc7663a-08f0-4737-9e8c-148ce897a09c">RG-T3546</Project_x0020_Number>
    <nddeef1749674d76abdbe4b239a70bc6 xmlns="cdc7663a-08f0-4737-9e8c-148ce897a09c">
      <Terms xmlns="http://schemas.microsoft.com/office/infopath/2007/PartnerControls"/>
    </nddeef1749674d76abdbe4b239a70bc6>
    <Transaction_x0020_Number xmlns="cdc7663a-08f0-4737-9e8c-148ce897a09c" xsi:nil="true"/>
    <Approval_x0020_date xmlns="cdc7663a-08f0-4737-9e8c-148ce897a09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DCFDDE77-D116-4A2E-B533-722F4A1EBB7C}"/>
</file>

<file path=customXml/itemProps2.xml><?xml version="1.0" encoding="utf-8"?>
<ds:datastoreItem xmlns:ds="http://schemas.openxmlformats.org/officeDocument/2006/customXml" ds:itemID="{713AB4C7-1744-4098-9882-0E9A2D87953C}"/>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E10B0995-6F84-4055-935C-B3F3AE2A515A}"/>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5969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Pia Zapata Penaloza</cp:lastModifiedBy>
  <cp:revision>9</cp:revision>
  <cp:lastPrinted>2015-01-20T22:56:00Z</cp:lastPrinted>
  <dcterms:created xsi:type="dcterms:W3CDTF">2023-03-29T16:44:00Z</dcterms:created>
  <dcterms:modified xsi:type="dcterms:W3CDTF">2023-04-12T17:49:00Z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0x010100ACF722E9F6B0B149B0CD8BE2560A667200A59C4C3D6D20D540978E4120BC70AD53</vt:lpwstr>
  </property>
  <property fmtid="{D5CDD505-2E9C-101B-9397-08002B2CF9AE}" pid="3" name="TaxKeyword">
    <vt:lpwstr/>
  </property>
  <property fmtid="{D5CDD505-2E9C-101B-9397-08002B2CF9AE}" pid="4" name="Series Corporate IDB">
    <vt:lpwstr>1301;#GOV-07.1 Policies and Procedures - Working Documents|adcd5c59-1403-4739-bab1-9a1dec4ffb30</vt:lpwstr>
  </property>
  <property fmtid="{D5CDD505-2E9C-101B-9397-08002B2CF9AE}" pid="5" name="Function Corporate IDB">
    <vt:lpwstr>91;#4 Governance|d48f69c4-9785-416c-9a0f-b99285e2bde9</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e2fc87b7-5747-41ad-9a81-beb344b5aba9</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Sub-Sector">
    <vt:lpwstr>63;#REGIONAL AND CROSS-BORDER COOPERATION|7208f771-2fab-49b8-ac23-627e139a1e28</vt:lpwstr>
  </property>
  <property fmtid="{D5CDD505-2E9C-101B-9397-08002B2CF9AE}" pid="13" name="Series Operations IDB">
    <vt:lpwstr/>
  </property>
  <property fmtid="{D5CDD505-2E9C-101B-9397-08002B2CF9AE}" pid="14" name="Fund IDB">
    <vt:lpwstr>107;#TBD|d62f6e05-3e80-4abd-9bb4-5f10b4906ff6</vt:lpwstr>
  </property>
  <property fmtid="{D5CDD505-2E9C-101B-9397-08002B2CF9AE}" pid="15" name="Sector IDB">
    <vt:lpwstr/>
  </property>
  <property fmtid="{D5CDD505-2E9C-101B-9397-08002B2CF9AE}" pid="16" name="Function Operations IDB">
    <vt:lpwstr>6;#Goods and Services|5bfebf1b-9f1f-4411-b1dd-4c19b807b799</vt:lpwstr>
  </property>
  <property fmtid="{D5CDD505-2E9C-101B-9397-08002B2CF9AE}" pid="17" name="Disclosure Activity">
    <vt:lpwstr>Expression of Interest (SG)</vt:lpwstr>
  </property>
  <property fmtid="{D5CDD505-2E9C-101B-9397-08002B2CF9AE}" pid="18" name="Webtopic">
    <vt:lpwstr/>
  </property>
</Properties>
</file>