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harts/chart8.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5.xml" ContentType="application/vnd.openxmlformats-officedocument.drawingml.chart+xml"/>
  <Override PartName="/word/charts/chart2.xml" ContentType="application/vnd.openxmlformats-officedocument.drawingml.chart+xml"/>
  <Override PartName="/word/charts/chart4.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C6BA7" w14:textId="20960375" w:rsidR="004824B4" w:rsidRPr="007560A0" w:rsidRDefault="004824B4" w:rsidP="007560A0">
      <w:pPr>
        <w:pStyle w:val="Title"/>
        <w:jc w:val="center"/>
        <w:rPr>
          <w:rFonts w:ascii="Arial" w:hAnsi="Arial" w:cs="Arial"/>
          <w:lang w:val="en-US"/>
        </w:rPr>
      </w:pPr>
      <w:r w:rsidRPr="007560A0">
        <w:rPr>
          <w:rFonts w:ascii="Arial" w:hAnsi="Arial" w:cs="Arial"/>
          <w:lang w:val="en-US"/>
        </w:rPr>
        <w:t>Report 2</w:t>
      </w:r>
      <w:r w:rsidR="00D50A4C" w:rsidRPr="007560A0">
        <w:rPr>
          <w:rFonts w:ascii="Arial" w:hAnsi="Arial" w:cs="Arial"/>
          <w:lang w:val="en-US"/>
        </w:rPr>
        <w:t xml:space="preserve">: Development </w:t>
      </w:r>
      <w:r w:rsidR="006510AC" w:rsidRPr="007560A0">
        <w:rPr>
          <w:rFonts w:ascii="Arial" w:hAnsi="Arial" w:cs="Arial"/>
          <w:lang w:val="en-US"/>
        </w:rPr>
        <w:t>Financing</w:t>
      </w:r>
    </w:p>
    <w:p w14:paraId="70E03355" w14:textId="77777777" w:rsidR="009A0EB6" w:rsidRPr="006510AC" w:rsidRDefault="009A0EB6" w:rsidP="009A0EB6">
      <w:pPr>
        <w:pStyle w:val="p-01"/>
        <w:jc w:val="right"/>
        <w:rPr>
          <w:lang w:val="en-US"/>
        </w:rPr>
      </w:pPr>
      <w:r w:rsidRPr="006510AC">
        <w:rPr>
          <w:lang w:val="en-US"/>
        </w:rPr>
        <w:t>Fernanda De Negri</w:t>
      </w:r>
      <w:r w:rsidRPr="006510AC">
        <w:rPr>
          <w:rStyle w:val="FootnoteReference"/>
          <w:lang w:val="en-US"/>
        </w:rPr>
        <w:footnoteReference w:customMarkFollows="1" w:id="1"/>
        <w:t>*</w:t>
      </w:r>
      <w:r w:rsidRPr="006510AC">
        <w:rPr>
          <w:lang w:val="en-US"/>
        </w:rPr>
        <w:br/>
        <w:t>Luiz Ricardo Cavalcante</w:t>
      </w:r>
      <w:r w:rsidRPr="006510AC">
        <w:rPr>
          <w:rStyle w:val="FootnoteReference"/>
          <w:lang w:val="en-US"/>
        </w:rPr>
        <w:footnoteReference w:customMarkFollows="1" w:id="2"/>
        <w:t>**</w:t>
      </w:r>
    </w:p>
    <w:p w14:paraId="77EAB338" w14:textId="77777777" w:rsidR="004824B4" w:rsidRPr="007560A0" w:rsidRDefault="004824B4" w:rsidP="005678D9">
      <w:pPr>
        <w:pStyle w:val="Heading1"/>
        <w:rPr>
          <w:rFonts w:ascii="Arial" w:hAnsi="Arial" w:cs="Arial"/>
          <w:lang w:val="en-US"/>
        </w:rPr>
      </w:pPr>
      <w:r w:rsidRPr="007560A0">
        <w:rPr>
          <w:rFonts w:ascii="Arial" w:hAnsi="Arial" w:cs="Arial"/>
          <w:lang w:val="en-US"/>
        </w:rPr>
        <w:t xml:space="preserve">Introduction </w:t>
      </w:r>
    </w:p>
    <w:p w14:paraId="01EA5093" w14:textId="78383D85" w:rsidR="00933F68" w:rsidRPr="007560A0" w:rsidRDefault="00933F68" w:rsidP="005678D9">
      <w:pPr>
        <w:pStyle w:val="p-01"/>
        <w:rPr>
          <w:rFonts w:ascii="Arial" w:hAnsi="Arial" w:cs="Arial"/>
          <w:color w:val="000000" w:themeColor="text1"/>
          <w:lang w:val="en-US"/>
        </w:rPr>
      </w:pPr>
      <w:r w:rsidRPr="007560A0">
        <w:rPr>
          <w:rFonts w:ascii="Arial" w:hAnsi="Arial" w:cs="Arial"/>
          <w:lang w:val="en-US"/>
        </w:rPr>
        <w:t>The reduced levels of labor productivity in the Brazilian economy are strongly associated with its lo</w:t>
      </w:r>
      <w:r w:rsidR="00FB0CC5" w:rsidRPr="007560A0">
        <w:rPr>
          <w:rFonts w:ascii="Arial" w:hAnsi="Arial" w:cs="Arial"/>
          <w:lang w:val="en-US"/>
        </w:rPr>
        <w:t>w capital/labor ratio</w:t>
      </w:r>
      <w:r w:rsidR="00FC39D5" w:rsidRPr="007560A0">
        <w:rPr>
          <w:rFonts w:ascii="Arial" w:hAnsi="Arial" w:cs="Arial"/>
          <w:lang w:val="en-US"/>
        </w:rPr>
        <w:t xml:space="preserve">. This indicator, </w:t>
      </w:r>
      <w:r w:rsidR="00FB0CC5" w:rsidRPr="007560A0">
        <w:rPr>
          <w:rFonts w:ascii="Arial" w:hAnsi="Arial" w:cs="Arial"/>
          <w:lang w:val="en-US"/>
        </w:rPr>
        <w:t>in turn, is the result of low rates of investment.</w:t>
      </w:r>
      <w:r w:rsidR="0080305B" w:rsidRPr="007560A0">
        <w:rPr>
          <w:rFonts w:ascii="Arial" w:hAnsi="Arial" w:cs="Arial"/>
          <w:lang w:val="en-US"/>
        </w:rPr>
        <w:t xml:space="preserve"> In fact, in recent decades, these rates have remained at levels consistently </w:t>
      </w:r>
      <w:r w:rsidR="00FB0CC5" w:rsidRPr="007560A0">
        <w:rPr>
          <w:rFonts w:ascii="Arial" w:hAnsi="Arial" w:cs="Arial"/>
          <w:lang w:val="en-US"/>
        </w:rPr>
        <w:t xml:space="preserve">lower than 20% of the gross domestic product (GDP). Thus, increasing </w:t>
      </w:r>
      <w:r w:rsidR="00695BE1" w:rsidRPr="007560A0">
        <w:rPr>
          <w:rFonts w:ascii="Arial" w:hAnsi="Arial" w:cs="Arial"/>
          <w:lang w:val="en-US"/>
        </w:rPr>
        <w:t xml:space="preserve">the rate of investment is a </w:t>
      </w:r>
      <w:r w:rsidR="00695BE1" w:rsidRPr="007560A0">
        <w:rPr>
          <w:rFonts w:ascii="Arial" w:hAnsi="Arial" w:cs="Arial"/>
          <w:i/>
          <w:lang w:val="en-US"/>
        </w:rPr>
        <w:t xml:space="preserve">sine qua non </w:t>
      </w:r>
      <w:r w:rsidR="00695BE1" w:rsidRPr="007560A0">
        <w:rPr>
          <w:rFonts w:ascii="Arial" w:hAnsi="Arial" w:cs="Arial"/>
          <w:lang w:val="en-US"/>
        </w:rPr>
        <w:t>condition to restore the country’s productivity gains and econom</w:t>
      </w:r>
      <w:r w:rsidRPr="007560A0">
        <w:rPr>
          <w:rFonts w:ascii="Arial" w:hAnsi="Arial" w:cs="Arial"/>
          <w:lang w:val="en-US"/>
        </w:rPr>
        <w:t>ic growth.</w:t>
      </w:r>
      <w:r w:rsidR="006510AC" w:rsidRPr="007560A0">
        <w:rPr>
          <w:rFonts w:ascii="Arial" w:hAnsi="Arial" w:cs="Arial"/>
          <w:lang w:val="en-US"/>
        </w:rPr>
        <w:t xml:space="preserve"> </w:t>
      </w:r>
      <w:r w:rsidR="00FC39D5" w:rsidRPr="007560A0">
        <w:rPr>
          <w:rFonts w:ascii="Arial" w:hAnsi="Arial" w:cs="Arial"/>
          <w:lang w:val="en-US"/>
        </w:rPr>
        <w:t>However, the</w:t>
      </w:r>
      <w:r w:rsidR="006510AC" w:rsidRPr="007560A0">
        <w:rPr>
          <w:rFonts w:ascii="Arial" w:hAnsi="Arial" w:cs="Arial"/>
          <w:lang w:val="en-US"/>
        </w:rPr>
        <w:t xml:space="preserve"> </w:t>
      </w:r>
      <w:r w:rsidR="00BA78CB" w:rsidRPr="007560A0">
        <w:rPr>
          <w:rFonts w:ascii="Arial" w:hAnsi="Arial" w:cs="Arial"/>
          <w:lang w:val="en-US"/>
        </w:rPr>
        <w:t xml:space="preserve">rate of investment is </w:t>
      </w:r>
      <w:r w:rsidR="00FC39D5" w:rsidRPr="007560A0">
        <w:rPr>
          <w:rFonts w:ascii="Arial" w:hAnsi="Arial" w:cs="Arial"/>
          <w:lang w:val="en-US"/>
        </w:rPr>
        <w:t>limited</w:t>
      </w:r>
      <w:r w:rsidR="006510AC" w:rsidRPr="007560A0">
        <w:rPr>
          <w:rFonts w:ascii="Arial" w:hAnsi="Arial" w:cs="Arial"/>
          <w:lang w:val="en-US"/>
        </w:rPr>
        <w:t xml:space="preserve"> </w:t>
      </w:r>
      <w:r w:rsidR="005D00A4" w:rsidRPr="007560A0">
        <w:rPr>
          <w:rFonts w:ascii="Arial" w:hAnsi="Arial" w:cs="Arial"/>
          <w:lang w:val="en-US"/>
        </w:rPr>
        <w:t xml:space="preserve">by, among other things, </w:t>
      </w:r>
      <w:r w:rsidR="00FC39D5" w:rsidRPr="007560A0">
        <w:rPr>
          <w:rFonts w:ascii="Arial" w:hAnsi="Arial" w:cs="Arial"/>
          <w:lang w:val="en-US"/>
        </w:rPr>
        <w:t xml:space="preserve">the financing </w:t>
      </w:r>
      <w:r w:rsidR="00BA78CB" w:rsidRPr="007560A0">
        <w:rPr>
          <w:rFonts w:ascii="Arial" w:hAnsi="Arial" w:cs="Arial"/>
          <w:lang w:val="en-US"/>
        </w:rPr>
        <w:t>conditions that characterize the Brazilian economy. Not only does the country have partic</w:t>
      </w:r>
      <w:r w:rsidR="006510AC" w:rsidRPr="007560A0">
        <w:rPr>
          <w:rFonts w:ascii="Arial" w:hAnsi="Arial" w:cs="Arial"/>
          <w:lang w:val="en-US"/>
        </w:rPr>
        <w:t>ularly high real interest rates</w:t>
      </w:r>
      <w:r w:rsidR="00BA78CB" w:rsidRPr="007560A0">
        <w:rPr>
          <w:rFonts w:ascii="Arial" w:hAnsi="Arial" w:cs="Arial"/>
          <w:color w:val="000000" w:themeColor="text1"/>
          <w:lang w:val="en-US"/>
        </w:rPr>
        <w:t xml:space="preserve">, but it has capital and credit markets that are relatively low </w:t>
      </w:r>
      <w:r w:rsidR="005D00A4" w:rsidRPr="007560A0">
        <w:rPr>
          <w:rFonts w:ascii="Arial" w:hAnsi="Arial" w:cs="Arial"/>
          <w:color w:val="000000" w:themeColor="text1"/>
          <w:lang w:val="en-US"/>
        </w:rPr>
        <w:t>in relation</w:t>
      </w:r>
      <w:r w:rsidR="00BA78CB" w:rsidRPr="007560A0">
        <w:rPr>
          <w:rFonts w:ascii="Arial" w:hAnsi="Arial" w:cs="Arial"/>
          <w:color w:val="000000" w:themeColor="text1"/>
          <w:lang w:val="en-US"/>
        </w:rPr>
        <w:t xml:space="preserve"> </w:t>
      </w:r>
      <w:r w:rsidR="005D00A4" w:rsidRPr="007560A0">
        <w:rPr>
          <w:rFonts w:ascii="Arial" w:hAnsi="Arial" w:cs="Arial"/>
          <w:color w:val="000000" w:themeColor="text1"/>
          <w:lang w:val="en-US"/>
        </w:rPr>
        <w:t xml:space="preserve">to the </w:t>
      </w:r>
      <w:r w:rsidR="00BA78CB" w:rsidRPr="007560A0">
        <w:rPr>
          <w:rFonts w:ascii="Arial" w:hAnsi="Arial" w:cs="Arial"/>
          <w:color w:val="000000" w:themeColor="text1"/>
          <w:lang w:val="en-US"/>
        </w:rPr>
        <w:t xml:space="preserve">GDP. </w:t>
      </w:r>
      <w:r w:rsidR="008A0A3F" w:rsidRPr="007560A0">
        <w:rPr>
          <w:rFonts w:ascii="Arial" w:hAnsi="Arial" w:cs="Arial"/>
          <w:color w:val="000000" w:themeColor="text1"/>
          <w:lang w:val="en-US"/>
        </w:rPr>
        <w:t xml:space="preserve">Thus, </w:t>
      </w:r>
      <w:r w:rsidR="00452C40" w:rsidRPr="007560A0">
        <w:rPr>
          <w:rFonts w:ascii="Arial" w:hAnsi="Arial" w:cs="Arial"/>
          <w:color w:val="000000" w:themeColor="text1"/>
          <w:lang w:val="en-US"/>
        </w:rPr>
        <w:t>the</w:t>
      </w:r>
      <w:r w:rsidR="00150F74" w:rsidRPr="007560A0">
        <w:rPr>
          <w:rFonts w:ascii="Arial" w:hAnsi="Arial" w:cs="Arial"/>
          <w:color w:val="000000" w:themeColor="text1"/>
          <w:lang w:val="en-US"/>
        </w:rPr>
        <w:t xml:space="preserve"> shortage of long-term financing </w:t>
      </w:r>
      <w:r w:rsidR="00BA78CB" w:rsidRPr="007560A0">
        <w:rPr>
          <w:rFonts w:ascii="Arial" w:hAnsi="Arial" w:cs="Arial"/>
          <w:color w:val="000000" w:themeColor="text1"/>
          <w:lang w:val="en-US"/>
        </w:rPr>
        <w:t>may</w:t>
      </w:r>
      <w:r w:rsidR="00150F74" w:rsidRPr="007560A0">
        <w:rPr>
          <w:rFonts w:ascii="Arial" w:hAnsi="Arial" w:cs="Arial"/>
          <w:color w:val="000000" w:themeColor="text1"/>
          <w:lang w:val="en-US"/>
        </w:rPr>
        <w:t xml:space="preserve"> be indicated as one of the chronic </w:t>
      </w:r>
      <w:r w:rsidR="00695BE1" w:rsidRPr="007560A0">
        <w:rPr>
          <w:rFonts w:ascii="Arial" w:hAnsi="Arial" w:cs="Arial"/>
          <w:color w:val="000000" w:themeColor="text1"/>
          <w:lang w:val="en-US"/>
        </w:rPr>
        <w:t>bottlenecks</w:t>
      </w:r>
      <w:r w:rsidR="00150F74" w:rsidRPr="007560A0">
        <w:rPr>
          <w:rFonts w:ascii="Arial" w:hAnsi="Arial" w:cs="Arial"/>
          <w:color w:val="000000" w:themeColor="text1"/>
          <w:lang w:val="en-US"/>
        </w:rPr>
        <w:t xml:space="preserve"> for Brazilian economic development</w:t>
      </w:r>
      <w:r w:rsidR="00BA78CB" w:rsidRPr="007560A0">
        <w:rPr>
          <w:rFonts w:ascii="Arial" w:hAnsi="Arial" w:cs="Arial"/>
          <w:color w:val="000000" w:themeColor="text1"/>
          <w:lang w:val="en-US"/>
        </w:rPr>
        <w:t>.</w:t>
      </w:r>
      <w:r w:rsidR="00FC39D5" w:rsidRPr="007560A0">
        <w:rPr>
          <w:rStyle w:val="FootnoteReference"/>
          <w:rFonts w:ascii="Arial" w:hAnsi="Arial" w:cs="Arial"/>
          <w:color w:val="000000" w:themeColor="text1"/>
          <w:lang w:val="en-US"/>
        </w:rPr>
        <w:footnoteReference w:id="3"/>
      </w:r>
      <w:r w:rsidR="00E212E9" w:rsidRPr="007560A0">
        <w:rPr>
          <w:rFonts w:ascii="Arial" w:hAnsi="Arial" w:cs="Arial"/>
          <w:color w:val="000000" w:themeColor="text1"/>
          <w:lang w:val="en-US"/>
        </w:rPr>
        <w:t xml:space="preserve"> </w:t>
      </w:r>
      <w:r w:rsidR="00FE0B1C" w:rsidRPr="007560A0">
        <w:rPr>
          <w:rFonts w:ascii="Arial" w:hAnsi="Arial" w:cs="Arial"/>
          <w:color w:val="000000" w:themeColor="text1"/>
          <w:lang w:val="en-US"/>
        </w:rPr>
        <w:t xml:space="preserve">In acute crisis conditions, such as what the Brazilian economy is currently experiencing, where investor confidence is shaken by high levels of uncertainty regarding the country’s future growth potential, the financing shortage tends to </w:t>
      </w:r>
      <w:r w:rsidR="009A0EB6" w:rsidRPr="007560A0">
        <w:rPr>
          <w:rFonts w:ascii="Arial" w:hAnsi="Arial" w:cs="Arial"/>
          <w:color w:val="000000" w:themeColor="text1"/>
          <w:lang w:val="en-US"/>
        </w:rPr>
        <w:t>worsen</w:t>
      </w:r>
      <w:r w:rsidR="008A0A3F" w:rsidRPr="007560A0">
        <w:rPr>
          <w:rFonts w:ascii="Arial" w:hAnsi="Arial" w:cs="Arial"/>
          <w:color w:val="000000" w:themeColor="text1"/>
          <w:lang w:val="en-US"/>
        </w:rPr>
        <w:t xml:space="preserve">. </w:t>
      </w:r>
      <w:r w:rsidR="009A0EB6" w:rsidRPr="007560A0">
        <w:rPr>
          <w:rFonts w:ascii="Arial" w:hAnsi="Arial" w:cs="Arial"/>
          <w:color w:val="000000" w:themeColor="text1"/>
          <w:lang w:val="en-US"/>
        </w:rPr>
        <w:t>In cases such as this, the actions of the public sector, through national development banks, can contribute to mitigating this problem.</w:t>
      </w:r>
    </w:p>
    <w:p w14:paraId="1521DA2B" w14:textId="5908DD17" w:rsidR="00BA78CB" w:rsidRPr="007560A0" w:rsidRDefault="00BA78CB" w:rsidP="005678D9">
      <w:pPr>
        <w:pStyle w:val="p-01"/>
        <w:rPr>
          <w:rFonts w:ascii="Arial" w:hAnsi="Arial" w:cs="Arial"/>
          <w:color w:val="000000" w:themeColor="text1"/>
          <w:lang w:val="en-US"/>
        </w:rPr>
      </w:pPr>
      <w:r w:rsidRPr="007560A0">
        <w:rPr>
          <w:rFonts w:ascii="Arial" w:hAnsi="Arial" w:cs="Arial"/>
          <w:color w:val="000000" w:themeColor="text1"/>
          <w:lang w:val="en-US"/>
        </w:rPr>
        <w:t xml:space="preserve">The need to provide long-term financing for investments led to the creation, in the 1950s, of the National Economic and Social Development Bank (BNDES). Essentially, it is a public bank that, using compulsory savings and the national treasury, provides financing under the most favorable conditions for investments in the country. </w:t>
      </w:r>
      <w:r w:rsidR="00FC39D5" w:rsidRPr="007560A0">
        <w:rPr>
          <w:rFonts w:ascii="Arial" w:hAnsi="Arial" w:cs="Arial"/>
          <w:color w:val="000000" w:themeColor="text1"/>
          <w:lang w:val="en-US"/>
        </w:rPr>
        <w:t xml:space="preserve">Since funding costs for the Brazilian government (expressed in the basic interest rate set by the National Monetary Council) are higher than the interest rates imposed by BNDES, the bank’s financing operations </w:t>
      </w:r>
      <w:r w:rsidR="00FE0B1C" w:rsidRPr="007560A0">
        <w:rPr>
          <w:rFonts w:ascii="Arial" w:hAnsi="Arial" w:cs="Arial"/>
          <w:color w:val="000000" w:themeColor="text1"/>
          <w:lang w:val="en-US"/>
        </w:rPr>
        <w:t>embody</w:t>
      </w:r>
      <w:r w:rsidR="00FC39D5" w:rsidRPr="007560A0">
        <w:rPr>
          <w:rFonts w:ascii="Arial" w:hAnsi="Arial" w:cs="Arial"/>
          <w:color w:val="000000" w:themeColor="text1"/>
          <w:lang w:val="en-US"/>
        </w:rPr>
        <w:t xml:space="preserve"> some type of subsidy. In this sense, BNDES actions are, ultimately,</w:t>
      </w:r>
      <w:r w:rsidR="00F72B25" w:rsidRPr="007560A0">
        <w:rPr>
          <w:rFonts w:ascii="Arial" w:hAnsi="Arial" w:cs="Arial"/>
          <w:color w:val="000000" w:themeColor="text1"/>
          <w:lang w:val="en-US"/>
        </w:rPr>
        <w:t xml:space="preserve"> </w:t>
      </w:r>
      <w:r w:rsidR="00FE0B1C" w:rsidRPr="007560A0">
        <w:rPr>
          <w:rFonts w:ascii="Arial" w:hAnsi="Arial" w:cs="Arial"/>
          <w:color w:val="000000" w:themeColor="text1"/>
          <w:lang w:val="en-US"/>
        </w:rPr>
        <w:t>limited</w:t>
      </w:r>
      <w:r w:rsidR="00FC39D5" w:rsidRPr="007560A0">
        <w:rPr>
          <w:rFonts w:ascii="Arial" w:hAnsi="Arial" w:cs="Arial"/>
          <w:color w:val="000000" w:themeColor="text1"/>
          <w:lang w:val="en-US"/>
        </w:rPr>
        <w:t xml:space="preserve"> by the fiscal conditions of the Brazilian government. In a context marked </w:t>
      </w:r>
      <w:r w:rsidR="00316FA5" w:rsidRPr="007560A0">
        <w:rPr>
          <w:rFonts w:ascii="Arial" w:hAnsi="Arial" w:cs="Arial"/>
          <w:color w:val="000000" w:themeColor="text1"/>
          <w:lang w:val="en-US"/>
        </w:rPr>
        <w:t xml:space="preserve">by such restrictions, the bank’s actions must be calibrated toward investments actually capable of contributing to increasing productivity levels and generating positive external effects for </w:t>
      </w:r>
      <w:r w:rsidR="00FE0B1C" w:rsidRPr="007560A0">
        <w:rPr>
          <w:rFonts w:ascii="Arial" w:hAnsi="Arial" w:cs="Arial"/>
          <w:color w:val="000000" w:themeColor="text1"/>
          <w:lang w:val="en-US"/>
        </w:rPr>
        <w:t>the Brazilian economy. Additionally,</w:t>
      </w:r>
      <w:r w:rsidR="0064271A" w:rsidRPr="007560A0">
        <w:rPr>
          <w:rFonts w:ascii="Arial" w:hAnsi="Arial" w:cs="Arial"/>
          <w:color w:val="000000" w:themeColor="text1"/>
          <w:lang w:val="en-US"/>
        </w:rPr>
        <w:t xml:space="preserve"> the </w:t>
      </w:r>
      <w:r w:rsidR="00FE0B1C" w:rsidRPr="007560A0">
        <w:rPr>
          <w:rFonts w:ascii="Arial" w:hAnsi="Arial" w:cs="Arial"/>
          <w:color w:val="000000" w:themeColor="text1"/>
          <w:lang w:val="en-US"/>
        </w:rPr>
        <w:t xml:space="preserve">bank’s choice of financing priorities must also be geared towards segments in which there is a credit shortage or restricted access to </w:t>
      </w:r>
      <w:r w:rsidR="00510AAC" w:rsidRPr="007560A0">
        <w:rPr>
          <w:rFonts w:ascii="Arial" w:hAnsi="Arial" w:cs="Arial"/>
          <w:color w:val="000000" w:themeColor="text1"/>
          <w:lang w:val="en-US"/>
        </w:rPr>
        <w:t>available</w:t>
      </w:r>
      <w:r w:rsidR="0064271A" w:rsidRPr="007560A0">
        <w:rPr>
          <w:rFonts w:ascii="Arial" w:hAnsi="Arial" w:cs="Arial"/>
          <w:color w:val="000000" w:themeColor="text1"/>
          <w:lang w:val="en-US"/>
        </w:rPr>
        <w:t xml:space="preserve"> credit.</w:t>
      </w:r>
    </w:p>
    <w:p w14:paraId="4584A5B8" w14:textId="29C9331D" w:rsidR="00CA42DC" w:rsidRPr="007560A0" w:rsidRDefault="0080305B" w:rsidP="009A0EB6">
      <w:pPr>
        <w:pStyle w:val="p-01"/>
        <w:rPr>
          <w:rFonts w:ascii="Arial" w:hAnsi="Arial" w:cs="Arial"/>
          <w:lang w:val="en-US"/>
        </w:rPr>
      </w:pPr>
      <w:r w:rsidRPr="007560A0">
        <w:rPr>
          <w:rFonts w:ascii="Arial" w:hAnsi="Arial" w:cs="Arial"/>
          <w:color w:val="000000" w:themeColor="text1"/>
          <w:lang w:val="en-US"/>
        </w:rPr>
        <w:t>In this group, the micro, small, and medium enterprises (MSMEs) and the infrastructure projects – including those focused on renewable energy –</w:t>
      </w:r>
      <w:r w:rsidR="009A0EB6" w:rsidRPr="007560A0">
        <w:rPr>
          <w:rFonts w:ascii="Arial" w:hAnsi="Arial" w:cs="Arial"/>
          <w:color w:val="000000" w:themeColor="text1"/>
          <w:lang w:val="en-US"/>
        </w:rPr>
        <w:t>were selected as the objects of a loan operation by IDB to BNDES (operation BR-L1442), whose objective is to stimulate the productivity growth of the Brazilian economy</w:t>
      </w:r>
      <w:r w:rsidRPr="007560A0">
        <w:rPr>
          <w:rFonts w:ascii="Arial" w:hAnsi="Arial" w:cs="Arial"/>
          <w:color w:val="000000" w:themeColor="text1"/>
          <w:lang w:val="en-US"/>
        </w:rPr>
        <w:t xml:space="preserve">. This perception is justified because these segments </w:t>
      </w:r>
      <w:r w:rsidRPr="007560A0">
        <w:rPr>
          <w:rFonts w:ascii="Arial" w:hAnsi="Arial" w:cs="Arial"/>
          <w:i/>
          <w:color w:val="000000" w:themeColor="text1"/>
          <w:lang w:val="en-US"/>
        </w:rPr>
        <w:t>i)</w:t>
      </w:r>
      <w:r w:rsidRPr="007560A0">
        <w:rPr>
          <w:rFonts w:ascii="Arial" w:hAnsi="Arial" w:cs="Arial"/>
          <w:color w:val="000000" w:themeColor="text1"/>
          <w:lang w:val="en-US"/>
        </w:rPr>
        <w:t xml:space="preserve">have the potential to contribute to increasing the productivity levels of the Brazilian economy, as demonstrated in the first document prepared under the scope of this </w:t>
      </w:r>
      <w:r w:rsidRPr="007560A0">
        <w:rPr>
          <w:rFonts w:ascii="Arial" w:hAnsi="Arial" w:cs="Arial"/>
          <w:color w:val="000000" w:themeColor="text1"/>
          <w:lang w:val="en-US"/>
        </w:rPr>
        <w:lastRenderedPageBreak/>
        <w:t xml:space="preserve">study; </w:t>
      </w:r>
      <w:r w:rsidR="00EA113A" w:rsidRPr="007560A0">
        <w:rPr>
          <w:rStyle w:val="FootnoteReference"/>
          <w:rFonts w:ascii="Arial" w:hAnsi="Arial" w:cs="Arial"/>
          <w:color w:val="000000" w:themeColor="text1"/>
          <w:lang w:val="en-US"/>
        </w:rPr>
        <w:footnoteReference w:id="4"/>
      </w:r>
      <w:r w:rsidRPr="007560A0">
        <w:rPr>
          <w:rFonts w:ascii="Arial" w:hAnsi="Arial" w:cs="Arial"/>
          <w:color w:val="000000" w:themeColor="text1"/>
          <w:lang w:val="en-US"/>
        </w:rPr>
        <w:t xml:space="preserve"> and ii) they are subjected to </w:t>
      </w:r>
      <w:r w:rsidR="00F91094" w:rsidRPr="007560A0">
        <w:rPr>
          <w:rFonts w:ascii="Arial" w:hAnsi="Arial" w:cs="Arial"/>
          <w:color w:val="000000" w:themeColor="text1"/>
          <w:lang w:val="en-US"/>
        </w:rPr>
        <w:t xml:space="preserve">proportionately higher </w:t>
      </w:r>
      <w:r w:rsidRPr="007560A0">
        <w:rPr>
          <w:rFonts w:ascii="Arial" w:hAnsi="Arial" w:cs="Arial"/>
          <w:color w:val="000000" w:themeColor="text1"/>
          <w:lang w:val="en-US"/>
        </w:rPr>
        <w:t xml:space="preserve">levels of credit rationing, as discussed later in this </w:t>
      </w:r>
      <w:r w:rsidRPr="007560A0">
        <w:rPr>
          <w:rFonts w:ascii="Arial" w:hAnsi="Arial" w:cs="Arial"/>
          <w:lang w:val="en-US"/>
        </w:rPr>
        <w:t>document.</w:t>
      </w:r>
    </w:p>
    <w:p w14:paraId="03206D3C" w14:textId="69FDFA6C" w:rsidR="0024731A" w:rsidRPr="007560A0" w:rsidRDefault="00CA42DC" w:rsidP="00CA42DC">
      <w:pPr>
        <w:pStyle w:val="p-01"/>
        <w:rPr>
          <w:rFonts w:ascii="Arial" w:hAnsi="Arial" w:cs="Arial"/>
          <w:lang w:val="en-US"/>
        </w:rPr>
      </w:pPr>
      <w:r w:rsidRPr="007560A0">
        <w:rPr>
          <w:rFonts w:ascii="Arial" w:hAnsi="Arial" w:cs="Arial"/>
          <w:lang w:val="en-US"/>
        </w:rPr>
        <w:t xml:space="preserve">Thus, the aim of this study is to contribute to the production of the supporting documentation for a loan operation from IDB to BNDES, whose objective is to provide financing to specific segments, in order to stimulate productivity growth of the Brazilian economy. </w:t>
      </w:r>
      <w:r w:rsidR="005678D9" w:rsidRPr="007560A0">
        <w:rPr>
          <w:rFonts w:ascii="Arial" w:hAnsi="Arial" w:cs="Arial"/>
          <w:color w:val="000000" w:themeColor="text1"/>
          <w:lang w:val="en-US"/>
        </w:rPr>
        <w:t xml:space="preserve">This paper </w:t>
      </w:r>
      <w:r w:rsidR="00BF2DC0" w:rsidRPr="007560A0">
        <w:rPr>
          <w:rFonts w:ascii="Arial" w:hAnsi="Arial" w:cs="Arial"/>
          <w:color w:val="000000" w:themeColor="text1"/>
          <w:lang w:val="en-US"/>
        </w:rPr>
        <w:t>presents information on financing the</w:t>
      </w:r>
      <w:r w:rsidR="00F72B25" w:rsidRPr="007560A0">
        <w:rPr>
          <w:rFonts w:ascii="Arial" w:hAnsi="Arial" w:cs="Arial"/>
          <w:color w:val="000000" w:themeColor="text1"/>
          <w:lang w:val="en-US"/>
        </w:rPr>
        <w:t xml:space="preserve"> </w:t>
      </w:r>
      <w:r w:rsidR="00BF2DC0" w:rsidRPr="007560A0">
        <w:rPr>
          <w:rFonts w:ascii="Arial" w:hAnsi="Arial" w:cs="Arial"/>
          <w:color w:val="000000" w:themeColor="text1"/>
          <w:lang w:val="en-US"/>
        </w:rPr>
        <w:t>MSM</w:t>
      </w:r>
      <w:r w:rsidR="005F18CC" w:rsidRPr="007560A0">
        <w:rPr>
          <w:rFonts w:ascii="Arial" w:hAnsi="Arial" w:cs="Arial"/>
          <w:color w:val="000000" w:themeColor="text1"/>
          <w:lang w:val="en-US"/>
        </w:rPr>
        <w:t>E</w:t>
      </w:r>
      <w:r w:rsidR="00BF2DC0" w:rsidRPr="007560A0">
        <w:rPr>
          <w:rFonts w:ascii="Arial" w:hAnsi="Arial" w:cs="Arial"/>
          <w:color w:val="000000" w:themeColor="text1"/>
          <w:lang w:val="en-US"/>
        </w:rPr>
        <w:t xml:space="preserve">s, infrastructure, and renewable energy production projects. </w:t>
      </w:r>
      <w:r w:rsidR="0080305B" w:rsidRPr="007560A0">
        <w:rPr>
          <w:rFonts w:ascii="Arial" w:hAnsi="Arial" w:cs="Arial"/>
          <w:color w:val="000000" w:themeColor="text1"/>
          <w:lang w:val="en-US"/>
        </w:rPr>
        <w:t>The study</w:t>
      </w:r>
      <w:r w:rsidR="0064271A" w:rsidRPr="007560A0">
        <w:rPr>
          <w:rFonts w:ascii="Arial" w:hAnsi="Arial" w:cs="Arial"/>
          <w:color w:val="000000" w:themeColor="text1"/>
          <w:lang w:val="en-US"/>
        </w:rPr>
        <w:t xml:space="preserve"> is structured into three sections, in addition to this introduction. In section 2, we discuss the financing pattern </w:t>
      </w:r>
      <w:r w:rsidR="008A0A3F" w:rsidRPr="007560A0">
        <w:rPr>
          <w:rFonts w:ascii="Arial" w:hAnsi="Arial" w:cs="Arial"/>
          <w:color w:val="000000" w:themeColor="text1"/>
          <w:lang w:val="en-US"/>
        </w:rPr>
        <w:t>of</w:t>
      </w:r>
      <w:r w:rsidR="0064271A" w:rsidRPr="007560A0">
        <w:rPr>
          <w:rFonts w:ascii="Arial" w:hAnsi="Arial" w:cs="Arial"/>
          <w:color w:val="000000" w:themeColor="text1"/>
          <w:lang w:val="en-US"/>
        </w:rPr>
        <w:t xml:space="preserve"> the Brazilian economy</w:t>
      </w:r>
      <w:r w:rsidR="008A0A3F" w:rsidRPr="007560A0">
        <w:rPr>
          <w:rFonts w:ascii="Arial" w:hAnsi="Arial" w:cs="Arial"/>
          <w:color w:val="000000" w:themeColor="text1"/>
          <w:lang w:val="en-US"/>
        </w:rPr>
        <w:t>, its bottlenecks</w:t>
      </w:r>
      <w:r w:rsidR="0064271A" w:rsidRPr="007560A0">
        <w:rPr>
          <w:rFonts w:ascii="Arial" w:hAnsi="Arial" w:cs="Arial"/>
          <w:color w:val="000000" w:themeColor="text1"/>
          <w:lang w:val="en-US"/>
        </w:rPr>
        <w:t xml:space="preserve"> and the role of BNDES within this context. In the third section, </w:t>
      </w:r>
      <w:r w:rsidR="00F91094" w:rsidRPr="007560A0">
        <w:rPr>
          <w:rFonts w:ascii="Arial" w:hAnsi="Arial" w:cs="Arial"/>
          <w:color w:val="000000" w:themeColor="text1"/>
          <w:lang w:val="en-US"/>
        </w:rPr>
        <w:t xml:space="preserve">we present </w:t>
      </w:r>
      <w:r w:rsidR="0024731A" w:rsidRPr="007560A0">
        <w:rPr>
          <w:rFonts w:ascii="Arial" w:hAnsi="Arial" w:cs="Arial"/>
          <w:color w:val="000000" w:themeColor="text1"/>
          <w:lang w:val="en-US"/>
        </w:rPr>
        <w:t xml:space="preserve">information about </w:t>
      </w:r>
      <w:r w:rsidR="00F91094" w:rsidRPr="007560A0">
        <w:rPr>
          <w:rFonts w:ascii="Arial" w:hAnsi="Arial" w:cs="Arial"/>
          <w:color w:val="000000" w:themeColor="text1"/>
          <w:lang w:val="en-US"/>
        </w:rPr>
        <w:t>the patterns of</w:t>
      </w:r>
      <w:r w:rsidR="00F72B25" w:rsidRPr="007560A0">
        <w:rPr>
          <w:rFonts w:ascii="Arial" w:hAnsi="Arial" w:cs="Arial"/>
          <w:color w:val="000000" w:themeColor="text1"/>
          <w:lang w:val="en-US"/>
        </w:rPr>
        <w:t xml:space="preserve"> </w:t>
      </w:r>
      <w:r w:rsidR="0024731A" w:rsidRPr="007560A0">
        <w:rPr>
          <w:rFonts w:ascii="Arial" w:hAnsi="Arial" w:cs="Arial"/>
          <w:lang w:val="en-US"/>
        </w:rPr>
        <w:t xml:space="preserve">financing </w:t>
      </w:r>
      <w:r w:rsidR="0064271A" w:rsidRPr="007560A0">
        <w:rPr>
          <w:rFonts w:ascii="Arial" w:hAnsi="Arial" w:cs="Arial"/>
          <w:lang w:val="en-US"/>
        </w:rPr>
        <w:t xml:space="preserve">in the </w:t>
      </w:r>
      <w:r w:rsidR="00F91094" w:rsidRPr="007560A0">
        <w:rPr>
          <w:rFonts w:ascii="Arial" w:hAnsi="Arial" w:cs="Arial"/>
          <w:lang w:val="en-US"/>
        </w:rPr>
        <w:t>selected</w:t>
      </w:r>
      <w:r w:rsidR="00F72B25" w:rsidRPr="007560A0">
        <w:rPr>
          <w:rFonts w:ascii="Arial" w:hAnsi="Arial" w:cs="Arial"/>
          <w:lang w:val="en-US"/>
        </w:rPr>
        <w:t xml:space="preserve"> </w:t>
      </w:r>
      <w:r w:rsidR="008A6EE8" w:rsidRPr="007560A0">
        <w:rPr>
          <w:rFonts w:ascii="Arial" w:hAnsi="Arial" w:cs="Arial"/>
          <w:lang w:val="en-US"/>
        </w:rPr>
        <w:t>sectors and their bottlenecks</w:t>
      </w:r>
      <w:r w:rsidR="0064271A" w:rsidRPr="007560A0">
        <w:rPr>
          <w:rFonts w:ascii="Arial" w:hAnsi="Arial" w:cs="Arial"/>
          <w:lang w:val="en-US"/>
        </w:rPr>
        <w:t>. Finally, in section 4, we present the final considerations of this work.</w:t>
      </w:r>
    </w:p>
    <w:p w14:paraId="0E0B5BA9" w14:textId="77777777" w:rsidR="004824B4" w:rsidRPr="007560A0" w:rsidRDefault="00617818" w:rsidP="00E713A3">
      <w:pPr>
        <w:pStyle w:val="Heading1"/>
        <w:rPr>
          <w:rFonts w:ascii="Arial" w:hAnsi="Arial" w:cs="Arial"/>
          <w:lang w:val="en-US"/>
        </w:rPr>
      </w:pPr>
      <w:r w:rsidRPr="007560A0">
        <w:rPr>
          <w:rFonts w:ascii="Arial" w:hAnsi="Arial" w:cs="Arial"/>
          <w:lang w:val="en-US"/>
        </w:rPr>
        <w:t>P</w:t>
      </w:r>
      <w:r w:rsidR="00D845F6" w:rsidRPr="007560A0">
        <w:rPr>
          <w:rFonts w:ascii="Arial" w:hAnsi="Arial" w:cs="Arial"/>
          <w:lang w:val="en-US"/>
        </w:rPr>
        <w:t>attern of investment financing</w:t>
      </w:r>
      <w:r w:rsidR="0080305B" w:rsidRPr="007560A0">
        <w:rPr>
          <w:rFonts w:ascii="Arial" w:hAnsi="Arial" w:cs="Arial"/>
          <w:lang w:val="en-US"/>
        </w:rPr>
        <w:t xml:space="preserve"> in the Brazilian economy.</w:t>
      </w:r>
    </w:p>
    <w:p w14:paraId="2459AAE7" w14:textId="0A3C7740" w:rsidR="008A0A3F" w:rsidRPr="007560A0" w:rsidRDefault="00933F68" w:rsidP="005678D9">
      <w:pPr>
        <w:pStyle w:val="p-01"/>
        <w:rPr>
          <w:rFonts w:ascii="Arial" w:hAnsi="Arial" w:cs="Arial"/>
          <w:lang w:val="en-US"/>
        </w:rPr>
      </w:pPr>
      <w:r w:rsidRPr="007560A0">
        <w:rPr>
          <w:rFonts w:ascii="Arial" w:hAnsi="Arial" w:cs="Arial"/>
          <w:lang w:val="en-US"/>
        </w:rPr>
        <w:t xml:space="preserve">As indicated in this paper’s introduction, </w:t>
      </w:r>
      <w:r w:rsidR="003B6AF2" w:rsidRPr="007560A0">
        <w:rPr>
          <w:rFonts w:ascii="Arial" w:hAnsi="Arial" w:cs="Arial"/>
          <w:lang w:val="en-US"/>
        </w:rPr>
        <w:t xml:space="preserve">in recent years the investment rate in Brazil has remained low. </w:t>
      </w:r>
      <w:r w:rsidR="007E33C1" w:rsidRPr="007560A0">
        <w:rPr>
          <w:rFonts w:ascii="Arial" w:hAnsi="Arial" w:cs="Arial"/>
          <w:lang w:val="en-US"/>
        </w:rPr>
        <w:t xml:space="preserve">As illustrated in Chart </w:t>
      </w:r>
      <w:r w:rsidR="003B6AF2" w:rsidRPr="007560A0">
        <w:rPr>
          <w:rFonts w:ascii="Arial" w:hAnsi="Arial" w:cs="Arial"/>
          <w:lang w:val="en-US"/>
        </w:rPr>
        <w:t xml:space="preserve">1, </w:t>
      </w:r>
      <w:r w:rsidR="0064271A" w:rsidRPr="007560A0">
        <w:rPr>
          <w:rFonts w:ascii="Arial" w:hAnsi="Arial" w:cs="Arial"/>
          <w:lang w:val="en-US"/>
        </w:rPr>
        <w:t xml:space="preserve">that </w:t>
      </w:r>
      <w:r w:rsidR="003B6AF2" w:rsidRPr="007560A0">
        <w:rPr>
          <w:rFonts w:ascii="Arial" w:hAnsi="Arial" w:cs="Arial"/>
          <w:lang w:val="en-US"/>
        </w:rPr>
        <w:t>this indicator oscillated fr</w:t>
      </w:r>
      <w:r w:rsidR="008A0A3F" w:rsidRPr="007560A0">
        <w:rPr>
          <w:rFonts w:ascii="Arial" w:hAnsi="Arial" w:cs="Arial"/>
          <w:lang w:val="en-US"/>
        </w:rPr>
        <w:t xml:space="preserve">om 2000 and 2013, between 15% and 20%, without, however, presenting a sustainable growth trend. </w:t>
      </w:r>
    </w:p>
    <w:p w14:paraId="6A919978" w14:textId="77777777" w:rsidR="00FB0CC5" w:rsidRPr="007560A0" w:rsidRDefault="00FB0CC5" w:rsidP="00710455">
      <w:pPr>
        <w:pStyle w:val="f-01"/>
        <w:rPr>
          <w:rFonts w:ascii="Arial" w:hAnsi="Arial"/>
          <w:noProof w:val="0"/>
          <w:lang w:val="en-US"/>
        </w:rPr>
      </w:pPr>
      <w:r w:rsidRPr="007560A0">
        <w:rPr>
          <w:rFonts w:ascii="Arial" w:hAnsi="Arial"/>
          <w:noProof w:val="0"/>
          <w:lang w:val="en-US"/>
        </w:rPr>
        <w:t xml:space="preserve">Chart </w:t>
      </w:r>
      <w:r w:rsidR="00694BE3" w:rsidRPr="007560A0">
        <w:rPr>
          <w:rFonts w:ascii="Arial" w:hAnsi="Arial"/>
          <w:noProof w:val="0"/>
          <w:lang w:val="en-US"/>
        </w:rPr>
        <w:t>1: I</w:t>
      </w:r>
      <w:r w:rsidRPr="007560A0">
        <w:rPr>
          <w:rFonts w:ascii="Arial" w:hAnsi="Arial"/>
          <w:noProof w:val="0"/>
          <w:lang w:val="en-US"/>
        </w:rPr>
        <w:t xml:space="preserve">nvestment Rate in the </w:t>
      </w:r>
      <w:r w:rsidR="00694BE3" w:rsidRPr="007560A0">
        <w:rPr>
          <w:rFonts w:ascii="Arial" w:hAnsi="Arial"/>
          <w:noProof w:val="0"/>
          <w:lang w:val="en-US"/>
        </w:rPr>
        <w:t>Brazilian Economy, 2000 - 2013</w:t>
      </w:r>
    </w:p>
    <w:p w14:paraId="6EB9864E" w14:textId="77777777" w:rsidR="00FB0CC5" w:rsidRPr="007560A0" w:rsidRDefault="00FB0CC5" w:rsidP="0064271A">
      <w:pPr>
        <w:pStyle w:val="f-02"/>
        <w:rPr>
          <w:rFonts w:ascii="Arial" w:hAnsi="Arial" w:cs="Arial"/>
          <w:noProof w:val="0"/>
          <w:lang w:val="en-US"/>
        </w:rPr>
      </w:pPr>
      <w:r w:rsidRPr="007560A0">
        <w:rPr>
          <w:rFonts w:ascii="Arial" w:hAnsi="Arial" w:cs="Arial"/>
          <w:lang w:val="en-US" w:eastAsia="en-US"/>
        </w:rPr>
        <w:drawing>
          <wp:inline distT="0" distB="0" distL="0" distR="0" wp14:anchorId="27010384" wp14:editId="098F2675">
            <wp:extent cx="5455503" cy="3444427"/>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6245E3" w14:textId="77777777" w:rsidR="00FB0CC5" w:rsidRPr="007560A0" w:rsidRDefault="00FB0CC5" w:rsidP="007560A0">
      <w:pPr>
        <w:pStyle w:val="f-03"/>
        <w:spacing w:before="0" w:after="0" w:line="240" w:lineRule="auto"/>
        <w:rPr>
          <w:rFonts w:ascii="Arial" w:hAnsi="Arial" w:cs="Arial"/>
          <w:lang w:val="en-US"/>
        </w:rPr>
      </w:pPr>
      <w:r w:rsidRPr="007560A0">
        <w:rPr>
          <w:rFonts w:ascii="Arial" w:hAnsi="Arial" w:cs="Arial"/>
          <w:lang w:val="en-US"/>
        </w:rPr>
        <w:t>Source: IBGE - National Accounts System (SCN)</w:t>
      </w:r>
      <w:r w:rsidR="002B4769" w:rsidRPr="007560A0">
        <w:rPr>
          <w:rFonts w:ascii="Arial" w:hAnsi="Arial" w:cs="Arial"/>
          <w:lang w:val="en-US"/>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510AC" w:rsidRPr="007560A0" w14:paraId="53F327D5" w14:textId="77777777" w:rsidTr="001321AE">
        <w:tc>
          <w:tcPr>
            <w:tcW w:w="4675" w:type="dxa"/>
          </w:tcPr>
          <w:p w14:paraId="78EC866C" w14:textId="77777777" w:rsidR="006510AC" w:rsidRPr="007560A0" w:rsidRDefault="006510AC" w:rsidP="001321AE">
            <w:pPr>
              <w:spacing w:after="0" w:line="240" w:lineRule="auto"/>
              <w:rPr>
                <w:rFonts w:ascii="Arial" w:hAnsi="Arial" w:cs="Arial"/>
              </w:rPr>
            </w:pPr>
            <w:r w:rsidRPr="007560A0">
              <w:rPr>
                <w:rFonts w:ascii="Arial" w:hAnsi="Arial" w:cs="Arial"/>
              </w:rPr>
              <w:t xml:space="preserve">Taxa de investimento (preços correntes) </w:t>
            </w:r>
          </w:p>
        </w:tc>
        <w:tc>
          <w:tcPr>
            <w:tcW w:w="4675" w:type="dxa"/>
          </w:tcPr>
          <w:p w14:paraId="24EDDAE4" w14:textId="77777777" w:rsidR="006510AC" w:rsidRPr="007560A0" w:rsidRDefault="006510AC" w:rsidP="001321AE">
            <w:pPr>
              <w:spacing w:after="0" w:line="240" w:lineRule="auto"/>
              <w:rPr>
                <w:rFonts w:ascii="Arial" w:hAnsi="Arial" w:cs="Arial"/>
              </w:rPr>
            </w:pPr>
            <w:r w:rsidRPr="007560A0">
              <w:rPr>
                <w:rFonts w:ascii="Arial" w:hAnsi="Arial" w:cs="Arial"/>
              </w:rPr>
              <w:t xml:space="preserve">Investment Rate (current prices) </w:t>
            </w:r>
          </w:p>
        </w:tc>
      </w:tr>
    </w:tbl>
    <w:p w14:paraId="324BE967" w14:textId="77777777" w:rsidR="006510AC" w:rsidRPr="007560A0" w:rsidRDefault="006510AC" w:rsidP="00EA113A">
      <w:pPr>
        <w:pStyle w:val="p-01"/>
        <w:rPr>
          <w:rFonts w:ascii="Arial" w:hAnsi="Arial" w:cs="Arial"/>
          <w:color w:val="000000" w:themeColor="text1"/>
        </w:rPr>
      </w:pPr>
    </w:p>
    <w:p w14:paraId="7B1FF080" w14:textId="1227EFF2" w:rsidR="00A43A93" w:rsidRPr="007560A0" w:rsidRDefault="0064271A" w:rsidP="00EA113A">
      <w:pPr>
        <w:pStyle w:val="p-01"/>
        <w:rPr>
          <w:rFonts w:ascii="Arial" w:hAnsi="Arial" w:cs="Arial"/>
          <w:lang w:val="en-US"/>
        </w:rPr>
      </w:pPr>
      <w:r w:rsidRPr="007560A0">
        <w:rPr>
          <w:rFonts w:ascii="Arial" w:hAnsi="Arial" w:cs="Arial"/>
          <w:color w:val="000000" w:themeColor="text1"/>
          <w:lang w:val="en-US"/>
        </w:rPr>
        <w:t>The low investment rates are associated with a series of factors</w:t>
      </w:r>
      <w:r w:rsidR="00EA113A" w:rsidRPr="007560A0">
        <w:rPr>
          <w:rFonts w:ascii="Arial" w:hAnsi="Arial" w:cs="Arial"/>
          <w:color w:val="000000" w:themeColor="text1"/>
          <w:lang w:val="en-US"/>
        </w:rPr>
        <w:t xml:space="preserve"> that involve expectations, regulatory standards, business climate and, especially, </w:t>
      </w:r>
      <w:r w:rsidR="00A5229E" w:rsidRPr="007560A0">
        <w:rPr>
          <w:rFonts w:ascii="Arial" w:hAnsi="Arial" w:cs="Arial"/>
          <w:color w:val="000000" w:themeColor="text1"/>
          <w:lang w:val="en-US"/>
        </w:rPr>
        <w:t xml:space="preserve">long-term financing conditions. </w:t>
      </w:r>
      <w:r w:rsidR="00EA113A" w:rsidRPr="007560A0">
        <w:rPr>
          <w:rFonts w:ascii="Arial" w:hAnsi="Arial" w:cs="Arial"/>
          <w:lang w:val="en-US"/>
        </w:rPr>
        <w:t xml:space="preserve">In </w:t>
      </w:r>
      <w:r w:rsidR="00EA113A" w:rsidRPr="007560A0">
        <w:rPr>
          <w:rFonts w:ascii="Arial" w:hAnsi="Arial" w:cs="Arial"/>
          <w:lang w:val="en-US"/>
        </w:rPr>
        <w:lastRenderedPageBreak/>
        <w:t xml:space="preserve">fact, this final aspect can be considered </w:t>
      </w:r>
      <w:r w:rsidR="00A43A93" w:rsidRPr="007560A0">
        <w:rPr>
          <w:rFonts w:ascii="Arial" w:hAnsi="Arial" w:cs="Arial"/>
          <w:lang w:val="en-US"/>
        </w:rPr>
        <w:t xml:space="preserve">one of the main bottlenecks for the country’s sustainable growth. According to Prates (2016), “historically, the financing of Brazilian economic development required compulsory savings funds, managed by BNDES (Workers’ Assistance Fund – Fundo de Amparo ao Trabalhador – FAT) and the Federal Savings Bank (Caixa Econômica Federal – CEF) – (Government Severance Indemnity Fund – Fundo de Garantia por Tempo de Serviço – FGTS), and external funding, since a long-term financial system had not been developed in the country”. </w:t>
      </w:r>
    </w:p>
    <w:p w14:paraId="135A52F1" w14:textId="212CD315" w:rsidR="00A43A93" w:rsidRPr="007560A0" w:rsidRDefault="00EA113A" w:rsidP="00F558C3">
      <w:pPr>
        <w:pStyle w:val="p-01"/>
        <w:rPr>
          <w:rFonts w:ascii="Arial" w:hAnsi="Arial" w:cs="Arial"/>
          <w:lang w:val="en-US"/>
        </w:rPr>
      </w:pPr>
      <w:r w:rsidRPr="007560A0">
        <w:rPr>
          <w:rFonts w:ascii="Arial" w:hAnsi="Arial" w:cs="Arial"/>
          <w:color w:val="000000" w:themeColor="text1"/>
          <w:lang w:val="en-US"/>
        </w:rPr>
        <w:t>In recent decades, different factors have competed to</w:t>
      </w:r>
      <w:r w:rsidR="00A43A93" w:rsidRPr="007560A0">
        <w:rPr>
          <w:rFonts w:ascii="Arial" w:hAnsi="Arial" w:cs="Arial"/>
          <w:color w:val="000000" w:themeColor="text1"/>
          <w:lang w:val="en-US"/>
        </w:rPr>
        <w:t xml:space="preserve"> explain the weaknesses of the long-term financing system in the Brazilian economy. Until the mid-</w:t>
      </w:r>
      <w:r w:rsidRPr="007560A0">
        <w:rPr>
          <w:rFonts w:ascii="Arial" w:hAnsi="Arial" w:cs="Arial"/>
          <w:color w:val="000000" w:themeColor="text1"/>
          <w:lang w:val="en-US"/>
        </w:rPr>
        <w:t>19</w:t>
      </w:r>
      <w:r w:rsidR="00A43A93" w:rsidRPr="007560A0">
        <w:rPr>
          <w:rFonts w:ascii="Arial" w:hAnsi="Arial" w:cs="Arial"/>
          <w:color w:val="000000" w:themeColor="text1"/>
          <w:lang w:val="en-US"/>
        </w:rPr>
        <w:t xml:space="preserve">90s, the high inflation rates limited the economic agents’ capacity for long-term planning and the elevated risks impaired the emergence of a credit and capital market in the country. </w:t>
      </w:r>
      <w:r w:rsidRPr="007560A0">
        <w:rPr>
          <w:rFonts w:ascii="Arial" w:hAnsi="Arial" w:cs="Arial"/>
          <w:color w:val="000000" w:themeColor="text1"/>
          <w:lang w:val="en-US"/>
        </w:rPr>
        <w:t>Thus, o</w:t>
      </w:r>
      <w:r w:rsidR="00A43A93" w:rsidRPr="007560A0">
        <w:rPr>
          <w:rFonts w:ascii="Arial" w:hAnsi="Arial" w:cs="Arial"/>
          <w:color w:val="000000" w:themeColor="text1"/>
          <w:lang w:val="en-US"/>
        </w:rPr>
        <w:t xml:space="preserve">ne of the conditions for the development of this market was the monetary </w:t>
      </w:r>
      <w:r w:rsidR="00F91094" w:rsidRPr="007560A0">
        <w:rPr>
          <w:rFonts w:ascii="Arial" w:hAnsi="Arial" w:cs="Arial"/>
          <w:color w:val="000000" w:themeColor="text1"/>
          <w:lang w:val="en-US"/>
        </w:rPr>
        <w:t xml:space="preserve">stabilization </w:t>
      </w:r>
      <w:r w:rsidR="00A43A93" w:rsidRPr="007560A0">
        <w:rPr>
          <w:rFonts w:ascii="Arial" w:hAnsi="Arial" w:cs="Arial"/>
          <w:color w:val="000000" w:themeColor="text1"/>
          <w:lang w:val="en-US"/>
        </w:rPr>
        <w:t xml:space="preserve">achieved in 1994. Since then, however, the high interest rates necessary to finance the Brazilian public debt took on an important role, given that the combination of risk, return, and term associated with public debt tends to be more attractive than alternative </w:t>
      </w:r>
      <w:r w:rsidRPr="007560A0">
        <w:rPr>
          <w:rFonts w:ascii="Arial" w:hAnsi="Arial" w:cs="Arial"/>
          <w:color w:val="000000" w:themeColor="text1"/>
          <w:lang w:val="en-US"/>
        </w:rPr>
        <w:t xml:space="preserve">forms of investment. </w:t>
      </w:r>
      <w:r w:rsidR="00A43A93" w:rsidRPr="007560A0">
        <w:rPr>
          <w:rFonts w:ascii="Arial" w:hAnsi="Arial" w:cs="Arial"/>
          <w:color w:val="000000" w:themeColor="text1"/>
          <w:lang w:val="en-US"/>
        </w:rPr>
        <w:t xml:space="preserve">Torres Freire (2012), for example, argues that “it is essential for the functioning of a private securities market that the sovereign debt profile be capable of generating the types of interest rate structures, anchored in liquid and long-term vertices. The information regarding the National Treasury’s cost of funding for a given time horizon is </w:t>
      </w:r>
      <w:r w:rsidR="00A43A93" w:rsidRPr="007560A0">
        <w:rPr>
          <w:rFonts w:ascii="Arial" w:hAnsi="Arial" w:cs="Arial"/>
          <w:lang w:val="en-US"/>
        </w:rPr>
        <w:t>a key variable for the credit risk pricing models of private issuers.” According to Freitas (2011), “the elevated risk of long-term investment projects deters private investors and banks, who find better options in public securities, which are profit</w:t>
      </w:r>
      <w:r w:rsidRPr="007560A0">
        <w:rPr>
          <w:rFonts w:ascii="Arial" w:hAnsi="Arial" w:cs="Arial"/>
          <w:lang w:val="en-US"/>
        </w:rPr>
        <w:t>able assets with high liquidity.” Under</w:t>
      </w:r>
      <w:r w:rsidR="00A43A93" w:rsidRPr="007560A0">
        <w:rPr>
          <w:rFonts w:ascii="Arial" w:hAnsi="Arial" w:cs="Arial"/>
          <w:lang w:val="en-US"/>
        </w:rPr>
        <w:t xml:space="preserve"> these conditions, the </w:t>
      </w:r>
      <w:r w:rsidRPr="007560A0">
        <w:rPr>
          <w:rFonts w:ascii="Arial" w:hAnsi="Arial" w:cs="Arial"/>
          <w:lang w:val="en-US"/>
        </w:rPr>
        <w:t>spontaneous</w:t>
      </w:r>
      <w:r w:rsidR="00A43A93" w:rsidRPr="007560A0">
        <w:rPr>
          <w:rFonts w:ascii="Arial" w:hAnsi="Arial" w:cs="Arial"/>
          <w:lang w:val="en-US"/>
        </w:rPr>
        <w:t xml:space="preserve"> emergence of a long-term financing market within the country is unlikely. </w:t>
      </w:r>
    </w:p>
    <w:p w14:paraId="0B2CA585" w14:textId="4FAAA0FF" w:rsidR="00A43A93" w:rsidRPr="007560A0" w:rsidRDefault="00A43A93" w:rsidP="00F558C3">
      <w:pPr>
        <w:pStyle w:val="p-01"/>
        <w:rPr>
          <w:rFonts w:ascii="Arial" w:hAnsi="Arial" w:cs="Arial"/>
          <w:lang w:val="en-US"/>
        </w:rPr>
      </w:pPr>
      <w:r w:rsidRPr="007560A0">
        <w:rPr>
          <w:rFonts w:ascii="Arial" w:hAnsi="Arial" w:cs="Arial"/>
          <w:color w:val="000000" w:themeColor="text1"/>
          <w:lang w:val="en-US"/>
        </w:rPr>
        <w:t xml:space="preserve">The prevalence, within the country, of a minimally developed capital market is </w:t>
      </w:r>
      <w:r w:rsidR="00FB1100" w:rsidRPr="007560A0">
        <w:rPr>
          <w:rFonts w:ascii="Arial" w:hAnsi="Arial" w:cs="Arial"/>
          <w:color w:val="000000" w:themeColor="text1"/>
          <w:lang w:val="en-US"/>
        </w:rPr>
        <w:t xml:space="preserve">also </w:t>
      </w:r>
      <w:r w:rsidRPr="007560A0">
        <w:rPr>
          <w:rFonts w:ascii="Arial" w:hAnsi="Arial" w:cs="Arial"/>
          <w:color w:val="000000" w:themeColor="text1"/>
          <w:lang w:val="en-US"/>
        </w:rPr>
        <w:t>a factor</w:t>
      </w:r>
      <w:r w:rsidR="00EA113A" w:rsidRPr="007560A0">
        <w:rPr>
          <w:rFonts w:ascii="Arial" w:hAnsi="Arial" w:cs="Arial"/>
          <w:color w:val="000000" w:themeColor="text1"/>
          <w:lang w:val="en-US"/>
        </w:rPr>
        <w:t xml:space="preserve"> </w:t>
      </w:r>
      <w:r w:rsidR="00FB1100" w:rsidRPr="007560A0">
        <w:rPr>
          <w:rFonts w:ascii="Arial" w:hAnsi="Arial" w:cs="Arial"/>
          <w:color w:val="000000" w:themeColor="text1"/>
          <w:lang w:val="en-US"/>
        </w:rPr>
        <w:t>that limits</w:t>
      </w:r>
      <w:r w:rsidR="00F72B25" w:rsidRPr="007560A0">
        <w:rPr>
          <w:rFonts w:ascii="Arial" w:hAnsi="Arial" w:cs="Arial"/>
          <w:color w:val="000000" w:themeColor="text1"/>
          <w:lang w:val="en-US"/>
        </w:rPr>
        <w:t xml:space="preserve"> </w:t>
      </w:r>
      <w:r w:rsidRPr="007560A0">
        <w:rPr>
          <w:rFonts w:ascii="Arial" w:hAnsi="Arial" w:cs="Arial"/>
          <w:color w:val="000000" w:themeColor="text1"/>
          <w:lang w:val="en-US"/>
        </w:rPr>
        <w:t xml:space="preserve">the economy’s ability to finance its long-term development. </w:t>
      </w:r>
      <w:r w:rsidRPr="007560A0">
        <w:rPr>
          <w:rFonts w:ascii="Arial" w:hAnsi="Arial" w:cs="Arial"/>
          <w:lang w:val="en-US"/>
        </w:rPr>
        <w:t>According to Prates (2016), the Brazilian capital market has always been characterized “by the lack of private investors and the presence of fewer institutional investors than needed, in addition to being highly concentrated in few titles.” The minimally developed private securities market forces investors to hold the securities until maturity and, thus, banks and companies struggle to raise funds by issuing debt securities with longer maturities and with a level of remuneration compatible with that of business (Freitas, 2011). According to the author, raising funds in the primary fixed income market generates around 2.5% of the GDP, which is very little, and is carried out through the issuance of short and medium term securities.</w:t>
      </w:r>
    </w:p>
    <w:p w14:paraId="4AD69B1C" w14:textId="5FEF44B4" w:rsidR="00A43A93" w:rsidRPr="007560A0" w:rsidRDefault="002C31AA" w:rsidP="00F558C3">
      <w:pPr>
        <w:pStyle w:val="p-01"/>
        <w:rPr>
          <w:rFonts w:ascii="Arial" w:hAnsi="Arial" w:cs="Arial"/>
          <w:lang w:val="en-US"/>
        </w:rPr>
      </w:pPr>
      <w:r w:rsidRPr="007560A0">
        <w:rPr>
          <w:rFonts w:ascii="Arial" w:hAnsi="Arial" w:cs="Arial"/>
          <w:lang w:val="en-US"/>
        </w:rPr>
        <w:t xml:space="preserve">Reinforcing this perception, </w:t>
      </w:r>
      <w:r w:rsidR="00A43A93" w:rsidRPr="007560A0">
        <w:rPr>
          <w:rFonts w:ascii="Arial" w:hAnsi="Arial" w:cs="Arial"/>
          <w:lang w:val="en-US"/>
        </w:rPr>
        <w:t xml:space="preserve">Torres Filho (2012) presents the Brazilian financial market’s asset profile for a recent period </w:t>
      </w:r>
      <w:r w:rsidR="00BE1CB5" w:rsidRPr="007560A0">
        <w:rPr>
          <w:rFonts w:ascii="Arial" w:hAnsi="Arial" w:cs="Arial"/>
          <w:lang w:val="en-US"/>
        </w:rPr>
        <w:t xml:space="preserve">(table 1) </w:t>
      </w:r>
      <w:r w:rsidR="00A43A93" w:rsidRPr="007560A0">
        <w:rPr>
          <w:rFonts w:ascii="Arial" w:hAnsi="Arial" w:cs="Arial"/>
          <w:lang w:val="en-US"/>
        </w:rPr>
        <w:t xml:space="preserve"> and calls attention to the growing dynamism in the local </w:t>
      </w:r>
      <w:r w:rsidR="00FB1100" w:rsidRPr="007560A0">
        <w:rPr>
          <w:rFonts w:ascii="Arial" w:hAnsi="Arial" w:cs="Arial"/>
          <w:lang w:val="en-US"/>
        </w:rPr>
        <w:t>capital</w:t>
      </w:r>
      <w:r w:rsidR="00A43A93" w:rsidRPr="007560A0">
        <w:rPr>
          <w:rFonts w:ascii="Arial" w:hAnsi="Arial" w:cs="Arial"/>
          <w:lang w:val="en-US"/>
        </w:rPr>
        <w:t xml:space="preserve"> market, particularly between 2006 and 2007, </w:t>
      </w:r>
      <w:r w:rsidR="00FB1100" w:rsidRPr="007560A0">
        <w:rPr>
          <w:rFonts w:ascii="Arial" w:hAnsi="Arial" w:cs="Arial"/>
          <w:lang w:val="en-US"/>
        </w:rPr>
        <w:t xml:space="preserve">when </w:t>
      </w:r>
      <w:r w:rsidR="00A43A93" w:rsidRPr="007560A0">
        <w:rPr>
          <w:rFonts w:ascii="Arial" w:hAnsi="Arial" w:cs="Arial"/>
          <w:lang w:val="en-US"/>
        </w:rPr>
        <w:t xml:space="preserve">there </w:t>
      </w:r>
      <w:r w:rsidR="00FB1100" w:rsidRPr="007560A0">
        <w:rPr>
          <w:rFonts w:ascii="Arial" w:hAnsi="Arial" w:cs="Arial"/>
          <w:lang w:val="en-US"/>
        </w:rPr>
        <w:t>was</w:t>
      </w:r>
      <w:r w:rsidR="00A43A93" w:rsidRPr="007560A0">
        <w:rPr>
          <w:rFonts w:ascii="Arial" w:hAnsi="Arial" w:cs="Arial"/>
          <w:lang w:val="en-US"/>
        </w:rPr>
        <w:t xml:space="preserve"> the highest number of initial public offerings (</w:t>
      </w:r>
      <w:r w:rsidR="00A43A93" w:rsidRPr="007560A0">
        <w:rPr>
          <w:rFonts w:ascii="Arial" w:hAnsi="Arial" w:cs="Arial"/>
          <w:i/>
          <w:lang w:val="en-US"/>
        </w:rPr>
        <w:t>IPO’s</w:t>
      </w:r>
      <w:r w:rsidR="00A43A93" w:rsidRPr="007560A0">
        <w:rPr>
          <w:rFonts w:ascii="Arial" w:hAnsi="Arial" w:cs="Arial"/>
          <w:lang w:val="en-US"/>
        </w:rPr>
        <w:t xml:space="preserve">). According to the author, one of the most important elements for stimulating this market was the foreign investors, who represented, in 2011, 40% of the spot market liquidity. </w:t>
      </w:r>
      <w:r w:rsidR="00FB1100" w:rsidRPr="007560A0">
        <w:rPr>
          <w:rFonts w:ascii="Arial" w:hAnsi="Arial" w:cs="Arial"/>
          <w:lang w:val="en-US"/>
        </w:rPr>
        <w:t>However, i</w:t>
      </w:r>
      <w:r w:rsidR="00A43A93" w:rsidRPr="007560A0">
        <w:rPr>
          <w:rFonts w:ascii="Arial" w:hAnsi="Arial" w:cs="Arial"/>
          <w:lang w:val="en-US"/>
        </w:rPr>
        <w:t>n recent year</w:t>
      </w:r>
      <w:r w:rsidR="00FB1100" w:rsidRPr="007560A0">
        <w:rPr>
          <w:rFonts w:ascii="Arial" w:hAnsi="Arial" w:cs="Arial"/>
          <w:lang w:val="en-US"/>
        </w:rPr>
        <w:t>s</w:t>
      </w:r>
      <w:r w:rsidR="00A43A93" w:rsidRPr="007560A0">
        <w:rPr>
          <w:rFonts w:ascii="Arial" w:hAnsi="Arial" w:cs="Arial"/>
          <w:lang w:val="en-US"/>
        </w:rPr>
        <w:t>, the economic</w:t>
      </w:r>
      <w:r w:rsidR="00F72B25" w:rsidRPr="007560A0">
        <w:rPr>
          <w:rFonts w:ascii="Arial" w:hAnsi="Arial" w:cs="Arial"/>
          <w:lang w:val="en-US"/>
        </w:rPr>
        <w:t xml:space="preserve"> </w:t>
      </w:r>
      <w:r w:rsidR="00FB1100" w:rsidRPr="007560A0">
        <w:rPr>
          <w:rFonts w:ascii="Arial" w:hAnsi="Arial" w:cs="Arial"/>
          <w:lang w:val="en-US"/>
        </w:rPr>
        <w:t>and</w:t>
      </w:r>
      <w:r w:rsidR="00A43A93" w:rsidRPr="007560A0">
        <w:rPr>
          <w:rFonts w:ascii="Arial" w:hAnsi="Arial" w:cs="Arial"/>
          <w:lang w:val="en-US"/>
        </w:rPr>
        <w:t xml:space="preserve"> political crises caused a decline in foreign investments in the Brazilian economy. Foreign direct investments in Brazil went from US$130 billion to US$113 billion, from 2014 to 2015, while outflows rose from US$33 to US$48 billion during the same period.</w:t>
      </w:r>
    </w:p>
    <w:p w14:paraId="4FAA9720" w14:textId="77777777" w:rsidR="00A43A93" w:rsidRPr="007560A0" w:rsidRDefault="00A43A93" w:rsidP="00710455">
      <w:pPr>
        <w:pStyle w:val="f-01"/>
        <w:rPr>
          <w:rFonts w:ascii="Arial" w:hAnsi="Arial"/>
          <w:noProof w:val="0"/>
          <w:lang w:val="en-US"/>
        </w:rPr>
      </w:pPr>
      <w:r w:rsidRPr="007560A0">
        <w:rPr>
          <w:rFonts w:ascii="Arial" w:hAnsi="Arial"/>
          <w:noProof w:val="0"/>
          <w:lang w:val="en-US"/>
        </w:rPr>
        <w:lastRenderedPageBreak/>
        <w:t xml:space="preserve">Table </w:t>
      </w:r>
      <w:r w:rsidR="00FB1100" w:rsidRPr="007560A0">
        <w:rPr>
          <w:rFonts w:ascii="Arial" w:hAnsi="Arial"/>
          <w:noProof w:val="0"/>
          <w:lang w:val="en-US"/>
        </w:rPr>
        <w:t>1: S</w:t>
      </w:r>
      <w:r w:rsidRPr="007560A0">
        <w:rPr>
          <w:rFonts w:ascii="Arial" w:hAnsi="Arial"/>
          <w:noProof w:val="0"/>
          <w:lang w:val="en-US"/>
        </w:rPr>
        <w:t xml:space="preserve">tock of the </w:t>
      </w:r>
      <w:r w:rsidR="00FB1100" w:rsidRPr="007560A0">
        <w:rPr>
          <w:rFonts w:ascii="Arial" w:hAnsi="Arial"/>
          <w:noProof w:val="0"/>
          <w:lang w:val="en-US"/>
        </w:rPr>
        <w:t xml:space="preserve">Brazilian financial market in selected years </w:t>
      </w:r>
      <w:r w:rsidRPr="007560A0">
        <w:rPr>
          <w:rFonts w:ascii="Arial" w:hAnsi="Arial"/>
          <w:noProof w:val="0"/>
          <w:lang w:val="en-US"/>
        </w:rPr>
        <w:t>(in billion R$)</w:t>
      </w:r>
    </w:p>
    <w:tbl>
      <w:tblPr>
        <w:tblW w:w="9087" w:type="dxa"/>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559"/>
        <w:gridCol w:w="1842"/>
        <w:gridCol w:w="1843"/>
        <w:gridCol w:w="1843"/>
      </w:tblGrid>
      <w:tr w:rsidR="00A43A93" w:rsidRPr="007560A0" w14:paraId="2922D786" w14:textId="77777777" w:rsidTr="00FB1100">
        <w:tc>
          <w:tcPr>
            <w:tcW w:w="3559" w:type="dxa"/>
            <w:shd w:val="clear" w:color="auto" w:fill="auto"/>
            <w:vAlign w:val="center"/>
            <w:hideMark/>
          </w:tcPr>
          <w:p w14:paraId="5E747812" w14:textId="77777777" w:rsidR="00A43A93" w:rsidRPr="007560A0" w:rsidRDefault="00A43A93" w:rsidP="00FB1100">
            <w:pPr>
              <w:pStyle w:val="p-01"/>
              <w:spacing w:beforeLines="20" w:before="48" w:afterLines="20" w:after="48"/>
              <w:rPr>
                <w:rFonts w:ascii="Arial" w:hAnsi="Arial" w:cs="Arial"/>
                <w:b/>
                <w:sz w:val="20"/>
                <w:szCs w:val="20"/>
                <w:lang w:val="en-US"/>
              </w:rPr>
            </w:pPr>
            <w:r w:rsidRPr="007560A0">
              <w:rPr>
                <w:rFonts w:ascii="Arial" w:hAnsi="Arial" w:cs="Arial"/>
                <w:b/>
                <w:sz w:val="20"/>
                <w:szCs w:val="20"/>
                <w:lang w:val="en-US"/>
              </w:rPr>
              <w:t>Assets</w:t>
            </w:r>
          </w:p>
        </w:tc>
        <w:tc>
          <w:tcPr>
            <w:tcW w:w="1842" w:type="dxa"/>
            <w:shd w:val="clear" w:color="auto" w:fill="auto"/>
            <w:vAlign w:val="center"/>
            <w:hideMark/>
          </w:tcPr>
          <w:p w14:paraId="352F3563" w14:textId="77777777" w:rsidR="00A43A93" w:rsidRPr="007560A0" w:rsidRDefault="00A43A93" w:rsidP="00FB1100">
            <w:pPr>
              <w:pStyle w:val="p-01"/>
              <w:spacing w:beforeLines="20" w:before="48" w:afterLines="20" w:after="48"/>
              <w:jc w:val="center"/>
              <w:rPr>
                <w:rFonts w:ascii="Arial" w:hAnsi="Arial" w:cs="Arial"/>
                <w:b/>
                <w:sz w:val="20"/>
                <w:szCs w:val="20"/>
                <w:lang w:val="en-US"/>
              </w:rPr>
            </w:pPr>
            <w:r w:rsidRPr="007560A0">
              <w:rPr>
                <w:rFonts w:ascii="Arial" w:hAnsi="Arial" w:cs="Arial"/>
                <w:b/>
                <w:sz w:val="20"/>
                <w:szCs w:val="20"/>
                <w:lang w:val="en-US"/>
              </w:rPr>
              <w:t>2006</w:t>
            </w:r>
          </w:p>
        </w:tc>
        <w:tc>
          <w:tcPr>
            <w:tcW w:w="1843" w:type="dxa"/>
            <w:shd w:val="clear" w:color="auto" w:fill="auto"/>
            <w:vAlign w:val="center"/>
            <w:hideMark/>
          </w:tcPr>
          <w:p w14:paraId="6F1FF18D" w14:textId="77777777" w:rsidR="00A43A93" w:rsidRPr="007560A0" w:rsidRDefault="00A43A93" w:rsidP="00FB1100">
            <w:pPr>
              <w:pStyle w:val="p-01"/>
              <w:spacing w:beforeLines="20" w:before="48" w:afterLines="20" w:after="48"/>
              <w:jc w:val="center"/>
              <w:rPr>
                <w:rFonts w:ascii="Arial" w:hAnsi="Arial" w:cs="Arial"/>
                <w:b/>
                <w:sz w:val="20"/>
                <w:szCs w:val="20"/>
                <w:lang w:val="en-US"/>
              </w:rPr>
            </w:pPr>
            <w:r w:rsidRPr="007560A0">
              <w:rPr>
                <w:rFonts w:ascii="Arial" w:hAnsi="Arial" w:cs="Arial"/>
                <w:b/>
                <w:sz w:val="20"/>
                <w:szCs w:val="20"/>
                <w:lang w:val="en-US"/>
              </w:rPr>
              <w:t>2011</w:t>
            </w:r>
          </w:p>
        </w:tc>
        <w:tc>
          <w:tcPr>
            <w:tcW w:w="1843" w:type="dxa"/>
            <w:shd w:val="clear" w:color="auto" w:fill="auto"/>
            <w:noWrap/>
            <w:vAlign w:val="bottom"/>
            <w:hideMark/>
          </w:tcPr>
          <w:p w14:paraId="37829F37" w14:textId="77777777" w:rsidR="00A43A93" w:rsidRPr="007560A0" w:rsidRDefault="00A43A93" w:rsidP="00FB1100">
            <w:pPr>
              <w:pStyle w:val="p-01"/>
              <w:spacing w:beforeLines="20" w:before="48" w:afterLines="20" w:after="48"/>
              <w:jc w:val="center"/>
              <w:rPr>
                <w:rFonts w:ascii="Arial" w:hAnsi="Arial" w:cs="Arial"/>
                <w:b/>
                <w:sz w:val="20"/>
                <w:szCs w:val="20"/>
                <w:lang w:val="en-US"/>
              </w:rPr>
            </w:pPr>
            <w:r w:rsidRPr="007560A0">
              <w:rPr>
                <w:rFonts w:ascii="Arial" w:hAnsi="Arial" w:cs="Arial"/>
                <w:b/>
                <w:sz w:val="20"/>
                <w:szCs w:val="20"/>
                <w:lang w:val="en-US"/>
              </w:rPr>
              <w:t>Growth</w:t>
            </w:r>
          </w:p>
        </w:tc>
      </w:tr>
      <w:tr w:rsidR="00A43A93" w:rsidRPr="007560A0" w14:paraId="267B418A" w14:textId="77777777" w:rsidTr="00FB1100">
        <w:tc>
          <w:tcPr>
            <w:tcW w:w="3559" w:type="dxa"/>
            <w:shd w:val="clear" w:color="auto" w:fill="auto"/>
            <w:vAlign w:val="center"/>
            <w:hideMark/>
          </w:tcPr>
          <w:p w14:paraId="38B301A7" w14:textId="77777777" w:rsidR="00A43A93" w:rsidRPr="007560A0" w:rsidRDefault="00A43A93" w:rsidP="00FB1100">
            <w:pPr>
              <w:pStyle w:val="p-01"/>
              <w:spacing w:beforeLines="20" w:before="48" w:afterLines="20" w:after="48"/>
              <w:rPr>
                <w:rFonts w:ascii="Arial" w:hAnsi="Arial" w:cs="Arial"/>
                <w:bCs/>
                <w:sz w:val="20"/>
                <w:szCs w:val="20"/>
                <w:lang w:val="en-US"/>
              </w:rPr>
            </w:pPr>
            <w:r w:rsidRPr="007560A0">
              <w:rPr>
                <w:rFonts w:ascii="Arial" w:hAnsi="Arial" w:cs="Arial"/>
                <w:bCs/>
                <w:sz w:val="20"/>
                <w:szCs w:val="20"/>
                <w:lang w:val="en-US"/>
              </w:rPr>
              <w:t>Fixed Income Market (a + b)</w:t>
            </w:r>
          </w:p>
        </w:tc>
        <w:tc>
          <w:tcPr>
            <w:tcW w:w="1842" w:type="dxa"/>
            <w:shd w:val="clear" w:color="auto" w:fill="auto"/>
            <w:vAlign w:val="center"/>
            <w:hideMark/>
          </w:tcPr>
          <w:p w14:paraId="46533291" w14:textId="77777777" w:rsidR="00A43A93" w:rsidRPr="007560A0" w:rsidRDefault="00A43A93" w:rsidP="00FB1100">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1621</w:t>
            </w:r>
          </w:p>
        </w:tc>
        <w:tc>
          <w:tcPr>
            <w:tcW w:w="1843" w:type="dxa"/>
            <w:shd w:val="clear" w:color="auto" w:fill="auto"/>
            <w:vAlign w:val="center"/>
            <w:hideMark/>
          </w:tcPr>
          <w:p w14:paraId="00C7C8C9" w14:textId="77777777" w:rsidR="00A43A93" w:rsidRPr="007560A0" w:rsidRDefault="00A43A93" w:rsidP="00FB1100">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3304</w:t>
            </w:r>
          </w:p>
        </w:tc>
        <w:tc>
          <w:tcPr>
            <w:tcW w:w="1843" w:type="dxa"/>
            <w:shd w:val="clear" w:color="auto" w:fill="auto"/>
            <w:noWrap/>
            <w:vAlign w:val="bottom"/>
            <w:hideMark/>
          </w:tcPr>
          <w:p w14:paraId="0B6E6DE9" w14:textId="77777777" w:rsidR="00A43A93" w:rsidRPr="007560A0" w:rsidRDefault="00A43A93" w:rsidP="00BE1CB5">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104%</w:t>
            </w:r>
          </w:p>
        </w:tc>
      </w:tr>
      <w:tr w:rsidR="002F222E" w:rsidRPr="007560A0" w14:paraId="61CF02E5" w14:textId="77777777" w:rsidTr="008F3848">
        <w:tc>
          <w:tcPr>
            <w:tcW w:w="3559" w:type="dxa"/>
            <w:shd w:val="clear" w:color="auto" w:fill="auto"/>
            <w:vAlign w:val="center"/>
            <w:hideMark/>
          </w:tcPr>
          <w:p w14:paraId="618E0B75" w14:textId="77777777" w:rsidR="002F222E" w:rsidRPr="007560A0" w:rsidRDefault="002F222E" w:rsidP="002F222E">
            <w:pPr>
              <w:pStyle w:val="p-01"/>
              <w:spacing w:beforeLines="20" w:before="48" w:afterLines="20" w:after="48"/>
              <w:ind w:left="227"/>
              <w:rPr>
                <w:rFonts w:ascii="Arial" w:hAnsi="Arial" w:cs="Arial"/>
                <w:sz w:val="20"/>
                <w:szCs w:val="20"/>
                <w:lang w:val="en-US"/>
              </w:rPr>
            </w:pPr>
            <w:r w:rsidRPr="007560A0">
              <w:rPr>
                <w:rFonts w:ascii="Arial" w:hAnsi="Arial" w:cs="Arial"/>
                <w:sz w:val="20"/>
                <w:szCs w:val="20"/>
                <w:lang w:val="en-US"/>
              </w:rPr>
              <w:t>Total private securities (a)</w:t>
            </w:r>
          </w:p>
        </w:tc>
        <w:tc>
          <w:tcPr>
            <w:tcW w:w="1842" w:type="dxa"/>
            <w:shd w:val="clear" w:color="auto" w:fill="auto"/>
            <w:vAlign w:val="center"/>
            <w:hideMark/>
          </w:tcPr>
          <w:p w14:paraId="215A722B" w14:textId="77777777" w:rsidR="002F222E" w:rsidRPr="007560A0" w:rsidRDefault="002F222E" w:rsidP="002F222E">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527</w:t>
            </w:r>
          </w:p>
        </w:tc>
        <w:tc>
          <w:tcPr>
            <w:tcW w:w="1843" w:type="dxa"/>
            <w:shd w:val="clear" w:color="auto" w:fill="auto"/>
            <w:vAlign w:val="center"/>
            <w:hideMark/>
          </w:tcPr>
          <w:p w14:paraId="25DA9192" w14:textId="77777777" w:rsidR="002F222E" w:rsidRPr="007560A0" w:rsidRDefault="002F222E" w:rsidP="002F222E">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1521</w:t>
            </w:r>
          </w:p>
        </w:tc>
        <w:tc>
          <w:tcPr>
            <w:tcW w:w="1843" w:type="dxa"/>
            <w:shd w:val="clear" w:color="auto" w:fill="auto"/>
            <w:noWrap/>
            <w:vAlign w:val="bottom"/>
            <w:hideMark/>
          </w:tcPr>
          <w:p w14:paraId="4D0F5F7C" w14:textId="77777777" w:rsidR="002F222E" w:rsidRPr="007560A0" w:rsidRDefault="002F222E" w:rsidP="00BE1CB5">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189%</w:t>
            </w:r>
          </w:p>
        </w:tc>
      </w:tr>
      <w:tr w:rsidR="002F222E" w:rsidRPr="007560A0" w14:paraId="218BEBEC" w14:textId="77777777" w:rsidTr="008F3848">
        <w:tc>
          <w:tcPr>
            <w:tcW w:w="3559" w:type="dxa"/>
            <w:shd w:val="clear" w:color="auto" w:fill="auto"/>
            <w:vAlign w:val="center"/>
            <w:hideMark/>
          </w:tcPr>
          <w:p w14:paraId="5DAEE5C7" w14:textId="77777777" w:rsidR="002F222E" w:rsidRPr="007560A0" w:rsidRDefault="002F222E" w:rsidP="002F222E">
            <w:pPr>
              <w:pStyle w:val="p-01"/>
              <w:spacing w:beforeLines="20" w:before="48" w:afterLines="20" w:after="48"/>
              <w:ind w:left="454"/>
              <w:rPr>
                <w:rFonts w:ascii="Arial" w:hAnsi="Arial" w:cs="Arial"/>
                <w:iCs/>
                <w:sz w:val="20"/>
                <w:szCs w:val="20"/>
                <w:lang w:val="en-US"/>
              </w:rPr>
            </w:pPr>
            <w:r w:rsidRPr="007560A0">
              <w:rPr>
                <w:rFonts w:ascii="Arial" w:hAnsi="Arial" w:cs="Arial"/>
                <w:iCs/>
                <w:sz w:val="20"/>
                <w:szCs w:val="20"/>
                <w:lang w:val="en-US"/>
              </w:rPr>
              <w:t>Corporate Securities</w:t>
            </w:r>
          </w:p>
        </w:tc>
        <w:tc>
          <w:tcPr>
            <w:tcW w:w="1842" w:type="dxa"/>
            <w:shd w:val="clear" w:color="auto" w:fill="auto"/>
            <w:vAlign w:val="center"/>
            <w:hideMark/>
          </w:tcPr>
          <w:p w14:paraId="19B1F44A" w14:textId="77777777" w:rsidR="002F222E" w:rsidRPr="007560A0" w:rsidRDefault="002F222E" w:rsidP="002F222E">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157</w:t>
            </w:r>
          </w:p>
        </w:tc>
        <w:tc>
          <w:tcPr>
            <w:tcW w:w="1843" w:type="dxa"/>
            <w:shd w:val="clear" w:color="auto" w:fill="auto"/>
            <w:vAlign w:val="center"/>
            <w:hideMark/>
          </w:tcPr>
          <w:p w14:paraId="5AF56B0F" w14:textId="77777777" w:rsidR="002F222E" w:rsidRPr="007560A0" w:rsidRDefault="002F222E" w:rsidP="002F222E">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410</w:t>
            </w:r>
          </w:p>
        </w:tc>
        <w:tc>
          <w:tcPr>
            <w:tcW w:w="1843" w:type="dxa"/>
            <w:shd w:val="clear" w:color="auto" w:fill="auto"/>
            <w:noWrap/>
            <w:vAlign w:val="bottom"/>
            <w:hideMark/>
          </w:tcPr>
          <w:p w14:paraId="141916C9" w14:textId="77777777" w:rsidR="002F222E" w:rsidRPr="007560A0" w:rsidRDefault="002F222E" w:rsidP="00BE1CB5">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161%</w:t>
            </w:r>
          </w:p>
        </w:tc>
      </w:tr>
      <w:tr w:rsidR="002F222E" w:rsidRPr="007560A0" w14:paraId="106EE657" w14:textId="77777777" w:rsidTr="008F3848">
        <w:tc>
          <w:tcPr>
            <w:tcW w:w="3559" w:type="dxa"/>
            <w:shd w:val="clear" w:color="auto" w:fill="auto"/>
            <w:vAlign w:val="center"/>
            <w:hideMark/>
          </w:tcPr>
          <w:p w14:paraId="0FE67A7B" w14:textId="77777777" w:rsidR="002F222E" w:rsidRPr="007560A0" w:rsidRDefault="002F222E" w:rsidP="002F222E">
            <w:pPr>
              <w:pStyle w:val="p-01"/>
              <w:spacing w:beforeLines="20" w:before="48" w:afterLines="20" w:after="48"/>
              <w:ind w:left="454"/>
              <w:rPr>
                <w:rFonts w:ascii="Arial" w:hAnsi="Arial" w:cs="Arial"/>
                <w:iCs/>
                <w:sz w:val="20"/>
                <w:szCs w:val="20"/>
                <w:lang w:val="en-US"/>
              </w:rPr>
            </w:pPr>
            <w:r w:rsidRPr="007560A0">
              <w:rPr>
                <w:rFonts w:ascii="Arial" w:hAnsi="Arial" w:cs="Arial"/>
                <w:iCs/>
                <w:sz w:val="20"/>
                <w:szCs w:val="20"/>
                <w:lang w:val="en-US"/>
              </w:rPr>
              <w:t>Bank Securities</w:t>
            </w:r>
          </w:p>
        </w:tc>
        <w:tc>
          <w:tcPr>
            <w:tcW w:w="1842" w:type="dxa"/>
            <w:shd w:val="clear" w:color="auto" w:fill="auto"/>
            <w:vAlign w:val="center"/>
            <w:hideMark/>
          </w:tcPr>
          <w:p w14:paraId="17F56793" w14:textId="77777777" w:rsidR="002F222E" w:rsidRPr="007560A0" w:rsidRDefault="002F222E" w:rsidP="002F222E">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346</w:t>
            </w:r>
          </w:p>
        </w:tc>
        <w:tc>
          <w:tcPr>
            <w:tcW w:w="1843" w:type="dxa"/>
            <w:shd w:val="clear" w:color="auto" w:fill="auto"/>
            <w:vAlign w:val="center"/>
            <w:hideMark/>
          </w:tcPr>
          <w:p w14:paraId="3C93304B" w14:textId="77777777" w:rsidR="002F222E" w:rsidRPr="007560A0" w:rsidRDefault="002F222E" w:rsidP="002F222E">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932</w:t>
            </w:r>
          </w:p>
        </w:tc>
        <w:tc>
          <w:tcPr>
            <w:tcW w:w="1843" w:type="dxa"/>
            <w:shd w:val="clear" w:color="auto" w:fill="auto"/>
            <w:noWrap/>
            <w:vAlign w:val="bottom"/>
            <w:hideMark/>
          </w:tcPr>
          <w:p w14:paraId="75B0886E" w14:textId="77777777" w:rsidR="002F222E" w:rsidRPr="007560A0" w:rsidRDefault="002F222E" w:rsidP="00BE1CB5">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169%</w:t>
            </w:r>
          </w:p>
        </w:tc>
      </w:tr>
      <w:tr w:rsidR="002F222E" w:rsidRPr="007560A0" w14:paraId="75B59C2C" w14:textId="77777777" w:rsidTr="008F3848">
        <w:tc>
          <w:tcPr>
            <w:tcW w:w="3559" w:type="dxa"/>
            <w:shd w:val="clear" w:color="auto" w:fill="auto"/>
            <w:vAlign w:val="center"/>
            <w:hideMark/>
          </w:tcPr>
          <w:p w14:paraId="09874D2F" w14:textId="77777777" w:rsidR="002F222E" w:rsidRPr="007560A0" w:rsidRDefault="002F222E" w:rsidP="002F222E">
            <w:pPr>
              <w:pStyle w:val="p-01"/>
              <w:spacing w:beforeLines="20" w:before="48" w:afterLines="20" w:after="48"/>
              <w:ind w:left="454"/>
              <w:rPr>
                <w:rFonts w:ascii="Arial" w:hAnsi="Arial" w:cs="Arial"/>
                <w:iCs/>
                <w:sz w:val="20"/>
                <w:szCs w:val="20"/>
                <w:lang w:val="en-US"/>
              </w:rPr>
            </w:pPr>
            <w:r w:rsidRPr="007560A0">
              <w:rPr>
                <w:rFonts w:ascii="Arial" w:hAnsi="Arial" w:cs="Arial"/>
                <w:iCs/>
                <w:sz w:val="20"/>
                <w:szCs w:val="20"/>
                <w:lang w:val="en-US"/>
              </w:rPr>
              <w:t>Credit Assignment Securities</w:t>
            </w:r>
          </w:p>
        </w:tc>
        <w:tc>
          <w:tcPr>
            <w:tcW w:w="1842" w:type="dxa"/>
            <w:shd w:val="clear" w:color="auto" w:fill="auto"/>
            <w:vAlign w:val="center"/>
            <w:hideMark/>
          </w:tcPr>
          <w:p w14:paraId="26A8B2AE" w14:textId="77777777" w:rsidR="002F222E" w:rsidRPr="007560A0" w:rsidRDefault="002F222E" w:rsidP="002F222E">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24</w:t>
            </w:r>
          </w:p>
        </w:tc>
        <w:tc>
          <w:tcPr>
            <w:tcW w:w="1843" w:type="dxa"/>
            <w:shd w:val="clear" w:color="auto" w:fill="auto"/>
            <w:vAlign w:val="center"/>
            <w:hideMark/>
          </w:tcPr>
          <w:p w14:paraId="30DB964D" w14:textId="77777777" w:rsidR="002F222E" w:rsidRPr="007560A0" w:rsidRDefault="002F222E" w:rsidP="002F222E">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179</w:t>
            </w:r>
          </w:p>
        </w:tc>
        <w:tc>
          <w:tcPr>
            <w:tcW w:w="1843" w:type="dxa"/>
            <w:shd w:val="clear" w:color="auto" w:fill="auto"/>
            <w:noWrap/>
            <w:vAlign w:val="bottom"/>
            <w:hideMark/>
          </w:tcPr>
          <w:p w14:paraId="7321E0AF" w14:textId="77777777" w:rsidR="002F222E" w:rsidRPr="007560A0" w:rsidRDefault="002F222E" w:rsidP="00BE1CB5">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646%</w:t>
            </w:r>
          </w:p>
        </w:tc>
      </w:tr>
      <w:tr w:rsidR="002F222E" w:rsidRPr="007560A0" w14:paraId="5660FAE3" w14:textId="77777777" w:rsidTr="008F3848">
        <w:tc>
          <w:tcPr>
            <w:tcW w:w="3559" w:type="dxa"/>
            <w:shd w:val="clear" w:color="auto" w:fill="auto"/>
            <w:vAlign w:val="center"/>
            <w:hideMark/>
          </w:tcPr>
          <w:p w14:paraId="533534E7" w14:textId="77777777" w:rsidR="002F222E" w:rsidRPr="007560A0" w:rsidRDefault="002F222E" w:rsidP="002F222E">
            <w:pPr>
              <w:pStyle w:val="p-01"/>
              <w:spacing w:beforeLines="20" w:before="48" w:afterLines="20" w:after="48"/>
              <w:ind w:left="227"/>
              <w:rPr>
                <w:rFonts w:ascii="Arial" w:hAnsi="Arial" w:cs="Arial"/>
                <w:sz w:val="20"/>
                <w:szCs w:val="20"/>
                <w:lang w:val="en-US"/>
              </w:rPr>
            </w:pPr>
            <w:r w:rsidRPr="007560A0">
              <w:rPr>
                <w:rFonts w:ascii="Arial" w:hAnsi="Arial" w:cs="Arial"/>
                <w:sz w:val="20"/>
                <w:szCs w:val="20"/>
                <w:lang w:val="en-US"/>
              </w:rPr>
              <w:t>Total government bonds (b)</w:t>
            </w:r>
          </w:p>
        </w:tc>
        <w:tc>
          <w:tcPr>
            <w:tcW w:w="1842" w:type="dxa"/>
            <w:shd w:val="clear" w:color="auto" w:fill="auto"/>
            <w:vAlign w:val="center"/>
            <w:hideMark/>
          </w:tcPr>
          <w:p w14:paraId="3B3B5191" w14:textId="77777777" w:rsidR="002F222E" w:rsidRPr="007560A0" w:rsidRDefault="002F222E" w:rsidP="008F3848">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1094</w:t>
            </w:r>
          </w:p>
        </w:tc>
        <w:tc>
          <w:tcPr>
            <w:tcW w:w="1843" w:type="dxa"/>
            <w:shd w:val="clear" w:color="auto" w:fill="auto"/>
            <w:vAlign w:val="center"/>
            <w:hideMark/>
          </w:tcPr>
          <w:p w14:paraId="6DB504BC" w14:textId="77777777" w:rsidR="002F222E" w:rsidRPr="007560A0" w:rsidRDefault="002F222E" w:rsidP="008F3848">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1783</w:t>
            </w:r>
          </w:p>
        </w:tc>
        <w:tc>
          <w:tcPr>
            <w:tcW w:w="1843" w:type="dxa"/>
            <w:shd w:val="clear" w:color="auto" w:fill="auto"/>
            <w:noWrap/>
            <w:vAlign w:val="bottom"/>
            <w:hideMark/>
          </w:tcPr>
          <w:p w14:paraId="54839110" w14:textId="77777777" w:rsidR="002F222E" w:rsidRPr="007560A0" w:rsidRDefault="002F222E" w:rsidP="00BE1CB5">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63%</w:t>
            </w:r>
          </w:p>
        </w:tc>
      </w:tr>
      <w:tr w:rsidR="00A43A93" w:rsidRPr="007560A0" w14:paraId="7F4957D5" w14:textId="77777777" w:rsidTr="00FB1100">
        <w:tc>
          <w:tcPr>
            <w:tcW w:w="3559" w:type="dxa"/>
            <w:shd w:val="clear" w:color="auto" w:fill="auto"/>
            <w:vAlign w:val="center"/>
            <w:hideMark/>
          </w:tcPr>
          <w:p w14:paraId="6185BBC4" w14:textId="77777777" w:rsidR="00A43A93" w:rsidRPr="007560A0" w:rsidRDefault="00A43A93" w:rsidP="00FB1100">
            <w:pPr>
              <w:pStyle w:val="p-01"/>
              <w:spacing w:beforeLines="20" w:before="48" w:afterLines="20" w:after="48"/>
              <w:rPr>
                <w:rFonts w:ascii="Arial" w:hAnsi="Arial" w:cs="Arial"/>
                <w:bCs/>
                <w:sz w:val="20"/>
                <w:szCs w:val="20"/>
                <w:lang w:val="en-US"/>
              </w:rPr>
            </w:pPr>
            <w:r w:rsidRPr="007560A0">
              <w:rPr>
                <w:rFonts w:ascii="Arial" w:hAnsi="Arial" w:cs="Arial"/>
                <w:bCs/>
                <w:sz w:val="20"/>
                <w:szCs w:val="20"/>
                <w:lang w:val="en-US"/>
              </w:rPr>
              <w:t>Stock market</w:t>
            </w:r>
          </w:p>
        </w:tc>
        <w:tc>
          <w:tcPr>
            <w:tcW w:w="1842" w:type="dxa"/>
            <w:shd w:val="clear" w:color="auto" w:fill="auto"/>
            <w:vAlign w:val="center"/>
            <w:hideMark/>
          </w:tcPr>
          <w:p w14:paraId="62813E38" w14:textId="77777777" w:rsidR="00A43A93" w:rsidRPr="007560A0" w:rsidRDefault="00A43A93" w:rsidP="00FB1100">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1545</w:t>
            </w:r>
          </w:p>
        </w:tc>
        <w:tc>
          <w:tcPr>
            <w:tcW w:w="1843" w:type="dxa"/>
            <w:shd w:val="clear" w:color="auto" w:fill="auto"/>
            <w:vAlign w:val="center"/>
            <w:hideMark/>
          </w:tcPr>
          <w:p w14:paraId="133CD964" w14:textId="77777777" w:rsidR="00A43A93" w:rsidRPr="007560A0" w:rsidRDefault="00A43A93" w:rsidP="00FB1100">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2294</w:t>
            </w:r>
          </w:p>
        </w:tc>
        <w:tc>
          <w:tcPr>
            <w:tcW w:w="1843" w:type="dxa"/>
            <w:shd w:val="clear" w:color="auto" w:fill="auto"/>
            <w:noWrap/>
            <w:vAlign w:val="bottom"/>
            <w:hideMark/>
          </w:tcPr>
          <w:p w14:paraId="206C8C26" w14:textId="77777777" w:rsidR="00A43A93" w:rsidRPr="007560A0" w:rsidRDefault="00A43A93" w:rsidP="00BE1CB5">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48%</w:t>
            </w:r>
          </w:p>
        </w:tc>
      </w:tr>
      <w:tr w:rsidR="00A43A93" w:rsidRPr="007560A0" w14:paraId="4A973FB4" w14:textId="77777777" w:rsidTr="00FB1100">
        <w:tc>
          <w:tcPr>
            <w:tcW w:w="3559" w:type="dxa"/>
            <w:shd w:val="clear" w:color="auto" w:fill="auto"/>
            <w:vAlign w:val="center"/>
            <w:hideMark/>
          </w:tcPr>
          <w:p w14:paraId="3BBB71E7" w14:textId="77777777" w:rsidR="00A43A93" w:rsidRPr="007560A0" w:rsidRDefault="00A43A93" w:rsidP="00FB1100">
            <w:pPr>
              <w:pStyle w:val="p-01"/>
              <w:spacing w:beforeLines="20" w:before="48" w:afterLines="20" w:after="48"/>
              <w:rPr>
                <w:rFonts w:ascii="Arial" w:hAnsi="Arial" w:cs="Arial"/>
                <w:bCs/>
                <w:sz w:val="20"/>
                <w:szCs w:val="20"/>
                <w:lang w:val="en-US"/>
              </w:rPr>
            </w:pPr>
            <w:r w:rsidRPr="007560A0">
              <w:rPr>
                <w:rFonts w:ascii="Arial" w:hAnsi="Arial" w:cs="Arial"/>
                <w:bCs/>
                <w:sz w:val="20"/>
                <w:szCs w:val="20"/>
                <w:lang w:val="en-US"/>
              </w:rPr>
              <w:t>Financial Instruments</w:t>
            </w:r>
          </w:p>
        </w:tc>
        <w:tc>
          <w:tcPr>
            <w:tcW w:w="1842" w:type="dxa"/>
            <w:shd w:val="clear" w:color="auto" w:fill="auto"/>
            <w:vAlign w:val="center"/>
            <w:hideMark/>
          </w:tcPr>
          <w:p w14:paraId="210D7792" w14:textId="77777777" w:rsidR="00A43A93" w:rsidRPr="007560A0" w:rsidRDefault="00A43A93" w:rsidP="00FB1100">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461</w:t>
            </w:r>
          </w:p>
        </w:tc>
        <w:tc>
          <w:tcPr>
            <w:tcW w:w="1843" w:type="dxa"/>
            <w:shd w:val="clear" w:color="auto" w:fill="auto"/>
            <w:vAlign w:val="center"/>
            <w:hideMark/>
          </w:tcPr>
          <w:p w14:paraId="1CB0EEEA" w14:textId="77777777" w:rsidR="00A43A93" w:rsidRPr="007560A0" w:rsidRDefault="00A43A93" w:rsidP="00FB1100">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1195</w:t>
            </w:r>
          </w:p>
        </w:tc>
        <w:tc>
          <w:tcPr>
            <w:tcW w:w="1843" w:type="dxa"/>
            <w:shd w:val="clear" w:color="auto" w:fill="auto"/>
            <w:noWrap/>
            <w:vAlign w:val="bottom"/>
            <w:hideMark/>
          </w:tcPr>
          <w:p w14:paraId="4ACA3670" w14:textId="77777777" w:rsidR="00A43A93" w:rsidRPr="007560A0" w:rsidRDefault="00A43A93" w:rsidP="00BE1CB5">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159%</w:t>
            </w:r>
          </w:p>
        </w:tc>
      </w:tr>
      <w:tr w:rsidR="00A43A93" w:rsidRPr="007560A0" w14:paraId="0522F605" w14:textId="77777777" w:rsidTr="00FB1100">
        <w:tc>
          <w:tcPr>
            <w:tcW w:w="3559" w:type="dxa"/>
            <w:shd w:val="clear" w:color="auto" w:fill="auto"/>
            <w:vAlign w:val="center"/>
            <w:hideMark/>
          </w:tcPr>
          <w:p w14:paraId="2773AE24" w14:textId="77777777" w:rsidR="00A43A93" w:rsidRPr="007560A0" w:rsidRDefault="00A43A93" w:rsidP="00FB1100">
            <w:pPr>
              <w:pStyle w:val="p-01"/>
              <w:spacing w:beforeLines="20" w:before="48" w:afterLines="20" w:after="48"/>
              <w:rPr>
                <w:rFonts w:ascii="Arial" w:hAnsi="Arial" w:cs="Arial"/>
                <w:bCs/>
                <w:sz w:val="20"/>
                <w:szCs w:val="20"/>
                <w:lang w:val="en-US"/>
              </w:rPr>
            </w:pPr>
            <w:r w:rsidRPr="007560A0">
              <w:rPr>
                <w:rFonts w:ascii="Arial" w:hAnsi="Arial" w:cs="Arial"/>
                <w:bCs/>
                <w:sz w:val="20"/>
                <w:szCs w:val="20"/>
                <w:lang w:val="en-US"/>
              </w:rPr>
              <w:t>Derivatives Market</w:t>
            </w:r>
          </w:p>
        </w:tc>
        <w:tc>
          <w:tcPr>
            <w:tcW w:w="1842" w:type="dxa"/>
            <w:shd w:val="clear" w:color="auto" w:fill="auto"/>
            <w:vAlign w:val="center"/>
            <w:hideMark/>
          </w:tcPr>
          <w:p w14:paraId="1BEC5513" w14:textId="77777777" w:rsidR="00A43A93" w:rsidRPr="007560A0" w:rsidRDefault="00A43A93" w:rsidP="00FB1100">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1723</w:t>
            </w:r>
          </w:p>
        </w:tc>
        <w:tc>
          <w:tcPr>
            <w:tcW w:w="1843" w:type="dxa"/>
            <w:shd w:val="clear" w:color="auto" w:fill="auto"/>
            <w:vAlign w:val="center"/>
            <w:hideMark/>
          </w:tcPr>
          <w:p w14:paraId="54888401" w14:textId="77777777" w:rsidR="00A43A93" w:rsidRPr="007560A0" w:rsidRDefault="00A43A93" w:rsidP="00FB1100">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5943</w:t>
            </w:r>
          </w:p>
        </w:tc>
        <w:tc>
          <w:tcPr>
            <w:tcW w:w="1843" w:type="dxa"/>
            <w:shd w:val="clear" w:color="auto" w:fill="auto"/>
            <w:noWrap/>
            <w:vAlign w:val="bottom"/>
            <w:hideMark/>
          </w:tcPr>
          <w:p w14:paraId="143D0CDB" w14:textId="77777777" w:rsidR="00A43A93" w:rsidRPr="007560A0" w:rsidRDefault="00A43A93" w:rsidP="00BE1CB5">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245%</w:t>
            </w:r>
          </w:p>
        </w:tc>
      </w:tr>
      <w:tr w:rsidR="00A43A93" w:rsidRPr="007560A0" w14:paraId="28E01424" w14:textId="77777777" w:rsidTr="00FB1100">
        <w:tc>
          <w:tcPr>
            <w:tcW w:w="3559" w:type="dxa"/>
            <w:shd w:val="clear" w:color="auto" w:fill="auto"/>
            <w:vAlign w:val="center"/>
            <w:hideMark/>
          </w:tcPr>
          <w:p w14:paraId="2944C3BB" w14:textId="77777777" w:rsidR="00A43A93" w:rsidRPr="007560A0" w:rsidRDefault="00A43A93" w:rsidP="00FB1100">
            <w:pPr>
              <w:pStyle w:val="p-01"/>
              <w:spacing w:beforeLines="20" w:before="48" w:afterLines="20" w:after="48"/>
              <w:rPr>
                <w:rFonts w:ascii="Arial" w:hAnsi="Arial" w:cs="Arial"/>
                <w:sz w:val="20"/>
                <w:szCs w:val="20"/>
                <w:lang w:val="en-US"/>
              </w:rPr>
            </w:pPr>
            <w:r w:rsidRPr="007560A0">
              <w:rPr>
                <w:rFonts w:ascii="Arial" w:hAnsi="Arial" w:cs="Arial"/>
                <w:sz w:val="20"/>
                <w:szCs w:val="20"/>
                <w:lang w:val="en-US"/>
              </w:rPr>
              <w:t>Total</w:t>
            </w:r>
          </w:p>
        </w:tc>
        <w:tc>
          <w:tcPr>
            <w:tcW w:w="1842" w:type="dxa"/>
            <w:shd w:val="clear" w:color="auto" w:fill="auto"/>
            <w:vAlign w:val="center"/>
            <w:hideMark/>
          </w:tcPr>
          <w:p w14:paraId="4E15B353" w14:textId="77777777" w:rsidR="00A43A93" w:rsidRPr="007560A0" w:rsidRDefault="00A43A93" w:rsidP="00FB1100">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5350</w:t>
            </w:r>
          </w:p>
        </w:tc>
        <w:tc>
          <w:tcPr>
            <w:tcW w:w="1843" w:type="dxa"/>
            <w:shd w:val="clear" w:color="auto" w:fill="auto"/>
            <w:vAlign w:val="center"/>
            <w:hideMark/>
          </w:tcPr>
          <w:p w14:paraId="318D618D" w14:textId="77777777" w:rsidR="00A43A93" w:rsidRPr="007560A0" w:rsidRDefault="00A43A93" w:rsidP="00FB1100">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12736</w:t>
            </w:r>
          </w:p>
        </w:tc>
        <w:tc>
          <w:tcPr>
            <w:tcW w:w="1843" w:type="dxa"/>
            <w:shd w:val="clear" w:color="auto" w:fill="auto"/>
            <w:noWrap/>
            <w:vAlign w:val="bottom"/>
            <w:hideMark/>
          </w:tcPr>
          <w:p w14:paraId="17E4355E" w14:textId="77777777" w:rsidR="00A43A93" w:rsidRPr="007560A0" w:rsidRDefault="00A43A93" w:rsidP="00BE1CB5">
            <w:pPr>
              <w:pStyle w:val="p-01"/>
              <w:spacing w:beforeLines="20" w:before="48" w:afterLines="20" w:after="48"/>
              <w:jc w:val="center"/>
              <w:rPr>
                <w:rFonts w:ascii="Arial" w:hAnsi="Arial" w:cs="Arial"/>
                <w:sz w:val="20"/>
                <w:szCs w:val="20"/>
                <w:lang w:val="en-US"/>
              </w:rPr>
            </w:pPr>
            <w:r w:rsidRPr="007560A0">
              <w:rPr>
                <w:rFonts w:ascii="Arial" w:hAnsi="Arial" w:cs="Arial"/>
                <w:sz w:val="20"/>
                <w:szCs w:val="20"/>
                <w:lang w:val="en-US"/>
              </w:rPr>
              <w:t>138%</w:t>
            </w:r>
          </w:p>
        </w:tc>
      </w:tr>
    </w:tbl>
    <w:p w14:paraId="37717D60" w14:textId="77777777" w:rsidR="00A43A93" w:rsidRPr="007560A0" w:rsidRDefault="00A43A93" w:rsidP="002F222E">
      <w:pPr>
        <w:pStyle w:val="f-03"/>
        <w:rPr>
          <w:rFonts w:ascii="Arial" w:hAnsi="Arial" w:cs="Arial"/>
          <w:lang w:val="en-US"/>
        </w:rPr>
      </w:pPr>
      <w:r w:rsidRPr="007560A0">
        <w:rPr>
          <w:rFonts w:ascii="Arial" w:hAnsi="Arial" w:cs="Arial"/>
          <w:lang w:val="en-US"/>
        </w:rPr>
        <w:t xml:space="preserve">Source: </w:t>
      </w:r>
      <w:r w:rsidR="002F222E" w:rsidRPr="007560A0">
        <w:rPr>
          <w:rFonts w:ascii="Arial" w:hAnsi="Arial" w:cs="Arial"/>
          <w:lang w:val="en-US"/>
        </w:rPr>
        <w:t xml:space="preserve">adapted </w:t>
      </w:r>
      <w:r w:rsidRPr="007560A0">
        <w:rPr>
          <w:rFonts w:ascii="Arial" w:hAnsi="Arial" w:cs="Arial"/>
          <w:lang w:val="en-US"/>
        </w:rPr>
        <w:t>from Torres Filho (2012)</w:t>
      </w:r>
      <w:r w:rsidR="002F222E" w:rsidRPr="007560A0">
        <w:rPr>
          <w:rFonts w:ascii="Arial" w:hAnsi="Arial" w:cs="Arial"/>
          <w:lang w:val="en-US"/>
        </w:rPr>
        <w:t>.</w:t>
      </w:r>
    </w:p>
    <w:p w14:paraId="17E38C9E" w14:textId="1AB55D25" w:rsidR="00A43A93" w:rsidRPr="007560A0" w:rsidRDefault="002F222E" w:rsidP="00F558C3">
      <w:pPr>
        <w:pStyle w:val="p-01"/>
        <w:rPr>
          <w:rFonts w:ascii="Arial" w:hAnsi="Arial" w:cs="Arial"/>
          <w:lang w:val="en-US"/>
        </w:rPr>
      </w:pPr>
      <w:r w:rsidRPr="007560A0">
        <w:rPr>
          <w:rFonts w:ascii="Arial" w:hAnsi="Arial" w:cs="Arial"/>
          <w:lang w:val="en-US"/>
        </w:rPr>
        <w:t xml:space="preserve">As you can see, in </w:t>
      </w:r>
      <w:r w:rsidR="00A43A93" w:rsidRPr="007560A0">
        <w:rPr>
          <w:rFonts w:ascii="Arial" w:hAnsi="Arial" w:cs="Arial"/>
          <w:lang w:val="en-US"/>
        </w:rPr>
        <w:t xml:space="preserve">the fixed income market, public securities still dominate, representing 54% of the total in 2011, although it is apparent they have declined </w:t>
      </w:r>
      <w:r w:rsidR="00F72B25" w:rsidRPr="007560A0">
        <w:rPr>
          <w:rFonts w:ascii="Arial" w:hAnsi="Arial" w:cs="Arial"/>
          <w:lang w:val="en-US"/>
        </w:rPr>
        <w:t xml:space="preserve">when compared with their share </w:t>
      </w:r>
      <w:r w:rsidRPr="007560A0">
        <w:rPr>
          <w:rFonts w:ascii="Arial" w:hAnsi="Arial" w:cs="Arial"/>
          <w:lang w:val="en-US"/>
        </w:rPr>
        <w:t xml:space="preserve">in 2006, which reached over 67% of the total. </w:t>
      </w:r>
      <w:r w:rsidR="00A43A93" w:rsidRPr="007560A0">
        <w:rPr>
          <w:rFonts w:ascii="Arial" w:hAnsi="Arial" w:cs="Arial"/>
          <w:lang w:val="en-US"/>
        </w:rPr>
        <w:t xml:space="preserve">One of the reasons for the growth of the private securities market was the reduction in </w:t>
      </w:r>
      <w:r w:rsidR="00FC4023" w:rsidRPr="007560A0">
        <w:rPr>
          <w:rFonts w:ascii="Arial" w:hAnsi="Arial" w:cs="Arial"/>
          <w:lang w:val="en-US"/>
        </w:rPr>
        <w:t>real interest rates observed</w:t>
      </w:r>
      <w:r w:rsidR="00A43A93" w:rsidRPr="007560A0">
        <w:rPr>
          <w:rFonts w:ascii="Arial" w:hAnsi="Arial" w:cs="Arial"/>
          <w:lang w:val="en-US"/>
        </w:rPr>
        <w:t xml:space="preserve"> until early 2013. Once again, it is worth remembering that this trend has revers</w:t>
      </w:r>
      <w:r w:rsidRPr="007560A0">
        <w:rPr>
          <w:rFonts w:ascii="Arial" w:hAnsi="Arial" w:cs="Arial"/>
          <w:lang w:val="en-US"/>
        </w:rPr>
        <w:t>ed</w:t>
      </w:r>
      <w:r w:rsidR="00A43A93" w:rsidRPr="007560A0">
        <w:rPr>
          <w:rFonts w:ascii="Arial" w:hAnsi="Arial" w:cs="Arial"/>
          <w:lang w:val="en-US"/>
        </w:rPr>
        <w:t xml:space="preserve"> in recent years, making it difficult for this growth trend to continue, at least in the short-term.  </w:t>
      </w:r>
    </w:p>
    <w:p w14:paraId="0F963A7B" w14:textId="77777777" w:rsidR="00A43A93" w:rsidRPr="007560A0" w:rsidRDefault="002F222E" w:rsidP="00F558C3">
      <w:pPr>
        <w:pStyle w:val="p-01"/>
        <w:rPr>
          <w:rFonts w:ascii="Arial" w:hAnsi="Arial" w:cs="Arial"/>
          <w:lang w:val="en-US"/>
        </w:rPr>
      </w:pPr>
      <w:r w:rsidRPr="007560A0">
        <w:rPr>
          <w:rFonts w:ascii="Arial" w:hAnsi="Arial" w:cs="Arial"/>
          <w:color w:val="000000" w:themeColor="text1"/>
          <w:lang w:val="en-US"/>
        </w:rPr>
        <w:t xml:space="preserve">Despite </w:t>
      </w:r>
      <w:r w:rsidR="00A43A93" w:rsidRPr="007560A0">
        <w:rPr>
          <w:rFonts w:ascii="Arial" w:hAnsi="Arial" w:cs="Arial"/>
          <w:color w:val="000000" w:themeColor="text1"/>
          <w:lang w:val="en-US"/>
        </w:rPr>
        <w:t>the significant growth during the recent period (more than 180% between 2006 and 2011), the private securities market still represents a very small portion of the total assets in the domestic financial market</w:t>
      </w:r>
      <w:r w:rsidRPr="007560A0">
        <w:rPr>
          <w:rFonts w:ascii="Arial" w:hAnsi="Arial" w:cs="Arial"/>
          <w:color w:val="000000" w:themeColor="text1"/>
          <w:lang w:val="en-US"/>
        </w:rPr>
        <w:t xml:space="preserve"> (Torres Filho, 2012)</w:t>
      </w:r>
      <w:r w:rsidR="00A43A93" w:rsidRPr="007560A0">
        <w:rPr>
          <w:rFonts w:ascii="Arial" w:hAnsi="Arial" w:cs="Arial"/>
          <w:color w:val="000000" w:themeColor="text1"/>
          <w:lang w:val="en-US"/>
        </w:rPr>
        <w:t xml:space="preserve">. </w:t>
      </w:r>
      <w:r w:rsidRPr="007560A0">
        <w:rPr>
          <w:rFonts w:ascii="Arial" w:hAnsi="Arial" w:cs="Arial"/>
          <w:lang w:val="en-US"/>
        </w:rPr>
        <w:t>This finding</w:t>
      </w:r>
      <w:r w:rsidR="00A43A93" w:rsidRPr="007560A0">
        <w:rPr>
          <w:rFonts w:ascii="Arial" w:hAnsi="Arial" w:cs="Arial"/>
          <w:lang w:val="en-US"/>
        </w:rPr>
        <w:t xml:space="preserve"> is clear when you compare the size of the corporate securities market in Brazil </w:t>
      </w:r>
      <w:r w:rsidRPr="007560A0">
        <w:rPr>
          <w:rFonts w:ascii="Arial" w:hAnsi="Arial" w:cs="Arial"/>
          <w:i/>
          <w:lang w:val="en-US"/>
        </w:rPr>
        <w:t>vis-à-</w:t>
      </w:r>
      <w:r w:rsidR="00A43A93" w:rsidRPr="007560A0">
        <w:rPr>
          <w:rFonts w:ascii="Arial" w:hAnsi="Arial" w:cs="Arial"/>
          <w:i/>
          <w:lang w:val="en-US"/>
        </w:rPr>
        <w:t>vis</w:t>
      </w:r>
      <w:r w:rsidRPr="007560A0">
        <w:rPr>
          <w:rFonts w:ascii="Arial" w:hAnsi="Arial" w:cs="Arial"/>
          <w:lang w:val="en-US"/>
        </w:rPr>
        <w:t xml:space="preserve"> select countries</w:t>
      </w:r>
      <w:r w:rsidR="00F558C3" w:rsidRPr="007560A0">
        <w:rPr>
          <w:rFonts w:ascii="Arial" w:hAnsi="Arial" w:cs="Arial"/>
          <w:lang w:val="en-US"/>
        </w:rPr>
        <w:t xml:space="preserve"> (table 2)</w:t>
      </w:r>
      <w:r w:rsidRPr="007560A0">
        <w:rPr>
          <w:rFonts w:ascii="Arial" w:hAnsi="Arial" w:cs="Arial"/>
          <w:lang w:val="en-US"/>
        </w:rPr>
        <w:t>.</w:t>
      </w:r>
    </w:p>
    <w:p w14:paraId="114E3330" w14:textId="77777777" w:rsidR="00A43A93" w:rsidRPr="007560A0" w:rsidRDefault="00A43A93" w:rsidP="00710455">
      <w:pPr>
        <w:pStyle w:val="f-01"/>
        <w:rPr>
          <w:rFonts w:ascii="Arial" w:hAnsi="Arial"/>
          <w:noProof w:val="0"/>
          <w:lang w:val="en-US"/>
        </w:rPr>
      </w:pPr>
      <w:r w:rsidRPr="007560A0">
        <w:rPr>
          <w:rFonts w:ascii="Arial" w:hAnsi="Arial"/>
          <w:noProof w:val="0"/>
          <w:lang w:val="en-US"/>
        </w:rPr>
        <w:t xml:space="preserve">Table </w:t>
      </w:r>
      <w:r w:rsidR="00F558C3" w:rsidRPr="007560A0">
        <w:rPr>
          <w:rFonts w:ascii="Arial" w:hAnsi="Arial"/>
          <w:noProof w:val="0"/>
          <w:lang w:val="en-US"/>
        </w:rPr>
        <w:t>2: s</w:t>
      </w:r>
      <w:r w:rsidRPr="007560A0">
        <w:rPr>
          <w:rFonts w:ascii="Arial" w:hAnsi="Arial"/>
          <w:noProof w:val="0"/>
          <w:lang w:val="en-US"/>
        </w:rPr>
        <w:t xml:space="preserve">tock of corporate securities in selected countries </w:t>
      </w:r>
      <w:r w:rsidR="00F558C3" w:rsidRPr="007560A0">
        <w:rPr>
          <w:rFonts w:ascii="Arial" w:hAnsi="Arial"/>
          <w:noProof w:val="0"/>
          <w:lang w:val="en-US"/>
        </w:rPr>
        <w:t>(</w:t>
      </w:r>
      <w:r w:rsidRPr="007560A0">
        <w:rPr>
          <w:rFonts w:ascii="Arial" w:hAnsi="Arial"/>
          <w:noProof w:val="0"/>
          <w:lang w:val="en-US"/>
        </w:rPr>
        <w:t>as % of the GDP</w:t>
      </w:r>
      <w:r w:rsidR="00F558C3" w:rsidRPr="007560A0">
        <w:rPr>
          <w:rFonts w:ascii="Arial" w:hAnsi="Arial"/>
          <w:noProof w:val="0"/>
          <w:lang w:val="en-US"/>
        </w:rPr>
        <w:t xml:space="preserve">), </w:t>
      </w:r>
      <w:r w:rsidRPr="007560A0">
        <w:rPr>
          <w:rFonts w:ascii="Arial" w:hAnsi="Arial"/>
          <w:noProof w:val="0"/>
          <w:lang w:val="en-US"/>
        </w:rPr>
        <w:t>2010</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22"/>
        <w:gridCol w:w="4858"/>
      </w:tblGrid>
      <w:tr w:rsidR="00A43A93" w:rsidRPr="007560A0" w14:paraId="045F35C5" w14:textId="77777777" w:rsidTr="002F222E">
        <w:tc>
          <w:tcPr>
            <w:tcW w:w="4322" w:type="dxa"/>
          </w:tcPr>
          <w:p w14:paraId="000E7C40" w14:textId="77777777" w:rsidR="00A43A93" w:rsidRPr="007560A0" w:rsidRDefault="00A43A93" w:rsidP="00F558C3">
            <w:pPr>
              <w:pStyle w:val="p-01"/>
              <w:spacing w:beforeLines="20" w:before="48" w:afterLines="20" w:after="48"/>
              <w:jc w:val="left"/>
              <w:rPr>
                <w:rFonts w:ascii="Arial" w:hAnsi="Arial" w:cs="Arial"/>
                <w:b/>
                <w:bCs/>
                <w:sz w:val="20"/>
                <w:szCs w:val="20"/>
                <w:lang w:val="en-US"/>
              </w:rPr>
            </w:pPr>
            <w:r w:rsidRPr="007560A0">
              <w:rPr>
                <w:rFonts w:ascii="Arial" w:hAnsi="Arial" w:cs="Arial"/>
                <w:b/>
                <w:bCs/>
                <w:sz w:val="20"/>
                <w:szCs w:val="20"/>
                <w:lang w:val="en-US"/>
              </w:rPr>
              <w:t>Country</w:t>
            </w:r>
          </w:p>
        </w:tc>
        <w:tc>
          <w:tcPr>
            <w:tcW w:w="4858" w:type="dxa"/>
          </w:tcPr>
          <w:p w14:paraId="46C1657D" w14:textId="77777777" w:rsidR="00A43A93" w:rsidRPr="007560A0" w:rsidRDefault="00A43A93" w:rsidP="002F222E">
            <w:pPr>
              <w:pStyle w:val="p-01"/>
              <w:spacing w:beforeLines="20" w:before="48" w:afterLines="20" w:after="48"/>
              <w:jc w:val="center"/>
              <w:rPr>
                <w:rFonts w:ascii="Arial" w:hAnsi="Arial" w:cs="Arial"/>
                <w:b/>
                <w:bCs/>
                <w:sz w:val="20"/>
                <w:szCs w:val="20"/>
                <w:lang w:val="en-US"/>
              </w:rPr>
            </w:pPr>
            <w:r w:rsidRPr="007560A0">
              <w:rPr>
                <w:rFonts w:ascii="Arial" w:hAnsi="Arial" w:cs="Arial"/>
                <w:b/>
                <w:bCs/>
                <w:sz w:val="20"/>
                <w:szCs w:val="20"/>
                <w:lang w:val="en-US"/>
              </w:rPr>
              <w:t>% of the GDP</w:t>
            </w:r>
          </w:p>
        </w:tc>
      </w:tr>
      <w:tr w:rsidR="00A43A93" w:rsidRPr="007560A0" w14:paraId="5225F657" w14:textId="77777777" w:rsidTr="002F222E">
        <w:tc>
          <w:tcPr>
            <w:tcW w:w="4322" w:type="dxa"/>
          </w:tcPr>
          <w:p w14:paraId="539E8102" w14:textId="77777777" w:rsidR="00A43A93" w:rsidRPr="007560A0" w:rsidRDefault="00F558C3" w:rsidP="00F558C3">
            <w:pPr>
              <w:pStyle w:val="p-01"/>
              <w:spacing w:beforeLines="20" w:before="48" w:afterLines="20" w:after="48"/>
              <w:jc w:val="left"/>
              <w:rPr>
                <w:rFonts w:ascii="Arial" w:hAnsi="Arial" w:cs="Arial"/>
                <w:bCs/>
                <w:sz w:val="20"/>
                <w:szCs w:val="20"/>
                <w:lang w:val="en-US"/>
              </w:rPr>
            </w:pPr>
            <w:r w:rsidRPr="007560A0">
              <w:rPr>
                <w:rFonts w:ascii="Arial" w:hAnsi="Arial" w:cs="Arial"/>
                <w:bCs/>
                <w:sz w:val="20"/>
                <w:szCs w:val="20"/>
                <w:lang w:val="en-US"/>
              </w:rPr>
              <w:t>United States</w:t>
            </w:r>
          </w:p>
        </w:tc>
        <w:tc>
          <w:tcPr>
            <w:tcW w:w="4858" w:type="dxa"/>
          </w:tcPr>
          <w:p w14:paraId="02C81DA5" w14:textId="77777777" w:rsidR="00A43A93" w:rsidRPr="007560A0" w:rsidRDefault="00A43A93" w:rsidP="002F222E">
            <w:pPr>
              <w:pStyle w:val="p-01"/>
              <w:spacing w:beforeLines="20" w:before="48" w:afterLines="20" w:after="48"/>
              <w:jc w:val="center"/>
              <w:rPr>
                <w:rFonts w:ascii="Arial" w:hAnsi="Arial" w:cs="Arial"/>
                <w:bCs/>
                <w:sz w:val="20"/>
                <w:szCs w:val="20"/>
                <w:lang w:val="en-US"/>
              </w:rPr>
            </w:pPr>
            <w:r w:rsidRPr="007560A0">
              <w:rPr>
                <w:rFonts w:ascii="Arial" w:hAnsi="Arial" w:cs="Arial"/>
                <w:bCs/>
                <w:sz w:val="20"/>
                <w:szCs w:val="20"/>
                <w:lang w:val="en-US"/>
              </w:rPr>
              <w:t>19.7</w:t>
            </w:r>
          </w:p>
        </w:tc>
      </w:tr>
      <w:tr w:rsidR="00A43A93" w:rsidRPr="007560A0" w14:paraId="37C5CBC9" w14:textId="77777777" w:rsidTr="002F222E">
        <w:tc>
          <w:tcPr>
            <w:tcW w:w="4322" w:type="dxa"/>
          </w:tcPr>
          <w:p w14:paraId="156858AD" w14:textId="77777777" w:rsidR="00A43A93" w:rsidRPr="007560A0" w:rsidRDefault="00A43A93" w:rsidP="00F558C3">
            <w:pPr>
              <w:pStyle w:val="p-01"/>
              <w:spacing w:beforeLines="20" w:before="48" w:afterLines="20" w:after="48"/>
              <w:jc w:val="left"/>
              <w:rPr>
                <w:rFonts w:ascii="Arial" w:hAnsi="Arial" w:cs="Arial"/>
                <w:bCs/>
                <w:sz w:val="20"/>
                <w:szCs w:val="20"/>
                <w:lang w:val="en-US"/>
              </w:rPr>
            </w:pPr>
            <w:r w:rsidRPr="007560A0">
              <w:rPr>
                <w:rFonts w:ascii="Arial" w:hAnsi="Arial" w:cs="Arial"/>
                <w:bCs/>
                <w:sz w:val="20"/>
                <w:szCs w:val="20"/>
                <w:lang w:val="en-US"/>
              </w:rPr>
              <w:t>Germany</w:t>
            </w:r>
          </w:p>
        </w:tc>
        <w:tc>
          <w:tcPr>
            <w:tcW w:w="4858" w:type="dxa"/>
          </w:tcPr>
          <w:p w14:paraId="5F1EB2FF" w14:textId="77777777" w:rsidR="00A43A93" w:rsidRPr="007560A0" w:rsidRDefault="00A43A93" w:rsidP="002F222E">
            <w:pPr>
              <w:pStyle w:val="p-01"/>
              <w:spacing w:beforeLines="20" w:before="48" w:afterLines="20" w:after="48"/>
              <w:jc w:val="center"/>
              <w:rPr>
                <w:rFonts w:ascii="Arial" w:hAnsi="Arial" w:cs="Arial"/>
                <w:bCs/>
                <w:sz w:val="20"/>
                <w:szCs w:val="20"/>
                <w:lang w:val="en-US"/>
              </w:rPr>
            </w:pPr>
            <w:r w:rsidRPr="007560A0">
              <w:rPr>
                <w:rFonts w:ascii="Arial" w:hAnsi="Arial" w:cs="Arial"/>
                <w:bCs/>
                <w:sz w:val="20"/>
                <w:szCs w:val="20"/>
                <w:lang w:val="en-US"/>
              </w:rPr>
              <w:t>10.7</w:t>
            </w:r>
          </w:p>
        </w:tc>
      </w:tr>
      <w:tr w:rsidR="00A43A93" w:rsidRPr="007560A0" w14:paraId="4B238ED2" w14:textId="77777777" w:rsidTr="002F222E">
        <w:tc>
          <w:tcPr>
            <w:tcW w:w="4322" w:type="dxa"/>
          </w:tcPr>
          <w:p w14:paraId="3A27AE1E" w14:textId="77777777" w:rsidR="00A43A93" w:rsidRPr="007560A0" w:rsidRDefault="00A43A93" w:rsidP="00F558C3">
            <w:pPr>
              <w:pStyle w:val="p-01"/>
              <w:spacing w:beforeLines="20" w:before="48" w:afterLines="20" w:after="48"/>
              <w:jc w:val="left"/>
              <w:rPr>
                <w:rFonts w:ascii="Arial" w:hAnsi="Arial" w:cs="Arial"/>
                <w:bCs/>
                <w:sz w:val="20"/>
                <w:szCs w:val="20"/>
                <w:lang w:val="en-US"/>
              </w:rPr>
            </w:pPr>
            <w:r w:rsidRPr="007560A0">
              <w:rPr>
                <w:rFonts w:ascii="Arial" w:hAnsi="Arial" w:cs="Arial"/>
                <w:bCs/>
                <w:sz w:val="20"/>
                <w:szCs w:val="20"/>
                <w:lang w:val="en-US"/>
              </w:rPr>
              <w:t>France</w:t>
            </w:r>
          </w:p>
        </w:tc>
        <w:tc>
          <w:tcPr>
            <w:tcW w:w="4858" w:type="dxa"/>
          </w:tcPr>
          <w:p w14:paraId="1F4F9569" w14:textId="77777777" w:rsidR="00A43A93" w:rsidRPr="007560A0" w:rsidRDefault="00A43A93" w:rsidP="002F222E">
            <w:pPr>
              <w:pStyle w:val="p-01"/>
              <w:spacing w:beforeLines="20" w:before="48" w:afterLines="20" w:after="48"/>
              <w:jc w:val="center"/>
              <w:rPr>
                <w:rFonts w:ascii="Arial" w:hAnsi="Arial" w:cs="Arial"/>
                <w:bCs/>
                <w:sz w:val="20"/>
                <w:szCs w:val="20"/>
                <w:lang w:val="en-US"/>
              </w:rPr>
            </w:pPr>
            <w:r w:rsidRPr="007560A0">
              <w:rPr>
                <w:rFonts w:ascii="Arial" w:hAnsi="Arial" w:cs="Arial"/>
                <w:bCs/>
                <w:sz w:val="20"/>
                <w:szCs w:val="20"/>
                <w:lang w:val="en-US"/>
              </w:rPr>
              <w:t>10.9</w:t>
            </w:r>
          </w:p>
        </w:tc>
      </w:tr>
      <w:tr w:rsidR="00A43A93" w:rsidRPr="007560A0" w14:paraId="6EC0C1D6" w14:textId="77777777" w:rsidTr="002F222E">
        <w:tc>
          <w:tcPr>
            <w:tcW w:w="4322" w:type="dxa"/>
          </w:tcPr>
          <w:p w14:paraId="2E2AF88A" w14:textId="77777777" w:rsidR="00A43A93" w:rsidRPr="007560A0" w:rsidRDefault="00A43A93" w:rsidP="00F558C3">
            <w:pPr>
              <w:pStyle w:val="p-01"/>
              <w:spacing w:beforeLines="20" w:before="48" w:afterLines="20" w:after="48"/>
              <w:jc w:val="left"/>
              <w:rPr>
                <w:rFonts w:ascii="Arial" w:hAnsi="Arial" w:cs="Arial"/>
                <w:bCs/>
                <w:sz w:val="20"/>
                <w:szCs w:val="20"/>
                <w:lang w:val="en-US"/>
              </w:rPr>
            </w:pPr>
            <w:r w:rsidRPr="007560A0">
              <w:rPr>
                <w:rFonts w:ascii="Arial" w:hAnsi="Arial" w:cs="Arial"/>
                <w:bCs/>
                <w:sz w:val="20"/>
                <w:szCs w:val="20"/>
                <w:lang w:val="en-US"/>
              </w:rPr>
              <w:t>United Kingdom</w:t>
            </w:r>
          </w:p>
        </w:tc>
        <w:tc>
          <w:tcPr>
            <w:tcW w:w="4858" w:type="dxa"/>
          </w:tcPr>
          <w:p w14:paraId="418D8F57" w14:textId="77777777" w:rsidR="00A43A93" w:rsidRPr="007560A0" w:rsidRDefault="00A43A93" w:rsidP="002F222E">
            <w:pPr>
              <w:pStyle w:val="p-01"/>
              <w:spacing w:beforeLines="20" w:before="48" w:afterLines="20" w:after="48"/>
              <w:jc w:val="center"/>
              <w:rPr>
                <w:rFonts w:ascii="Arial" w:hAnsi="Arial" w:cs="Arial"/>
                <w:bCs/>
                <w:sz w:val="20"/>
                <w:szCs w:val="20"/>
                <w:lang w:val="en-US"/>
              </w:rPr>
            </w:pPr>
            <w:r w:rsidRPr="007560A0">
              <w:rPr>
                <w:rFonts w:ascii="Arial" w:hAnsi="Arial" w:cs="Arial"/>
                <w:bCs/>
                <w:sz w:val="20"/>
                <w:szCs w:val="20"/>
                <w:lang w:val="en-US"/>
              </w:rPr>
              <w:t>0.9</w:t>
            </w:r>
          </w:p>
        </w:tc>
      </w:tr>
      <w:tr w:rsidR="00A43A93" w:rsidRPr="007560A0" w14:paraId="34793403" w14:textId="77777777" w:rsidTr="002F222E">
        <w:tc>
          <w:tcPr>
            <w:tcW w:w="4322" w:type="dxa"/>
          </w:tcPr>
          <w:p w14:paraId="73D928A6" w14:textId="77777777" w:rsidR="00A43A93" w:rsidRPr="007560A0" w:rsidRDefault="00A43A93" w:rsidP="00F558C3">
            <w:pPr>
              <w:pStyle w:val="p-01"/>
              <w:spacing w:beforeLines="20" w:before="48" w:afterLines="20" w:after="48"/>
              <w:jc w:val="left"/>
              <w:rPr>
                <w:rFonts w:ascii="Arial" w:hAnsi="Arial" w:cs="Arial"/>
                <w:bCs/>
                <w:sz w:val="20"/>
                <w:szCs w:val="20"/>
                <w:lang w:val="en-US"/>
              </w:rPr>
            </w:pPr>
            <w:r w:rsidRPr="007560A0">
              <w:rPr>
                <w:rFonts w:ascii="Arial" w:hAnsi="Arial" w:cs="Arial"/>
                <w:bCs/>
                <w:sz w:val="20"/>
                <w:szCs w:val="20"/>
                <w:lang w:val="en-US"/>
              </w:rPr>
              <w:t>Brazil</w:t>
            </w:r>
          </w:p>
        </w:tc>
        <w:tc>
          <w:tcPr>
            <w:tcW w:w="4858" w:type="dxa"/>
          </w:tcPr>
          <w:p w14:paraId="6CF95686" w14:textId="77777777" w:rsidR="00A43A93" w:rsidRPr="007560A0" w:rsidRDefault="00A43A93" w:rsidP="002F222E">
            <w:pPr>
              <w:pStyle w:val="p-01"/>
              <w:spacing w:beforeLines="20" w:before="48" w:afterLines="20" w:after="48"/>
              <w:jc w:val="center"/>
              <w:rPr>
                <w:rFonts w:ascii="Arial" w:hAnsi="Arial" w:cs="Arial"/>
                <w:bCs/>
                <w:sz w:val="20"/>
                <w:szCs w:val="20"/>
                <w:lang w:val="en-US"/>
              </w:rPr>
            </w:pPr>
            <w:r w:rsidRPr="007560A0">
              <w:rPr>
                <w:rFonts w:ascii="Arial" w:hAnsi="Arial" w:cs="Arial"/>
                <w:bCs/>
                <w:sz w:val="20"/>
                <w:szCs w:val="20"/>
                <w:lang w:val="en-US"/>
              </w:rPr>
              <w:t>0.5</w:t>
            </w:r>
          </w:p>
        </w:tc>
      </w:tr>
      <w:tr w:rsidR="00A43A93" w:rsidRPr="007560A0" w14:paraId="2D07C05E" w14:textId="77777777" w:rsidTr="002F222E">
        <w:tc>
          <w:tcPr>
            <w:tcW w:w="4322" w:type="dxa"/>
          </w:tcPr>
          <w:p w14:paraId="28CD2F22" w14:textId="77777777" w:rsidR="00A43A93" w:rsidRPr="007560A0" w:rsidRDefault="00A43A93" w:rsidP="00F558C3">
            <w:pPr>
              <w:pStyle w:val="p-01"/>
              <w:spacing w:beforeLines="20" w:before="48" w:afterLines="20" w:after="48"/>
              <w:jc w:val="left"/>
              <w:rPr>
                <w:rFonts w:ascii="Arial" w:hAnsi="Arial" w:cs="Arial"/>
                <w:bCs/>
                <w:sz w:val="20"/>
                <w:szCs w:val="20"/>
                <w:lang w:val="en-US"/>
              </w:rPr>
            </w:pPr>
            <w:r w:rsidRPr="007560A0">
              <w:rPr>
                <w:rFonts w:ascii="Arial" w:hAnsi="Arial" w:cs="Arial"/>
                <w:bCs/>
                <w:sz w:val="20"/>
                <w:szCs w:val="20"/>
                <w:lang w:val="en-US"/>
              </w:rPr>
              <w:t>Chile</w:t>
            </w:r>
          </w:p>
        </w:tc>
        <w:tc>
          <w:tcPr>
            <w:tcW w:w="4858" w:type="dxa"/>
          </w:tcPr>
          <w:p w14:paraId="6295EF3C" w14:textId="77777777" w:rsidR="00A43A93" w:rsidRPr="007560A0" w:rsidRDefault="00A43A93" w:rsidP="002F222E">
            <w:pPr>
              <w:pStyle w:val="p-01"/>
              <w:spacing w:beforeLines="20" w:before="48" w:afterLines="20" w:after="48"/>
              <w:jc w:val="center"/>
              <w:rPr>
                <w:rFonts w:ascii="Arial" w:hAnsi="Arial" w:cs="Arial"/>
                <w:bCs/>
                <w:sz w:val="20"/>
                <w:szCs w:val="20"/>
                <w:lang w:val="en-US"/>
              </w:rPr>
            </w:pPr>
            <w:r w:rsidRPr="007560A0">
              <w:rPr>
                <w:rFonts w:ascii="Arial" w:hAnsi="Arial" w:cs="Arial"/>
                <w:bCs/>
                <w:sz w:val="20"/>
                <w:szCs w:val="20"/>
                <w:lang w:val="en-US"/>
              </w:rPr>
              <w:t>14.6</w:t>
            </w:r>
          </w:p>
        </w:tc>
      </w:tr>
      <w:tr w:rsidR="00A43A93" w:rsidRPr="007560A0" w14:paraId="396EC396" w14:textId="77777777" w:rsidTr="002F222E">
        <w:tc>
          <w:tcPr>
            <w:tcW w:w="4322" w:type="dxa"/>
          </w:tcPr>
          <w:p w14:paraId="1D6B9B62" w14:textId="77777777" w:rsidR="00A43A93" w:rsidRPr="007560A0" w:rsidRDefault="00F558C3" w:rsidP="00F558C3">
            <w:pPr>
              <w:pStyle w:val="p-01"/>
              <w:spacing w:beforeLines="20" w:before="48" w:afterLines="20" w:after="48"/>
              <w:jc w:val="left"/>
              <w:rPr>
                <w:rFonts w:ascii="Arial" w:hAnsi="Arial" w:cs="Arial"/>
                <w:bCs/>
                <w:sz w:val="20"/>
                <w:szCs w:val="20"/>
                <w:lang w:val="en-US"/>
              </w:rPr>
            </w:pPr>
            <w:r w:rsidRPr="007560A0">
              <w:rPr>
                <w:rFonts w:ascii="Arial" w:hAnsi="Arial" w:cs="Arial"/>
                <w:bCs/>
                <w:sz w:val="20"/>
                <w:szCs w:val="20"/>
                <w:lang w:val="en-US"/>
              </w:rPr>
              <w:t>Mexico</w:t>
            </w:r>
          </w:p>
        </w:tc>
        <w:tc>
          <w:tcPr>
            <w:tcW w:w="4858" w:type="dxa"/>
          </w:tcPr>
          <w:p w14:paraId="4434D226" w14:textId="77777777" w:rsidR="00A43A93" w:rsidRPr="007560A0" w:rsidRDefault="00A43A93" w:rsidP="002F222E">
            <w:pPr>
              <w:pStyle w:val="p-01"/>
              <w:spacing w:beforeLines="20" w:before="48" w:afterLines="20" w:after="48"/>
              <w:jc w:val="center"/>
              <w:rPr>
                <w:rFonts w:ascii="Arial" w:hAnsi="Arial" w:cs="Arial"/>
                <w:bCs/>
                <w:sz w:val="20"/>
                <w:szCs w:val="20"/>
                <w:lang w:val="en-US"/>
              </w:rPr>
            </w:pPr>
            <w:r w:rsidRPr="007560A0">
              <w:rPr>
                <w:rFonts w:ascii="Arial" w:hAnsi="Arial" w:cs="Arial"/>
                <w:bCs/>
                <w:sz w:val="20"/>
                <w:szCs w:val="20"/>
                <w:lang w:val="en-US"/>
              </w:rPr>
              <w:t>3.4</w:t>
            </w:r>
          </w:p>
        </w:tc>
      </w:tr>
    </w:tbl>
    <w:p w14:paraId="69522BC7" w14:textId="0A82E9DE" w:rsidR="00A43A93" w:rsidRPr="007560A0" w:rsidRDefault="00A43A93" w:rsidP="007560A0">
      <w:pPr>
        <w:pStyle w:val="f-03"/>
        <w:jc w:val="left"/>
        <w:rPr>
          <w:rFonts w:ascii="Arial" w:hAnsi="Arial" w:cs="Arial"/>
          <w:lang w:val="en-US"/>
        </w:rPr>
      </w:pPr>
      <w:r w:rsidRPr="007560A0">
        <w:rPr>
          <w:rFonts w:ascii="Arial" w:hAnsi="Arial" w:cs="Arial"/>
          <w:lang w:val="en-US"/>
        </w:rPr>
        <w:t>Source: Torres Filho (2012)</w:t>
      </w:r>
    </w:p>
    <w:p w14:paraId="10666CC7" w14:textId="77777777" w:rsidR="00F558C3" w:rsidRPr="007560A0" w:rsidRDefault="00A43A93" w:rsidP="00F558C3">
      <w:pPr>
        <w:pStyle w:val="p-01"/>
        <w:rPr>
          <w:rFonts w:ascii="Arial" w:hAnsi="Arial" w:cs="Arial"/>
          <w:lang w:val="en-US"/>
        </w:rPr>
      </w:pPr>
      <w:r w:rsidRPr="007560A0">
        <w:rPr>
          <w:rFonts w:ascii="Arial" w:hAnsi="Arial" w:cs="Arial"/>
          <w:lang w:val="en-US"/>
        </w:rPr>
        <w:t xml:space="preserve">According </w:t>
      </w:r>
      <w:r w:rsidR="00F558C3" w:rsidRPr="007560A0">
        <w:rPr>
          <w:rFonts w:ascii="Arial" w:hAnsi="Arial" w:cs="Arial"/>
          <w:lang w:val="en-US"/>
        </w:rPr>
        <w:t>to Torres Filho (2012)</w:t>
      </w:r>
      <w:r w:rsidRPr="007560A0">
        <w:rPr>
          <w:rFonts w:ascii="Arial" w:hAnsi="Arial" w:cs="Arial"/>
          <w:lang w:val="en-US"/>
        </w:rPr>
        <w:t xml:space="preserve">, the development of this market throughout Latin America, with the exception of Chile, has been much </w:t>
      </w:r>
      <w:r w:rsidR="00F558C3" w:rsidRPr="007560A0">
        <w:rPr>
          <w:rFonts w:ascii="Arial" w:hAnsi="Arial" w:cs="Arial"/>
          <w:lang w:val="en-US"/>
        </w:rPr>
        <w:t>slower</w:t>
      </w:r>
      <w:r w:rsidRPr="007560A0">
        <w:rPr>
          <w:rFonts w:ascii="Arial" w:hAnsi="Arial" w:cs="Arial"/>
          <w:lang w:val="en-US"/>
        </w:rPr>
        <w:t xml:space="preserve"> than in other countries, which has resulted in a very low ratio between stocks of private debt and GDP stocks. In Brazil, this ratio reaches 1%</w:t>
      </w:r>
      <w:r w:rsidR="00F558C3" w:rsidRPr="007560A0">
        <w:rPr>
          <w:rFonts w:ascii="Arial" w:hAnsi="Arial" w:cs="Arial"/>
          <w:lang w:val="en-US"/>
        </w:rPr>
        <w:t>,</w:t>
      </w:r>
      <w:r w:rsidRPr="007560A0">
        <w:rPr>
          <w:rFonts w:ascii="Arial" w:hAnsi="Arial" w:cs="Arial"/>
          <w:lang w:val="en-US"/>
        </w:rPr>
        <w:t xml:space="preserve"> while in the </w:t>
      </w:r>
      <w:r w:rsidR="00F558C3" w:rsidRPr="007560A0">
        <w:rPr>
          <w:rFonts w:ascii="Arial" w:hAnsi="Arial" w:cs="Arial"/>
          <w:lang w:val="en-US"/>
        </w:rPr>
        <w:t xml:space="preserve">United States, it reaches </w:t>
      </w:r>
      <w:r w:rsidRPr="007560A0">
        <w:rPr>
          <w:rFonts w:ascii="Arial" w:hAnsi="Arial" w:cs="Arial"/>
          <w:lang w:val="en-US"/>
        </w:rPr>
        <w:t xml:space="preserve">nearly 20% and </w:t>
      </w:r>
      <w:r w:rsidR="00F558C3" w:rsidRPr="007560A0">
        <w:rPr>
          <w:rFonts w:ascii="Arial" w:hAnsi="Arial" w:cs="Arial"/>
          <w:lang w:val="en-US"/>
        </w:rPr>
        <w:t>in some European countries, it is around 10%.</w:t>
      </w:r>
    </w:p>
    <w:p w14:paraId="745312E8" w14:textId="08706FE1" w:rsidR="00FC4023" w:rsidRPr="007560A0" w:rsidRDefault="00F558C3" w:rsidP="00F558C3">
      <w:pPr>
        <w:pStyle w:val="p-01"/>
        <w:rPr>
          <w:rFonts w:ascii="Arial" w:hAnsi="Arial" w:cs="Arial"/>
          <w:color w:val="000000" w:themeColor="text1"/>
          <w:lang w:val="en-US"/>
        </w:rPr>
      </w:pPr>
      <w:r w:rsidRPr="007560A0">
        <w:rPr>
          <w:rFonts w:ascii="Arial" w:hAnsi="Arial" w:cs="Arial"/>
          <w:color w:val="000000" w:themeColor="text1"/>
          <w:lang w:val="en-US"/>
        </w:rPr>
        <w:lastRenderedPageBreak/>
        <w:t xml:space="preserve">At the root of many of these problems with the long-term financing market in Brazil are </w:t>
      </w:r>
      <w:r w:rsidRPr="007560A0">
        <w:rPr>
          <w:rFonts w:ascii="Arial" w:hAnsi="Arial" w:cs="Arial"/>
          <w:i/>
          <w:color w:val="000000" w:themeColor="text1"/>
          <w:lang w:val="en-US"/>
        </w:rPr>
        <w:t>i)</w:t>
      </w:r>
      <w:r w:rsidRPr="007560A0">
        <w:rPr>
          <w:rFonts w:ascii="Arial" w:hAnsi="Arial" w:cs="Arial"/>
          <w:color w:val="000000" w:themeColor="text1"/>
          <w:lang w:val="en-US"/>
        </w:rPr>
        <w:t xml:space="preserve"> the low domestic savings rate, which makes the country more dependent on external savings; and </w:t>
      </w:r>
      <w:r w:rsidRPr="007560A0">
        <w:rPr>
          <w:rFonts w:ascii="Arial" w:hAnsi="Arial" w:cs="Arial"/>
          <w:i/>
          <w:color w:val="000000" w:themeColor="text1"/>
          <w:lang w:val="en-US"/>
        </w:rPr>
        <w:t>ii)</w:t>
      </w:r>
      <w:r w:rsidRPr="007560A0">
        <w:rPr>
          <w:rFonts w:ascii="Arial" w:hAnsi="Arial" w:cs="Arial"/>
          <w:color w:val="000000" w:themeColor="text1"/>
          <w:lang w:val="en-US"/>
        </w:rPr>
        <w:t xml:space="preserve"> issues related to the regulatory</w:t>
      </w:r>
      <w:r w:rsidR="00FC4023" w:rsidRPr="007560A0">
        <w:rPr>
          <w:rFonts w:ascii="Arial" w:hAnsi="Arial" w:cs="Arial"/>
          <w:color w:val="000000" w:themeColor="text1"/>
          <w:lang w:val="en-US"/>
        </w:rPr>
        <w:t xml:space="preserve"> and</w:t>
      </w:r>
      <w:r w:rsidRPr="007560A0">
        <w:rPr>
          <w:rFonts w:ascii="Arial" w:hAnsi="Arial" w:cs="Arial"/>
          <w:color w:val="000000" w:themeColor="text1"/>
          <w:lang w:val="en-US"/>
        </w:rPr>
        <w:t xml:space="preserve"> institutional environments that do not </w:t>
      </w:r>
      <w:r w:rsidR="00FC4023" w:rsidRPr="007560A0">
        <w:rPr>
          <w:rFonts w:ascii="Arial" w:hAnsi="Arial" w:cs="Arial"/>
          <w:color w:val="000000" w:themeColor="text1"/>
          <w:lang w:val="en-US"/>
        </w:rPr>
        <w:t xml:space="preserve">provide </w:t>
      </w:r>
      <w:r w:rsidRPr="007560A0">
        <w:rPr>
          <w:rFonts w:ascii="Arial" w:hAnsi="Arial" w:cs="Arial"/>
          <w:color w:val="000000" w:themeColor="text1"/>
          <w:lang w:val="en-US"/>
        </w:rPr>
        <w:t xml:space="preserve"> adequate incentives for the emergence of a private long-term financing market.</w:t>
      </w:r>
    </w:p>
    <w:p w14:paraId="4467CEF5" w14:textId="4BF68484" w:rsidR="008F3848" w:rsidRPr="007560A0" w:rsidRDefault="00F558C3" w:rsidP="00F558C3">
      <w:pPr>
        <w:pStyle w:val="p-01"/>
        <w:rPr>
          <w:rFonts w:ascii="Arial" w:hAnsi="Arial" w:cs="Arial"/>
          <w:lang w:val="en-US"/>
        </w:rPr>
      </w:pPr>
      <w:r w:rsidRPr="007560A0">
        <w:rPr>
          <w:rFonts w:ascii="Arial" w:hAnsi="Arial" w:cs="Arial"/>
          <w:color w:val="000000" w:themeColor="text1"/>
          <w:lang w:val="en-US"/>
        </w:rPr>
        <w:t xml:space="preserve">In the </w:t>
      </w:r>
      <w:r w:rsidRPr="007560A0">
        <w:rPr>
          <w:rFonts w:ascii="Arial" w:hAnsi="Arial" w:cs="Arial"/>
          <w:lang w:val="en-US"/>
        </w:rPr>
        <w:t xml:space="preserve">early </w:t>
      </w:r>
      <w:r w:rsidR="00FC4023" w:rsidRPr="007560A0">
        <w:rPr>
          <w:rFonts w:ascii="Arial" w:hAnsi="Arial" w:cs="Arial"/>
          <w:lang w:val="en-US"/>
        </w:rPr>
        <w:t xml:space="preserve"> 2000s</w:t>
      </w:r>
      <w:r w:rsidRPr="007560A0">
        <w:rPr>
          <w:rFonts w:ascii="Arial" w:hAnsi="Arial" w:cs="Arial"/>
          <w:lang w:val="en-US"/>
        </w:rPr>
        <w:t>, the country experienced progress in some microeconomic reforms that favored credit growth and the extension of their terms within the country, namely the bankruptcy law, the effects of which were analyzed by Araújo and Funchal (2009).</w:t>
      </w:r>
      <w:r w:rsidR="008F3848" w:rsidRPr="007560A0">
        <w:rPr>
          <w:rStyle w:val="FootnoteReference"/>
          <w:rFonts w:ascii="Arial" w:hAnsi="Arial" w:cs="Arial"/>
          <w:lang w:val="en-US"/>
        </w:rPr>
        <w:footnoteReference w:id="5"/>
      </w:r>
      <w:r w:rsidRPr="007560A0">
        <w:rPr>
          <w:rFonts w:ascii="Arial" w:hAnsi="Arial" w:cs="Arial"/>
          <w:lang w:val="en-US"/>
        </w:rPr>
        <w:t xml:space="preserve"> Thus, the credit/GDP ratio went from nearly 30%, at first, to 50% in </w:t>
      </w:r>
      <w:r w:rsidR="00FC4023" w:rsidRPr="007560A0">
        <w:rPr>
          <w:rFonts w:ascii="Arial" w:hAnsi="Arial" w:cs="Arial"/>
          <w:lang w:val="en-US"/>
        </w:rPr>
        <w:t xml:space="preserve">the late </w:t>
      </w:r>
      <w:r w:rsidRPr="007560A0">
        <w:rPr>
          <w:rFonts w:ascii="Arial" w:hAnsi="Arial" w:cs="Arial"/>
          <w:lang w:val="en-US"/>
        </w:rPr>
        <w:t xml:space="preserve"> 2000s</w:t>
      </w:r>
      <w:r w:rsidR="008F3848" w:rsidRPr="007560A0">
        <w:rPr>
          <w:rFonts w:ascii="Arial" w:hAnsi="Arial" w:cs="Arial"/>
          <w:lang w:val="en-US"/>
        </w:rPr>
        <w:t>.</w:t>
      </w:r>
      <w:r w:rsidR="00A43A93" w:rsidRPr="007560A0">
        <w:rPr>
          <w:rStyle w:val="FootnoteReference"/>
          <w:rFonts w:ascii="Arial" w:hAnsi="Arial" w:cs="Arial"/>
          <w:lang w:val="en-US"/>
        </w:rPr>
        <w:footnoteReference w:id="6"/>
      </w:r>
      <w:r w:rsidR="00A43A93" w:rsidRPr="007560A0">
        <w:rPr>
          <w:rFonts w:ascii="Arial" w:hAnsi="Arial" w:cs="Arial"/>
          <w:lang w:val="en-US"/>
        </w:rPr>
        <w:t xml:space="preserve"> Obviously, </w:t>
      </w:r>
      <w:r w:rsidR="008F3848" w:rsidRPr="007560A0">
        <w:rPr>
          <w:rFonts w:ascii="Arial" w:hAnsi="Arial" w:cs="Arial"/>
          <w:lang w:val="en-US"/>
        </w:rPr>
        <w:t xml:space="preserve">alongside the microeconomic reforms, </w:t>
      </w:r>
      <w:r w:rsidR="00A43A93" w:rsidRPr="007560A0">
        <w:rPr>
          <w:rFonts w:ascii="Arial" w:hAnsi="Arial" w:cs="Arial"/>
          <w:lang w:val="en-US"/>
        </w:rPr>
        <w:t xml:space="preserve">the economic stability attained in the previous decade was an essential condition for this expansion to occur, in addition to the real income growth in the 2000s – derived from both salary increases above inflation and the actual </w:t>
      </w:r>
      <w:r w:rsidR="00EC2205" w:rsidRPr="007560A0">
        <w:rPr>
          <w:rFonts w:ascii="Arial" w:hAnsi="Arial" w:cs="Arial"/>
          <w:lang w:val="en-US"/>
        </w:rPr>
        <w:t>evolution of the terms of trade.</w:t>
      </w:r>
    </w:p>
    <w:p w14:paraId="5D7B5D7A" w14:textId="452AAE21" w:rsidR="00165376" w:rsidRPr="007560A0" w:rsidRDefault="008F3848" w:rsidP="008F3848">
      <w:pPr>
        <w:pStyle w:val="p-01"/>
        <w:rPr>
          <w:rFonts w:ascii="Arial" w:hAnsi="Arial" w:cs="Arial"/>
          <w:lang w:val="en-US"/>
        </w:rPr>
      </w:pPr>
      <w:r w:rsidRPr="007560A0">
        <w:rPr>
          <w:rFonts w:ascii="Arial" w:hAnsi="Arial" w:cs="Arial"/>
          <w:color w:val="000000" w:themeColor="text1"/>
          <w:lang w:val="en-US"/>
        </w:rPr>
        <w:t>Due to the</w:t>
      </w:r>
      <w:r w:rsidR="00A5229E" w:rsidRPr="007560A0">
        <w:rPr>
          <w:rFonts w:ascii="Arial" w:hAnsi="Arial" w:cs="Arial"/>
          <w:color w:val="000000" w:themeColor="text1"/>
          <w:lang w:val="en-US"/>
        </w:rPr>
        <w:t xml:space="preserve"> limitations of the national financial system in providing long-term financing, his</w:t>
      </w:r>
      <w:r w:rsidR="00093812" w:rsidRPr="007560A0">
        <w:rPr>
          <w:rFonts w:ascii="Arial" w:hAnsi="Arial" w:cs="Arial"/>
          <w:color w:val="000000" w:themeColor="text1"/>
          <w:lang w:val="en-US"/>
        </w:rPr>
        <w:t>torically, the</w:t>
      </w:r>
      <w:r w:rsidR="00700DF2" w:rsidRPr="007560A0">
        <w:rPr>
          <w:rFonts w:ascii="Arial" w:hAnsi="Arial" w:cs="Arial"/>
          <w:color w:val="000000" w:themeColor="text1"/>
          <w:lang w:val="en-US"/>
        </w:rPr>
        <w:t xml:space="preserve"> pattern of financing in Brazil – of companies or</w:t>
      </w:r>
      <w:r w:rsidR="00F7196D" w:rsidRPr="007560A0">
        <w:rPr>
          <w:rFonts w:ascii="Arial" w:hAnsi="Arial" w:cs="Arial"/>
          <w:color w:val="000000" w:themeColor="text1"/>
          <w:lang w:val="en-US"/>
        </w:rPr>
        <w:t xml:space="preserve"> </w:t>
      </w:r>
      <w:r w:rsidR="00700DF2" w:rsidRPr="007560A0">
        <w:rPr>
          <w:rFonts w:ascii="Arial" w:hAnsi="Arial" w:cs="Arial"/>
          <w:color w:val="000000" w:themeColor="text1"/>
          <w:lang w:val="en-US"/>
        </w:rPr>
        <w:t xml:space="preserve">families – </w:t>
      </w:r>
      <w:r w:rsidR="002C4043" w:rsidRPr="007560A0">
        <w:rPr>
          <w:rFonts w:ascii="Arial" w:hAnsi="Arial" w:cs="Arial"/>
          <w:color w:val="000000" w:themeColor="text1"/>
          <w:lang w:val="en-US"/>
        </w:rPr>
        <w:t>relied heavily</w:t>
      </w:r>
      <w:r w:rsidR="00DB6E49" w:rsidRPr="007560A0">
        <w:rPr>
          <w:rFonts w:ascii="Arial" w:hAnsi="Arial" w:cs="Arial"/>
          <w:color w:val="000000" w:themeColor="text1"/>
          <w:lang w:val="en-US"/>
        </w:rPr>
        <w:t xml:space="preserve"> on internal resources</w:t>
      </w:r>
      <w:r w:rsidR="00093812" w:rsidRPr="007560A0">
        <w:rPr>
          <w:rFonts w:ascii="Arial" w:hAnsi="Arial" w:cs="Arial"/>
          <w:color w:val="000000" w:themeColor="text1"/>
          <w:lang w:val="en-US"/>
        </w:rPr>
        <w:t>, derived from savings or retained profits</w:t>
      </w:r>
      <w:r w:rsidR="00D30DB1" w:rsidRPr="007560A0">
        <w:rPr>
          <w:rFonts w:ascii="Arial" w:hAnsi="Arial" w:cs="Arial"/>
          <w:color w:val="000000" w:themeColor="text1"/>
          <w:lang w:val="en-US"/>
        </w:rPr>
        <w:t xml:space="preserve">, followed distantly </w:t>
      </w:r>
      <w:r w:rsidR="00093812" w:rsidRPr="007560A0">
        <w:rPr>
          <w:rFonts w:ascii="Arial" w:hAnsi="Arial" w:cs="Arial"/>
          <w:color w:val="000000" w:themeColor="text1"/>
          <w:lang w:val="en-US"/>
        </w:rPr>
        <w:t xml:space="preserve">by the credit market (public and private) and the capital </w:t>
      </w:r>
      <w:r w:rsidR="002C4043" w:rsidRPr="007560A0">
        <w:rPr>
          <w:rFonts w:ascii="Arial" w:hAnsi="Arial" w:cs="Arial"/>
          <w:color w:val="000000" w:themeColor="text1"/>
          <w:lang w:val="en-US"/>
        </w:rPr>
        <w:t>market</w:t>
      </w:r>
      <w:r w:rsidR="00093812" w:rsidRPr="007560A0">
        <w:rPr>
          <w:rFonts w:ascii="Arial" w:hAnsi="Arial" w:cs="Arial"/>
          <w:color w:val="000000" w:themeColor="text1"/>
          <w:lang w:val="en-US"/>
        </w:rPr>
        <w:t xml:space="preserve">. </w:t>
      </w:r>
      <w:r w:rsidR="00093812" w:rsidRPr="007560A0">
        <w:rPr>
          <w:rFonts w:ascii="Arial" w:hAnsi="Arial" w:cs="Arial"/>
          <w:lang w:val="en-US"/>
        </w:rPr>
        <w:t xml:space="preserve">Even with the increase in the ratio </w:t>
      </w:r>
      <w:r w:rsidR="002C4043" w:rsidRPr="007560A0">
        <w:rPr>
          <w:rFonts w:ascii="Arial" w:hAnsi="Arial" w:cs="Arial"/>
          <w:lang w:val="en-US"/>
        </w:rPr>
        <w:t xml:space="preserve">between </w:t>
      </w:r>
      <w:r w:rsidR="00093812" w:rsidRPr="007560A0">
        <w:rPr>
          <w:rFonts w:ascii="Arial" w:hAnsi="Arial" w:cs="Arial"/>
          <w:lang w:val="en-US"/>
        </w:rPr>
        <w:t>credit</w:t>
      </w:r>
      <w:r w:rsidR="002C4043" w:rsidRPr="007560A0">
        <w:rPr>
          <w:rFonts w:ascii="Arial" w:hAnsi="Arial" w:cs="Arial"/>
          <w:lang w:val="en-US"/>
        </w:rPr>
        <w:t xml:space="preserve"> and the GDP</w:t>
      </w:r>
      <w:r w:rsidR="00093812" w:rsidRPr="007560A0">
        <w:rPr>
          <w:rFonts w:ascii="Arial" w:hAnsi="Arial" w:cs="Arial"/>
          <w:lang w:val="en-US"/>
        </w:rPr>
        <w:t xml:space="preserve">, </w:t>
      </w:r>
      <w:r w:rsidR="00A35B0D" w:rsidRPr="007560A0">
        <w:rPr>
          <w:rFonts w:ascii="Arial" w:hAnsi="Arial" w:cs="Arial"/>
          <w:lang w:val="en-US"/>
        </w:rPr>
        <w:t xml:space="preserve">internal resources continue to play an important role, though less so than at the beginning of the decade. According to estimates of the </w:t>
      </w:r>
      <w:r w:rsidR="00AF4EC6" w:rsidRPr="007560A0">
        <w:rPr>
          <w:rFonts w:ascii="Arial" w:hAnsi="Arial" w:cs="Arial"/>
          <w:lang w:val="en-US"/>
        </w:rPr>
        <w:t xml:space="preserve">Brazilian Institute of Capital Markets </w:t>
      </w:r>
      <w:r w:rsidR="002C4043" w:rsidRPr="007560A0">
        <w:rPr>
          <w:rFonts w:ascii="Arial" w:hAnsi="Arial" w:cs="Arial"/>
          <w:lang w:val="en-US"/>
        </w:rPr>
        <w:t>(</w:t>
      </w:r>
      <w:r w:rsidR="00A35B0D" w:rsidRPr="007560A0">
        <w:rPr>
          <w:rFonts w:ascii="Arial" w:hAnsi="Arial" w:cs="Arial"/>
          <w:lang w:val="en-US"/>
        </w:rPr>
        <w:t>IBMEC</w:t>
      </w:r>
      <w:r w:rsidR="002C4043" w:rsidRPr="007560A0">
        <w:rPr>
          <w:rFonts w:ascii="Arial" w:hAnsi="Arial" w:cs="Arial"/>
          <w:lang w:val="en-US"/>
        </w:rPr>
        <w:t>)</w:t>
      </w:r>
      <w:r w:rsidR="00A35B0D" w:rsidRPr="007560A0">
        <w:rPr>
          <w:rFonts w:ascii="Arial" w:hAnsi="Arial" w:cs="Arial"/>
          <w:lang w:val="en-US"/>
        </w:rPr>
        <w:t>, own resources represent</w:t>
      </w:r>
      <w:r w:rsidR="00F7196D" w:rsidRPr="007560A0">
        <w:rPr>
          <w:rFonts w:ascii="Arial" w:hAnsi="Arial" w:cs="Arial"/>
          <w:lang w:val="en-US"/>
        </w:rPr>
        <w:t>ed</w:t>
      </w:r>
      <w:r w:rsidR="00A35B0D" w:rsidRPr="007560A0">
        <w:rPr>
          <w:rFonts w:ascii="Arial" w:hAnsi="Arial" w:cs="Arial"/>
          <w:lang w:val="en-US"/>
        </w:rPr>
        <w:t xml:space="preserve">, </w:t>
      </w:r>
      <w:r w:rsidR="00F7196D" w:rsidRPr="007560A0">
        <w:rPr>
          <w:rFonts w:ascii="Arial" w:hAnsi="Arial" w:cs="Arial"/>
          <w:lang w:val="en-US"/>
        </w:rPr>
        <w:t>in 2015</w:t>
      </w:r>
      <w:r w:rsidR="00A35B0D" w:rsidRPr="007560A0">
        <w:rPr>
          <w:rFonts w:ascii="Arial" w:hAnsi="Arial" w:cs="Arial"/>
          <w:lang w:val="en-US"/>
        </w:rPr>
        <w:t>, more than 50% of the</w:t>
      </w:r>
      <w:r w:rsidR="002C4043" w:rsidRPr="007560A0">
        <w:rPr>
          <w:rFonts w:ascii="Arial" w:hAnsi="Arial" w:cs="Arial"/>
          <w:lang w:val="en-US"/>
        </w:rPr>
        <w:t xml:space="preserve"> investments, compared to 65% in 2004 (</w:t>
      </w:r>
      <w:r w:rsidR="00E3006A" w:rsidRPr="007560A0">
        <w:rPr>
          <w:rFonts w:ascii="Arial" w:hAnsi="Arial" w:cs="Arial"/>
          <w:lang w:val="en-US"/>
        </w:rPr>
        <w:t>Chart</w:t>
      </w:r>
      <w:r w:rsidR="002C4043" w:rsidRPr="007560A0">
        <w:rPr>
          <w:rFonts w:ascii="Arial" w:hAnsi="Arial" w:cs="Arial"/>
          <w:lang w:val="en-US"/>
        </w:rPr>
        <w:t xml:space="preserve"> </w:t>
      </w:r>
      <w:r w:rsidR="00EC2205" w:rsidRPr="007560A0">
        <w:rPr>
          <w:rFonts w:ascii="Arial" w:hAnsi="Arial" w:cs="Arial"/>
          <w:lang w:val="en-US"/>
        </w:rPr>
        <w:t>3</w:t>
      </w:r>
      <w:r w:rsidR="002C4043" w:rsidRPr="007560A0">
        <w:rPr>
          <w:rFonts w:ascii="Arial" w:hAnsi="Arial" w:cs="Arial"/>
          <w:lang w:val="en-US"/>
        </w:rPr>
        <w:t>).</w:t>
      </w:r>
    </w:p>
    <w:p w14:paraId="60BDEE4E" w14:textId="77777777" w:rsidR="001D24BF" w:rsidRPr="007560A0" w:rsidRDefault="00DB6E49" w:rsidP="00710455">
      <w:pPr>
        <w:pStyle w:val="f-01"/>
        <w:rPr>
          <w:rFonts w:ascii="Arial" w:hAnsi="Arial"/>
          <w:noProof w:val="0"/>
          <w:lang w:val="en-US"/>
        </w:rPr>
      </w:pPr>
      <w:r w:rsidRPr="007560A0">
        <w:rPr>
          <w:rFonts w:ascii="Arial" w:hAnsi="Arial"/>
          <w:noProof w:val="0"/>
          <w:lang w:val="en-US"/>
        </w:rPr>
        <w:lastRenderedPageBreak/>
        <w:t xml:space="preserve">Chart </w:t>
      </w:r>
      <w:r w:rsidR="00EC2205" w:rsidRPr="007560A0">
        <w:rPr>
          <w:rFonts w:ascii="Arial" w:hAnsi="Arial"/>
          <w:noProof w:val="0"/>
          <w:lang w:val="en-US"/>
        </w:rPr>
        <w:t>3</w:t>
      </w:r>
      <w:r w:rsidR="00C76047" w:rsidRPr="007560A0">
        <w:rPr>
          <w:rFonts w:ascii="Arial" w:hAnsi="Arial"/>
          <w:noProof w:val="0"/>
          <w:lang w:val="en-US"/>
        </w:rPr>
        <w:t xml:space="preserve">: Financing </w:t>
      </w:r>
      <w:r w:rsidR="001D24BF" w:rsidRPr="007560A0">
        <w:rPr>
          <w:rFonts w:ascii="Arial" w:hAnsi="Arial"/>
          <w:noProof w:val="0"/>
          <w:lang w:val="en-US"/>
        </w:rPr>
        <w:t xml:space="preserve">pattern for business </w:t>
      </w:r>
      <w:r w:rsidR="00093812" w:rsidRPr="007560A0">
        <w:rPr>
          <w:rFonts w:ascii="Arial" w:hAnsi="Arial"/>
          <w:noProof w:val="0"/>
          <w:lang w:val="en-US"/>
        </w:rPr>
        <w:t xml:space="preserve">and household </w:t>
      </w:r>
      <w:r w:rsidR="001D24BF" w:rsidRPr="007560A0">
        <w:rPr>
          <w:rFonts w:ascii="Arial" w:hAnsi="Arial"/>
          <w:noProof w:val="0"/>
          <w:lang w:val="en-US"/>
        </w:rPr>
        <w:t xml:space="preserve">investments </w:t>
      </w:r>
      <w:r w:rsidRPr="007560A0">
        <w:rPr>
          <w:rFonts w:ascii="Arial" w:hAnsi="Arial"/>
          <w:noProof w:val="0"/>
          <w:lang w:val="en-US"/>
        </w:rPr>
        <w:t>in Brazil</w:t>
      </w:r>
      <w:r w:rsidR="00C76047" w:rsidRPr="007560A0">
        <w:rPr>
          <w:rFonts w:ascii="Arial" w:hAnsi="Arial"/>
          <w:noProof w:val="0"/>
          <w:lang w:val="en-US"/>
        </w:rPr>
        <w:t xml:space="preserve">, </w:t>
      </w:r>
      <w:r w:rsidR="00093812" w:rsidRPr="007560A0">
        <w:rPr>
          <w:rFonts w:ascii="Arial" w:hAnsi="Arial"/>
          <w:noProof w:val="0"/>
          <w:lang w:val="en-US"/>
        </w:rPr>
        <w:t xml:space="preserve">2004 to 2015 (in % of the total) </w:t>
      </w:r>
    </w:p>
    <w:p w14:paraId="716C1022" w14:textId="77777777" w:rsidR="00EC2AFC" w:rsidRPr="007560A0" w:rsidRDefault="00AF66E5" w:rsidP="002C4043">
      <w:pPr>
        <w:pStyle w:val="f-02"/>
        <w:rPr>
          <w:rFonts w:ascii="Arial" w:hAnsi="Arial" w:cs="Arial"/>
          <w:noProof w:val="0"/>
          <w:lang w:val="en-US"/>
        </w:rPr>
      </w:pPr>
      <w:r w:rsidRPr="007560A0">
        <w:rPr>
          <w:rFonts w:ascii="Arial" w:hAnsi="Arial" w:cs="Arial"/>
          <w:lang w:val="en-US" w:eastAsia="en-US"/>
        </w:rPr>
        <w:drawing>
          <wp:inline distT="0" distB="0" distL="0" distR="0" wp14:anchorId="647074A8" wp14:editId="49383ECD">
            <wp:extent cx="5400000" cy="3600000"/>
            <wp:effectExtent l="0" t="0" r="0" b="63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B3D479" w14:textId="77777777" w:rsidR="001D24BF" w:rsidRPr="007560A0" w:rsidRDefault="00DB6E49" w:rsidP="002F222E">
      <w:pPr>
        <w:pStyle w:val="f-03"/>
        <w:rPr>
          <w:rFonts w:ascii="Arial" w:hAnsi="Arial" w:cs="Arial"/>
          <w:szCs w:val="16"/>
          <w:lang w:val="en-US"/>
        </w:rPr>
      </w:pPr>
      <w:r w:rsidRPr="007560A0">
        <w:rPr>
          <w:rFonts w:ascii="Arial" w:hAnsi="Arial" w:cs="Arial"/>
          <w:szCs w:val="16"/>
          <w:lang w:val="en-US"/>
        </w:rPr>
        <w:t>Source: IBMEC</w:t>
      </w:r>
      <w:r w:rsidR="00C76047" w:rsidRPr="007560A0">
        <w:rPr>
          <w:rFonts w:ascii="Arial" w:hAnsi="Arial" w:cs="Arial"/>
          <w:szCs w:val="16"/>
          <w:lang w:val="en-US"/>
        </w:rPr>
        <w:t xml:space="preserve">. Available at: </w:t>
      </w:r>
      <w:hyperlink r:id="rId11" w:history="1">
        <w:r w:rsidR="008F3848" w:rsidRPr="007560A0">
          <w:rPr>
            <w:rStyle w:val="Hyperlink"/>
            <w:rFonts w:ascii="Arial" w:hAnsi="Arial" w:cs="Arial"/>
            <w:lang w:val="en-US"/>
          </w:rPr>
          <w:t>http://goo.gl/W3Hq1A</w:t>
        </w:r>
      </w:hyperlink>
      <w:r w:rsidR="00C76047" w:rsidRPr="007560A0">
        <w:rPr>
          <w:rFonts w:ascii="Arial" w:hAnsi="Arial" w:cs="Arial"/>
          <w:szCs w:val="16"/>
          <w:lang w:val="en-US"/>
        </w:rPr>
        <w:t>.</w:t>
      </w:r>
      <w:r w:rsidR="002C4043" w:rsidRPr="007560A0">
        <w:rPr>
          <w:rFonts w:ascii="Arial" w:hAnsi="Arial" w:cs="Arial"/>
          <w:szCs w:val="16"/>
          <w:lang w:val="en-US"/>
        </w:rPr>
        <w:t xml:space="preserve"> </w:t>
      </w:r>
      <w:r w:rsidR="00C76047" w:rsidRPr="007560A0">
        <w:rPr>
          <w:rFonts w:ascii="Arial" w:hAnsi="Arial" w:cs="Arial"/>
          <w:szCs w:val="16"/>
          <w:lang w:val="en-US"/>
        </w:rPr>
        <w:t>Accessed on</w:t>
      </w:r>
      <w:r w:rsidR="008F3848" w:rsidRPr="007560A0">
        <w:rPr>
          <w:rFonts w:ascii="Arial" w:hAnsi="Arial" w:cs="Arial"/>
          <w:szCs w:val="16"/>
          <w:lang w:val="en-US"/>
        </w:rPr>
        <w:t>:</w:t>
      </w:r>
      <w:r w:rsidR="00C76047" w:rsidRPr="007560A0">
        <w:rPr>
          <w:rFonts w:ascii="Arial" w:hAnsi="Arial" w:cs="Arial"/>
          <w:szCs w:val="16"/>
          <w:lang w:val="en-US"/>
        </w:rPr>
        <w:t xml:space="preserve"> </w:t>
      </w:r>
      <w:r w:rsidR="002C4043" w:rsidRPr="007560A0">
        <w:rPr>
          <w:rFonts w:ascii="Arial" w:hAnsi="Arial" w:cs="Arial"/>
          <w:szCs w:val="16"/>
          <w:lang w:val="en-US"/>
        </w:rPr>
        <w:t>September 1, 2016.</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510AC" w:rsidRPr="007560A0" w14:paraId="45507DCD" w14:textId="77777777" w:rsidTr="001321AE">
        <w:tc>
          <w:tcPr>
            <w:tcW w:w="4675" w:type="dxa"/>
          </w:tcPr>
          <w:p w14:paraId="45088B79"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 xml:space="preserve">Recursos Próprios (poupança e lucros retidos) </w:t>
            </w:r>
          </w:p>
        </w:tc>
        <w:tc>
          <w:tcPr>
            <w:tcW w:w="4675" w:type="dxa"/>
          </w:tcPr>
          <w:p w14:paraId="73DB7626"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 xml:space="preserve">Private resources (savings and retained earnings) </w:t>
            </w:r>
          </w:p>
        </w:tc>
      </w:tr>
      <w:tr w:rsidR="006510AC" w:rsidRPr="007560A0" w14:paraId="49777A5E" w14:textId="77777777" w:rsidTr="001321AE">
        <w:tc>
          <w:tcPr>
            <w:tcW w:w="4675" w:type="dxa"/>
          </w:tcPr>
          <w:p w14:paraId="3BF6EDD3"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 xml:space="preserve">Emissão primária de ações </w:t>
            </w:r>
          </w:p>
        </w:tc>
        <w:tc>
          <w:tcPr>
            <w:tcW w:w="4675" w:type="dxa"/>
          </w:tcPr>
          <w:p w14:paraId="0B0E9504"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 xml:space="preserve">Primary share issue </w:t>
            </w:r>
          </w:p>
        </w:tc>
      </w:tr>
      <w:tr w:rsidR="006510AC" w:rsidRPr="007560A0" w14:paraId="7A0A52E8" w14:textId="77777777" w:rsidTr="001321AE">
        <w:tc>
          <w:tcPr>
            <w:tcW w:w="4675" w:type="dxa"/>
          </w:tcPr>
          <w:p w14:paraId="079E3FAB"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Desembolso BNDES (FINEM E FINAME)</w:t>
            </w:r>
          </w:p>
        </w:tc>
        <w:tc>
          <w:tcPr>
            <w:tcW w:w="4675" w:type="dxa"/>
          </w:tcPr>
          <w:p w14:paraId="5CFD3C97"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BNDES Disbursement (FINEM [Financing for Companies] and FINAME [Financing for Machines and Equipment])</w:t>
            </w:r>
          </w:p>
        </w:tc>
      </w:tr>
      <w:tr w:rsidR="006510AC" w:rsidRPr="007560A0" w14:paraId="75EB9E12" w14:textId="77777777" w:rsidTr="001321AE">
        <w:tc>
          <w:tcPr>
            <w:tcW w:w="4675" w:type="dxa"/>
          </w:tcPr>
          <w:p w14:paraId="791B7741"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Habitacional (FGTS+SBPE)</w:t>
            </w:r>
          </w:p>
        </w:tc>
        <w:tc>
          <w:tcPr>
            <w:tcW w:w="4675" w:type="dxa"/>
          </w:tcPr>
          <w:p w14:paraId="2DBAE4E3"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Housing (FGTS [Guarantee Fund for Time of Service] + SBPE [Brazilian Savings and Loan System])</w:t>
            </w:r>
          </w:p>
        </w:tc>
      </w:tr>
      <w:tr w:rsidR="006510AC" w:rsidRPr="007560A0" w14:paraId="6AE21073" w14:textId="77777777" w:rsidTr="001321AE">
        <w:tc>
          <w:tcPr>
            <w:tcW w:w="4675" w:type="dxa"/>
          </w:tcPr>
          <w:p w14:paraId="6B1C0EEC" w14:textId="77777777" w:rsidR="006510AC" w:rsidRPr="007560A0" w:rsidRDefault="006510AC" w:rsidP="001321AE">
            <w:pPr>
              <w:spacing w:after="0" w:line="240" w:lineRule="auto"/>
              <w:ind w:left="720" w:hanging="720"/>
              <w:rPr>
                <w:rFonts w:ascii="Arial" w:hAnsi="Arial" w:cs="Arial"/>
                <w:sz w:val="20"/>
                <w:szCs w:val="20"/>
              </w:rPr>
            </w:pPr>
            <w:r w:rsidRPr="007560A0">
              <w:rPr>
                <w:rFonts w:ascii="Arial" w:hAnsi="Arial" w:cs="Arial"/>
                <w:sz w:val="20"/>
                <w:szCs w:val="20"/>
              </w:rPr>
              <w:t>Investimento Estrangeiro Direto</w:t>
            </w:r>
          </w:p>
        </w:tc>
        <w:tc>
          <w:tcPr>
            <w:tcW w:w="4675" w:type="dxa"/>
          </w:tcPr>
          <w:p w14:paraId="2E7573A3" w14:textId="77777777" w:rsidR="006510AC" w:rsidRPr="007560A0" w:rsidRDefault="006510AC" w:rsidP="001321AE">
            <w:pPr>
              <w:spacing w:after="0" w:line="240" w:lineRule="auto"/>
              <w:ind w:left="720" w:hanging="720"/>
              <w:rPr>
                <w:rFonts w:ascii="Arial" w:hAnsi="Arial" w:cs="Arial"/>
                <w:sz w:val="20"/>
                <w:szCs w:val="20"/>
              </w:rPr>
            </w:pPr>
            <w:r w:rsidRPr="007560A0">
              <w:rPr>
                <w:rFonts w:ascii="Arial" w:hAnsi="Arial" w:cs="Arial"/>
                <w:sz w:val="20"/>
                <w:szCs w:val="20"/>
              </w:rPr>
              <w:t>Direct Foreign Investment</w:t>
            </w:r>
          </w:p>
        </w:tc>
      </w:tr>
      <w:tr w:rsidR="006510AC" w:rsidRPr="007560A0" w14:paraId="2EAC382E" w14:textId="77777777" w:rsidTr="001321AE">
        <w:tc>
          <w:tcPr>
            <w:tcW w:w="4675" w:type="dxa"/>
          </w:tcPr>
          <w:p w14:paraId="7D9DFC9E"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Mercado de Capitais</w:t>
            </w:r>
          </w:p>
        </w:tc>
        <w:tc>
          <w:tcPr>
            <w:tcW w:w="4675" w:type="dxa"/>
          </w:tcPr>
          <w:p w14:paraId="30F12885"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Capital Market</w:t>
            </w:r>
          </w:p>
        </w:tc>
      </w:tr>
      <w:tr w:rsidR="006510AC" w:rsidRPr="007560A0" w14:paraId="2FBDCB7F" w14:textId="77777777" w:rsidTr="001321AE">
        <w:tc>
          <w:tcPr>
            <w:tcW w:w="4675" w:type="dxa"/>
          </w:tcPr>
          <w:p w14:paraId="1FF40997"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Fontes Financ. Mercado Internacional</w:t>
            </w:r>
          </w:p>
        </w:tc>
        <w:tc>
          <w:tcPr>
            <w:tcW w:w="4675" w:type="dxa"/>
          </w:tcPr>
          <w:p w14:paraId="7020A744"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Fin. Sources International Market</w:t>
            </w:r>
          </w:p>
        </w:tc>
      </w:tr>
    </w:tbl>
    <w:p w14:paraId="6D2524FA" w14:textId="77777777" w:rsidR="006510AC" w:rsidRPr="007560A0" w:rsidRDefault="006510AC" w:rsidP="00AF4EC6">
      <w:pPr>
        <w:jc w:val="both"/>
        <w:rPr>
          <w:rFonts w:ascii="Arial" w:hAnsi="Arial" w:cs="Arial"/>
          <w:color w:val="000000" w:themeColor="text1"/>
          <w:lang w:val="en-US"/>
        </w:rPr>
      </w:pPr>
    </w:p>
    <w:p w14:paraId="62EB03FD" w14:textId="0737A8A2" w:rsidR="00AF4EC6" w:rsidRPr="007560A0" w:rsidRDefault="00AF4EC6" w:rsidP="00AF4EC6">
      <w:pPr>
        <w:jc w:val="both"/>
        <w:rPr>
          <w:rFonts w:ascii="Arial" w:hAnsi="Arial" w:cs="Arial"/>
          <w:lang w:val="en-US"/>
        </w:rPr>
      </w:pPr>
      <w:r w:rsidRPr="007560A0">
        <w:rPr>
          <w:rFonts w:ascii="Arial" w:hAnsi="Arial" w:cs="Arial"/>
          <w:color w:val="000000" w:themeColor="text1"/>
          <w:lang w:val="en-US"/>
        </w:rPr>
        <w:t xml:space="preserve">In this context, the main source of long-term financing in the Brazilian economy are still the public banks. </w:t>
      </w:r>
      <w:r w:rsidRPr="007560A0">
        <w:rPr>
          <w:rFonts w:ascii="Arial" w:hAnsi="Arial" w:cs="Arial"/>
          <w:lang w:val="en-US"/>
        </w:rPr>
        <w:t xml:space="preserve">Currently, nearly 90% of the loan portfolio, with credit maturing in more than five years is offered by these institutions (Brazil, 2010 apud Freitas, 2011), and BNDES is responsible for more than 67% of the long-term financing in the country (Torres Filho, 2012). </w:t>
      </w:r>
      <w:r w:rsidR="002C31AA" w:rsidRPr="007560A0">
        <w:rPr>
          <w:rFonts w:ascii="Arial" w:hAnsi="Arial" w:cs="Arial"/>
          <w:lang w:val="en-US"/>
        </w:rPr>
        <w:t>According to the same author, the</w:t>
      </w:r>
      <w:r w:rsidRPr="007560A0">
        <w:rPr>
          <w:rFonts w:ascii="Arial" w:hAnsi="Arial" w:cs="Arial"/>
          <w:lang w:val="en-US"/>
        </w:rPr>
        <w:t xml:space="preserve"> Federal Savings Bank ac</w:t>
      </w:r>
      <w:r w:rsidR="00F72B25" w:rsidRPr="007560A0">
        <w:rPr>
          <w:rFonts w:ascii="Arial" w:hAnsi="Arial" w:cs="Arial"/>
          <w:lang w:val="en-US"/>
        </w:rPr>
        <w:t>counts for 12% and Banco do Braz</w:t>
      </w:r>
      <w:r w:rsidRPr="007560A0">
        <w:rPr>
          <w:rFonts w:ascii="Arial" w:hAnsi="Arial" w:cs="Arial"/>
          <w:lang w:val="en-US"/>
        </w:rPr>
        <w:t xml:space="preserve">il for a little more than 8%. In turn, some of the largest private Brazilian banks, such as Bradesco and Santander, account for 3.8% and 2.5%, respectively, of the financing maturing in more than five years. </w:t>
      </w:r>
    </w:p>
    <w:p w14:paraId="6D04FF89" w14:textId="77777777" w:rsidR="003B1B08" w:rsidRPr="007560A0" w:rsidRDefault="00D0363B" w:rsidP="003840C6">
      <w:pPr>
        <w:pStyle w:val="p-01"/>
        <w:rPr>
          <w:rFonts w:ascii="Arial" w:hAnsi="Arial" w:cs="Arial"/>
          <w:lang w:val="en-US"/>
        </w:rPr>
      </w:pPr>
      <w:r w:rsidRPr="007560A0">
        <w:rPr>
          <w:rFonts w:ascii="Arial" w:hAnsi="Arial" w:cs="Arial"/>
          <w:lang w:val="en-US"/>
        </w:rPr>
        <w:t xml:space="preserve">As we can see in the aforementioned data, BNDES stands out in the set of public banks. In fact, the bank, which was </w:t>
      </w:r>
      <w:r w:rsidR="003840C6" w:rsidRPr="007560A0">
        <w:rPr>
          <w:rFonts w:ascii="Arial" w:hAnsi="Arial" w:cs="Arial"/>
          <w:lang w:val="en-US"/>
        </w:rPr>
        <w:t xml:space="preserve">created in the early 1950s, has played a central role in the </w:t>
      </w:r>
      <w:r w:rsidRPr="007560A0">
        <w:rPr>
          <w:rFonts w:ascii="Arial" w:hAnsi="Arial" w:cs="Arial"/>
          <w:lang w:val="en-US"/>
        </w:rPr>
        <w:t xml:space="preserve">Brazilian economy </w:t>
      </w:r>
      <w:r w:rsidR="003840C6" w:rsidRPr="007560A0">
        <w:rPr>
          <w:rFonts w:ascii="Arial" w:hAnsi="Arial" w:cs="Arial"/>
          <w:lang w:val="en-US"/>
        </w:rPr>
        <w:t>since then. This is the main instrument of industrial policies adopted in Brazil and it played a key role in the privatizations that occurred</w:t>
      </w:r>
      <w:r w:rsidR="003B1B08" w:rsidRPr="007560A0">
        <w:rPr>
          <w:rFonts w:ascii="Arial" w:hAnsi="Arial" w:cs="Arial"/>
          <w:lang w:val="en-US"/>
        </w:rPr>
        <w:t xml:space="preserve"> through the 1990s.</w:t>
      </w:r>
    </w:p>
    <w:p w14:paraId="73CC29EC" w14:textId="2B585563" w:rsidR="003840C6" w:rsidRPr="007560A0" w:rsidRDefault="003B1B08" w:rsidP="003840C6">
      <w:pPr>
        <w:pStyle w:val="p-01"/>
        <w:rPr>
          <w:rFonts w:ascii="Arial" w:hAnsi="Arial" w:cs="Arial"/>
          <w:lang w:val="en-US"/>
        </w:rPr>
      </w:pPr>
      <w:r w:rsidRPr="007560A0">
        <w:rPr>
          <w:rFonts w:ascii="Arial" w:hAnsi="Arial" w:cs="Arial"/>
          <w:color w:val="000000" w:themeColor="text1"/>
          <w:lang w:val="en-US"/>
        </w:rPr>
        <w:lastRenderedPageBreak/>
        <w:t>BNDES</w:t>
      </w:r>
      <w:r w:rsidR="003840C6" w:rsidRPr="007560A0">
        <w:rPr>
          <w:rFonts w:ascii="Arial" w:hAnsi="Arial" w:cs="Arial"/>
          <w:color w:val="000000" w:themeColor="text1"/>
          <w:lang w:val="en-US"/>
        </w:rPr>
        <w:t xml:space="preserve"> is the main source of long-term credit for production investments and for investments in infrastructure in Brazil. </w:t>
      </w:r>
      <w:r w:rsidR="00D0363B" w:rsidRPr="007560A0">
        <w:rPr>
          <w:rFonts w:ascii="Arial" w:hAnsi="Arial" w:cs="Arial"/>
          <w:lang w:val="en-US"/>
        </w:rPr>
        <w:t xml:space="preserve">As indicated in </w:t>
      </w:r>
      <w:r w:rsidR="00E3006A" w:rsidRPr="007560A0">
        <w:rPr>
          <w:rFonts w:ascii="Arial" w:hAnsi="Arial" w:cs="Arial"/>
          <w:lang w:val="en-US"/>
        </w:rPr>
        <w:t>Chart</w:t>
      </w:r>
      <w:r w:rsidR="00D0363B" w:rsidRPr="007560A0">
        <w:rPr>
          <w:rFonts w:ascii="Arial" w:hAnsi="Arial" w:cs="Arial"/>
          <w:lang w:val="en-US"/>
        </w:rPr>
        <w:t xml:space="preserve"> 2, the </w:t>
      </w:r>
      <w:r w:rsidR="00605375" w:rsidRPr="007560A0">
        <w:rPr>
          <w:rFonts w:ascii="Arial" w:hAnsi="Arial" w:cs="Arial"/>
          <w:lang w:val="en-US"/>
        </w:rPr>
        <w:t xml:space="preserve">bank accounted for nearly 8% of the gross fixed capital formation (GFCF) in 2004 and, in 2015, reached 12%, having peaked at 18% in 2009, the year in which the Investment Support Program (ISP) was established as one of the main instruments used by the Brazilian government to mitigate the effects of the international crisis on the country. </w:t>
      </w:r>
      <w:r w:rsidR="003840C6" w:rsidRPr="007560A0">
        <w:rPr>
          <w:rFonts w:ascii="Arial" w:hAnsi="Arial" w:cs="Arial"/>
          <w:lang w:val="en-US"/>
        </w:rPr>
        <w:t>In 2015, the BNDES disbursements reached R$ 135.94 billion. (equivalent to US$40.72 billion, according to the average exchange rate for that year). Between 2000 and 2015, the disbursements reached R$220.92 billion (in constant values for 2015, deflated by the General Price Index – Internal Availability (GPI-IA) and equivalent to US$95.75 billion) in 2010 (</w:t>
      </w:r>
      <w:r w:rsidR="00E3006A" w:rsidRPr="007560A0">
        <w:rPr>
          <w:rFonts w:ascii="Arial" w:hAnsi="Arial" w:cs="Arial"/>
          <w:lang w:val="en-US"/>
        </w:rPr>
        <w:t>Chart</w:t>
      </w:r>
      <w:r w:rsidR="003840C6" w:rsidRPr="007560A0">
        <w:rPr>
          <w:rFonts w:ascii="Arial" w:hAnsi="Arial" w:cs="Arial"/>
          <w:lang w:val="en-US"/>
        </w:rPr>
        <w:t xml:space="preserve"> </w:t>
      </w:r>
      <w:r w:rsidR="00EC2205" w:rsidRPr="007560A0">
        <w:rPr>
          <w:rFonts w:ascii="Arial" w:hAnsi="Arial" w:cs="Arial"/>
          <w:lang w:val="en-US"/>
        </w:rPr>
        <w:t>4</w:t>
      </w:r>
      <w:r w:rsidR="003840C6" w:rsidRPr="007560A0">
        <w:rPr>
          <w:rFonts w:ascii="Arial" w:hAnsi="Arial" w:cs="Arial"/>
          <w:lang w:val="en-US"/>
        </w:rPr>
        <w:t>).</w:t>
      </w:r>
    </w:p>
    <w:p w14:paraId="7A712603" w14:textId="77777777" w:rsidR="00D0363B" w:rsidRPr="007560A0" w:rsidRDefault="00D0363B" w:rsidP="00710455">
      <w:pPr>
        <w:pStyle w:val="f-01"/>
        <w:rPr>
          <w:rFonts w:ascii="Arial" w:hAnsi="Arial"/>
          <w:noProof w:val="0"/>
          <w:lang w:val="en-US"/>
        </w:rPr>
      </w:pPr>
      <w:r w:rsidRPr="007560A0">
        <w:rPr>
          <w:rFonts w:ascii="Arial" w:hAnsi="Arial"/>
          <w:noProof w:val="0"/>
          <w:lang w:val="en-US"/>
        </w:rPr>
        <w:t xml:space="preserve">Chart </w:t>
      </w:r>
      <w:r w:rsidR="00EC2205" w:rsidRPr="007560A0">
        <w:rPr>
          <w:rFonts w:ascii="Arial" w:hAnsi="Arial"/>
          <w:noProof w:val="0"/>
          <w:lang w:val="en-US"/>
        </w:rPr>
        <w:t>4</w:t>
      </w:r>
      <w:r w:rsidRPr="007560A0">
        <w:rPr>
          <w:rFonts w:ascii="Arial" w:hAnsi="Arial"/>
          <w:noProof w:val="0"/>
          <w:lang w:val="en-US"/>
        </w:rPr>
        <w:t>: BNDES Disbursements, 2000 – 2015</w:t>
      </w:r>
    </w:p>
    <w:p w14:paraId="61CC34DA" w14:textId="77777777" w:rsidR="00D0363B" w:rsidRPr="007560A0" w:rsidRDefault="00D845F6" w:rsidP="00D0363B">
      <w:pPr>
        <w:pStyle w:val="f-02"/>
        <w:rPr>
          <w:rFonts w:ascii="Arial" w:hAnsi="Arial" w:cs="Arial"/>
          <w:noProof w:val="0"/>
          <w:lang w:val="en-US"/>
        </w:rPr>
      </w:pPr>
      <w:r w:rsidRPr="007560A0">
        <w:rPr>
          <w:rFonts w:ascii="Arial" w:hAnsi="Arial" w:cs="Arial"/>
          <w:lang w:val="en-US" w:eastAsia="en-US"/>
        </w:rPr>
        <w:drawing>
          <wp:inline distT="0" distB="0" distL="0" distR="0" wp14:anchorId="0DCE1C49" wp14:editId="0BCBD4E1">
            <wp:extent cx="5365746" cy="3337840"/>
            <wp:effectExtent l="0" t="0" r="698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148175" w14:textId="77777777" w:rsidR="003840C6" w:rsidRPr="007560A0" w:rsidRDefault="003840C6" w:rsidP="00D0363B">
      <w:pPr>
        <w:pStyle w:val="f-03"/>
        <w:rPr>
          <w:rFonts w:ascii="Arial" w:hAnsi="Arial" w:cs="Arial"/>
          <w:lang w:val="en-US"/>
        </w:rPr>
      </w:pPr>
      <w:r w:rsidRPr="007560A0">
        <w:rPr>
          <w:rFonts w:ascii="Arial" w:hAnsi="Arial" w:cs="Arial"/>
          <w:lang w:val="en-US"/>
        </w:rPr>
        <w:t>Source: prepared by the authors, based on BNDES data.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510AC" w:rsidRPr="007560A0" w14:paraId="38F0023E" w14:textId="77777777" w:rsidTr="001321AE">
        <w:tc>
          <w:tcPr>
            <w:tcW w:w="4675" w:type="dxa"/>
          </w:tcPr>
          <w:p w14:paraId="368F01E9"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R$ ctes de 2015 (defl. IGP-DI)</w:t>
            </w:r>
          </w:p>
        </w:tc>
        <w:tc>
          <w:tcPr>
            <w:tcW w:w="4675" w:type="dxa"/>
          </w:tcPr>
          <w:p w14:paraId="27490FCD"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R$ Electronic Bills of Lading 2015 (defl. GPI-DA)</w:t>
            </w:r>
          </w:p>
        </w:tc>
      </w:tr>
      <w:tr w:rsidR="006510AC" w:rsidRPr="007560A0" w14:paraId="10BAFDDA" w14:textId="77777777" w:rsidTr="001321AE">
        <w:tc>
          <w:tcPr>
            <w:tcW w:w="4675" w:type="dxa"/>
          </w:tcPr>
          <w:p w14:paraId="6A92C509"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US$ (taxa média do ano)</w:t>
            </w:r>
          </w:p>
        </w:tc>
        <w:tc>
          <w:tcPr>
            <w:tcW w:w="4675" w:type="dxa"/>
          </w:tcPr>
          <w:p w14:paraId="1B9DD32C"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US$ (avg. annual rate)</w:t>
            </w:r>
          </w:p>
        </w:tc>
      </w:tr>
    </w:tbl>
    <w:p w14:paraId="25B27429" w14:textId="77777777" w:rsidR="006510AC" w:rsidRPr="007560A0" w:rsidRDefault="006510AC" w:rsidP="003840C6">
      <w:pPr>
        <w:pStyle w:val="p-01"/>
        <w:rPr>
          <w:rFonts w:ascii="Arial" w:hAnsi="Arial" w:cs="Arial"/>
          <w:lang w:val="en-US"/>
        </w:rPr>
      </w:pPr>
    </w:p>
    <w:p w14:paraId="17B765C9" w14:textId="39786A35" w:rsidR="003840C6" w:rsidRPr="007560A0" w:rsidRDefault="004875CC" w:rsidP="003840C6">
      <w:pPr>
        <w:pStyle w:val="p-01"/>
        <w:rPr>
          <w:rFonts w:ascii="Arial" w:hAnsi="Arial" w:cs="Arial"/>
          <w:lang w:val="en-US"/>
        </w:rPr>
      </w:pPr>
      <w:r w:rsidRPr="007560A0">
        <w:rPr>
          <w:rFonts w:ascii="Arial" w:hAnsi="Arial" w:cs="Arial"/>
          <w:lang w:val="en-US"/>
        </w:rPr>
        <w:t>The peak of BNDES participation in investments is, clearly, accompanied by the p</w:t>
      </w:r>
      <w:r w:rsidR="003840C6" w:rsidRPr="007560A0">
        <w:rPr>
          <w:rFonts w:ascii="Arial" w:hAnsi="Arial" w:cs="Arial"/>
          <w:lang w:val="en-US"/>
        </w:rPr>
        <w:t>eak</w:t>
      </w:r>
      <w:r w:rsidRPr="007560A0">
        <w:rPr>
          <w:rFonts w:ascii="Arial" w:hAnsi="Arial" w:cs="Arial"/>
          <w:lang w:val="en-US"/>
        </w:rPr>
        <w:t xml:space="preserve"> in Bank disbursements derived from the countercyclical measures associated with the ISP</w:t>
      </w:r>
      <w:r w:rsidR="003840C6" w:rsidRPr="007560A0">
        <w:rPr>
          <w:rFonts w:ascii="Arial" w:hAnsi="Arial" w:cs="Arial"/>
          <w:lang w:val="en-US"/>
        </w:rPr>
        <w:t>.</w:t>
      </w:r>
      <w:r w:rsidR="002A0F11" w:rsidRPr="007560A0">
        <w:rPr>
          <w:rFonts w:ascii="Arial" w:hAnsi="Arial" w:cs="Arial"/>
          <w:lang w:val="en-US"/>
        </w:rPr>
        <w:t xml:space="preserve"> These measures had a significant impact on the economy in 2009 and </w:t>
      </w:r>
      <w:r w:rsidR="003B1B08" w:rsidRPr="007560A0">
        <w:rPr>
          <w:rFonts w:ascii="Arial" w:hAnsi="Arial" w:cs="Arial"/>
          <w:lang w:val="en-US"/>
        </w:rPr>
        <w:t xml:space="preserve">in </w:t>
      </w:r>
      <w:r w:rsidR="002A0F11" w:rsidRPr="007560A0">
        <w:rPr>
          <w:rFonts w:ascii="Arial" w:hAnsi="Arial" w:cs="Arial"/>
          <w:lang w:val="en-US"/>
        </w:rPr>
        <w:t xml:space="preserve">2010, maintaining heated </w:t>
      </w:r>
      <w:r w:rsidR="00F7196D" w:rsidRPr="007560A0">
        <w:rPr>
          <w:rFonts w:ascii="Arial" w:hAnsi="Arial" w:cs="Arial"/>
          <w:lang w:val="en-US"/>
        </w:rPr>
        <w:t xml:space="preserve">economic </w:t>
      </w:r>
      <w:r w:rsidR="002A0F11" w:rsidRPr="007560A0">
        <w:rPr>
          <w:rFonts w:ascii="Arial" w:hAnsi="Arial" w:cs="Arial"/>
          <w:lang w:val="en-US"/>
        </w:rPr>
        <w:t xml:space="preserve">activity while the rest of the world </w:t>
      </w:r>
      <w:r w:rsidR="00D0363B" w:rsidRPr="007560A0">
        <w:rPr>
          <w:rFonts w:ascii="Arial" w:hAnsi="Arial" w:cs="Arial"/>
          <w:lang w:val="en-US"/>
        </w:rPr>
        <w:t xml:space="preserve">suffered with the international crisis. </w:t>
      </w:r>
      <w:r w:rsidR="002A0F11" w:rsidRPr="007560A0">
        <w:rPr>
          <w:rFonts w:ascii="Arial" w:hAnsi="Arial" w:cs="Arial"/>
          <w:lang w:val="en-US"/>
        </w:rPr>
        <w:t xml:space="preserve">On the other hand, these measures had a </w:t>
      </w:r>
      <w:r w:rsidR="003840C6" w:rsidRPr="007560A0">
        <w:rPr>
          <w:rFonts w:ascii="Arial" w:hAnsi="Arial" w:cs="Arial"/>
          <w:lang w:val="en-US"/>
        </w:rPr>
        <w:t>high fiscal cost</w:t>
      </w:r>
      <w:r w:rsidR="002A0F11" w:rsidRPr="007560A0">
        <w:rPr>
          <w:rFonts w:ascii="Arial" w:hAnsi="Arial" w:cs="Arial"/>
          <w:lang w:val="en-US"/>
        </w:rPr>
        <w:t xml:space="preserve"> and did not </w:t>
      </w:r>
      <w:r w:rsidR="00F7196D" w:rsidRPr="007560A0">
        <w:rPr>
          <w:rFonts w:ascii="Arial" w:hAnsi="Arial" w:cs="Arial"/>
          <w:lang w:val="en-US"/>
        </w:rPr>
        <w:t xml:space="preserve">necessarily </w:t>
      </w:r>
      <w:r w:rsidR="002A0F11" w:rsidRPr="007560A0">
        <w:rPr>
          <w:rFonts w:ascii="Arial" w:hAnsi="Arial" w:cs="Arial"/>
          <w:lang w:val="en-US"/>
        </w:rPr>
        <w:t>prioritize sectors or activities that could have major impacts on economic recovery over the long-term</w:t>
      </w:r>
      <w:r w:rsidR="003840C6" w:rsidRPr="007560A0">
        <w:rPr>
          <w:rFonts w:ascii="Arial" w:hAnsi="Arial" w:cs="Arial"/>
          <w:lang w:val="en-US"/>
        </w:rPr>
        <w:t>. Just the subsidies from the National Treasury to BNDES reached R$28.53 billion in 2015</w:t>
      </w:r>
      <w:r w:rsidR="00EC2205" w:rsidRPr="007560A0">
        <w:rPr>
          <w:rFonts w:ascii="Arial" w:hAnsi="Arial" w:cs="Arial"/>
          <w:lang w:val="en-US"/>
        </w:rPr>
        <w:t xml:space="preserve"> (</w:t>
      </w:r>
      <w:r w:rsidR="00E3006A" w:rsidRPr="007560A0">
        <w:rPr>
          <w:rFonts w:ascii="Arial" w:hAnsi="Arial" w:cs="Arial"/>
          <w:lang w:val="en-US"/>
        </w:rPr>
        <w:t>Chart</w:t>
      </w:r>
      <w:r w:rsidR="00EC2205" w:rsidRPr="007560A0">
        <w:rPr>
          <w:rFonts w:ascii="Arial" w:hAnsi="Arial" w:cs="Arial"/>
          <w:lang w:val="en-US"/>
        </w:rPr>
        <w:t xml:space="preserve"> 5)</w:t>
      </w:r>
      <w:r w:rsidR="003840C6" w:rsidRPr="007560A0">
        <w:rPr>
          <w:rFonts w:ascii="Arial" w:hAnsi="Arial" w:cs="Arial"/>
          <w:lang w:val="en-US"/>
        </w:rPr>
        <w:t xml:space="preserve">. These values (the magnitude of the annual budget for the “Bolsa Família” [Family Stipend] program) arose from the interest rate differentials and </w:t>
      </w:r>
      <w:r w:rsidR="00F7196D" w:rsidRPr="007560A0">
        <w:rPr>
          <w:rFonts w:ascii="Arial" w:hAnsi="Arial" w:cs="Arial"/>
          <w:lang w:val="en-US"/>
        </w:rPr>
        <w:t xml:space="preserve">the equalization </w:t>
      </w:r>
      <w:r w:rsidR="003840C6" w:rsidRPr="007560A0">
        <w:rPr>
          <w:rFonts w:ascii="Arial" w:hAnsi="Arial" w:cs="Arial"/>
          <w:lang w:val="en-US"/>
        </w:rPr>
        <w:t>of expected rates</w:t>
      </w:r>
      <w:r w:rsidR="00F7196D" w:rsidRPr="007560A0">
        <w:rPr>
          <w:rFonts w:ascii="Arial" w:hAnsi="Arial" w:cs="Arial"/>
          <w:lang w:val="en-US"/>
        </w:rPr>
        <w:t>, for example,</w:t>
      </w:r>
      <w:r w:rsidR="003840C6" w:rsidRPr="007560A0">
        <w:rPr>
          <w:rFonts w:ascii="Arial" w:hAnsi="Arial" w:cs="Arial"/>
          <w:lang w:val="en-US"/>
        </w:rPr>
        <w:t xml:space="preserve"> under the ISP.</w:t>
      </w:r>
    </w:p>
    <w:p w14:paraId="71C8824B" w14:textId="77777777" w:rsidR="003840C6" w:rsidRPr="007560A0" w:rsidRDefault="00A631C2" w:rsidP="00710455">
      <w:pPr>
        <w:pStyle w:val="f-01"/>
        <w:rPr>
          <w:rFonts w:ascii="Arial" w:hAnsi="Arial"/>
          <w:noProof w:val="0"/>
          <w:lang w:val="en-US"/>
        </w:rPr>
      </w:pPr>
      <w:r w:rsidRPr="007560A0">
        <w:rPr>
          <w:rFonts w:ascii="Arial" w:hAnsi="Arial"/>
          <w:noProof w:val="0"/>
          <w:lang w:val="en-US"/>
        </w:rPr>
        <w:lastRenderedPageBreak/>
        <w:t xml:space="preserve">Chart </w:t>
      </w:r>
      <w:r w:rsidR="00EC2205" w:rsidRPr="007560A0">
        <w:rPr>
          <w:rFonts w:ascii="Arial" w:hAnsi="Arial"/>
          <w:noProof w:val="0"/>
          <w:lang w:val="en-US"/>
        </w:rPr>
        <w:t>5</w:t>
      </w:r>
      <w:r w:rsidR="003840C6" w:rsidRPr="007560A0">
        <w:rPr>
          <w:rFonts w:ascii="Arial" w:hAnsi="Arial"/>
          <w:noProof w:val="0"/>
          <w:lang w:val="en-US"/>
        </w:rPr>
        <w:t xml:space="preserve">: </w:t>
      </w:r>
      <w:r w:rsidR="00D0363B" w:rsidRPr="007560A0">
        <w:rPr>
          <w:rFonts w:ascii="Arial" w:hAnsi="Arial"/>
          <w:noProof w:val="0"/>
          <w:lang w:val="en-US"/>
        </w:rPr>
        <w:t xml:space="preserve">National Treasury subsidies </w:t>
      </w:r>
      <w:r w:rsidRPr="007560A0">
        <w:rPr>
          <w:rFonts w:ascii="Arial" w:hAnsi="Arial"/>
          <w:noProof w:val="0"/>
          <w:lang w:val="en-US"/>
        </w:rPr>
        <w:t>to BN</w:t>
      </w:r>
      <w:r w:rsidR="003840C6" w:rsidRPr="007560A0">
        <w:rPr>
          <w:rFonts w:ascii="Arial" w:hAnsi="Arial"/>
          <w:noProof w:val="0"/>
          <w:lang w:val="en-US"/>
        </w:rPr>
        <w:t>DES, 2008-2015</w:t>
      </w:r>
      <w:r w:rsidR="00A70785" w:rsidRPr="007560A0">
        <w:rPr>
          <w:rFonts w:ascii="Arial" w:hAnsi="Arial"/>
          <w:noProof w:val="0"/>
          <w:lang w:val="en-US"/>
        </w:rPr>
        <w:t xml:space="preserve"> (in billions of reais)</w:t>
      </w:r>
    </w:p>
    <w:p w14:paraId="343B72E1" w14:textId="77777777" w:rsidR="003840C6" w:rsidRPr="007560A0" w:rsidRDefault="003840C6" w:rsidP="003840C6">
      <w:pPr>
        <w:pStyle w:val="p-01"/>
        <w:jc w:val="center"/>
        <w:rPr>
          <w:rFonts w:ascii="Arial" w:hAnsi="Arial" w:cs="Arial"/>
          <w:color w:val="FF0000"/>
          <w:lang w:val="en-US"/>
        </w:rPr>
      </w:pPr>
      <w:r w:rsidRPr="007560A0">
        <w:rPr>
          <w:rFonts w:ascii="Arial" w:hAnsi="Arial" w:cs="Arial"/>
          <w:noProof/>
          <w:color w:val="FF0000"/>
          <w:lang w:val="en-US"/>
        </w:rPr>
        <w:drawing>
          <wp:inline distT="0" distB="0" distL="0" distR="0" wp14:anchorId="5CDC9FE4" wp14:editId="16EECFE9">
            <wp:extent cx="5400000" cy="3600000"/>
            <wp:effectExtent l="0" t="0" r="0" b="63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B2F07C" w14:textId="77777777" w:rsidR="00D0363B" w:rsidRPr="007560A0" w:rsidRDefault="00D0363B" w:rsidP="002F222E">
      <w:pPr>
        <w:pStyle w:val="f-03"/>
        <w:rPr>
          <w:rFonts w:ascii="Arial" w:hAnsi="Arial" w:cs="Arial"/>
          <w:lang w:val="en-US"/>
        </w:rPr>
      </w:pPr>
      <w:r w:rsidRPr="007560A0">
        <w:rPr>
          <w:rFonts w:ascii="Arial" w:hAnsi="Arial" w:cs="Arial"/>
          <w:lang w:val="en-US"/>
        </w:rPr>
        <w:t xml:space="preserve">Source: National Treasury. Available at </w:t>
      </w:r>
      <w:hyperlink r:id="rId14" w:history="1">
        <w:r w:rsidRPr="007560A0">
          <w:rPr>
            <w:rStyle w:val="Hyperlink"/>
            <w:rFonts w:ascii="Arial" w:hAnsi="Arial" w:cs="Arial"/>
            <w:lang w:val="en-US"/>
          </w:rPr>
          <w:t>http://goo.gl/aXSUgI</w:t>
        </w:r>
      </w:hyperlink>
      <w:r w:rsidRPr="007560A0">
        <w:rPr>
          <w:rFonts w:ascii="Arial" w:hAnsi="Arial" w:cs="Arial"/>
          <w:lang w:val="en-US"/>
        </w:rPr>
        <w:t>. Accessed on September 5, 2016.</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510AC" w:rsidRPr="007560A0" w14:paraId="5F359CD2" w14:textId="77777777" w:rsidTr="001321AE">
        <w:tc>
          <w:tcPr>
            <w:tcW w:w="4675" w:type="dxa"/>
          </w:tcPr>
          <w:p w14:paraId="653510C6"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Financial subsidies</w:t>
            </w:r>
          </w:p>
        </w:tc>
        <w:tc>
          <w:tcPr>
            <w:tcW w:w="4675" w:type="dxa"/>
          </w:tcPr>
          <w:p w14:paraId="3FD165A7"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Financial subsidies</w:t>
            </w:r>
          </w:p>
        </w:tc>
      </w:tr>
      <w:tr w:rsidR="006510AC" w:rsidRPr="007560A0" w14:paraId="040FF1C3" w14:textId="77777777" w:rsidTr="001321AE">
        <w:tc>
          <w:tcPr>
            <w:tcW w:w="4675" w:type="dxa"/>
          </w:tcPr>
          <w:p w14:paraId="26CE065F"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Credit subsidies</w:t>
            </w:r>
          </w:p>
        </w:tc>
        <w:tc>
          <w:tcPr>
            <w:tcW w:w="4675" w:type="dxa"/>
          </w:tcPr>
          <w:p w14:paraId="48D73B6F"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Credit subsidies</w:t>
            </w:r>
          </w:p>
        </w:tc>
      </w:tr>
      <w:tr w:rsidR="006510AC" w:rsidRPr="007560A0" w14:paraId="480F3557" w14:textId="77777777" w:rsidTr="001321AE">
        <w:tc>
          <w:tcPr>
            <w:tcW w:w="4675" w:type="dxa"/>
          </w:tcPr>
          <w:p w14:paraId="72BA708C"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 xml:space="preserve">Total </w:t>
            </w:r>
          </w:p>
        </w:tc>
        <w:tc>
          <w:tcPr>
            <w:tcW w:w="4675" w:type="dxa"/>
          </w:tcPr>
          <w:p w14:paraId="757C993A"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 xml:space="preserve">Total </w:t>
            </w:r>
          </w:p>
        </w:tc>
      </w:tr>
    </w:tbl>
    <w:p w14:paraId="0BD1C6CE" w14:textId="77777777" w:rsidR="006510AC" w:rsidRPr="007560A0" w:rsidRDefault="006510AC" w:rsidP="006F4665">
      <w:pPr>
        <w:pStyle w:val="p-01"/>
        <w:rPr>
          <w:rFonts w:ascii="Arial" w:hAnsi="Arial" w:cs="Arial"/>
          <w:lang w:val="en-US"/>
        </w:rPr>
      </w:pPr>
    </w:p>
    <w:p w14:paraId="2D34E116" w14:textId="1A7F13F7" w:rsidR="001415B5" w:rsidRPr="007560A0" w:rsidRDefault="002C31AA" w:rsidP="006F4665">
      <w:pPr>
        <w:pStyle w:val="p-01"/>
        <w:rPr>
          <w:rFonts w:ascii="Arial" w:hAnsi="Arial" w:cs="Arial"/>
          <w:lang w:val="en-US"/>
        </w:rPr>
      </w:pPr>
      <w:r w:rsidRPr="007560A0">
        <w:rPr>
          <w:rFonts w:ascii="Arial" w:hAnsi="Arial" w:cs="Arial"/>
          <w:lang w:val="en-US"/>
        </w:rPr>
        <w:t>The role of BNDES in providing long-term financing for the economy tends to be more relevant</w:t>
      </w:r>
      <w:r w:rsidR="006F4665" w:rsidRPr="007560A0">
        <w:rPr>
          <w:rFonts w:ascii="Arial" w:hAnsi="Arial" w:cs="Arial"/>
          <w:lang w:val="en-US"/>
        </w:rPr>
        <w:t xml:space="preserve"> </w:t>
      </w:r>
      <w:r w:rsidRPr="007560A0">
        <w:rPr>
          <w:rFonts w:ascii="Arial" w:hAnsi="Arial" w:cs="Arial"/>
          <w:lang w:val="en-US"/>
        </w:rPr>
        <w:t>in a crisis context</w:t>
      </w:r>
      <w:r w:rsidR="008A6EE8" w:rsidRPr="007560A0">
        <w:rPr>
          <w:rFonts w:ascii="Arial" w:hAnsi="Arial" w:cs="Arial"/>
          <w:lang w:val="en-US"/>
        </w:rPr>
        <w:t>, like the present,</w:t>
      </w:r>
      <w:r w:rsidRPr="007560A0">
        <w:rPr>
          <w:rFonts w:ascii="Arial" w:hAnsi="Arial" w:cs="Arial"/>
          <w:lang w:val="en-US"/>
        </w:rPr>
        <w:t xml:space="preserve"> </w:t>
      </w:r>
      <w:r w:rsidR="006F4665" w:rsidRPr="007560A0">
        <w:rPr>
          <w:rFonts w:ascii="Arial" w:hAnsi="Arial" w:cs="Arial"/>
          <w:lang w:val="en-US"/>
        </w:rPr>
        <w:t>due to the deepening of the</w:t>
      </w:r>
      <w:r w:rsidR="00F72B25" w:rsidRPr="007560A0">
        <w:rPr>
          <w:rFonts w:ascii="Arial" w:hAnsi="Arial" w:cs="Arial"/>
          <w:lang w:val="en-US"/>
        </w:rPr>
        <w:t xml:space="preserve"> </w:t>
      </w:r>
      <w:r w:rsidRPr="007560A0">
        <w:rPr>
          <w:rFonts w:ascii="Arial" w:hAnsi="Arial" w:cs="Arial"/>
          <w:lang w:val="en-US"/>
        </w:rPr>
        <w:t>existing bottlenecks in the long-</w:t>
      </w:r>
      <w:r w:rsidR="006D5C8A" w:rsidRPr="007560A0">
        <w:rPr>
          <w:rFonts w:ascii="Arial" w:hAnsi="Arial" w:cs="Arial"/>
          <w:lang w:val="en-US"/>
        </w:rPr>
        <w:t>term financing of the Brazilian economy.</w:t>
      </w:r>
      <w:r w:rsidR="001415B5" w:rsidRPr="007560A0">
        <w:rPr>
          <w:rFonts w:ascii="Arial" w:hAnsi="Arial" w:cs="Arial"/>
          <w:lang w:val="en-US"/>
        </w:rPr>
        <w:t xml:space="preserve"> </w:t>
      </w:r>
      <w:r w:rsidR="008A6EE8" w:rsidRPr="007560A0">
        <w:rPr>
          <w:rFonts w:ascii="Arial" w:hAnsi="Arial" w:cs="Arial"/>
          <w:lang w:val="en-US"/>
        </w:rPr>
        <w:t xml:space="preserve">An important factor in  </w:t>
      </w:r>
      <w:r w:rsidR="006F4665" w:rsidRPr="007560A0">
        <w:rPr>
          <w:rFonts w:ascii="Arial" w:hAnsi="Arial" w:cs="Arial"/>
          <w:lang w:val="en-US"/>
        </w:rPr>
        <w:t xml:space="preserve"> recent years </w:t>
      </w:r>
      <w:r w:rsidR="008A6EE8" w:rsidRPr="007560A0">
        <w:rPr>
          <w:rFonts w:ascii="Arial" w:hAnsi="Arial" w:cs="Arial"/>
          <w:lang w:val="en-US"/>
        </w:rPr>
        <w:t>is the</w:t>
      </w:r>
      <w:r w:rsidR="006F4665" w:rsidRPr="007560A0">
        <w:rPr>
          <w:rFonts w:ascii="Arial" w:hAnsi="Arial" w:cs="Arial"/>
          <w:lang w:val="en-US"/>
        </w:rPr>
        <w:t xml:space="preserve"> upward trend in real interest rates, </w:t>
      </w:r>
      <w:r w:rsidR="006D5C8A" w:rsidRPr="007560A0">
        <w:rPr>
          <w:rFonts w:ascii="Arial" w:hAnsi="Arial" w:cs="Arial"/>
          <w:lang w:val="en-US"/>
        </w:rPr>
        <w:t>which further reduces the attractiveness of alternative investments.</w:t>
      </w:r>
      <w:r w:rsidR="00F72B25" w:rsidRPr="007560A0">
        <w:rPr>
          <w:rFonts w:ascii="Arial" w:hAnsi="Arial" w:cs="Arial"/>
          <w:lang w:val="en-US"/>
        </w:rPr>
        <w:t xml:space="preserve"> </w:t>
      </w:r>
      <w:r w:rsidR="006F4665" w:rsidRPr="007560A0">
        <w:rPr>
          <w:rFonts w:ascii="Arial" w:hAnsi="Arial" w:cs="Arial"/>
          <w:lang w:val="en-US"/>
        </w:rPr>
        <w:t>In addition</w:t>
      </w:r>
      <w:r w:rsidR="006D5C8A" w:rsidRPr="007560A0">
        <w:rPr>
          <w:rFonts w:ascii="Arial" w:hAnsi="Arial" w:cs="Arial"/>
          <w:lang w:val="en-US"/>
        </w:rPr>
        <w:t xml:space="preserve">, there has been an increase in the default rate, both of individuals and legal entities, and the risk associated with private credit, which tends to reduce </w:t>
      </w:r>
      <w:r w:rsidR="006F4665" w:rsidRPr="007560A0">
        <w:rPr>
          <w:rFonts w:ascii="Arial" w:hAnsi="Arial" w:cs="Arial"/>
          <w:lang w:val="en-US"/>
        </w:rPr>
        <w:t xml:space="preserve">its </w:t>
      </w:r>
      <w:r w:rsidR="006D5C8A" w:rsidRPr="007560A0">
        <w:rPr>
          <w:rFonts w:ascii="Arial" w:hAnsi="Arial" w:cs="Arial"/>
          <w:lang w:val="en-US"/>
        </w:rPr>
        <w:t xml:space="preserve">supply, </w:t>
      </w:r>
      <w:r w:rsidR="00F72B25" w:rsidRPr="007560A0">
        <w:rPr>
          <w:rFonts w:ascii="Arial" w:hAnsi="Arial" w:cs="Arial"/>
          <w:lang w:val="en-US"/>
        </w:rPr>
        <w:t>particularly</w:t>
      </w:r>
      <w:r w:rsidR="006D5C8A" w:rsidRPr="007560A0">
        <w:rPr>
          <w:rFonts w:ascii="Arial" w:hAnsi="Arial" w:cs="Arial"/>
          <w:lang w:val="en-US"/>
        </w:rPr>
        <w:t xml:space="preserve"> in segments with higher risk levels. Worsening expectations also tend to slow down the private credit market and the capital market in the country, </w:t>
      </w:r>
      <w:r w:rsidR="006F4665" w:rsidRPr="007560A0">
        <w:rPr>
          <w:rFonts w:ascii="Arial" w:hAnsi="Arial" w:cs="Arial"/>
          <w:lang w:val="en-US"/>
        </w:rPr>
        <w:t xml:space="preserve">affecting the rate of </w:t>
      </w:r>
      <w:r w:rsidR="006D5C8A" w:rsidRPr="007560A0">
        <w:rPr>
          <w:rFonts w:ascii="Arial" w:hAnsi="Arial" w:cs="Arial"/>
          <w:lang w:val="en-US"/>
        </w:rPr>
        <w:t>investments. Finally, external savings, one of the historically relevant pillar</w:t>
      </w:r>
      <w:r w:rsidR="006F4665" w:rsidRPr="007560A0">
        <w:rPr>
          <w:rFonts w:ascii="Arial" w:hAnsi="Arial" w:cs="Arial"/>
          <w:lang w:val="en-US"/>
        </w:rPr>
        <w:t>s</w:t>
      </w:r>
      <w:r w:rsidR="006D5C8A" w:rsidRPr="007560A0">
        <w:rPr>
          <w:rFonts w:ascii="Arial" w:hAnsi="Arial" w:cs="Arial"/>
          <w:lang w:val="en-US"/>
        </w:rPr>
        <w:t xml:space="preserve"> for the country</w:t>
      </w:r>
      <w:r w:rsidR="006F4665" w:rsidRPr="007560A0">
        <w:rPr>
          <w:rFonts w:ascii="Arial" w:hAnsi="Arial" w:cs="Arial"/>
          <w:lang w:val="en-US"/>
        </w:rPr>
        <w:t xml:space="preserve">, </w:t>
      </w:r>
      <w:r w:rsidR="006D5C8A" w:rsidRPr="007560A0">
        <w:rPr>
          <w:rFonts w:ascii="Arial" w:hAnsi="Arial" w:cs="Arial"/>
          <w:lang w:val="en-US"/>
        </w:rPr>
        <w:t xml:space="preserve">also tend to diminish in times </w:t>
      </w:r>
      <w:r w:rsidR="001415B5" w:rsidRPr="007560A0">
        <w:rPr>
          <w:rFonts w:ascii="Arial" w:hAnsi="Arial" w:cs="Arial"/>
          <w:lang w:val="en-US"/>
        </w:rPr>
        <w:t xml:space="preserve">of crisis and uncertainty, and this is indeed taking place. </w:t>
      </w:r>
    </w:p>
    <w:p w14:paraId="56C0C194" w14:textId="2AF293B8" w:rsidR="00FF446B" w:rsidRPr="007560A0" w:rsidRDefault="001415B5" w:rsidP="00FF446B">
      <w:pPr>
        <w:pStyle w:val="p-01"/>
        <w:rPr>
          <w:rFonts w:ascii="Arial" w:hAnsi="Arial" w:cs="Arial"/>
          <w:color w:val="000000" w:themeColor="text1"/>
          <w:lang w:val="en-US"/>
        </w:rPr>
      </w:pPr>
      <w:r w:rsidRPr="007560A0">
        <w:rPr>
          <w:rFonts w:ascii="Arial" w:hAnsi="Arial" w:cs="Arial"/>
          <w:lang w:val="en-US"/>
        </w:rPr>
        <w:t xml:space="preserve">Of course, the solution to long-term financing in the country requires regulatory and institutional changes much deeper and with longer maturity periods. However, in the </w:t>
      </w:r>
      <w:r w:rsidR="006F4665" w:rsidRPr="007560A0">
        <w:rPr>
          <w:rFonts w:ascii="Arial" w:hAnsi="Arial" w:cs="Arial"/>
          <w:lang w:val="en-US"/>
        </w:rPr>
        <w:t xml:space="preserve">short </w:t>
      </w:r>
      <w:r w:rsidRPr="007560A0">
        <w:rPr>
          <w:rFonts w:ascii="Arial" w:hAnsi="Arial" w:cs="Arial"/>
          <w:lang w:val="en-US"/>
        </w:rPr>
        <w:t xml:space="preserve">term, the worsening of some of the factors that hinder the financing </w:t>
      </w:r>
      <w:r w:rsidR="00FA2F42" w:rsidRPr="007560A0">
        <w:rPr>
          <w:rFonts w:ascii="Arial" w:hAnsi="Arial" w:cs="Arial"/>
          <w:lang w:val="en-US"/>
        </w:rPr>
        <w:t xml:space="preserve">of investments </w:t>
      </w:r>
      <w:r w:rsidRPr="007560A0">
        <w:rPr>
          <w:rFonts w:ascii="Arial" w:hAnsi="Arial" w:cs="Arial"/>
          <w:lang w:val="en-US"/>
        </w:rPr>
        <w:t xml:space="preserve">in the country tend to make the role of BNDES even more relevant. However, restrictions to the performance of the </w:t>
      </w:r>
      <w:r w:rsidR="00FA2F42" w:rsidRPr="007560A0">
        <w:rPr>
          <w:rFonts w:ascii="Arial" w:hAnsi="Arial" w:cs="Arial"/>
          <w:lang w:val="en-US"/>
        </w:rPr>
        <w:t>b</w:t>
      </w:r>
      <w:r w:rsidRPr="007560A0">
        <w:rPr>
          <w:rFonts w:ascii="Arial" w:hAnsi="Arial" w:cs="Arial"/>
          <w:lang w:val="en-US"/>
        </w:rPr>
        <w:t xml:space="preserve">ank, particularly the fiscal constraints, also tend to become more relevant. </w:t>
      </w:r>
      <w:r w:rsidR="00FF446B" w:rsidRPr="007560A0">
        <w:rPr>
          <w:rFonts w:ascii="Arial" w:hAnsi="Arial" w:cs="Arial"/>
          <w:lang w:val="en-US"/>
        </w:rPr>
        <w:t>Although there have been signs since 2015 that new operations involving subsides from the National Treasury to BNDES would be reduced, the existing contracts, which involve long-term operations, generate costs up to 2060. In this sense, it is unlikely that</w:t>
      </w:r>
      <w:r w:rsidR="00FA2F42" w:rsidRPr="007560A0">
        <w:rPr>
          <w:rFonts w:ascii="Arial" w:hAnsi="Arial" w:cs="Arial"/>
          <w:lang w:val="en-US"/>
        </w:rPr>
        <w:t>,</w:t>
      </w:r>
      <w:r w:rsidR="00FF446B" w:rsidRPr="007560A0">
        <w:rPr>
          <w:rFonts w:ascii="Arial" w:hAnsi="Arial" w:cs="Arial"/>
          <w:lang w:val="en-US"/>
        </w:rPr>
        <w:t xml:space="preserve"> i</w:t>
      </w:r>
      <w:r w:rsidR="003B1B08" w:rsidRPr="007560A0">
        <w:rPr>
          <w:rFonts w:ascii="Arial" w:hAnsi="Arial" w:cs="Arial"/>
          <w:lang w:val="en-US"/>
        </w:rPr>
        <w:t>n</w:t>
      </w:r>
      <w:r w:rsidR="00FF446B" w:rsidRPr="007560A0">
        <w:rPr>
          <w:rFonts w:ascii="Arial" w:hAnsi="Arial" w:cs="Arial"/>
          <w:lang w:val="en-US"/>
        </w:rPr>
        <w:t xml:space="preserve"> a context of fiscal constraints</w:t>
      </w:r>
      <w:r w:rsidR="00FA2F42" w:rsidRPr="007560A0">
        <w:rPr>
          <w:rFonts w:ascii="Arial" w:hAnsi="Arial" w:cs="Arial"/>
          <w:lang w:val="en-US"/>
        </w:rPr>
        <w:t xml:space="preserve">, </w:t>
      </w:r>
      <w:r w:rsidR="00FF446B" w:rsidRPr="007560A0">
        <w:rPr>
          <w:rFonts w:ascii="Arial" w:hAnsi="Arial" w:cs="Arial"/>
          <w:lang w:val="en-US"/>
        </w:rPr>
        <w:t>BNDES can get abundant resources from the National Treasury</w:t>
      </w:r>
      <w:r w:rsidR="002C31AA" w:rsidRPr="007560A0">
        <w:rPr>
          <w:rFonts w:ascii="Arial" w:hAnsi="Arial" w:cs="Arial"/>
          <w:lang w:val="en-US"/>
        </w:rPr>
        <w:t xml:space="preserve">, </w:t>
      </w:r>
      <w:r w:rsidR="002C31AA" w:rsidRPr="007560A0">
        <w:rPr>
          <w:rFonts w:ascii="Arial" w:hAnsi="Arial" w:cs="Arial"/>
          <w:lang w:val="en-US"/>
        </w:rPr>
        <w:lastRenderedPageBreak/>
        <w:t xml:space="preserve">as it has in recent years, </w:t>
      </w:r>
      <w:r w:rsidR="00FF446B" w:rsidRPr="007560A0">
        <w:rPr>
          <w:rFonts w:ascii="Arial" w:hAnsi="Arial" w:cs="Arial"/>
          <w:lang w:val="en-US"/>
        </w:rPr>
        <w:t xml:space="preserve">to expand its credit portfolio. </w:t>
      </w:r>
      <w:r w:rsidR="00FF446B" w:rsidRPr="007560A0">
        <w:rPr>
          <w:rFonts w:ascii="Arial" w:hAnsi="Arial" w:cs="Arial"/>
          <w:color w:val="000000" w:themeColor="text1"/>
          <w:lang w:val="en-US"/>
        </w:rPr>
        <w:t>This finding suggests the need to prioritize segments that are likely to contribute significantly to increasing the productivity levels of the Brazilian economy and that are subject to greater long-term credit rationing levels.</w:t>
      </w:r>
    </w:p>
    <w:p w14:paraId="3BCF2042" w14:textId="77777777" w:rsidR="004824B4" w:rsidRPr="007560A0" w:rsidRDefault="004824B4" w:rsidP="00E713A3">
      <w:pPr>
        <w:pStyle w:val="Heading1"/>
        <w:rPr>
          <w:rFonts w:ascii="Arial" w:hAnsi="Arial" w:cs="Arial"/>
          <w:lang w:val="en-US"/>
        </w:rPr>
      </w:pPr>
      <w:r w:rsidRPr="007560A0">
        <w:rPr>
          <w:rFonts w:ascii="Arial" w:hAnsi="Arial" w:cs="Arial"/>
          <w:lang w:val="en-US"/>
        </w:rPr>
        <w:t>Financing f</w:t>
      </w:r>
      <w:r w:rsidR="00617818" w:rsidRPr="007560A0">
        <w:rPr>
          <w:rFonts w:ascii="Arial" w:hAnsi="Arial" w:cs="Arial"/>
          <w:lang w:val="en-US"/>
        </w:rPr>
        <w:t>or strategic themes</w:t>
      </w:r>
    </w:p>
    <w:p w14:paraId="14513539" w14:textId="77777777" w:rsidR="00510AAC" w:rsidRPr="007560A0" w:rsidRDefault="00BB7E48" w:rsidP="00A85CD4">
      <w:pPr>
        <w:pStyle w:val="p-01"/>
        <w:rPr>
          <w:rFonts w:ascii="Arial" w:hAnsi="Arial" w:cs="Arial"/>
          <w:lang w:val="en-US"/>
        </w:rPr>
      </w:pPr>
      <w:r w:rsidRPr="007560A0">
        <w:rPr>
          <w:rFonts w:ascii="Arial" w:hAnsi="Arial" w:cs="Arial"/>
          <w:lang w:val="en-US"/>
        </w:rPr>
        <w:t xml:space="preserve">The </w:t>
      </w:r>
      <w:r w:rsidR="00E97F63" w:rsidRPr="007560A0">
        <w:rPr>
          <w:rFonts w:ascii="Arial" w:hAnsi="Arial" w:cs="Arial"/>
          <w:lang w:val="en-US"/>
        </w:rPr>
        <w:t xml:space="preserve">document entitled </w:t>
      </w:r>
      <w:r w:rsidRPr="007560A0">
        <w:rPr>
          <w:rFonts w:ascii="Arial" w:hAnsi="Arial" w:cs="Arial"/>
          <w:lang w:val="en-US"/>
        </w:rPr>
        <w:t>"Report 1:Productivity and Economic Growth," prepared under the scope of this study, sh</w:t>
      </w:r>
      <w:r w:rsidR="00A85CD4" w:rsidRPr="007560A0">
        <w:rPr>
          <w:rFonts w:ascii="Arial" w:hAnsi="Arial" w:cs="Arial"/>
          <w:lang w:val="en-US"/>
        </w:rPr>
        <w:t xml:space="preserve">owed that, in general, the data collected on MSMEs in Brazil indicate that their productivity levels are lower than those of larger companies. </w:t>
      </w:r>
      <w:r w:rsidR="00617818" w:rsidRPr="007560A0">
        <w:rPr>
          <w:rFonts w:ascii="Arial" w:hAnsi="Arial" w:cs="Arial"/>
          <w:lang w:val="en-US"/>
        </w:rPr>
        <w:t xml:space="preserve">In this sense, actions that contribute to the reduction of this gap can contribute to increase the aggregate productivity levels of the country. </w:t>
      </w:r>
      <w:r w:rsidR="00A85CD4" w:rsidRPr="007560A0">
        <w:rPr>
          <w:rFonts w:ascii="Arial" w:hAnsi="Arial" w:cs="Arial"/>
          <w:lang w:val="en-US"/>
        </w:rPr>
        <w:t xml:space="preserve">The same study found that the infrastructure conditions are directly related to the aggregate indicators of productivity in the country. Finally, the above mentioned report showed that the concentration of the energy matrix in hydroelectric generation can make the supply of energy vulnerable to climate events and the promotion of investments in renewable energy can help to mitigate any problems related to price, </w:t>
      </w:r>
      <w:r w:rsidR="00A85CD4" w:rsidRPr="007560A0">
        <w:rPr>
          <w:rFonts w:ascii="Arial" w:hAnsi="Arial" w:cs="Arial"/>
          <w:lang w:val="en-US" w:eastAsia="pt-BR"/>
        </w:rPr>
        <w:t>offer</w:t>
      </w:r>
      <w:r w:rsidR="00A85CD4" w:rsidRPr="007560A0">
        <w:rPr>
          <w:rFonts w:ascii="Arial" w:hAnsi="Arial" w:cs="Arial"/>
          <w:lang w:val="en-US"/>
        </w:rPr>
        <w:t xml:space="preserve"> and security of energy supply in the country. </w:t>
      </w:r>
    </w:p>
    <w:p w14:paraId="5CA626D0" w14:textId="2A7482CE" w:rsidR="00510AAC" w:rsidRPr="007560A0" w:rsidRDefault="003B1B08" w:rsidP="00A85CD4">
      <w:pPr>
        <w:pStyle w:val="p-01"/>
        <w:rPr>
          <w:rFonts w:ascii="Arial" w:hAnsi="Arial" w:cs="Arial"/>
          <w:lang w:val="en-US"/>
        </w:rPr>
      </w:pPr>
      <w:r w:rsidRPr="007560A0">
        <w:rPr>
          <w:rFonts w:ascii="Arial" w:hAnsi="Arial" w:cs="Arial"/>
          <w:lang w:val="en-US"/>
        </w:rPr>
        <w:t>However, these segments, for reasons indicated throughout this section</w:t>
      </w:r>
      <w:r w:rsidR="00FA2F42" w:rsidRPr="007560A0">
        <w:rPr>
          <w:rFonts w:ascii="Arial" w:hAnsi="Arial" w:cs="Arial"/>
          <w:lang w:val="en-US"/>
        </w:rPr>
        <w:t>,</w:t>
      </w:r>
      <w:r w:rsidRPr="007560A0">
        <w:rPr>
          <w:rFonts w:ascii="Arial" w:hAnsi="Arial" w:cs="Arial"/>
          <w:lang w:val="en-US"/>
        </w:rPr>
        <w:t xml:space="preserve"> face high levels of restrictions for project financing in th</w:t>
      </w:r>
      <w:r w:rsidR="00510AAC" w:rsidRPr="007560A0">
        <w:rPr>
          <w:rFonts w:ascii="Arial" w:hAnsi="Arial" w:cs="Arial"/>
          <w:lang w:val="en-US"/>
        </w:rPr>
        <w:t>e private credit and capital markets. This assessment reinforces the need to focus public credit on industries with the greatest potential to generate positive externalities for the economy</w:t>
      </w:r>
      <w:r w:rsidR="003D7D1A" w:rsidRPr="007560A0">
        <w:rPr>
          <w:rFonts w:ascii="Arial" w:hAnsi="Arial" w:cs="Arial"/>
          <w:lang w:val="en-US"/>
        </w:rPr>
        <w:t xml:space="preserve"> or whose increased productivity levels contribute significantly to the improvement of aggregate indicators of the Brazilian economy</w:t>
      </w:r>
      <w:r w:rsidR="00510AAC" w:rsidRPr="007560A0">
        <w:rPr>
          <w:rFonts w:ascii="Arial" w:hAnsi="Arial" w:cs="Arial"/>
          <w:lang w:val="en-US"/>
        </w:rPr>
        <w:t xml:space="preserve">. </w:t>
      </w:r>
      <w:r w:rsidR="00510AAC" w:rsidRPr="007560A0">
        <w:rPr>
          <w:rFonts w:ascii="Arial" w:hAnsi="Arial" w:cs="Arial"/>
          <w:color w:val="000000" w:themeColor="text1"/>
          <w:lang w:val="en-US"/>
        </w:rPr>
        <w:t xml:space="preserve">In the period </w:t>
      </w:r>
      <w:r w:rsidR="003D7D1A" w:rsidRPr="007560A0">
        <w:rPr>
          <w:rFonts w:ascii="Arial" w:hAnsi="Arial" w:cs="Arial"/>
          <w:color w:val="000000" w:themeColor="text1"/>
          <w:lang w:val="en-US"/>
        </w:rPr>
        <w:t xml:space="preserve">following </w:t>
      </w:r>
      <w:r w:rsidR="00510AAC" w:rsidRPr="007560A0">
        <w:rPr>
          <w:rFonts w:ascii="Arial" w:hAnsi="Arial" w:cs="Arial"/>
          <w:color w:val="000000" w:themeColor="text1"/>
          <w:lang w:val="en-US"/>
        </w:rPr>
        <w:t xml:space="preserve">the 2008 crisis, however, public credit does not seem to have been especially aimed at </w:t>
      </w:r>
      <w:r w:rsidR="00B14E7C" w:rsidRPr="007560A0">
        <w:rPr>
          <w:rFonts w:ascii="Arial" w:hAnsi="Arial" w:cs="Arial"/>
          <w:color w:val="000000" w:themeColor="text1"/>
          <w:lang w:val="en-US"/>
        </w:rPr>
        <w:t xml:space="preserve">these </w:t>
      </w:r>
      <w:r w:rsidR="00F72B25" w:rsidRPr="007560A0">
        <w:rPr>
          <w:rFonts w:ascii="Arial" w:hAnsi="Arial" w:cs="Arial"/>
          <w:color w:val="000000" w:themeColor="text1"/>
          <w:lang w:val="en-US"/>
        </w:rPr>
        <w:t xml:space="preserve">industries. Bonomo et </w:t>
      </w:r>
      <w:r w:rsidR="00510AAC" w:rsidRPr="007560A0">
        <w:rPr>
          <w:rFonts w:ascii="Arial" w:hAnsi="Arial" w:cs="Arial"/>
          <w:color w:val="000000" w:themeColor="text1"/>
          <w:lang w:val="en-US"/>
        </w:rPr>
        <w:t>al</w:t>
      </w:r>
      <w:r w:rsidR="00FA2F42" w:rsidRPr="007560A0">
        <w:rPr>
          <w:rFonts w:ascii="Arial" w:hAnsi="Arial" w:cs="Arial"/>
          <w:color w:val="000000" w:themeColor="text1"/>
          <w:lang w:val="en-US"/>
        </w:rPr>
        <w:t>.</w:t>
      </w:r>
      <w:r w:rsidR="00510AAC" w:rsidRPr="007560A0">
        <w:rPr>
          <w:rFonts w:ascii="Arial" w:hAnsi="Arial" w:cs="Arial"/>
          <w:color w:val="000000" w:themeColor="text1"/>
          <w:lang w:val="en-US"/>
        </w:rPr>
        <w:t xml:space="preserve"> (2014)</w:t>
      </w:r>
      <w:r w:rsidR="008A6EE8" w:rsidRPr="007560A0">
        <w:rPr>
          <w:rFonts w:ascii="Arial" w:hAnsi="Arial" w:cs="Arial"/>
          <w:color w:val="000000" w:themeColor="text1"/>
          <w:lang w:val="en-US"/>
        </w:rPr>
        <w:t>, for instance,</w:t>
      </w:r>
      <w:r w:rsidR="00510AAC" w:rsidRPr="007560A0">
        <w:rPr>
          <w:rFonts w:ascii="Arial" w:hAnsi="Arial" w:cs="Arial"/>
          <w:color w:val="000000" w:themeColor="text1"/>
          <w:lang w:val="en-US"/>
        </w:rPr>
        <w:t xml:space="preserve"> show that</w:t>
      </w:r>
      <w:r w:rsidR="00FA2F42" w:rsidRPr="007560A0">
        <w:rPr>
          <w:rFonts w:ascii="Arial" w:hAnsi="Arial" w:cs="Arial"/>
          <w:color w:val="000000" w:themeColor="text1"/>
          <w:lang w:val="en-US"/>
        </w:rPr>
        <w:t>,</w:t>
      </w:r>
      <w:r w:rsidR="00510AAC" w:rsidRPr="007560A0">
        <w:rPr>
          <w:rFonts w:ascii="Arial" w:hAnsi="Arial" w:cs="Arial"/>
          <w:color w:val="000000" w:themeColor="text1"/>
          <w:lang w:val="en-US"/>
        </w:rPr>
        <w:t xml:space="preserve"> although public credit may be particularly important in industries</w:t>
      </w:r>
      <w:r w:rsidR="008A6EE8" w:rsidRPr="007560A0">
        <w:rPr>
          <w:rFonts w:ascii="Arial" w:hAnsi="Arial" w:cs="Arial"/>
          <w:color w:val="000000" w:themeColor="text1"/>
          <w:lang w:val="en-US"/>
        </w:rPr>
        <w:t xml:space="preserve"> that generate positive externalities</w:t>
      </w:r>
      <w:r w:rsidR="00510AAC" w:rsidRPr="007560A0">
        <w:rPr>
          <w:rFonts w:ascii="Arial" w:hAnsi="Arial" w:cs="Arial"/>
          <w:color w:val="000000" w:themeColor="text1"/>
          <w:lang w:val="en-US"/>
        </w:rPr>
        <w:t>, they were not the industries receiving the greatest benefits from the wide credit expansion directed to the Brazilian economy after the 2008</w:t>
      </w:r>
      <w:r w:rsidR="00B14E7C" w:rsidRPr="007560A0">
        <w:rPr>
          <w:rFonts w:ascii="Arial" w:hAnsi="Arial" w:cs="Arial"/>
          <w:color w:val="000000" w:themeColor="text1"/>
          <w:lang w:val="en-US"/>
        </w:rPr>
        <w:t xml:space="preserve"> crisis</w:t>
      </w:r>
      <w:r w:rsidR="00510AAC" w:rsidRPr="007560A0">
        <w:rPr>
          <w:rFonts w:ascii="Arial" w:hAnsi="Arial" w:cs="Arial"/>
          <w:color w:val="000000" w:themeColor="text1"/>
          <w:lang w:val="en-US"/>
        </w:rPr>
        <w:t>.</w:t>
      </w:r>
    </w:p>
    <w:p w14:paraId="1415677C" w14:textId="5FA9849F" w:rsidR="00A85CD4" w:rsidRPr="007560A0" w:rsidRDefault="00A85CD4" w:rsidP="00A85CD4">
      <w:pPr>
        <w:pStyle w:val="p-01"/>
        <w:rPr>
          <w:rFonts w:ascii="Arial" w:hAnsi="Arial" w:cs="Arial"/>
          <w:color w:val="000000" w:themeColor="text1"/>
          <w:lang w:val="en-US"/>
        </w:rPr>
      </w:pPr>
      <w:r w:rsidRPr="007560A0">
        <w:rPr>
          <w:rFonts w:ascii="Arial" w:hAnsi="Arial" w:cs="Arial"/>
          <w:color w:val="000000" w:themeColor="text1"/>
          <w:lang w:val="en-US"/>
        </w:rPr>
        <w:t xml:space="preserve">In this sense, due to their impact on the productivity aggregated indicators in Brazil </w:t>
      </w:r>
      <w:r w:rsidR="003B1B08" w:rsidRPr="007560A0">
        <w:rPr>
          <w:rFonts w:ascii="Arial" w:hAnsi="Arial" w:cs="Arial"/>
          <w:color w:val="000000" w:themeColor="text1"/>
          <w:lang w:val="en-US"/>
        </w:rPr>
        <w:t>and the credit rationing they have to face</w:t>
      </w:r>
      <w:r w:rsidR="00F72B25" w:rsidRPr="007560A0">
        <w:rPr>
          <w:rFonts w:ascii="Arial" w:hAnsi="Arial" w:cs="Arial"/>
          <w:color w:val="000000" w:themeColor="text1"/>
          <w:lang w:val="en-US"/>
        </w:rPr>
        <w:t xml:space="preserve">, </w:t>
      </w:r>
      <w:r w:rsidRPr="007560A0">
        <w:rPr>
          <w:rFonts w:ascii="Arial" w:hAnsi="Arial" w:cs="Arial"/>
          <w:color w:val="000000" w:themeColor="text1"/>
          <w:lang w:val="en-US"/>
        </w:rPr>
        <w:t>the MSMEs, the infrastructure, and</w:t>
      </w:r>
      <w:r w:rsidR="00B14E7C" w:rsidRPr="007560A0">
        <w:rPr>
          <w:rFonts w:ascii="Arial" w:hAnsi="Arial" w:cs="Arial"/>
          <w:color w:val="000000" w:themeColor="text1"/>
          <w:lang w:val="en-US"/>
        </w:rPr>
        <w:t xml:space="preserve"> the </w:t>
      </w:r>
      <w:r w:rsidRPr="007560A0">
        <w:rPr>
          <w:rFonts w:ascii="Arial" w:hAnsi="Arial" w:cs="Arial"/>
          <w:color w:val="000000" w:themeColor="text1"/>
          <w:lang w:val="en-US"/>
        </w:rPr>
        <w:t>renewable energy emerge as the areas that deserve special attention from the BN</w:t>
      </w:r>
      <w:r w:rsidR="003B1B08" w:rsidRPr="007560A0">
        <w:rPr>
          <w:rFonts w:ascii="Arial" w:hAnsi="Arial" w:cs="Arial"/>
          <w:color w:val="000000" w:themeColor="text1"/>
          <w:lang w:val="en-US"/>
        </w:rPr>
        <w:t>DES over the coming years.</w:t>
      </w:r>
      <w:r w:rsidR="00510AAC" w:rsidRPr="007560A0">
        <w:rPr>
          <w:rFonts w:ascii="Arial" w:hAnsi="Arial" w:cs="Arial"/>
          <w:color w:val="000000" w:themeColor="text1"/>
          <w:lang w:val="en-US"/>
        </w:rPr>
        <w:t xml:space="preserve"> </w:t>
      </w:r>
    </w:p>
    <w:p w14:paraId="142FBBEB" w14:textId="77777777" w:rsidR="004824B4" w:rsidRPr="007560A0" w:rsidRDefault="00BF09C7" w:rsidP="005678D9">
      <w:pPr>
        <w:pStyle w:val="Heading2"/>
        <w:rPr>
          <w:rFonts w:ascii="Arial" w:hAnsi="Arial" w:cs="Arial"/>
          <w:lang w:val="en-US"/>
        </w:rPr>
      </w:pPr>
      <w:r w:rsidRPr="007560A0">
        <w:rPr>
          <w:rFonts w:ascii="Arial" w:hAnsi="Arial" w:cs="Arial"/>
          <w:lang w:val="en-US"/>
        </w:rPr>
        <w:t>Micro, small, and medium enterprises</w:t>
      </w:r>
    </w:p>
    <w:p w14:paraId="0648DEDF" w14:textId="4C48C57D" w:rsidR="001A7BA7" w:rsidRPr="007560A0" w:rsidRDefault="00CC559C" w:rsidP="005678D9">
      <w:pPr>
        <w:pStyle w:val="p-01"/>
        <w:rPr>
          <w:rFonts w:ascii="Arial" w:hAnsi="Arial" w:cs="Arial"/>
          <w:lang w:val="en-US"/>
        </w:rPr>
      </w:pPr>
      <w:r w:rsidRPr="007560A0">
        <w:rPr>
          <w:rFonts w:ascii="Arial" w:hAnsi="Arial" w:cs="Arial"/>
          <w:color w:val="000000" w:themeColor="text1"/>
          <w:lang w:val="en-US"/>
        </w:rPr>
        <w:t xml:space="preserve">There are several bottlenecks and market failures that limit access to credit for the </w:t>
      </w:r>
      <w:r w:rsidR="00617818" w:rsidRPr="007560A0">
        <w:rPr>
          <w:rFonts w:ascii="Arial" w:hAnsi="Arial" w:cs="Arial"/>
          <w:color w:val="000000" w:themeColor="text1"/>
          <w:lang w:val="en-US"/>
        </w:rPr>
        <w:t>MSMEs</w:t>
      </w:r>
      <w:r w:rsidRPr="007560A0">
        <w:rPr>
          <w:rFonts w:ascii="Arial" w:hAnsi="Arial" w:cs="Arial"/>
          <w:color w:val="000000" w:themeColor="text1"/>
          <w:lang w:val="en-US"/>
        </w:rPr>
        <w:t xml:space="preserve">. First, the low scale of operations with smaller companies make credit operations less profitable and less attractive for private banks than </w:t>
      </w:r>
      <w:r w:rsidR="004274F8" w:rsidRPr="007560A0">
        <w:rPr>
          <w:rFonts w:ascii="Arial" w:hAnsi="Arial" w:cs="Arial"/>
          <w:color w:val="000000" w:themeColor="text1"/>
          <w:lang w:val="en-US"/>
        </w:rPr>
        <w:t xml:space="preserve">the </w:t>
      </w:r>
      <w:r w:rsidRPr="007560A0">
        <w:rPr>
          <w:rFonts w:ascii="Arial" w:hAnsi="Arial" w:cs="Arial"/>
          <w:color w:val="000000" w:themeColor="text1"/>
          <w:lang w:val="en-US"/>
        </w:rPr>
        <w:t xml:space="preserve">operations with large companies, since the operating costs of financing </w:t>
      </w:r>
      <w:r w:rsidR="00B14E7C" w:rsidRPr="007560A0">
        <w:rPr>
          <w:rFonts w:ascii="Arial" w:hAnsi="Arial" w:cs="Arial"/>
          <w:color w:val="000000" w:themeColor="text1"/>
          <w:lang w:val="en-US"/>
        </w:rPr>
        <w:t>represent a greater portion</w:t>
      </w:r>
      <w:r w:rsidR="004274F8" w:rsidRPr="007560A0">
        <w:rPr>
          <w:rFonts w:ascii="Arial" w:hAnsi="Arial" w:cs="Arial"/>
          <w:color w:val="000000" w:themeColor="text1"/>
          <w:lang w:val="en-US"/>
        </w:rPr>
        <w:t xml:space="preserve"> in</w:t>
      </w:r>
      <w:r w:rsidRPr="007560A0">
        <w:rPr>
          <w:rFonts w:ascii="Arial" w:hAnsi="Arial" w:cs="Arial"/>
          <w:color w:val="000000" w:themeColor="text1"/>
          <w:lang w:val="en-US"/>
        </w:rPr>
        <w:t xml:space="preserve"> small opera</w:t>
      </w:r>
      <w:r w:rsidR="004274F8" w:rsidRPr="007560A0">
        <w:rPr>
          <w:rFonts w:ascii="Arial" w:hAnsi="Arial" w:cs="Arial"/>
          <w:color w:val="000000" w:themeColor="text1"/>
          <w:lang w:val="en-US"/>
        </w:rPr>
        <w:t>tions</w:t>
      </w:r>
      <w:r w:rsidRPr="007560A0">
        <w:rPr>
          <w:rFonts w:ascii="Arial" w:hAnsi="Arial" w:cs="Arial"/>
          <w:color w:val="000000" w:themeColor="text1"/>
          <w:lang w:val="en-US"/>
        </w:rPr>
        <w:t xml:space="preserve"> . Second, smaller companies are not always capable of providing the guarantees requi</w:t>
      </w:r>
      <w:r w:rsidR="00B14E7C" w:rsidRPr="007560A0">
        <w:rPr>
          <w:rFonts w:ascii="Arial" w:hAnsi="Arial" w:cs="Arial"/>
          <w:color w:val="000000" w:themeColor="text1"/>
          <w:lang w:val="en-US"/>
        </w:rPr>
        <w:t>re</w:t>
      </w:r>
      <w:r w:rsidRPr="007560A0">
        <w:rPr>
          <w:rFonts w:ascii="Arial" w:hAnsi="Arial" w:cs="Arial"/>
          <w:color w:val="000000" w:themeColor="text1"/>
          <w:lang w:val="en-US"/>
        </w:rPr>
        <w:t>d to access financing, especially in the longer term</w:t>
      </w:r>
      <w:r w:rsidR="004274F8" w:rsidRPr="007560A0">
        <w:rPr>
          <w:rFonts w:ascii="Arial" w:hAnsi="Arial" w:cs="Arial"/>
          <w:color w:val="000000" w:themeColor="text1"/>
          <w:lang w:val="en-US"/>
        </w:rPr>
        <w:t>,</w:t>
      </w:r>
      <w:r w:rsidRPr="007560A0">
        <w:rPr>
          <w:rFonts w:ascii="Arial" w:hAnsi="Arial" w:cs="Arial"/>
          <w:color w:val="000000" w:themeColor="text1"/>
          <w:lang w:val="en-US"/>
        </w:rPr>
        <w:t xml:space="preserve"> when the operation risk increases</w:t>
      </w:r>
      <w:r w:rsidR="00BF09C7" w:rsidRPr="007560A0">
        <w:rPr>
          <w:rFonts w:ascii="Arial" w:hAnsi="Arial" w:cs="Arial"/>
          <w:color w:val="000000" w:themeColor="text1"/>
          <w:lang w:val="en-US"/>
        </w:rPr>
        <w:t xml:space="preserve"> and in the case of informal companies. </w:t>
      </w:r>
      <w:r w:rsidRPr="007560A0">
        <w:rPr>
          <w:rFonts w:ascii="Arial" w:hAnsi="Arial" w:cs="Arial"/>
          <w:lang w:val="en-US"/>
        </w:rPr>
        <w:t xml:space="preserve">Not surprisingly, smaller companies tend to finance themselves more strongly through own capital than large companies. An indicator that reflects </w:t>
      </w:r>
      <w:r w:rsidR="004274F8" w:rsidRPr="007560A0">
        <w:rPr>
          <w:rFonts w:ascii="Arial" w:hAnsi="Arial" w:cs="Arial"/>
          <w:lang w:val="en-US"/>
        </w:rPr>
        <w:t xml:space="preserve">in a rough manner </w:t>
      </w:r>
      <w:r w:rsidRPr="007560A0">
        <w:rPr>
          <w:rFonts w:ascii="Arial" w:hAnsi="Arial" w:cs="Arial"/>
          <w:lang w:val="en-US"/>
        </w:rPr>
        <w:t>this greater tre</w:t>
      </w:r>
      <w:r w:rsidR="001A7BA7" w:rsidRPr="007560A0">
        <w:rPr>
          <w:rFonts w:ascii="Arial" w:hAnsi="Arial" w:cs="Arial"/>
          <w:lang w:val="en-US"/>
        </w:rPr>
        <w:t xml:space="preserve">nd, in the case of industry, is the value of financial expenses of industrial enterprises as the proportion of their costs. This value is between 2% and 3% for companies with less than 100 employees and </w:t>
      </w:r>
      <w:r w:rsidR="00B14E7C" w:rsidRPr="007560A0">
        <w:rPr>
          <w:rFonts w:ascii="Arial" w:hAnsi="Arial" w:cs="Arial"/>
          <w:lang w:val="en-US"/>
        </w:rPr>
        <w:t>it reaches</w:t>
      </w:r>
      <w:r w:rsidR="001A7BA7" w:rsidRPr="007560A0">
        <w:rPr>
          <w:rFonts w:ascii="Arial" w:hAnsi="Arial" w:cs="Arial"/>
          <w:lang w:val="en-US"/>
        </w:rPr>
        <w:t xml:space="preserve"> about 5% in companies with more </w:t>
      </w:r>
      <w:r w:rsidR="001A7BA7" w:rsidRPr="007560A0">
        <w:rPr>
          <w:rFonts w:ascii="Arial" w:hAnsi="Arial" w:cs="Arial"/>
          <w:lang w:val="en-US"/>
        </w:rPr>
        <w:lastRenderedPageBreak/>
        <w:t>than 500 employees</w:t>
      </w:r>
      <w:r w:rsidR="004274F8" w:rsidRPr="007560A0">
        <w:rPr>
          <w:rFonts w:ascii="Arial" w:hAnsi="Arial" w:cs="Arial"/>
          <w:lang w:val="en-US"/>
        </w:rPr>
        <w:t>.</w:t>
      </w:r>
      <w:r w:rsidR="001A7BA7" w:rsidRPr="007560A0">
        <w:rPr>
          <w:rStyle w:val="FootnoteReference"/>
          <w:rFonts w:ascii="Arial" w:hAnsi="Arial" w:cs="Arial"/>
          <w:lang w:val="en-US"/>
        </w:rPr>
        <w:footnoteReference w:id="7"/>
      </w:r>
      <w:r w:rsidR="004274F8" w:rsidRPr="007560A0">
        <w:rPr>
          <w:rFonts w:ascii="Arial" w:hAnsi="Arial" w:cs="Arial"/>
          <w:lang w:val="en-US"/>
        </w:rPr>
        <w:t xml:space="preserve"> </w:t>
      </w:r>
      <w:r w:rsidR="001A7BA7" w:rsidRPr="007560A0">
        <w:rPr>
          <w:rFonts w:ascii="Arial" w:hAnsi="Arial" w:cs="Arial"/>
          <w:lang w:val="en-US"/>
        </w:rPr>
        <w:t>Another indicator of credit access</w:t>
      </w:r>
      <w:r w:rsidR="004274F8" w:rsidRPr="007560A0">
        <w:rPr>
          <w:rFonts w:ascii="Arial" w:hAnsi="Arial" w:cs="Arial"/>
          <w:lang w:val="en-US"/>
        </w:rPr>
        <w:t xml:space="preserve"> </w:t>
      </w:r>
      <w:r w:rsidR="00B14E7C" w:rsidRPr="007560A0">
        <w:rPr>
          <w:rFonts w:ascii="Arial" w:hAnsi="Arial" w:cs="Arial"/>
          <w:lang w:val="en-US"/>
        </w:rPr>
        <w:t xml:space="preserve">divided </w:t>
      </w:r>
      <w:r w:rsidR="004274F8" w:rsidRPr="007560A0">
        <w:rPr>
          <w:rFonts w:ascii="Arial" w:hAnsi="Arial" w:cs="Arial"/>
          <w:lang w:val="en-US"/>
        </w:rPr>
        <w:t>by</w:t>
      </w:r>
      <w:r w:rsidR="001A7BA7" w:rsidRPr="007560A0">
        <w:rPr>
          <w:rFonts w:ascii="Arial" w:hAnsi="Arial" w:cs="Arial"/>
          <w:lang w:val="en-US"/>
        </w:rPr>
        <w:t xml:space="preserve"> company size is presented in the </w:t>
      </w:r>
      <w:r w:rsidR="004274F8" w:rsidRPr="007560A0">
        <w:rPr>
          <w:rFonts w:ascii="Arial" w:hAnsi="Arial" w:cs="Arial"/>
          <w:lang w:val="en-US"/>
        </w:rPr>
        <w:t>Banking Economy and Credit Report</w:t>
      </w:r>
      <w:r w:rsidR="001A7BA7" w:rsidRPr="007560A0">
        <w:rPr>
          <w:rFonts w:ascii="Arial" w:hAnsi="Arial" w:cs="Arial"/>
          <w:lang w:val="en-US"/>
        </w:rPr>
        <w:t xml:space="preserve"> of the Central Bank</w:t>
      </w:r>
      <w:r w:rsidR="004274F8" w:rsidRPr="007560A0">
        <w:rPr>
          <w:rFonts w:ascii="Arial" w:hAnsi="Arial" w:cs="Arial"/>
          <w:lang w:val="en-US"/>
        </w:rPr>
        <w:t xml:space="preserve"> of Brazil</w:t>
      </w:r>
      <w:r w:rsidR="001A7BA7" w:rsidRPr="007560A0">
        <w:rPr>
          <w:rFonts w:ascii="Arial" w:hAnsi="Arial" w:cs="Arial"/>
          <w:lang w:val="en-US"/>
        </w:rPr>
        <w:t>. This indicator</w:t>
      </w:r>
      <w:r w:rsidR="004274F8" w:rsidRPr="007560A0">
        <w:rPr>
          <w:rFonts w:ascii="Arial" w:hAnsi="Arial" w:cs="Arial"/>
          <w:lang w:val="en-US"/>
        </w:rPr>
        <w:t>,</w:t>
      </w:r>
      <w:r w:rsidR="001A7BA7" w:rsidRPr="007560A0">
        <w:rPr>
          <w:rFonts w:ascii="Arial" w:hAnsi="Arial" w:cs="Arial"/>
          <w:lang w:val="en-US"/>
        </w:rPr>
        <w:t xml:space="preserve"> displayed in table </w:t>
      </w:r>
      <w:r w:rsidR="00710455" w:rsidRPr="007560A0">
        <w:rPr>
          <w:rFonts w:ascii="Arial" w:hAnsi="Arial" w:cs="Arial"/>
          <w:lang w:val="en-US"/>
        </w:rPr>
        <w:t>3</w:t>
      </w:r>
      <w:r w:rsidR="004274F8" w:rsidRPr="007560A0">
        <w:rPr>
          <w:rFonts w:ascii="Arial" w:hAnsi="Arial" w:cs="Arial"/>
          <w:lang w:val="en-US"/>
        </w:rPr>
        <w:t>,</w:t>
      </w:r>
      <w:r w:rsidR="001A7BA7" w:rsidRPr="007560A0">
        <w:rPr>
          <w:rFonts w:ascii="Arial" w:hAnsi="Arial" w:cs="Arial"/>
          <w:lang w:val="en-US"/>
        </w:rPr>
        <w:t xml:space="preserve"> shows that large companies (over 500 employees) ha</w:t>
      </w:r>
      <w:r w:rsidR="004274F8" w:rsidRPr="007560A0">
        <w:rPr>
          <w:rFonts w:ascii="Arial" w:hAnsi="Arial" w:cs="Arial"/>
          <w:lang w:val="en-US"/>
        </w:rPr>
        <w:t>v</w:t>
      </w:r>
      <w:r w:rsidR="001A7BA7" w:rsidRPr="007560A0">
        <w:rPr>
          <w:rFonts w:ascii="Arial" w:hAnsi="Arial" w:cs="Arial"/>
          <w:lang w:val="en-US"/>
        </w:rPr>
        <w:t xml:space="preserve">e 43% of the credit balance for legal entities in the Brazilian economy, whereas the set of companies </w:t>
      </w:r>
      <w:r w:rsidR="004274F8" w:rsidRPr="007560A0">
        <w:rPr>
          <w:rFonts w:ascii="Arial" w:hAnsi="Arial" w:cs="Arial"/>
          <w:lang w:val="en-US"/>
        </w:rPr>
        <w:t xml:space="preserve">that have </w:t>
      </w:r>
      <w:r w:rsidR="001A7BA7" w:rsidRPr="007560A0">
        <w:rPr>
          <w:rFonts w:ascii="Arial" w:hAnsi="Arial" w:cs="Arial"/>
          <w:lang w:val="en-US"/>
        </w:rPr>
        <w:t>between 1 and 50 employees</w:t>
      </w:r>
      <w:r w:rsidR="004274F8" w:rsidRPr="007560A0">
        <w:rPr>
          <w:rFonts w:ascii="Arial" w:hAnsi="Arial" w:cs="Arial"/>
          <w:lang w:val="en-US"/>
        </w:rPr>
        <w:t xml:space="preserve"> account for 22% of total credit.</w:t>
      </w:r>
    </w:p>
    <w:p w14:paraId="349AC2D7" w14:textId="77777777" w:rsidR="00AA410F" w:rsidRPr="007560A0" w:rsidRDefault="00AA410F" w:rsidP="00710455">
      <w:pPr>
        <w:pStyle w:val="f-01"/>
        <w:rPr>
          <w:rFonts w:ascii="Arial" w:hAnsi="Arial"/>
          <w:noProof w:val="0"/>
          <w:lang w:val="en-US"/>
        </w:rPr>
      </w:pPr>
      <w:r w:rsidRPr="007560A0">
        <w:rPr>
          <w:rFonts w:ascii="Arial" w:hAnsi="Arial"/>
          <w:noProof w:val="0"/>
          <w:lang w:val="en-US"/>
        </w:rPr>
        <w:t xml:space="preserve">Table </w:t>
      </w:r>
      <w:r w:rsidR="00710455" w:rsidRPr="007560A0">
        <w:rPr>
          <w:rFonts w:ascii="Arial" w:hAnsi="Arial"/>
          <w:noProof w:val="0"/>
          <w:lang w:val="en-US"/>
        </w:rPr>
        <w:t>3: c</w:t>
      </w:r>
      <w:r w:rsidRPr="007560A0">
        <w:rPr>
          <w:rFonts w:ascii="Arial" w:hAnsi="Arial"/>
          <w:noProof w:val="0"/>
          <w:lang w:val="en-US"/>
        </w:rPr>
        <w:t>redit balance for legal entities in the Brazilian economy by company size: December/2014 (R$ million)</w:t>
      </w:r>
    </w:p>
    <w:tbl>
      <w:tblPr>
        <w:tblW w:w="918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060"/>
        <w:gridCol w:w="3060"/>
        <w:gridCol w:w="3060"/>
      </w:tblGrid>
      <w:tr w:rsidR="00AA410F" w:rsidRPr="007560A0" w14:paraId="4C0A81C8" w14:textId="77777777" w:rsidTr="004274F8">
        <w:trPr>
          <w:trHeight w:val="300"/>
        </w:trPr>
        <w:tc>
          <w:tcPr>
            <w:tcW w:w="3060" w:type="dxa"/>
            <w:shd w:val="clear" w:color="auto" w:fill="auto"/>
            <w:noWrap/>
            <w:vAlign w:val="bottom"/>
          </w:tcPr>
          <w:p w14:paraId="303183EE" w14:textId="77777777" w:rsidR="00AA410F" w:rsidRPr="007560A0" w:rsidRDefault="00AA410F" w:rsidP="004274F8">
            <w:pPr>
              <w:pStyle w:val="p-01"/>
              <w:keepNext/>
              <w:spacing w:beforeLines="20" w:before="48" w:afterLines="20" w:after="48" w:line="240" w:lineRule="auto"/>
              <w:jc w:val="left"/>
              <w:rPr>
                <w:rFonts w:ascii="Arial" w:hAnsi="Arial" w:cs="Arial"/>
                <w:b/>
                <w:bCs/>
                <w:sz w:val="20"/>
                <w:szCs w:val="20"/>
                <w:lang w:val="en-US"/>
              </w:rPr>
            </w:pPr>
            <w:r w:rsidRPr="007560A0">
              <w:rPr>
                <w:rFonts w:ascii="Arial" w:hAnsi="Arial" w:cs="Arial"/>
                <w:b/>
                <w:bCs/>
                <w:sz w:val="20"/>
                <w:szCs w:val="20"/>
                <w:lang w:val="en-US"/>
              </w:rPr>
              <w:t xml:space="preserve">Number of Employees </w:t>
            </w:r>
          </w:p>
        </w:tc>
        <w:tc>
          <w:tcPr>
            <w:tcW w:w="3060" w:type="dxa"/>
            <w:shd w:val="clear" w:color="auto" w:fill="auto"/>
            <w:noWrap/>
            <w:vAlign w:val="bottom"/>
          </w:tcPr>
          <w:p w14:paraId="769F026C" w14:textId="77777777" w:rsidR="00AA410F" w:rsidRPr="007560A0" w:rsidRDefault="00AA410F" w:rsidP="004274F8">
            <w:pPr>
              <w:pStyle w:val="p-01"/>
              <w:keepNext/>
              <w:spacing w:beforeLines="20" w:before="48" w:afterLines="20" w:after="48" w:line="240" w:lineRule="auto"/>
              <w:jc w:val="center"/>
              <w:rPr>
                <w:rFonts w:ascii="Arial" w:hAnsi="Arial" w:cs="Arial"/>
                <w:b/>
                <w:bCs/>
                <w:sz w:val="20"/>
                <w:szCs w:val="20"/>
                <w:lang w:val="en-US"/>
              </w:rPr>
            </w:pPr>
            <w:r w:rsidRPr="007560A0">
              <w:rPr>
                <w:rFonts w:ascii="Arial" w:hAnsi="Arial" w:cs="Arial"/>
                <w:b/>
                <w:bCs/>
                <w:sz w:val="20"/>
                <w:szCs w:val="20"/>
                <w:lang w:val="en-US"/>
              </w:rPr>
              <w:t>R$ millions</w:t>
            </w:r>
          </w:p>
        </w:tc>
        <w:tc>
          <w:tcPr>
            <w:tcW w:w="3060" w:type="dxa"/>
            <w:shd w:val="clear" w:color="auto" w:fill="auto"/>
            <w:noWrap/>
            <w:vAlign w:val="bottom"/>
          </w:tcPr>
          <w:p w14:paraId="4D2CD595" w14:textId="77777777" w:rsidR="00AA410F" w:rsidRPr="007560A0" w:rsidRDefault="00AA410F" w:rsidP="004274F8">
            <w:pPr>
              <w:pStyle w:val="p-01"/>
              <w:keepNext/>
              <w:spacing w:beforeLines="20" w:before="48" w:afterLines="20" w:after="48" w:line="240" w:lineRule="auto"/>
              <w:jc w:val="center"/>
              <w:rPr>
                <w:rFonts w:ascii="Arial" w:hAnsi="Arial" w:cs="Arial"/>
                <w:b/>
                <w:bCs/>
                <w:sz w:val="20"/>
                <w:szCs w:val="20"/>
                <w:lang w:val="en-US"/>
              </w:rPr>
            </w:pPr>
            <w:r w:rsidRPr="007560A0">
              <w:rPr>
                <w:rFonts w:ascii="Arial" w:hAnsi="Arial" w:cs="Arial"/>
                <w:b/>
                <w:bCs/>
                <w:sz w:val="20"/>
                <w:szCs w:val="20"/>
                <w:lang w:val="en-US"/>
              </w:rPr>
              <w:t>% Part. %</w:t>
            </w:r>
          </w:p>
        </w:tc>
      </w:tr>
      <w:tr w:rsidR="00AA410F" w:rsidRPr="007560A0" w14:paraId="00E4BE3A" w14:textId="77777777" w:rsidTr="004274F8">
        <w:trPr>
          <w:trHeight w:val="300"/>
        </w:trPr>
        <w:tc>
          <w:tcPr>
            <w:tcW w:w="3060" w:type="dxa"/>
            <w:shd w:val="clear" w:color="auto" w:fill="auto"/>
            <w:noWrap/>
            <w:vAlign w:val="bottom"/>
            <w:hideMark/>
          </w:tcPr>
          <w:p w14:paraId="4A21A887" w14:textId="77777777" w:rsidR="00AA410F" w:rsidRPr="007560A0" w:rsidRDefault="00AA410F" w:rsidP="004274F8">
            <w:pPr>
              <w:pStyle w:val="p-01"/>
              <w:keepNext/>
              <w:spacing w:beforeLines="20" w:before="48" w:afterLines="20" w:after="48" w:line="240" w:lineRule="auto"/>
              <w:jc w:val="left"/>
              <w:rPr>
                <w:rFonts w:ascii="Arial" w:hAnsi="Arial" w:cs="Arial"/>
                <w:bCs/>
                <w:sz w:val="20"/>
                <w:szCs w:val="20"/>
                <w:lang w:val="en-US"/>
              </w:rPr>
            </w:pPr>
            <w:r w:rsidRPr="007560A0">
              <w:rPr>
                <w:rFonts w:ascii="Arial" w:hAnsi="Arial" w:cs="Arial"/>
                <w:bCs/>
                <w:sz w:val="20"/>
                <w:szCs w:val="20"/>
                <w:lang w:val="en-US"/>
              </w:rPr>
              <w:t>Total</w:t>
            </w:r>
          </w:p>
        </w:tc>
        <w:tc>
          <w:tcPr>
            <w:tcW w:w="3060" w:type="dxa"/>
            <w:shd w:val="clear" w:color="auto" w:fill="auto"/>
            <w:noWrap/>
            <w:vAlign w:val="bottom"/>
            <w:hideMark/>
          </w:tcPr>
          <w:p w14:paraId="084B18D7"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1,605,698</w:t>
            </w:r>
          </w:p>
        </w:tc>
        <w:tc>
          <w:tcPr>
            <w:tcW w:w="3060" w:type="dxa"/>
            <w:shd w:val="clear" w:color="auto" w:fill="auto"/>
            <w:noWrap/>
            <w:vAlign w:val="bottom"/>
            <w:hideMark/>
          </w:tcPr>
          <w:p w14:paraId="4404A2C2"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100%</w:t>
            </w:r>
          </w:p>
        </w:tc>
      </w:tr>
      <w:tr w:rsidR="00AA410F" w:rsidRPr="007560A0" w14:paraId="2761BE44" w14:textId="77777777" w:rsidTr="004274F8">
        <w:trPr>
          <w:trHeight w:val="300"/>
        </w:trPr>
        <w:tc>
          <w:tcPr>
            <w:tcW w:w="3060" w:type="dxa"/>
            <w:shd w:val="clear" w:color="auto" w:fill="auto"/>
            <w:noWrap/>
            <w:vAlign w:val="bottom"/>
            <w:hideMark/>
          </w:tcPr>
          <w:p w14:paraId="62627110" w14:textId="77777777" w:rsidR="00AA410F" w:rsidRPr="007560A0" w:rsidRDefault="00AA410F" w:rsidP="004274F8">
            <w:pPr>
              <w:pStyle w:val="p-01"/>
              <w:keepNext/>
              <w:spacing w:beforeLines="20" w:before="48" w:afterLines="20" w:after="48" w:line="240" w:lineRule="auto"/>
              <w:jc w:val="left"/>
              <w:rPr>
                <w:rFonts w:ascii="Arial" w:hAnsi="Arial" w:cs="Arial"/>
                <w:bCs/>
                <w:sz w:val="20"/>
                <w:szCs w:val="20"/>
                <w:lang w:val="en-US"/>
              </w:rPr>
            </w:pPr>
            <w:r w:rsidRPr="007560A0">
              <w:rPr>
                <w:rFonts w:ascii="Arial" w:hAnsi="Arial" w:cs="Arial"/>
                <w:bCs/>
                <w:sz w:val="20"/>
                <w:szCs w:val="20"/>
                <w:lang w:val="en-US"/>
              </w:rPr>
              <w:t>No employees*</w:t>
            </w:r>
          </w:p>
        </w:tc>
        <w:tc>
          <w:tcPr>
            <w:tcW w:w="3060" w:type="dxa"/>
            <w:shd w:val="clear" w:color="auto" w:fill="auto"/>
            <w:noWrap/>
            <w:vAlign w:val="bottom"/>
            <w:hideMark/>
          </w:tcPr>
          <w:p w14:paraId="75986347"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223,760</w:t>
            </w:r>
          </w:p>
        </w:tc>
        <w:tc>
          <w:tcPr>
            <w:tcW w:w="3060" w:type="dxa"/>
            <w:shd w:val="clear" w:color="auto" w:fill="auto"/>
            <w:noWrap/>
            <w:vAlign w:val="bottom"/>
            <w:hideMark/>
          </w:tcPr>
          <w:p w14:paraId="722598BF"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14%</w:t>
            </w:r>
          </w:p>
        </w:tc>
      </w:tr>
      <w:tr w:rsidR="00AA410F" w:rsidRPr="007560A0" w14:paraId="4E430775" w14:textId="77777777" w:rsidTr="004274F8">
        <w:trPr>
          <w:trHeight w:val="300"/>
        </w:trPr>
        <w:tc>
          <w:tcPr>
            <w:tcW w:w="3060" w:type="dxa"/>
            <w:shd w:val="clear" w:color="auto" w:fill="auto"/>
            <w:noWrap/>
            <w:vAlign w:val="bottom"/>
            <w:hideMark/>
          </w:tcPr>
          <w:p w14:paraId="6BCCF950" w14:textId="77777777" w:rsidR="00AA410F" w:rsidRPr="007560A0" w:rsidRDefault="00AA410F" w:rsidP="004274F8">
            <w:pPr>
              <w:pStyle w:val="p-01"/>
              <w:keepNext/>
              <w:spacing w:beforeLines="20" w:before="48" w:afterLines="20" w:after="48" w:line="240" w:lineRule="auto"/>
              <w:jc w:val="left"/>
              <w:rPr>
                <w:rFonts w:ascii="Arial" w:hAnsi="Arial" w:cs="Arial"/>
                <w:bCs/>
                <w:sz w:val="20"/>
                <w:szCs w:val="20"/>
                <w:lang w:val="en-US"/>
              </w:rPr>
            </w:pPr>
            <w:r w:rsidRPr="007560A0">
              <w:rPr>
                <w:rFonts w:ascii="Arial" w:hAnsi="Arial" w:cs="Arial"/>
                <w:bCs/>
                <w:sz w:val="20"/>
                <w:szCs w:val="20"/>
                <w:lang w:val="en-US"/>
              </w:rPr>
              <w:t>1 to 4</w:t>
            </w:r>
          </w:p>
        </w:tc>
        <w:tc>
          <w:tcPr>
            <w:tcW w:w="3060" w:type="dxa"/>
            <w:shd w:val="clear" w:color="auto" w:fill="auto"/>
            <w:noWrap/>
            <w:vAlign w:val="bottom"/>
            <w:hideMark/>
          </w:tcPr>
          <w:p w14:paraId="31855E43"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89,136</w:t>
            </w:r>
          </w:p>
        </w:tc>
        <w:tc>
          <w:tcPr>
            <w:tcW w:w="3060" w:type="dxa"/>
            <w:shd w:val="clear" w:color="auto" w:fill="auto"/>
            <w:noWrap/>
            <w:vAlign w:val="bottom"/>
            <w:hideMark/>
          </w:tcPr>
          <w:p w14:paraId="647DEEE7"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6%</w:t>
            </w:r>
          </w:p>
        </w:tc>
      </w:tr>
      <w:tr w:rsidR="00AA410F" w:rsidRPr="007560A0" w14:paraId="1D6207A6" w14:textId="77777777" w:rsidTr="004274F8">
        <w:trPr>
          <w:trHeight w:val="300"/>
        </w:trPr>
        <w:tc>
          <w:tcPr>
            <w:tcW w:w="3060" w:type="dxa"/>
            <w:shd w:val="clear" w:color="auto" w:fill="auto"/>
            <w:noWrap/>
            <w:vAlign w:val="bottom"/>
            <w:hideMark/>
          </w:tcPr>
          <w:p w14:paraId="7C81F0C9" w14:textId="77777777" w:rsidR="00AA410F" w:rsidRPr="007560A0" w:rsidRDefault="00AA410F" w:rsidP="004274F8">
            <w:pPr>
              <w:pStyle w:val="p-01"/>
              <w:keepNext/>
              <w:spacing w:beforeLines="20" w:before="48" w:afterLines="20" w:after="48" w:line="240" w:lineRule="auto"/>
              <w:jc w:val="left"/>
              <w:rPr>
                <w:rFonts w:ascii="Arial" w:hAnsi="Arial" w:cs="Arial"/>
                <w:bCs/>
                <w:sz w:val="20"/>
                <w:szCs w:val="20"/>
                <w:lang w:val="en-US"/>
              </w:rPr>
            </w:pPr>
            <w:r w:rsidRPr="007560A0">
              <w:rPr>
                <w:rFonts w:ascii="Arial" w:hAnsi="Arial" w:cs="Arial"/>
                <w:bCs/>
                <w:sz w:val="20"/>
                <w:szCs w:val="20"/>
                <w:lang w:val="en-US"/>
              </w:rPr>
              <w:t>5 to 9</w:t>
            </w:r>
          </w:p>
        </w:tc>
        <w:tc>
          <w:tcPr>
            <w:tcW w:w="3060" w:type="dxa"/>
            <w:shd w:val="clear" w:color="auto" w:fill="auto"/>
            <w:noWrap/>
            <w:vAlign w:val="bottom"/>
            <w:hideMark/>
          </w:tcPr>
          <w:p w14:paraId="1FFF54B2"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67,770</w:t>
            </w:r>
          </w:p>
        </w:tc>
        <w:tc>
          <w:tcPr>
            <w:tcW w:w="3060" w:type="dxa"/>
            <w:shd w:val="clear" w:color="auto" w:fill="auto"/>
            <w:noWrap/>
            <w:vAlign w:val="bottom"/>
            <w:hideMark/>
          </w:tcPr>
          <w:p w14:paraId="2160E5F1"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4%</w:t>
            </w:r>
          </w:p>
        </w:tc>
      </w:tr>
      <w:tr w:rsidR="00AA410F" w:rsidRPr="007560A0" w14:paraId="69A7E016" w14:textId="77777777" w:rsidTr="004274F8">
        <w:trPr>
          <w:trHeight w:val="300"/>
        </w:trPr>
        <w:tc>
          <w:tcPr>
            <w:tcW w:w="3060" w:type="dxa"/>
            <w:shd w:val="clear" w:color="auto" w:fill="auto"/>
            <w:noWrap/>
            <w:vAlign w:val="bottom"/>
            <w:hideMark/>
          </w:tcPr>
          <w:p w14:paraId="54CC2E84" w14:textId="77777777" w:rsidR="00AA410F" w:rsidRPr="007560A0" w:rsidRDefault="00AA410F" w:rsidP="004274F8">
            <w:pPr>
              <w:pStyle w:val="p-01"/>
              <w:keepNext/>
              <w:spacing w:beforeLines="20" w:before="48" w:afterLines="20" w:after="48" w:line="240" w:lineRule="auto"/>
              <w:jc w:val="left"/>
              <w:rPr>
                <w:rFonts w:ascii="Arial" w:hAnsi="Arial" w:cs="Arial"/>
                <w:bCs/>
                <w:sz w:val="20"/>
                <w:szCs w:val="20"/>
                <w:lang w:val="en-US"/>
              </w:rPr>
            </w:pPr>
            <w:r w:rsidRPr="007560A0">
              <w:rPr>
                <w:rFonts w:ascii="Arial" w:hAnsi="Arial" w:cs="Arial"/>
                <w:bCs/>
                <w:sz w:val="20"/>
                <w:szCs w:val="20"/>
                <w:lang w:val="en-US"/>
              </w:rPr>
              <w:t>10 to 19</w:t>
            </w:r>
          </w:p>
        </w:tc>
        <w:tc>
          <w:tcPr>
            <w:tcW w:w="3060" w:type="dxa"/>
            <w:shd w:val="clear" w:color="auto" w:fill="auto"/>
            <w:noWrap/>
            <w:vAlign w:val="bottom"/>
            <w:hideMark/>
          </w:tcPr>
          <w:p w14:paraId="3821552C"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77,399</w:t>
            </w:r>
          </w:p>
        </w:tc>
        <w:tc>
          <w:tcPr>
            <w:tcW w:w="3060" w:type="dxa"/>
            <w:shd w:val="clear" w:color="auto" w:fill="auto"/>
            <w:noWrap/>
            <w:vAlign w:val="bottom"/>
            <w:hideMark/>
          </w:tcPr>
          <w:p w14:paraId="71CD3CF1"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5%</w:t>
            </w:r>
          </w:p>
        </w:tc>
      </w:tr>
      <w:tr w:rsidR="00AA410F" w:rsidRPr="007560A0" w14:paraId="51A2E612" w14:textId="77777777" w:rsidTr="004274F8">
        <w:trPr>
          <w:trHeight w:val="300"/>
        </w:trPr>
        <w:tc>
          <w:tcPr>
            <w:tcW w:w="3060" w:type="dxa"/>
            <w:shd w:val="clear" w:color="auto" w:fill="auto"/>
            <w:noWrap/>
            <w:vAlign w:val="bottom"/>
            <w:hideMark/>
          </w:tcPr>
          <w:p w14:paraId="684C939E" w14:textId="77777777" w:rsidR="00AA410F" w:rsidRPr="007560A0" w:rsidRDefault="00AA410F" w:rsidP="004274F8">
            <w:pPr>
              <w:pStyle w:val="p-01"/>
              <w:keepNext/>
              <w:spacing w:beforeLines="20" w:before="48" w:afterLines="20" w:after="48" w:line="240" w:lineRule="auto"/>
              <w:jc w:val="left"/>
              <w:rPr>
                <w:rFonts w:ascii="Arial" w:hAnsi="Arial" w:cs="Arial"/>
                <w:bCs/>
                <w:sz w:val="20"/>
                <w:szCs w:val="20"/>
                <w:lang w:val="en-US"/>
              </w:rPr>
            </w:pPr>
            <w:r w:rsidRPr="007560A0">
              <w:rPr>
                <w:rFonts w:ascii="Arial" w:hAnsi="Arial" w:cs="Arial"/>
                <w:bCs/>
                <w:sz w:val="20"/>
                <w:szCs w:val="20"/>
                <w:lang w:val="en-US"/>
              </w:rPr>
              <w:t>20 to 29</w:t>
            </w:r>
          </w:p>
        </w:tc>
        <w:tc>
          <w:tcPr>
            <w:tcW w:w="3060" w:type="dxa"/>
            <w:shd w:val="clear" w:color="auto" w:fill="auto"/>
            <w:noWrap/>
            <w:vAlign w:val="bottom"/>
            <w:hideMark/>
          </w:tcPr>
          <w:p w14:paraId="5CC7F641"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42,200</w:t>
            </w:r>
          </w:p>
        </w:tc>
        <w:tc>
          <w:tcPr>
            <w:tcW w:w="3060" w:type="dxa"/>
            <w:shd w:val="clear" w:color="auto" w:fill="auto"/>
            <w:noWrap/>
            <w:vAlign w:val="bottom"/>
            <w:hideMark/>
          </w:tcPr>
          <w:p w14:paraId="7E3EFDFE"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3%</w:t>
            </w:r>
          </w:p>
        </w:tc>
      </w:tr>
      <w:tr w:rsidR="00AA410F" w:rsidRPr="007560A0" w14:paraId="004DEC7A" w14:textId="77777777" w:rsidTr="004274F8">
        <w:trPr>
          <w:trHeight w:val="300"/>
        </w:trPr>
        <w:tc>
          <w:tcPr>
            <w:tcW w:w="3060" w:type="dxa"/>
            <w:shd w:val="clear" w:color="auto" w:fill="auto"/>
            <w:noWrap/>
            <w:vAlign w:val="bottom"/>
            <w:hideMark/>
          </w:tcPr>
          <w:p w14:paraId="7161107C" w14:textId="77777777" w:rsidR="00AA410F" w:rsidRPr="007560A0" w:rsidRDefault="00AA410F" w:rsidP="004274F8">
            <w:pPr>
              <w:pStyle w:val="p-01"/>
              <w:keepNext/>
              <w:spacing w:beforeLines="20" w:before="48" w:afterLines="20" w:after="48" w:line="240" w:lineRule="auto"/>
              <w:jc w:val="left"/>
              <w:rPr>
                <w:rFonts w:ascii="Arial" w:hAnsi="Arial" w:cs="Arial"/>
                <w:bCs/>
                <w:sz w:val="20"/>
                <w:szCs w:val="20"/>
                <w:lang w:val="en-US"/>
              </w:rPr>
            </w:pPr>
            <w:r w:rsidRPr="007560A0">
              <w:rPr>
                <w:rFonts w:ascii="Arial" w:hAnsi="Arial" w:cs="Arial"/>
                <w:bCs/>
                <w:sz w:val="20"/>
                <w:szCs w:val="20"/>
                <w:lang w:val="en-US"/>
              </w:rPr>
              <w:t>30 to 49</w:t>
            </w:r>
          </w:p>
        </w:tc>
        <w:tc>
          <w:tcPr>
            <w:tcW w:w="3060" w:type="dxa"/>
            <w:shd w:val="clear" w:color="auto" w:fill="auto"/>
            <w:noWrap/>
            <w:vAlign w:val="bottom"/>
            <w:hideMark/>
          </w:tcPr>
          <w:p w14:paraId="33C25DFB"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69,907</w:t>
            </w:r>
          </w:p>
        </w:tc>
        <w:tc>
          <w:tcPr>
            <w:tcW w:w="3060" w:type="dxa"/>
            <w:shd w:val="clear" w:color="auto" w:fill="auto"/>
            <w:noWrap/>
            <w:vAlign w:val="bottom"/>
            <w:hideMark/>
          </w:tcPr>
          <w:p w14:paraId="429C469E"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4%</w:t>
            </w:r>
          </w:p>
        </w:tc>
      </w:tr>
      <w:tr w:rsidR="00AA410F" w:rsidRPr="007560A0" w14:paraId="366A897F" w14:textId="77777777" w:rsidTr="004274F8">
        <w:trPr>
          <w:trHeight w:val="300"/>
        </w:trPr>
        <w:tc>
          <w:tcPr>
            <w:tcW w:w="3060" w:type="dxa"/>
            <w:shd w:val="clear" w:color="auto" w:fill="auto"/>
            <w:noWrap/>
            <w:vAlign w:val="bottom"/>
            <w:hideMark/>
          </w:tcPr>
          <w:p w14:paraId="4875A5F7" w14:textId="77777777" w:rsidR="00AA410F" w:rsidRPr="007560A0" w:rsidRDefault="00AA410F" w:rsidP="004274F8">
            <w:pPr>
              <w:pStyle w:val="p-01"/>
              <w:keepNext/>
              <w:spacing w:beforeLines="20" w:before="48" w:afterLines="20" w:after="48" w:line="240" w:lineRule="auto"/>
              <w:jc w:val="left"/>
              <w:rPr>
                <w:rFonts w:ascii="Arial" w:hAnsi="Arial" w:cs="Arial"/>
                <w:bCs/>
                <w:sz w:val="20"/>
                <w:szCs w:val="20"/>
                <w:lang w:val="en-US"/>
              </w:rPr>
            </w:pPr>
            <w:r w:rsidRPr="007560A0">
              <w:rPr>
                <w:rFonts w:ascii="Arial" w:hAnsi="Arial" w:cs="Arial"/>
                <w:bCs/>
                <w:sz w:val="20"/>
                <w:szCs w:val="20"/>
                <w:lang w:val="en-US"/>
              </w:rPr>
              <w:t>50 to 99</w:t>
            </w:r>
          </w:p>
        </w:tc>
        <w:tc>
          <w:tcPr>
            <w:tcW w:w="3060" w:type="dxa"/>
            <w:shd w:val="clear" w:color="auto" w:fill="auto"/>
            <w:noWrap/>
            <w:vAlign w:val="bottom"/>
            <w:hideMark/>
          </w:tcPr>
          <w:p w14:paraId="646CBD8F"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89,907</w:t>
            </w:r>
          </w:p>
        </w:tc>
        <w:tc>
          <w:tcPr>
            <w:tcW w:w="3060" w:type="dxa"/>
            <w:shd w:val="clear" w:color="auto" w:fill="auto"/>
            <w:noWrap/>
            <w:vAlign w:val="bottom"/>
            <w:hideMark/>
          </w:tcPr>
          <w:p w14:paraId="3AB11474"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6%</w:t>
            </w:r>
          </w:p>
        </w:tc>
      </w:tr>
      <w:tr w:rsidR="00AA410F" w:rsidRPr="007560A0" w14:paraId="356F9F7B" w14:textId="77777777" w:rsidTr="004274F8">
        <w:trPr>
          <w:trHeight w:val="300"/>
        </w:trPr>
        <w:tc>
          <w:tcPr>
            <w:tcW w:w="3060" w:type="dxa"/>
            <w:shd w:val="clear" w:color="auto" w:fill="auto"/>
            <w:noWrap/>
            <w:vAlign w:val="bottom"/>
            <w:hideMark/>
          </w:tcPr>
          <w:p w14:paraId="3029A16F" w14:textId="77777777" w:rsidR="00AA410F" w:rsidRPr="007560A0" w:rsidRDefault="00AA410F" w:rsidP="004274F8">
            <w:pPr>
              <w:pStyle w:val="p-01"/>
              <w:keepNext/>
              <w:spacing w:beforeLines="20" w:before="48" w:afterLines="20" w:after="48" w:line="240" w:lineRule="auto"/>
              <w:jc w:val="left"/>
              <w:rPr>
                <w:rFonts w:ascii="Arial" w:hAnsi="Arial" w:cs="Arial"/>
                <w:bCs/>
                <w:sz w:val="20"/>
                <w:szCs w:val="20"/>
                <w:lang w:val="en-US"/>
              </w:rPr>
            </w:pPr>
            <w:r w:rsidRPr="007560A0">
              <w:rPr>
                <w:rFonts w:ascii="Arial" w:hAnsi="Arial" w:cs="Arial"/>
                <w:bCs/>
                <w:sz w:val="20"/>
                <w:szCs w:val="20"/>
                <w:lang w:val="en-US"/>
              </w:rPr>
              <w:t>100 to 249</w:t>
            </w:r>
          </w:p>
        </w:tc>
        <w:tc>
          <w:tcPr>
            <w:tcW w:w="3060" w:type="dxa"/>
            <w:shd w:val="clear" w:color="auto" w:fill="auto"/>
            <w:noWrap/>
            <w:vAlign w:val="bottom"/>
            <w:hideMark/>
          </w:tcPr>
          <w:p w14:paraId="4822E010"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112,896</w:t>
            </w:r>
          </w:p>
        </w:tc>
        <w:tc>
          <w:tcPr>
            <w:tcW w:w="3060" w:type="dxa"/>
            <w:shd w:val="clear" w:color="auto" w:fill="auto"/>
            <w:noWrap/>
            <w:vAlign w:val="bottom"/>
            <w:hideMark/>
          </w:tcPr>
          <w:p w14:paraId="7CFA9D40"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7%</w:t>
            </w:r>
          </w:p>
        </w:tc>
      </w:tr>
      <w:tr w:rsidR="00AA410F" w:rsidRPr="007560A0" w14:paraId="02F2AA03" w14:textId="77777777" w:rsidTr="004274F8">
        <w:trPr>
          <w:trHeight w:val="300"/>
        </w:trPr>
        <w:tc>
          <w:tcPr>
            <w:tcW w:w="3060" w:type="dxa"/>
            <w:shd w:val="clear" w:color="auto" w:fill="auto"/>
            <w:noWrap/>
            <w:vAlign w:val="bottom"/>
            <w:hideMark/>
          </w:tcPr>
          <w:p w14:paraId="1645F5A5" w14:textId="77777777" w:rsidR="00AA410F" w:rsidRPr="007560A0" w:rsidRDefault="00AA410F" w:rsidP="004274F8">
            <w:pPr>
              <w:pStyle w:val="p-01"/>
              <w:keepNext/>
              <w:spacing w:beforeLines="20" w:before="48" w:afterLines="20" w:after="48" w:line="240" w:lineRule="auto"/>
              <w:jc w:val="left"/>
              <w:rPr>
                <w:rFonts w:ascii="Arial" w:hAnsi="Arial" w:cs="Arial"/>
                <w:bCs/>
                <w:sz w:val="20"/>
                <w:szCs w:val="20"/>
                <w:lang w:val="en-US"/>
              </w:rPr>
            </w:pPr>
            <w:r w:rsidRPr="007560A0">
              <w:rPr>
                <w:rFonts w:ascii="Arial" w:hAnsi="Arial" w:cs="Arial"/>
                <w:bCs/>
                <w:sz w:val="20"/>
                <w:szCs w:val="20"/>
                <w:lang w:val="en-US"/>
              </w:rPr>
              <w:t>250 to 499</w:t>
            </w:r>
          </w:p>
        </w:tc>
        <w:tc>
          <w:tcPr>
            <w:tcW w:w="3060" w:type="dxa"/>
            <w:shd w:val="clear" w:color="auto" w:fill="auto"/>
            <w:noWrap/>
            <w:vAlign w:val="bottom"/>
            <w:hideMark/>
          </w:tcPr>
          <w:p w14:paraId="14ED8B1E"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141,257</w:t>
            </w:r>
          </w:p>
        </w:tc>
        <w:tc>
          <w:tcPr>
            <w:tcW w:w="3060" w:type="dxa"/>
            <w:shd w:val="clear" w:color="auto" w:fill="auto"/>
            <w:noWrap/>
            <w:vAlign w:val="bottom"/>
            <w:hideMark/>
          </w:tcPr>
          <w:p w14:paraId="77FEBF02"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9%</w:t>
            </w:r>
          </w:p>
        </w:tc>
      </w:tr>
      <w:tr w:rsidR="00AA410F" w:rsidRPr="007560A0" w14:paraId="69CEB426" w14:textId="77777777" w:rsidTr="004274F8">
        <w:trPr>
          <w:trHeight w:val="300"/>
        </w:trPr>
        <w:tc>
          <w:tcPr>
            <w:tcW w:w="3060" w:type="dxa"/>
            <w:shd w:val="clear" w:color="auto" w:fill="auto"/>
            <w:noWrap/>
            <w:vAlign w:val="bottom"/>
            <w:hideMark/>
          </w:tcPr>
          <w:p w14:paraId="3270F95A" w14:textId="77777777" w:rsidR="00AA410F" w:rsidRPr="007560A0" w:rsidRDefault="00AA410F" w:rsidP="004274F8">
            <w:pPr>
              <w:pStyle w:val="p-01"/>
              <w:keepNext/>
              <w:spacing w:beforeLines="20" w:before="48" w:afterLines="20" w:after="48" w:line="240" w:lineRule="auto"/>
              <w:jc w:val="left"/>
              <w:rPr>
                <w:rFonts w:ascii="Arial" w:hAnsi="Arial" w:cs="Arial"/>
                <w:bCs/>
                <w:sz w:val="20"/>
                <w:szCs w:val="20"/>
                <w:lang w:val="en-US"/>
              </w:rPr>
            </w:pPr>
            <w:r w:rsidRPr="007560A0">
              <w:rPr>
                <w:rFonts w:ascii="Arial" w:hAnsi="Arial" w:cs="Arial"/>
                <w:bCs/>
                <w:sz w:val="20"/>
                <w:szCs w:val="20"/>
                <w:lang w:val="en-US"/>
              </w:rPr>
              <w:t>500 or more</w:t>
            </w:r>
          </w:p>
        </w:tc>
        <w:tc>
          <w:tcPr>
            <w:tcW w:w="3060" w:type="dxa"/>
            <w:shd w:val="clear" w:color="auto" w:fill="auto"/>
            <w:noWrap/>
            <w:vAlign w:val="bottom"/>
            <w:hideMark/>
          </w:tcPr>
          <w:p w14:paraId="331AB762"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691,465</w:t>
            </w:r>
          </w:p>
        </w:tc>
        <w:tc>
          <w:tcPr>
            <w:tcW w:w="3060" w:type="dxa"/>
            <w:shd w:val="clear" w:color="auto" w:fill="auto"/>
            <w:noWrap/>
            <w:vAlign w:val="bottom"/>
            <w:hideMark/>
          </w:tcPr>
          <w:p w14:paraId="22F9F23C" w14:textId="77777777" w:rsidR="00AA410F" w:rsidRPr="007560A0" w:rsidRDefault="00AA410F" w:rsidP="004274F8">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43%</w:t>
            </w:r>
          </w:p>
        </w:tc>
      </w:tr>
    </w:tbl>
    <w:p w14:paraId="39E1F32B" w14:textId="77777777" w:rsidR="00AA410F" w:rsidRPr="007560A0" w:rsidRDefault="00AA410F" w:rsidP="004274F8">
      <w:pPr>
        <w:pStyle w:val="f-03"/>
        <w:rPr>
          <w:rFonts w:ascii="Arial" w:hAnsi="Arial" w:cs="Arial"/>
          <w:lang w:val="en-US"/>
        </w:rPr>
      </w:pPr>
      <w:r w:rsidRPr="007560A0">
        <w:rPr>
          <w:rFonts w:ascii="Arial" w:hAnsi="Arial" w:cs="Arial"/>
          <w:lang w:val="en-US"/>
        </w:rPr>
        <w:t>*It includes individual companies, inactive compa</w:t>
      </w:r>
      <w:r w:rsidR="004274F8" w:rsidRPr="007560A0">
        <w:rPr>
          <w:rFonts w:ascii="Arial" w:hAnsi="Arial" w:cs="Arial"/>
          <w:lang w:val="en-US"/>
        </w:rPr>
        <w:t>nies, and headquartered abroad.</w:t>
      </w:r>
      <w:r w:rsidR="004274F8" w:rsidRPr="007560A0">
        <w:rPr>
          <w:rFonts w:ascii="Arial" w:hAnsi="Arial" w:cs="Arial"/>
          <w:lang w:val="en-US"/>
        </w:rPr>
        <w:br/>
        <w:t>Source: Central Bank - Banking Economy and Credit Report, 2014.</w:t>
      </w:r>
    </w:p>
    <w:p w14:paraId="2C3A7889" w14:textId="23D2604A" w:rsidR="00710455" w:rsidRPr="007560A0" w:rsidRDefault="00B36923" w:rsidP="00404FED">
      <w:pPr>
        <w:pStyle w:val="p-01"/>
        <w:rPr>
          <w:rFonts w:ascii="Arial" w:hAnsi="Arial" w:cs="Arial"/>
          <w:color w:val="000000" w:themeColor="text1"/>
          <w:lang w:val="en-US"/>
        </w:rPr>
      </w:pPr>
      <w:r w:rsidRPr="007560A0">
        <w:rPr>
          <w:rFonts w:ascii="Arial" w:hAnsi="Arial" w:cs="Arial"/>
          <w:color w:val="000000" w:themeColor="text1"/>
          <w:lang w:val="en-US"/>
        </w:rPr>
        <w:t>In the case of BNDES, the</w:t>
      </w:r>
      <w:r w:rsidR="001B1A5F" w:rsidRPr="007560A0">
        <w:rPr>
          <w:rFonts w:ascii="Arial" w:hAnsi="Arial" w:cs="Arial"/>
          <w:color w:val="000000" w:themeColor="text1"/>
          <w:lang w:val="en-US"/>
        </w:rPr>
        <w:t xml:space="preserve"> participation of the MSME</w:t>
      </w:r>
      <w:r w:rsidR="004274F8" w:rsidRPr="007560A0">
        <w:rPr>
          <w:rFonts w:ascii="Arial" w:hAnsi="Arial" w:cs="Arial"/>
          <w:color w:val="000000" w:themeColor="text1"/>
          <w:lang w:val="en-US"/>
        </w:rPr>
        <w:t>s</w:t>
      </w:r>
      <w:r w:rsidR="001B1A5F" w:rsidRPr="007560A0">
        <w:rPr>
          <w:rFonts w:ascii="Arial" w:hAnsi="Arial" w:cs="Arial"/>
          <w:color w:val="000000" w:themeColor="text1"/>
          <w:lang w:val="en-US"/>
        </w:rPr>
        <w:t xml:space="preserve"> in the total disbursements</w:t>
      </w:r>
      <w:r w:rsidRPr="007560A0">
        <w:rPr>
          <w:rFonts w:ascii="Arial" w:hAnsi="Arial" w:cs="Arial"/>
          <w:color w:val="000000" w:themeColor="text1"/>
          <w:lang w:val="en-US"/>
        </w:rPr>
        <w:t xml:space="preserve"> reached</w:t>
      </w:r>
      <w:r w:rsidR="00E069A7" w:rsidRPr="007560A0">
        <w:rPr>
          <w:rFonts w:ascii="Arial" w:hAnsi="Arial" w:cs="Arial"/>
          <w:color w:val="000000" w:themeColor="text1"/>
          <w:lang w:val="en-US"/>
        </w:rPr>
        <w:t xml:space="preserve">, on average, in the </w:t>
      </w:r>
      <w:r w:rsidR="001B1A5F" w:rsidRPr="007560A0">
        <w:rPr>
          <w:rFonts w:ascii="Arial" w:hAnsi="Arial" w:cs="Arial"/>
          <w:color w:val="000000" w:themeColor="text1"/>
          <w:lang w:val="en-US"/>
        </w:rPr>
        <w:t>200</w:t>
      </w:r>
      <w:r w:rsidR="004F0BE8" w:rsidRPr="007560A0">
        <w:rPr>
          <w:rFonts w:ascii="Arial" w:hAnsi="Arial" w:cs="Arial"/>
          <w:color w:val="000000" w:themeColor="text1"/>
          <w:lang w:val="en-US"/>
        </w:rPr>
        <w:t>1</w:t>
      </w:r>
      <w:r w:rsidRPr="007560A0">
        <w:rPr>
          <w:rFonts w:ascii="Arial" w:hAnsi="Arial" w:cs="Arial"/>
          <w:color w:val="000000" w:themeColor="text1"/>
          <w:lang w:val="en-US"/>
        </w:rPr>
        <w:t>-</w:t>
      </w:r>
      <w:r w:rsidR="001B1A5F" w:rsidRPr="007560A0">
        <w:rPr>
          <w:rFonts w:ascii="Arial" w:hAnsi="Arial" w:cs="Arial"/>
          <w:color w:val="000000" w:themeColor="text1"/>
          <w:lang w:val="en-US"/>
        </w:rPr>
        <w:t xml:space="preserve">2015 period, </w:t>
      </w:r>
      <w:r w:rsidRPr="007560A0">
        <w:rPr>
          <w:rFonts w:ascii="Arial" w:hAnsi="Arial" w:cs="Arial"/>
          <w:color w:val="000000" w:themeColor="text1"/>
          <w:lang w:val="en-US"/>
        </w:rPr>
        <w:t xml:space="preserve">about </w:t>
      </w:r>
      <w:r w:rsidR="00ED56AF" w:rsidRPr="007560A0">
        <w:rPr>
          <w:rFonts w:ascii="Arial" w:hAnsi="Arial" w:cs="Arial"/>
          <w:color w:val="000000" w:themeColor="text1"/>
          <w:lang w:val="en-US"/>
        </w:rPr>
        <w:t xml:space="preserve">27% </w:t>
      </w:r>
      <w:r w:rsidRPr="007560A0">
        <w:rPr>
          <w:rFonts w:ascii="Arial" w:hAnsi="Arial" w:cs="Arial"/>
          <w:color w:val="000000" w:themeColor="text1"/>
          <w:lang w:val="en-US"/>
        </w:rPr>
        <w:t>of total disbursements</w:t>
      </w:r>
      <w:r w:rsidR="001B1A5F" w:rsidRPr="007560A0">
        <w:rPr>
          <w:rFonts w:ascii="Arial" w:hAnsi="Arial" w:cs="Arial"/>
          <w:color w:val="000000" w:themeColor="text1"/>
          <w:lang w:val="en-US"/>
        </w:rPr>
        <w:t xml:space="preserve">. </w:t>
      </w:r>
      <w:r w:rsidR="00404FED" w:rsidRPr="007560A0">
        <w:rPr>
          <w:rFonts w:ascii="Arial" w:hAnsi="Arial" w:cs="Arial"/>
          <w:color w:val="000000" w:themeColor="text1"/>
          <w:lang w:val="en-US"/>
        </w:rPr>
        <w:t>In the recent period, the</w:t>
      </w:r>
      <w:r w:rsidR="004F0BE8" w:rsidRPr="007560A0">
        <w:rPr>
          <w:rFonts w:ascii="Arial" w:hAnsi="Arial" w:cs="Arial"/>
          <w:color w:val="000000" w:themeColor="text1"/>
          <w:lang w:val="en-US"/>
        </w:rPr>
        <w:t>re has been a trend of</w:t>
      </w:r>
      <w:r w:rsidR="00404FED" w:rsidRPr="007560A0">
        <w:rPr>
          <w:rFonts w:ascii="Arial" w:hAnsi="Arial" w:cs="Arial"/>
          <w:color w:val="000000" w:themeColor="text1"/>
          <w:lang w:val="en-US"/>
        </w:rPr>
        <w:t xml:space="preserve"> growth for this participation, and</w:t>
      </w:r>
      <w:r w:rsidR="004F0BE8" w:rsidRPr="007560A0">
        <w:rPr>
          <w:rFonts w:ascii="Arial" w:hAnsi="Arial" w:cs="Arial"/>
          <w:color w:val="000000" w:themeColor="text1"/>
          <w:lang w:val="en-US"/>
        </w:rPr>
        <w:t xml:space="preserve"> in the last five years, the </w:t>
      </w:r>
      <w:r w:rsidR="00404FED" w:rsidRPr="007560A0">
        <w:rPr>
          <w:rFonts w:ascii="Arial" w:hAnsi="Arial" w:cs="Arial"/>
          <w:color w:val="000000" w:themeColor="text1"/>
          <w:lang w:val="en-US"/>
        </w:rPr>
        <w:t xml:space="preserve">participation </w:t>
      </w:r>
      <w:r w:rsidR="00B14E7C" w:rsidRPr="007560A0">
        <w:rPr>
          <w:rFonts w:ascii="Arial" w:hAnsi="Arial" w:cs="Arial"/>
          <w:color w:val="000000" w:themeColor="text1"/>
          <w:lang w:val="en-US"/>
        </w:rPr>
        <w:t>of MSMEs</w:t>
      </w:r>
      <w:r w:rsidR="00404FED" w:rsidRPr="007560A0">
        <w:rPr>
          <w:rFonts w:ascii="Arial" w:hAnsi="Arial" w:cs="Arial"/>
          <w:color w:val="000000" w:themeColor="text1"/>
          <w:lang w:val="en-US"/>
        </w:rPr>
        <w:t xml:space="preserve"> in total bank disbursements reached, </w:t>
      </w:r>
      <w:r w:rsidR="004F0BE8" w:rsidRPr="007560A0">
        <w:rPr>
          <w:rFonts w:ascii="Arial" w:hAnsi="Arial" w:cs="Arial"/>
          <w:color w:val="000000" w:themeColor="text1"/>
          <w:lang w:val="en-US"/>
        </w:rPr>
        <w:t>on average</w:t>
      </w:r>
      <w:r w:rsidR="00404FED" w:rsidRPr="007560A0">
        <w:rPr>
          <w:rFonts w:ascii="Arial" w:hAnsi="Arial" w:cs="Arial"/>
          <w:color w:val="000000" w:themeColor="text1"/>
          <w:lang w:val="en-US"/>
        </w:rPr>
        <w:t xml:space="preserve">, </w:t>
      </w:r>
      <w:r w:rsidR="004F0BE8" w:rsidRPr="007560A0">
        <w:rPr>
          <w:rFonts w:ascii="Arial" w:hAnsi="Arial" w:cs="Arial"/>
          <w:color w:val="000000" w:themeColor="text1"/>
          <w:lang w:val="en-US"/>
        </w:rPr>
        <w:t>32.07%</w:t>
      </w:r>
      <w:r w:rsidR="00710455" w:rsidRPr="007560A0">
        <w:rPr>
          <w:rFonts w:ascii="Arial" w:hAnsi="Arial" w:cs="Arial"/>
          <w:color w:val="000000" w:themeColor="text1"/>
          <w:lang w:val="en-US"/>
        </w:rPr>
        <w:t xml:space="preserve"> (</w:t>
      </w:r>
      <w:r w:rsidR="00E3006A" w:rsidRPr="007560A0">
        <w:rPr>
          <w:rFonts w:ascii="Arial" w:hAnsi="Arial" w:cs="Arial"/>
          <w:color w:val="000000" w:themeColor="text1"/>
          <w:lang w:val="en-US"/>
        </w:rPr>
        <w:t>Chart</w:t>
      </w:r>
      <w:r w:rsidR="00710455" w:rsidRPr="007560A0">
        <w:rPr>
          <w:rFonts w:ascii="Arial" w:hAnsi="Arial" w:cs="Arial"/>
          <w:color w:val="000000" w:themeColor="text1"/>
          <w:lang w:val="en-US"/>
        </w:rPr>
        <w:t xml:space="preserve"> </w:t>
      </w:r>
      <w:r w:rsidR="00EC2205" w:rsidRPr="007560A0">
        <w:rPr>
          <w:rFonts w:ascii="Arial" w:hAnsi="Arial" w:cs="Arial"/>
          <w:color w:val="000000" w:themeColor="text1"/>
          <w:lang w:val="en-US"/>
        </w:rPr>
        <w:t>6</w:t>
      </w:r>
      <w:r w:rsidR="00710455" w:rsidRPr="007560A0">
        <w:rPr>
          <w:rFonts w:ascii="Arial" w:hAnsi="Arial" w:cs="Arial"/>
          <w:color w:val="000000" w:themeColor="text1"/>
          <w:lang w:val="en-US"/>
        </w:rPr>
        <w:t>)</w:t>
      </w:r>
      <w:r w:rsidR="004F0BE8" w:rsidRPr="007560A0">
        <w:rPr>
          <w:rFonts w:ascii="Arial" w:hAnsi="Arial" w:cs="Arial"/>
          <w:color w:val="000000" w:themeColor="text1"/>
          <w:lang w:val="en-US"/>
        </w:rPr>
        <w:t>.</w:t>
      </w:r>
    </w:p>
    <w:p w14:paraId="5A2EF749" w14:textId="1FD36214" w:rsidR="007E031F" w:rsidRPr="007560A0" w:rsidRDefault="00710455" w:rsidP="00710455">
      <w:pPr>
        <w:pStyle w:val="f-01"/>
        <w:rPr>
          <w:rStyle w:val="apple-converted-space"/>
          <w:rFonts w:ascii="Arial" w:hAnsi="Arial"/>
          <w:noProof w:val="0"/>
          <w:lang w:val="en-US"/>
        </w:rPr>
      </w:pPr>
      <w:r w:rsidRPr="007560A0">
        <w:rPr>
          <w:rFonts w:ascii="Arial" w:hAnsi="Arial"/>
          <w:noProof w:val="0"/>
          <w:lang w:val="en-US"/>
        </w:rPr>
        <w:lastRenderedPageBreak/>
        <w:t xml:space="preserve">Chart </w:t>
      </w:r>
      <w:r w:rsidR="00EC2205" w:rsidRPr="007560A0">
        <w:rPr>
          <w:rFonts w:ascii="Arial" w:hAnsi="Arial"/>
          <w:noProof w:val="0"/>
          <w:lang w:val="en-US"/>
        </w:rPr>
        <w:t>6</w:t>
      </w:r>
      <w:r w:rsidRPr="007560A0">
        <w:rPr>
          <w:rFonts w:ascii="Arial" w:hAnsi="Arial"/>
          <w:noProof w:val="0"/>
          <w:lang w:val="en-US"/>
        </w:rPr>
        <w:t xml:space="preserve">: </w:t>
      </w:r>
      <w:r w:rsidR="003975AA" w:rsidRPr="007560A0">
        <w:rPr>
          <w:rFonts w:ascii="Arial" w:hAnsi="Arial"/>
          <w:noProof w:val="0"/>
          <w:lang w:val="en-US"/>
        </w:rPr>
        <w:t>BNDES D</w:t>
      </w:r>
      <w:r w:rsidR="00301E24" w:rsidRPr="007560A0">
        <w:rPr>
          <w:rFonts w:ascii="Arial" w:hAnsi="Arial"/>
          <w:noProof w:val="0"/>
          <w:lang w:val="en-US"/>
        </w:rPr>
        <w:t>is</w:t>
      </w:r>
      <w:r w:rsidRPr="007560A0">
        <w:rPr>
          <w:rFonts w:ascii="Arial" w:hAnsi="Arial"/>
          <w:noProof w:val="0"/>
          <w:lang w:val="en-US"/>
        </w:rPr>
        <w:t>bursements</w:t>
      </w:r>
      <w:r w:rsidR="00404FED" w:rsidRPr="007560A0">
        <w:rPr>
          <w:rFonts w:ascii="Arial" w:hAnsi="Arial"/>
          <w:noProof w:val="0"/>
          <w:lang w:val="en-US"/>
        </w:rPr>
        <w:t>, according to company size: 2001-2015 (</w:t>
      </w:r>
      <w:r w:rsidR="00301E24" w:rsidRPr="007560A0">
        <w:rPr>
          <w:rFonts w:ascii="Arial" w:hAnsi="Arial"/>
          <w:noProof w:val="0"/>
          <w:lang w:val="en-US"/>
        </w:rPr>
        <w:t>in constant 2015</w:t>
      </w:r>
      <w:r w:rsidR="00404FED" w:rsidRPr="007560A0">
        <w:rPr>
          <w:rFonts w:ascii="Arial" w:hAnsi="Arial"/>
          <w:noProof w:val="0"/>
          <w:lang w:val="en-US"/>
        </w:rPr>
        <w:t>)</w:t>
      </w:r>
      <w:r w:rsidR="004F0BE8" w:rsidRPr="007560A0">
        <w:rPr>
          <w:rFonts w:ascii="Arial" w:hAnsi="Arial"/>
          <w:noProof w:val="0"/>
          <w:lang w:val="en-US"/>
        </w:rPr>
        <w:t xml:space="preserve"> R$.</w:t>
      </w:r>
    </w:p>
    <w:p w14:paraId="56D18B5A" w14:textId="77777777" w:rsidR="007E031F" w:rsidRPr="007560A0" w:rsidRDefault="004F0BE8" w:rsidP="00710455">
      <w:pPr>
        <w:pStyle w:val="f-02"/>
        <w:rPr>
          <w:rFonts w:ascii="Arial" w:hAnsi="Arial" w:cs="Arial"/>
          <w:noProof w:val="0"/>
          <w:lang w:val="en-US"/>
        </w:rPr>
      </w:pPr>
      <w:r w:rsidRPr="007560A0">
        <w:rPr>
          <w:rFonts w:ascii="Arial" w:hAnsi="Arial" w:cs="Arial"/>
          <w:lang w:val="en-US" w:eastAsia="en-US"/>
        </w:rPr>
        <w:drawing>
          <wp:inline distT="0" distB="0" distL="0" distR="0" wp14:anchorId="62AAEE91" wp14:editId="528F111C">
            <wp:extent cx="5303372" cy="3600000"/>
            <wp:effectExtent l="0" t="0" r="0" b="63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DBE1BF" w14:textId="77777777" w:rsidR="00710455" w:rsidRPr="007560A0" w:rsidRDefault="00710455" w:rsidP="00710455">
      <w:pPr>
        <w:pStyle w:val="f-03"/>
        <w:rPr>
          <w:rFonts w:ascii="Arial" w:hAnsi="Arial" w:cs="Arial"/>
          <w:lang w:val="en-US"/>
        </w:rPr>
      </w:pPr>
      <w:r w:rsidRPr="007560A0">
        <w:rPr>
          <w:rFonts w:ascii="Arial" w:hAnsi="Arial" w:cs="Arial"/>
          <w:lang w:val="en-US"/>
        </w:rPr>
        <w:t>Source: BNDES.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510AC" w:rsidRPr="007560A0" w14:paraId="390EC7CB" w14:textId="77777777" w:rsidTr="001321AE">
        <w:tc>
          <w:tcPr>
            <w:tcW w:w="4675" w:type="dxa"/>
          </w:tcPr>
          <w:p w14:paraId="27A56566"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 xml:space="preserve">Micro </w:t>
            </w:r>
          </w:p>
        </w:tc>
        <w:tc>
          <w:tcPr>
            <w:tcW w:w="4675" w:type="dxa"/>
          </w:tcPr>
          <w:p w14:paraId="0F2FD519"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 xml:space="preserve">Micro </w:t>
            </w:r>
          </w:p>
        </w:tc>
      </w:tr>
      <w:tr w:rsidR="006510AC" w:rsidRPr="007560A0" w14:paraId="15CEE590" w14:textId="77777777" w:rsidTr="001321AE">
        <w:tc>
          <w:tcPr>
            <w:tcW w:w="4675" w:type="dxa"/>
          </w:tcPr>
          <w:p w14:paraId="07139AEE"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Pequena</w:t>
            </w:r>
          </w:p>
        </w:tc>
        <w:tc>
          <w:tcPr>
            <w:tcW w:w="4675" w:type="dxa"/>
          </w:tcPr>
          <w:p w14:paraId="162B4A52"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Small</w:t>
            </w:r>
          </w:p>
        </w:tc>
      </w:tr>
      <w:tr w:rsidR="006510AC" w:rsidRPr="007560A0" w14:paraId="2BBB08F6" w14:textId="77777777" w:rsidTr="001321AE">
        <w:tc>
          <w:tcPr>
            <w:tcW w:w="4675" w:type="dxa"/>
          </w:tcPr>
          <w:p w14:paraId="3D497A83"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Média</w:t>
            </w:r>
          </w:p>
        </w:tc>
        <w:tc>
          <w:tcPr>
            <w:tcW w:w="4675" w:type="dxa"/>
          </w:tcPr>
          <w:p w14:paraId="46EDCC14"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Medium</w:t>
            </w:r>
          </w:p>
        </w:tc>
      </w:tr>
    </w:tbl>
    <w:p w14:paraId="0A7E1A68" w14:textId="77777777" w:rsidR="006510AC" w:rsidRPr="007560A0" w:rsidRDefault="006510AC" w:rsidP="005678D9">
      <w:pPr>
        <w:pStyle w:val="p-01"/>
        <w:rPr>
          <w:rFonts w:ascii="Arial" w:hAnsi="Arial" w:cs="Arial"/>
          <w:lang w:val="en-US"/>
        </w:rPr>
      </w:pPr>
    </w:p>
    <w:p w14:paraId="7170455C" w14:textId="77777777" w:rsidR="004F0BE8" w:rsidRPr="007560A0" w:rsidRDefault="003840C6" w:rsidP="005678D9">
      <w:pPr>
        <w:pStyle w:val="p-01"/>
        <w:rPr>
          <w:rFonts w:ascii="Arial" w:hAnsi="Arial" w:cs="Arial"/>
          <w:lang w:val="en-US"/>
        </w:rPr>
      </w:pPr>
      <w:r w:rsidRPr="007560A0">
        <w:rPr>
          <w:rFonts w:ascii="Arial" w:hAnsi="Arial" w:cs="Arial"/>
          <w:lang w:val="en-US"/>
        </w:rPr>
        <w:t xml:space="preserve">As observed in the table, disbursements made to </w:t>
      </w:r>
      <w:r w:rsidR="007E17CB" w:rsidRPr="007560A0">
        <w:rPr>
          <w:rFonts w:ascii="Arial" w:hAnsi="Arial" w:cs="Arial"/>
          <w:lang w:val="en-US"/>
        </w:rPr>
        <w:t>MSMEs</w:t>
      </w:r>
      <w:r w:rsidRPr="007560A0">
        <w:rPr>
          <w:rFonts w:ascii="Arial" w:hAnsi="Arial" w:cs="Arial"/>
          <w:lang w:val="en-US"/>
        </w:rPr>
        <w:t xml:space="preserve"> rea</w:t>
      </w:r>
      <w:r w:rsidR="007E17CB" w:rsidRPr="007560A0">
        <w:rPr>
          <w:rFonts w:ascii="Arial" w:hAnsi="Arial" w:cs="Arial"/>
          <w:lang w:val="en-US"/>
        </w:rPr>
        <w:t>che</w:t>
      </w:r>
      <w:r w:rsidRPr="007560A0">
        <w:rPr>
          <w:rFonts w:ascii="Arial" w:hAnsi="Arial" w:cs="Arial"/>
          <w:lang w:val="en-US"/>
        </w:rPr>
        <w:t>d the equivalent to more than R$ 35 billion. In the case of small and medium-sized enterprises, the highest amounts observed are around R$ 20 billion.</w:t>
      </w:r>
      <w:r w:rsidR="00710455" w:rsidRPr="007560A0">
        <w:rPr>
          <w:rFonts w:ascii="Arial" w:hAnsi="Arial" w:cs="Arial"/>
          <w:lang w:val="en-US"/>
        </w:rPr>
        <w:t xml:space="preserve"> This trend is directly linked to specific actions taken by the bank. The BNDES Card, for example, is an important bank tool and it is exclusively for MSMEs. In 2015, withdrawals through this card reached R$ 11.2 billion, or nearly 30% of total withdrawals for this segment in that year.</w:t>
      </w:r>
      <w:r w:rsidR="00710455" w:rsidRPr="007560A0">
        <w:rPr>
          <w:rStyle w:val="FootnoteReference"/>
          <w:rFonts w:ascii="Arial" w:hAnsi="Arial" w:cs="Arial"/>
          <w:lang w:val="en-US"/>
        </w:rPr>
        <w:footnoteReference w:id="8"/>
      </w:r>
    </w:p>
    <w:p w14:paraId="7B21C69D" w14:textId="77777777" w:rsidR="004824B4" w:rsidRPr="007560A0" w:rsidRDefault="00E97F63" w:rsidP="005678D9">
      <w:pPr>
        <w:pStyle w:val="Heading2"/>
        <w:rPr>
          <w:rFonts w:ascii="Arial" w:hAnsi="Arial" w:cs="Arial"/>
          <w:lang w:val="en-US"/>
        </w:rPr>
      </w:pPr>
      <w:r w:rsidRPr="007560A0">
        <w:rPr>
          <w:rFonts w:ascii="Arial" w:hAnsi="Arial" w:cs="Arial"/>
          <w:lang w:val="en-US"/>
        </w:rPr>
        <w:t>Infrastructure</w:t>
      </w:r>
    </w:p>
    <w:p w14:paraId="59CD8053" w14:textId="12912020" w:rsidR="00710455" w:rsidRPr="007560A0" w:rsidRDefault="000503A4" w:rsidP="00710455">
      <w:pPr>
        <w:pStyle w:val="p-01"/>
        <w:rPr>
          <w:rFonts w:ascii="Arial" w:hAnsi="Arial" w:cs="Arial"/>
          <w:lang w:val="en-US"/>
        </w:rPr>
      </w:pPr>
      <w:r w:rsidRPr="007560A0">
        <w:rPr>
          <w:rFonts w:ascii="Arial" w:hAnsi="Arial" w:cs="Arial"/>
          <w:lang w:val="en-US"/>
        </w:rPr>
        <w:t xml:space="preserve">The World Bank (2005) estimates that Latin America countries would require infrastructure investments of </w:t>
      </w:r>
      <w:r w:rsidR="00B14E7C" w:rsidRPr="007560A0">
        <w:rPr>
          <w:rFonts w:ascii="Arial" w:hAnsi="Arial" w:cs="Arial"/>
          <w:lang w:val="en-US"/>
        </w:rPr>
        <w:t xml:space="preserve">about </w:t>
      </w:r>
      <w:r w:rsidRPr="007560A0">
        <w:rPr>
          <w:rFonts w:ascii="Arial" w:hAnsi="Arial" w:cs="Arial"/>
          <w:lang w:val="en-US"/>
        </w:rPr>
        <w:t xml:space="preserve">3% of the GDP in order to maintain the existing capital stock and keep up with population growth and the demands of universalization of basic services. </w:t>
      </w:r>
      <w:r w:rsidR="00710455" w:rsidRPr="007560A0">
        <w:rPr>
          <w:rFonts w:ascii="Arial" w:hAnsi="Arial" w:cs="Arial"/>
          <w:lang w:val="en-US"/>
        </w:rPr>
        <w:t>However, data</w:t>
      </w:r>
      <w:r w:rsidRPr="007560A0">
        <w:rPr>
          <w:rFonts w:ascii="Arial" w:hAnsi="Arial" w:cs="Arial"/>
          <w:lang w:val="en-US"/>
        </w:rPr>
        <w:t xml:space="preserve"> show that, in Brazil, these investments</w:t>
      </w:r>
      <w:r w:rsidR="005941F9" w:rsidRPr="007560A0">
        <w:rPr>
          <w:rFonts w:ascii="Arial" w:hAnsi="Arial" w:cs="Arial"/>
          <w:lang w:val="en-US"/>
        </w:rPr>
        <w:t xml:space="preserve"> have </w:t>
      </w:r>
      <w:r w:rsidRPr="007560A0">
        <w:rPr>
          <w:rFonts w:ascii="Arial" w:hAnsi="Arial" w:cs="Arial"/>
          <w:lang w:val="en-US"/>
        </w:rPr>
        <w:t>been around 2% of GDP in the recent period (Frischtak, 2008)</w:t>
      </w:r>
      <w:r w:rsidR="005941F9" w:rsidRPr="007560A0">
        <w:rPr>
          <w:rFonts w:ascii="Arial" w:hAnsi="Arial" w:cs="Arial"/>
          <w:lang w:val="en-US"/>
        </w:rPr>
        <w:t>.</w:t>
      </w:r>
      <w:r w:rsidR="00710455" w:rsidRPr="007560A0">
        <w:rPr>
          <w:rFonts w:ascii="Arial" w:hAnsi="Arial" w:cs="Arial"/>
          <w:lang w:val="en-US"/>
        </w:rPr>
        <w:t xml:space="preserve"> Estimates of a consulting firm specializing in the topic indicate that between 2011 and 2014, this indicator was between 2.18% and 2.37% of GDP (table 4).</w:t>
      </w:r>
    </w:p>
    <w:p w14:paraId="3BC0E3C4" w14:textId="77777777" w:rsidR="00710455" w:rsidRPr="007560A0" w:rsidRDefault="00710455" w:rsidP="007132D2">
      <w:pPr>
        <w:pStyle w:val="f-01"/>
        <w:rPr>
          <w:rFonts w:ascii="Arial" w:hAnsi="Arial"/>
          <w:noProof w:val="0"/>
          <w:shd w:val="clear" w:color="auto" w:fill="FFFFFF"/>
          <w:lang w:val="en-US"/>
        </w:rPr>
      </w:pPr>
      <w:r w:rsidRPr="007560A0">
        <w:rPr>
          <w:rFonts w:ascii="Arial" w:hAnsi="Arial"/>
          <w:noProof w:val="0"/>
          <w:shd w:val="clear" w:color="auto" w:fill="FFFFFF"/>
          <w:lang w:val="en-US"/>
        </w:rPr>
        <w:lastRenderedPageBreak/>
        <w:t xml:space="preserve">Table 4: </w:t>
      </w:r>
      <w:r w:rsidR="007132D2" w:rsidRPr="007560A0">
        <w:rPr>
          <w:rFonts w:ascii="Arial" w:hAnsi="Arial"/>
          <w:noProof w:val="0"/>
          <w:shd w:val="clear" w:color="auto" w:fill="FFFFFF"/>
          <w:lang w:val="en-US"/>
        </w:rPr>
        <w:t>Infrastructure Investments in Brazil, 2001 – 2014 (as % of GDP)</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93"/>
        <w:gridCol w:w="1417"/>
        <w:gridCol w:w="1417"/>
        <w:gridCol w:w="1418"/>
        <w:gridCol w:w="1417"/>
        <w:gridCol w:w="1418"/>
      </w:tblGrid>
      <w:tr w:rsidR="007132D2" w:rsidRPr="007560A0" w14:paraId="415CF01F" w14:textId="77777777" w:rsidTr="007132D2">
        <w:trPr>
          <w:trHeight w:val="300"/>
        </w:trPr>
        <w:tc>
          <w:tcPr>
            <w:tcW w:w="2093" w:type="dxa"/>
            <w:shd w:val="clear" w:color="auto" w:fill="auto"/>
            <w:noWrap/>
            <w:vAlign w:val="bottom"/>
          </w:tcPr>
          <w:p w14:paraId="71EEBA74" w14:textId="77777777" w:rsidR="007132D2" w:rsidRPr="007560A0" w:rsidRDefault="007132D2" w:rsidP="006E355B">
            <w:pPr>
              <w:pStyle w:val="p-01"/>
              <w:keepNext/>
              <w:spacing w:beforeLines="20" w:before="48" w:afterLines="20" w:after="48" w:line="240" w:lineRule="auto"/>
              <w:jc w:val="left"/>
              <w:rPr>
                <w:rFonts w:ascii="Arial" w:hAnsi="Arial" w:cs="Arial"/>
                <w:b/>
                <w:bCs/>
                <w:sz w:val="20"/>
                <w:szCs w:val="20"/>
                <w:lang w:val="en-US"/>
              </w:rPr>
            </w:pPr>
            <w:r w:rsidRPr="007560A0">
              <w:rPr>
                <w:rFonts w:ascii="Arial" w:hAnsi="Arial" w:cs="Arial"/>
                <w:b/>
                <w:bCs/>
                <w:sz w:val="20"/>
                <w:szCs w:val="20"/>
                <w:lang w:val="en-US"/>
              </w:rPr>
              <w:t>Period</w:t>
            </w:r>
          </w:p>
        </w:tc>
        <w:tc>
          <w:tcPr>
            <w:tcW w:w="1417" w:type="dxa"/>
            <w:shd w:val="clear" w:color="auto" w:fill="auto"/>
            <w:noWrap/>
            <w:vAlign w:val="bottom"/>
          </w:tcPr>
          <w:p w14:paraId="6E73F5B0" w14:textId="77777777" w:rsidR="007132D2" w:rsidRPr="007560A0" w:rsidRDefault="007132D2" w:rsidP="006E355B">
            <w:pPr>
              <w:pStyle w:val="p-01"/>
              <w:keepNext/>
              <w:spacing w:beforeLines="20" w:before="48" w:afterLines="20" w:after="48" w:line="240" w:lineRule="auto"/>
              <w:jc w:val="center"/>
              <w:rPr>
                <w:rFonts w:ascii="Arial" w:hAnsi="Arial" w:cs="Arial"/>
                <w:b/>
                <w:bCs/>
                <w:sz w:val="20"/>
                <w:szCs w:val="20"/>
                <w:lang w:val="en-US"/>
              </w:rPr>
            </w:pPr>
            <w:r w:rsidRPr="007560A0">
              <w:rPr>
                <w:rFonts w:ascii="Arial" w:hAnsi="Arial" w:cs="Arial"/>
                <w:b/>
                <w:bCs/>
                <w:sz w:val="20"/>
                <w:szCs w:val="20"/>
                <w:lang w:val="en-US"/>
              </w:rPr>
              <w:t>2001-2010</w:t>
            </w:r>
          </w:p>
        </w:tc>
        <w:tc>
          <w:tcPr>
            <w:tcW w:w="1417" w:type="dxa"/>
            <w:shd w:val="clear" w:color="auto" w:fill="auto"/>
            <w:noWrap/>
            <w:vAlign w:val="bottom"/>
          </w:tcPr>
          <w:p w14:paraId="71A56363" w14:textId="77777777" w:rsidR="007132D2" w:rsidRPr="007560A0" w:rsidRDefault="007132D2" w:rsidP="006E355B">
            <w:pPr>
              <w:pStyle w:val="p-01"/>
              <w:keepNext/>
              <w:spacing w:beforeLines="20" w:before="48" w:afterLines="20" w:after="48" w:line="240" w:lineRule="auto"/>
              <w:jc w:val="center"/>
              <w:rPr>
                <w:rFonts w:ascii="Arial" w:hAnsi="Arial" w:cs="Arial"/>
                <w:b/>
                <w:bCs/>
                <w:sz w:val="20"/>
                <w:szCs w:val="20"/>
                <w:lang w:val="en-US"/>
              </w:rPr>
            </w:pPr>
            <w:r w:rsidRPr="007560A0">
              <w:rPr>
                <w:rFonts w:ascii="Arial" w:hAnsi="Arial" w:cs="Arial"/>
                <w:b/>
                <w:bCs/>
                <w:sz w:val="20"/>
                <w:szCs w:val="20"/>
                <w:lang w:val="en-US"/>
              </w:rPr>
              <w:t>2011</w:t>
            </w:r>
          </w:p>
        </w:tc>
        <w:tc>
          <w:tcPr>
            <w:tcW w:w="1418" w:type="dxa"/>
          </w:tcPr>
          <w:p w14:paraId="70E2AFF1" w14:textId="77777777" w:rsidR="007132D2" w:rsidRPr="007560A0" w:rsidRDefault="007132D2" w:rsidP="006E355B">
            <w:pPr>
              <w:pStyle w:val="p-01"/>
              <w:keepNext/>
              <w:spacing w:beforeLines="20" w:before="48" w:afterLines="20" w:after="48" w:line="240" w:lineRule="auto"/>
              <w:jc w:val="center"/>
              <w:rPr>
                <w:rFonts w:ascii="Arial" w:hAnsi="Arial" w:cs="Arial"/>
                <w:b/>
                <w:bCs/>
                <w:sz w:val="20"/>
                <w:szCs w:val="20"/>
                <w:lang w:val="en-US"/>
              </w:rPr>
            </w:pPr>
            <w:r w:rsidRPr="007560A0">
              <w:rPr>
                <w:rFonts w:ascii="Arial" w:hAnsi="Arial" w:cs="Arial"/>
                <w:b/>
                <w:bCs/>
                <w:sz w:val="20"/>
                <w:szCs w:val="20"/>
                <w:lang w:val="en-US"/>
              </w:rPr>
              <w:t>2012</w:t>
            </w:r>
          </w:p>
        </w:tc>
        <w:tc>
          <w:tcPr>
            <w:tcW w:w="1417" w:type="dxa"/>
          </w:tcPr>
          <w:p w14:paraId="4384AECE" w14:textId="77777777" w:rsidR="007132D2" w:rsidRPr="007560A0" w:rsidRDefault="007132D2" w:rsidP="006E355B">
            <w:pPr>
              <w:pStyle w:val="p-01"/>
              <w:keepNext/>
              <w:spacing w:beforeLines="20" w:before="48" w:afterLines="20" w:after="48" w:line="240" w:lineRule="auto"/>
              <w:jc w:val="center"/>
              <w:rPr>
                <w:rFonts w:ascii="Arial" w:hAnsi="Arial" w:cs="Arial"/>
                <w:b/>
                <w:bCs/>
                <w:sz w:val="20"/>
                <w:szCs w:val="20"/>
                <w:lang w:val="en-US"/>
              </w:rPr>
            </w:pPr>
            <w:r w:rsidRPr="007560A0">
              <w:rPr>
                <w:rFonts w:ascii="Arial" w:hAnsi="Arial" w:cs="Arial"/>
                <w:b/>
                <w:bCs/>
                <w:sz w:val="20"/>
                <w:szCs w:val="20"/>
                <w:lang w:val="en-US"/>
              </w:rPr>
              <w:t>2013</w:t>
            </w:r>
          </w:p>
        </w:tc>
        <w:tc>
          <w:tcPr>
            <w:tcW w:w="1418" w:type="dxa"/>
          </w:tcPr>
          <w:p w14:paraId="5432F139" w14:textId="77777777" w:rsidR="007132D2" w:rsidRPr="007560A0" w:rsidRDefault="007132D2" w:rsidP="006E355B">
            <w:pPr>
              <w:pStyle w:val="p-01"/>
              <w:keepNext/>
              <w:spacing w:beforeLines="20" w:before="48" w:afterLines="20" w:after="48" w:line="240" w:lineRule="auto"/>
              <w:jc w:val="center"/>
              <w:rPr>
                <w:rFonts w:ascii="Arial" w:hAnsi="Arial" w:cs="Arial"/>
                <w:b/>
                <w:bCs/>
                <w:sz w:val="20"/>
                <w:szCs w:val="20"/>
                <w:lang w:val="en-US"/>
              </w:rPr>
            </w:pPr>
            <w:r w:rsidRPr="007560A0">
              <w:rPr>
                <w:rFonts w:ascii="Arial" w:hAnsi="Arial" w:cs="Arial"/>
                <w:b/>
                <w:bCs/>
                <w:sz w:val="20"/>
                <w:szCs w:val="20"/>
                <w:lang w:val="en-US"/>
              </w:rPr>
              <w:t>2014</w:t>
            </w:r>
          </w:p>
        </w:tc>
      </w:tr>
      <w:tr w:rsidR="007132D2" w:rsidRPr="007560A0" w14:paraId="04F33C4D" w14:textId="77777777" w:rsidTr="007132D2">
        <w:trPr>
          <w:trHeight w:val="300"/>
        </w:trPr>
        <w:tc>
          <w:tcPr>
            <w:tcW w:w="2093" w:type="dxa"/>
            <w:shd w:val="clear" w:color="auto" w:fill="auto"/>
            <w:noWrap/>
            <w:vAlign w:val="bottom"/>
          </w:tcPr>
          <w:p w14:paraId="2574BBFE" w14:textId="77777777" w:rsidR="007132D2" w:rsidRPr="007560A0" w:rsidRDefault="007132D2" w:rsidP="006E355B">
            <w:pPr>
              <w:pStyle w:val="p-01"/>
              <w:keepNext/>
              <w:spacing w:beforeLines="20" w:before="48" w:afterLines="20" w:after="48" w:line="240" w:lineRule="auto"/>
              <w:jc w:val="left"/>
              <w:rPr>
                <w:rFonts w:ascii="Arial" w:hAnsi="Arial" w:cs="Arial"/>
                <w:bCs/>
                <w:sz w:val="20"/>
                <w:szCs w:val="20"/>
                <w:lang w:val="en-US"/>
              </w:rPr>
            </w:pPr>
            <w:r w:rsidRPr="007560A0">
              <w:rPr>
                <w:rFonts w:ascii="Arial" w:hAnsi="Arial" w:cs="Arial"/>
                <w:sz w:val="20"/>
                <w:szCs w:val="20"/>
                <w:lang w:val="en-US"/>
              </w:rPr>
              <w:t>Transportation</w:t>
            </w:r>
          </w:p>
        </w:tc>
        <w:tc>
          <w:tcPr>
            <w:tcW w:w="1417" w:type="dxa"/>
            <w:shd w:val="clear" w:color="auto" w:fill="auto"/>
            <w:noWrap/>
            <w:vAlign w:val="bottom"/>
          </w:tcPr>
          <w:p w14:paraId="0A5CB3E0"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0.63</w:t>
            </w:r>
          </w:p>
        </w:tc>
        <w:tc>
          <w:tcPr>
            <w:tcW w:w="1417" w:type="dxa"/>
            <w:shd w:val="clear" w:color="auto" w:fill="auto"/>
            <w:noWrap/>
            <w:vAlign w:val="bottom"/>
          </w:tcPr>
          <w:p w14:paraId="216D5F7C"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0.80</w:t>
            </w:r>
          </w:p>
        </w:tc>
        <w:tc>
          <w:tcPr>
            <w:tcW w:w="1418" w:type="dxa"/>
          </w:tcPr>
          <w:p w14:paraId="7BF4D9FB"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0.84</w:t>
            </w:r>
          </w:p>
        </w:tc>
        <w:tc>
          <w:tcPr>
            <w:tcW w:w="1417" w:type="dxa"/>
          </w:tcPr>
          <w:p w14:paraId="7B5B6C63"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1.01</w:t>
            </w:r>
          </w:p>
        </w:tc>
        <w:tc>
          <w:tcPr>
            <w:tcW w:w="1418" w:type="dxa"/>
          </w:tcPr>
          <w:p w14:paraId="7D5A1C0E"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0.96</w:t>
            </w:r>
          </w:p>
        </w:tc>
      </w:tr>
      <w:tr w:rsidR="007132D2" w:rsidRPr="007560A0" w14:paraId="01CCFC01" w14:textId="77777777" w:rsidTr="007132D2">
        <w:trPr>
          <w:trHeight w:val="300"/>
        </w:trPr>
        <w:tc>
          <w:tcPr>
            <w:tcW w:w="2093" w:type="dxa"/>
            <w:shd w:val="clear" w:color="auto" w:fill="auto"/>
            <w:noWrap/>
            <w:vAlign w:val="bottom"/>
          </w:tcPr>
          <w:p w14:paraId="025D0927" w14:textId="77777777" w:rsidR="007132D2" w:rsidRPr="007560A0" w:rsidRDefault="007132D2" w:rsidP="006E355B">
            <w:pPr>
              <w:pStyle w:val="p-01"/>
              <w:keepNext/>
              <w:spacing w:beforeLines="20" w:before="48" w:afterLines="20" w:after="48" w:line="240" w:lineRule="auto"/>
              <w:jc w:val="left"/>
              <w:rPr>
                <w:rFonts w:ascii="Arial" w:hAnsi="Arial" w:cs="Arial"/>
                <w:bCs/>
                <w:sz w:val="20"/>
                <w:szCs w:val="20"/>
                <w:lang w:val="en-US"/>
              </w:rPr>
            </w:pPr>
            <w:r w:rsidRPr="007560A0">
              <w:rPr>
                <w:rFonts w:ascii="Arial" w:hAnsi="Arial" w:cs="Arial"/>
                <w:sz w:val="20"/>
                <w:szCs w:val="20"/>
                <w:lang w:val="en-US"/>
              </w:rPr>
              <w:t>Electricity</w:t>
            </w:r>
          </w:p>
        </w:tc>
        <w:tc>
          <w:tcPr>
            <w:tcW w:w="1417" w:type="dxa"/>
            <w:shd w:val="clear" w:color="auto" w:fill="auto"/>
            <w:noWrap/>
            <w:vAlign w:val="bottom"/>
          </w:tcPr>
          <w:p w14:paraId="4634D2F7"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0.62</w:t>
            </w:r>
          </w:p>
        </w:tc>
        <w:tc>
          <w:tcPr>
            <w:tcW w:w="1417" w:type="dxa"/>
            <w:shd w:val="clear" w:color="auto" w:fill="auto"/>
            <w:noWrap/>
            <w:vAlign w:val="bottom"/>
          </w:tcPr>
          <w:p w14:paraId="738E379B"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0.72</w:t>
            </w:r>
          </w:p>
        </w:tc>
        <w:tc>
          <w:tcPr>
            <w:tcW w:w="1418" w:type="dxa"/>
          </w:tcPr>
          <w:p w14:paraId="31F8190A"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0.70</w:t>
            </w:r>
          </w:p>
        </w:tc>
        <w:tc>
          <w:tcPr>
            <w:tcW w:w="1417" w:type="dxa"/>
          </w:tcPr>
          <w:p w14:paraId="15E5657C"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0.72</w:t>
            </w:r>
          </w:p>
        </w:tc>
        <w:tc>
          <w:tcPr>
            <w:tcW w:w="1418" w:type="dxa"/>
          </w:tcPr>
          <w:p w14:paraId="1C72F927"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0.68</w:t>
            </w:r>
          </w:p>
        </w:tc>
      </w:tr>
      <w:tr w:rsidR="007132D2" w:rsidRPr="007560A0" w14:paraId="478A8AFD" w14:textId="77777777" w:rsidTr="007132D2">
        <w:trPr>
          <w:trHeight w:val="300"/>
        </w:trPr>
        <w:tc>
          <w:tcPr>
            <w:tcW w:w="2093" w:type="dxa"/>
            <w:shd w:val="clear" w:color="auto" w:fill="auto"/>
            <w:noWrap/>
            <w:vAlign w:val="bottom"/>
          </w:tcPr>
          <w:p w14:paraId="2FEC53A2" w14:textId="77777777" w:rsidR="007132D2" w:rsidRPr="007560A0" w:rsidRDefault="007132D2" w:rsidP="006E355B">
            <w:pPr>
              <w:pStyle w:val="p-01"/>
              <w:keepNext/>
              <w:spacing w:beforeLines="20" w:before="48" w:afterLines="20" w:after="48" w:line="240" w:lineRule="auto"/>
              <w:jc w:val="left"/>
              <w:rPr>
                <w:rFonts w:ascii="Arial" w:hAnsi="Arial" w:cs="Arial"/>
                <w:bCs/>
                <w:sz w:val="20"/>
                <w:szCs w:val="20"/>
                <w:lang w:val="en-US"/>
              </w:rPr>
            </w:pPr>
            <w:r w:rsidRPr="007560A0">
              <w:rPr>
                <w:rFonts w:ascii="Arial" w:hAnsi="Arial" w:cs="Arial"/>
                <w:sz w:val="20"/>
                <w:szCs w:val="20"/>
                <w:lang w:val="en-US"/>
              </w:rPr>
              <w:t>Telecommunications</w:t>
            </w:r>
          </w:p>
        </w:tc>
        <w:tc>
          <w:tcPr>
            <w:tcW w:w="1417" w:type="dxa"/>
            <w:shd w:val="clear" w:color="auto" w:fill="auto"/>
            <w:noWrap/>
            <w:vAlign w:val="bottom"/>
          </w:tcPr>
          <w:p w14:paraId="18513A35"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0.69</w:t>
            </w:r>
          </w:p>
        </w:tc>
        <w:tc>
          <w:tcPr>
            <w:tcW w:w="1417" w:type="dxa"/>
            <w:shd w:val="clear" w:color="auto" w:fill="auto"/>
            <w:noWrap/>
            <w:vAlign w:val="bottom"/>
          </w:tcPr>
          <w:p w14:paraId="7F32D140"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0.49</w:t>
            </w:r>
          </w:p>
        </w:tc>
        <w:tc>
          <w:tcPr>
            <w:tcW w:w="1418" w:type="dxa"/>
          </w:tcPr>
          <w:p w14:paraId="5B9287D3"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0.51</w:t>
            </w:r>
          </w:p>
        </w:tc>
        <w:tc>
          <w:tcPr>
            <w:tcW w:w="1417" w:type="dxa"/>
          </w:tcPr>
          <w:p w14:paraId="1F7181FF"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0.43</w:t>
            </w:r>
          </w:p>
        </w:tc>
        <w:tc>
          <w:tcPr>
            <w:tcW w:w="1418" w:type="dxa"/>
          </w:tcPr>
          <w:p w14:paraId="6094CD08"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0.53</w:t>
            </w:r>
          </w:p>
        </w:tc>
      </w:tr>
      <w:tr w:rsidR="007132D2" w:rsidRPr="007560A0" w14:paraId="7AF50018" w14:textId="77777777" w:rsidTr="007132D2">
        <w:trPr>
          <w:trHeight w:val="300"/>
        </w:trPr>
        <w:tc>
          <w:tcPr>
            <w:tcW w:w="2093" w:type="dxa"/>
            <w:shd w:val="clear" w:color="auto" w:fill="auto"/>
            <w:noWrap/>
            <w:vAlign w:val="bottom"/>
          </w:tcPr>
          <w:p w14:paraId="2902F902" w14:textId="77777777" w:rsidR="007132D2" w:rsidRPr="007560A0" w:rsidRDefault="007132D2" w:rsidP="006E355B">
            <w:pPr>
              <w:pStyle w:val="p-01"/>
              <w:keepNext/>
              <w:spacing w:beforeLines="20" w:before="48" w:afterLines="20" w:after="48" w:line="240" w:lineRule="auto"/>
              <w:jc w:val="left"/>
              <w:rPr>
                <w:rFonts w:ascii="Arial" w:hAnsi="Arial" w:cs="Arial"/>
                <w:bCs/>
                <w:sz w:val="20"/>
                <w:szCs w:val="20"/>
                <w:lang w:val="en-US"/>
              </w:rPr>
            </w:pPr>
            <w:r w:rsidRPr="007560A0">
              <w:rPr>
                <w:rFonts w:ascii="Arial" w:hAnsi="Arial" w:cs="Arial"/>
                <w:sz w:val="20"/>
                <w:szCs w:val="20"/>
                <w:lang w:val="en-US"/>
              </w:rPr>
              <w:t>Water and Sanitation</w:t>
            </w:r>
          </w:p>
        </w:tc>
        <w:tc>
          <w:tcPr>
            <w:tcW w:w="1417" w:type="dxa"/>
            <w:shd w:val="clear" w:color="auto" w:fill="auto"/>
            <w:noWrap/>
            <w:vAlign w:val="bottom"/>
          </w:tcPr>
          <w:p w14:paraId="7217872F"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0.18</w:t>
            </w:r>
          </w:p>
        </w:tc>
        <w:tc>
          <w:tcPr>
            <w:tcW w:w="1417" w:type="dxa"/>
            <w:shd w:val="clear" w:color="auto" w:fill="auto"/>
            <w:noWrap/>
            <w:vAlign w:val="bottom"/>
          </w:tcPr>
          <w:p w14:paraId="0BA9FE87"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0.17</w:t>
            </w:r>
          </w:p>
        </w:tc>
        <w:tc>
          <w:tcPr>
            <w:tcW w:w="1418" w:type="dxa"/>
          </w:tcPr>
          <w:p w14:paraId="13963C9D"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0.20</w:t>
            </w:r>
          </w:p>
        </w:tc>
        <w:tc>
          <w:tcPr>
            <w:tcW w:w="1417" w:type="dxa"/>
          </w:tcPr>
          <w:p w14:paraId="05A01606"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0.21</w:t>
            </w:r>
          </w:p>
        </w:tc>
        <w:tc>
          <w:tcPr>
            <w:tcW w:w="1418" w:type="dxa"/>
          </w:tcPr>
          <w:p w14:paraId="6979A67D" w14:textId="77777777" w:rsidR="007132D2" w:rsidRPr="007560A0" w:rsidRDefault="007132D2" w:rsidP="006E355B">
            <w:pPr>
              <w:pStyle w:val="p-01"/>
              <w:keepNext/>
              <w:spacing w:beforeLines="20" w:before="48" w:afterLines="20" w:after="48" w:line="240" w:lineRule="auto"/>
              <w:jc w:val="center"/>
              <w:rPr>
                <w:rFonts w:ascii="Arial" w:hAnsi="Arial" w:cs="Arial"/>
                <w:bCs/>
                <w:sz w:val="20"/>
                <w:szCs w:val="20"/>
                <w:lang w:val="en-US"/>
              </w:rPr>
            </w:pPr>
            <w:r w:rsidRPr="007560A0">
              <w:rPr>
                <w:rFonts w:ascii="Arial" w:hAnsi="Arial" w:cs="Arial"/>
                <w:bCs/>
                <w:sz w:val="20"/>
                <w:szCs w:val="20"/>
                <w:lang w:val="en-US"/>
              </w:rPr>
              <w:t>0.20</w:t>
            </w:r>
          </w:p>
        </w:tc>
      </w:tr>
      <w:tr w:rsidR="007132D2" w:rsidRPr="007560A0" w14:paraId="0D20E3F6" w14:textId="77777777" w:rsidTr="007132D2">
        <w:trPr>
          <w:trHeight w:val="300"/>
        </w:trPr>
        <w:tc>
          <w:tcPr>
            <w:tcW w:w="2093" w:type="dxa"/>
            <w:shd w:val="clear" w:color="auto" w:fill="auto"/>
            <w:noWrap/>
            <w:vAlign w:val="bottom"/>
          </w:tcPr>
          <w:p w14:paraId="24118E22" w14:textId="77777777" w:rsidR="007132D2" w:rsidRPr="007560A0" w:rsidRDefault="007132D2" w:rsidP="006E355B">
            <w:pPr>
              <w:pStyle w:val="p-01"/>
              <w:keepNext/>
              <w:spacing w:beforeLines="20" w:before="48" w:afterLines="20" w:after="48" w:line="240" w:lineRule="auto"/>
              <w:jc w:val="left"/>
              <w:rPr>
                <w:rFonts w:ascii="Arial" w:hAnsi="Arial" w:cs="Arial"/>
                <w:b/>
                <w:bCs/>
                <w:sz w:val="20"/>
                <w:szCs w:val="20"/>
                <w:lang w:val="en-US"/>
              </w:rPr>
            </w:pPr>
            <w:r w:rsidRPr="007560A0">
              <w:rPr>
                <w:rFonts w:ascii="Arial" w:hAnsi="Arial" w:cs="Arial"/>
                <w:b/>
                <w:bCs/>
                <w:sz w:val="20"/>
                <w:szCs w:val="20"/>
                <w:lang w:val="en-US"/>
              </w:rPr>
              <w:t>Total</w:t>
            </w:r>
          </w:p>
        </w:tc>
        <w:tc>
          <w:tcPr>
            <w:tcW w:w="1417" w:type="dxa"/>
            <w:shd w:val="clear" w:color="auto" w:fill="auto"/>
            <w:noWrap/>
            <w:vAlign w:val="bottom"/>
          </w:tcPr>
          <w:p w14:paraId="50867A1A" w14:textId="77777777" w:rsidR="007132D2" w:rsidRPr="007560A0" w:rsidRDefault="007132D2" w:rsidP="006E355B">
            <w:pPr>
              <w:pStyle w:val="p-01"/>
              <w:keepNext/>
              <w:spacing w:beforeLines="20" w:before="48" w:afterLines="20" w:after="48" w:line="240" w:lineRule="auto"/>
              <w:jc w:val="center"/>
              <w:rPr>
                <w:rFonts w:ascii="Arial" w:hAnsi="Arial" w:cs="Arial"/>
                <w:b/>
                <w:bCs/>
                <w:sz w:val="20"/>
                <w:szCs w:val="20"/>
                <w:lang w:val="en-US"/>
              </w:rPr>
            </w:pPr>
            <w:r w:rsidRPr="007560A0">
              <w:rPr>
                <w:rFonts w:ascii="Arial" w:hAnsi="Arial" w:cs="Arial"/>
                <w:b/>
                <w:bCs/>
                <w:sz w:val="20"/>
                <w:szCs w:val="20"/>
                <w:lang w:val="en-US"/>
              </w:rPr>
              <w:t>2.12</w:t>
            </w:r>
          </w:p>
        </w:tc>
        <w:tc>
          <w:tcPr>
            <w:tcW w:w="1417" w:type="dxa"/>
            <w:shd w:val="clear" w:color="auto" w:fill="auto"/>
            <w:noWrap/>
            <w:vAlign w:val="bottom"/>
          </w:tcPr>
          <w:p w14:paraId="520729C9" w14:textId="77777777" w:rsidR="007132D2" w:rsidRPr="007560A0" w:rsidRDefault="007132D2" w:rsidP="006E355B">
            <w:pPr>
              <w:pStyle w:val="p-01"/>
              <w:keepNext/>
              <w:spacing w:beforeLines="20" w:before="48" w:afterLines="20" w:after="48" w:line="240" w:lineRule="auto"/>
              <w:jc w:val="center"/>
              <w:rPr>
                <w:rFonts w:ascii="Arial" w:hAnsi="Arial" w:cs="Arial"/>
                <w:b/>
                <w:bCs/>
                <w:sz w:val="20"/>
                <w:szCs w:val="20"/>
                <w:lang w:val="en-US"/>
              </w:rPr>
            </w:pPr>
            <w:r w:rsidRPr="007560A0">
              <w:rPr>
                <w:rFonts w:ascii="Arial" w:hAnsi="Arial" w:cs="Arial"/>
                <w:b/>
                <w:bCs/>
                <w:sz w:val="20"/>
                <w:szCs w:val="20"/>
                <w:lang w:val="en-US"/>
              </w:rPr>
              <w:t>2.18</w:t>
            </w:r>
          </w:p>
        </w:tc>
        <w:tc>
          <w:tcPr>
            <w:tcW w:w="1418" w:type="dxa"/>
          </w:tcPr>
          <w:p w14:paraId="77DAE4E6" w14:textId="77777777" w:rsidR="007132D2" w:rsidRPr="007560A0" w:rsidRDefault="007132D2" w:rsidP="006E355B">
            <w:pPr>
              <w:pStyle w:val="p-01"/>
              <w:keepNext/>
              <w:spacing w:beforeLines="20" w:before="48" w:afterLines="20" w:after="48" w:line="240" w:lineRule="auto"/>
              <w:jc w:val="center"/>
              <w:rPr>
                <w:rFonts w:ascii="Arial" w:hAnsi="Arial" w:cs="Arial"/>
                <w:b/>
                <w:bCs/>
                <w:sz w:val="20"/>
                <w:szCs w:val="20"/>
                <w:lang w:val="en-US"/>
              </w:rPr>
            </w:pPr>
            <w:r w:rsidRPr="007560A0">
              <w:rPr>
                <w:rFonts w:ascii="Arial" w:hAnsi="Arial" w:cs="Arial"/>
                <w:b/>
                <w:bCs/>
                <w:sz w:val="20"/>
                <w:szCs w:val="20"/>
                <w:lang w:val="en-US"/>
              </w:rPr>
              <w:t>2.27</w:t>
            </w:r>
          </w:p>
        </w:tc>
        <w:tc>
          <w:tcPr>
            <w:tcW w:w="1417" w:type="dxa"/>
          </w:tcPr>
          <w:p w14:paraId="238C4670" w14:textId="77777777" w:rsidR="007132D2" w:rsidRPr="007560A0" w:rsidRDefault="007132D2" w:rsidP="006E355B">
            <w:pPr>
              <w:pStyle w:val="p-01"/>
              <w:keepNext/>
              <w:spacing w:beforeLines="20" w:before="48" w:afterLines="20" w:after="48" w:line="240" w:lineRule="auto"/>
              <w:jc w:val="center"/>
              <w:rPr>
                <w:rFonts w:ascii="Arial" w:hAnsi="Arial" w:cs="Arial"/>
                <w:b/>
                <w:bCs/>
                <w:sz w:val="20"/>
                <w:szCs w:val="20"/>
                <w:lang w:val="en-US"/>
              </w:rPr>
            </w:pPr>
            <w:r w:rsidRPr="007560A0">
              <w:rPr>
                <w:rFonts w:ascii="Arial" w:hAnsi="Arial" w:cs="Arial"/>
                <w:b/>
                <w:bCs/>
                <w:sz w:val="20"/>
                <w:szCs w:val="20"/>
                <w:lang w:val="en-US"/>
              </w:rPr>
              <w:t>2.37</w:t>
            </w:r>
          </w:p>
        </w:tc>
        <w:tc>
          <w:tcPr>
            <w:tcW w:w="1418" w:type="dxa"/>
          </w:tcPr>
          <w:p w14:paraId="57770C54" w14:textId="77777777" w:rsidR="007132D2" w:rsidRPr="007560A0" w:rsidRDefault="007132D2" w:rsidP="006E355B">
            <w:pPr>
              <w:pStyle w:val="p-01"/>
              <w:keepNext/>
              <w:spacing w:beforeLines="20" w:before="48" w:afterLines="20" w:after="48" w:line="240" w:lineRule="auto"/>
              <w:jc w:val="center"/>
              <w:rPr>
                <w:rFonts w:ascii="Arial" w:hAnsi="Arial" w:cs="Arial"/>
                <w:b/>
                <w:bCs/>
                <w:sz w:val="20"/>
                <w:szCs w:val="20"/>
                <w:lang w:val="en-US"/>
              </w:rPr>
            </w:pPr>
            <w:r w:rsidRPr="007560A0">
              <w:rPr>
                <w:rFonts w:ascii="Arial" w:hAnsi="Arial" w:cs="Arial"/>
                <w:b/>
                <w:bCs/>
                <w:sz w:val="20"/>
                <w:szCs w:val="20"/>
                <w:lang w:val="en-US"/>
              </w:rPr>
              <w:t>2.37</w:t>
            </w:r>
          </w:p>
        </w:tc>
      </w:tr>
    </w:tbl>
    <w:p w14:paraId="41D607FE" w14:textId="77777777" w:rsidR="007132D2" w:rsidRPr="007560A0" w:rsidRDefault="007132D2" w:rsidP="007132D2">
      <w:pPr>
        <w:pStyle w:val="f-03"/>
        <w:rPr>
          <w:rFonts w:ascii="Arial" w:hAnsi="Arial" w:cs="Arial"/>
          <w:color w:val="222222"/>
          <w:szCs w:val="18"/>
          <w:shd w:val="clear" w:color="auto" w:fill="FFFFFF"/>
          <w:lang w:val="en-US"/>
        </w:rPr>
      </w:pPr>
      <w:r w:rsidRPr="007560A0">
        <w:rPr>
          <w:rFonts w:ascii="Arial" w:hAnsi="Arial" w:cs="Arial"/>
          <w:color w:val="222222"/>
          <w:szCs w:val="18"/>
          <w:shd w:val="clear" w:color="auto" w:fill="FFFFFF"/>
          <w:lang w:val="en-US"/>
        </w:rPr>
        <w:t xml:space="preserve">Source: Inter B Consultoria. Available at </w:t>
      </w:r>
      <w:hyperlink r:id="rId16" w:history="1">
        <w:r w:rsidRPr="007560A0">
          <w:rPr>
            <w:rStyle w:val="Hyperlink"/>
            <w:rFonts w:ascii="Arial" w:hAnsi="Arial" w:cs="Arial"/>
            <w:szCs w:val="18"/>
            <w:lang w:val="en-US"/>
          </w:rPr>
          <w:t>http://goo.gl/VNGcOC</w:t>
        </w:r>
      </w:hyperlink>
      <w:r w:rsidRPr="007560A0">
        <w:rPr>
          <w:rFonts w:ascii="Arial" w:hAnsi="Arial" w:cs="Arial"/>
          <w:szCs w:val="18"/>
          <w:lang w:val="en-US"/>
        </w:rPr>
        <w:t>. Accessed on Sep. 5, 2016.</w:t>
      </w:r>
    </w:p>
    <w:p w14:paraId="4AFD7AE2" w14:textId="77777777" w:rsidR="003C1CFD" w:rsidRPr="007560A0" w:rsidRDefault="003F0F44" w:rsidP="007132D2">
      <w:pPr>
        <w:pStyle w:val="p-01"/>
        <w:rPr>
          <w:rFonts w:ascii="Arial" w:hAnsi="Arial" w:cs="Arial"/>
          <w:lang w:val="en-US"/>
        </w:rPr>
      </w:pPr>
      <w:r w:rsidRPr="007560A0">
        <w:rPr>
          <w:rFonts w:ascii="Arial" w:hAnsi="Arial" w:cs="Arial"/>
          <w:lang w:val="en-US"/>
        </w:rPr>
        <w:t xml:space="preserve">The need for expansion of infrastructure investments in the country comes up against a series of related bottlenecks both due to market failures and government failures. According to Frischtak (2008), government failures are related to the legal and regulatory framework of the country, the vagueness of the rules, and the delay in decision-making. </w:t>
      </w:r>
      <w:r w:rsidR="003C1CFD" w:rsidRPr="007560A0">
        <w:rPr>
          <w:rFonts w:ascii="Arial" w:hAnsi="Arial" w:cs="Arial"/>
          <w:lang w:val="en-US"/>
        </w:rPr>
        <w:t xml:space="preserve">The lack of regulatory clarity affects the perception of investment risk, with a negative impact on the supply </w:t>
      </w:r>
      <w:r w:rsidR="007132D2" w:rsidRPr="007560A0">
        <w:rPr>
          <w:rFonts w:ascii="Arial" w:hAnsi="Arial" w:cs="Arial"/>
          <w:lang w:val="en-US"/>
        </w:rPr>
        <w:t>of credit for infrastructure.</w:t>
      </w:r>
    </w:p>
    <w:p w14:paraId="7960013F" w14:textId="0A5F3C44" w:rsidR="003C1CFD" w:rsidRPr="007560A0" w:rsidRDefault="006E355B" w:rsidP="007132D2">
      <w:pPr>
        <w:pStyle w:val="p-01"/>
        <w:rPr>
          <w:rFonts w:ascii="Arial" w:hAnsi="Arial" w:cs="Arial"/>
          <w:lang w:val="en-US"/>
        </w:rPr>
      </w:pPr>
      <w:r w:rsidRPr="007560A0">
        <w:rPr>
          <w:rFonts w:ascii="Arial" w:hAnsi="Arial" w:cs="Arial"/>
          <w:lang w:val="en-US"/>
        </w:rPr>
        <w:t>Th</w:t>
      </w:r>
      <w:r w:rsidR="003C1CFD" w:rsidRPr="007560A0">
        <w:rPr>
          <w:rFonts w:ascii="Arial" w:hAnsi="Arial" w:cs="Arial"/>
          <w:lang w:val="en-US"/>
        </w:rPr>
        <w:t xml:space="preserve">e infrastructure investments tend to </w:t>
      </w:r>
      <w:r w:rsidR="00B24701" w:rsidRPr="007560A0">
        <w:rPr>
          <w:rFonts w:ascii="Arial" w:hAnsi="Arial" w:cs="Arial"/>
          <w:lang w:val="en-US"/>
        </w:rPr>
        <w:t xml:space="preserve">be </w:t>
      </w:r>
      <w:r w:rsidR="007132D2" w:rsidRPr="007560A0">
        <w:rPr>
          <w:rFonts w:ascii="Arial" w:hAnsi="Arial" w:cs="Arial"/>
          <w:lang w:val="en-US"/>
        </w:rPr>
        <w:t>irreversible, indivisible</w:t>
      </w:r>
      <w:r w:rsidR="00E64D72" w:rsidRPr="007560A0">
        <w:rPr>
          <w:rFonts w:ascii="Arial" w:hAnsi="Arial" w:cs="Arial"/>
          <w:lang w:val="en-US"/>
        </w:rPr>
        <w:t>, high</w:t>
      </w:r>
      <w:r w:rsidR="007132D2" w:rsidRPr="007560A0">
        <w:rPr>
          <w:rFonts w:ascii="Arial" w:hAnsi="Arial" w:cs="Arial"/>
          <w:lang w:val="en-US"/>
        </w:rPr>
        <w:t xml:space="preserve"> and with a long maturi</w:t>
      </w:r>
      <w:r w:rsidRPr="007560A0">
        <w:rPr>
          <w:rFonts w:ascii="Arial" w:hAnsi="Arial" w:cs="Arial"/>
          <w:lang w:val="en-US"/>
        </w:rPr>
        <w:t xml:space="preserve">ty. Therefore, financing of projects in this segment should be adjusted to these characteristics. </w:t>
      </w:r>
      <w:r w:rsidR="003C1CFD" w:rsidRPr="007560A0">
        <w:rPr>
          <w:rFonts w:ascii="Arial" w:hAnsi="Arial" w:cs="Arial"/>
          <w:lang w:val="en-US"/>
        </w:rPr>
        <w:t>Not surprisingly, almost every large infrastructure investment project in the country depends on BNDES financing to be made possible.</w:t>
      </w:r>
      <w:r w:rsidR="000C2584" w:rsidRPr="007560A0">
        <w:rPr>
          <w:rFonts w:ascii="Arial" w:hAnsi="Arial" w:cs="Arial"/>
          <w:lang w:val="en-US"/>
        </w:rPr>
        <w:t xml:space="preserve"> Estimates of the National Confederation of Industry </w:t>
      </w:r>
      <w:r w:rsidR="00520D14" w:rsidRPr="007560A0">
        <w:rPr>
          <w:rFonts w:ascii="Arial" w:hAnsi="Arial" w:cs="Arial"/>
          <w:lang w:val="en-US"/>
        </w:rPr>
        <w:t>show that BNDES and the Brazilian Federal Savings Bank financed 62% of total infrastructure investments in the country in 2014.</w:t>
      </w:r>
      <w:r w:rsidRPr="007560A0">
        <w:rPr>
          <w:rStyle w:val="FootnoteReference"/>
          <w:rFonts w:ascii="Arial" w:hAnsi="Arial" w:cs="Arial"/>
          <w:lang w:val="en-US"/>
        </w:rPr>
        <w:t xml:space="preserve"> </w:t>
      </w:r>
      <w:r w:rsidRPr="007560A0">
        <w:rPr>
          <w:rStyle w:val="FootnoteReference"/>
          <w:rFonts w:ascii="Arial" w:hAnsi="Arial" w:cs="Arial"/>
          <w:lang w:val="en-US"/>
        </w:rPr>
        <w:footnoteReference w:id="9"/>
      </w:r>
    </w:p>
    <w:p w14:paraId="731CC339" w14:textId="77777777" w:rsidR="001E2AA5" w:rsidRPr="007560A0" w:rsidRDefault="006E355B" w:rsidP="001E2AA5">
      <w:pPr>
        <w:pStyle w:val="p-01"/>
        <w:rPr>
          <w:rFonts w:ascii="Arial" w:hAnsi="Arial" w:cs="Arial"/>
          <w:lang w:val="en-US"/>
        </w:rPr>
      </w:pPr>
      <w:r w:rsidRPr="007560A0">
        <w:rPr>
          <w:rFonts w:ascii="Arial" w:hAnsi="Arial" w:cs="Arial"/>
          <w:lang w:val="en-US"/>
        </w:rPr>
        <w:t>The</w:t>
      </w:r>
      <w:r w:rsidR="001E2AA5" w:rsidRPr="007560A0">
        <w:rPr>
          <w:rFonts w:ascii="Arial" w:hAnsi="Arial" w:cs="Arial"/>
          <w:lang w:val="en-US"/>
        </w:rPr>
        <w:t xml:space="preserve"> BNDES presence is also related to the weaknesses of the regulatory standard observed </w:t>
      </w:r>
      <w:r w:rsidRPr="007560A0">
        <w:rPr>
          <w:rFonts w:ascii="Arial" w:hAnsi="Arial" w:cs="Arial"/>
          <w:lang w:val="en-US"/>
        </w:rPr>
        <w:t>in the country</w:t>
      </w:r>
      <w:r w:rsidR="001E2AA5" w:rsidRPr="007560A0">
        <w:rPr>
          <w:rFonts w:ascii="Arial" w:hAnsi="Arial" w:cs="Arial"/>
          <w:lang w:val="en-US"/>
        </w:rPr>
        <w:t xml:space="preserve">. Cavalcante and Uderman (2011) argue that the presence of BNDES in the financing of the privatization of infrastructure sectors was used as a kind of </w:t>
      </w:r>
      <w:r w:rsidR="001E2AA5" w:rsidRPr="007560A0">
        <w:rPr>
          <w:rFonts w:ascii="Arial" w:hAnsi="Arial" w:cs="Arial"/>
          <w:i/>
          <w:lang w:val="en-US"/>
        </w:rPr>
        <w:t>hedge</w:t>
      </w:r>
      <w:r w:rsidR="001E2AA5" w:rsidRPr="007560A0">
        <w:rPr>
          <w:rFonts w:ascii="Arial" w:hAnsi="Arial" w:cs="Arial"/>
          <w:lang w:val="en-US"/>
        </w:rPr>
        <w:t xml:space="preserve"> against changes in the regulatory standards, for example. It is possible to leverage a greater presence of the private sector, but in this case it is necessary to clearly define the tariff setting standards (e.g., reduction of electrical energy prices in 2012, which inhibited investment in the sector) and to gua</w:t>
      </w:r>
      <w:r w:rsidRPr="007560A0">
        <w:rPr>
          <w:rFonts w:ascii="Arial" w:hAnsi="Arial" w:cs="Arial"/>
          <w:lang w:val="en-US"/>
        </w:rPr>
        <w:t>rantee stability of the regulations.</w:t>
      </w:r>
    </w:p>
    <w:p w14:paraId="317A4CEE" w14:textId="648A28B1" w:rsidR="00E97F63" w:rsidRPr="007560A0" w:rsidRDefault="00D543B8" w:rsidP="005678D9">
      <w:pPr>
        <w:pStyle w:val="p-01"/>
        <w:rPr>
          <w:rFonts w:ascii="Arial" w:hAnsi="Arial" w:cs="Arial"/>
          <w:lang w:val="en-US"/>
        </w:rPr>
      </w:pPr>
      <w:r w:rsidRPr="007560A0">
        <w:rPr>
          <w:rFonts w:ascii="Arial" w:hAnsi="Arial" w:cs="Arial"/>
          <w:lang w:val="en-US"/>
        </w:rPr>
        <w:t>Over the past few years, BNDES was directly involved in the</w:t>
      </w:r>
      <w:r w:rsidR="003C1CFD" w:rsidRPr="007560A0">
        <w:rPr>
          <w:rFonts w:ascii="Arial" w:hAnsi="Arial" w:cs="Arial"/>
          <w:lang w:val="en-US"/>
        </w:rPr>
        <w:t xml:space="preserve"> financing of infrastructure projects included in the</w:t>
      </w:r>
      <w:r w:rsidRPr="007560A0">
        <w:rPr>
          <w:rFonts w:ascii="Arial" w:hAnsi="Arial" w:cs="Arial"/>
          <w:lang w:val="en-US"/>
        </w:rPr>
        <w:t xml:space="preserve"> </w:t>
      </w:r>
      <w:r w:rsidR="003C1CFD" w:rsidRPr="007560A0">
        <w:rPr>
          <w:rFonts w:ascii="Arial" w:hAnsi="Arial" w:cs="Arial"/>
          <w:lang w:val="en-US"/>
        </w:rPr>
        <w:t>Growth Acceleration Program (</w:t>
      </w:r>
      <w:r w:rsidRPr="007560A0">
        <w:rPr>
          <w:rFonts w:ascii="Arial" w:hAnsi="Arial" w:cs="Arial"/>
          <w:lang w:val="en-US"/>
        </w:rPr>
        <w:t>GAP</w:t>
      </w:r>
      <w:r w:rsidR="003C1CFD" w:rsidRPr="007560A0">
        <w:rPr>
          <w:rFonts w:ascii="Arial" w:hAnsi="Arial" w:cs="Arial"/>
          <w:lang w:val="en-US"/>
        </w:rPr>
        <w:t>)</w:t>
      </w:r>
      <w:r w:rsidRPr="007560A0">
        <w:rPr>
          <w:rFonts w:ascii="Arial" w:hAnsi="Arial" w:cs="Arial"/>
          <w:lang w:val="en-US"/>
        </w:rPr>
        <w:t xml:space="preserve">. </w:t>
      </w:r>
      <w:r w:rsidR="003C1CFD" w:rsidRPr="007560A0">
        <w:rPr>
          <w:rFonts w:ascii="Arial" w:hAnsi="Arial" w:cs="Arial"/>
          <w:lang w:val="en-US"/>
        </w:rPr>
        <w:t>In fact, the</w:t>
      </w:r>
      <w:r w:rsidRPr="007560A0">
        <w:rPr>
          <w:rFonts w:ascii="Arial" w:hAnsi="Arial" w:cs="Arial"/>
          <w:lang w:val="en-US"/>
        </w:rPr>
        <w:t xml:space="preserve"> bank stated that "</w:t>
      </w:r>
      <w:r w:rsidR="006E355B" w:rsidRPr="007560A0">
        <w:rPr>
          <w:rFonts w:ascii="Arial" w:hAnsi="Arial" w:cs="Arial"/>
          <w:lang w:val="en-US"/>
        </w:rPr>
        <w:t xml:space="preserve">the </w:t>
      </w:r>
      <w:r w:rsidRPr="007560A0">
        <w:rPr>
          <w:rFonts w:ascii="Arial" w:hAnsi="Arial" w:cs="Arial"/>
          <w:lang w:val="en-US"/>
        </w:rPr>
        <w:t>progress of the actions related to the GAP has been a priority for the Bank"</w:t>
      </w:r>
      <w:r w:rsidR="00871C72" w:rsidRPr="007560A0">
        <w:rPr>
          <w:rFonts w:ascii="Arial" w:hAnsi="Arial" w:cs="Arial"/>
          <w:lang w:val="en-US"/>
        </w:rPr>
        <w:t>.</w:t>
      </w:r>
      <w:r w:rsidR="006E355B" w:rsidRPr="007560A0">
        <w:rPr>
          <w:rStyle w:val="FootnoteReference"/>
          <w:rFonts w:ascii="Arial" w:hAnsi="Arial" w:cs="Arial"/>
          <w:lang w:val="en-US"/>
        </w:rPr>
        <w:footnoteReference w:id="10"/>
      </w:r>
      <w:r w:rsidR="006E355B" w:rsidRPr="007560A0">
        <w:rPr>
          <w:rFonts w:ascii="Arial" w:hAnsi="Arial" w:cs="Arial"/>
          <w:lang w:val="en-US"/>
        </w:rPr>
        <w:t xml:space="preserve"> This perception is consistent with the participation of this segment in the total disbursements provided by the bank, </w:t>
      </w:r>
      <w:r w:rsidR="00871C72" w:rsidRPr="007560A0">
        <w:rPr>
          <w:rFonts w:ascii="Arial" w:hAnsi="Arial" w:cs="Arial"/>
          <w:lang w:val="en-US"/>
        </w:rPr>
        <w:t xml:space="preserve">which </w:t>
      </w:r>
      <w:r w:rsidR="001E2AA5" w:rsidRPr="007560A0">
        <w:rPr>
          <w:rFonts w:ascii="Arial" w:hAnsi="Arial" w:cs="Arial"/>
          <w:lang w:val="en-US"/>
        </w:rPr>
        <w:t xml:space="preserve">reached just over 30% in 2015. </w:t>
      </w:r>
      <w:r w:rsidR="00E97F63" w:rsidRPr="007560A0">
        <w:rPr>
          <w:rFonts w:ascii="Arial" w:hAnsi="Arial" w:cs="Arial"/>
          <w:lang w:val="en-US"/>
        </w:rPr>
        <w:t>Total disbursements for infrastructure reached R$ 45.62 billion in 2015 (in constant Reais of that year). There were peaks in 2009 (R$ 65.08 billion) and 2010 (R$ 63.20), due to the Investment Support Program (ISP), the GAP, and the countercyclical measures adopted by the government in response to the international crisis.</w:t>
      </w:r>
    </w:p>
    <w:p w14:paraId="3BE61D9A" w14:textId="77777777" w:rsidR="001E2AA5" w:rsidRPr="007560A0" w:rsidRDefault="001E2AA5" w:rsidP="005678D9">
      <w:pPr>
        <w:pStyle w:val="p-01"/>
        <w:rPr>
          <w:rFonts w:ascii="Arial" w:hAnsi="Arial" w:cs="Arial"/>
          <w:lang w:val="en-US"/>
        </w:rPr>
      </w:pPr>
      <w:r w:rsidRPr="007560A0">
        <w:rPr>
          <w:rFonts w:ascii="Arial" w:hAnsi="Arial" w:cs="Arial"/>
          <w:lang w:val="en-US"/>
        </w:rPr>
        <w:t>The Bank's infrastructure financing is classified as:</w:t>
      </w:r>
    </w:p>
    <w:p w14:paraId="060A804E" w14:textId="77777777" w:rsidR="00560DA2" w:rsidRPr="007560A0" w:rsidRDefault="00560DA2" w:rsidP="00560DA2">
      <w:pPr>
        <w:pStyle w:val="p-02"/>
        <w:rPr>
          <w:rFonts w:ascii="Arial" w:hAnsi="Arial" w:cs="Arial"/>
          <w:lang w:val="en-US"/>
        </w:rPr>
      </w:pPr>
      <w:r w:rsidRPr="007560A0">
        <w:rPr>
          <w:rFonts w:ascii="Arial" w:hAnsi="Arial" w:cs="Arial"/>
          <w:lang w:val="en-US"/>
        </w:rPr>
        <w:t xml:space="preserve">Water, Sewage and Waste; </w:t>
      </w:r>
    </w:p>
    <w:p w14:paraId="5BE8DE44" w14:textId="50DF4C19" w:rsidR="00560DA2" w:rsidRPr="007560A0" w:rsidRDefault="00F72B25" w:rsidP="00560DA2">
      <w:pPr>
        <w:pStyle w:val="p-02"/>
        <w:rPr>
          <w:rFonts w:ascii="Arial" w:hAnsi="Arial" w:cs="Arial"/>
          <w:lang w:val="en-US"/>
        </w:rPr>
      </w:pPr>
      <w:r w:rsidRPr="007560A0">
        <w:rPr>
          <w:rFonts w:ascii="Arial" w:hAnsi="Arial" w:cs="Arial"/>
          <w:lang w:val="en-US"/>
        </w:rPr>
        <w:lastRenderedPageBreak/>
        <w:t>Electricity</w:t>
      </w:r>
      <w:r w:rsidR="00560DA2" w:rsidRPr="007560A0">
        <w:rPr>
          <w:rFonts w:ascii="Arial" w:hAnsi="Arial" w:cs="Arial"/>
          <w:lang w:val="en-US"/>
        </w:rPr>
        <w:t xml:space="preserve"> and Gas;</w:t>
      </w:r>
    </w:p>
    <w:p w14:paraId="0FA3BDCF" w14:textId="77777777" w:rsidR="00560DA2" w:rsidRPr="007560A0" w:rsidRDefault="00560DA2" w:rsidP="00560DA2">
      <w:pPr>
        <w:pStyle w:val="p-02"/>
        <w:rPr>
          <w:rFonts w:ascii="Arial" w:hAnsi="Arial" w:cs="Arial"/>
          <w:lang w:val="en-US"/>
        </w:rPr>
      </w:pPr>
      <w:r w:rsidRPr="007560A0">
        <w:rPr>
          <w:rFonts w:ascii="Arial" w:hAnsi="Arial" w:cs="Arial"/>
          <w:lang w:val="en-US"/>
        </w:rPr>
        <w:t>Telecommunications;</w:t>
      </w:r>
    </w:p>
    <w:p w14:paraId="17B55F48" w14:textId="77777777" w:rsidR="00560DA2" w:rsidRPr="007560A0" w:rsidRDefault="00560DA2" w:rsidP="00560DA2">
      <w:pPr>
        <w:pStyle w:val="p-02"/>
        <w:rPr>
          <w:rFonts w:ascii="Arial" w:hAnsi="Arial" w:cs="Arial"/>
          <w:lang w:val="en-US"/>
        </w:rPr>
      </w:pPr>
      <w:r w:rsidRPr="007560A0">
        <w:rPr>
          <w:rFonts w:ascii="Arial" w:hAnsi="Arial" w:cs="Arial"/>
          <w:lang w:val="en-US"/>
        </w:rPr>
        <w:t>Air Transportation;</w:t>
      </w:r>
    </w:p>
    <w:p w14:paraId="2414FFA9" w14:textId="77777777" w:rsidR="00560DA2" w:rsidRPr="007560A0" w:rsidRDefault="00560DA2" w:rsidP="00560DA2">
      <w:pPr>
        <w:pStyle w:val="p-02"/>
        <w:rPr>
          <w:rFonts w:ascii="Arial" w:hAnsi="Arial" w:cs="Arial"/>
          <w:lang w:val="en-US"/>
        </w:rPr>
      </w:pPr>
      <w:r w:rsidRPr="007560A0">
        <w:rPr>
          <w:rFonts w:ascii="Arial" w:hAnsi="Arial" w:cs="Arial"/>
          <w:lang w:val="en-US"/>
        </w:rPr>
        <w:t>Water Transportation; and</w:t>
      </w:r>
    </w:p>
    <w:p w14:paraId="54A0BA34" w14:textId="77777777" w:rsidR="00560DA2" w:rsidRPr="007560A0" w:rsidRDefault="00560DA2" w:rsidP="00560DA2">
      <w:pPr>
        <w:pStyle w:val="p-02"/>
        <w:rPr>
          <w:rFonts w:ascii="Arial" w:hAnsi="Arial" w:cs="Arial"/>
          <w:lang w:val="en-US"/>
        </w:rPr>
      </w:pPr>
      <w:r w:rsidRPr="007560A0">
        <w:rPr>
          <w:rFonts w:ascii="Arial" w:hAnsi="Arial" w:cs="Arial"/>
          <w:lang w:val="en-US"/>
        </w:rPr>
        <w:t>Ground Transportation.</w:t>
      </w:r>
      <w:r w:rsidR="004F0BE8" w:rsidRPr="007560A0">
        <w:rPr>
          <w:rStyle w:val="FootnoteReference"/>
          <w:rFonts w:ascii="Arial" w:hAnsi="Arial" w:cs="Arial"/>
          <w:lang w:val="en-US"/>
        </w:rPr>
        <w:footnoteReference w:id="11"/>
      </w:r>
    </w:p>
    <w:p w14:paraId="3514457E" w14:textId="0E2401F0" w:rsidR="006E355B" w:rsidRPr="007560A0" w:rsidRDefault="00E3006A" w:rsidP="005678D9">
      <w:pPr>
        <w:pStyle w:val="p-01"/>
        <w:rPr>
          <w:rFonts w:ascii="Arial" w:hAnsi="Arial" w:cs="Arial"/>
          <w:lang w:val="en-US"/>
        </w:rPr>
      </w:pPr>
      <w:r w:rsidRPr="007560A0">
        <w:rPr>
          <w:rFonts w:ascii="Arial" w:hAnsi="Arial" w:cs="Arial"/>
          <w:lang w:val="en-US"/>
        </w:rPr>
        <w:t>Chart</w:t>
      </w:r>
      <w:r w:rsidR="001E2AA5" w:rsidRPr="007560A0">
        <w:rPr>
          <w:rFonts w:ascii="Arial" w:hAnsi="Arial" w:cs="Arial"/>
          <w:lang w:val="en-US"/>
        </w:rPr>
        <w:t xml:space="preserve"> </w:t>
      </w:r>
      <w:r w:rsidR="00EC2205" w:rsidRPr="007560A0">
        <w:rPr>
          <w:rFonts w:ascii="Arial" w:hAnsi="Arial" w:cs="Arial"/>
          <w:lang w:val="en-US"/>
        </w:rPr>
        <w:t>7</w:t>
      </w:r>
      <w:r w:rsidR="001E2AA5" w:rsidRPr="007560A0">
        <w:rPr>
          <w:rFonts w:ascii="Arial" w:hAnsi="Arial" w:cs="Arial"/>
          <w:lang w:val="en-US"/>
        </w:rPr>
        <w:t xml:space="preserve"> shows the growth of the d</w:t>
      </w:r>
      <w:r w:rsidR="008B2359" w:rsidRPr="007560A0">
        <w:rPr>
          <w:rFonts w:ascii="Arial" w:hAnsi="Arial" w:cs="Arial"/>
          <w:lang w:val="en-US"/>
        </w:rPr>
        <w:t xml:space="preserve">isbursements </w:t>
      </w:r>
      <w:r w:rsidR="001E2AA5" w:rsidRPr="007560A0">
        <w:rPr>
          <w:rFonts w:ascii="Arial" w:hAnsi="Arial" w:cs="Arial"/>
          <w:lang w:val="en-US"/>
        </w:rPr>
        <w:t xml:space="preserve">made by </w:t>
      </w:r>
      <w:r w:rsidR="006E355B" w:rsidRPr="007560A0">
        <w:rPr>
          <w:rFonts w:ascii="Arial" w:hAnsi="Arial" w:cs="Arial"/>
          <w:lang w:val="en-US"/>
        </w:rPr>
        <w:t>BNDES</w:t>
      </w:r>
      <w:r w:rsidR="001E2AA5" w:rsidRPr="007560A0">
        <w:rPr>
          <w:rFonts w:ascii="Arial" w:hAnsi="Arial" w:cs="Arial"/>
          <w:lang w:val="en-US"/>
        </w:rPr>
        <w:t xml:space="preserve"> for </w:t>
      </w:r>
      <w:r w:rsidR="008B2359" w:rsidRPr="007560A0">
        <w:rPr>
          <w:rFonts w:ascii="Arial" w:hAnsi="Arial" w:cs="Arial"/>
          <w:lang w:val="en-US"/>
        </w:rPr>
        <w:t xml:space="preserve">infrastructure </w:t>
      </w:r>
      <w:r w:rsidR="001E2AA5" w:rsidRPr="007560A0">
        <w:rPr>
          <w:rFonts w:ascii="Arial" w:hAnsi="Arial" w:cs="Arial"/>
          <w:lang w:val="en-US"/>
        </w:rPr>
        <w:t>in the recent period</w:t>
      </w:r>
      <w:r w:rsidR="00E75851" w:rsidRPr="007560A0">
        <w:rPr>
          <w:rFonts w:ascii="Arial" w:hAnsi="Arial" w:cs="Arial"/>
          <w:lang w:val="en-US"/>
        </w:rPr>
        <w:t xml:space="preserve"> segmented</w:t>
      </w:r>
      <w:r w:rsidR="006E355B" w:rsidRPr="007560A0">
        <w:rPr>
          <w:rFonts w:ascii="Arial" w:hAnsi="Arial" w:cs="Arial"/>
          <w:lang w:val="en-US"/>
        </w:rPr>
        <w:t xml:space="preserve"> according to that classification.</w:t>
      </w:r>
    </w:p>
    <w:p w14:paraId="65BABC20" w14:textId="797D6F0B" w:rsidR="006E355B" w:rsidRPr="007560A0" w:rsidRDefault="006E355B" w:rsidP="006E355B">
      <w:pPr>
        <w:pStyle w:val="f-01"/>
        <w:rPr>
          <w:rFonts w:ascii="Arial" w:hAnsi="Arial"/>
          <w:noProof w:val="0"/>
          <w:lang w:val="en-US"/>
        </w:rPr>
      </w:pPr>
      <w:r w:rsidRPr="007560A0">
        <w:rPr>
          <w:rFonts w:ascii="Arial" w:hAnsi="Arial"/>
          <w:noProof w:val="0"/>
          <w:lang w:val="en-US"/>
        </w:rPr>
        <w:t xml:space="preserve">Chart </w:t>
      </w:r>
      <w:r w:rsidR="00EC2205" w:rsidRPr="007560A0">
        <w:rPr>
          <w:rFonts w:ascii="Arial" w:hAnsi="Arial"/>
          <w:noProof w:val="0"/>
          <w:lang w:val="en-US"/>
        </w:rPr>
        <w:t>7</w:t>
      </w:r>
      <w:r w:rsidRPr="007560A0">
        <w:rPr>
          <w:rFonts w:ascii="Arial" w:hAnsi="Arial"/>
          <w:noProof w:val="0"/>
          <w:lang w:val="en-US"/>
        </w:rPr>
        <w:t xml:space="preserve">: </w:t>
      </w:r>
      <w:r w:rsidR="003975AA" w:rsidRPr="007560A0">
        <w:rPr>
          <w:rFonts w:ascii="Arial" w:hAnsi="Arial"/>
          <w:noProof w:val="0"/>
          <w:lang w:val="en-US"/>
        </w:rPr>
        <w:t>BNDES D</w:t>
      </w:r>
      <w:r w:rsidRPr="007560A0">
        <w:rPr>
          <w:rFonts w:ascii="Arial" w:hAnsi="Arial"/>
          <w:noProof w:val="0"/>
          <w:lang w:val="en-US"/>
        </w:rPr>
        <w:t xml:space="preserve">isbursements by selected infrastructure sectors, 2000-2015 </w:t>
      </w:r>
      <w:r w:rsidR="003975AA" w:rsidRPr="007560A0">
        <w:rPr>
          <w:rFonts w:ascii="Arial" w:hAnsi="Arial"/>
          <w:noProof w:val="0"/>
          <w:lang w:val="en-US"/>
        </w:rPr>
        <w:br/>
      </w:r>
      <w:r w:rsidRPr="007560A0">
        <w:rPr>
          <w:rFonts w:ascii="Arial" w:hAnsi="Arial"/>
          <w:noProof w:val="0"/>
          <w:lang w:val="en-US"/>
        </w:rPr>
        <w:t>(in constant R$ million)</w:t>
      </w:r>
    </w:p>
    <w:p w14:paraId="47D01129" w14:textId="77777777" w:rsidR="006E355B" w:rsidRPr="007560A0" w:rsidRDefault="006E355B" w:rsidP="006E355B">
      <w:pPr>
        <w:pStyle w:val="f-02"/>
        <w:rPr>
          <w:rFonts w:ascii="Arial" w:hAnsi="Arial" w:cs="Arial"/>
          <w:noProof w:val="0"/>
          <w:lang w:val="en-US"/>
        </w:rPr>
      </w:pPr>
      <w:r w:rsidRPr="007560A0">
        <w:rPr>
          <w:rFonts w:ascii="Arial" w:hAnsi="Arial" w:cs="Arial"/>
          <w:lang w:val="en-US" w:eastAsia="en-US"/>
        </w:rPr>
        <w:drawing>
          <wp:inline distT="0" distB="0" distL="0" distR="0" wp14:anchorId="5590303E" wp14:editId="1797A8E5">
            <wp:extent cx="5400000" cy="36000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2F1D33" w14:textId="77777777" w:rsidR="006E355B" w:rsidRPr="007560A0" w:rsidRDefault="006E355B" w:rsidP="006E355B">
      <w:pPr>
        <w:pStyle w:val="f-03"/>
        <w:rPr>
          <w:rFonts w:ascii="Arial" w:hAnsi="Arial" w:cs="Arial"/>
          <w:lang w:val="en-US"/>
        </w:rPr>
      </w:pPr>
      <w:r w:rsidRPr="007560A0">
        <w:rPr>
          <w:rFonts w:ascii="Arial" w:hAnsi="Arial" w:cs="Arial"/>
          <w:lang w:val="en-US"/>
        </w:rPr>
        <w:t>Source: BNDES.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510AC" w:rsidRPr="007560A0" w14:paraId="64D008A8" w14:textId="77777777" w:rsidTr="001321AE">
        <w:tc>
          <w:tcPr>
            <w:tcW w:w="4675" w:type="dxa"/>
          </w:tcPr>
          <w:p w14:paraId="649E9BC0"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Água, esgoto e lixo</w:t>
            </w:r>
          </w:p>
        </w:tc>
        <w:tc>
          <w:tcPr>
            <w:tcW w:w="4675" w:type="dxa"/>
          </w:tcPr>
          <w:p w14:paraId="33C9EE84"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Water, Sewage and Waste</w:t>
            </w:r>
          </w:p>
        </w:tc>
      </w:tr>
      <w:tr w:rsidR="006510AC" w:rsidRPr="007560A0" w14:paraId="66EE019B" w14:textId="77777777" w:rsidTr="001321AE">
        <w:tc>
          <w:tcPr>
            <w:tcW w:w="4675" w:type="dxa"/>
          </w:tcPr>
          <w:p w14:paraId="1BE8F28B"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Eletricidade e gás</w:t>
            </w:r>
          </w:p>
        </w:tc>
        <w:tc>
          <w:tcPr>
            <w:tcW w:w="4675" w:type="dxa"/>
          </w:tcPr>
          <w:p w14:paraId="52AD8C59"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Eletricity and Gas</w:t>
            </w:r>
          </w:p>
        </w:tc>
      </w:tr>
      <w:tr w:rsidR="006510AC" w:rsidRPr="007560A0" w14:paraId="1991ABDF" w14:textId="77777777" w:rsidTr="001321AE">
        <w:tc>
          <w:tcPr>
            <w:tcW w:w="4675" w:type="dxa"/>
          </w:tcPr>
          <w:p w14:paraId="53C077E4"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 xml:space="preserve">Telecomunicações </w:t>
            </w:r>
          </w:p>
        </w:tc>
        <w:tc>
          <w:tcPr>
            <w:tcW w:w="4675" w:type="dxa"/>
          </w:tcPr>
          <w:p w14:paraId="19C444D7"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 xml:space="preserve">Telecommunications </w:t>
            </w:r>
          </w:p>
        </w:tc>
      </w:tr>
      <w:tr w:rsidR="006510AC" w:rsidRPr="007560A0" w14:paraId="3B6422C4" w14:textId="77777777" w:rsidTr="001321AE">
        <w:tc>
          <w:tcPr>
            <w:tcW w:w="4675" w:type="dxa"/>
          </w:tcPr>
          <w:p w14:paraId="047B5398"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Transporte</w:t>
            </w:r>
          </w:p>
        </w:tc>
        <w:tc>
          <w:tcPr>
            <w:tcW w:w="4675" w:type="dxa"/>
          </w:tcPr>
          <w:p w14:paraId="0A42AFEF" w14:textId="77777777" w:rsidR="006510AC" w:rsidRPr="007560A0" w:rsidRDefault="006510AC" w:rsidP="001321AE">
            <w:pPr>
              <w:spacing w:after="0" w:line="240" w:lineRule="auto"/>
              <w:rPr>
                <w:rFonts w:ascii="Arial" w:hAnsi="Arial" w:cs="Arial"/>
                <w:sz w:val="20"/>
                <w:szCs w:val="20"/>
              </w:rPr>
            </w:pPr>
            <w:r w:rsidRPr="007560A0">
              <w:rPr>
                <w:rFonts w:ascii="Arial" w:hAnsi="Arial" w:cs="Arial"/>
                <w:sz w:val="20"/>
                <w:szCs w:val="20"/>
              </w:rPr>
              <w:t>Transportation</w:t>
            </w:r>
          </w:p>
        </w:tc>
      </w:tr>
    </w:tbl>
    <w:p w14:paraId="41539C36" w14:textId="77777777" w:rsidR="006510AC" w:rsidRPr="007560A0" w:rsidRDefault="006510AC" w:rsidP="001A4B8F">
      <w:pPr>
        <w:pStyle w:val="p-01"/>
        <w:rPr>
          <w:rFonts w:ascii="Arial" w:hAnsi="Arial" w:cs="Arial"/>
          <w:lang w:val="en-US"/>
        </w:rPr>
      </w:pPr>
    </w:p>
    <w:p w14:paraId="6E7FF60E" w14:textId="342FFDAE" w:rsidR="001A4B8F" w:rsidRPr="007560A0" w:rsidRDefault="00E75851" w:rsidP="001A4B8F">
      <w:pPr>
        <w:pStyle w:val="p-01"/>
        <w:rPr>
          <w:rFonts w:ascii="Arial" w:hAnsi="Arial" w:cs="Arial"/>
          <w:lang w:val="en-US"/>
        </w:rPr>
      </w:pPr>
      <w:r w:rsidRPr="007560A0">
        <w:rPr>
          <w:rFonts w:ascii="Arial" w:hAnsi="Arial" w:cs="Arial"/>
          <w:lang w:val="en-US"/>
        </w:rPr>
        <w:t xml:space="preserve">Most financing disbursements made by the </w:t>
      </w:r>
      <w:r w:rsidR="00B2181A" w:rsidRPr="007560A0">
        <w:rPr>
          <w:rFonts w:ascii="Arial" w:hAnsi="Arial" w:cs="Arial"/>
          <w:lang w:val="en-US"/>
        </w:rPr>
        <w:t xml:space="preserve">bank for infrastructure </w:t>
      </w:r>
      <w:r w:rsidR="000F02D7" w:rsidRPr="007560A0">
        <w:rPr>
          <w:rFonts w:ascii="Arial" w:hAnsi="Arial" w:cs="Arial"/>
          <w:lang w:val="en-US"/>
        </w:rPr>
        <w:t>were allocated to</w:t>
      </w:r>
      <w:r w:rsidRPr="007560A0">
        <w:rPr>
          <w:rFonts w:ascii="Arial" w:hAnsi="Arial" w:cs="Arial"/>
          <w:lang w:val="en-US"/>
        </w:rPr>
        <w:t xml:space="preserve"> the transportation industry, </w:t>
      </w:r>
      <w:r w:rsidR="001A4B8F" w:rsidRPr="007560A0">
        <w:rPr>
          <w:rFonts w:ascii="Arial" w:hAnsi="Arial" w:cs="Arial"/>
          <w:lang w:val="en-US"/>
        </w:rPr>
        <w:t>mainly ground</w:t>
      </w:r>
      <w:r w:rsidR="001415B5" w:rsidRPr="007560A0">
        <w:rPr>
          <w:rFonts w:ascii="Arial" w:hAnsi="Arial" w:cs="Arial"/>
          <w:lang w:val="en-US"/>
        </w:rPr>
        <w:t>, and electricity</w:t>
      </w:r>
      <w:r w:rsidR="001A4B8F" w:rsidRPr="007560A0">
        <w:rPr>
          <w:rFonts w:ascii="Arial" w:hAnsi="Arial" w:cs="Arial"/>
          <w:lang w:val="en-US"/>
        </w:rPr>
        <w:t xml:space="preserve"> that</w:t>
      </w:r>
      <w:r w:rsidR="001415B5" w:rsidRPr="007560A0">
        <w:rPr>
          <w:rFonts w:ascii="Arial" w:hAnsi="Arial" w:cs="Arial"/>
          <w:lang w:val="en-US"/>
        </w:rPr>
        <w:t xml:space="preserve"> represented</w:t>
      </w:r>
      <w:r w:rsidR="001A4B8F" w:rsidRPr="007560A0">
        <w:rPr>
          <w:rFonts w:ascii="Arial" w:hAnsi="Arial" w:cs="Arial"/>
          <w:lang w:val="en-US"/>
        </w:rPr>
        <w:t xml:space="preserve"> between 2000 and 2015, more than 90% of the disbursements made for this industry. </w:t>
      </w:r>
      <w:r w:rsidRPr="007560A0">
        <w:rPr>
          <w:rFonts w:ascii="Arial" w:hAnsi="Arial" w:cs="Arial"/>
          <w:lang w:val="en-US"/>
        </w:rPr>
        <w:t xml:space="preserve">The disbursements made by the bank to the transportation industry </w:t>
      </w:r>
      <w:r w:rsidR="001A4B8F" w:rsidRPr="007560A0">
        <w:rPr>
          <w:rFonts w:ascii="Arial" w:hAnsi="Arial" w:cs="Arial"/>
          <w:lang w:val="en-US"/>
        </w:rPr>
        <w:t>reached more than R$ 40 billion in 2010</w:t>
      </w:r>
      <w:r w:rsidRPr="007560A0">
        <w:rPr>
          <w:rFonts w:ascii="Arial" w:hAnsi="Arial" w:cs="Arial"/>
          <w:lang w:val="en-US"/>
        </w:rPr>
        <w:t xml:space="preserve">, but there has </w:t>
      </w:r>
      <w:r w:rsidR="00871C72" w:rsidRPr="007560A0">
        <w:rPr>
          <w:rFonts w:ascii="Arial" w:hAnsi="Arial" w:cs="Arial"/>
          <w:lang w:val="en-US"/>
        </w:rPr>
        <w:t xml:space="preserve">been </w:t>
      </w:r>
      <w:r w:rsidR="00F72B25" w:rsidRPr="007560A0">
        <w:rPr>
          <w:rFonts w:ascii="Arial" w:hAnsi="Arial" w:cs="Arial"/>
          <w:lang w:val="en-US"/>
        </w:rPr>
        <w:t xml:space="preserve">a decreasing </w:t>
      </w:r>
      <w:r w:rsidR="001A4B8F" w:rsidRPr="007560A0">
        <w:rPr>
          <w:rFonts w:ascii="Arial" w:hAnsi="Arial" w:cs="Arial"/>
          <w:lang w:val="en-US"/>
        </w:rPr>
        <w:t>trend since then.</w:t>
      </w:r>
      <w:r w:rsidRPr="007560A0">
        <w:rPr>
          <w:rFonts w:ascii="Arial" w:hAnsi="Arial" w:cs="Arial"/>
          <w:lang w:val="en-US"/>
        </w:rPr>
        <w:t xml:space="preserve"> The electricity and gas industry has been the </w:t>
      </w:r>
      <w:r w:rsidRPr="007560A0">
        <w:rPr>
          <w:rFonts w:ascii="Arial" w:hAnsi="Arial" w:cs="Arial"/>
          <w:lang w:val="en-US"/>
        </w:rPr>
        <w:lastRenderedPageBreak/>
        <w:t>second most important industry in the Bank's infrastructure portfolio in recent years, and in 2015, reached the same level as the transportation industry</w:t>
      </w:r>
      <w:r w:rsidR="00871C72" w:rsidRPr="007560A0">
        <w:rPr>
          <w:rFonts w:ascii="Arial" w:hAnsi="Arial" w:cs="Arial"/>
          <w:lang w:val="en-US"/>
        </w:rPr>
        <w:t xml:space="preserve"> (</w:t>
      </w:r>
      <w:r w:rsidRPr="007560A0">
        <w:rPr>
          <w:rFonts w:ascii="Arial" w:hAnsi="Arial" w:cs="Arial"/>
          <w:lang w:val="en-US"/>
        </w:rPr>
        <w:t>about R$ 20 billion</w:t>
      </w:r>
      <w:r w:rsidR="00871C72" w:rsidRPr="007560A0">
        <w:rPr>
          <w:rFonts w:ascii="Arial" w:hAnsi="Arial" w:cs="Arial"/>
          <w:lang w:val="en-US"/>
        </w:rPr>
        <w:t>)</w:t>
      </w:r>
      <w:r w:rsidRPr="007560A0">
        <w:rPr>
          <w:rFonts w:ascii="Arial" w:hAnsi="Arial" w:cs="Arial"/>
          <w:lang w:val="en-US"/>
        </w:rPr>
        <w:t>.</w:t>
      </w:r>
    </w:p>
    <w:p w14:paraId="3E0F70B2" w14:textId="77777777" w:rsidR="004824B4" w:rsidRPr="007560A0" w:rsidRDefault="00C33A7C" w:rsidP="005678D9">
      <w:pPr>
        <w:pStyle w:val="Heading2"/>
        <w:rPr>
          <w:rFonts w:ascii="Arial" w:hAnsi="Arial" w:cs="Arial"/>
          <w:lang w:val="en-US"/>
        </w:rPr>
      </w:pPr>
      <w:r w:rsidRPr="007560A0">
        <w:rPr>
          <w:rFonts w:ascii="Arial" w:hAnsi="Arial" w:cs="Arial"/>
          <w:lang w:val="en-US"/>
        </w:rPr>
        <w:t>Renewable energy</w:t>
      </w:r>
    </w:p>
    <w:p w14:paraId="71632F02" w14:textId="77777777" w:rsidR="001648FA" w:rsidRPr="007560A0" w:rsidRDefault="001648FA" w:rsidP="00E97F63">
      <w:pPr>
        <w:pStyle w:val="p-01"/>
        <w:rPr>
          <w:rFonts w:ascii="Arial" w:hAnsi="Arial" w:cs="Arial"/>
          <w:lang w:val="en-US"/>
        </w:rPr>
      </w:pPr>
      <w:r w:rsidRPr="007560A0">
        <w:rPr>
          <w:rFonts w:ascii="Arial" w:hAnsi="Arial" w:cs="Arial"/>
          <w:lang w:val="en-US"/>
        </w:rPr>
        <w:t xml:space="preserve">In the first document prepared within the scope of this document, we presented evidence that the focus of the Brazilian energy matrix in hydroelectric generation may make the energy supply vulnerable to climate events, such as prolonged droughts, for example. Conversely, the thermoelectric generation is associated with production cost problems, uncertainty in the supply of fossil fuels, and environmental problems. In this sense, the diversification of the Brazilian energy matrix with a view to mitigate occasional problems related to price, </w:t>
      </w:r>
      <w:r w:rsidRPr="007560A0">
        <w:rPr>
          <w:rFonts w:ascii="Arial" w:hAnsi="Arial" w:cs="Arial"/>
          <w:lang w:val="en-US" w:eastAsia="pt-BR"/>
        </w:rPr>
        <w:t>supply,</w:t>
      </w:r>
      <w:r w:rsidRPr="007560A0">
        <w:rPr>
          <w:rFonts w:ascii="Arial" w:hAnsi="Arial" w:cs="Arial"/>
          <w:lang w:val="en-US"/>
        </w:rPr>
        <w:t xml:space="preserve"> and security of the supply is directly related to the expansion of renew</w:t>
      </w:r>
      <w:r w:rsidR="00B24701" w:rsidRPr="007560A0">
        <w:rPr>
          <w:rFonts w:ascii="Arial" w:hAnsi="Arial" w:cs="Arial"/>
          <w:lang w:val="en-US"/>
        </w:rPr>
        <w:t>able energy in Brazil.</w:t>
      </w:r>
    </w:p>
    <w:p w14:paraId="050F5179" w14:textId="77777777" w:rsidR="00B24701" w:rsidRPr="007560A0" w:rsidRDefault="00B24701" w:rsidP="00E97F63">
      <w:pPr>
        <w:pStyle w:val="p-01"/>
        <w:rPr>
          <w:rFonts w:ascii="Arial" w:hAnsi="Arial" w:cs="Arial"/>
          <w:lang w:val="en-US"/>
        </w:rPr>
      </w:pPr>
      <w:r w:rsidRPr="007560A0">
        <w:rPr>
          <w:rFonts w:ascii="Arial" w:hAnsi="Arial" w:cs="Arial"/>
          <w:lang w:val="en-US"/>
        </w:rPr>
        <w:t>Infrastructure projects, in general, require financing conditions compatible with their greater likelihood for irreversibility, indivisibility</w:t>
      </w:r>
      <w:r w:rsidR="00E64D72" w:rsidRPr="007560A0">
        <w:rPr>
          <w:rFonts w:ascii="Arial" w:hAnsi="Arial" w:cs="Arial"/>
          <w:lang w:val="en-US"/>
        </w:rPr>
        <w:t>, the large amounts involved</w:t>
      </w:r>
      <w:r w:rsidRPr="007560A0">
        <w:rPr>
          <w:rFonts w:ascii="Arial" w:hAnsi="Arial" w:cs="Arial"/>
          <w:lang w:val="en-US"/>
        </w:rPr>
        <w:t xml:space="preserve">, and the long maturation period. In the case of renewable energy, uncertainties related to the greater technological dynamism of the sector and the regulatory standards still not completely consolidated, entail additional restrictions on the supply of financing through private credit </w:t>
      </w:r>
      <w:r w:rsidR="00B027AE" w:rsidRPr="007560A0">
        <w:rPr>
          <w:rFonts w:ascii="Arial" w:hAnsi="Arial" w:cs="Arial"/>
          <w:lang w:val="en-US"/>
        </w:rPr>
        <w:t>and</w:t>
      </w:r>
      <w:r w:rsidRPr="007560A0">
        <w:rPr>
          <w:rFonts w:ascii="Arial" w:hAnsi="Arial" w:cs="Arial"/>
          <w:lang w:val="en-US"/>
        </w:rPr>
        <w:t xml:space="preserve"> capital markets. </w:t>
      </w:r>
      <w:r w:rsidR="00E64D72" w:rsidRPr="007560A0">
        <w:rPr>
          <w:rFonts w:ascii="Arial" w:hAnsi="Arial" w:cs="Arial"/>
          <w:lang w:val="en-US"/>
        </w:rPr>
        <w:t xml:space="preserve">Simulations presented by Aquila et  al. (2016), using the Monte Carlo technique, indicate that, in the specific case of wind energy, the wind speed, the selling price of energy, and the disbursement for the investment are aspects that have greater impact on the financial return of the project. The authors also indicated that </w:t>
      </w:r>
      <w:r w:rsidR="00247111" w:rsidRPr="007560A0">
        <w:rPr>
          <w:rFonts w:ascii="Arial" w:hAnsi="Arial" w:cs="Arial"/>
          <w:lang w:val="en-US"/>
        </w:rPr>
        <w:t>the regulated market is less risky for investors than the free market and they concluded that the support of BNDES is necessary to offset the financial risks of the producers of this type of energy.</w:t>
      </w:r>
      <w:r w:rsidR="00FD6744" w:rsidRPr="007560A0">
        <w:rPr>
          <w:rFonts w:ascii="Arial" w:hAnsi="Arial" w:cs="Arial"/>
          <w:lang w:val="en-US"/>
        </w:rPr>
        <w:t xml:space="preserve"> Support from BNDES to renewable energy, however, is not limited to wind power. The bank has a set of credit lines specifically geared to renewable energy.</w:t>
      </w:r>
      <w:r w:rsidR="00FD6744" w:rsidRPr="007560A0">
        <w:rPr>
          <w:rStyle w:val="FootnoteReference"/>
          <w:rFonts w:ascii="Arial" w:hAnsi="Arial" w:cs="Arial"/>
          <w:lang w:val="en-US"/>
        </w:rPr>
        <w:footnoteReference w:id="12"/>
      </w:r>
    </w:p>
    <w:p w14:paraId="37B5383E" w14:textId="258A39FB" w:rsidR="0003253B" w:rsidRPr="007560A0" w:rsidRDefault="00E3006A" w:rsidP="0003253B">
      <w:pPr>
        <w:jc w:val="both"/>
        <w:rPr>
          <w:rFonts w:ascii="Arial" w:hAnsi="Arial" w:cs="Arial"/>
          <w:lang w:val="en-US"/>
        </w:rPr>
      </w:pPr>
      <w:r w:rsidRPr="007560A0">
        <w:rPr>
          <w:rFonts w:ascii="Arial" w:hAnsi="Arial" w:cs="Arial"/>
          <w:lang w:val="en-US"/>
        </w:rPr>
        <w:t>Chart</w:t>
      </w:r>
      <w:r w:rsidR="0003253B" w:rsidRPr="007560A0">
        <w:rPr>
          <w:rFonts w:ascii="Arial" w:hAnsi="Arial" w:cs="Arial"/>
          <w:lang w:val="en-US"/>
        </w:rPr>
        <w:t xml:space="preserve"> 8 below shows the financing sources used to finance energy projects in Brazil.</w:t>
      </w:r>
    </w:p>
    <w:p w14:paraId="3E3B7F96" w14:textId="77777777" w:rsidR="0003253B" w:rsidRPr="007560A0" w:rsidRDefault="0003253B" w:rsidP="0003253B">
      <w:pPr>
        <w:pStyle w:val="f-01"/>
        <w:rPr>
          <w:rFonts w:ascii="Arial" w:hAnsi="Arial"/>
          <w:noProof w:val="0"/>
          <w:lang w:val="en-US"/>
        </w:rPr>
      </w:pPr>
      <w:r w:rsidRPr="007560A0">
        <w:rPr>
          <w:rFonts w:ascii="Arial" w:hAnsi="Arial"/>
          <w:noProof w:val="0"/>
          <w:lang w:val="en-US"/>
        </w:rPr>
        <w:lastRenderedPageBreak/>
        <w:t>Chart 8: Financing sources for energy projects</w:t>
      </w:r>
    </w:p>
    <w:p w14:paraId="0B9A67E6" w14:textId="77777777" w:rsidR="0003253B" w:rsidRPr="007560A0" w:rsidRDefault="0003253B" w:rsidP="0003253B">
      <w:pPr>
        <w:pStyle w:val="f-02"/>
        <w:rPr>
          <w:rFonts w:ascii="Arial" w:hAnsi="Arial" w:cs="Arial"/>
          <w:noProof w:val="0"/>
          <w:lang w:val="en-US"/>
        </w:rPr>
      </w:pPr>
      <w:r w:rsidRPr="007560A0">
        <w:rPr>
          <w:rFonts w:ascii="Arial" w:hAnsi="Arial" w:cs="Arial"/>
          <w:color w:val="FF0000"/>
          <w:lang w:val="en-US" w:eastAsia="en-US"/>
        </w:rPr>
        <w:drawing>
          <wp:inline distT="0" distB="0" distL="0" distR="0" wp14:anchorId="30372206" wp14:editId="4E2108EF">
            <wp:extent cx="5400000" cy="3600000"/>
            <wp:effectExtent l="38100" t="0" r="0" b="63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90A431" w14:textId="77777777" w:rsidR="0003253B" w:rsidRPr="007560A0" w:rsidRDefault="0003253B" w:rsidP="0003253B">
      <w:pPr>
        <w:pStyle w:val="f-03"/>
        <w:rPr>
          <w:rFonts w:ascii="Arial" w:hAnsi="Arial" w:cs="Arial"/>
          <w:lang w:val="en-US"/>
        </w:rPr>
      </w:pPr>
      <w:r w:rsidRPr="007560A0">
        <w:rPr>
          <w:rFonts w:ascii="Arial" w:hAnsi="Arial" w:cs="Arial"/>
          <w:lang w:val="en-US"/>
        </w:rPr>
        <w:t>Anbima Newsletter (May 2016).</w:t>
      </w:r>
    </w:p>
    <w:p w14:paraId="70F7CA22" w14:textId="4C0057BB" w:rsidR="0003253B" w:rsidRPr="007560A0" w:rsidRDefault="0003253B" w:rsidP="0003253B">
      <w:pPr>
        <w:jc w:val="both"/>
        <w:rPr>
          <w:rFonts w:ascii="Arial" w:hAnsi="Arial" w:cs="Arial"/>
          <w:lang w:val="en-US"/>
        </w:rPr>
      </w:pPr>
      <w:r w:rsidRPr="007560A0">
        <w:rPr>
          <w:rFonts w:ascii="Arial" w:hAnsi="Arial" w:cs="Arial"/>
          <w:lang w:val="en-US"/>
        </w:rPr>
        <w:t xml:space="preserve">As shown in the </w:t>
      </w:r>
      <w:r w:rsidR="00E3006A" w:rsidRPr="007560A0">
        <w:rPr>
          <w:rFonts w:ascii="Arial" w:hAnsi="Arial" w:cs="Arial"/>
          <w:lang w:val="en-US"/>
        </w:rPr>
        <w:t>chart</w:t>
      </w:r>
      <w:r w:rsidRPr="007560A0">
        <w:rPr>
          <w:rFonts w:ascii="Arial" w:hAnsi="Arial" w:cs="Arial"/>
          <w:lang w:val="en-US"/>
        </w:rPr>
        <w:t xml:space="preserve">, more than 90% of the funds that made up the financing sources for these projects come from BNDES. The remaining funds came from capital market sources (5.8%, especially through infrastructure debentures), private financing (1.8% through bridge loans), and transfer of resources from BNDES to private banks (0.5%). These data reaffirm the </w:t>
      </w:r>
      <w:r w:rsidR="003470D0" w:rsidRPr="007560A0">
        <w:rPr>
          <w:rFonts w:ascii="Arial" w:hAnsi="Arial" w:cs="Arial"/>
          <w:lang w:val="en-US"/>
        </w:rPr>
        <w:t xml:space="preserve">importance of BNDES in the financing of the sector in Brazil. Although these data are not restricted to renewable energy, it is not difficult to assume that this pattern should be the same for this particular case, even if there are occasional differences between the </w:t>
      </w:r>
      <w:r w:rsidR="00871C72" w:rsidRPr="007560A0">
        <w:rPr>
          <w:rFonts w:ascii="Arial" w:hAnsi="Arial" w:cs="Arial"/>
          <w:lang w:val="en-US"/>
        </w:rPr>
        <w:t xml:space="preserve">various </w:t>
      </w:r>
      <w:r w:rsidR="003470D0" w:rsidRPr="007560A0">
        <w:rPr>
          <w:rFonts w:ascii="Arial" w:hAnsi="Arial" w:cs="Arial"/>
          <w:lang w:val="en-US"/>
        </w:rPr>
        <w:t>types of energy.</w:t>
      </w:r>
      <w:r w:rsidR="003470D0" w:rsidRPr="007560A0">
        <w:rPr>
          <w:rStyle w:val="FootnoteReference"/>
          <w:rFonts w:ascii="Arial" w:hAnsi="Arial" w:cs="Arial"/>
          <w:lang w:val="en-US"/>
        </w:rPr>
        <w:footnoteReference w:id="13"/>
      </w:r>
      <w:r w:rsidR="003470D0" w:rsidRPr="007560A0">
        <w:rPr>
          <w:rFonts w:ascii="Arial" w:hAnsi="Arial" w:cs="Arial"/>
          <w:lang w:val="en-US"/>
        </w:rPr>
        <w:t>.</w:t>
      </w:r>
    </w:p>
    <w:p w14:paraId="6D126E7D" w14:textId="5B97F00E" w:rsidR="00957F6B" w:rsidRPr="007560A0" w:rsidRDefault="007E17CB" w:rsidP="00E97F63">
      <w:pPr>
        <w:pStyle w:val="p-01"/>
        <w:rPr>
          <w:rFonts w:ascii="Arial" w:hAnsi="Arial" w:cs="Arial"/>
          <w:lang w:val="en-US"/>
        </w:rPr>
      </w:pPr>
      <w:r w:rsidRPr="007560A0">
        <w:rPr>
          <w:rFonts w:ascii="Arial" w:hAnsi="Arial" w:cs="Arial"/>
          <w:lang w:val="en-US"/>
        </w:rPr>
        <w:t xml:space="preserve">In operating statistics released by BNDES, it is not possible to segment the disbursements for renewable energy. Data are aggregated for "electricity and gas." However, the bank reported that, </w:t>
      </w:r>
      <w:r w:rsidR="00B22066" w:rsidRPr="007560A0">
        <w:rPr>
          <w:rFonts w:ascii="Arial" w:hAnsi="Arial" w:cs="Arial"/>
          <w:lang w:val="en-US"/>
        </w:rPr>
        <w:t>between 2014 and</w:t>
      </w:r>
      <w:r w:rsidRPr="007560A0">
        <w:rPr>
          <w:rFonts w:ascii="Arial" w:hAnsi="Arial" w:cs="Arial"/>
          <w:lang w:val="en-US"/>
        </w:rPr>
        <w:t xml:space="preserve"> 2015,</w:t>
      </w:r>
      <w:r w:rsidR="00957F6B" w:rsidRPr="007560A0">
        <w:rPr>
          <w:rFonts w:ascii="Arial" w:hAnsi="Arial" w:cs="Arial"/>
          <w:lang w:val="en-US"/>
        </w:rPr>
        <w:t xml:space="preserve"> </w:t>
      </w:r>
      <w:r w:rsidRPr="007560A0">
        <w:rPr>
          <w:rFonts w:ascii="Arial" w:hAnsi="Arial" w:cs="Arial"/>
          <w:lang w:val="en-US"/>
        </w:rPr>
        <w:t>"the most significant increase in financing for the energy sector was for wind energy projects, which had an increase of 85% in terms of disbursements, from R$ 3.3 billion to R$ 6.1 billion." The amount is significant, representing 27.35% of the disbursements for electricity and gas in that year.</w:t>
      </w:r>
      <w:r w:rsidR="00957F6B" w:rsidRPr="007560A0">
        <w:rPr>
          <w:rStyle w:val="FootnoteReference"/>
          <w:rFonts w:ascii="Arial" w:hAnsi="Arial" w:cs="Arial"/>
          <w:lang w:val="en-US"/>
        </w:rPr>
        <w:footnoteReference w:id="14"/>
      </w:r>
      <w:r w:rsidRPr="007560A0">
        <w:rPr>
          <w:rFonts w:ascii="Arial" w:hAnsi="Arial" w:cs="Arial"/>
          <w:lang w:val="en-US"/>
        </w:rPr>
        <w:t xml:space="preserve"> </w:t>
      </w:r>
      <w:r w:rsidR="00957F6B" w:rsidRPr="007560A0">
        <w:rPr>
          <w:rFonts w:ascii="Arial" w:hAnsi="Arial" w:cs="Arial"/>
          <w:lang w:val="en-US"/>
        </w:rPr>
        <w:t>Approvals</w:t>
      </w:r>
      <w:r w:rsidR="00F72B25" w:rsidRPr="007560A0">
        <w:rPr>
          <w:rFonts w:ascii="Arial" w:hAnsi="Arial" w:cs="Arial"/>
          <w:lang w:val="en-US"/>
        </w:rPr>
        <w:t xml:space="preserve"> </w:t>
      </w:r>
      <w:r w:rsidR="00871C72" w:rsidRPr="007560A0">
        <w:rPr>
          <w:rFonts w:ascii="Arial" w:hAnsi="Arial" w:cs="Arial"/>
          <w:lang w:val="en-US"/>
        </w:rPr>
        <w:t xml:space="preserve">in 2015 </w:t>
      </w:r>
      <w:r w:rsidR="00957F6B" w:rsidRPr="007560A0">
        <w:rPr>
          <w:rFonts w:ascii="Arial" w:hAnsi="Arial" w:cs="Arial"/>
          <w:lang w:val="en-US"/>
        </w:rPr>
        <w:t xml:space="preserve">reached R$ 7.42 billion, which were allocated </w:t>
      </w:r>
      <w:r w:rsidR="00871C72" w:rsidRPr="007560A0">
        <w:rPr>
          <w:rFonts w:ascii="Arial" w:hAnsi="Arial" w:cs="Arial"/>
          <w:lang w:val="en-US"/>
        </w:rPr>
        <w:t xml:space="preserve">to </w:t>
      </w:r>
      <w:r w:rsidR="00957F6B" w:rsidRPr="007560A0">
        <w:rPr>
          <w:rFonts w:ascii="Arial" w:hAnsi="Arial" w:cs="Arial"/>
          <w:lang w:val="en-US"/>
        </w:rPr>
        <w:t>82 new power generation projects from this source.</w:t>
      </w:r>
      <w:r w:rsidR="00957F6B" w:rsidRPr="007560A0">
        <w:rPr>
          <w:rStyle w:val="FootnoteReference"/>
          <w:rFonts w:ascii="Arial" w:hAnsi="Arial" w:cs="Arial"/>
          <w:lang w:val="en-US"/>
        </w:rPr>
        <w:footnoteReference w:id="15"/>
      </w:r>
      <w:r w:rsidR="00957F6B" w:rsidRPr="007560A0">
        <w:rPr>
          <w:rFonts w:ascii="Arial" w:hAnsi="Arial" w:cs="Arial"/>
          <w:lang w:val="en-US"/>
        </w:rPr>
        <w:t xml:space="preserve"> </w:t>
      </w:r>
      <w:r w:rsidR="00E3006A" w:rsidRPr="007560A0">
        <w:rPr>
          <w:rFonts w:ascii="Arial" w:hAnsi="Arial" w:cs="Arial"/>
          <w:lang w:val="en-US"/>
        </w:rPr>
        <w:t>Chart</w:t>
      </w:r>
      <w:r w:rsidR="00957F6B" w:rsidRPr="007560A0">
        <w:rPr>
          <w:rFonts w:ascii="Arial" w:hAnsi="Arial" w:cs="Arial"/>
          <w:lang w:val="en-US"/>
        </w:rPr>
        <w:t xml:space="preserve"> </w:t>
      </w:r>
      <w:r w:rsidR="0003253B" w:rsidRPr="007560A0">
        <w:rPr>
          <w:rFonts w:ascii="Arial" w:hAnsi="Arial" w:cs="Arial"/>
          <w:lang w:val="en-US"/>
        </w:rPr>
        <w:t>9</w:t>
      </w:r>
      <w:r w:rsidR="00957F6B" w:rsidRPr="007560A0">
        <w:rPr>
          <w:rFonts w:ascii="Arial" w:hAnsi="Arial" w:cs="Arial"/>
          <w:lang w:val="en-US"/>
        </w:rPr>
        <w:t xml:space="preserve"> below shows the upward trend of approvals geared to this segment by BNDES.</w:t>
      </w:r>
    </w:p>
    <w:p w14:paraId="7725A03A" w14:textId="77777777" w:rsidR="00957F6B" w:rsidRPr="007560A0" w:rsidRDefault="00957F6B" w:rsidP="00957F6B">
      <w:pPr>
        <w:pStyle w:val="f-01"/>
        <w:rPr>
          <w:rFonts w:ascii="Arial" w:hAnsi="Arial"/>
          <w:noProof w:val="0"/>
          <w:color w:val="auto"/>
          <w:lang w:val="en-US"/>
        </w:rPr>
      </w:pPr>
      <w:r w:rsidRPr="007560A0">
        <w:rPr>
          <w:rFonts w:ascii="Arial" w:hAnsi="Arial"/>
          <w:noProof w:val="0"/>
          <w:lang w:val="en-US"/>
        </w:rPr>
        <w:lastRenderedPageBreak/>
        <w:t xml:space="preserve">Chart </w:t>
      </w:r>
      <w:r w:rsidR="0003253B" w:rsidRPr="007560A0">
        <w:rPr>
          <w:rFonts w:ascii="Arial" w:hAnsi="Arial"/>
          <w:noProof w:val="0"/>
          <w:lang w:val="en-US"/>
        </w:rPr>
        <w:t>9</w:t>
      </w:r>
      <w:r w:rsidRPr="007560A0">
        <w:rPr>
          <w:rFonts w:ascii="Arial" w:hAnsi="Arial"/>
          <w:noProof w:val="0"/>
          <w:lang w:val="en-US"/>
        </w:rPr>
        <w:t>: BNDES approvals for wind power projects, 2003 - 2015</w:t>
      </w:r>
    </w:p>
    <w:p w14:paraId="7980C3C8" w14:textId="77777777" w:rsidR="00957F6B" w:rsidRPr="007560A0" w:rsidRDefault="00957F6B" w:rsidP="00957F6B">
      <w:pPr>
        <w:spacing w:before="240"/>
        <w:jc w:val="center"/>
        <w:rPr>
          <w:rFonts w:ascii="Arial" w:hAnsi="Arial" w:cs="Arial"/>
          <w:color w:val="FF0000"/>
          <w:lang w:val="en-US"/>
        </w:rPr>
      </w:pPr>
      <w:r w:rsidRPr="007560A0">
        <w:rPr>
          <w:rFonts w:ascii="Arial" w:hAnsi="Arial" w:cs="Arial"/>
          <w:noProof/>
          <w:color w:val="FF0000"/>
          <w:lang w:val="en-US"/>
        </w:rPr>
        <w:drawing>
          <wp:inline distT="0" distB="0" distL="0" distR="0" wp14:anchorId="6460A0F9" wp14:editId="6A0C5CBA">
            <wp:extent cx="5400000" cy="3600000"/>
            <wp:effectExtent l="0" t="0" r="10795" b="1968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BE3D374" w14:textId="307F633D" w:rsidR="00957F6B" w:rsidRPr="007560A0" w:rsidRDefault="00957F6B" w:rsidP="00957F6B">
      <w:pPr>
        <w:pStyle w:val="f-03"/>
        <w:rPr>
          <w:rFonts w:ascii="Arial" w:hAnsi="Arial" w:cs="Arial"/>
          <w:lang w:val="en-US"/>
        </w:rPr>
      </w:pPr>
      <w:r w:rsidRPr="007560A0">
        <w:rPr>
          <w:rFonts w:ascii="Arial" w:hAnsi="Arial" w:cs="Arial"/>
          <w:lang w:val="en-US"/>
        </w:rPr>
        <w:t xml:space="preserve">Source: </w:t>
      </w:r>
      <w:r w:rsidR="00DF65C5" w:rsidRPr="007560A0">
        <w:rPr>
          <w:rFonts w:ascii="Arial" w:hAnsi="Arial" w:cs="Arial"/>
          <w:lang w:val="en-US"/>
        </w:rPr>
        <w:t>BNDES</w:t>
      </w:r>
    </w:p>
    <w:p w14:paraId="4E33F676" w14:textId="77777777" w:rsidR="00957F6B" w:rsidRPr="007560A0" w:rsidRDefault="00957F6B" w:rsidP="00E97F63">
      <w:pPr>
        <w:pStyle w:val="p-01"/>
        <w:rPr>
          <w:rFonts w:ascii="Arial" w:hAnsi="Arial" w:cs="Arial"/>
          <w:lang w:val="en-US"/>
        </w:rPr>
      </w:pPr>
      <w:r w:rsidRPr="007560A0">
        <w:rPr>
          <w:rFonts w:ascii="Arial" w:hAnsi="Arial" w:cs="Arial"/>
          <w:lang w:val="en-US"/>
        </w:rPr>
        <w:t>The</w:t>
      </w:r>
      <w:r w:rsidR="00E97F63" w:rsidRPr="007560A0">
        <w:rPr>
          <w:rFonts w:ascii="Arial" w:hAnsi="Arial" w:cs="Arial"/>
          <w:lang w:val="en-US"/>
        </w:rPr>
        <w:t xml:space="preserve"> </w:t>
      </w:r>
      <w:r w:rsidR="00FD6744" w:rsidRPr="007560A0">
        <w:rPr>
          <w:rFonts w:ascii="Arial" w:hAnsi="Arial" w:cs="Arial"/>
          <w:lang w:val="en-US"/>
        </w:rPr>
        <w:t>bank</w:t>
      </w:r>
      <w:r w:rsidR="00E97F63" w:rsidRPr="007560A0">
        <w:rPr>
          <w:rFonts w:ascii="Arial" w:hAnsi="Arial" w:cs="Arial"/>
          <w:lang w:val="en-US"/>
        </w:rPr>
        <w:t xml:space="preserve"> </w:t>
      </w:r>
      <w:r w:rsidRPr="007560A0">
        <w:rPr>
          <w:rFonts w:ascii="Arial" w:hAnsi="Arial" w:cs="Arial"/>
          <w:lang w:val="en-US"/>
        </w:rPr>
        <w:t>also recorded</w:t>
      </w:r>
      <w:r w:rsidR="00FD6744" w:rsidRPr="007560A0">
        <w:rPr>
          <w:rFonts w:ascii="Arial" w:hAnsi="Arial" w:cs="Arial"/>
          <w:lang w:val="en-US"/>
        </w:rPr>
        <w:t xml:space="preserve"> </w:t>
      </w:r>
      <w:r w:rsidR="00E97F63" w:rsidRPr="007560A0">
        <w:rPr>
          <w:rFonts w:ascii="Arial" w:hAnsi="Arial" w:cs="Arial"/>
          <w:lang w:val="en-US"/>
        </w:rPr>
        <w:t>that the "BNDES disbursements for projects related to the so-called Green Economy reached R$ 31.3 billion in 2015, an increase of 11%. The so-called Green Economy includes projects of energy efficiency, renewable energy, water management, sewage and solid waste, agricultural improvements, adaptation to climate change, reforestation, and passenger public transportation (subways and trains), among others"</w:t>
      </w:r>
      <w:r w:rsidRPr="007560A0">
        <w:rPr>
          <w:rFonts w:ascii="Arial" w:hAnsi="Arial" w:cs="Arial"/>
          <w:lang w:val="en-US"/>
        </w:rPr>
        <w:t>.</w:t>
      </w:r>
      <w:r w:rsidR="00E97F63" w:rsidRPr="007560A0">
        <w:rPr>
          <w:rStyle w:val="FootnoteReference"/>
          <w:rFonts w:ascii="Arial" w:hAnsi="Arial" w:cs="Arial"/>
          <w:lang w:val="en-US"/>
        </w:rPr>
        <w:footnoteReference w:id="16"/>
      </w:r>
    </w:p>
    <w:p w14:paraId="3A82E73B" w14:textId="77777777" w:rsidR="00402EE9" w:rsidRPr="007560A0" w:rsidRDefault="00402EE9" w:rsidP="005678D9">
      <w:pPr>
        <w:pStyle w:val="Heading1"/>
        <w:rPr>
          <w:rFonts w:ascii="Arial" w:hAnsi="Arial" w:cs="Arial"/>
          <w:lang w:val="en-US"/>
        </w:rPr>
      </w:pPr>
      <w:r w:rsidRPr="007560A0">
        <w:rPr>
          <w:rFonts w:ascii="Arial" w:hAnsi="Arial" w:cs="Arial"/>
          <w:lang w:val="en-US"/>
        </w:rPr>
        <w:t xml:space="preserve">Final Considerations </w:t>
      </w:r>
    </w:p>
    <w:p w14:paraId="4AED9E85" w14:textId="0FBE386D" w:rsidR="00E02686" w:rsidRPr="007560A0" w:rsidRDefault="003470D0" w:rsidP="005678D9">
      <w:pPr>
        <w:pStyle w:val="p-01"/>
        <w:rPr>
          <w:rFonts w:ascii="Arial" w:hAnsi="Arial" w:cs="Arial"/>
          <w:lang w:val="en-US"/>
        </w:rPr>
      </w:pPr>
      <w:r w:rsidRPr="007560A0">
        <w:rPr>
          <w:rFonts w:ascii="Arial" w:hAnsi="Arial" w:cs="Arial"/>
          <w:lang w:val="en-US"/>
        </w:rPr>
        <w:t xml:space="preserve">In this document we present information collected on the financing pattern </w:t>
      </w:r>
      <w:r w:rsidR="00D16A4B" w:rsidRPr="007560A0">
        <w:rPr>
          <w:rFonts w:ascii="Arial" w:hAnsi="Arial" w:cs="Arial"/>
          <w:lang w:val="en-US"/>
        </w:rPr>
        <w:t xml:space="preserve">of investment in the Brazilian economy and, in particular, </w:t>
      </w:r>
      <w:r w:rsidRPr="007560A0">
        <w:rPr>
          <w:rFonts w:ascii="Arial" w:hAnsi="Arial" w:cs="Arial"/>
          <w:lang w:val="en-US"/>
        </w:rPr>
        <w:t xml:space="preserve">on </w:t>
      </w:r>
      <w:r w:rsidR="00D16A4B" w:rsidRPr="007560A0">
        <w:rPr>
          <w:rFonts w:ascii="Arial" w:hAnsi="Arial" w:cs="Arial"/>
          <w:lang w:val="en-US"/>
        </w:rPr>
        <w:t>the financing for MS</w:t>
      </w:r>
      <w:r w:rsidR="005F18CC" w:rsidRPr="007560A0">
        <w:rPr>
          <w:rFonts w:ascii="Arial" w:hAnsi="Arial" w:cs="Arial"/>
          <w:lang w:val="en-US"/>
        </w:rPr>
        <w:t>M</w:t>
      </w:r>
      <w:r w:rsidR="00D16A4B" w:rsidRPr="007560A0">
        <w:rPr>
          <w:rFonts w:ascii="Arial" w:hAnsi="Arial" w:cs="Arial"/>
          <w:lang w:val="en-US"/>
        </w:rPr>
        <w:t xml:space="preserve">Es, infrastructure, and power generation projects from renewable sources. </w:t>
      </w:r>
    </w:p>
    <w:p w14:paraId="18E73739" w14:textId="0F876619" w:rsidR="00E02686" w:rsidRPr="007560A0" w:rsidRDefault="00E02686" w:rsidP="00B22066">
      <w:pPr>
        <w:pStyle w:val="p-01"/>
        <w:rPr>
          <w:rFonts w:ascii="Arial" w:hAnsi="Arial" w:cs="Arial"/>
          <w:color w:val="000000" w:themeColor="text1"/>
          <w:lang w:val="en-US"/>
        </w:rPr>
      </w:pPr>
      <w:r w:rsidRPr="007560A0">
        <w:rPr>
          <w:rFonts w:ascii="Arial" w:hAnsi="Arial" w:cs="Arial"/>
          <w:lang w:val="en-US"/>
        </w:rPr>
        <w:t xml:space="preserve">There was an attempt to show that the reduced investment rates that marked the Brazilian economy over the past decades are closely associated with the weaknesses of the financial system in the country, especially with regard to long-term credit supply. For this reason, the performance of a national development bank capable of providing long-term credit and appropriate conditions for investment </w:t>
      </w:r>
      <w:r w:rsidR="00871C72" w:rsidRPr="007560A0">
        <w:rPr>
          <w:rFonts w:ascii="Arial" w:hAnsi="Arial" w:cs="Arial"/>
          <w:lang w:val="en-US"/>
        </w:rPr>
        <w:t>has played an important role in the Brazilian economy</w:t>
      </w:r>
      <w:r w:rsidRPr="007560A0">
        <w:rPr>
          <w:rFonts w:ascii="Arial" w:hAnsi="Arial" w:cs="Arial"/>
          <w:lang w:val="en-US"/>
        </w:rPr>
        <w:t xml:space="preserve">. However, due to the </w:t>
      </w:r>
      <w:r w:rsidRPr="007560A0">
        <w:rPr>
          <w:rFonts w:ascii="Arial" w:hAnsi="Arial" w:cs="Arial"/>
          <w:color w:val="000000" w:themeColor="text1"/>
          <w:lang w:val="en-US"/>
        </w:rPr>
        <w:t xml:space="preserve">fiscal costs associated with BNDES and the Brazilian government budgetary constraints, it is necessary to select the segments to be supported by the bank. </w:t>
      </w:r>
      <w:r w:rsidR="00B22066" w:rsidRPr="007560A0">
        <w:rPr>
          <w:rFonts w:ascii="Arial" w:hAnsi="Arial" w:cs="Arial"/>
          <w:color w:val="000000" w:themeColor="text1"/>
          <w:lang w:val="en-US"/>
        </w:rPr>
        <w:t xml:space="preserve">Even under circumstances where external resources are obtained, such as in the case of the loan operation from the IDB for BNDES, it is necessary to identify </w:t>
      </w:r>
      <w:r w:rsidRPr="007560A0">
        <w:rPr>
          <w:rFonts w:ascii="Arial" w:hAnsi="Arial" w:cs="Arial"/>
          <w:color w:val="000000" w:themeColor="text1"/>
          <w:lang w:val="en-US"/>
        </w:rPr>
        <w:t xml:space="preserve">segments capable of </w:t>
      </w:r>
      <w:r w:rsidRPr="007560A0">
        <w:rPr>
          <w:rFonts w:ascii="Arial" w:hAnsi="Arial" w:cs="Arial"/>
          <w:color w:val="000000" w:themeColor="text1"/>
          <w:lang w:val="en-US"/>
        </w:rPr>
        <w:lastRenderedPageBreak/>
        <w:t xml:space="preserve">generating positive externalities </w:t>
      </w:r>
      <w:r w:rsidR="00871C72" w:rsidRPr="007560A0">
        <w:rPr>
          <w:rFonts w:ascii="Arial" w:hAnsi="Arial" w:cs="Arial"/>
          <w:color w:val="000000" w:themeColor="text1"/>
          <w:lang w:val="en-US"/>
        </w:rPr>
        <w:t>(</w:t>
      </w:r>
      <w:r w:rsidR="00871C72" w:rsidRPr="007560A0">
        <w:rPr>
          <w:rFonts w:ascii="Arial" w:hAnsi="Arial" w:cs="Arial"/>
          <w:lang w:val="en-US"/>
        </w:rPr>
        <w:t xml:space="preserve">or whose elevated levels of productivity contribute significantly to the improvement of the aggregate indicators of the Brazilian economy) </w:t>
      </w:r>
      <w:r w:rsidRPr="007560A0">
        <w:rPr>
          <w:rFonts w:ascii="Arial" w:hAnsi="Arial" w:cs="Arial"/>
          <w:color w:val="000000" w:themeColor="text1"/>
          <w:lang w:val="en-US"/>
        </w:rPr>
        <w:t>and for which there is credit rationing as the preferred targets of BNDES.</w:t>
      </w:r>
    </w:p>
    <w:p w14:paraId="793E568D" w14:textId="7BC91436" w:rsidR="00E02686" w:rsidRPr="007560A0" w:rsidRDefault="00E02686" w:rsidP="00871C72">
      <w:pPr>
        <w:pStyle w:val="p-01"/>
        <w:rPr>
          <w:rFonts w:ascii="Arial" w:hAnsi="Arial" w:cs="Arial"/>
          <w:color w:val="000000" w:themeColor="text1"/>
          <w:lang w:val="en-US"/>
        </w:rPr>
      </w:pPr>
      <w:r w:rsidRPr="007560A0">
        <w:rPr>
          <w:rFonts w:ascii="Arial" w:hAnsi="Arial" w:cs="Arial"/>
          <w:color w:val="000000" w:themeColor="text1"/>
          <w:lang w:val="en-US"/>
        </w:rPr>
        <w:t xml:space="preserve">Because of their impact on the aggregate indicators of productivity in Brazil (which were discussed in the first document prepared in the scope of this work) and the credit rationing that they face, the MSMEs, infrastructure and, in particular, renewable energies emerged as </w:t>
      </w:r>
      <w:r w:rsidR="00871C72" w:rsidRPr="007560A0">
        <w:rPr>
          <w:rFonts w:ascii="Arial" w:hAnsi="Arial" w:cs="Arial"/>
          <w:color w:val="000000" w:themeColor="text1"/>
          <w:lang w:val="en-US"/>
        </w:rPr>
        <w:t>objects of a loan operation from the IDB to BNDES</w:t>
      </w:r>
      <w:r w:rsidRPr="007560A0">
        <w:rPr>
          <w:rFonts w:ascii="Arial" w:hAnsi="Arial" w:cs="Arial"/>
          <w:color w:val="000000" w:themeColor="text1"/>
          <w:lang w:val="en-US"/>
        </w:rPr>
        <w:t>.</w:t>
      </w:r>
      <w:r w:rsidR="00B027AE" w:rsidRPr="007560A0">
        <w:rPr>
          <w:rFonts w:ascii="Arial" w:hAnsi="Arial" w:cs="Arial"/>
          <w:color w:val="000000" w:themeColor="text1"/>
          <w:lang w:val="en-US"/>
        </w:rPr>
        <w:t xml:space="preserve"> </w:t>
      </w:r>
      <w:r w:rsidRPr="007560A0">
        <w:rPr>
          <w:rFonts w:ascii="Arial" w:hAnsi="Arial" w:cs="Arial"/>
          <w:color w:val="000000" w:themeColor="text1"/>
          <w:lang w:val="en-US"/>
        </w:rPr>
        <w:t>It was shown then that the MSMEs face difficulties to get credit due to a number of bottlenecks and market failures. The low scale of opera</w:t>
      </w:r>
      <w:r w:rsidR="008D351A" w:rsidRPr="007560A0">
        <w:rPr>
          <w:rFonts w:ascii="Arial" w:hAnsi="Arial" w:cs="Arial"/>
          <w:color w:val="000000" w:themeColor="text1"/>
          <w:lang w:val="en-US"/>
        </w:rPr>
        <w:t xml:space="preserve">tions and the difficulties to provide the necessary guarantees are obstacles that limit the access of companies in this sector to long-term credit. Empirical data reaffirm this perception. The participation of the MSMEs in the disbursements made by BNDES reached an average of over 30% in the period between 2001 and 2015. </w:t>
      </w:r>
      <w:r w:rsidR="008D351A" w:rsidRPr="007560A0">
        <w:rPr>
          <w:rFonts w:ascii="Arial" w:hAnsi="Arial" w:cs="Arial"/>
          <w:lang w:val="en-US"/>
        </w:rPr>
        <w:t>This trend is directly linked to specific actions taken by the bank, such as the BNDES Card.</w:t>
      </w:r>
    </w:p>
    <w:p w14:paraId="678B5F0C" w14:textId="2F33F793" w:rsidR="008D351A" w:rsidRPr="007560A0" w:rsidRDefault="008D351A" w:rsidP="005678D9">
      <w:pPr>
        <w:pStyle w:val="p-01"/>
        <w:rPr>
          <w:rFonts w:ascii="Arial" w:hAnsi="Arial" w:cs="Arial"/>
          <w:color w:val="000000" w:themeColor="text1"/>
          <w:lang w:val="en-US"/>
        </w:rPr>
      </w:pPr>
      <w:r w:rsidRPr="007560A0">
        <w:rPr>
          <w:rFonts w:ascii="Arial" w:hAnsi="Arial" w:cs="Arial"/>
          <w:color w:val="000000" w:themeColor="text1"/>
          <w:lang w:val="en-US"/>
        </w:rPr>
        <w:t>Data collected on infrastructure showed that investments in this sector have been at around 2% of GDP in recent years in Brazil. This is a small and insufficient percentage to support the growth of the Brazilian economy. However, a number of market failures and government failures restricts the supply of credit for this type of investment. This is because investments in infrastructure tend to be irreversible, indivisible, high, and have a long maturation. In addition, uncertainty about the regulatory standards affect the risk of projects and adversely impact the availability of credit for the segment.</w:t>
      </w:r>
      <w:r w:rsidR="00B027AE" w:rsidRPr="007560A0">
        <w:rPr>
          <w:rFonts w:ascii="Arial" w:hAnsi="Arial" w:cs="Arial"/>
          <w:color w:val="000000" w:themeColor="text1"/>
          <w:lang w:val="en-US"/>
        </w:rPr>
        <w:t xml:space="preserve"> The data collected indicate broad participation of BNDES in financing infrastructure investments in Brazil and the segment's share in the total disbursements made by the bank reached just over 30% in 2015.</w:t>
      </w:r>
    </w:p>
    <w:p w14:paraId="68CA4B10" w14:textId="58647EE8" w:rsidR="00B027AE" w:rsidRPr="007560A0" w:rsidRDefault="003470D0" w:rsidP="005678D9">
      <w:pPr>
        <w:pStyle w:val="p-01"/>
        <w:rPr>
          <w:rFonts w:ascii="Arial" w:hAnsi="Arial" w:cs="Arial"/>
          <w:lang w:val="en-US"/>
        </w:rPr>
      </w:pPr>
      <w:r w:rsidRPr="007560A0">
        <w:rPr>
          <w:rFonts w:ascii="Arial" w:hAnsi="Arial" w:cs="Arial"/>
          <w:color w:val="000000" w:themeColor="text1"/>
          <w:lang w:val="en-US"/>
        </w:rPr>
        <w:t xml:space="preserve">In particular, </w:t>
      </w:r>
      <w:r w:rsidR="00B027AE" w:rsidRPr="007560A0">
        <w:rPr>
          <w:rFonts w:ascii="Arial" w:hAnsi="Arial" w:cs="Arial"/>
          <w:color w:val="000000" w:themeColor="text1"/>
          <w:lang w:val="en-US"/>
        </w:rPr>
        <w:t xml:space="preserve">more than 90% of the resources that comprise the financing sources </w:t>
      </w:r>
      <w:r w:rsidR="00B027AE" w:rsidRPr="007560A0">
        <w:rPr>
          <w:rFonts w:ascii="Arial" w:hAnsi="Arial" w:cs="Arial"/>
          <w:lang w:val="en-US"/>
        </w:rPr>
        <w:t>of investment projects in energy came from BNDES. It is reasonable to assume that these percentages also apply to renewable energies. In this case, in addition to the common aspects of infrastructure projects that hinder access to private credit and capital markets, uncertainties related to greater technological dynamism and unconsolidated regulatory standards imply additional restrictions to financing supply</w:t>
      </w:r>
      <w:r w:rsidR="0065386F" w:rsidRPr="007560A0">
        <w:rPr>
          <w:rFonts w:ascii="Arial" w:hAnsi="Arial" w:cs="Arial"/>
          <w:lang w:val="en-US"/>
        </w:rPr>
        <w:t xml:space="preserve">. In this sense, the support from public banks </w:t>
      </w:r>
      <w:r w:rsidR="00871C72" w:rsidRPr="007560A0">
        <w:rPr>
          <w:rFonts w:ascii="Arial" w:hAnsi="Arial" w:cs="Arial"/>
          <w:lang w:val="en-US"/>
        </w:rPr>
        <w:t>may contribute to</w:t>
      </w:r>
      <w:r w:rsidR="0065386F" w:rsidRPr="007560A0">
        <w:rPr>
          <w:rFonts w:ascii="Arial" w:hAnsi="Arial" w:cs="Arial"/>
          <w:lang w:val="en-US"/>
        </w:rPr>
        <w:t xml:space="preserve"> neutralize the financial risks for producers of wind energy. BNDES support to renewable energy, however, is not limited to wind energy, as the bank has a set of credit lines specifically geared to renewable energy. It is indisputable, however, that wind energy has an important role in the bank, as it accounted for over 27% of the bank's disbursements for electricity and gas in 2015.</w:t>
      </w:r>
    </w:p>
    <w:p w14:paraId="33AEA0BF" w14:textId="77777777" w:rsidR="00082B73" w:rsidRPr="007560A0" w:rsidRDefault="00082B73" w:rsidP="00082B73">
      <w:pPr>
        <w:pStyle w:val="Heading1"/>
        <w:rPr>
          <w:rFonts w:ascii="Arial" w:hAnsi="Arial" w:cs="Arial"/>
          <w:lang w:val="en-US"/>
        </w:rPr>
      </w:pPr>
      <w:r w:rsidRPr="007560A0">
        <w:rPr>
          <w:rFonts w:ascii="Arial" w:hAnsi="Arial" w:cs="Arial"/>
          <w:lang w:val="en-US"/>
        </w:rPr>
        <w:t xml:space="preserve">References </w:t>
      </w:r>
    </w:p>
    <w:p w14:paraId="4D59837F" w14:textId="77777777" w:rsidR="00B60205" w:rsidRPr="007560A0" w:rsidRDefault="00B60205" w:rsidP="00B60205">
      <w:pPr>
        <w:pStyle w:val="p-01"/>
        <w:rPr>
          <w:rFonts w:ascii="Arial" w:hAnsi="Arial" w:cs="Arial"/>
          <w:lang w:val="es-ES"/>
        </w:rPr>
      </w:pPr>
      <w:r w:rsidRPr="007560A0">
        <w:rPr>
          <w:rFonts w:ascii="Arial" w:hAnsi="Arial" w:cs="Arial"/>
          <w:lang w:val="en-US"/>
        </w:rPr>
        <w:t xml:space="preserve">AQUILA, G.; ROCHA, L. C. S; ROTELA JUNIOR, P.; PAMPLONA, E. O; QUEIROZ, A. R. C.; PAIVA, A. P. Wind power generation: An impact analysis of incentive strategies for cleaner energy provision in Brazil. </w:t>
      </w:r>
      <w:r w:rsidRPr="007560A0">
        <w:rPr>
          <w:rFonts w:ascii="Arial" w:hAnsi="Arial" w:cs="Arial"/>
          <w:i/>
          <w:lang w:val="es-ES"/>
        </w:rPr>
        <w:t>Journal of Cleaner Production</w:t>
      </w:r>
      <w:r w:rsidRPr="007560A0">
        <w:rPr>
          <w:rFonts w:ascii="Arial" w:hAnsi="Arial" w:cs="Arial"/>
          <w:lang w:val="es-ES"/>
        </w:rPr>
        <w:t>, n. 137, p. 1100-1108, 2016.</w:t>
      </w:r>
    </w:p>
    <w:p w14:paraId="7E167D3E" w14:textId="77777777" w:rsidR="00E97F63" w:rsidRPr="007560A0" w:rsidRDefault="00E97F63" w:rsidP="00E97F63">
      <w:pPr>
        <w:pStyle w:val="p-01"/>
        <w:rPr>
          <w:rFonts w:ascii="Arial" w:hAnsi="Arial" w:cs="Arial"/>
          <w:lang w:val="en-US"/>
        </w:rPr>
      </w:pPr>
      <w:r w:rsidRPr="007560A0">
        <w:rPr>
          <w:rFonts w:ascii="Arial" w:hAnsi="Arial" w:cs="Arial"/>
          <w:lang w:val="es-ES"/>
        </w:rPr>
        <w:t xml:space="preserve">ARAUJO, A.; FUNCHAL, B. A Nova Lei De Falências Brasileira: Primeiros Impactos. </w:t>
      </w:r>
      <w:r w:rsidRPr="007560A0">
        <w:rPr>
          <w:rFonts w:ascii="Arial" w:hAnsi="Arial" w:cs="Arial"/>
          <w:lang w:val="en-US"/>
        </w:rPr>
        <w:t>Revista De Economia Política, v. 29, n. 3, 2009.</w:t>
      </w:r>
    </w:p>
    <w:p w14:paraId="3FCFB91F" w14:textId="77777777" w:rsidR="00E97F63" w:rsidRPr="007560A0" w:rsidRDefault="00E97F63" w:rsidP="00E97F63">
      <w:pPr>
        <w:pStyle w:val="p-01"/>
        <w:rPr>
          <w:rFonts w:ascii="Arial" w:hAnsi="Arial" w:cs="Arial"/>
          <w:lang w:val="en-US"/>
        </w:rPr>
      </w:pPr>
      <w:r w:rsidRPr="007560A0">
        <w:rPr>
          <w:rFonts w:ascii="Arial" w:hAnsi="Arial" w:cs="Arial"/>
          <w:lang w:val="en-US"/>
        </w:rPr>
        <w:lastRenderedPageBreak/>
        <w:t xml:space="preserve">BANCO MUNDIAL . </w:t>
      </w:r>
      <w:r w:rsidRPr="007560A0">
        <w:rPr>
          <w:rFonts w:ascii="Arial" w:hAnsi="Arial" w:cs="Arial"/>
          <w:i/>
          <w:lang w:val="en-US"/>
        </w:rPr>
        <w:t>Infrastructure in Latin America and the Caribbean</w:t>
      </w:r>
      <w:r w:rsidRPr="007560A0">
        <w:rPr>
          <w:rFonts w:ascii="Arial" w:hAnsi="Arial" w:cs="Arial"/>
          <w:lang w:val="en-US"/>
        </w:rPr>
        <w:t>: recent developments and key challenges, v.I. Ago. 2005 (Main Report).</w:t>
      </w:r>
    </w:p>
    <w:p w14:paraId="6C6C1B0C" w14:textId="77777777" w:rsidR="00AE0CFB" w:rsidRPr="007560A0" w:rsidRDefault="00AE0CFB" w:rsidP="00AE0CFB">
      <w:pPr>
        <w:pStyle w:val="p-01"/>
        <w:rPr>
          <w:rFonts w:ascii="Arial" w:hAnsi="Arial" w:cs="Arial"/>
          <w:lang w:val="en-US"/>
        </w:rPr>
      </w:pPr>
      <w:r w:rsidRPr="007560A0">
        <w:rPr>
          <w:rFonts w:ascii="Arial" w:hAnsi="Arial" w:cs="Arial"/>
          <w:lang w:val="en-US"/>
        </w:rPr>
        <w:t xml:space="preserve">BONOMO, M.; BRITO, R.; , MARTINS, B. </w:t>
      </w:r>
      <w:r w:rsidRPr="007560A0">
        <w:rPr>
          <w:rFonts w:ascii="Arial" w:hAnsi="Arial" w:cs="Arial"/>
          <w:i/>
          <w:lang w:val="en-US"/>
        </w:rPr>
        <w:t>Macroeconomic and Financial Consequences of the After Crisis Government-Driven Credit Expansion in Brazil</w:t>
      </w:r>
      <w:r w:rsidRPr="007560A0">
        <w:rPr>
          <w:rFonts w:ascii="Arial" w:hAnsi="Arial" w:cs="Arial"/>
          <w:lang w:val="en-US"/>
        </w:rPr>
        <w:t>. No. 378. 2014.</w:t>
      </w:r>
    </w:p>
    <w:p w14:paraId="1EFDAF02" w14:textId="77777777" w:rsidR="00E97F63" w:rsidRPr="007560A0" w:rsidRDefault="00E97F63" w:rsidP="00E97F63">
      <w:pPr>
        <w:pStyle w:val="p-01"/>
        <w:rPr>
          <w:rFonts w:ascii="Arial" w:hAnsi="Arial" w:cs="Arial"/>
          <w:lang w:val="es-ES"/>
        </w:rPr>
      </w:pPr>
      <w:r w:rsidRPr="007560A0">
        <w:rPr>
          <w:rFonts w:ascii="Arial" w:hAnsi="Arial" w:cs="Arial"/>
          <w:lang w:val="en-US"/>
        </w:rPr>
        <w:t xml:space="preserve">CAVALCANTE, L. R.; UDERMAN, S. The role played by the BNDES in funding electricity investments in Brazil. In: AMANN, E.; BAER, W.; COES, D. V. (org.) </w:t>
      </w:r>
      <w:r w:rsidRPr="007560A0">
        <w:rPr>
          <w:rFonts w:ascii="Arial" w:hAnsi="Arial" w:cs="Arial"/>
          <w:i/>
          <w:lang w:val="en-US"/>
        </w:rPr>
        <w:t>Energy, bio fuels and development</w:t>
      </w:r>
      <w:r w:rsidRPr="007560A0">
        <w:rPr>
          <w:rFonts w:ascii="Arial" w:hAnsi="Arial" w:cs="Arial"/>
          <w:lang w:val="en-US"/>
        </w:rPr>
        <w:t xml:space="preserve">: comparing Brazil and the United States. </w:t>
      </w:r>
      <w:r w:rsidRPr="007560A0">
        <w:rPr>
          <w:rFonts w:ascii="Arial" w:hAnsi="Arial" w:cs="Arial"/>
          <w:lang w:val="es-ES"/>
        </w:rPr>
        <w:t>New York: Routledge, 2011.</w:t>
      </w:r>
    </w:p>
    <w:p w14:paraId="052FA3EA" w14:textId="77777777" w:rsidR="00E97F63" w:rsidRPr="007560A0" w:rsidRDefault="00E97F63" w:rsidP="00E97F63">
      <w:pPr>
        <w:pStyle w:val="p-01"/>
        <w:rPr>
          <w:rStyle w:val="apple-converted-space"/>
          <w:rFonts w:ascii="Arial" w:hAnsi="Arial" w:cs="Arial"/>
          <w:lang w:val="es-ES"/>
        </w:rPr>
      </w:pPr>
      <w:r w:rsidRPr="007560A0">
        <w:rPr>
          <w:rFonts w:ascii="Arial" w:hAnsi="Arial" w:cs="Arial"/>
          <w:lang w:val="es-ES"/>
        </w:rPr>
        <w:t xml:space="preserve">FREITAS, M. C. P. Desafios do financiamento de longo prazo no Brasil. </w:t>
      </w:r>
      <w:r w:rsidRPr="007560A0">
        <w:rPr>
          <w:rFonts w:ascii="Arial" w:hAnsi="Arial" w:cs="Arial"/>
          <w:i/>
          <w:lang w:val="es-ES"/>
        </w:rPr>
        <w:t>Boletim de Economia da Fundap</w:t>
      </w:r>
      <w:r w:rsidRPr="007560A0">
        <w:rPr>
          <w:rStyle w:val="apple-converted-space"/>
          <w:rFonts w:ascii="Arial" w:hAnsi="Arial" w:cs="Arial"/>
          <w:lang w:val="es-ES"/>
        </w:rPr>
        <w:t>, p. 15-26, 2011.</w:t>
      </w:r>
    </w:p>
    <w:p w14:paraId="0FB006BA" w14:textId="77777777" w:rsidR="00E97F63" w:rsidRPr="007560A0" w:rsidRDefault="00E97F63" w:rsidP="00E97F63">
      <w:pPr>
        <w:pStyle w:val="p-01"/>
        <w:rPr>
          <w:rFonts w:ascii="Arial" w:hAnsi="Arial" w:cs="Arial"/>
          <w:lang w:val="es-ES"/>
        </w:rPr>
      </w:pPr>
      <w:r w:rsidRPr="007560A0">
        <w:rPr>
          <w:rFonts w:ascii="Arial" w:hAnsi="Arial" w:cs="Arial"/>
          <w:lang w:val="es-ES"/>
        </w:rPr>
        <w:t xml:space="preserve">FRISCHTAK, C. R. </w:t>
      </w:r>
      <w:r w:rsidRPr="007560A0">
        <w:rPr>
          <w:rFonts w:ascii="Arial" w:hAnsi="Arial" w:cs="Arial"/>
          <w:i/>
          <w:lang w:val="es-ES"/>
        </w:rPr>
        <w:t>O investimento em infraestrutura no Brasil</w:t>
      </w:r>
      <w:r w:rsidRPr="007560A0">
        <w:rPr>
          <w:rFonts w:ascii="Arial" w:hAnsi="Arial" w:cs="Arial"/>
          <w:lang w:val="es-ES"/>
        </w:rPr>
        <w:t>: histórico recente e perspectivas, 2008.</w:t>
      </w:r>
    </w:p>
    <w:p w14:paraId="6EFEC251" w14:textId="77777777" w:rsidR="00E97F63" w:rsidRPr="007560A0" w:rsidRDefault="00E97F63" w:rsidP="00E97F63">
      <w:pPr>
        <w:pStyle w:val="p-01"/>
        <w:rPr>
          <w:rFonts w:ascii="Arial" w:hAnsi="Arial" w:cs="Arial"/>
          <w:lang w:val="es-ES"/>
        </w:rPr>
      </w:pPr>
      <w:r w:rsidRPr="007560A0">
        <w:rPr>
          <w:rFonts w:ascii="Arial" w:hAnsi="Arial" w:cs="Arial"/>
          <w:lang w:val="es-ES"/>
        </w:rPr>
        <w:t xml:space="preserve">PRATES, D. M.; CINTRA, M. A. M.; FREITAS, M. C. P. O papel desempenhado pelo BNDES e diferentes iniciativas de expansão do financiamento de longo prazo no Brasil dos anos 90. </w:t>
      </w:r>
      <w:r w:rsidRPr="007560A0">
        <w:rPr>
          <w:rFonts w:ascii="Arial" w:hAnsi="Arial" w:cs="Arial"/>
          <w:i/>
          <w:lang w:val="es-ES"/>
        </w:rPr>
        <w:t>Economia e Sociedade</w:t>
      </w:r>
      <w:r w:rsidRPr="007560A0">
        <w:rPr>
          <w:rFonts w:ascii="Arial" w:hAnsi="Arial" w:cs="Arial"/>
          <w:lang w:val="es-ES"/>
        </w:rPr>
        <w:t>, v. 9, n. 2, 2016.</w:t>
      </w:r>
    </w:p>
    <w:p w14:paraId="3E7198D5" w14:textId="77777777" w:rsidR="00E97F63" w:rsidRPr="007560A0" w:rsidRDefault="00E97F63" w:rsidP="00E97F63">
      <w:pPr>
        <w:pStyle w:val="p-01"/>
        <w:rPr>
          <w:rFonts w:ascii="Arial" w:hAnsi="Arial" w:cs="Arial"/>
          <w:lang w:val="es-ES"/>
        </w:rPr>
      </w:pPr>
      <w:r w:rsidRPr="007560A0">
        <w:rPr>
          <w:rFonts w:ascii="Arial" w:hAnsi="Arial" w:cs="Arial"/>
          <w:lang w:val="es-ES"/>
        </w:rPr>
        <w:t xml:space="preserve">TORRES-FILHO, E. T., LO MACAHYBA, and O. Elo Perdido. </w:t>
      </w:r>
      <w:r w:rsidRPr="007560A0">
        <w:rPr>
          <w:rFonts w:ascii="Arial" w:hAnsi="Arial" w:cs="Arial"/>
          <w:i/>
          <w:lang w:val="es-ES"/>
        </w:rPr>
        <w:t>Mercado De Títulos De Dívida Corporativa No Brasil</w:t>
      </w:r>
      <w:r w:rsidRPr="007560A0">
        <w:rPr>
          <w:rFonts w:ascii="Arial" w:hAnsi="Arial" w:cs="Arial"/>
          <w:lang w:val="es-ES"/>
        </w:rPr>
        <w:t>: avaliação e propostas. Instituto de Estudos para o Desenvolvimento Industrial. Instituto Talento Brasil</w:t>
      </w:r>
      <w:r w:rsidRPr="007560A0">
        <w:rPr>
          <w:rStyle w:val="apple-converted-space"/>
          <w:rFonts w:ascii="Arial" w:hAnsi="Arial" w:cs="Arial"/>
          <w:lang w:val="es-ES"/>
        </w:rPr>
        <w:t>, 201</w:t>
      </w:r>
      <w:r w:rsidRPr="007560A0">
        <w:rPr>
          <w:rFonts w:ascii="Arial" w:hAnsi="Arial" w:cs="Arial"/>
          <w:lang w:val="es-ES"/>
        </w:rPr>
        <w:t>2.</w:t>
      </w:r>
    </w:p>
    <w:p w14:paraId="530CC93D" w14:textId="3CBFBECC" w:rsidR="00510AAC" w:rsidRPr="007560A0" w:rsidRDefault="00510AAC" w:rsidP="00E97F63">
      <w:pPr>
        <w:pStyle w:val="p-01"/>
        <w:rPr>
          <w:rFonts w:ascii="Arial" w:hAnsi="Arial" w:cs="Arial"/>
          <w:lang w:val="es-ES"/>
        </w:rPr>
      </w:pPr>
    </w:p>
    <w:sectPr w:rsidR="00510AAC" w:rsidRPr="007560A0" w:rsidSect="00EC45DE">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CB836" w14:textId="77777777" w:rsidR="008F7615" w:rsidRPr="006510AC" w:rsidRDefault="008F7615" w:rsidP="00EC45DE">
      <w:pPr>
        <w:spacing w:after="0" w:line="240" w:lineRule="auto"/>
        <w:rPr>
          <w:lang w:val="en-US"/>
        </w:rPr>
      </w:pPr>
      <w:r w:rsidRPr="006510AC">
        <w:rPr>
          <w:lang w:val="en-US"/>
        </w:rPr>
        <w:separator/>
      </w:r>
    </w:p>
  </w:endnote>
  <w:endnote w:type="continuationSeparator" w:id="0">
    <w:p w14:paraId="593A6794" w14:textId="77777777" w:rsidR="008F7615" w:rsidRPr="006510AC" w:rsidRDefault="008F7615" w:rsidP="00EC45DE">
      <w:pPr>
        <w:spacing w:after="0" w:line="240" w:lineRule="auto"/>
        <w:rPr>
          <w:lang w:val="en-US"/>
        </w:rPr>
      </w:pPr>
      <w:r w:rsidRPr="006510AC">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DED3" w14:textId="77777777" w:rsidR="00214AB0" w:rsidRPr="006510AC" w:rsidRDefault="00214AB0">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71FA" w14:textId="77777777" w:rsidR="00F91094" w:rsidRPr="006510AC" w:rsidRDefault="00F91094" w:rsidP="00EC45DE">
    <w:pPr>
      <w:pStyle w:val="Footer"/>
      <w:jc w:val="center"/>
      <w:rPr>
        <w:lang w:val="en-US"/>
      </w:rPr>
    </w:pPr>
  </w:p>
  <w:p w14:paraId="20D7762A" w14:textId="3863E5D0" w:rsidR="00F91094" w:rsidRPr="006510AC" w:rsidRDefault="00F91094" w:rsidP="00EC45DE">
    <w:pPr>
      <w:pStyle w:val="Footer"/>
      <w:jc w:val="center"/>
      <w:rPr>
        <w:lang w:val="en-US"/>
      </w:rPr>
    </w:pPr>
    <w:r w:rsidRPr="006510AC">
      <w:rPr>
        <w:lang w:val="en-US"/>
      </w:rPr>
      <w:fldChar w:fldCharType="begin"/>
    </w:r>
    <w:r w:rsidRPr="006510AC">
      <w:rPr>
        <w:lang w:val="en-US"/>
      </w:rPr>
      <w:instrText>PAGE   \* MERGEFORMAT</w:instrText>
    </w:r>
    <w:r w:rsidRPr="006510AC">
      <w:rPr>
        <w:lang w:val="en-US"/>
      </w:rPr>
      <w:fldChar w:fldCharType="separate"/>
    </w:r>
    <w:r w:rsidR="007A2D74">
      <w:rPr>
        <w:noProof/>
        <w:lang w:val="en-US"/>
      </w:rPr>
      <w:t>5</w:t>
    </w:r>
    <w:r w:rsidRPr="006510AC">
      <w:rPr>
        <w:lang w:val="en-US"/>
      </w:rPr>
      <w:fldChar w:fldCharType="end"/>
    </w:r>
  </w:p>
  <w:p w14:paraId="04DCE3C8" w14:textId="77777777" w:rsidR="00F91094" w:rsidRPr="006510AC" w:rsidRDefault="00F91094" w:rsidP="00EC45DE">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D1C3" w14:textId="77777777" w:rsidR="00214AB0" w:rsidRPr="006510AC" w:rsidRDefault="00214AB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3DE55" w14:textId="77777777" w:rsidR="008F7615" w:rsidRPr="006510AC" w:rsidRDefault="008F7615" w:rsidP="00EC45DE">
      <w:pPr>
        <w:spacing w:after="0" w:line="240" w:lineRule="auto"/>
        <w:rPr>
          <w:lang w:val="en-US"/>
        </w:rPr>
      </w:pPr>
      <w:r w:rsidRPr="006510AC">
        <w:rPr>
          <w:lang w:val="en-US"/>
        </w:rPr>
        <w:separator/>
      </w:r>
    </w:p>
  </w:footnote>
  <w:footnote w:type="continuationSeparator" w:id="0">
    <w:p w14:paraId="102553CF" w14:textId="77777777" w:rsidR="008F7615" w:rsidRPr="006510AC" w:rsidRDefault="008F7615" w:rsidP="00EC45DE">
      <w:pPr>
        <w:spacing w:after="0" w:line="240" w:lineRule="auto"/>
        <w:rPr>
          <w:lang w:val="en-US"/>
        </w:rPr>
      </w:pPr>
      <w:r w:rsidRPr="006510AC">
        <w:rPr>
          <w:lang w:val="en-US"/>
        </w:rPr>
        <w:continuationSeparator/>
      </w:r>
    </w:p>
  </w:footnote>
  <w:footnote w:id="1">
    <w:p w14:paraId="641E2EF3" w14:textId="62B4DAA9" w:rsidR="00F91094" w:rsidRPr="007560A0" w:rsidRDefault="00F91094" w:rsidP="007560A0">
      <w:pPr>
        <w:pStyle w:val="FootnoteText"/>
        <w:spacing w:line="240" w:lineRule="auto"/>
        <w:ind w:left="173" w:hanging="173"/>
        <w:jc w:val="both"/>
        <w:rPr>
          <w:rFonts w:ascii="Arial" w:hAnsi="Arial" w:cs="Arial"/>
          <w:sz w:val="18"/>
          <w:szCs w:val="18"/>
          <w:lang w:val="en-US"/>
        </w:rPr>
      </w:pPr>
      <w:r w:rsidRPr="007560A0">
        <w:rPr>
          <w:rStyle w:val="FootnoteReference"/>
          <w:rFonts w:ascii="Arial" w:hAnsi="Arial" w:cs="Arial"/>
          <w:sz w:val="18"/>
          <w:szCs w:val="18"/>
          <w:lang w:val="en-US"/>
        </w:rPr>
        <w:t>*</w:t>
      </w:r>
      <w:r w:rsidRPr="007560A0">
        <w:rPr>
          <w:rFonts w:ascii="Arial" w:hAnsi="Arial" w:cs="Arial"/>
          <w:sz w:val="18"/>
          <w:szCs w:val="18"/>
          <w:lang w:val="en-US"/>
        </w:rPr>
        <w:t xml:space="preserve"> Dire</w:t>
      </w:r>
      <w:r w:rsidR="007E33C1" w:rsidRPr="007560A0">
        <w:rPr>
          <w:rFonts w:ascii="Arial" w:hAnsi="Arial" w:cs="Arial"/>
          <w:sz w:val="18"/>
          <w:szCs w:val="18"/>
          <w:lang w:val="en-US"/>
        </w:rPr>
        <w:t>c</w:t>
      </w:r>
      <w:r w:rsidRPr="007560A0">
        <w:rPr>
          <w:rFonts w:ascii="Arial" w:hAnsi="Arial" w:cs="Arial"/>
          <w:sz w:val="18"/>
          <w:szCs w:val="18"/>
          <w:lang w:val="en-US"/>
        </w:rPr>
        <w:t>tor of DISET / Ipea.</w:t>
      </w:r>
    </w:p>
  </w:footnote>
  <w:footnote w:id="2">
    <w:p w14:paraId="74FC0FD8" w14:textId="77777777" w:rsidR="00F91094" w:rsidRPr="007560A0" w:rsidRDefault="00F91094" w:rsidP="007560A0">
      <w:pPr>
        <w:pStyle w:val="FootnoteText"/>
        <w:spacing w:line="240" w:lineRule="auto"/>
        <w:ind w:left="173" w:hanging="173"/>
        <w:jc w:val="both"/>
        <w:rPr>
          <w:rFonts w:ascii="Arial" w:hAnsi="Arial" w:cs="Arial"/>
          <w:sz w:val="18"/>
          <w:szCs w:val="18"/>
          <w:lang w:val="en-US"/>
        </w:rPr>
      </w:pPr>
      <w:r w:rsidRPr="007560A0">
        <w:rPr>
          <w:rStyle w:val="FootnoteReference"/>
          <w:rFonts w:ascii="Arial" w:hAnsi="Arial" w:cs="Arial"/>
          <w:sz w:val="18"/>
          <w:szCs w:val="18"/>
          <w:lang w:val="en-US"/>
        </w:rPr>
        <w:t>**</w:t>
      </w:r>
      <w:r w:rsidRPr="007560A0">
        <w:rPr>
          <w:rFonts w:ascii="Arial" w:hAnsi="Arial" w:cs="Arial"/>
          <w:sz w:val="18"/>
          <w:szCs w:val="18"/>
          <w:lang w:val="en-US"/>
        </w:rPr>
        <w:t xml:space="preserve"> Legislative Consultant in the Federal Senate.</w:t>
      </w:r>
    </w:p>
  </w:footnote>
  <w:footnote w:id="3">
    <w:p w14:paraId="6FE9DE54" w14:textId="4EB7C258" w:rsidR="00F91094" w:rsidRPr="007560A0" w:rsidRDefault="00F91094" w:rsidP="007560A0">
      <w:pPr>
        <w:pStyle w:val="FootnoteText"/>
        <w:spacing w:line="240" w:lineRule="auto"/>
        <w:ind w:left="173" w:hanging="173"/>
        <w:jc w:val="both"/>
        <w:rPr>
          <w:rFonts w:ascii="Arial" w:hAnsi="Arial" w:cs="Arial"/>
          <w:sz w:val="18"/>
          <w:szCs w:val="18"/>
          <w:lang w:val="en-US"/>
        </w:rPr>
      </w:pPr>
      <w:r w:rsidRPr="007560A0">
        <w:rPr>
          <w:rStyle w:val="FootnoteReference"/>
          <w:rFonts w:ascii="Arial" w:hAnsi="Arial" w:cs="Arial"/>
          <w:sz w:val="18"/>
          <w:szCs w:val="18"/>
          <w:lang w:val="en-US"/>
        </w:rPr>
        <w:footnoteRef/>
      </w:r>
      <w:r w:rsidRPr="007560A0">
        <w:rPr>
          <w:rFonts w:ascii="Arial" w:hAnsi="Arial" w:cs="Arial"/>
          <w:sz w:val="18"/>
          <w:szCs w:val="18"/>
          <w:lang w:val="en-US"/>
        </w:rPr>
        <w:t xml:space="preserve"> </w:t>
      </w:r>
      <w:r w:rsidR="003975AA" w:rsidRPr="007560A0">
        <w:rPr>
          <w:rFonts w:ascii="Arial" w:hAnsi="Arial" w:cs="Arial"/>
          <w:sz w:val="18"/>
          <w:szCs w:val="18"/>
          <w:lang w:val="en-US"/>
        </w:rPr>
        <w:t xml:space="preserve"> Although fundamental, these factors - discussed in more detail in Section 2 of this document - are not the only ones limiting investment in the Brazilian economy.</w:t>
      </w:r>
      <w:r w:rsidRPr="007560A0">
        <w:rPr>
          <w:rFonts w:ascii="Arial" w:hAnsi="Arial" w:cs="Arial"/>
          <w:sz w:val="18"/>
          <w:szCs w:val="18"/>
          <w:lang w:val="en-US"/>
        </w:rPr>
        <w:t xml:space="preserve"> </w:t>
      </w:r>
      <w:r w:rsidR="003975AA" w:rsidRPr="007560A0">
        <w:rPr>
          <w:rFonts w:ascii="Arial" w:hAnsi="Arial" w:cs="Arial"/>
          <w:sz w:val="18"/>
          <w:szCs w:val="18"/>
          <w:lang w:val="en-US"/>
        </w:rPr>
        <w:t>Expectations, regulatory standards and the business environment itself are also factors that contribute to the explanation for the low investment rate in Brazil.</w:t>
      </w:r>
    </w:p>
  </w:footnote>
  <w:footnote w:id="4">
    <w:p w14:paraId="7A033CDD" w14:textId="0A670759" w:rsidR="00F91094" w:rsidRPr="007560A0" w:rsidRDefault="00F91094" w:rsidP="007560A0">
      <w:pPr>
        <w:pStyle w:val="FootnoteText"/>
        <w:spacing w:line="240" w:lineRule="auto"/>
        <w:ind w:left="173" w:hanging="173"/>
        <w:jc w:val="both"/>
        <w:rPr>
          <w:rFonts w:ascii="Arial" w:hAnsi="Arial" w:cs="Arial"/>
          <w:sz w:val="18"/>
          <w:szCs w:val="18"/>
          <w:lang w:val="en-US"/>
        </w:rPr>
      </w:pPr>
      <w:r w:rsidRPr="007560A0">
        <w:rPr>
          <w:rStyle w:val="FootnoteReference"/>
          <w:rFonts w:ascii="Arial" w:hAnsi="Arial" w:cs="Arial"/>
          <w:sz w:val="18"/>
          <w:szCs w:val="18"/>
          <w:lang w:val="en-US"/>
        </w:rPr>
        <w:footnoteRef/>
      </w:r>
      <w:r w:rsidR="007E33C1" w:rsidRPr="007560A0">
        <w:rPr>
          <w:rFonts w:ascii="Arial" w:hAnsi="Arial" w:cs="Arial"/>
          <w:sz w:val="18"/>
          <w:szCs w:val="18"/>
          <w:lang w:val="en-US"/>
        </w:rPr>
        <w:t xml:space="preserve"> </w:t>
      </w:r>
      <w:r w:rsidRPr="007560A0">
        <w:rPr>
          <w:rFonts w:ascii="Arial" w:hAnsi="Arial" w:cs="Arial"/>
          <w:sz w:val="18"/>
          <w:szCs w:val="18"/>
          <w:lang w:val="en-US"/>
        </w:rPr>
        <w:t xml:space="preserve">The </w:t>
      </w:r>
      <w:r w:rsidR="00F72B25" w:rsidRPr="007560A0">
        <w:rPr>
          <w:rFonts w:ascii="Arial" w:hAnsi="Arial" w:cs="Arial"/>
          <w:sz w:val="18"/>
          <w:szCs w:val="18"/>
          <w:lang w:val="en-US"/>
        </w:rPr>
        <w:t xml:space="preserve">document </w:t>
      </w:r>
      <w:r w:rsidR="007E33C1" w:rsidRPr="007560A0">
        <w:rPr>
          <w:rFonts w:ascii="Arial" w:hAnsi="Arial" w:cs="Arial"/>
          <w:sz w:val="18"/>
          <w:szCs w:val="18"/>
          <w:lang w:val="en-US"/>
        </w:rPr>
        <w:t>en</w:t>
      </w:r>
      <w:r w:rsidRPr="007560A0">
        <w:rPr>
          <w:rFonts w:ascii="Arial" w:hAnsi="Arial" w:cs="Arial"/>
          <w:sz w:val="18"/>
          <w:szCs w:val="18"/>
          <w:lang w:val="en-US"/>
        </w:rPr>
        <w:t>titled “Report 1: Productivity and Economic Growth” includes information regarding the relationship between the three topics mentioned and productivity.</w:t>
      </w:r>
    </w:p>
  </w:footnote>
  <w:footnote w:id="5">
    <w:p w14:paraId="6942F054" w14:textId="5775D507" w:rsidR="00F91094" w:rsidRPr="007560A0" w:rsidRDefault="00F91094" w:rsidP="007560A0">
      <w:pPr>
        <w:pStyle w:val="FootnoteText"/>
        <w:spacing w:line="240" w:lineRule="auto"/>
        <w:ind w:left="173" w:hanging="173"/>
        <w:jc w:val="both"/>
        <w:rPr>
          <w:rFonts w:ascii="Arial" w:hAnsi="Arial" w:cs="Arial"/>
          <w:sz w:val="18"/>
          <w:szCs w:val="18"/>
          <w:lang w:val="en-US"/>
        </w:rPr>
      </w:pPr>
      <w:r w:rsidRPr="007560A0">
        <w:rPr>
          <w:rStyle w:val="FootnoteReference"/>
          <w:rFonts w:ascii="Arial" w:hAnsi="Arial" w:cs="Arial"/>
          <w:sz w:val="18"/>
          <w:szCs w:val="18"/>
          <w:lang w:val="en-US"/>
        </w:rPr>
        <w:footnoteRef/>
      </w:r>
      <w:r w:rsidRPr="007560A0">
        <w:rPr>
          <w:rFonts w:ascii="Arial" w:hAnsi="Arial" w:cs="Arial"/>
          <w:sz w:val="18"/>
          <w:szCs w:val="18"/>
          <w:lang w:val="en-US"/>
        </w:rPr>
        <w:t xml:space="preserve"> </w:t>
      </w:r>
      <w:r w:rsidR="007A2D74">
        <w:rPr>
          <w:rFonts w:ascii="Arial" w:hAnsi="Arial" w:cs="Arial"/>
          <w:sz w:val="18"/>
          <w:szCs w:val="18"/>
          <w:lang w:val="en-US"/>
        </w:rPr>
        <w:tab/>
      </w:r>
      <w:bookmarkStart w:id="0" w:name="_GoBack"/>
      <w:bookmarkEnd w:id="0"/>
      <w:r w:rsidRPr="007560A0">
        <w:rPr>
          <w:rFonts w:ascii="Arial" w:hAnsi="Arial" w:cs="Arial"/>
          <w:sz w:val="18"/>
          <w:szCs w:val="18"/>
          <w:lang w:val="en-US"/>
        </w:rPr>
        <w:t>Most of these reforms - including in the areas of bankruptcy law, payroll loans and the promulgation of Trust Law - took place during the 2003 - 2006 period. There is strong evidence that the simplest resolution of the problem of insolvency has contributed to the expansion of the volume of credit in the economy</w:t>
      </w:r>
      <w:r w:rsidR="007E33C1" w:rsidRPr="007560A0">
        <w:rPr>
          <w:rFonts w:ascii="Arial" w:hAnsi="Arial" w:cs="Arial"/>
          <w:sz w:val="18"/>
          <w:szCs w:val="18"/>
          <w:lang w:val="en-US"/>
        </w:rPr>
        <w:t xml:space="preserve"> </w:t>
      </w:r>
      <w:r w:rsidRPr="007560A0">
        <w:rPr>
          <w:rFonts w:ascii="Arial" w:hAnsi="Arial" w:cs="Arial"/>
          <w:sz w:val="18"/>
          <w:szCs w:val="18"/>
          <w:lang w:val="en-US"/>
        </w:rPr>
        <w:fldChar w:fldCharType="begin"/>
      </w:r>
      <w:r w:rsidRPr="007560A0">
        <w:rPr>
          <w:rFonts w:ascii="Arial" w:hAnsi="Arial" w:cs="Arial"/>
          <w:sz w:val="18"/>
          <w:szCs w:val="18"/>
          <w:lang w:val="en-US"/>
        </w:rPr>
        <w:instrText xml:space="preserve"> ADDIN ZOTERO_ITEM CSL_CITATION {"citationID":"bgv4qqqgd","properties":{"formattedCitation":"(Araujo; Funchal, 2009)","plainCitation":"(Araujo; Funchal, 2009)","dontUpdate":true},"citationItems":[{"id":551,"uris":["http://zotero.org/users/1080802/items/IHCGJ9IP"],"uri":["http://zotero.org/users/1080802/items/IHCGJ9IP"],"itemData":{"id":551,"type":"article-journal","title":"A nova lei de falências brasileira: primeiros impactos","container-title":"Revista de Economia Política","page":"191–212","volume":"29","issue":"3","author":[{"family":"Araujo","given":"Aloisio"},{"family":"Funchal","given":"Bruno"}],"issued":{"date-parts":[["2009"]]}}}],"schema":"https://github.com/citation-style-language/schema/raw/master/csl-citation.json"} </w:instrText>
      </w:r>
      <w:r w:rsidRPr="007560A0">
        <w:rPr>
          <w:rFonts w:ascii="Arial" w:hAnsi="Arial" w:cs="Arial"/>
          <w:sz w:val="18"/>
          <w:szCs w:val="18"/>
          <w:lang w:val="en-US"/>
        </w:rPr>
        <w:fldChar w:fldCharType="separate"/>
      </w:r>
      <w:r w:rsidRPr="007560A0">
        <w:rPr>
          <w:rFonts w:ascii="Arial" w:hAnsi="Arial" w:cs="Arial"/>
          <w:sz w:val="18"/>
          <w:szCs w:val="18"/>
          <w:lang w:val="en-US"/>
        </w:rPr>
        <w:t>(Araujo; Funchal, 2009)</w:t>
      </w:r>
      <w:r w:rsidRPr="007560A0">
        <w:rPr>
          <w:rFonts w:ascii="Arial" w:hAnsi="Arial" w:cs="Arial"/>
          <w:sz w:val="18"/>
          <w:szCs w:val="18"/>
          <w:lang w:val="en-US"/>
        </w:rPr>
        <w:fldChar w:fldCharType="end"/>
      </w:r>
      <w:r w:rsidRPr="007560A0">
        <w:rPr>
          <w:rFonts w:ascii="Arial" w:hAnsi="Arial" w:cs="Arial"/>
          <w:sz w:val="18"/>
          <w:szCs w:val="18"/>
          <w:lang w:val="en-US"/>
        </w:rPr>
        <w:t>. Another important factor in credit growth, particularly in the case of businesses, was longer terms.</w:t>
      </w:r>
    </w:p>
  </w:footnote>
  <w:footnote w:id="6">
    <w:p w14:paraId="480AC512" w14:textId="3046484B" w:rsidR="00F91094" w:rsidRPr="007560A0" w:rsidRDefault="00F91094" w:rsidP="007560A0">
      <w:pPr>
        <w:pStyle w:val="FootnoteText"/>
        <w:spacing w:line="240" w:lineRule="auto"/>
        <w:ind w:left="173" w:hanging="173"/>
        <w:jc w:val="both"/>
        <w:rPr>
          <w:rFonts w:ascii="Arial" w:hAnsi="Arial" w:cs="Arial"/>
          <w:sz w:val="18"/>
          <w:szCs w:val="18"/>
          <w:lang w:val="en-US"/>
        </w:rPr>
      </w:pPr>
      <w:r w:rsidRPr="007560A0">
        <w:rPr>
          <w:rStyle w:val="FootnoteReference"/>
          <w:rFonts w:ascii="Arial" w:hAnsi="Arial" w:cs="Arial"/>
          <w:sz w:val="18"/>
          <w:szCs w:val="18"/>
          <w:lang w:val="en-US"/>
        </w:rPr>
        <w:footnoteRef/>
      </w:r>
      <w:r w:rsidR="007A2D74">
        <w:rPr>
          <w:rFonts w:ascii="Arial" w:hAnsi="Arial" w:cs="Arial"/>
          <w:sz w:val="18"/>
          <w:szCs w:val="18"/>
          <w:lang w:val="en-US"/>
        </w:rPr>
        <w:tab/>
      </w:r>
      <w:r w:rsidRPr="007560A0">
        <w:rPr>
          <w:rFonts w:ascii="Arial" w:hAnsi="Arial" w:cs="Arial"/>
          <w:sz w:val="18"/>
          <w:szCs w:val="18"/>
          <w:lang w:val="en-US"/>
        </w:rPr>
        <w:t xml:space="preserve">Debt to GDP Ratio - exclusive of credit to financial intermediaries - % (available at: </w:t>
      </w:r>
      <w:hyperlink r:id="rId1" w:history="1">
        <w:r w:rsidRPr="007560A0">
          <w:rPr>
            <w:rStyle w:val="Hyperlink"/>
            <w:rFonts w:ascii="Arial" w:hAnsi="Arial" w:cs="Arial"/>
            <w:sz w:val="18"/>
            <w:szCs w:val="18"/>
            <w:lang w:val="en-US"/>
          </w:rPr>
          <w:t>http://goo.gl/ge7tn</w:t>
        </w:r>
      </w:hyperlink>
      <w:r w:rsidRPr="007560A0">
        <w:rPr>
          <w:rFonts w:ascii="Arial" w:hAnsi="Arial" w:cs="Arial"/>
          <w:sz w:val="18"/>
          <w:szCs w:val="18"/>
          <w:lang w:val="en-US"/>
        </w:rPr>
        <w:t>; accessed on Sept. 5, 2016).</w:t>
      </w:r>
    </w:p>
  </w:footnote>
  <w:footnote w:id="7">
    <w:p w14:paraId="6037155C" w14:textId="421266C1" w:rsidR="00F91094" w:rsidRPr="007560A0" w:rsidRDefault="00F91094" w:rsidP="007560A0">
      <w:pPr>
        <w:pStyle w:val="FootnoteText"/>
        <w:spacing w:line="240" w:lineRule="auto"/>
        <w:ind w:left="173" w:hanging="173"/>
        <w:jc w:val="both"/>
        <w:rPr>
          <w:rFonts w:ascii="Arial" w:hAnsi="Arial" w:cs="Arial"/>
          <w:sz w:val="18"/>
          <w:szCs w:val="18"/>
          <w:lang w:val="en-US"/>
        </w:rPr>
      </w:pPr>
      <w:r w:rsidRPr="007560A0">
        <w:rPr>
          <w:rStyle w:val="FootnoteReference"/>
          <w:rFonts w:ascii="Arial" w:hAnsi="Arial" w:cs="Arial"/>
          <w:sz w:val="18"/>
          <w:szCs w:val="18"/>
          <w:lang w:val="en-US"/>
        </w:rPr>
        <w:footnoteRef/>
      </w:r>
      <w:r w:rsidRPr="007560A0">
        <w:rPr>
          <w:rFonts w:ascii="Arial" w:hAnsi="Arial" w:cs="Arial"/>
          <w:sz w:val="18"/>
          <w:szCs w:val="18"/>
          <w:lang w:val="en-US"/>
        </w:rPr>
        <w:t xml:space="preserve"> </w:t>
      </w:r>
      <w:r w:rsidR="007E33C1" w:rsidRPr="007560A0">
        <w:rPr>
          <w:rFonts w:ascii="Arial" w:hAnsi="Arial" w:cs="Arial"/>
          <w:sz w:val="18"/>
          <w:szCs w:val="18"/>
          <w:lang w:val="en-US"/>
        </w:rPr>
        <w:t xml:space="preserve"> </w:t>
      </w:r>
      <w:r w:rsidRPr="007560A0">
        <w:rPr>
          <w:rFonts w:ascii="Arial" w:hAnsi="Arial" w:cs="Arial"/>
          <w:sz w:val="18"/>
          <w:szCs w:val="18"/>
          <w:lang w:val="en-US"/>
        </w:rPr>
        <w:t xml:space="preserve">This figure was estimated by the authors based on the relationship between the variable "interest expense" and the variable "total costs" as per IBGE's 2014 Annual Industrial Survey (AIS). Although a more accurate estimate would require </w:t>
      </w:r>
      <w:r w:rsidR="00F72B25" w:rsidRPr="007560A0">
        <w:rPr>
          <w:rFonts w:ascii="Arial" w:hAnsi="Arial" w:cs="Arial"/>
          <w:sz w:val="18"/>
          <w:szCs w:val="18"/>
          <w:lang w:val="en-US"/>
        </w:rPr>
        <w:t>consideration</w:t>
      </w:r>
      <w:r w:rsidRPr="007560A0">
        <w:rPr>
          <w:rFonts w:ascii="Arial" w:hAnsi="Arial" w:cs="Arial"/>
          <w:sz w:val="18"/>
          <w:szCs w:val="18"/>
          <w:lang w:val="en-US"/>
        </w:rPr>
        <w:t xml:space="preserve"> of financial expenses in relation to assets which, as compared with the total costs, suggest a lower availability of credit to MSMEs.</w:t>
      </w:r>
    </w:p>
  </w:footnote>
  <w:footnote w:id="8">
    <w:p w14:paraId="3C3B51C0" w14:textId="69ECC592" w:rsidR="00F91094" w:rsidRPr="007560A0" w:rsidRDefault="00F91094" w:rsidP="007560A0">
      <w:pPr>
        <w:pStyle w:val="FootnoteText"/>
        <w:spacing w:line="240" w:lineRule="auto"/>
        <w:ind w:left="173" w:hanging="173"/>
        <w:jc w:val="both"/>
        <w:rPr>
          <w:rFonts w:ascii="Arial" w:hAnsi="Arial" w:cs="Arial"/>
          <w:sz w:val="18"/>
          <w:szCs w:val="18"/>
          <w:lang w:val="en-US"/>
        </w:rPr>
      </w:pPr>
      <w:r w:rsidRPr="007560A0">
        <w:rPr>
          <w:rStyle w:val="FootnoteReference"/>
          <w:rFonts w:ascii="Arial" w:hAnsi="Arial" w:cs="Arial"/>
          <w:sz w:val="18"/>
          <w:szCs w:val="18"/>
          <w:lang w:val="en-US"/>
        </w:rPr>
        <w:footnoteRef/>
      </w:r>
      <w:r w:rsidRPr="007560A0">
        <w:rPr>
          <w:rFonts w:ascii="Arial" w:hAnsi="Arial" w:cs="Arial"/>
          <w:sz w:val="18"/>
          <w:szCs w:val="18"/>
          <w:lang w:val="en-US"/>
        </w:rPr>
        <w:t xml:space="preserve"> I</w:t>
      </w:r>
      <w:r w:rsidR="007E33C1" w:rsidRPr="007560A0">
        <w:rPr>
          <w:rFonts w:ascii="Arial" w:hAnsi="Arial" w:cs="Arial"/>
          <w:sz w:val="18"/>
          <w:szCs w:val="18"/>
          <w:lang w:val="en-US"/>
        </w:rPr>
        <w:t xml:space="preserve"> </w:t>
      </w:r>
      <w:r w:rsidRPr="007560A0">
        <w:rPr>
          <w:rFonts w:ascii="Arial" w:hAnsi="Arial" w:cs="Arial"/>
          <w:sz w:val="18"/>
          <w:szCs w:val="18"/>
          <w:lang w:val="en-US"/>
        </w:rPr>
        <w:t xml:space="preserve">t's worth noting that the definitions of micro and small enterprises adopted by BNDES are based on annual revenue and not the number of employees (microenterprises are those with revenue up to R$ 2.4 million; small businesses up to R$ 16 million and medium-sized enterprises are those with revenue up to R$ 90 million annually). Therefore, these data cannot be compared directly with those shown in the table. </w:t>
      </w:r>
    </w:p>
  </w:footnote>
  <w:footnote w:id="9">
    <w:p w14:paraId="4ABBF8BC" w14:textId="77777777" w:rsidR="00F91094" w:rsidRPr="007560A0" w:rsidRDefault="00F91094" w:rsidP="007560A0">
      <w:pPr>
        <w:pStyle w:val="FootnoteText"/>
        <w:spacing w:line="240" w:lineRule="auto"/>
        <w:ind w:left="173" w:hanging="173"/>
        <w:jc w:val="both"/>
        <w:rPr>
          <w:rFonts w:ascii="Arial" w:hAnsi="Arial" w:cs="Arial"/>
          <w:sz w:val="18"/>
          <w:szCs w:val="18"/>
          <w:lang w:val="en-US"/>
        </w:rPr>
      </w:pPr>
      <w:r w:rsidRPr="007560A0">
        <w:rPr>
          <w:rStyle w:val="FootnoteReference"/>
          <w:rFonts w:ascii="Arial" w:hAnsi="Arial" w:cs="Arial"/>
          <w:sz w:val="18"/>
          <w:szCs w:val="18"/>
          <w:lang w:val="en-US"/>
        </w:rPr>
        <w:footnoteRef/>
      </w:r>
      <w:r w:rsidRPr="007560A0">
        <w:rPr>
          <w:rFonts w:ascii="Arial" w:hAnsi="Arial" w:cs="Arial"/>
          <w:sz w:val="18"/>
          <w:szCs w:val="18"/>
          <w:lang w:val="en-US"/>
        </w:rPr>
        <w:t xml:space="preserve"> Available at: </w:t>
      </w:r>
      <w:hyperlink r:id="rId2" w:history="1">
        <w:r w:rsidRPr="007560A0">
          <w:rPr>
            <w:rStyle w:val="Hyperlink"/>
            <w:rFonts w:ascii="Arial" w:hAnsi="Arial" w:cs="Arial"/>
            <w:sz w:val="18"/>
            <w:szCs w:val="18"/>
            <w:lang w:val="en-US"/>
          </w:rPr>
          <w:t>http://goo.gl/Isf4u0</w:t>
        </w:r>
      </w:hyperlink>
      <w:r w:rsidRPr="007560A0">
        <w:rPr>
          <w:rFonts w:ascii="Arial" w:hAnsi="Arial" w:cs="Arial"/>
          <w:sz w:val="18"/>
          <w:szCs w:val="18"/>
          <w:lang w:val="en-US"/>
        </w:rPr>
        <w:t>. Accessed on Sept. 5, 2016.</w:t>
      </w:r>
    </w:p>
  </w:footnote>
  <w:footnote w:id="10">
    <w:p w14:paraId="284210CD" w14:textId="18D81C4C" w:rsidR="00F91094" w:rsidRPr="007560A0" w:rsidRDefault="00F91094" w:rsidP="007560A0">
      <w:pPr>
        <w:pStyle w:val="FootnoteText"/>
        <w:spacing w:line="240" w:lineRule="auto"/>
        <w:ind w:left="173" w:hanging="173"/>
        <w:jc w:val="both"/>
        <w:rPr>
          <w:rFonts w:ascii="Arial" w:hAnsi="Arial" w:cs="Arial"/>
          <w:sz w:val="18"/>
          <w:szCs w:val="18"/>
          <w:lang w:val="en-US"/>
        </w:rPr>
      </w:pPr>
      <w:r w:rsidRPr="007560A0">
        <w:rPr>
          <w:rStyle w:val="FootnoteReference"/>
          <w:rFonts w:ascii="Arial" w:hAnsi="Arial" w:cs="Arial"/>
          <w:sz w:val="18"/>
          <w:szCs w:val="18"/>
          <w:lang w:val="en-US"/>
        </w:rPr>
        <w:footnoteRef/>
      </w:r>
      <w:r w:rsidRPr="007560A0">
        <w:rPr>
          <w:rFonts w:ascii="Arial" w:hAnsi="Arial" w:cs="Arial"/>
          <w:sz w:val="18"/>
          <w:szCs w:val="18"/>
          <w:lang w:val="en-US"/>
        </w:rPr>
        <w:t xml:space="preserve"> Available at: </w:t>
      </w:r>
      <w:hyperlink r:id="rId3" w:history="1">
        <w:r w:rsidRPr="007560A0">
          <w:rPr>
            <w:rStyle w:val="Hyperlink"/>
            <w:rFonts w:ascii="Arial" w:hAnsi="Arial" w:cs="Arial"/>
            <w:sz w:val="18"/>
            <w:szCs w:val="18"/>
            <w:lang w:val="en-US"/>
          </w:rPr>
          <w:t>http://goo.gl/nFiqPn</w:t>
        </w:r>
      </w:hyperlink>
      <w:r w:rsidRPr="007560A0">
        <w:rPr>
          <w:rFonts w:ascii="Arial" w:hAnsi="Arial" w:cs="Arial"/>
          <w:sz w:val="18"/>
          <w:szCs w:val="18"/>
          <w:lang w:val="en-US"/>
        </w:rPr>
        <w:t xml:space="preserve">. Accessed </w:t>
      </w:r>
      <w:r w:rsidR="00F72B25" w:rsidRPr="007560A0">
        <w:rPr>
          <w:rFonts w:ascii="Arial" w:hAnsi="Arial" w:cs="Arial"/>
          <w:sz w:val="18"/>
          <w:szCs w:val="18"/>
          <w:lang w:val="en-US"/>
        </w:rPr>
        <w:t xml:space="preserve">on Sept. 5, </w:t>
      </w:r>
      <w:r w:rsidRPr="007560A0">
        <w:rPr>
          <w:rFonts w:ascii="Arial" w:hAnsi="Arial" w:cs="Arial"/>
          <w:sz w:val="18"/>
          <w:szCs w:val="18"/>
          <w:lang w:val="en-US"/>
        </w:rPr>
        <w:t>2016.</w:t>
      </w:r>
    </w:p>
  </w:footnote>
  <w:footnote w:id="11">
    <w:p w14:paraId="098B4D69" w14:textId="5962FB1E" w:rsidR="00F91094" w:rsidRPr="007560A0" w:rsidRDefault="00F91094" w:rsidP="007560A0">
      <w:pPr>
        <w:pStyle w:val="FootnoteText"/>
        <w:spacing w:line="240" w:lineRule="auto"/>
        <w:ind w:left="173" w:hanging="173"/>
        <w:jc w:val="both"/>
        <w:rPr>
          <w:rFonts w:ascii="Arial" w:hAnsi="Arial" w:cs="Arial"/>
          <w:sz w:val="18"/>
          <w:szCs w:val="18"/>
          <w:lang w:val="en-US"/>
        </w:rPr>
      </w:pPr>
      <w:r w:rsidRPr="007560A0">
        <w:rPr>
          <w:rStyle w:val="FootnoteReference"/>
          <w:rFonts w:ascii="Arial" w:hAnsi="Arial" w:cs="Arial"/>
          <w:sz w:val="18"/>
          <w:szCs w:val="18"/>
          <w:lang w:val="en-US"/>
        </w:rPr>
        <w:footnoteRef/>
      </w:r>
      <w:r w:rsidRPr="007560A0">
        <w:rPr>
          <w:rFonts w:ascii="Arial" w:hAnsi="Arial" w:cs="Arial"/>
          <w:sz w:val="18"/>
          <w:szCs w:val="18"/>
          <w:lang w:val="en-US"/>
        </w:rPr>
        <w:t xml:space="preserve"> </w:t>
      </w:r>
      <w:r w:rsidR="007E33C1" w:rsidRPr="007560A0">
        <w:rPr>
          <w:rFonts w:ascii="Arial" w:hAnsi="Arial" w:cs="Arial"/>
          <w:sz w:val="18"/>
          <w:szCs w:val="18"/>
          <w:lang w:val="en-US"/>
        </w:rPr>
        <w:t xml:space="preserve"> </w:t>
      </w:r>
      <w:r w:rsidRPr="007560A0">
        <w:rPr>
          <w:rFonts w:ascii="Arial" w:hAnsi="Arial" w:cs="Arial"/>
          <w:sz w:val="18"/>
          <w:szCs w:val="18"/>
          <w:lang w:val="en-US"/>
        </w:rPr>
        <w:t xml:space="preserve">In analyzing the infrastructure sector, BNDES includes the "auxiliary transportation and delivery activities" and "construction" sectors (some of which are classified as urban mobility projects). (available at: </w:t>
      </w:r>
      <w:hyperlink r:id="rId4" w:history="1">
        <w:r w:rsidRPr="007560A0">
          <w:rPr>
            <w:rStyle w:val="Hyperlink"/>
            <w:rFonts w:ascii="Arial" w:hAnsi="Arial" w:cs="Arial"/>
            <w:sz w:val="18"/>
            <w:szCs w:val="18"/>
            <w:lang w:val="en-US"/>
          </w:rPr>
          <w:t>http://goo.gl/9h0uYz</w:t>
        </w:r>
      </w:hyperlink>
      <w:r w:rsidRPr="007560A0">
        <w:rPr>
          <w:rFonts w:ascii="Arial" w:hAnsi="Arial" w:cs="Arial"/>
          <w:sz w:val="18"/>
          <w:szCs w:val="18"/>
          <w:lang w:val="en-US"/>
        </w:rPr>
        <w:t>; accessed on Aug. 12, 2016). In this report, however, only the listed sectors were considered.</w:t>
      </w:r>
    </w:p>
  </w:footnote>
  <w:footnote w:id="12">
    <w:p w14:paraId="40256CD1" w14:textId="77777777" w:rsidR="00F91094" w:rsidRPr="007560A0" w:rsidRDefault="00F91094" w:rsidP="007560A0">
      <w:pPr>
        <w:pStyle w:val="FootnoteText"/>
        <w:spacing w:line="240" w:lineRule="auto"/>
        <w:ind w:left="173" w:hanging="173"/>
        <w:jc w:val="both"/>
        <w:rPr>
          <w:rFonts w:ascii="Arial" w:hAnsi="Arial" w:cs="Arial"/>
          <w:sz w:val="18"/>
          <w:szCs w:val="18"/>
          <w:lang w:val="en-US"/>
        </w:rPr>
      </w:pPr>
      <w:r w:rsidRPr="007560A0">
        <w:rPr>
          <w:rStyle w:val="FootnoteReference"/>
          <w:rFonts w:ascii="Arial" w:hAnsi="Arial" w:cs="Arial"/>
          <w:sz w:val="18"/>
          <w:szCs w:val="18"/>
          <w:lang w:val="en-US"/>
        </w:rPr>
        <w:footnoteRef/>
      </w:r>
      <w:r w:rsidRPr="007560A0">
        <w:rPr>
          <w:rFonts w:ascii="Arial" w:hAnsi="Arial" w:cs="Arial"/>
          <w:sz w:val="18"/>
          <w:szCs w:val="18"/>
          <w:lang w:val="en-US"/>
        </w:rPr>
        <w:t xml:space="preserve"> Available at: </w:t>
      </w:r>
      <w:hyperlink r:id="rId5" w:history="1">
        <w:r w:rsidRPr="007560A0">
          <w:rPr>
            <w:rStyle w:val="Hyperlink"/>
            <w:rFonts w:ascii="Arial" w:hAnsi="Arial" w:cs="Arial"/>
            <w:sz w:val="18"/>
            <w:szCs w:val="18"/>
            <w:lang w:val="en-US"/>
          </w:rPr>
          <w:t>http://goo.gl/oNzSoi</w:t>
        </w:r>
      </w:hyperlink>
      <w:r w:rsidRPr="007560A0">
        <w:rPr>
          <w:rFonts w:ascii="Arial" w:hAnsi="Arial" w:cs="Arial"/>
          <w:sz w:val="18"/>
          <w:szCs w:val="18"/>
          <w:lang w:val="en-US"/>
        </w:rPr>
        <w:t>. Accessed on Sept. 5, 2016.</w:t>
      </w:r>
    </w:p>
  </w:footnote>
  <w:footnote w:id="13">
    <w:p w14:paraId="76CC6630" w14:textId="6EBC78D0" w:rsidR="00F91094" w:rsidRPr="007560A0" w:rsidRDefault="00F91094" w:rsidP="007560A0">
      <w:pPr>
        <w:pStyle w:val="FootnoteText"/>
        <w:spacing w:line="240" w:lineRule="auto"/>
        <w:ind w:left="173" w:hanging="173"/>
        <w:jc w:val="both"/>
        <w:rPr>
          <w:rFonts w:ascii="Arial" w:hAnsi="Arial" w:cs="Arial"/>
          <w:sz w:val="18"/>
          <w:szCs w:val="18"/>
          <w:lang w:val="en-US"/>
        </w:rPr>
      </w:pPr>
      <w:r w:rsidRPr="007560A0">
        <w:rPr>
          <w:rStyle w:val="FootnoteReference"/>
          <w:rFonts w:ascii="Arial" w:hAnsi="Arial" w:cs="Arial"/>
          <w:sz w:val="18"/>
          <w:szCs w:val="18"/>
          <w:lang w:val="en-US"/>
        </w:rPr>
        <w:footnoteRef/>
      </w:r>
      <w:r w:rsidR="007E33C1" w:rsidRPr="007560A0">
        <w:rPr>
          <w:rFonts w:ascii="Arial" w:hAnsi="Arial" w:cs="Arial"/>
          <w:sz w:val="18"/>
          <w:szCs w:val="18"/>
          <w:lang w:val="en-US"/>
        </w:rPr>
        <w:t xml:space="preserve"> </w:t>
      </w:r>
      <w:r w:rsidRPr="007560A0">
        <w:rPr>
          <w:rFonts w:ascii="Arial" w:hAnsi="Arial" w:cs="Arial"/>
          <w:sz w:val="18"/>
          <w:szCs w:val="18"/>
          <w:lang w:val="en-US"/>
        </w:rPr>
        <w:t>For example, the implementation time for a medium or large-scale hydroelectric power plant (assuming no environmental licensing problems or opposition from local communities) can be twice as long as that for a wind farm.</w:t>
      </w:r>
    </w:p>
  </w:footnote>
  <w:footnote w:id="14">
    <w:p w14:paraId="1A793E98" w14:textId="77777777" w:rsidR="00F91094" w:rsidRPr="007560A0" w:rsidRDefault="00F91094" w:rsidP="007560A0">
      <w:pPr>
        <w:pStyle w:val="FootnoteText"/>
        <w:spacing w:line="240" w:lineRule="auto"/>
        <w:ind w:left="173" w:hanging="173"/>
        <w:jc w:val="both"/>
        <w:rPr>
          <w:rFonts w:ascii="Arial" w:hAnsi="Arial" w:cs="Arial"/>
          <w:sz w:val="18"/>
          <w:szCs w:val="18"/>
          <w:lang w:val="en-US"/>
        </w:rPr>
      </w:pPr>
      <w:r w:rsidRPr="007560A0">
        <w:rPr>
          <w:rStyle w:val="FootnoteReference"/>
          <w:rFonts w:ascii="Arial" w:hAnsi="Arial" w:cs="Arial"/>
          <w:sz w:val="18"/>
          <w:szCs w:val="18"/>
          <w:lang w:val="en-US"/>
        </w:rPr>
        <w:footnoteRef/>
      </w:r>
      <w:r w:rsidRPr="007560A0">
        <w:rPr>
          <w:rFonts w:ascii="Arial" w:hAnsi="Arial" w:cs="Arial"/>
          <w:sz w:val="18"/>
          <w:szCs w:val="18"/>
          <w:lang w:val="en-US"/>
        </w:rPr>
        <w:t xml:space="preserve"> Accessed on: </w:t>
      </w:r>
      <w:hyperlink r:id="rId6" w:history="1">
        <w:r w:rsidRPr="007560A0">
          <w:rPr>
            <w:rStyle w:val="Hyperlink"/>
            <w:rFonts w:ascii="Arial" w:hAnsi="Arial" w:cs="Arial"/>
            <w:sz w:val="18"/>
            <w:szCs w:val="18"/>
            <w:lang w:val="en-US"/>
          </w:rPr>
          <w:t>http://goo.gl/ge9tn</w:t>
        </w:r>
      </w:hyperlink>
      <w:r w:rsidRPr="007560A0">
        <w:rPr>
          <w:rFonts w:ascii="Arial" w:hAnsi="Arial" w:cs="Arial"/>
          <w:sz w:val="18"/>
          <w:szCs w:val="18"/>
          <w:lang w:val="en-US"/>
        </w:rPr>
        <w:t>. Accessed on Sept. 5, 2016.</w:t>
      </w:r>
    </w:p>
  </w:footnote>
  <w:footnote w:id="15">
    <w:p w14:paraId="38630A23" w14:textId="77777777" w:rsidR="00F91094" w:rsidRPr="007560A0" w:rsidRDefault="00F91094" w:rsidP="007560A0">
      <w:pPr>
        <w:pStyle w:val="FootnoteText"/>
        <w:spacing w:line="240" w:lineRule="auto"/>
        <w:ind w:left="173" w:hanging="173"/>
        <w:jc w:val="both"/>
        <w:rPr>
          <w:rFonts w:ascii="Arial" w:hAnsi="Arial" w:cs="Arial"/>
          <w:sz w:val="18"/>
          <w:szCs w:val="18"/>
          <w:lang w:val="en-US"/>
        </w:rPr>
      </w:pPr>
      <w:r w:rsidRPr="007560A0">
        <w:rPr>
          <w:rStyle w:val="FootnoteReference"/>
          <w:rFonts w:ascii="Arial" w:hAnsi="Arial" w:cs="Arial"/>
          <w:sz w:val="18"/>
          <w:szCs w:val="18"/>
          <w:lang w:val="en-US"/>
        </w:rPr>
        <w:footnoteRef/>
      </w:r>
      <w:r w:rsidRPr="007560A0">
        <w:rPr>
          <w:rFonts w:ascii="Arial" w:hAnsi="Arial" w:cs="Arial"/>
          <w:sz w:val="18"/>
          <w:szCs w:val="18"/>
          <w:lang w:val="en-US"/>
        </w:rPr>
        <w:t xml:space="preserve"> Accessed on: </w:t>
      </w:r>
      <w:hyperlink r:id="rId7" w:history="1">
        <w:r w:rsidRPr="007560A0">
          <w:rPr>
            <w:rFonts w:ascii="Arial" w:hAnsi="Arial" w:cs="Arial"/>
            <w:sz w:val="18"/>
            <w:szCs w:val="18"/>
            <w:lang w:val="en-US"/>
          </w:rPr>
          <w:t xml:space="preserve"> </w:t>
        </w:r>
        <w:r w:rsidRPr="007560A0">
          <w:rPr>
            <w:rStyle w:val="Hyperlink"/>
            <w:rFonts w:ascii="Arial" w:hAnsi="Arial" w:cs="Arial"/>
            <w:sz w:val="18"/>
            <w:szCs w:val="18"/>
            <w:lang w:val="en-US"/>
          </w:rPr>
          <w:t>http://goo.gl/utrABg</w:t>
        </w:r>
      </w:hyperlink>
      <w:r w:rsidRPr="007560A0">
        <w:rPr>
          <w:rFonts w:ascii="Arial" w:hAnsi="Arial" w:cs="Arial"/>
          <w:sz w:val="18"/>
          <w:szCs w:val="18"/>
          <w:lang w:val="en-US"/>
        </w:rPr>
        <w:t>. Accessed on Sept. 5, 2016.</w:t>
      </w:r>
    </w:p>
  </w:footnote>
  <w:footnote w:id="16">
    <w:p w14:paraId="4A88AE0A" w14:textId="6E0DB509" w:rsidR="00F91094" w:rsidRPr="007560A0" w:rsidRDefault="00F91094" w:rsidP="007560A0">
      <w:pPr>
        <w:pStyle w:val="FootnoteText"/>
        <w:spacing w:line="240" w:lineRule="auto"/>
        <w:ind w:left="173" w:hanging="173"/>
        <w:jc w:val="both"/>
        <w:rPr>
          <w:rFonts w:ascii="Arial" w:hAnsi="Arial" w:cs="Arial"/>
          <w:sz w:val="18"/>
          <w:szCs w:val="18"/>
          <w:lang w:val="en-US"/>
        </w:rPr>
      </w:pPr>
      <w:r w:rsidRPr="007560A0">
        <w:rPr>
          <w:rStyle w:val="FootnoteReference"/>
          <w:rFonts w:ascii="Arial" w:hAnsi="Arial" w:cs="Arial"/>
          <w:sz w:val="18"/>
          <w:szCs w:val="18"/>
          <w:lang w:val="en-US"/>
        </w:rPr>
        <w:footnoteRef/>
      </w:r>
      <w:r w:rsidRPr="007560A0">
        <w:rPr>
          <w:rFonts w:ascii="Arial" w:hAnsi="Arial" w:cs="Arial"/>
          <w:sz w:val="18"/>
          <w:szCs w:val="18"/>
          <w:lang w:val="en-US"/>
        </w:rPr>
        <w:t xml:space="preserve"> A</w:t>
      </w:r>
      <w:r w:rsidR="007E33C1" w:rsidRPr="007560A0">
        <w:rPr>
          <w:rFonts w:ascii="Arial" w:hAnsi="Arial" w:cs="Arial"/>
          <w:sz w:val="18"/>
          <w:szCs w:val="18"/>
          <w:lang w:val="en-US"/>
        </w:rPr>
        <w:t>vailable at</w:t>
      </w:r>
      <w:r w:rsidRPr="007560A0">
        <w:rPr>
          <w:rFonts w:ascii="Arial" w:hAnsi="Arial" w:cs="Arial"/>
          <w:sz w:val="18"/>
          <w:szCs w:val="18"/>
          <w:lang w:val="en-US"/>
        </w:rPr>
        <w:t xml:space="preserve">: </w:t>
      </w:r>
      <w:hyperlink r:id="rId8" w:history="1">
        <w:r w:rsidRPr="007560A0">
          <w:rPr>
            <w:rStyle w:val="Hyperlink"/>
            <w:rFonts w:ascii="Arial" w:hAnsi="Arial" w:cs="Arial"/>
            <w:sz w:val="18"/>
            <w:szCs w:val="18"/>
            <w:lang w:val="en-US"/>
          </w:rPr>
          <w:t>http://goo.gl/EZU9SG</w:t>
        </w:r>
      </w:hyperlink>
      <w:r w:rsidRPr="007560A0">
        <w:rPr>
          <w:rFonts w:ascii="Arial" w:hAnsi="Arial" w:cs="Arial"/>
          <w:sz w:val="18"/>
          <w:szCs w:val="18"/>
          <w:lang w:val="en-US"/>
        </w:rPr>
        <w:t>. accessed on Sept. 5,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8D9AB" w14:textId="77777777" w:rsidR="00214AB0" w:rsidRPr="006510AC" w:rsidRDefault="00214AB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AB46B" w14:textId="77777777" w:rsidR="00214AB0" w:rsidRPr="006510AC" w:rsidRDefault="00214AB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0A3BD" w14:textId="77777777" w:rsidR="00214AB0" w:rsidRPr="006510AC" w:rsidRDefault="00214AB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2CECF0"/>
    <w:lvl w:ilvl="0">
      <w:start w:val="1"/>
      <w:numFmt w:val="decimal"/>
      <w:lvlText w:val="%1."/>
      <w:lvlJc w:val="left"/>
      <w:pPr>
        <w:tabs>
          <w:tab w:val="num" w:pos="1492"/>
        </w:tabs>
        <w:ind w:left="1492" w:hanging="360"/>
      </w:pPr>
    </w:lvl>
  </w:abstractNum>
  <w:abstractNum w:abstractNumId="1">
    <w:nsid w:val="FFFFFF7D"/>
    <w:multiLevelType w:val="singleLevel"/>
    <w:tmpl w:val="6A90B402"/>
    <w:lvl w:ilvl="0">
      <w:start w:val="1"/>
      <w:numFmt w:val="decimal"/>
      <w:lvlText w:val="%1."/>
      <w:lvlJc w:val="left"/>
      <w:pPr>
        <w:tabs>
          <w:tab w:val="num" w:pos="1209"/>
        </w:tabs>
        <w:ind w:left="1209" w:hanging="360"/>
      </w:pPr>
    </w:lvl>
  </w:abstractNum>
  <w:abstractNum w:abstractNumId="2">
    <w:nsid w:val="FFFFFF7E"/>
    <w:multiLevelType w:val="singleLevel"/>
    <w:tmpl w:val="A126C04E"/>
    <w:lvl w:ilvl="0">
      <w:start w:val="1"/>
      <w:numFmt w:val="decimal"/>
      <w:lvlText w:val="%1."/>
      <w:lvlJc w:val="left"/>
      <w:pPr>
        <w:tabs>
          <w:tab w:val="num" w:pos="926"/>
        </w:tabs>
        <w:ind w:left="926" w:hanging="360"/>
      </w:pPr>
    </w:lvl>
  </w:abstractNum>
  <w:abstractNum w:abstractNumId="3">
    <w:nsid w:val="FFFFFF7F"/>
    <w:multiLevelType w:val="singleLevel"/>
    <w:tmpl w:val="4D40EFE2"/>
    <w:lvl w:ilvl="0">
      <w:start w:val="1"/>
      <w:numFmt w:val="decimal"/>
      <w:lvlText w:val="%1."/>
      <w:lvlJc w:val="left"/>
      <w:pPr>
        <w:tabs>
          <w:tab w:val="num" w:pos="643"/>
        </w:tabs>
        <w:ind w:left="643" w:hanging="360"/>
      </w:pPr>
    </w:lvl>
  </w:abstractNum>
  <w:abstractNum w:abstractNumId="4">
    <w:nsid w:val="FFFFFF80"/>
    <w:multiLevelType w:val="singleLevel"/>
    <w:tmpl w:val="FDC886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FA3F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3EFF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E69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A2912C"/>
    <w:lvl w:ilvl="0">
      <w:start w:val="1"/>
      <w:numFmt w:val="decimal"/>
      <w:lvlText w:val="%1."/>
      <w:lvlJc w:val="left"/>
      <w:pPr>
        <w:tabs>
          <w:tab w:val="num" w:pos="360"/>
        </w:tabs>
        <w:ind w:left="360" w:hanging="360"/>
      </w:pPr>
    </w:lvl>
  </w:abstractNum>
  <w:abstractNum w:abstractNumId="9">
    <w:nsid w:val="FFFFFF89"/>
    <w:multiLevelType w:val="singleLevel"/>
    <w:tmpl w:val="C582AA14"/>
    <w:lvl w:ilvl="0">
      <w:start w:val="1"/>
      <w:numFmt w:val="bullet"/>
      <w:lvlText w:val=""/>
      <w:lvlJc w:val="left"/>
      <w:pPr>
        <w:tabs>
          <w:tab w:val="num" w:pos="360"/>
        </w:tabs>
        <w:ind w:left="360" w:hanging="360"/>
      </w:pPr>
      <w:rPr>
        <w:rFonts w:ascii="Symbol" w:hAnsi="Symbol" w:hint="default"/>
      </w:rPr>
    </w:lvl>
  </w:abstractNum>
  <w:abstractNum w:abstractNumId="10">
    <w:nsid w:val="12F871C1"/>
    <w:multiLevelType w:val="hybridMultilevel"/>
    <w:tmpl w:val="7FDA30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2FF0351"/>
    <w:multiLevelType w:val="hybridMultilevel"/>
    <w:tmpl w:val="C826FB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053E1B"/>
    <w:multiLevelType w:val="hybridMultilevel"/>
    <w:tmpl w:val="A1B2A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906A47"/>
    <w:multiLevelType w:val="hybridMultilevel"/>
    <w:tmpl w:val="A1B2A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4754C4"/>
    <w:multiLevelType w:val="hybridMultilevel"/>
    <w:tmpl w:val="A1B2A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A9115A"/>
    <w:multiLevelType w:val="hybridMultilevel"/>
    <w:tmpl w:val="FF2CE4D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4E5A3E"/>
    <w:multiLevelType w:val="hybridMultilevel"/>
    <w:tmpl w:val="60865934"/>
    <w:lvl w:ilvl="0" w:tplc="90DA8B66">
      <w:start w:val="1"/>
      <w:numFmt w:val="bullet"/>
      <w:pStyle w:val="p-02"/>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B987F80"/>
    <w:multiLevelType w:val="hybridMultilevel"/>
    <w:tmpl w:val="40AEC31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2852B32"/>
    <w:multiLevelType w:val="hybridMultilevel"/>
    <w:tmpl w:val="10E471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824EED"/>
    <w:multiLevelType w:val="hybridMultilevel"/>
    <w:tmpl w:val="874E2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A7F2AB7"/>
    <w:multiLevelType w:val="hybridMultilevel"/>
    <w:tmpl w:val="975AD61C"/>
    <w:lvl w:ilvl="0" w:tplc="2A125B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3C3A0E"/>
    <w:multiLevelType w:val="hybridMultilevel"/>
    <w:tmpl w:val="C860893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38C00EC"/>
    <w:multiLevelType w:val="hybridMultilevel"/>
    <w:tmpl w:val="0CA6B004"/>
    <w:lvl w:ilvl="0" w:tplc="2D5C7D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3F01AF8"/>
    <w:multiLevelType w:val="hybridMultilevel"/>
    <w:tmpl w:val="A1B2A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C551CF"/>
    <w:multiLevelType w:val="multilevel"/>
    <w:tmpl w:val="80FE2A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1"/>
  </w:num>
  <w:num w:numId="2">
    <w:abstractNumId w:val="15"/>
  </w:num>
  <w:num w:numId="3">
    <w:abstractNumId w:val="17"/>
  </w:num>
  <w:num w:numId="4">
    <w:abstractNumId w:val="10"/>
  </w:num>
  <w:num w:numId="5">
    <w:abstractNumId w:val="20"/>
  </w:num>
  <w:num w:numId="6">
    <w:abstractNumId w:val="22"/>
  </w:num>
  <w:num w:numId="7">
    <w:abstractNumId w:val="11"/>
  </w:num>
  <w:num w:numId="8">
    <w:abstractNumId w:val="24"/>
  </w:num>
  <w:num w:numId="9">
    <w:abstractNumId w:val="16"/>
  </w:num>
  <w:num w:numId="10">
    <w:abstractNumId w:val="16"/>
  </w:num>
  <w:num w:numId="11">
    <w:abstractNumId w:val="1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B4"/>
    <w:rsid w:val="0003253B"/>
    <w:rsid w:val="000503A4"/>
    <w:rsid w:val="00082B73"/>
    <w:rsid w:val="00093812"/>
    <w:rsid w:val="000B5D8E"/>
    <w:rsid w:val="000C2584"/>
    <w:rsid w:val="000D0367"/>
    <w:rsid w:val="000D2C9E"/>
    <w:rsid w:val="000E1CA0"/>
    <w:rsid w:val="000F02D7"/>
    <w:rsid w:val="0012523E"/>
    <w:rsid w:val="001415B5"/>
    <w:rsid w:val="00150F74"/>
    <w:rsid w:val="001648FA"/>
    <w:rsid w:val="00165376"/>
    <w:rsid w:val="001809AB"/>
    <w:rsid w:val="001A4B8F"/>
    <w:rsid w:val="001A701D"/>
    <w:rsid w:val="001A7431"/>
    <w:rsid w:val="001A7BA7"/>
    <w:rsid w:val="001B1A5F"/>
    <w:rsid w:val="001C565E"/>
    <w:rsid w:val="001C7C15"/>
    <w:rsid w:val="001D24BF"/>
    <w:rsid w:val="001E2AA5"/>
    <w:rsid w:val="001F64CC"/>
    <w:rsid w:val="00214AB0"/>
    <w:rsid w:val="00247111"/>
    <w:rsid w:val="0024731A"/>
    <w:rsid w:val="002503FF"/>
    <w:rsid w:val="00277900"/>
    <w:rsid w:val="00281CD9"/>
    <w:rsid w:val="002A0F11"/>
    <w:rsid w:val="002A48A0"/>
    <w:rsid w:val="002B4769"/>
    <w:rsid w:val="002C31AA"/>
    <w:rsid w:val="002C4043"/>
    <w:rsid w:val="002D04FD"/>
    <w:rsid w:val="002D7B51"/>
    <w:rsid w:val="002F02C0"/>
    <w:rsid w:val="002F222E"/>
    <w:rsid w:val="00301E24"/>
    <w:rsid w:val="00312B2F"/>
    <w:rsid w:val="00316FA5"/>
    <w:rsid w:val="00323ED0"/>
    <w:rsid w:val="003251A4"/>
    <w:rsid w:val="003470D0"/>
    <w:rsid w:val="003810B4"/>
    <w:rsid w:val="003840C6"/>
    <w:rsid w:val="003975AA"/>
    <w:rsid w:val="00397E98"/>
    <w:rsid w:val="003B1B08"/>
    <w:rsid w:val="003B6AF2"/>
    <w:rsid w:val="003C1CFD"/>
    <w:rsid w:val="003D581A"/>
    <w:rsid w:val="003D5D0A"/>
    <w:rsid w:val="003D7D1A"/>
    <w:rsid w:val="003E310A"/>
    <w:rsid w:val="003F0F44"/>
    <w:rsid w:val="00402EE9"/>
    <w:rsid w:val="00404FED"/>
    <w:rsid w:val="004240F7"/>
    <w:rsid w:val="004274F8"/>
    <w:rsid w:val="00442A75"/>
    <w:rsid w:val="00452C40"/>
    <w:rsid w:val="00454E24"/>
    <w:rsid w:val="0047051B"/>
    <w:rsid w:val="004824B4"/>
    <w:rsid w:val="004875CC"/>
    <w:rsid w:val="00494973"/>
    <w:rsid w:val="004E25C5"/>
    <w:rsid w:val="004F0BE8"/>
    <w:rsid w:val="00510AAC"/>
    <w:rsid w:val="00520D14"/>
    <w:rsid w:val="00527E7A"/>
    <w:rsid w:val="005458AA"/>
    <w:rsid w:val="00560DA2"/>
    <w:rsid w:val="005678D9"/>
    <w:rsid w:val="0058257D"/>
    <w:rsid w:val="005941F9"/>
    <w:rsid w:val="005D00A4"/>
    <w:rsid w:val="005E55F4"/>
    <w:rsid w:val="005F18CC"/>
    <w:rsid w:val="00605375"/>
    <w:rsid w:val="006172D0"/>
    <w:rsid w:val="00617818"/>
    <w:rsid w:val="0064271A"/>
    <w:rsid w:val="006510AC"/>
    <w:rsid w:val="0065386F"/>
    <w:rsid w:val="00660A27"/>
    <w:rsid w:val="006739C7"/>
    <w:rsid w:val="00684D64"/>
    <w:rsid w:val="00694BE3"/>
    <w:rsid w:val="00695BE1"/>
    <w:rsid w:val="006D5C8A"/>
    <w:rsid w:val="006E355B"/>
    <w:rsid w:val="006F4665"/>
    <w:rsid w:val="00700DF2"/>
    <w:rsid w:val="00704826"/>
    <w:rsid w:val="00710455"/>
    <w:rsid w:val="00711584"/>
    <w:rsid w:val="007132D2"/>
    <w:rsid w:val="007560A0"/>
    <w:rsid w:val="00757E25"/>
    <w:rsid w:val="00775BC6"/>
    <w:rsid w:val="007A2D74"/>
    <w:rsid w:val="007D2F2D"/>
    <w:rsid w:val="007E031F"/>
    <w:rsid w:val="007E17CB"/>
    <w:rsid w:val="007E33C1"/>
    <w:rsid w:val="007F796F"/>
    <w:rsid w:val="0080305B"/>
    <w:rsid w:val="00871C72"/>
    <w:rsid w:val="00885447"/>
    <w:rsid w:val="008A0A3F"/>
    <w:rsid w:val="008A6EE8"/>
    <w:rsid w:val="008B2359"/>
    <w:rsid w:val="008D351A"/>
    <w:rsid w:val="008D7788"/>
    <w:rsid w:val="008F3848"/>
    <w:rsid w:val="008F75A8"/>
    <w:rsid w:val="008F7615"/>
    <w:rsid w:val="00916EFF"/>
    <w:rsid w:val="00933F68"/>
    <w:rsid w:val="00957F6B"/>
    <w:rsid w:val="009841A8"/>
    <w:rsid w:val="00987585"/>
    <w:rsid w:val="009A0EB6"/>
    <w:rsid w:val="009C0447"/>
    <w:rsid w:val="009D484C"/>
    <w:rsid w:val="00A013CF"/>
    <w:rsid w:val="00A27AD7"/>
    <w:rsid w:val="00A35B0D"/>
    <w:rsid w:val="00A43A93"/>
    <w:rsid w:val="00A5229E"/>
    <w:rsid w:val="00A54F52"/>
    <w:rsid w:val="00A631C2"/>
    <w:rsid w:val="00A70785"/>
    <w:rsid w:val="00A755C9"/>
    <w:rsid w:val="00A85CD4"/>
    <w:rsid w:val="00A9148A"/>
    <w:rsid w:val="00AA410F"/>
    <w:rsid w:val="00AE0CFB"/>
    <w:rsid w:val="00AF4EC6"/>
    <w:rsid w:val="00AF66E5"/>
    <w:rsid w:val="00B027AE"/>
    <w:rsid w:val="00B14E7C"/>
    <w:rsid w:val="00B2181A"/>
    <w:rsid w:val="00B22066"/>
    <w:rsid w:val="00B24701"/>
    <w:rsid w:val="00B36923"/>
    <w:rsid w:val="00B36A24"/>
    <w:rsid w:val="00B374E3"/>
    <w:rsid w:val="00B41E4F"/>
    <w:rsid w:val="00B60205"/>
    <w:rsid w:val="00BA78CB"/>
    <w:rsid w:val="00BB7E48"/>
    <w:rsid w:val="00BD61CF"/>
    <w:rsid w:val="00BE1CB5"/>
    <w:rsid w:val="00BF09C7"/>
    <w:rsid w:val="00BF2DC0"/>
    <w:rsid w:val="00C33A7C"/>
    <w:rsid w:val="00C37E1C"/>
    <w:rsid w:val="00C76047"/>
    <w:rsid w:val="00CA42DC"/>
    <w:rsid w:val="00CB37B4"/>
    <w:rsid w:val="00CC559C"/>
    <w:rsid w:val="00D0363B"/>
    <w:rsid w:val="00D16A4B"/>
    <w:rsid w:val="00D30DB1"/>
    <w:rsid w:val="00D323B0"/>
    <w:rsid w:val="00D4267E"/>
    <w:rsid w:val="00D50A4C"/>
    <w:rsid w:val="00D543B8"/>
    <w:rsid w:val="00D71C5B"/>
    <w:rsid w:val="00D845F6"/>
    <w:rsid w:val="00DB6E49"/>
    <w:rsid w:val="00DC1F87"/>
    <w:rsid w:val="00DC278D"/>
    <w:rsid w:val="00DD1399"/>
    <w:rsid w:val="00DF65C5"/>
    <w:rsid w:val="00E02686"/>
    <w:rsid w:val="00E069A7"/>
    <w:rsid w:val="00E212E9"/>
    <w:rsid w:val="00E3006A"/>
    <w:rsid w:val="00E64D72"/>
    <w:rsid w:val="00E70E74"/>
    <w:rsid w:val="00E713A3"/>
    <w:rsid w:val="00E75851"/>
    <w:rsid w:val="00E86D67"/>
    <w:rsid w:val="00E97F63"/>
    <w:rsid w:val="00EA113A"/>
    <w:rsid w:val="00EB0FCE"/>
    <w:rsid w:val="00EC2205"/>
    <w:rsid w:val="00EC2AFC"/>
    <w:rsid w:val="00EC45DE"/>
    <w:rsid w:val="00ED56AF"/>
    <w:rsid w:val="00F558C3"/>
    <w:rsid w:val="00F7196D"/>
    <w:rsid w:val="00F72B25"/>
    <w:rsid w:val="00F91094"/>
    <w:rsid w:val="00F93EDE"/>
    <w:rsid w:val="00F95AB9"/>
    <w:rsid w:val="00F97199"/>
    <w:rsid w:val="00FA2F42"/>
    <w:rsid w:val="00FB0CC5"/>
    <w:rsid w:val="00FB1100"/>
    <w:rsid w:val="00FB297B"/>
    <w:rsid w:val="00FC39D5"/>
    <w:rsid w:val="00FC4023"/>
    <w:rsid w:val="00FD1F2A"/>
    <w:rsid w:val="00FD6744"/>
    <w:rsid w:val="00FE0B1C"/>
    <w:rsid w:val="00FF31FC"/>
    <w:rsid w:val="00FF446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26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A5"/>
  </w:style>
  <w:style w:type="paragraph" w:styleId="Heading1">
    <w:name w:val="heading 1"/>
    <w:basedOn w:val="Normal"/>
    <w:next w:val="Normal"/>
    <w:link w:val="Heading1Char"/>
    <w:uiPriority w:val="9"/>
    <w:qFormat/>
    <w:rsid w:val="00E713A3"/>
    <w:pPr>
      <w:keepNext/>
      <w:keepLines/>
      <w:numPr>
        <w:numId w:val="8"/>
      </w:numPr>
      <w:spacing w:before="480" w:after="24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C1F87"/>
    <w:pPr>
      <w:keepNext/>
      <w:keepLines/>
      <w:numPr>
        <w:ilvl w:val="1"/>
        <w:numId w:val="8"/>
      </w:numPr>
      <w:spacing w:before="200" w:after="240"/>
      <w:ind w:left="578" w:hanging="578"/>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527E7A"/>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7E7A"/>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7E7A"/>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7E7A"/>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7E7A"/>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7E7A"/>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7E7A"/>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B4"/>
    <w:pPr>
      <w:ind w:left="720"/>
      <w:contextualSpacing/>
    </w:pPr>
  </w:style>
  <w:style w:type="character" w:customStyle="1" w:styleId="Heading1Char">
    <w:name w:val="Heading 1 Char"/>
    <w:basedOn w:val="DefaultParagraphFont"/>
    <w:link w:val="Heading1"/>
    <w:uiPriority w:val="9"/>
    <w:rsid w:val="00E713A3"/>
    <w:rPr>
      <w:rFonts w:asciiTheme="majorHAnsi" w:eastAsiaTheme="majorEastAsia" w:hAnsiTheme="majorHAnsi" w:cstheme="majorBidi"/>
      <w:b/>
      <w:bCs/>
      <w:color w:val="365F91" w:themeColor="accent1" w:themeShade="BF"/>
      <w:szCs w:val="28"/>
    </w:rPr>
  </w:style>
  <w:style w:type="paragraph" w:styleId="Title">
    <w:name w:val="Title"/>
    <w:basedOn w:val="Normal"/>
    <w:next w:val="Normal"/>
    <w:link w:val="TitleChar"/>
    <w:uiPriority w:val="10"/>
    <w:qFormat/>
    <w:rsid w:val="00E713A3"/>
    <w:pPr>
      <w:spacing w:after="48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E713A3"/>
    <w:rPr>
      <w:rFonts w:asciiTheme="majorHAnsi" w:eastAsiaTheme="majorEastAsia" w:hAnsiTheme="majorHAnsi" w:cstheme="majorBidi"/>
      <w:color w:val="17365D" w:themeColor="text2" w:themeShade="BF"/>
      <w:spacing w:val="5"/>
      <w:kern w:val="28"/>
      <w:sz w:val="40"/>
      <w:szCs w:val="52"/>
    </w:rPr>
  </w:style>
  <w:style w:type="paragraph" w:customStyle="1" w:styleId="p-01">
    <w:name w:val="p-01"/>
    <w:qFormat/>
    <w:rsid w:val="00E713A3"/>
    <w:pPr>
      <w:spacing w:after="240"/>
      <w:jc w:val="both"/>
    </w:pPr>
  </w:style>
  <w:style w:type="character" w:styleId="CommentReference">
    <w:name w:val="annotation reference"/>
    <w:basedOn w:val="DefaultParagraphFont"/>
    <w:uiPriority w:val="99"/>
    <w:semiHidden/>
    <w:unhideWhenUsed/>
    <w:rsid w:val="00EB0FCE"/>
    <w:rPr>
      <w:sz w:val="16"/>
      <w:szCs w:val="16"/>
    </w:rPr>
  </w:style>
  <w:style w:type="paragraph" w:styleId="CommentText">
    <w:name w:val="annotation text"/>
    <w:basedOn w:val="Normal"/>
    <w:link w:val="CommentTextChar"/>
    <w:uiPriority w:val="99"/>
    <w:unhideWhenUsed/>
    <w:rsid w:val="00EB0FCE"/>
    <w:pPr>
      <w:spacing w:line="240" w:lineRule="auto"/>
    </w:pPr>
    <w:rPr>
      <w:sz w:val="20"/>
      <w:szCs w:val="20"/>
    </w:rPr>
  </w:style>
  <w:style w:type="character" w:customStyle="1" w:styleId="CommentTextChar">
    <w:name w:val="Comment Text Char"/>
    <w:basedOn w:val="DefaultParagraphFont"/>
    <w:link w:val="CommentText"/>
    <w:uiPriority w:val="99"/>
    <w:rsid w:val="00EB0FCE"/>
    <w:rPr>
      <w:sz w:val="20"/>
      <w:szCs w:val="20"/>
    </w:rPr>
  </w:style>
  <w:style w:type="paragraph" w:styleId="CommentSubject">
    <w:name w:val="annotation subject"/>
    <w:basedOn w:val="CommentText"/>
    <w:next w:val="CommentText"/>
    <w:link w:val="CommentSubjectChar"/>
    <w:uiPriority w:val="99"/>
    <w:semiHidden/>
    <w:unhideWhenUsed/>
    <w:rsid w:val="00EB0FCE"/>
    <w:rPr>
      <w:b/>
      <w:bCs/>
    </w:rPr>
  </w:style>
  <w:style w:type="character" w:customStyle="1" w:styleId="CommentSubjectChar">
    <w:name w:val="Comment Subject Char"/>
    <w:basedOn w:val="CommentTextChar"/>
    <w:link w:val="CommentSubject"/>
    <w:uiPriority w:val="99"/>
    <w:semiHidden/>
    <w:rsid w:val="00EB0FCE"/>
    <w:rPr>
      <w:b/>
      <w:bCs/>
      <w:sz w:val="20"/>
      <w:szCs w:val="20"/>
    </w:rPr>
  </w:style>
  <w:style w:type="paragraph" w:styleId="BalloonText">
    <w:name w:val="Balloon Text"/>
    <w:basedOn w:val="Normal"/>
    <w:link w:val="BalloonTextChar"/>
    <w:uiPriority w:val="99"/>
    <w:semiHidden/>
    <w:unhideWhenUsed/>
    <w:rsid w:val="00EB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CE"/>
    <w:rPr>
      <w:rFonts w:ascii="Tahoma" w:hAnsi="Tahoma" w:cs="Tahoma"/>
      <w:sz w:val="16"/>
      <w:szCs w:val="16"/>
    </w:rPr>
  </w:style>
  <w:style w:type="character" w:customStyle="1" w:styleId="Heading2Char">
    <w:name w:val="Heading 2 Char"/>
    <w:basedOn w:val="DefaultParagraphFont"/>
    <w:link w:val="Heading2"/>
    <w:uiPriority w:val="9"/>
    <w:rsid w:val="00DC1F87"/>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semiHidden/>
    <w:rsid w:val="00527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27E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27E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7E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7E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7E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7E7A"/>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27E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527E7A"/>
    <w:rPr>
      <w:color w:val="0000FF" w:themeColor="hyperlink"/>
      <w:u w:val="single"/>
    </w:rPr>
  </w:style>
  <w:style w:type="table" w:styleId="TableGrid">
    <w:name w:val="Table Grid"/>
    <w:basedOn w:val="TableNormal"/>
    <w:uiPriority w:val="59"/>
    <w:rsid w:val="00DC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5DE"/>
    <w:pPr>
      <w:tabs>
        <w:tab w:val="center" w:pos="4252"/>
        <w:tab w:val="right" w:pos="8504"/>
      </w:tabs>
      <w:spacing w:after="0" w:line="240" w:lineRule="auto"/>
    </w:pPr>
  </w:style>
  <w:style w:type="character" w:customStyle="1" w:styleId="HeaderChar">
    <w:name w:val="Header Char"/>
    <w:basedOn w:val="DefaultParagraphFont"/>
    <w:link w:val="Header"/>
    <w:uiPriority w:val="99"/>
    <w:rsid w:val="00EC45DE"/>
  </w:style>
  <w:style w:type="paragraph" w:styleId="Footer">
    <w:name w:val="footer"/>
    <w:basedOn w:val="Normal"/>
    <w:link w:val="FooterChar"/>
    <w:uiPriority w:val="99"/>
    <w:unhideWhenUsed/>
    <w:rsid w:val="00EC45DE"/>
    <w:pPr>
      <w:tabs>
        <w:tab w:val="center" w:pos="4252"/>
        <w:tab w:val="right" w:pos="8504"/>
      </w:tabs>
      <w:spacing w:after="0" w:line="240" w:lineRule="auto"/>
    </w:pPr>
  </w:style>
  <w:style w:type="character" w:customStyle="1" w:styleId="FooterChar">
    <w:name w:val="Footer Char"/>
    <w:basedOn w:val="DefaultParagraphFont"/>
    <w:link w:val="Footer"/>
    <w:uiPriority w:val="99"/>
    <w:rsid w:val="00EC45DE"/>
  </w:style>
  <w:style w:type="paragraph" w:customStyle="1" w:styleId="p-02">
    <w:name w:val="p-02"/>
    <w:basedOn w:val="p-01"/>
    <w:qFormat/>
    <w:rsid w:val="00560DA2"/>
    <w:pPr>
      <w:numPr>
        <w:numId w:val="9"/>
      </w:numPr>
      <w:contextualSpacing/>
    </w:pPr>
  </w:style>
  <w:style w:type="paragraph" w:customStyle="1" w:styleId="f-01">
    <w:name w:val="f-01"/>
    <w:basedOn w:val="p-01"/>
    <w:rsid w:val="00710455"/>
    <w:pPr>
      <w:keepNext/>
      <w:spacing w:after="120"/>
      <w:jc w:val="center"/>
    </w:pPr>
    <w:rPr>
      <w:rFonts w:eastAsia="Times New Roman" w:cs="Arial"/>
      <w:b/>
      <w:noProof/>
      <w:color w:val="4F81BD" w:themeColor="accent1"/>
      <w:szCs w:val="20"/>
      <w:lang w:eastAsia="pt-BR"/>
    </w:rPr>
  </w:style>
  <w:style w:type="paragraph" w:customStyle="1" w:styleId="f-03">
    <w:name w:val="f-03"/>
    <w:basedOn w:val="p-01"/>
    <w:rsid w:val="002F222E"/>
    <w:pPr>
      <w:spacing w:before="120" w:line="360" w:lineRule="auto"/>
      <w:jc w:val="center"/>
    </w:pPr>
    <w:rPr>
      <w:rFonts w:eastAsia="Times New Roman" w:cs="Times New Roman"/>
      <w:sz w:val="18"/>
      <w:szCs w:val="20"/>
      <w:lang w:eastAsia="pt-BR"/>
    </w:rPr>
  </w:style>
  <w:style w:type="paragraph" w:styleId="FootnoteText">
    <w:name w:val="footnote text"/>
    <w:aliases w:val="fn,Texto de nota de rodapé Char Char Char,Texto de nota de rodapé Char Char,Footnote Text Char,footnote text"/>
    <w:basedOn w:val="Normal"/>
    <w:link w:val="FootnoteTextChar1"/>
    <w:uiPriority w:val="99"/>
    <w:unhideWhenUsed/>
    <w:qFormat/>
    <w:rsid w:val="00316FA5"/>
    <w:pPr>
      <w:spacing w:after="0"/>
      <w:ind w:left="170" w:hanging="170"/>
    </w:pPr>
    <w:rPr>
      <w:sz w:val="20"/>
      <w:szCs w:val="20"/>
    </w:rPr>
  </w:style>
  <w:style w:type="character" w:customStyle="1" w:styleId="FootnoteTextChar1">
    <w:name w:val="Footnote Text Char1"/>
    <w:aliases w:val="fn Char,Texto de nota de rodapé Char Char Char Char,Texto de nota de rodapé Char Char Char1,Footnote Text Char Char,footnote text Char"/>
    <w:basedOn w:val="DefaultParagraphFont"/>
    <w:link w:val="FootnoteText"/>
    <w:uiPriority w:val="99"/>
    <w:rsid w:val="00316FA5"/>
    <w:rPr>
      <w:sz w:val="20"/>
      <w:szCs w:val="20"/>
    </w:rPr>
  </w:style>
  <w:style w:type="character" w:styleId="FootnoteReference">
    <w:name w:val="footnote reference"/>
    <w:basedOn w:val="DefaultParagraphFont"/>
    <w:uiPriority w:val="99"/>
    <w:unhideWhenUsed/>
    <w:rsid w:val="004F0BE8"/>
    <w:rPr>
      <w:vertAlign w:val="superscript"/>
    </w:rPr>
  </w:style>
  <w:style w:type="character" w:customStyle="1" w:styleId="apple-converted-space">
    <w:name w:val="apple-converted-space"/>
    <w:basedOn w:val="DefaultParagraphFont"/>
    <w:rsid w:val="0012523E"/>
  </w:style>
  <w:style w:type="paragraph" w:customStyle="1" w:styleId="f-02">
    <w:name w:val="f-02"/>
    <w:basedOn w:val="p-01"/>
    <w:qFormat/>
    <w:rsid w:val="0064271A"/>
    <w:pPr>
      <w:keepNext/>
      <w:spacing w:after="120"/>
      <w:jc w:val="center"/>
    </w:pPr>
    <w:rPr>
      <w:noProof/>
      <w:lang w:eastAsia="pt-BR"/>
    </w:rPr>
  </w:style>
  <w:style w:type="paragraph" w:styleId="Bibliography">
    <w:name w:val="Bibliography"/>
    <w:basedOn w:val="Normal"/>
    <w:next w:val="Normal"/>
    <w:uiPriority w:val="37"/>
    <w:semiHidden/>
    <w:unhideWhenUsed/>
    <w:rsid w:val="00A43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A5"/>
  </w:style>
  <w:style w:type="paragraph" w:styleId="Heading1">
    <w:name w:val="heading 1"/>
    <w:basedOn w:val="Normal"/>
    <w:next w:val="Normal"/>
    <w:link w:val="Heading1Char"/>
    <w:uiPriority w:val="9"/>
    <w:qFormat/>
    <w:rsid w:val="00E713A3"/>
    <w:pPr>
      <w:keepNext/>
      <w:keepLines/>
      <w:numPr>
        <w:numId w:val="8"/>
      </w:numPr>
      <w:spacing w:before="480" w:after="24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C1F87"/>
    <w:pPr>
      <w:keepNext/>
      <w:keepLines/>
      <w:numPr>
        <w:ilvl w:val="1"/>
        <w:numId w:val="8"/>
      </w:numPr>
      <w:spacing w:before="200" w:after="240"/>
      <w:ind w:left="578" w:hanging="578"/>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527E7A"/>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7E7A"/>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7E7A"/>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7E7A"/>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7E7A"/>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7E7A"/>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7E7A"/>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B4"/>
    <w:pPr>
      <w:ind w:left="720"/>
      <w:contextualSpacing/>
    </w:pPr>
  </w:style>
  <w:style w:type="character" w:customStyle="1" w:styleId="Heading1Char">
    <w:name w:val="Heading 1 Char"/>
    <w:basedOn w:val="DefaultParagraphFont"/>
    <w:link w:val="Heading1"/>
    <w:uiPriority w:val="9"/>
    <w:rsid w:val="00E713A3"/>
    <w:rPr>
      <w:rFonts w:asciiTheme="majorHAnsi" w:eastAsiaTheme="majorEastAsia" w:hAnsiTheme="majorHAnsi" w:cstheme="majorBidi"/>
      <w:b/>
      <w:bCs/>
      <w:color w:val="365F91" w:themeColor="accent1" w:themeShade="BF"/>
      <w:szCs w:val="28"/>
    </w:rPr>
  </w:style>
  <w:style w:type="paragraph" w:styleId="Title">
    <w:name w:val="Title"/>
    <w:basedOn w:val="Normal"/>
    <w:next w:val="Normal"/>
    <w:link w:val="TitleChar"/>
    <w:uiPriority w:val="10"/>
    <w:qFormat/>
    <w:rsid w:val="00E713A3"/>
    <w:pPr>
      <w:spacing w:after="48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E713A3"/>
    <w:rPr>
      <w:rFonts w:asciiTheme="majorHAnsi" w:eastAsiaTheme="majorEastAsia" w:hAnsiTheme="majorHAnsi" w:cstheme="majorBidi"/>
      <w:color w:val="17365D" w:themeColor="text2" w:themeShade="BF"/>
      <w:spacing w:val="5"/>
      <w:kern w:val="28"/>
      <w:sz w:val="40"/>
      <w:szCs w:val="52"/>
    </w:rPr>
  </w:style>
  <w:style w:type="paragraph" w:customStyle="1" w:styleId="p-01">
    <w:name w:val="p-01"/>
    <w:qFormat/>
    <w:rsid w:val="00E713A3"/>
    <w:pPr>
      <w:spacing w:after="240"/>
      <w:jc w:val="both"/>
    </w:pPr>
  </w:style>
  <w:style w:type="character" w:styleId="CommentReference">
    <w:name w:val="annotation reference"/>
    <w:basedOn w:val="DefaultParagraphFont"/>
    <w:uiPriority w:val="99"/>
    <w:semiHidden/>
    <w:unhideWhenUsed/>
    <w:rsid w:val="00EB0FCE"/>
    <w:rPr>
      <w:sz w:val="16"/>
      <w:szCs w:val="16"/>
    </w:rPr>
  </w:style>
  <w:style w:type="paragraph" w:styleId="CommentText">
    <w:name w:val="annotation text"/>
    <w:basedOn w:val="Normal"/>
    <w:link w:val="CommentTextChar"/>
    <w:uiPriority w:val="99"/>
    <w:unhideWhenUsed/>
    <w:rsid w:val="00EB0FCE"/>
    <w:pPr>
      <w:spacing w:line="240" w:lineRule="auto"/>
    </w:pPr>
    <w:rPr>
      <w:sz w:val="20"/>
      <w:szCs w:val="20"/>
    </w:rPr>
  </w:style>
  <w:style w:type="character" w:customStyle="1" w:styleId="CommentTextChar">
    <w:name w:val="Comment Text Char"/>
    <w:basedOn w:val="DefaultParagraphFont"/>
    <w:link w:val="CommentText"/>
    <w:uiPriority w:val="99"/>
    <w:rsid w:val="00EB0FCE"/>
    <w:rPr>
      <w:sz w:val="20"/>
      <w:szCs w:val="20"/>
    </w:rPr>
  </w:style>
  <w:style w:type="paragraph" w:styleId="CommentSubject">
    <w:name w:val="annotation subject"/>
    <w:basedOn w:val="CommentText"/>
    <w:next w:val="CommentText"/>
    <w:link w:val="CommentSubjectChar"/>
    <w:uiPriority w:val="99"/>
    <w:semiHidden/>
    <w:unhideWhenUsed/>
    <w:rsid w:val="00EB0FCE"/>
    <w:rPr>
      <w:b/>
      <w:bCs/>
    </w:rPr>
  </w:style>
  <w:style w:type="character" w:customStyle="1" w:styleId="CommentSubjectChar">
    <w:name w:val="Comment Subject Char"/>
    <w:basedOn w:val="CommentTextChar"/>
    <w:link w:val="CommentSubject"/>
    <w:uiPriority w:val="99"/>
    <w:semiHidden/>
    <w:rsid w:val="00EB0FCE"/>
    <w:rPr>
      <w:b/>
      <w:bCs/>
      <w:sz w:val="20"/>
      <w:szCs w:val="20"/>
    </w:rPr>
  </w:style>
  <w:style w:type="paragraph" w:styleId="BalloonText">
    <w:name w:val="Balloon Text"/>
    <w:basedOn w:val="Normal"/>
    <w:link w:val="BalloonTextChar"/>
    <w:uiPriority w:val="99"/>
    <w:semiHidden/>
    <w:unhideWhenUsed/>
    <w:rsid w:val="00EB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CE"/>
    <w:rPr>
      <w:rFonts w:ascii="Tahoma" w:hAnsi="Tahoma" w:cs="Tahoma"/>
      <w:sz w:val="16"/>
      <w:szCs w:val="16"/>
    </w:rPr>
  </w:style>
  <w:style w:type="character" w:customStyle="1" w:styleId="Heading2Char">
    <w:name w:val="Heading 2 Char"/>
    <w:basedOn w:val="DefaultParagraphFont"/>
    <w:link w:val="Heading2"/>
    <w:uiPriority w:val="9"/>
    <w:rsid w:val="00DC1F87"/>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semiHidden/>
    <w:rsid w:val="00527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27E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27E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7E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7E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7E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7E7A"/>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27E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527E7A"/>
    <w:rPr>
      <w:color w:val="0000FF" w:themeColor="hyperlink"/>
      <w:u w:val="single"/>
    </w:rPr>
  </w:style>
  <w:style w:type="table" w:styleId="TableGrid">
    <w:name w:val="Table Grid"/>
    <w:basedOn w:val="TableNormal"/>
    <w:uiPriority w:val="59"/>
    <w:rsid w:val="00DC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5DE"/>
    <w:pPr>
      <w:tabs>
        <w:tab w:val="center" w:pos="4252"/>
        <w:tab w:val="right" w:pos="8504"/>
      </w:tabs>
      <w:spacing w:after="0" w:line="240" w:lineRule="auto"/>
    </w:pPr>
  </w:style>
  <w:style w:type="character" w:customStyle="1" w:styleId="HeaderChar">
    <w:name w:val="Header Char"/>
    <w:basedOn w:val="DefaultParagraphFont"/>
    <w:link w:val="Header"/>
    <w:uiPriority w:val="99"/>
    <w:rsid w:val="00EC45DE"/>
  </w:style>
  <w:style w:type="paragraph" w:styleId="Footer">
    <w:name w:val="footer"/>
    <w:basedOn w:val="Normal"/>
    <w:link w:val="FooterChar"/>
    <w:uiPriority w:val="99"/>
    <w:unhideWhenUsed/>
    <w:rsid w:val="00EC45DE"/>
    <w:pPr>
      <w:tabs>
        <w:tab w:val="center" w:pos="4252"/>
        <w:tab w:val="right" w:pos="8504"/>
      </w:tabs>
      <w:spacing w:after="0" w:line="240" w:lineRule="auto"/>
    </w:pPr>
  </w:style>
  <w:style w:type="character" w:customStyle="1" w:styleId="FooterChar">
    <w:name w:val="Footer Char"/>
    <w:basedOn w:val="DefaultParagraphFont"/>
    <w:link w:val="Footer"/>
    <w:uiPriority w:val="99"/>
    <w:rsid w:val="00EC45DE"/>
  </w:style>
  <w:style w:type="paragraph" w:customStyle="1" w:styleId="p-02">
    <w:name w:val="p-02"/>
    <w:basedOn w:val="p-01"/>
    <w:qFormat/>
    <w:rsid w:val="00560DA2"/>
    <w:pPr>
      <w:numPr>
        <w:numId w:val="9"/>
      </w:numPr>
      <w:contextualSpacing/>
    </w:pPr>
  </w:style>
  <w:style w:type="paragraph" w:customStyle="1" w:styleId="f-01">
    <w:name w:val="f-01"/>
    <w:basedOn w:val="p-01"/>
    <w:rsid w:val="00710455"/>
    <w:pPr>
      <w:keepNext/>
      <w:spacing w:after="120"/>
      <w:jc w:val="center"/>
    </w:pPr>
    <w:rPr>
      <w:rFonts w:eastAsia="Times New Roman" w:cs="Arial"/>
      <w:b/>
      <w:noProof/>
      <w:color w:val="4F81BD" w:themeColor="accent1"/>
      <w:szCs w:val="20"/>
      <w:lang w:eastAsia="pt-BR"/>
    </w:rPr>
  </w:style>
  <w:style w:type="paragraph" w:customStyle="1" w:styleId="f-03">
    <w:name w:val="f-03"/>
    <w:basedOn w:val="p-01"/>
    <w:rsid w:val="002F222E"/>
    <w:pPr>
      <w:spacing w:before="120" w:line="360" w:lineRule="auto"/>
      <w:jc w:val="center"/>
    </w:pPr>
    <w:rPr>
      <w:rFonts w:eastAsia="Times New Roman" w:cs="Times New Roman"/>
      <w:sz w:val="18"/>
      <w:szCs w:val="20"/>
      <w:lang w:eastAsia="pt-BR"/>
    </w:rPr>
  </w:style>
  <w:style w:type="paragraph" w:styleId="FootnoteText">
    <w:name w:val="footnote text"/>
    <w:aliases w:val="fn,Texto de nota de rodapé Char Char Char,Texto de nota de rodapé Char Char,Footnote Text Char,footnote text"/>
    <w:basedOn w:val="Normal"/>
    <w:link w:val="FootnoteTextChar1"/>
    <w:uiPriority w:val="99"/>
    <w:unhideWhenUsed/>
    <w:qFormat/>
    <w:rsid w:val="00316FA5"/>
    <w:pPr>
      <w:spacing w:after="0"/>
      <w:ind w:left="170" w:hanging="170"/>
    </w:pPr>
    <w:rPr>
      <w:sz w:val="20"/>
      <w:szCs w:val="20"/>
    </w:rPr>
  </w:style>
  <w:style w:type="character" w:customStyle="1" w:styleId="FootnoteTextChar1">
    <w:name w:val="Footnote Text Char1"/>
    <w:aliases w:val="fn Char,Texto de nota de rodapé Char Char Char Char,Texto de nota de rodapé Char Char Char1,Footnote Text Char Char,footnote text Char"/>
    <w:basedOn w:val="DefaultParagraphFont"/>
    <w:link w:val="FootnoteText"/>
    <w:uiPriority w:val="99"/>
    <w:rsid w:val="00316FA5"/>
    <w:rPr>
      <w:sz w:val="20"/>
      <w:szCs w:val="20"/>
    </w:rPr>
  </w:style>
  <w:style w:type="character" w:styleId="FootnoteReference">
    <w:name w:val="footnote reference"/>
    <w:basedOn w:val="DefaultParagraphFont"/>
    <w:uiPriority w:val="99"/>
    <w:unhideWhenUsed/>
    <w:rsid w:val="004F0BE8"/>
    <w:rPr>
      <w:vertAlign w:val="superscript"/>
    </w:rPr>
  </w:style>
  <w:style w:type="character" w:customStyle="1" w:styleId="apple-converted-space">
    <w:name w:val="apple-converted-space"/>
    <w:basedOn w:val="DefaultParagraphFont"/>
    <w:rsid w:val="0012523E"/>
  </w:style>
  <w:style w:type="paragraph" w:customStyle="1" w:styleId="f-02">
    <w:name w:val="f-02"/>
    <w:basedOn w:val="p-01"/>
    <w:qFormat/>
    <w:rsid w:val="0064271A"/>
    <w:pPr>
      <w:keepNext/>
      <w:spacing w:after="120"/>
      <w:jc w:val="center"/>
    </w:pPr>
    <w:rPr>
      <w:noProof/>
      <w:lang w:eastAsia="pt-BR"/>
    </w:rPr>
  </w:style>
  <w:style w:type="paragraph" w:styleId="Bibliography">
    <w:name w:val="Bibliography"/>
    <w:basedOn w:val="Normal"/>
    <w:next w:val="Normal"/>
    <w:uiPriority w:val="37"/>
    <w:semiHidden/>
    <w:unhideWhenUsed/>
    <w:rsid w:val="00A4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5662">
      <w:bodyDiv w:val="1"/>
      <w:marLeft w:val="0"/>
      <w:marRight w:val="0"/>
      <w:marTop w:val="0"/>
      <w:marBottom w:val="0"/>
      <w:divBdr>
        <w:top w:val="none" w:sz="0" w:space="0" w:color="auto"/>
        <w:left w:val="none" w:sz="0" w:space="0" w:color="auto"/>
        <w:bottom w:val="none" w:sz="0" w:space="0" w:color="auto"/>
        <w:right w:val="none" w:sz="0" w:space="0" w:color="auto"/>
      </w:divBdr>
    </w:div>
    <w:div w:id="206794144">
      <w:bodyDiv w:val="1"/>
      <w:marLeft w:val="0"/>
      <w:marRight w:val="0"/>
      <w:marTop w:val="0"/>
      <w:marBottom w:val="0"/>
      <w:divBdr>
        <w:top w:val="none" w:sz="0" w:space="0" w:color="auto"/>
        <w:left w:val="none" w:sz="0" w:space="0" w:color="auto"/>
        <w:bottom w:val="none" w:sz="0" w:space="0" w:color="auto"/>
        <w:right w:val="none" w:sz="0" w:space="0" w:color="auto"/>
      </w:divBdr>
    </w:div>
    <w:div w:id="609240548">
      <w:bodyDiv w:val="1"/>
      <w:marLeft w:val="0"/>
      <w:marRight w:val="0"/>
      <w:marTop w:val="0"/>
      <w:marBottom w:val="0"/>
      <w:divBdr>
        <w:top w:val="none" w:sz="0" w:space="0" w:color="auto"/>
        <w:left w:val="none" w:sz="0" w:space="0" w:color="auto"/>
        <w:bottom w:val="none" w:sz="0" w:space="0" w:color="auto"/>
        <w:right w:val="none" w:sz="0" w:space="0" w:color="auto"/>
      </w:divBdr>
    </w:div>
    <w:div w:id="1084649840">
      <w:bodyDiv w:val="1"/>
      <w:marLeft w:val="0"/>
      <w:marRight w:val="0"/>
      <w:marTop w:val="0"/>
      <w:marBottom w:val="0"/>
      <w:divBdr>
        <w:top w:val="none" w:sz="0" w:space="0" w:color="auto"/>
        <w:left w:val="none" w:sz="0" w:space="0" w:color="auto"/>
        <w:bottom w:val="none" w:sz="0" w:space="0" w:color="auto"/>
        <w:right w:val="none" w:sz="0" w:space="0" w:color="auto"/>
      </w:divBdr>
    </w:div>
    <w:div w:id="1150755845">
      <w:bodyDiv w:val="1"/>
      <w:marLeft w:val="0"/>
      <w:marRight w:val="0"/>
      <w:marTop w:val="0"/>
      <w:marBottom w:val="0"/>
      <w:divBdr>
        <w:top w:val="none" w:sz="0" w:space="0" w:color="auto"/>
        <w:left w:val="none" w:sz="0" w:space="0" w:color="auto"/>
        <w:bottom w:val="none" w:sz="0" w:space="0" w:color="auto"/>
        <w:right w:val="none" w:sz="0" w:space="0" w:color="auto"/>
      </w:divBdr>
    </w:div>
    <w:div w:id="1412585055">
      <w:bodyDiv w:val="1"/>
      <w:marLeft w:val="0"/>
      <w:marRight w:val="0"/>
      <w:marTop w:val="0"/>
      <w:marBottom w:val="0"/>
      <w:divBdr>
        <w:top w:val="none" w:sz="0" w:space="0" w:color="auto"/>
        <w:left w:val="none" w:sz="0" w:space="0" w:color="auto"/>
        <w:bottom w:val="none" w:sz="0" w:space="0" w:color="auto"/>
        <w:right w:val="none" w:sz="0" w:space="0" w:color="auto"/>
      </w:divBdr>
    </w:div>
    <w:div w:id="1914461172">
      <w:bodyDiv w:val="1"/>
      <w:marLeft w:val="0"/>
      <w:marRight w:val="0"/>
      <w:marTop w:val="0"/>
      <w:marBottom w:val="0"/>
      <w:divBdr>
        <w:top w:val="none" w:sz="0" w:space="0" w:color="auto"/>
        <w:left w:val="none" w:sz="0" w:space="0" w:color="auto"/>
        <w:bottom w:val="none" w:sz="0" w:space="0" w:color="auto"/>
        <w:right w:val="none" w:sz="0" w:space="0" w:color="auto"/>
      </w:divBdr>
    </w:div>
    <w:div w:id="197436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goo.gl/VNGcOC" TargetMode="External"/><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W3Hq1A" TargetMode="External"/><Relationship Id="rId24" Type="http://schemas.openxmlformats.org/officeDocument/2006/relationships/header" Target="header3.xml"/><Relationship Id="rId32"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chart" Target="charts/chart2.xml"/><Relationship Id="rId19" Type="http://schemas.openxmlformats.org/officeDocument/2006/relationships/chart" Target="charts/chart8.xm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goo.gl/aXSUgI"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goo.gl/EZU9SG" TargetMode="External"/><Relationship Id="rId3" Type="http://schemas.openxmlformats.org/officeDocument/2006/relationships/hyperlink" Target="http://goo.gl/nFiqPn" TargetMode="External"/><Relationship Id="rId7" Type="http://schemas.openxmlformats.org/officeDocument/2006/relationships/hyperlink" Target="http://goo.gl/EZU9SG" TargetMode="External"/><Relationship Id="rId2" Type="http://schemas.openxmlformats.org/officeDocument/2006/relationships/hyperlink" Target="http://goo.gl/Isf4u0" TargetMode="External"/><Relationship Id="rId1" Type="http://schemas.openxmlformats.org/officeDocument/2006/relationships/hyperlink" Target="http://goo.gl/ge7tn" TargetMode="External"/><Relationship Id="rId6" Type="http://schemas.openxmlformats.org/officeDocument/2006/relationships/hyperlink" Target="http://goo.gl/EZU9SG" TargetMode="External"/><Relationship Id="rId5" Type="http://schemas.openxmlformats.org/officeDocument/2006/relationships/hyperlink" Target="http://goo.gl/oNzSoi" TargetMode="External"/><Relationship Id="rId4" Type="http://schemas.openxmlformats.org/officeDocument/2006/relationships/hyperlink" Target="http://goo.gl/9h0uY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53653871\Documents\Produtividade\Position%20paper\taxa%20de%20investimento%20trimestra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53653871\AppData\Local\Microsoft\Windows\INetCache\Content.Outlook\U87YWEOL\Financ_FBC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01%20Ricardo\Documents\11%20BNDES%20(Werner)\The%20Brazilian%20Development%20Bank%20Rev.%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01%20Ricardo\Documents\15%20BID%20produtividade\BID%20Rel.%202%20(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01%20Ricardo\Documents\15%20BID%20produtividade\BID%20Rel.%202%20(1.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illiam\Desktop\Dad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307974276938009E-2"/>
          <c:y val="2.7669830990752323E-2"/>
          <c:w val="0.89777369069742197"/>
          <c:h val="0.75767420073584701"/>
        </c:manualLayout>
      </c:layout>
      <c:lineChart>
        <c:grouping val="standard"/>
        <c:varyColors val="0"/>
        <c:ser>
          <c:idx val="2"/>
          <c:order val="0"/>
          <c:tx>
            <c:strRef>
              <c:f>Séries!$D$2</c:f>
              <c:strCache>
                <c:ptCount val="1"/>
                <c:pt idx="0">
                  <c:v>Taxa de investimento (preços correntes)</c:v>
                </c:pt>
              </c:strCache>
            </c:strRef>
          </c:tx>
          <c:marker>
            <c:symbol val="none"/>
          </c:marker>
          <c:cat>
            <c:strRef>
              <c:f>Séries!$A$39:$A$94</c:f>
              <c:strCache>
                <c:ptCount val="56"/>
                <c:pt idx="0">
                  <c:v>2000 T1</c:v>
                </c:pt>
                <c:pt idx="1">
                  <c:v>2000 T2</c:v>
                </c:pt>
                <c:pt idx="2">
                  <c:v>2000 T3</c:v>
                </c:pt>
                <c:pt idx="3">
                  <c:v>2000 T4</c:v>
                </c:pt>
                <c:pt idx="4">
                  <c:v>2001 T1</c:v>
                </c:pt>
                <c:pt idx="5">
                  <c:v>2001 T2</c:v>
                </c:pt>
                <c:pt idx="6">
                  <c:v>2001 T3</c:v>
                </c:pt>
                <c:pt idx="7">
                  <c:v>2001 T4</c:v>
                </c:pt>
                <c:pt idx="8">
                  <c:v>2002 T1</c:v>
                </c:pt>
                <c:pt idx="9">
                  <c:v>2002 T2</c:v>
                </c:pt>
                <c:pt idx="10">
                  <c:v>2002 T3</c:v>
                </c:pt>
                <c:pt idx="11">
                  <c:v>2002 T4</c:v>
                </c:pt>
                <c:pt idx="12">
                  <c:v>2003 T1</c:v>
                </c:pt>
                <c:pt idx="13">
                  <c:v>2003 T2</c:v>
                </c:pt>
                <c:pt idx="14">
                  <c:v>2003 T3</c:v>
                </c:pt>
                <c:pt idx="15">
                  <c:v>2003 T4</c:v>
                </c:pt>
                <c:pt idx="16">
                  <c:v>2004 T1</c:v>
                </c:pt>
                <c:pt idx="17">
                  <c:v>2004 T2</c:v>
                </c:pt>
                <c:pt idx="18">
                  <c:v>2004 T3</c:v>
                </c:pt>
                <c:pt idx="19">
                  <c:v>2004 T4</c:v>
                </c:pt>
                <c:pt idx="20">
                  <c:v>2005 T1</c:v>
                </c:pt>
                <c:pt idx="21">
                  <c:v>2005 T2</c:v>
                </c:pt>
                <c:pt idx="22">
                  <c:v>2005 T3</c:v>
                </c:pt>
                <c:pt idx="23">
                  <c:v>2005 T4</c:v>
                </c:pt>
                <c:pt idx="24">
                  <c:v>2006 T1</c:v>
                </c:pt>
                <c:pt idx="25">
                  <c:v>2006 T2</c:v>
                </c:pt>
                <c:pt idx="26">
                  <c:v>2006 T3</c:v>
                </c:pt>
                <c:pt idx="27">
                  <c:v>2006 T4</c:v>
                </c:pt>
                <c:pt idx="28">
                  <c:v>2007 T1</c:v>
                </c:pt>
                <c:pt idx="29">
                  <c:v>2007 T2</c:v>
                </c:pt>
                <c:pt idx="30">
                  <c:v>2007 T3</c:v>
                </c:pt>
                <c:pt idx="31">
                  <c:v>2007 T4</c:v>
                </c:pt>
                <c:pt idx="32">
                  <c:v>2008 T1</c:v>
                </c:pt>
                <c:pt idx="33">
                  <c:v>2008 T2</c:v>
                </c:pt>
                <c:pt idx="34">
                  <c:v>2008 T3</c:v>
                </c:pt>
                <c:pt idx="35">
                  <c:v>2008 T4</c:v>
                </c:pt>
                <c:pt idx="36">
                  <c:v>2009 T1</c:v>
                </c:pt>
                <c:pt idx="37">
                  <c:v>2009 T2</c:v>
                </c:pt>
                <c:pt idx="38">
                  <c:v>2009 T3</c:v>
                </c:pt>
                <c:pt idx="39">
                  <c:v>2009 T4</c:v>
                </c:pt>
                <c:pt idx="40">
                  <c:v>2010 T1</c:v>
                </c:pt>
                <c:pt idx="41">
                  <c:v>2010 T2</c:v>
                </c:pt>
                <c:pt idx="42">
                  <c:v>2010 T3</c:v>
                </c:pt>
                <c:pt idx="43">
                  <c:v>2010 T4</c:v>
                </c:pt>
                <c:pt idx="44">
                  <c:v>2011 T1</c:v>
                </c:pt>
                <c:pt idx="45">
                  <c:v>2011 T2</c:v>
                </c:pt>
                <c:pt idx="46">
                  <c:v>2011 T3</c:v>
                </c:pt>
                <c:pt idx="47">
                  <c:v>2011 T4</c:v>
                </c:pt>
                <c:pt idx="48">
                  <c:v>2012 T1</c:v>
                </c:pt>
                <c:pt idx="49">
                  <c:v>2012 T2</c:v>
                </c:pt>
                <c:pt idx="50">
                  <c:v>2012 T3</c:v>
                </c:pt>
                <c:pt idx="51">
                  <c:v>2012 T4</c:v>
                </c:pt>
                <c:pt idx="52">
                  <c:v>2013 T1</c:v>
                </c:pt>
                <c:pt idx="53">
                  <c:v>2013 T2</c:v>
                </c:pt>
                <c:pt idx="54">
                  <c:v>2013 T3</c:v>
                </c:pt>
                <c:pt idx="55">
                  <c:v>2013 T4</c:v>
                </c:pt>
              </c:strCache>
            </c:strRef>
          </c:cat>
          <c:val>
            <c:numRef>
              <c:f>Séries!$D$39:$D$94</c:f>
              <c:numCache>
                <c:formatCode>#,##0.0000</c:formatCode>
                <c:ptCount val="56"/>
                <c:pt idx="0">
                  <c:v>18.996176454046999</c:v>
                </c:pt>
                <c:pt idx="1">
                  <c:v>16.6785757285386</c:v>
                </c:pt>
                <c:pt idx="2">
                  <c:v>16.1807587956107</c:v>
                </c:pt>
                <c:pt idx="3">
                  <c:v>15.6337450598431</c:v>
                </c:pt>
                <c:pt idx="4">
                  <c:v>18.164908768351101</c:v>
                </c:pt>
                <c:pt idx="5">
                  <c:v>17.440865139490501</c:v>
                </c:pt>
                <c:pt idx="6">
                  <c:v>17.117853233770099</c:v>
                </c:pt>
                <c:pt idx="7">
                  <c:v>15.560662518491</c:v>
                </c:pt>
                <c:pt idx="8">
                  <c:v>16.713094477761601</c:v>
                </c:pt>
                <c:pt idx="9">
                  <c:v>16.019599814603598</c:v>
                </c:pt>
                <c:pt idx="10">
                  <c:v>16.613505625640101</c:v>
                </c:pt>
                <c:pt idx="11">
                  <c:v>16.238033935083401</c:v>
                </c:pt>
                <c:pt idx="12">
                  <c:v>16.294426575558099</c:v>
                </c:pt>
                <c:pt idx="13">
                  <c:v>14.8640111341875</c:v>
                </c:pt>
                <c:pt idx="14">
                  <c:v>15.212057637129901</c:v>
                </c:pt>
                <c:pt idx="15">
                  <c:v>14.850072595972399</c:v>
                </c:pt>
                <c:pt idx="16">
                  <c:v>16.097095702161599</c:v>
                </c:pt>
                <c:pt idx="17">
                  <c:v>15.8958543128351</c:v>
                </c:pt>
                <c:pt idx="18">
                  <c:v>16.8840346159175</c:v>
                </c:pt>
                <c:pt idx="19">
                  <c:v>15.535785542971301</c:v>
                </c:pt>
                <c:pt idx="20">
                  <c:v>16.079114418698701</c:v>
                </c:pt>
                <c:pt idx="21">
                  <c:v>16.0682260579256</c:v>
                </c:pt>
                <c:pt idx="22">
                  <c:v>16.425651741629899</c:v>
                </c:pt>
                <c:pt idx="23">
                  <c:v>15.238096491851501</c:v>
                </c:pt>
                <c:pt idx="24">
                  <c:v>16.710573612647</c:v>
                </c:pt>
                <c:pt idx="25">
                  <c:v>16.401365737002699</c:v>
                </c:pt>
                <c:pt idx="26">
                  <c:v>16.830475821448101</c:v>
                </c:pt>
                <c:pt idx="27">
                  <c:v>15.8446273672203</c:v>
                </c:pt>
                <c:pt idx="28">
                  <c:v>16.791375381208098</c:v>
                </c:pt>
                <c:pt idx="29">
                  <c:v>17.0680107865686</c:v>
                </c:pt>
                <c:pt idx="30">
                  <c:v>18.2818568403634</c:v>
                </c:pt>
                <c:pt idx="31">
                  <c:v>17.5529127770188</c:v>
                </c:pt>
                <c:pt idx="32">
                  <c:v>18.287067948096301</c:v>
                </c:pt>
                <c:pt idx="33">
                  <c:v>18.704919829338099</c:v>
                </c:pt>
                <c:pt idx="34">
                  <c:v>20.621249877853401</c:v>
                </c:pt>
                <c:pt idx="35">
                  <c:v>18.725960820306199</c:v>
                </c:pt>
                <c:pt idx="36">
                  <c:v>17.023541907671198</c:v>
                </c:pt>
                <c:pt idx="37">
                  <c:v>17.217181832062401</c:v>
                </c:pt>
                <c:pt idx="38">
                  <c:v>19.1841993692111</c:v>
                </c:pt>
                <c:pt idx="39">
                  <c:v>18.639596668487801</c:v>
                </c:pt>
                <c:pt idx="40">
                  <c:v>19.241795999113702</c:v>
                </c:pt>
                <c:pt idx="41">
                  <c:v>19.2170928384161</c:v>
                </c:pt>
                <c:pt idx="42">
                  <c:v>20.466024560301801</c:v>
                </c:pt>
                <c:pt idx="43">
                  <c:v>18.920953751767701</c:v>
                </c:pt>
                <c:pt idx="44">
                  <c:v>19.519632702650501</c:v>
                </c:pt>
                <c:pt idx="45">
                  <c:v>18.8441497611621</c:v>
                </c:pt>
                <c:pt idx="46">
                  <c:v>20.020471335545899</c:v>
                </c:pt>
                <c:pt idx="47">
                  <c:v>18.7701794468557</c:v>
                </c:pt>
                <c:pt idx="48">
                  <c:v>18.833251088570801</c:v>
                </c:pt>
                <c:pt idx="49">
                  <c:v>17.797820078232899</c:v>
                </c:pt>
                <c:pt idx="50">
                  <c:v>18.716049456352</c:v>
                </c:pt>
                <c:pt idx="51">
                  <c:v>17.435096718853</c:v>
                </c:pt>
                <c:pt idx="52">
                  <c:v>18.407949206731502</c:v>
                </c:pt>
                <c:pt idx="53">
                  <c:v>18.387871883358098</c:v>
                </c:pt>
                <c:pt idx="54">
                  <c:v>19.1225898083601</c:v>
                </c:pt>
                <c:pt idx="55">
                  <c:v>17.6555022106349</c:v>
                </c:pt>
              </c:numCache>
            </c:numRef>
          </c:val>
          <c:smooth val="0"/>
          <c:extLst xmlns:c16r2="http://schemas.microsoft.com/office/drawing/2015/06/chart">
            <c:ext xmlns:c16="http://schemas.microsoft.com/office/drawing/2014/chart" uri="{C3380CC4-5D6E-409C-BE32-E72D297353CC}">
              <c16:uniqueId val="{00000000-15E3-466C-A117-40E6B1D2894A}"/>
            </c:ext>
          </c:extLst>
        </c:ser>
        <c:dLbls>
          <c:showLegendKey val="0"/>
          <c:showVal val="0"/>
          <c:showCatName val="0"/>
          <c:showSerName val="0"/>
          <c:showPercent val="0"/>
          <c:showBubbleSize val="0"/>
        </c:dLbls>
        <c:marker val="1"/>
        <c:smooth val="0"/>
        <c:axId val="213621376"/>
        <c:axId val="213644800"/>
      </c:lineChart>
      <c:catAx>
        <c:axId val="213621376"/>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213644800"/>
        <c:crosses val="autoZero"/>
        <c:auto val="1"/>
        <c:lblAlgn val="ctr"/>
        <c:lblOffset val="100"/>
        <c:tickLblSkip val="4"/>
        <c:noMultiLvlLbl val="0"/>
      </c:catAx>
      <c:valAx>
        <c:axId val="213644800"/>
        <c:scaling>
          <c:orientation val="minMax"/>
          <c:min val="10"/>
        </c:scaling>
        <c:delete val="0"/>
        <c:axPos val="l"/>
        <c:majorGridlines/>
        <c:numFmt formatCode="0.0" sourceLinked="0"/>
        <c:majorTickMark val="out"/>
        <c:minorTickMark val="none"/>
        <c:tickLblPos val="nextTo"/>
        <c:txPr>
          <a:bodyPr rot="0" vert="horz"/>
          <a:lstStyle/>
          <a:p>
            <a:pPr>
              <a:defRPr/>
            </a:pPr>
            <a:endParaRPr lang="en-US"/>
          </a:p>
        </c:txPr>
        <c:crossAx val="213621376"/>
        <c:crosses val="autoZero"/>
        <c:crossBetween val="between"/>
        <c:majorUnit val="1"/>
      </c:valAx>
      <c:spPr>
        <a:ln w="25400">
          <a:noFill/>
        </a:ln>
      </c:spPr>
    </c:plotArea>
    <c:legend>
      <c:legendPos val="b"/>
      <c:layout/>
      <c:overlay val="0"/>
    </c:legend>
    <c:plotVisOnly val="1"/>
    <c:dispBlanksAs val="gap"/>
    <c:showDLblsOverMax val="0"/>
  </c:chart>
  <c:spPr>
    <a:noFill/>
    <a:ln>
      <a:noFill/>
    </a:ln>
  </c:spPr>
  <c:txPr>
    <a:bodyPr/>
    <a:lstStyle/>
    <a:p>
      <a:pPr>
        <a:defRPr sz="8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Plan1!$A$8</c:f>
              <c:strCache>
                <c:ptCount val="1"/>
                <c:pt idx="0">
                  <c:v>Recursos Próprios (poupança e lucros retidos)</c:v>
                </c:pt>
              </c:strCache>
            </c:strRef>
          </c:tx>
          <c:spPr>
            <a:solidFill>
              <a:schemeClr val="accent6">
                <a:lumMod val="60000"/>
                <a:lumOff val="40000"/>
              </a:schemeClr>
            </a:solidFill>
          </c:spPr>
          <c:invertIfNegative val="0"/>
          <c:dLbls>
            <c:dLbl>
              <c:idx val="0"/>
              <c:layout>
                <c:manualLayout>
                  <c:x val="5.63777307963354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0B6-4290-A8BC-E94CCAF446A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Plan1!$B$1:$M$1</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 3T</c:v>
                </c:pt>
              </c:strCache>
            </c:strRef>
          </c:cat>
          <c:val>
            <c:numRef>
              <c:f>Plan1!$B$8:$M$8</c:f>
              <c:numCache>
                <c:formatCode>#,#00%</c:formatCode>
                <c:ptCount val="12"/>
                <c:pt idx="0">
                  <c:v>0.64900000000000002</c:v>
                </c:pt>
                <c:pt idx="1">
                  <c:v>0.69499999999999995</c:v>
                </c:pt>
                <c:pt idx="2">
                  <c:v>0.60399999999999998</c:v>
                </c:pt>
                <c:pt idx="3">
                  <c:v>0.56299999999999994</c:v>
                </c:pt>
                <c:pt idx="4">
                  <c:v>0.59</c:v>
                </c:pt>
                <c:pt idx="5">
                  <c:v>0.54600000000000004</c:v>
                </c:pt>
                <c:pt idx="6">
                  <c:v>0.498</c:v>
                </c:pt>
                <c:pt idx="7">
                  <c:v>0.5</c:v>
                </c:pt>
                <c:pt idx="8">
                  <c:v>0.46600000000000003</c:v>
                </c:pt>
                <c:pt idx="9">
                  <c:v>0.495</c:v>
                </c:pt>
                <c:pt idx="10">
                  <c:v>0.46800000000000003</c:v>
                </c:pt>
                <c:pt idx="11">
                  <c:v>0.52600000000000002</c:v>
                </c:pt>
              </c:numCache>
            </c:numRef>
          </c:val>
          <c:extLst xmlns:c16r2="http://schemas.microsoft.com/office/drawing/2015/06/chart">
            <c:ext xmlns:c16="http://schemas.microsoft.com/office/drawing/2014/chart" uri="{C3380CC4-5D6E-409C-BE32-E72D297353CC}">
              <c16:uniqueId val="{00000001-C0B6-4290-A8BC-E94CCAF446AC}"/>
            </c:ext>
          </c:extLst>
        </c:ser>
        <c:ser>
          <c:idx val="1"/>
          <c:order val="1"/>
          <c:tx>
            <c:strRef>
              <c:f>Plan1!$A$7</c:f>
              <c:strCache>
                <c:ptCount val="1"/>
                <c:pt idx="0">
                  <c:v>Investimento Estrangeiro Direto </c:v>
                </c:pt>
              </c:strCache>
            </c:strRef>
          </c:tx>
          <c:spPr>
            <a:solidFill>
              <a:schemeClr val="tx2">
                <a:lumMod val="20000"/>
                <a:lumOff val="8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Plan1!$B$7:$M$7</c:f>
              <c:numCache>
                <c:formatCode>#,#00%</c:formatCode>
                <c:ptCount val="12"/>
                <c:pt idx="0">
                  <c:v>0.17399999999999999</c:v>
                </c:pt>
                <c:pt idx="1">
                  <c:v>0.112</c:v>
                </c:pt>
                <c:pt idx="2">
                  <c:v>0.113</c:v>
                </c:pt>
                <c:pt idx="3">
                  <c:v>0.157</c:v>
                </c:pt>
                <c:pt idx="4">
                  <c:v>0.16300000000000001</c:v>
                </c:pt>
                <c:pt idx="5">
                  <c:v>9.4E-2</c:v>
                </c:pt>
                <c:pt idx="6">
                  <c:v>0.126</c:v>
                </c:pt>
                <c:pt idx="7">
                  <c:v>0.13900000000000001</c:v>
                </c:pt>
                <c:pt idx="8">
                  <c:v>0.14799999999999999</c:v>
                </c:pt>
                <c:pt idx="9">
                  <c:v>0.14299999999999999</c:v>
                </c:pt>
                <c:pt idx="10">
                  <c:v>0.14599999999999999</c:v>
                </c:pt>
                <c:pt idx="11">
                  <c:v>0.16500000000000001</c:v>
                </c:pt>
              </c:numCache>
            </c:numRef>
          </c:val>
          <c:extLst xmlns:c16r2="http://schemas.microsoft.com/office/drawing/2015/06/chart">
            <c:ext xmlns:c16="http://schemas.microsoft.com/office/drawing/2014/chart" uri="{C3380CC4-5D6E-409C-BE32-E72D297353CC}">
              <c16:uniqueId val="{00000002-C0B6-4290-A8BC-E94CCAF446AC}"/>
            </c:ext>
          </c:extLst>
        </c:ser>
        <c:ser>
          <c:idx val="2"/>
          <c:order val="2"/>
          <c:tx>
            <c:strRef>
              <c:f>Plan1!$A$6</c:f>
              <c:strCache>
                <c:ptCount val="1"/>
                <c:pt idx="0">
                  <c:v>Emissão primária de ações</c:v>
                </c:pt>
              </c:strCache>
            </c:strRef>
          </c:tx>
          <c:spPr>
            <a:solidFill>
              <a:schemeClr val="accent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Plan1!$B$6:$M$6</c:f>
              <c:numCache>
                <c:formatCode>#,#00%</c:formatCode>
                <c:ptCount val="12"/>
                <c:pt idx="0">
                  <c:v>1.0999999999999999E-2</c:v>
                </c:pt>
                <c:pt idx="1">
                  <c:v>1.2999999999999999E-2</c:v>
                </c:pt>
                <c:pt idx="2">
                  <c:v>4.2999999999999997E-2</c:v>
                </c:pt>
                <c:pt idx="3">
                  <c:v>7.5999999999999998E-2</c:v>
                </c:pt>
                <c:pt idx="4">
                  <c:v>6.2E-2</c:v>
                </c:pt>
                <c:pt idx="5">
                  <c:v>2.9000000000000001E-2</c:v>
                </c:pt>
                <c:pt idx="6">
                  <c:v>2.4E-2</c:v>
                </c:pt>
                <c:pt idx="7">
                  <c:v>1.7999999999999999E-2</c:v>
                </c:pt>
                <c:pt idx="8">
                  <c:v>8.0000000000000002E-3</c:v>
                </c:pt>
                <c:pt idx="9">
                  <c:v>6.0000000000000001E-3</c:v>
                </c:pt>
                <c:pt idx="10">
                  <c:v>1.4999999999999999E-2</c:v>
                </c:pt>
                <c:pt idx="11">
                  <c:v>1.7999999999999999E-2</c:v>
                </c:pt>
              </c:numCache>
            </c:numRef>
          </c:val>
          <c:extLst xmlns:c16r2="http://schemas.microsoft.com/office/drawing/2015/06/chart">
            <c:ext xmlns:c16="http://schemas.microsoft.com/office/drawing/2014/chart" uri="{C3380CC4-5D6E-409C-BE32-E72D297353CC}">
              <c16:uniqueId val="{00000003-C0B6-4290-A8BC-E94CCAF446AC}"/>
            </c:ext>
          </c:extLst>
        </c:ser>
        <c:ser>
          <c:idx val="3"/>
          <c:order val="3"/>
          <c:tx>
            <c:strRef>
              <c:f>Plan1!$A$5</c:f>
              <c:strCache>
                <c:ptCount val="1"/>
                <c:pt idx="0">
                  <c:v>Mercado de Capitais</c:v>
                </c:pt>
              </c:strCache>
            </c:strRef>
          </c:tx>
          <c:spPr>
            <a:solidFill>
              <a:schemeClr val="accent4">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Plan1!$B$5:$M$5</c:f>
              <c:numCache>
                <c:formatCode>#,#00%</c:formatCode>
                <c:ptCount val="12"/>
                <c:pt idx="0">
                  <c:v>3.3000000000000002E-2</c:v>
                </c:pt>
                <c:pt idx="1">
                  <c:v>4.4999999999999998E-2</c:v>
                </c:pt>
                <c:pt idx="2">
                  <c:v>6.9000000000000006E-2</c:v>
                </c:pt>
                <c:pt idx="3">
                  <c:v>3.9E-2</c:v>
                </c:pt>
                <c:pt idx="4">
                  <c:v>2.5999999999999999E-2</c:v>
                </c:pt>
                <c:pt idx="5">
                  <c:v>5.6000000000000001E-2</c:v>
                </c:pt>
                <c:pt idx="6">
                  <c:v>0.09</c:v>
                </c:pt>
                <c:pt idx="7">
                  <c:v>8.2000000000000003E-2</c:v>
                </c:pt>
                <c:pt idx="8">
                  <c:v>0.114</c:v>
                </c:pt>
                <c:pt idx="9">
                  <c:v>8.5999999999999993E-2</c:v>
                </c:pt>
                <c:pt idx="10">
                  <c:v>8.5000000000000006E-2</c:v>
                </c:pt>
                <c:pt idx="11">
                  <c:v>7.6999999999999999E-2</c:v>
                </c:pt>
              </c:numCache>
            </c:numRef>
          </c:val>
          <c:extLst xmlns:c16r2="http://schemas.microsoft.com/office/drawing/2015/06/chart">
            <c:ext xmlns:c16="http://schemas.microsoft.com/office/drawing/2014/chart" uri="{C3380CC4-5D6E-409C-BE32-E72D297353CC}">
              <c16:uniqueId val="{00000004-C0B6-4290-A8BC-E94CCAF446AC}"/>
            </c:ext>
          </c:extLst>
        </c:ser>
        <c:ser>
          <c:idx val="4"/>
          <c:order val="4"/>
          <c:tx>
            <c:strRef>
              <c:f>Plan1!$A$4</c:f>
              <c:strCache>
                <c:ptCount val="1"/>
                <c:pt idx="0">
                  <c:v>Desembolso BNDES (FINEM E FINAME)</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Plan1!$B$4:$M$4</c:f>
              <c:numCache>
                <c:formatCode>#,#00%</c:formatCode>
                <c:ptCount val="12"/>
                <c:pt idx="0">
                  <c:v>0.08</c:v>
                </c:pt>
                <c:pt idx="1">
                  <c:v>8.1000000000000003E-2</c:v>
                </c:pt>
                <c:pt idx="2">
                  <c:v>8.1000000000000003E-2</c:v>
                </c:pt>
                <c:pt idx="3">
                  <c:v>0.108</c:v>
                </c:pt>
                <c:pt idx="4">
                  <c:v>0.114</c:v>
                </c:pt>
                <c:pt idx="5">
                  <c:v>0.18</c:v>
                </c:pt>
                <c:pt idx="6">
                  <c:v>0.14499999999999999</c:v>
                </c:pt>
                <c:pt idx="7">
                  <c:v>0.13300000000000001</c:v>
                </c:pt>
                <c:pt idx="8">
                  <c:v>0.13200000000000001</c:v>
                </c:pt>
                <c:pt idx="9">
                  <c:v>0.151</c:v>
                </c:pt>
                <c:pt idx="10">
                  <c:v>0.14799999999999999</c:v>
                </c:pt>
                <c:pt idx="11">
                  <c:v>0.12300000000000001</c:v>
                </c:pt>
              </c:numCache>
            </c:numRef>
          </c:val>
          <c:extLst xmlns:c16r2="http://schemas.microsoft.com/office/drawing/2015/06/chart">
            <c:ext xmlns:c16="http://schemas.microsoft.com/office/drawing/2014/chart" uri="{C3380CC4-5D6E-409C-BE32-E72D297353CC}">
              <c16:uniqueId val="{00000005-C0B6-4290-A8BC-E94CCAF446AC}"/>
            </c:ext>
          </c:extLst>
        </c:ser>
        <c:ser>
          <c:idx val="5"/>
          <c:order val="5"/>
          <c:tx>
            <c:strRef>
              <c:f>Plan1!$A$3</c:f>
              <c:strCache>
                <c:ptCount val="1"/>
                <c:pt idx="0">
                  <c:v>Fontes Financ. Mercado Internacional</c:v>
                </c:pt>
              </c:strCache>
            </c:strRef>
          </c:tx>
          <c:spPr>
            <a:solidFill>
              <a:schemeClr val="bg2">
                <a:lumMod val="5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Plan1!$B$3:$M$3</c:f>
              <c:numCache>
                <c:formatCode>#,#00%</c:formatCode>
                <c:ptCount val="12"/>
                <c:pt idx="0">
                  <c:v>3.3000000000000002E-2</c:v>
                </c:pt>
                <c:pt idx="1">
                  <c:v>3.4000000000000002E-2</c:v>
                </c:pt>
                <c:pt idx="2">
                  <c:v>6.6000000000000003E-2</c:v>
                </c:pt>
                <c:pt idx="3">
                  <c:v>0.03</c:v>
                </c:pt>
                <c:pt idx="4">
                  <c:v>8.0000000000000002E-3</c:v>
                </c:pt>
                <c:pt idx="5">
                  <c:v>5.6000000000000001E-2</c:v>
                </c:pt>
                <c:pt idx="6">
                  <c:v>5.1999999999999998E-2</c:v>
                </c:pt>
                <c:pt idx="7">
                  <c:v>0.05</c:v>
                </c:pt>
                <c:pt idx="8">
                  <c:v>6.4000000000000001E-2</c:v>
                </c:pt>
                <c:pt idx="9">
                  <c:v>0.05</c:v>
                </c:pt>
                <c:pt idx="10">
                  <c:v>6.9000000000000006E-2</c:v>
                </c:pt>
                <c:pt idx="11">
                  <c:v>2.4E-2</c:v>
                </c:pt>
              </c:numCache>
            </c:numRef>
          </c:val>
          <c:extLst xmlns:c16r2="http://schemas.microsoft.com/office/drawing/2015/06/chart">
            <c:ext xmlns:c16="http://schemas.microsoft.com/office/drawing/2014/chart" uri="{C3380CC4-5D6E-409C-BE32-E72D297353CC}">
              <c16:uniqueId val="{00000006-C0B6-4290-A8BC-E94CCAF446AC}"/>
            </c:ext>
          </c:extLst>
        </c:ser>
        <c:ser>
          <c:idx val="6"/>
          <c:order val="6"/>
          <c:tx>
            <c:strRef>
              <c:f>Plan1!$A$2</c:f>
              <c:strCache>
                <c:ptCount val="1"/>
                <c:pt idx="0">
                  <c:v>Habitacional (FGTS+SBPE)</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Plan1!$B$2:$M$2</c:f>
              <c:numCache>
                <c:formatCode>#,#00%</c:formatCode>
                <c:ptCount val="12"/>
                <c:pt idx="0">
                  <c:v>0.02</c:v>
                </c:pt>
                <c:pt idx="1">
                  <c:v>1.9E-2</c:v>
                </c:pt>
                <c:pt idx="2">
                  <c:v>2.4E-2</c:v>
                </c:pt>
                <c:pt idx="3">
                  <c:v>2.7E-2</c:v>
                </c:pt>
                <c:pt idx="4">
                  <c:v>3.6999999999999998E-2</c:v>
                </c:pt>
                <c:pt idx="5">
                  <c:v>3.9E-2</c:v>
                </c:pt>
                <c:pt idx="6">
                  <c:v>6.5000000000000002E-2</c:v>
                </c:pt>
                <c:pt idx="7">
                  <c:v>7.8E-2</c:v>
                </c:pt>
                <c:pt idx="8">
                  <c:v>6.8000000000000005E-2</c:v>
                </c:pt>
                <c:pt idx="9">
                  <c:v>6.9000000000000006E-2</c:v>
                </c:pt>
                <c:pt idx="10">
                  <c:v>6.8000000000000005E-2</c:v>
                </c:pt>
                <c:pt idx="11">
                  <c:v>6.6000000000000003E-2</c:v>
                </c:pt>
              </c:numCache>
            </c:numRef>
          </c:val>
          <c:extLst xmlns:c16r2="http://schemas.microsoft.com/office/drawing/2015/06/chart">
            <c:ext xmlns:c16="http://schemas.microsoft.com/office/drawing/2014/chart" uri="{C3380CC4-5D6E-409C-BE32-E72D297353CC}">
              <c16:uniqueId val="{00000007-C0B6-4290-A8BC-E94CCAF446AC}"/>
            </c:ext>
          </c:extLst>
        </c:ser>
        <c:dLbls>
          <c:showLegendKey val="0"/>
          <c:showVal val="0"/>
          <c:showCatName val="0"/>
          <c:showSerName val="0"/>
          <c:showPercent val="0"/>
          <c:showBubbleSize val="0"/>
        </c:dLbls>
        <c:gapWidth val="10"/>
        <c:overlap val="100"/>
        <c:axId val="210946688"/>
        <c:axId val="210948480"/>
      </c:barChart>
      <c:catAx>
        <c:axId val="210946688"/>
        <c:scaling>
          <c:orientation val="minMax"/>
        </c:scaling>
        <c:delete val="0"/>
        <c:axPos val="b"/>
        <c:numFmt formatCode="General" sourceLinked="0"/>
        <c:majorTickMark val="out"/>
        <c:minorTickMark val="none"/>
        <c:tickLblPos val="nextTo"/>
        <c:crossAx val="210948480"/>
        <c:crosses val="autoZero"/>
        <c:auto val="1"/>
        <c:lblAlgn val="ctr"/>
        <c:lblOffset val="100"/>
        <c:noMultiLvlLbl val="0"/>
      </c:catAx>
      <c:valAx>
        <c:axId val="210948480"/>
        <c:scaling>
          <c:orientation val="minMax"/>
          <c:max val="1"/>
        </c:scaling>
        <c:delete val="0"/>
        <c:axPos val="l"/>
        <c:majorGridlines>
          <c:spPr>
            <a:ln>
              <a:noFill/>
            </a:ln>
          </c:spPr>
        </c:majorGridlines>
        <c:numFmt formatCode="#,#00%" sourceLinked="1"/>
        <c:majorTickMark val="out"/>
        <c:minorTickMark val="none"/>
        <c:tickLblPos val="nextTo"/>
        <c:crossAx val="210946688"/>
        <c:crosses val="autoZero"/>
        <c:crossBetween val="between"/>
      </c:valAx>
    </c:plotArea>
    <c:legend>
      <c:legendPos val="b"/>
      <c:layout>
        <c:manualLayout>
          <c:xMode val="edge"/>
          <c:yMode val="edge"/>
          <c:x val="7.3038068883155309E-3"/>
          <c:y val="0.78598412683515873"/>
          <c:w val="0.97386716732391598"/>
          <c:h val="0.2110595857094639"/>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Desembolsos!$AY$4</c:f>
              <c:strCache>
                <c:ptCount val="1"/>
                <c:pt idx="0">
                  <c:v>R$ ctes de 2015 (defl. IGP-DI)</c:v>
                </c:pt>
              </c:strCache>
            </c:strRef>
          </c:tx>
          <c:cat>
            <c:strRef>
              <c:f>Desembolsos!$AX$5:$AX$20</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Desembolsos!$AY$5:$AY$20</c:f>
              <c:numCache>
                <c:formatCode>#,##0.00</c:formatCode>
                <c:ptCount val="16"/>
                <c:pt idx="0">
                  <c:v>69098.037606919985</c:v>
                </c:pt>
                <c:pt idx="1">
                  <c:v>68484.061633543824</c:v>
                </c:pt>
                <c:pt idx="2">
                  <c:v>80392.988785678637</c:v>
                </c:pt>
                <c:pt idx="3">
                  <c:v>66912.639784401166</c:v>
                </c:pt>
                <c:pt idx="4">
                  <c:v>70885.777489228436</c:v>
                </c:pt>
                <c:pt idx="5">
                  <c:v>82595.270532230948</c:v>
                </c:pt>
                <c:pt idx="6">
                  <c:v>86926.924445055876</c:v>
                </c:pt>
                <c:pt idx="7">
                  <c:v>101880.96704798816</c:v>
                </c:pt>
                <c:pt idx="8">
                  <c:v>130778.64676699668</c:v>
                </c:pt>
                <c:pt idx="9">
                  <c:v>199071.52611994112</c:v>
                </c:pt>
                <c:pt idx="10">
                  <c:v>220922.19232853816</c:v>
                </c:pt>
                <c:pt idx="11">
                  <c:v>173471.0959488255</c:v>
                </c:pt>
                <c:pt idx="12">
                  <c:v>180237.49774663005</c:v>
                </c:pt>
                <c:pt idx="13">
                  <c:v>208505.5644376589</c:v>
                </c:pt>
                <c:pt idx="14">
                  <c:v>198186.68042948277</c:v>
                </c:pt>
                <c:pt idx="15">
                  <c:v>135942.04542844006</c:v>
                </c:pt>
              </c:numCache>
            </c:numRef>
          </c:val>
          <c:smooth val="0"/>
          <c:extLst xmlns:c16r2="http://schemas.microsoft.com/office/drawing/2015/06/chart">
            <c:ext xmlns:c16="http://schemas.microsoft.com/office/drawing/2014/chart" uri="{C3380CC4-5D6E-409C-BE32-E72D297353CC}">
              <c16:uniqueId val="{00000000-9ED0-4728-A117-C1785F47F9FD}"/>
            </c:ext>
          </c:extLst>
        </c:ser>
        <c:ser>
          <c:idx val="1"/>
          <c:order val="1"/>
          <c:tx>
            <c:strRef>
              <c:f>Desembolsos!$AZ$4</c:f>
              <c:strCache>
                <c:ptCount val="1"/>
                <c:pt idx="0">
                  <c:v>US$ (taxa média do ano)</c:v>
                </c:pt>
              </c:strCache>
            </c:strRef>
          </c:tx>
          <c:cat>
            <c:strRef>
              <c:f>Desembolsos!$AX$5:$AX$20</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Desembolsos!$AZ$5:$AZ$20</c:f>
              <c:numCache>
                <c:formatCode>#,##0.00</c:formatCode>
                <c:ptCount val="16"/>
                <c:pt idx="0">
                  <c:v>12599.546584724731</c:v>
                </c:pt>
                <c:pt idx="1">
                  <c:v>10722.223350973725</c:v>
                </c:pt>
                <c:pt idx="2">
                  <c:v>12768.903552820344</c:v>
                </c:pt>
                <c:pt idx="3">
                  <c:v>10919.080712138972</c:v>
                </c:pt>
                <c:pt idx="4">
                  <c:v>13617.029826404134</c:v>
                </c:pt>
                <c:pt idx="5">
                  <c:v>19304.037991030134</c:v>
                </c:pt>
                <c:pt idx="6">
                  <c:v>23576.062521863369</c:v>
                </c:pt>
                <c:pt idx="7">
                  <c:v>33313.720044386289</c:v>
                </c:pt>
                <c:pt idx="8">
                  <c:v>49468.133410396855</c:v>
                </c:pt>
                <c:pt idx="9">
                  <c:v>68414.206567638335</c:v>
                </c:pt>
                <c:pt idx="10">
                  <c:v>95754.589245943484</c:v>
                </c:pt>
                <c:pt idx="11">
                  <c:v>82946.654715048513</c:v>
                </c:pt>
                <c:pt idx="12">
                  <c:v>79803.688453972529</c:v>
                </c:pt>
                <c:pt idx="13">
                  <c:v>88148.79877664111</c:v>
                </c:pt>
                <c:pt idx="14">
                  <c:v>79781.204956812842</c:v>
                </c:pt>
                <c:pt idx="15">
                  <c:v>40720.718136963835</c:v>
                </c:pt>
              </c:numCache>
            </c:numRef>
          </c:val>
          <c:smooth val="0"/>
          <c:extLst xmlns:c16r2="http://schemas.microsoft.com/office/drawing/2015/06/chart">
            <c:ext xmlns:c16="http://schemas.microsoft.com/office/drawing/2014/chart" uri="{C3380CC4-5D6E-409C-BE32-E72D297353CC}">
              <c16:uniqueId val="{00000001-9ED0-4728-A117-C1785F47F9FD}"/>
            </c:ext>
          </c:extLst>
        </c:ser>
        <c:dLbls>
          <c:showLegendKey val="0"/>
          <c:showVal val="0"/>
          <c:showCatName val="0"/>
          <c:showSerName val="0"/>
          <c:showPercent val="0"/>
          <c:showBubbleSize val="0"/>
        </c:dLbls>
        <c:marker val="1"/>
        <c:smooth val="0"/>
        <c:axId val="210957824"/>
        <c:axId val="210959360"/>
      </c:lineChart>
      <c:catAx>
        <c:axId val="210957824"/>
        <c:scaling>
          <c:orientation val="minMax"/>
        </c:scaling>
        <c:delete val="0"/>
        <c:axPos val="b"/>
        <c:numFmt formatCode="General" sourceLinked="0"/>
        <c:majorTickMark val="out"/>
        <c:minorTickMark val="none"/>
        <c:tickLblPos val="nextTo"/>
        <c:crossAx val="210959360"/>
        <c:crosses val="autoZero"/>
        <c:auto val="1"/>
        <c:lblAlgn val="ctr"/>
        <c:lblOffset val="100"/>
        <c:noMultiLvlLbl val="0"/>
      </c:catAx>
      <c:valAx>
        <c:axId val="210959360"/>
        <c:scaling>
          <c:orientation val="minMax"/>
        </c:scaling>
        <c:delete val="0"/>
        <c:axPos val="l"/>
        <c:majorGridlines/>
        <c:numFmt formatCode="#,##0.00" sourceLinked="1"/>
        <c:majorTickMark val="out"/>
        <c:minorTickMark val="none"/>
        <c:tickLblPos val="nextTo"/>
        <c:crossAx val="210957824"/>
        <c:crosses val="autoZero"/>
        <c:crossBetween val="between"/>
      </c:valAx>
    </c:plotArea>
    <c:legend>
      <c:legendPos val="b"/>
      <c:overlay val="0"/>
    </c:legend>
    <c:plotVisOnly val="1"/>
    <c:dispBlanksAs val="gap"/>
    <c:showDLblsOverMax val="0"/>
  </c:chart>
  <c:spPr>
    <a:ln>
      <a:noFill/>
    </a:ln>
  </c:spPr>
  <c:txPr>
    <a:bodyPr/>
    <a:lstStyle/>
    <a:p>
      <a:pPr>
        <a:defRPr sz="10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'Desembolsos BNDES'!$E$75</c:f>
              <c:strCache>
                <c:ptCount val="1"/>
                <c:pt idx="0">
                  <c:v>Financial subsidies</c:v>
                </c:pt>
              </c:strCache>
            </c:strRef>
          </c:tx>
          <c:spPr>
            <a:ln>
              <a:solidFill>
                <a:schemeClr val="bg1">
                  <a:lumMod val="75000"/>
                </a:schemeClr>
              </a:solidFill>
            </a:ln>
          </c:spPr>
          <c:marker>
            <c:spPr>
              <a:solidFill>
                <a:schemeClr val="bg1">
                  <a:lumMod val="85000"/>
                </a:schemeClr>
              </a:solidFill>
              <a:ln>
                <a:solidFill>
                  <a:schemeClr val="tx1"/>
                </a:solidFill>
              </a:ln>
            </c:spPr>
          </c:marker>
          <c:dLbls>
            <c:dLbl>
              <c:idx val="7"/>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353-424D-BBF9-F0FA5BF9C59F}"/>
                </c:ext>
              </c:extLst>
            </c:dLbl>
            <c:spPr>
              <a:noFill/>
              <a:ln>
                <a:noFill/>
              </a:ln>
              <a:effectLst/>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'Desembolsos BNDES'!$D$76:$D$83</c:f>
              <c:strCache>
                <c:ptCount val="8"/>
                <c:pt idx="0">
                  <c:v>2008</c:v>
                </c:pt>
                <c:pt idx="1">
                  <c:v>2009</c:v>
                </c:pt>
                <c:pt idx="2">
                  <c:v>2010</c:v>
                </c:pt>
                <c:pt idx="3">
                  <c:v>2011</c:v>
                </c:pt>
                <c:pt idx="4">
                  <c:v>2012</c:v>
                </c:pt>
                <c:pt idx="5">
                  <c:v>2013</c:v>
                </c:pt>
                <c:pt idx="6">
                  <c:v>2014</c:v>
                </c:pt>
                <c:pt idx="7">
                  <c:v>2015</c:v>
                </c:pt>
              </c:strCache>
            </c:strRef>
          </c:cat>
          <c:val>
            <c:numRef>
              <c:f>'Desembolsos BNDES'!$E$76:$E$83</c:f>
              <c:numCache>
                <c:formatCode>#,##0.00;#,##0.00;"-"</c:formatCode>
                <c:ptCount val="8"/>
                <c:pt idx="0">
                  <c:v>0</c:v>
                </c:pt>
                <c:pt idx="1">
                  <c:v>0.22897593299999999</c:v>
                </c:pt>
                <c:pt idx="2">
                  <c:v>2.8854447159999999</c:v>
                </c:pt>
                <c:pt idx="3">
                  <c:v>5.1891175609999998</c:v>
                </c:pt>
                <c:pt idx="4">
                  <c:v>4.5756935270000003</c:v>
                </c:pt>
                <c:pt idx="5">
                  <c:v>5.9880438309999997</c:v>
                </c:pt>
                <c:pt idx="6">
                  <c:v>7.8675796140000003</c:v>
                </c:pt>
                <c:pt idx="7">
                  <c:v>9.5607356289999998</c:v>
                </c:pt>
              </c:numCache>
            </c:numRef>
          </c:val>
          <c:smooth val="0"/>
          <c:extLst xmlns:c16r2="http://schemas.microsoft.com/office/drawing/2015/06/chart">
            <c:ext xmlns:c16="http://schemas.microsoft.com/office/drawing/2014/chart" uri="{C3380CC4-5D6E-409C-BE32-E72D297353CC}">
              <c16:uniqueId val="{00000001-2353-424D-BBF9-F0FA5BF9C59F}"/>
            </c:ext>
          </c:extLst>
        </c:ser>
        <c:ser>
          <c:idx val="1"/>
          <c:order val="1"/>
          <c:tx>
            <c:strRef>
              <c:f>'Desembolsos BNDES'!$F$75</c:f>
              <c:strCache>
                <c:ptCount val="1"/>
                <c:pt idx="0">
                  <c:v>Credit subsidies</c:v>
                </c:pt>
              </c:strCache>
            </c:strRef>
          </c:tx>
          <c:spPr>
            <a:ln>
              <a:solidFill>
                <a:schemeClr val="tx1">
                  <a:lumMod val="50000"/>
                  <a:lumOff val="50000"/>
                </a:schemeClr>
              </a:solidFill>
            </a:ln>
          </c:spPr>
          <c:marker>
            <c:spPr>
              <a:solidFill>
                <a:schemeClr val="bg1">
                  <a:lumMod val="85000"/>
                </a:schemeClr>
              </a:solidFill>
              <a:ln>
                <a:solidFill>
                  <a:schemeClr val="tx1"/>
                </a:solidFill>
              </a:ln>
            </c:spPr>
          </c:marker>
          <c:dLbls>
            <c:dLbl>
              <c:idx val="7"/>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353-424D-BBF9-F0FA5BF9C59F}"/>
                </c:ext>
              </c:extLst>
            </c:dLbl>
            <c:spPr>
              <a:noFill/>
              <a:ln>
                <a:noFill/>
              </a:ln>
              <a:effectLst/>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'Desembolsos BNDES'!$D$76:$D$83</c:f>
              <c:strCache>
                <c:ptCount val="8"/>
                <c:pt idx="0">
                  <c:v>2008</c:v>
                </c:pt>
                <c:pt idx="1">
                  <c:v>2009</c:v>
                </c:pt>
                <c:pt idx="2">
                  <c:v>2010</c:v>
                </c:pt>
                <c:pt idx="3">
                  <c:v>2011</c:v>
                </c:pt>
                <c:pt idx="4">
                  <c:v>2012</c:v>
                </c:pt>
                <c:pt idx="5">
                  <c:v>2013</c:v>
                </c:pt>
                <c:pt idx="6">
                  <c:v>2014</c:v>
                </c:pt>
                <c:pt idx="7">
                  <c:v>2015</c:v>
                </c:pt>
              </c:strCache>
            </c:strRef>
          </c:cat>
          <c:val>
            <c:numRef>
              <c:f>'Desembolsos BNDES'!$F$76:$F$83</c:f>
              <c:numCache>
                <c:formatCode>#,##0.00;#,##0.00;"-"</c:formatCode>
                <c:ptCount val="8"/>
                <c:pt idx="0">
                  <c:v>1.7776021999999999E-2</c:v>
                </c:pt>
                <c:pt idx="1">
                  <c:v>4.5768708780000003</c:v>
                </c:pt>
                <c:pt idx="2">
                  <c:v>8.4692456959999998</c:v>
                </c:pt>
                <c:pt idx="3">
                  <c:v>10.538243040999999</c:v>
                </c:pt>
                <c:pt idx="4">
                  <c:v>12.343318434</c:v>
                </c:pt>
                <c:pt idx="5">
                  <c:v>10.629385349</c:v>
                </c:pt>
                <c:pt idx="6">
                  <c:v>21.272338349000002</c:v>
                </c:pt>
                <c:pt idx="7">
                  <c:v>18.969018983000002</c:v>
                </c:pt>
              </c:numCache>
            </c:numRef>
          </c:val>
          <c:smooth val="0"/>
          <c:extLst xmlns:c16r2="http://schemas.microsoft.com/office/drawing/2015/06/chart">
            <c:ext xmlns:c16="http://schemas.microsoft.com/office/drawing/2014/chart" uri="{C3380CC4-5D6E-409C-BE32-E72D297353CC}">
              <c16:uniqueId val="{00000003-2353-424D-BBF9-F0FA5BF9C59F}"/>
            </c:ext>
          </c:extLst>
        </c:ser>
        <c:ser>
          <c:idx val="2"/>
          <c:order val="2"/>
          <c:tx>
            <c:strRef>
              <c:f>'Desembolsos BNDES'!$G$75</c:f>
              <c:strCache>
                <c:ptCount val="1"/>
                <c:pt idx="0">
                  <c:v>Total</c:v>
                </c:pt>
              </c:strCache>
            </c:strRef>
          </c:tx>
          <c:spPr>
            <a:ln>
              <a:solidFill>
                <a:schemeClr val="tx1"/>
              </a:solidFill>
            </a:ln>
          </c:spPr>
          <c:marker>
            <c:spPr>
              <a:ln>
                <a:solidFill>
                  <a:schemeClr val="tx1"/>
                </a:solidFill>
              </a:ln>
            </c:spPr>
          </c:marker>
          <c:dLbls>
            <c:dLbl>
              <c:idx val="7"/>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353-424D-BBF9-F0FA5BF9C59F}"/>
                </c:ext>
              </c:extLst>
            </c:dLbl>
            <c:spPr>
              <a:noFill/>
              <a:ln>
                <a:noFill/>
              </a:ln>
              <a:effectLst/>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'Desembolsos BNDES'!$D$76:$D$83</c:f>
              <c:strCache>
                <c:ptCount val="8"/>
                <c:pt idx="0">
                  <c:v>2008</c:v>
                </c:pt>
                <c:pt idx="1">
                  <c:v>2009</c:v>
                </c:pt>
                <c:pt idx="2">
                  <c:v>2010</c:v>
                </c:pt>
                <c:pt idx="3">
                  <c:v>2011</c:v>
                </c:pt>
                <c:pt idx="4">
                  <c:v>2012</c:v>
                </c:pt>
                <c:pt idx="5">
                  <c:v>2013</c:v>
                </c:pt>
                <c:pt idx="6">
                  <c:v>2014</c:v>
                </c:pt>
                <c:pt idx="7">
                  <c:v>2015</c:v>
                </c:pt>
              </c:strCache>
            </c:strRef>
          </c:cat>
          <c:val>
            <c:numRef>
              <c:f>'Desembolsos BNDES'!$G$76:$G$83</c:f>
              <c:numCache>
                <c:formatCode>#,##0.00;#,##0.00;"-"</c:formatCode>
                <c:ptCount val="8"/>
                <c:pt idx="0">
                  <c:v>1.7776021999999999E-2</c:v>
                </c:pt>
                <c:pt idx="1">
                  <c:v>4.8058468110000003</c:v>
                </c:pt>
                <c:pt idx="2">
                  <c:v>11.354690412</c:v>
                </c:pt>
                <c:pt idx="3">
                  <c:v>15.727360601999999</c:v>
                </c:pt>
                <c:pt idx="4">
                  <c:v>16.919011961000002</c:v>
                </c:pt>
                <c:pt idx="5">
                  <c:v>16.617429179999998</c:v>
                </c:pt>
                <c:pt idx="6">
                  <c:v>29.139917963000002</c:v>
                </c:pt>
                <c:pt idx="7">
                  <c:v>28.529754612000001</c:v>
                </c:pt>
              </c:numCache>
            </c:numRef>
          </c:val>
          <c:smooth val="0"/>
          <c:extLst xmlns:c16r2="http://schemas.microsoft.com/office/drawing/2015/06/chart">
            <c:ext xmlns:c16="http://schemas.microsoft.com/office/drawing/2014/chart" uri="{C3380CC4-5D6E-409C-BE32-E72D297353CC}">
              <c16:uniqueId val="{00000005-2353-424D-BBF9-F0FA5BF9C59F}"/>
            </c:ext>
          </c:extLst>
        </c:ser>
        <c:dLbls>
          <c:showLegendKey val="0"/>
          <c:showVal val="0"/>
          <c:showCatName val="0"/>
          <c:showSerName val="0"/>
          <c:showPercent val="0"/>
          <c:showBubbleSize val="0"/>
        </c:dLbls>
        <c:marker val="1"/>
        <c:smooth val="0"/>
        <c:axId val="237445504"/>
        <c:axId val="237447040"/>
      </c:lineChart>
      <c:catAx>
        <c:axId val="237445504"/>
        <c:scaling>
          <c:orientation val="minMax"/>
        </c:scaling>
        <c:delete val="0"/>
        <c:axPos val="b"/>
        <c:numFmt formatCode="General" sourceLinked="0"/>
        <c:majorTickMark val="out"/>
        <c:minorTickMark val="none"/>
        <c:tickLblPos val="nextTo"/>
        <c:crossAx val="237447040"/>
        <c:crosses val="autoZero"/>
        <c:auto val="1"/>
        <c:lblAlgn val="ctr"/>
        <c:lblOffset val="100"/>
        <c:noMultiLvlLbl val="0"/>
      </c:catAx>
      <c:valAx>
        <c:axId val="237447040"/>
        <c:scaling>
          <c:orientation val="minMax"/>
        </c:scaling>
        <c:delete val="0"/>
        <c:axPos val="l"/>
        <c:majorGridlines>
          <c:spPr>
            <a:ln w="3175">
              <a:solidFill>
                <a:schemeClr val="bg1">
                  <a:lumMod val="75000"/>
                </a:schemeClr>
              </a:solidFill>
              <a:prstDash val="dash"/>
            </a:ln>
          </c:spPr>
        </c:majorGridlines>
        <c:numFmt formatCode="#,##0.00;#,##0.00;&quot;-&quot;" sourceLinked="1"/>
        <c:majorTickMark val="out"/>
        <c:minorTickMark val="none"/>
        <c:tickLblPos val="nextTo"/>
        <c:crossAx val="23744550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Desembolsos!$J$22</c:f>
              <c:strCache>
                <c:ptCount val="1"/>
                <c:pt idx="0">
                  <c:v>Micro</c:v>
                </c:pt>
              </c:strCache>
            </c:strRef>
          </c:tx>
          <c:cat>
            <c:strRef>
              <c:f>Desembolsos!$I$23:$I$37</c:f>
              <c:strCach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Desembolsos!$J$23:$J$37</c:f>
              <c:numCache>
                <c:formatCode>#,##0.00</c:formatCode>
                <c:ptCount val="15"/>
                <c:pt idx="0">
                  <c:v>9384.6812737772798</c:v>
                </c:pt>
                <c:pt idx="1">
                  <c:v>12621.108934078908</c:v>
                </c:pt>
                <c:pt idx="2">
                  <c:v>12028.694805680132</c:v>
                </c:pt>
                <c:pt idx="3">
                  <c:v>15649.719233600834</c:v>
                </c:pt>
                <c:pt idx="4">
                  <c:v>10120.521569909313</c:v>
                </c:pt>
                <c:pt idx="5">
                  <c:v>8370.5028597503388</c:v>
                </c:pt>
                <c:pt idx="6">
                  <c:v>11062.878491631232</c:v>
                </c:pt>
                <c:pt idx="7">
                  <c:v>12779.777541121823</c:v>
                </c:pt>
                <c:pt idx="8">
                  <c:v>15620.309254713278</c:v>
                </c:pt>
                <c:pt idx="9">
                  <c:v>31575.179686795611</c:v>
                </c:pt>
                <c:pt idx="10">
                  <c:v>30557.039122278984</c:v>
                </c:pt>
                <c:pt idx="11">
                  <c:v>29839.848943912148</c:v>
                </c:pt>
                <c:pt idx="12">
                  <c:v>35455.569172286298</c:v>
                </c:pt>
                <c:pt idx="13">
                  <c:v>31420.47474820965</c:v>
                </c:pt>
                <c:pt idx="14">
                  <c:v>20113.155285777349</c:v>
                </c:pt>
              </c:numCache>
            </c:numRef>
          </c:val>
          <c:smooth val="0"/>
          <c:extLst xmlns:c16r2="http://schemas.microsoft.com/office/drawing/2015/06/chart">
            <c:ext xmlns:c16="http://schemas.microsoft.com/office/drawing/2014/chart" uri="{C3380CC4-5D6E-409C-BE32-E72D297353CC}">
              <c16:uniqueId val="{00000000-5F04-452F-8F65-093361208A66}"/>
            </c:ext>
          </c:extLst>
        </c:ser>
        <c:ser>
          <c:idx val="1"/>
          <c:order val="1"/>
          <c:tx>
            <c:strRef>
              <c:f>Desembolsos!$K$22</c:f>
              <c:strCache>
                <c:ptCount val="1"/>
                <c:pt idx="0">
                  <c:v>Pequena</c:v>
                </c:pt>
              </c:strCache>
            </c:strRef>
          </c:tx>
          <c:cat>
            <c:strRef>
              <c:f>Desembolsos!$I$23:$I$37</c:f>
              <c:strCach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Desembolsos!$K$23:$K$37</c:f>
              <c:numCache>
                <c:formatCode>#,##0.00</c:formatCode>
                <c:ptCount val="15"/>
                <c:pt idx="0">
                  <c:v>3276.4094653759571</c:v>
                </c:pt>
                <c:pt idx="1">
                  <c:v>3591.5359177648174</c:v>
                </c:pt>
                <c:pt idx="2">
                  <c:v>3892.0403288690359</c:v>
                </c:pt>
                <c:pt idx="3">
                  <c:v>3476.0128942024385</c:v>
                </c:pt>
                <c:pt idx="4">
                  <c:v>3927.4683882997083</c:v>
                </c:pt>
                <c:pt idx="5">
                  <c:v>3990.3176474156562</c:v>
                </c:pt>
                <c:pt idx="6">
                  <c:v>5855.3511244154606</c:v>
                </c:pt>
                <c:pt idx="7">
                  <c:v>8165.5111658954493</c:v>
                </c:pt>
                <c:pt idx="8">
                  <c:v>8372.0131473093152</c:v>
                </c:pt>
                <c:pt idx="9">
                  <c:v>14988.125035988031</c:v>
                </c:pt>
                <c:pt idx="10">
                  <c:v>15737.762971748367</c:v>
                </c:pt>
                <c:pt idx="11">
                  <c:v>15623.683725588993</c:v>
                </c:pt>
                <c:pt idx="12">
                  <c:v>19299.65789925255</c:v>
                </c:pt>
                <c:pt idx="13">
                  <c:v>17436.212392343186</c:v>
                </c:pt>
                <c:pt idx="14">
                  <c:v>10555.163854173325</c:v>
                </c:pt>
              </c:numCache>
            </c:numRef>
          </c:val>
          <c:smooth val="0"/>
          <c:extLst xmlns:c16r2="http://schemas.microsoft.com/office/drawing/2015/06/chart">
            <c:ext xmlns:c16="http://schemas.microsoft.com/office/drawing/2014/chart" uri="{C3380CC4-5D6E-409C-BE32-E72D297353CC}">
              <c16:uniqueId val="{00000001-5F04-452F-8F65-093361208A66}"/>
            </c:ext>
          </c:extLst>
        </c:ser>
        <c:ser>
          <c:idx val="2"/>
          <c:order val="2"/>
          <c:tx>
            <c:strRef>
              <c:f>Desembolsos!$L$22</c:f>
              <c:strCache>
                <c:ptCount val="1"/>
                <c:pt idx="0">
                  <c:v>Média</c:v>
                </c:pt>
              </c:strCache>
            </c:strRef>
          </c:tx>
          <c:cat>
            <c:strRef>
              <c:f>Desembolsos!$I$23:$I$37</c:f>
              <c:strCach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Desembolsos!$L$23:$L$37</c:f>
              <c:numCache>
                <c:formatCode>#,##0.00</c:formatCode>
                <c:ptCount val="15"/>
                <c:pt idx="0">
                  <c:v>4684.3851617344317</c:v>
                </c:pt>
                <c:pt idx="1">
                  <c:v>6430.134634236163</c:v>
                </c:pt>
                <c:pt idx="2">
                  <c:v>5613.965840040134</c:v>
                </c:pt>
                <c:pt idx="3">
                  <c:v>5973.0005654243987</c:v>
                </c:pt>
                <c:pt idx="4">
                  <c:v>6704.7100166599121</c:v>
                </c:pt>
                <c:pt idx="5">
                  <c:v>7184.4794192646486</c:v>
                </c:pt>
                <c:pt idx="6">
                  <c:v>10296.588819679893</c:v>
                </c:pt>
                <c:pt idx="7">
                  <c:v>13353.500508619441</c:v>
                </c:pt>
                <c:pt idx="8">
                  <c:v>10428.451306334538</c:v>
                </c:pt>
                <c:pt idx="9">
                  <c:v>19978.127699130328</c:v>
                </c:pt>
                <c:pt idx="10">
                  <c:v>18845.137633306818</c:v>
                </c:pt>
                <c:pt idx="11">
                  <c:v>17145.305384998876</c:v>
                </c:pt>
                <c:pt idx="12">
                  <c:v>18664.564369758151</c:v>
                </c:pt>
                <c:pt idx="13">
                  <c:v>16157.161869655942</c:v>
                </c:pt>
                <c:pt idx="14">
                  <c:v>8743.1552935622985</c:v>
                </c:pt>
              </c:numCache>
            </c:numRef>
          </c:val>
          <c:smooth val="0"/>
          <c:extLst xmlns:c16r2="http://schemas.microsoft.com/office/drawing/2015/06/chart">
            <c:ext xmlns:c16="http://schemas.microsoft.com/office/drawing/2014/chart" uri="{C3380CC4-5D6E-409C-BE32-E72D297353CC}">
              <c16:uniqueId val="{00000002-5F04-452F-8F65-093361208A66}"/>
            </c:ext>
          </c:extLst>
        </c:ser>
        <c:dLbls>
          <c:showLegendKey val="0"/>
          <c:showVal val="0"/>
          <c:showCatName val="0"/>
          <c:showSerName val="0"/>
          <c:showPercent val="0"/>
          <c:showBubbleSize val="0"/>
        </c:dLbls>
        <c:marker val="1"/>
        <c:smooth val="0"/>
        <c:axId val="243361280"/>
        <c:axId val="243362816"/>
      </c:lineChart>
      <c:catAx>
        <c:axId val="243361280"/>
        <c:scaling>
          <c:orientation val="minMax"/>
        </c:scaling>
        <c:delete val="0"/>
        <c:axPos val="b"/>
        <c:numFmt formatCode="General" sourceLinked="0"/>
        <c:majorTickMark val="out"/>
        <c:minorTickMark val="none"/>
        <c:tickLblPos val="nextTo"/>
        <c:crossAx val="243362816"/>
        <c:crosses val="autoZero"/>
        <c:auto val="1"/>
        <c:lblAlgn val="ctr"/>
        <c:lblOffset val="100"/>
        <c:noMultiLvlLbl val="0"/>
      </c:catAx>
      <c:valAx>
        <c:axId val="243362816"/>
        <c:scaling>
          <c:orientation val="minMax"/>
        </c:scaling>
        <c:delete val="0"/>
        <c:axPos val="l"/>
        <c:majorGridlines/>
        <c:numFmt formatCode="#,##0.00" sourceLinked="1"/>
        <c:majorTickMark val="out"/>
        <c:minorTickMark val="none"/>
        <c:tickLblPos val="nextTo"/>
        <c:crossAx val="24336128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Desembolsos!$BB$4</c:f>
              <c:strCache>
                <c:ptCount val="1"/>
                <c:pt idx="0">
                  <c:v>Água, esgoto e lixo</c:v>
                </c:pt>
              </c:strCache>
            </c:strRef>
          </c:tx>
          <c:cat>
            <c:strRef>
              <c:f>Desembolsos!$BA$5:$BA$20</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Desembolsos!$BB$5:$BB$20</c:f>
              <c:numCache>
                <c:formatCode>#,##0.00</c:formatCode>
                <c:ptCount val="16"/>
                <c:pt idx="0">
                  <c:v>567.03149085118605</c:v>
                </c:pt>
                <c:pt idx="1">
                  <c:v>244.7986635716139</c:v>
                </c:pt>
                <c:pt idx="2">
                  <c:v>434.90917755634149</c:v>
                </c:pt>
                <c:pt idx="3">
                  <c:v>551.50343740611265</c:v>
                </c:pt>
                <c:pt idx="4">
                  <c:v>436.23299169107594</c:v>
                </c:pt>
                <c:pt idx="5">
                  <c:v>578.7403503881543</c:v>
                </c:pt>
                <c:pt idx="6">
                  <c:v>680.08732323461118</c:v>
                </c:pt>
                <c:pt idx="7">
                  <c:v>1027.2107910635884</c:v>
                </c:pt>
                <c:pt idx="8">
                  <c:v>1142.5509229709335</c:v>
                </c:pt>
                <c:pt idx="9">
                  <c:v>1323.339525371412</c:v>
                </c:pt>
                <c:pt idx="10">
                  <c:v>2085.7455724987421</c:v>
                </c:pt>
                <c:pt idx="11">
                  <c:v>1935.9098266725809</c:v>
                </c:pt>
                <c:pt idx="12">
                  <c:v>1724.1635517686682</c:v>
                </c:pt>
                <c:pt idx="13">
                  <c:v>1839.6954508846084</c:v>
                </c:pt>
                <c:pt idx="14">
                  <c:v>1927.2070670691994</c:v>
                </c:pt>
                <c:pt idx="15">
                  <c:v>1151.3069629500001</c:v>
                </c:pt>
              </c:numCache>
            </c:numRef>
          </c:val>
          <c:smooth val="0"/>
          <c:extLst xmlns:c16r2="http://schemas.microsoft.com/office/drawing/2015/06/chart">
            <c:ext xmlns:c16="http://schemas.microsoft.com/office/drawing/2014/chart" uri="{C3380CC4-5D6E-409C-BE32-E72D297353CC}">
              <c16:uniqueId val="{00000000-221F-41D7-968C-86388418C415}"/>
            </c:ext>
          </c:extLst>
        </c:ser>
        <c:ser>
          <c:idx val="1"/>
          <c:order val="1"/>
          <c:tx>
            <c:strRef>
              <c:f>Desembolsos!$BC$4</c:f>
              <c:strCache>
                <c:ptCount val="1"/>
                <c:pt idx="0">
                  <c:v>Eletricidade e gás</c:v>
                </c:pt>
              </c:strCache>
            </c:strRef>
          </c:tx>
          <c:cat>
            <c:strRef>
              <c:f>Desembolsos!$BA$5:$BA$20</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Desembolsos!$BC$5:$BC$20</c:f>
              <c:numCache>
                <c:formatCode>#,##0.00</c:formatCode>
                <c:ptCount val="16"/>
                <c:pt idx="0">
                  <c:v>4335.1594053280851</c:v>
                </c:pt>
                <c:pt idx="1">
                  <c:v>3863.7713866581812</c:v>
                </c:pt>
                <c:pt idx="2">
                  <c:v>19018.70487598097</c:v>
                </c:pt>
                <c:pt idx="3">
                  <c:v>10139.628881856823</c:v>
                </c:pt>
                <c:pt idx="4">
                  <c:v>11579.392777922365</c:v>
                </c:pt>
                <c:pt idx="5">
                  <c:v>8724.8400759733577</c:v>
                </c:pt>
                <c:pt idx="6">
                  <c:v>6037.578739818654</c:v>
                </c:pt>
                <c:pt idx="7">
                  <c:v>10896.371447177875</c:v>
                </c:pt>
                <c:pt idx="8">
                  <c:v>12841.14984771845</c:v>
                </c:pt>
                <c:pt idx="9">
                  <c:v>21485.101497883967</c:v>
                </c:pt>
                <c:pt idx="10">
                  <c:v>18204.588539347587</c:v>
                </c:pt>
                <c:pt idx="11">
                  <c:v>20343.458526927512</c:v>
                </c:pt>
                <c:pt idx="12">
                  <c:v>22368.356574919737</c:v>
                </c:pt>
                <c:pt idx="13">
                  <c:v>22301.202987912067</c:v>
                </c:pt>
                <c:pt idx="14">
                  <c:v>20677.650736340442</c:v>
                </c:pt>
                <c:pt idx="15">
                  <c:v>22299.571322119999</c:v>
                </c:pt>
              </c:numCache>
            </c:numRef>
          </c:val>
          <c:smooth val="0"/>
          <c:extLst xmlns:c16r2="http://schemas.microsoft.com/office/drawing/2015/06/chart">
            <c:ext xmlns:c16="http://schemas.microsoft.com/office/drawing/2014/chart" uri="{C3380CC4-5D6E-409C-BE32-E72D297353CC}">
              <c16:uniqueId val="{00000001-221F-41D7-968C-86388418C415}"/>
            </c:ext>
          </c:extLst>
        </c:ser>
        <c:ser>
          <c:idx val="2"/>
          <c:order val="2"/>
          <c:tx>
            <c:strRef>
              <c:f>Desembolsos!$BD$4</c:f>
              <c:strCache>
                <c:ptCount val="1"/>
                <c:pt idx="0">
                  <c:v>Telecomunicações</c:v>
                </c:pt>
              </c:strCache>
            </c:strRef>
          </c:tx>
          <c:cat>
            <c:strRef>
              <c:f>Desembolsos!$BA$5:$BA$20</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Desembolsos!$BD$5:$BD$20</c:f>
              <c:numCache>
                <c:formatCode>#,##0.00</c:formatCode>
                <c:ptCount val="16"/>
                <c:pt idx="0">
                  <c:v>14180.020939422644</c:v>
                </c:pt>
                <c:pt idx="1">
                  <c:v>8451.2755273459898</c:v>
                </c:pt>
                <c:pt idx="2">
                  <c:v>1404.2455362168803</c:v>
                </c:pt>
                <c:pt idx="3">
                  <c:v>501.86297483791475</c:v>
                </c:pt>
                <c:pt idx="4">
                  <c:v>2928.0562502324633</c:v>
                </c:pt>
                <c:pt idx="5">
                  <c:v>2936.8419625121578</c:v>
                </c:pt>
                <c:pt idx="6">
                  <c:v>3614.1804091898462</c:v>
                </c:pt>
                <c:pt idx="7">
                  <c:v>5305.3804396061805</c:v>
                </c:pt>
                <c:pt idx="8">
                  <c:v>8904.6075594914819</c:v>
                </c:pt>
                <c:pt idx="9">
                  <c:v>5598.6610447699004</c:v>
                </c:pt>
                <c:pt idx="10">
                  <c:v>2759.7234149950564</c:v>
                </c:pt>
                <c:pt idx="11">
                  <c:v>3882.0042150544209</c:v>
                </c:pt>
                <c:pt idx="12">
                  <c:v>5587.8025558879381</c:v>
                </c:pt>
                <c:pt idx="13">
                  <c:v>2950.4666206264551</c:v>
                </c:pt>
                <c:pt idx="14">
                  <c:v>5586.9446071266766</c:v>
                </c:pt>
                <c:pt idx="15">
                  <c:v>2101.8730739400012</c:v>
                </c:pt>
              </c:numCache>
            </c:numRef>
          </c:val>
          <c:smooth val="0"/>
          <c:extLst xmlns:c16r2="http://schemas.microsoft.com/office/drawing/2015/06/chart">
            <c:ext xmlns:c16="http://schemas.microsoft.com/office/drawing/2014/chart" uri="{C3380CC4-5D6E-409C-BE32-E72D297353CC}">
              <c16:uniqueId val="{00000002-221F-41D7-968C-86388418C415}"/>
            </c:ext>
          </c:extLst>
        </c:ser>
        <c:ser>
          <c:idx val="3"/>
          <c:order val="3"/>
          <c:tx>
            <c:strRef>
              <c:f>Desembolsos!$BE$4</c:f>
              <c:strCache>
                <c:ptCount val="1"/>
                <c:pt idx="0">
                  <c:v>Transporte</c:v>
                </c:pt>
              </c:strCache>
            </c:strRef>
          </c:tx>
          <c:cat>
            <c:strRef>
              <c:f>Desembolsos!$BA$5:$BA$20</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Desembolsos!$BE$5:$BE$20</c:f>
              <c:numCache>
                <c:formatCode>#,##0.00</c:formatCode>
                <c:ptCount val="16"/>
                <c:pt idx="0">
                  <c:v>3974.7510208633089</c:v>
                </c:pt>
                <c:pt idx="1">
                  <c:v>4754.9226708095775</c:v>
                </c:pt>
                <c:pt idx="2">
                  <c:v>5123.961368314116</c:v>
                </c:pt>
                <c:pt idx="3">
                  <c:v>7104.8200017635882</c:v>
                </c:pt>
                <c:pt idx="4">
                  <c:v>9525.3871055309683</c:v>
                </c:pt>
                <c:pt idx="5">
                  <c:v>13883.734230450469</c:v>
                </c:pt>
                <c:pt idx="6">
                  <c:v>15234.340572043979</c:v>
                </c:pt>
                <c:pt idx="7">
                  <c:v>20904.188141333903</c:v>
                </c:pt>
                <c:pt idx="8">
                  <c:v>26195.942140358562</c:v>
                </c:pt>
                <c:pt idx="9">
                  <c:v>36676.143044413802</c:v>
                </c:pt>
                <c:pt idx="10">
                  <c:v>40151.341144095953</c:v>
                </c:pt>
                <c:pt idx="11">
                  <c:v>38722.733670983289</c:v>
                </c:pt>
                <c:pt idx="12">
                  <c:v>24971.744221943656</c:v>
                </c:pt>
                <c:pt idx="13">
                  <c:v>30746.704848923284</c:v>
                </c:pt>
                <c:pt idx="14">
                  <c:v>30653.722451070553</c:v>
                </c:pt>
                <c:pt idx="15">
                  <c:v>20063.095736299991</c:v>
                </c:pt>
              </c:numCache>
            </c:numRef>
          </c:val>
          <c:smooth val="0"/>
          <c:extLst xmlns:c16r2="http://schemas.microsoft.com/office/drawing/2015/06/chart">
            <c:ext xmlns:c16="http://schemas.microsoft.com/office/drawing/2014/chart" uri="{C3380CC4-5D6E-409C-BE32-E72D297353CC}">
              <c16:uniqueId val="{00000003-221F-41D7-968C-86388418C415}"/>
            </c:ext>
          </c:extLst>
        </c:ser>
        <c:dLbls>
          <c:showLegendKey val="0"/>
          <c:showVal val="0"/>
          <c:showCatName val="0"/>
          <c:showSerName val="0"/>
          <c:showPercent val="0"/>
          <c:showBubbleSize val="0"/>
        </c:dLbls>
        <c:marker val="1"/>
        <c:smooth val="0"/>
        <c:axId val="247106176"/>
        <c:axId val="247148928"/>
      </c:lineChart>
      <c:catAx>
        <c:axId val="247106176"/>
        <c:scaling>
          <c:orientation val="minMax"/>
        </c:scaling>
        <c:delete val="0"/>
        <c:axPos val="b"/>
        <c:numFmt formatCode="General" sourceLinked="0"/>
        <c:majorTickMark val="out"/>
        <c:minorTickMark val="none"/>
        <c:tickLblPos val="nextTo"/>
        <c:crossAx val="247148928"/>
        <c:crosses val="autoZero"/>
        <c:auto val="1"/>
        <c:lblAlgn val="ctr"/>
        <c:lblOffset val="100"/>
        <c:noMultiLvlLbl val="0"/>
      </c:catAx>
      <c:valAx>
        <c:axId val="247148928"/>
        <c:scaling>
          <c:orientation val="minMax"/>
        </c:scaling>
        <c:delete val="0"/>
        <c:axPos val="l"/>
        <c:majorGridlines/>
        <c:numFmt formatCode="#,##0.00" sourceLinked="1"/>
        <c:majorTickMark val="out"/>
        <c:minorTickMark val="none"/>
        <c:tickLblPos val="nextTo"/>
        <c:crossAx val="247106176"/>
        <c:crosses val="autoZero"/>
        <c:crossBetween val="between"/>
      </c:valAx>
    </c:plotArea>
    <c:legend>
      <c:legendPos val="b"/>
      <c:overlay val="0"/>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48"/>
      <c:rAngAx val="0"/>
      <c:perspective val="30"/>
    </c:view3D>
    <c:floor>
      <c:thickness val="0"/>
    </c:floor>
    <c:sideWall>
      <c:thickness val="0"/>
    </c:sideWall>
    <c:backWall>
      <c:thickness val="0"/>
    </c:backWall>
    <c:plotArea>
      <c:layout>
        <c:manualLayout>
          <c:layoutTarget val="inner"/>
          <c:xMode val="edge"/>
          <c:yMode val="edge"/>
          <c:x val="4.5158123904393166E-2"/>
          <c:y val="0.12091676933397966"/>
          <c:w val="0.86784229003010516"/>
          <c:h val="0.82037215801367569"/>
        </c:manualLayout>
      </c:layout>
      <c:pie3DChart>
        <c:varyColors val="1"/>
        <c:ser>
          <c:idx val="0"/>
          <c:order val="0"/>
          <c:dLbls>
            <c:dLbl>
              <c:idx val="0"/>
              <c:layout>
                <c:manualLayout>
                  <c:x val="0.18901629259714217"/>
                  <c:y val="-0.27503140736543696"/>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9F4-420C-896A-69FF240A2005}"/>
                </c:ext>
              </c:extLst>
            </c:dLbl>
            <c:dLbl>
              <c:idx val="1"/>
              <c:layout>
                <c:manualLayout>
                  <c:x val="-8.1875793806024985E-2"/>
                  <c:y val="-1.3123979763203E-2"/>
                </c:manualLayout>
              </c:layout>
              <c:tx>
                <c:rich>
                  <a:bodyPr/>
                  <a:lstStyle/>
                  <a:p>
                    <a:r>
                      <a:rPr lang="en-US" sz="1000"/>
                      <a:t>Mercado
5,8%</a:t>
                    </a:r>
                    <a:endParaRPr lang="en-US"/>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9F4-420C-896A-69FF240A2005}"/>
                </c:ext>
              </c:extLst>
            </c:dLbl>
            <c:dLbl>
              <c:idx val="2"/>
              <c:layout>
                <c:manualLayout>
                  <c:x val="-3.4800996763569088E-3"/>
                  <c:y val="-5.018126890086283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9F4-420C-896A-69FF240A2005}"/>
                </c:ext>
              </c:extLst>
            </c:dLbl>
            <c:dLbl>
              <c:idx val="3"/>
              <c:layout>
                <c:manualLayout>
                  <c:x val="8.7599885850259171E-2"/>
                  <c:y val="3.9185134280018269E-2"/>
                </c:manualLayout>
              </c:layout>
              <c:tx>
                <c:rich>
                  <a:bodyPr/>
                  <a:lstStyle/>
                  <a:p>
                    <a:r>
                      <a:rPr lang="en-US" sz="1000"/>
                      <a:t>Repasse
0,5%</a:t>
                    </a:r>
                    <a:endParaRPr lang="en-US"/>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9F4-420C-896A-69FF240A2005}"/>
                </c:ext>
              </c:extLst>
            </c:dLbl>
            <c:numFmt formatCode="0.0%" sourceLinked="0"/>
            <c:spPr>
              <a:noFill/>
              <a:ln>
                <a:noFill/>
              </a:ln>
              <a:effectLst/>
            </c:spPr>
            <c:txPr>
              <a:bodyPr/>
              <a:lstStyle/>
              <a:p>
                <a:pPr>
                  <a:defRPr sz="1000"/>
                </a:pPr>
                <a:endParaRPr lang="en-US"/>
              </a:p>
            </c:tx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Plan1!$B$3:$B$6</c:f>
              <c:strCache>
                <c:ptCount val="4"/>
                <c:pt idx="0">
                  <c:v>BNDES Direto</c:v>
                </c:pt>
                <c:pt idx="1">
                  <c:v>Mercado de Capitais</c:v>
                </c:pt>
                <c:pt idx="2">
                  <c:v>Bancos</c:v>
                </c:pt>
                <c:pt idx="3">
                  <c:v>BNDES Repasse</c:v>
                </c:pt>
              </c:strCache>
            </c:strRef>
          </c:cat>
          <c:val>
            <c:numRef>
              <c:f>Plan1!$C$3:$C$6</c:f>
              <c:numCache>
                <c:formatCode>0.00%</c:formatCode>
                <c:ptCount val="4"/>
                <c:pt idx="0">
                  <c:v>0.91900000000000004</c:v>
                </c:pt>
                <c:pt idx="1">
                  <c:v>5.8000000000000003E-2</c:v>
                </c:pt>
                <c:pt idx="2">
                  <c:v>1.7999999999999999E-2</c:v>
                </c:pt>
                <c:pt idx="3">
                  <c:v>5.0000000000000001E-3</c:v>
                </c:pt>
              </c:numCache>
            </c:numRef>
          </c:val>
          <c:extLst xmlns:c16r2="http://schemas.microsoft.com/office/drawing/2015/06/chart">
            <c:ext xmlns:c16="http://schemas.microsoft.com/office/drawing/2014/chart" uri="{C3380CC4-5D6E-409C-BE32-E72D297353CC}">
              <c16:uniqueId val="{00000004-99F4-420C-896A-69FF240A2005}"/>
            </c:ext>
          </c:extLst>
        </c:ser>
        <c:dLbls>
          <c:showLegendKey val="0"/>
          <c:showVal val="0"/>
          <c:showCatName val="0"/>
          <c:showSerName val="0"/>
          <c:showPercent val="0"/>
          <c:showBubbleSize val="0"/>
          <c:showLeaderLines val="0"/>
        </c:dLbls>
      </c:pie3DChart>
    </c:plotArea>
    <c:plotVisOnly val="1"/>
    <c:dispBlanksAs val="gap"/>
    <c:showDLblsOverMax val="0"/>
  </c:chart>
  <c:spPr>
    <a:ln>
      <a:noFill/>
    </a:ln>
  </c:spPr>
  <c:txPr>
    <a:bodyPr/>
    <a:lstStyle/>
    <a:p>
      <a:pPr>
        <a:defRPr sz="10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58272162034421E-2"/>
          <c:y val="5.4634673399444562E-2"/>
          <c:w val="0.89360716597476941"/>
          <c:h val="0.80249735055829263"/>
        </c:manualLayout>
      </c:layout>
      <c:barChart>
        <c:barDir val="col"/>
        <c:grouping val="stacked"/>
        <c:varyColors val="0"/>
        <c:ser>
          <c:idx val="0"/>
          <c:order val="0"/>
          <c:tx>
            <c:strRef>
              <c:f>Plan2!$H$9</c:f>
              <c:strCache>
                <c:ptCount val="1"/>
                <c:pt idx="0">
                  <c:v>Volume (R$ Bi)</c:v>
                </c:pt>
              </c:strCache>
            </c:strRef>
          </c:tx>
          <c:spPr>
            <a:noFill/>
          </c:spPr>
          <c:invertIfNegative val="0"/>
          <c:dPt>
            <c:idx val="4"/>
            <c:invertIfNegative val="0"/>
            <c:bubble3D val="0"/>
            <c:spPr>
              <a:solidFill>
                <a:schemeClr val="tx2"/>
              </a:solidFill>
              <a:scene3d>
                <a:camera prst="orthographicFront"/>
                <a:lightRig rig="threePt" dir="t"/>
              </a:scene3d>
            </c:spPr>
            <c:extLst xmlns:c16r2="http://schemas.microsoft.com/office/drawing/2015/06/chart">
              <c:ext xmlns:c16="http://schemas.microsoft.com/office/drawing/2014/chart" uri="{C3380CC4-5D6E-409C-BE32-E72D297353CC}">
                <c16:uniqueId val="{00000001-2291-4C88-BD93-EE3289AA6CF0}"/>
              </c:ext>
            </c:extLst>
          </c:dPt>
          <c:dLbls>
            <c:dLbl>
              <c:idx val="4"/>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291-4C88-BD93-EE3289AA6CF0}"/>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Plan2!$G$10:$G$14</c:f>
              <c:strCache>
                <c:ptCount val="5"/>
                <c:pt idx="0">
                  <c:v>2003 - 2012</c:v>
                </c:pt>
                <c:pt idx="1">
                  <c:v>2013</c:v>
                </c:pt>
                <c:pt idx="2">
                  <c:v>2014</c:v>
                </c:pt>
                <c:pt idx="3">
                  <c:v>2015</c:v>
                </c:pt>
                <c:pt idx="4">
                  <c:v>Total</c:v>
                </c:pt>
              </c:strCache>
            </c:strRef>
          </c:cat>
          <c:val>
            <c:numRef>
              <c:f>Plan2!$H$10:$H$14</c:f>
              <c:numCache>
                <c:formatCode>0.0</c:formatCode>
                <c:ptCount val="5"/>
                <c:pt idx="0">
                  <c:v>0</c:v>
                </c:pt>
                <c:pt idx="1">
                  <c:v>9.8999999999999986</c:v>
                </c:pt>
                <c:pt idx="2">
                  <c:v>13.499999999999998</c:v>
                </c:pt>
                <c:pt idx="3">
                  <c:v>20.079999999999998</c:v>
                </c:pt>
                <c:pt idx="4">
                  <c:v>27.5</c:v>
                </c:pt>
              </c:numCache>
            </c:numRef>
          </c:val>
          <c:extLst xmlns:c16r2="http://schemas.microsoft.com/office/drawing/2015/06/chart">
            <c:ext xmlns:c16="http://schemas.microsoft.com/office/drawing/2014/chart" uri="{C3380CC4-5D6E-409C-BE32-E72D297353CC}">
              <c16:uniqueId val="{00000002-2291-4C88-BD93-EE3289AA6CF0}"/>
            </c:ext>
          </c:extLst>
        </c:ser>
        <c:ser>
          <c:idx val="1"/>
          <c:order val="1"/>
          <c:tx>
            <c:strRef>
              <c:f>Plan2!$I$9</c:f>
              <c:strCache>
                <c:ptCount val="1"/>
                <c:pt idx="0">
                  <c:v>Volume (R$ Bi)</c:v>
                </c:pt>
              </c:strCache>
            </c:strRef>
          </c:tx>
          <c:spPr>
            <a:solidFill>
              <a:schemeClr val="tx2">
                <a:lumMod val="40000"/>
                <a:lumOff val="60000"/>
              </a:schemeClr>
            </a:solidFill>
            <a:scene3d>
              <a:camera prst="orthographicFront"/>
              <a:lightRig rig="threePt" dir="t"/>
            </a:scene3d>
          </c:spPr>
          <c:invertIfNegative val="0"/>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291-4C88-BD93-EE3289AA6CF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Plan2!$G$10:$G$14</c:f>
              <c:strCache>
                <c:ptCount val="5"/>
                <c:pt idx="0">
                  <c:v>2003 - 2012</c:v>
                </c:pt>
                <c:pt idx="1">
                  <c:v>2013</c:v>
                </c:pt>
                <c:pt idx="2">
                  <c:v>2014</c:v>
                </c:pt>
                <c:pt idx="3">
                  <c:v>2015</c:v>
                </c:pt>
                <c:pt idx="4">
                  <c:v>Total</c:v>
                </c:pt>
              </c:strCache>
            </c:strRef>
          </c:cat>
          <c:val>
            <c:numRef>
              <c:f>Plan2!$I$10:$I$14</c:f>
              <c:numCache>
                <c:formatCode>0.0</c:formatCode>
                <c:ptCount val="5"/>
                <c:pt idx="0">
                  <c:v>9.8999999999999986</c:v>
                </c:pt>
                <c:pt idx="1">
                  <c:v>3.6</c:v>
                </c:pt>
                <c:pt idx="2">
                  <c:v>6.58</c:v>
                </c:pt>
                <c:pt idx="3">
                  <c:v>7.42</c:v>
                </c:pt>
                <c:pt idx="4">
                  <c:v>0</c:v>
                </c:pt>
              </c:numCache>
            </c:numRef>
          </c:val>
          <c:extLst xmlns:c16r2="http://schemas.microsoft.com/office/drawing/2015/06/chart">
            <c:ext xmlns:c16="http://schemas.microsoft.com/office/drawing/2014/chart" uri="{C3380CC4-5D6E-409C-BE32-E72D297353CC}">
              <c16:uniqueId val="{00000004-2291-4C88-BD93-EE3289AA6CF0}"/>
            </c:ext>
          </c:extLst>
        </c:ser>
        <c:dLbls>
          <c:showLegendKey val="0"/>
          <c:showVal val="0"/>
          <c:showCatName val="0"/>
          <c:showSerName val="0"/>
          <c:showPercent val="0"/>
          <c:showBubbleSize val="0"/>
        </c:dLbls>
        <c:gapWidth val="80"/>
        <c:overlap val="100"/>
        <c:axId val="247195520"/>
        <c:axId val="248054528"/>
      </c:barChart>
      <c:catAx>
        <c:axId val="247195520"/>
        <c:scaling>
          <c:orientation val="minMax"/>
        </c:scaling>
        <c:delete val="0"/>
        <c:axPos val="b"/>
        <c:numFmt formatCode="General" sourceLinked="0"/>
        <c:majorTickMark val="out"/>
        <c:minorTickMark val="none"/>
        <c:tickLblPos val="nextTo"/>
        <c:crossAx val="248054528"/>
        <c:crosses val="autoZero"/>
        <c:auto val="1"/>
        <c:lblAlgn val="ctr"/>
        <c:lblOffset val="100"/>
        <c:noMultiLvlLbl val="0"/>
      </c:catAx>
      <c:valAx>
        <c:axId val="248054528"/>
        <c:scaling>
          <c:orientation val="minMax"/>
        </c:scaling>
        <c:delete val="0"/>
        <c:axPos val="l"/>
        <c:majorGridlines>
          <c:spPr>
            <a:ln>
              <a:solidFill>
                <a:schemeClr val="bg1"/>
              </a:solidFill>
            </a:ln>
          </c:spPr>
        </c:majorGridlines>
        <c:numFmt formatCode="0" sourceLinked="0"/>
        <c:majorTickMark val="out"/>
        <c:minorTickMark val="none"/>
        <c:tickLblPos val="nextTo"/>
        <c:crossAx val="247195520"/>
        <c:crosses val="autoZero"/>
        <c:crossBetween val="between"/>
      </c:valAx>
    </c:plotArea>
    <c:plotVisOnly val="1"/>
    <c:dispBlanksAs val="gap"/>
    <c:showDLblsOverMax val="0"/>
  </c:chart>
  <c:spPr>
    <a:ln>
      <a:solidFill>
        <a:schemeClr val="bg1">
          <a:lumMod val="85000"/>
        </a:schemeClr>
      </a:solid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1807F4FDEE883488AE29D74CC16911E" ma:contentTypeVersion="0" ma:contentTypeDescription="A content type to manage public (operations) IDB documents" ma:contentTypeScope="" ma:versionID="52fa0ce5cdd8a8c344a957f8b73ff40c">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IFD/CMF</Division_x0020_or_x0020_Unit>
    <Other_x0020_Author xmlns="9c571b2f-e523-4ab2-ba2e-09e151a03ef4" xsi:nil="true"/>
    <Region xmlns="9c571b2f-e523-4ab2-ba2e-09e151a03ef4" xsi:nil="true"/>
    <IDBDocs_x0020_Number xmlns="9c571b2f-e523-4ab2-ba2e-09e151a03ef4">40661005</IDBDocs_x0020_Number>
    <Document_x0020_Author xmlns="9c571b2f-e523-4ab2-ba2e-09e151a03ef4">Netto de A. C. Schneider, Maria E.</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BR-L1442,BR-O0001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Whole&lt;/APPROVAL_DESC&gt;&lt;PD_OBJ_TYPE&gt;0&lt;/PD_OBJ_TYPE&gt;&lt;DTAPPROVAL&gt;Dec 12 2016 12:00AM&lt;/DTAPPROVAL&gt;&lt;MAKERECORD&gt;N&lt;/MAKERECORD&gt;&lt;/Data&gt;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CM-BAN</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8EC75F87-FB7D-4832-9600-A0C1AE1C0B53}"/>
</file>

<file path=customXml/itemProps2.xml><?xml version="1.0" encoding="utf-8"?>
<ds:datastoreItem xmlns:ds="http://schemas.openxmlformats.org/officeDocument/2006/customXml" ds:itemID="{B5ABB1BC-BBEA-454F-B503-0381D447188E}"/>
</file>

<file path=customXml/itemProps3.xml><?xml version="1.0" encoding="utf-8"?>
<ds:datastoreItem xmlns:ds="http://schemas.openxmlformats.org/officeDocument/2006/customXml" ds:itemID="{D74C3E0E-47F2-45E1-8E67-F315E09682BC}"/>
</file>

<file path=customXml/itemProps4.xml><?xml version="1.0" encoding="utf-8"?>
<ds:datastoreItem xmlns:ds="http://schemas.openxmlformats.org/officeDocument/2006/customXml" ds:itemID="{ACF3ECC5-83B8-4C21-B0D1-711E3FBD7736}"/>
</file>

<file path=customXml/itemProps5.xml><?xml version="1.0" encoding="utf-8"?>
<ds:datastoreItem xmlns:ds="http://schemas.openxmlformats.org/officeDocument/2006/customXml" ds:itemID="{A0B41D4F-51B6-48F6-B8D1-672F293752FF}"/>
</file>

<file path=customXml/itemProps6.xml><?xml version="1.0" encoding="utf-8"?>
<ds:datastoreItem xmlns:ds="http://schemas.openxmlformats.org/officeDocument/2006/customXml" ds:itemID="{F5009874-88C9-430E-A6EF-57AD7F5C2314}"/>
</file>

<file path=docProps/app.xml><?xml version="1.0" encoding="utf-8"?>
<Properties xmlns="http://schemas.openxmlformats.org/officeDocument/2006/extended-properties" xmlns:vt="http://schemas.openxmlformats.org/officeDocument/2006/docPropsVTypes">
  <Template>Normal.dotm</Template>
  <TotalTime>10</TotalTime>
  <Pages>18</Pages>
  <Words>5552</Words>
  <Characters>31647</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 ELink Opcional - Informe 2 - Development Financing - BR-L1442</dc:title>
  <dc:creator>Fernanda De Negri</dc:creator>
  <cp:lastModifiedBy>Test</cp:lastModifiedBy>
  <cp:revision>3</cp:revision>
  <dcterms:created xsi:type="dcterms:W3CDTF">2016-09-27T17:42:00Z</dcterms:created>
  <dcterms:modified xsi:type="dcterms:W3CDTF">2016-10-03T16:40:00Z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0x01010046CF21643EE8D14686A648AA6DAD08920091807F4FDEE883488AE29D74CC16911E</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