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endnotes.xml" ContentType="application/vnd.openxmlformats-officedocument.wordprocessingml.endnotes+xml"/>
  <Override PartName="/word/footer1.xml" ContentType="application/vnd.openxmlformats-officedocument.wordprocessingml.foot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customXml/itemProps1.xml" ContentType="application/vnd.openxmlformats-officedocument.customXmlProperties+xml"/>
  <Override PartName="/word/fontTable.xml" ContentType="application/vnd.openxmlformats-officedocument.wordprocessingml.fontTable+xml"/>
  <Override PartName="/word/webSettings.xml" ContentType="application/vnd.openxmlformats-officedocument.wordprocessingml.webSettings+xml"/>
  <Override PartName="/word/stylesWithEffects.xml" ContentType="application/vnd.ms-word.stylesWithEffects+xml"/>
  <Override PartName="/docProps/core.xml" ContentType="application/vnd.openxmlformats-package.core-properties+xml"/>
  <Override PartName="/customXml/itemProps5.xml" ContentType="application/vnd.openxmlformats-officedocument.customXmlProperties+xml"/>
  <Override PartName="/customXml/itemProps4.xml" ContentType="application/vnd.openxmlformats-officedocument.customXml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6.xml" ContentType="application/vnd.openxmlformats-officedocument.customXmlProperties+xml"/>
  <Override PartName="/customXml/itemProps7.xml" ContentType="application/vnd.openxmlformats-officedocument.customXmlProperties+xml"/>
  <Override PartName="/docProps/custom.xml" ContentType="application/vnd.openxmlformats-officedocument.custom-properties+xml"/>
  <Override PartName="/customXml/itemProps8.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C7FE3" w:rsidRPr="00551E61" w:rsidRDefault="00DC7FE3" w:rsidP="00DC7FE3">
      <w:pPr>
        <w:jc w:val="center"/>
        <w:rPr>
          <w:rFonts w:ascii="Arial" w:hAnsi="Arial" w:cs="Arial"/>
          <w:b/>
        </w:rPr>
      </w:pPr>
      <w:r w:rsidRPr="00551E61">
        <w:rPr>
          <w:rFonts w:ascii="Arial" w:hAnsi="Arial" w:cs="Arial"/>
          <w:b/>
        </w:rPr>
        <w:t xml:space="preserve">PROGRAMA INTEGRAL DE DESARROLLO TURISTICO Y URBANO DE LA CIUDAD COLONIAL DE SANTO DOMINGO </w:t>
      </w:r>
      <w:r w:rsidR="002602A9" w:rsidRPr="00551E61">
        <w:rPr>
          <w:rFonts w:ascii="Arial" w:hAnsi="Arial" w:cs="Arial"/>
          <w:b/>
        </w:rPr>
        <w:t xml:space="preserve">DEL BID </w:t>
      </w:r>
      <w:r w:rsidRPr="00551E61">
        <w:rPr>
          <w:rFonts w:ascii="Arial" w:hAnsi="Arial" w:cs="Arial"/>
          <w:b/>
        </w:rPr>
        <w:t>(DR-L1084)</w:t>
      </w:r>
    </w:p>
    <w:p w:rsidR="00DC7FE3" w:rsidRPr="00551E61" w:rsidRDefault="00DC7FE3" w:rsidP="00DC7FE3">
      <w:pPr>
        <w:jc w:val="center"/>
        <w:rPr>
          <w:rFonts w:ascii="Arial" w:hAnsi="Arial" w:cs="Arial"/>
          <w:b/>
        </w:rPr>
      </w:pPr>
      <w:r w:rsidRPr="00551E61">
        <w:rPr>
          <w:rFonts w:ascii="Arial" w:hAnsi="Arial" w:cs="Arial"/>
          <w:b/>
        </w:rPr>
        <w:t>PROPUESTA DE INTERVENCION EN VIVIENDA</w:t>
      </w:r>
      <w:r w:rsidRPr="00551E61">
        <w:rPr>
          <w:rStyle w:val="FootnoteReference"/>
          <w:rFonts w:ascii="Arial" w:hAnsi="Arial" w:cs="Arial"/>
          <w:b/>
        </w:rPr>
        <w:footnoteReference w:id="1"/>
      </w:r>
    </w:p>
    <w:p w:rsidR="00DC7FE3" w:rsidRPr="00551E61" w:rsidRDefault="00DC7FE3" w:rsidP="00DC7FE3">
      <w:pPr>
        <w:jc w:val="center"/>
        <w:rPr>
          <w:rFonts w:ascii="Arial" w:hAnsi="Arial" w:cs="Arial"/>
          <w:b/>
        </w:rPr>
      </w:pPr>
    </w:p>
    <w:p w:rsidR="00DC7FE3" w:rsidRPr="00551E61" w:rsidRDefault="00DC7FE3" w:rsidP="00274AD1">
      <w:pPr>
        <w:pStyle w:val="subpar"/>
        <w:numPr>
          <w:ilvl w:val="0"/>
          <w:numId w:val="7"/>
        </w:numPr>
        <w:jc w:val="left"/>
        <w:rPr>
          <w:rFonts w:ascii="Arial" w:hAnsi="Arial" w:cs="Arial"/>
          <w:b/>
          <w:sz w:val="22"/>
          <w:szCs w:val="22"/>
        </w:rPr>
      </w:pPr>
      <w:r w:rsidRPr="00551E61">
        <w:rPr>
          <w:rFonts w:ascii="Arial" w:hAnsi="Arial" w:cs="Arial"/>
          <w:b/>
          <w:sz w:val="22"/>
          <w:szCs w:val="22"/>
        </w:rPr>
        <w:t>INTRODUCCION</w:t>
      </w:r>
    </w:p>
    <w:p w:rsidR="00274AD1" w:rsidRPr="00551E61" w:rsidRDefault="00274AD1" w:rsidP="00274AD1">
      <w:pPr>
        <w:pStyle w:val="subpar"/>
        <w:numPr>
          <w:ilvl w:val="0"/>
          <w:numId w:val="0"/>
        </w:numPr>
        <w:ind w:left="360"/>
        <w:jc w:val="left"/>
        <w:rPr>
          <w:rFonts w:ascii="Arial" w:hAnsi="Arial" w:cs="Arial"/>
          <w:b/>
          <w:sz w:val="22"/>
          <w:szCs w:val="22"/>
        </w:rPr>
      </w:pPr>
    </w:p>
    <w:p w:rsidR="00DC7FE3" w:rsidRPr="00551E61" w:rsidRDefault="00DC7FE3" w:rsidP="00DC7FE3">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szCs w:val="22"/>
          <w:lang w:val="es-ES_tradnl"/>
        </w:rPr>
        <w:t>La C</w:t>
      </w:r>
      <w:r w:rsidR="00846B0A" w:rsidRPr="00551E61">
        <w:rPr>
          <w:rFonts w:ascii="Arial" w:hAnsi="Arial" w:cs="Arial"/>
          <w:sz w:val="22"/>
          <w:szCs w:val="22"/>
          <w:lang w:val="es-ES_tradnl"/>
        </w:rPr>
        <w:t xml:space="preserve">iudad </w:t>
      </w:r>
      <w:r w:rsidRPr="00551E61">
        <w:rPr>
          <w:rFonts w:ascii="Arial" w:hAnsi="Arial" w:cs="Arial"/>
          <w:sz w:val="22"/>
          <w:szCs w:val="22"/>
          <w:lang w:val="es-ES_tradnl"/>
        </w:rPr>
        <w:t>C</w:t>
      </w:r>
      <w:r w:rsidR="00846B0A" w:rsidRPr="00551E61">
        <w:rPr>
          <w:rFonts w:ascii="Arial" w:hAnsi="Arial" w:cs="Arial"/>
          <w:sz w:val="22"/>
          <w:szCs w:val="22"/>
          <w:lang w:val="es-ES_tradnl"/>
        </w:rPr>
        <w:t xml:space="preserve">olonial de </w:t>
      </w:r>
      <w:r w:rsidRPr="00551E61">
        <w:rPr>
          <w:rFonts w:ascii="Arial" w:hAnsi="Arial" w:cs="Arial"/>
          <w:sz w:val="22"/>
          <w:szCs w:val="22"/>
          <w:lang w:val="es-ES_tradnl"/>
        </w:rPr>
        <w:t>S</w:t>
      </w:r>
      <w:r w:rsidR="00846B0A" w:rsidRPr="00551E61">
        <w:rPr>
          <w:rFonts w:ascii="Arial" w:hAnsi="Arial" w:cs="Arial"/>
          <w:sz w:val="22"/>
          <w:szCs w:val="22"/>
          <w:lang w:val="es-ES_tradnl"/>
        </w:rPr>
        <w:t xml:space="preserve">anto </w:t>
      </w:r>
      <w:r w:rsidRPr="00551E61">
        <w:rPr>
          <w:rFonts w:ascii="Arial" w:hAnsi="Arial" w:cs="Arial"/>
          <w:sz w:val="22"/>
          <w:szCs w:val="22"/>
          <w:lang w:val="es-ES_tradnl"/>
        </w:rPr>
        <w:t>D</w:t>
      </w:r>
      <w:r w:rsidR="00846B0A" w:rsidRPr="00551E61">
        <w:rPr>
          <w:rFonts w:ascii="Arial" w:hAnsi="Arial" w:cs="Arial"/>
          <w:sz w:val="22"/>
          <w:szCs w:val="22"/>
          <w:lang w:val="es-ES_tradnl"/>
        </w:rPr>
        <w:t>omingo</w:t>
      </w:r>
      <w:r w:rsidRPr="00551E61">
        <w:rPr>
          <w:rFonts w:ascii="Arial" w:hAnsi="Arial" w:cs="Arial"/>
          <w:sz w:val="22"/>
          <w:szCs w:val="22"/>
          <w:lang w:val="es-ES_tradnl"/>
        </w:rPr>
        <w:t xml:space="preserve"> se compone de 1.06 Km2 (106 hectáreas) distribuidos en 116 manzanas con una estructura urbana de damero</w:t>
      </w:r>
      <w:r w:rsidR="00846B0A" w:rsidRPr="00551E61">
        <w:rPr>
          <w:rFonts w:ascii="Arial" w:hAnsi="Arial" w:cs="Arial"/>
          <w:sz w:val="22"/>
          <w:szCs w:val="22"/>
          <w:lang w:val="es-ES_tradnl"/>
        </w:rPr>
        <w:t xml:space="preserve"> continua y sin accidentes geográficos o infraestructuras que la fraccionen</w:t>
      </w:r>
      <w:r w:rsidRPr="00551E61">
        <w:rPr>
          <w:rFonts w:ascii="Arial" w:hAnsi="Arial" w:cs="Arial"/>
          <w:sz w:val="22"/>
          <w:szCs w:val="22"/>
          <w:lang w:val="es-ES_tradnl"/>
        </w:rPr>
        <w:t>. Tiene una delimitación definida por ley que corresponde al perímetro amurallado</w:t>
      </w:r>
      <w:r w:rsidRPr="00551E61">
        <w:rPr>
          <w:rStyle w:val="FootnoteReference"/>
          <w:rFonts w:ascii="Arial" w:hAnsi="Arial" w:cs="Arial"/>
          <w:sz w:val="22"/>
          <w:szCs w:val="22"/>
          <w:lang w:val="es-ES_tradnl"/>
        </w:rPr>
        <w:footnoteReference w:id="2"/>
      </w:r>
      <w:r w:rsidRPr="00551E61">
        <w:rPr>
          <w:rFonts w:ascii="Arial" w:hAnsi="Arial" w:cs="Arial"/>
          <w:sz w:val="22"/>
          <w:szCs w:val="22"/>
          <w:lang w:val="es-ES_tradnl"/>
        </w:rPr>
        <w:t>. En el territorio de la CCSD se sobreponen diversas etapas del desarrollo de la ciudad de Santo Domingo desde su asentamiento fundacional en 1498 y la ciudad colonial de Ovando hasta la ciudad republicana y comercial de los siglos XIX y XX.</w:t>
      </w:r>
    </w:p>
    <w:p w:rsidR="00DA232A" w:rsidRPr="00551E61" w:rsidRDefault="00846B0A" w:rsidP="00DA5636">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szCs w:val="22"/>
          <w:lang w:val="es-ES_tradnl"/>
        </w:rPr>
        <w:t xml:space="preserve">La CCSD </w:t>
      </w:r>
      <w:r w:rsidR="004D34EF" w:rsidRPr="00551E61">
        <w:rPr>
          <w:rFonts w:ascii="Arial" w:hAnsi="Arial" w:cs="Arial"/>
          <w:sz w:val="22"/>
          <w:szCs w:val="22"/>
          <w:lang w:val="es-ES_tradnl"/>
        </w:rPr>
        <w:t>contiene</w:t>
      </w:r>
      <w:r w:rsidRPr="00551E61">
        <w:rPr>
          <w:rFonts w:ascii="Arial" w:hAnsi="Arial" w:cs="Arial"/>
          <w:sz w:val="22"/>
          <w:szCs w:val="22"/>
          <w:lang w:val="es-ES_tradnl"/>
        </w:rPr>
        <w:t xml:space="preserve"> </w:t>
      </w:r>
      <w:r w:rsidR="00DA5636" w:rsidRPr="00551E61">
        <w:rPr>
          <w:rFonts w:ascii="Arial" w:hAnsi="Arial" w:cs="Arial"/>
          <w:sz w:val="22"/>
          <w:szCs w:val="22"/>
          <w:lang w:val="es-ES_tradnl"/>
        </w:rPr>
        <w:t>una combinación de diferentes usos de suelo entre los que sobresale el residencial, el comercial</w:t>
      </w:r>
      <w:r w:rsidR="00DA232A" w:rsidRPr="00551E61">
        <w:rPr>
          <w:rFonts w:ascii="Arial" w:hAnsi="Arial" w:cs="Arial"/>
          <w:sz w:val="22"/>
          <w:szCs w:val="22"/>
          <w:lang w:val="es-ES_tradnl"/>
        </w:rPr>
        <w:t>, el cultural, el turístico</w:t>
      </w:r>
      <w:r w:rsidR="00274AD1" w:rsidRPr="00551E61">
        <w:rPr>
          <w:rFonts w:ascii="Arial" w:hAnsi="Arial" w:cs="Arial"/>
          <w:sz w:val="22"/>
          <w:szCs w:val="22"/>
          <w:lang w:val="es-ES_tradnl"/>
        </w:rPr>
        <w:t xml:space="preserve"> y el institucional. Como muestra el mapa 1, e</w:t>
      </w:r>
      <w:r w:rsidR="00DA5636" w:rsidRPr="00551E61">
        <w:rPr>
          <w:rFonts w:ascii="Arial" w:hAnsi="Arial" w:cs="Arial"/>
          <w:sz w:val="22"/>
          <w:szCs w:val="22"/>
          <w:lang w:val="es-ES_tradnl"/>
        </w:rPr>
        <w:t>l us</w:t>
      </w:r>
      <w:r w:rsidR="004D34EF" w:rsidRPr="00551E61">
        <w:rPr>
          <w:rFonts w:ascii="Arial" w:hAnsi="Arial" w:cs="Arial"/>
          <w:sz w:val="22"/>
          <w:szCs w:val="22"/>
          <w:lang w:val="es-ES_tradnl"/>
        </w:rPr>
        <w:t xml:space="preserve">o residencial es el principal y presenta una gran diversidad social coexistiendo manzanas de viviendas de alto ingreso en la zona cultural y turística, viviendas de ingreso medio en la zona sur y </w:t>
      </w:r>
      <w:r w:rsidR="006B21F3" w:rsidRPr="00551E61">
        <w:rPr>
          <w:rFonts w:ascii="Arial" w:hAnsi="Arial" w:cs="Arial"/>
          <w:sz w:val="22"/>
          <w:szCs w:val="22"/>
          <w:lang w:val="es-ES_tradnl"/>
        </w:rPr>
        <w:t xml:space="preserve">en </w:t>
      </w:r>
      <w:r w:rsidR="00DA232A" w:rsidRPr="00551E61">
        <w:rPr>
          <w:rFonts w:ascii="Arial" w:hAnsi="Arial" w:cs="Arial"/>
          <w:sz w:val="22"/>
          <w:szCs w:val="22"/>
          <w:lang w:val="es-ES_tradnl"/>
        </w:rPr>
        <w:t xml:space="preserve">las zonas </w:t>
      </w:r>
      <w:r w:rsidR="004D34EF" w:rsidRPr="00551E61">
        <w:rPr>
          <w:rFonts w:ascii="Arial" w:hAnsi="Arial" w:cs="Arial"/>
          <w:sz w:val="22"/>
          <w:szCs w:val="22"/>
          <w:lang w:val="es-ES_tradnl"/>
        </w:rPr>
        <w:t>comercial</w:t>
      </w:r>
      <w:r w:rsidR="00DA232A" w:rsidRPr="00551E61">
        <w:rPr>
          <w:rFonts w:ascii="Arial" w:hAnsi="Arial" w:cs="Arial"/>
          <w:sz w:val="22"/>
          <w:szCs w:val="22"/>
          <w:lang w:val="es-ES_tradnl"/>
        </w:rPr>
        <w:t>es</w:t>
      </w:r>
      <w:r w:rsidR="006B21F3" w:rsidRPr="00551E61">
        <w:rPr>
          <w:rFonts w:ascii="Arial" w:hAnsi="Arial" w:cs="Arial"/>
          <w:sz w:val="22"/>
          <w:szCs w:val="22"/>
          <w:lang w:val="es-ES_tradnl"/>
        </w:rPr>
        <w:t xml:space="preserve"> del centro-oeste</w:t>
      </w:r>
      <w:r w:rsidR="00DA232A" w:rsidRPr="00551E61">
        <w:rPr>
          <w:rFonts w:ascii="Arial" w:hAnsi="Arial" w:cs="Arial"/>
          <w:sz w:val="22"/>
          <w:szCs w:val="22"/>
          <w:lang w:val="es-ES_tradnl"/>
        </w:rPr>
        <w:t>, y viviendas de ingreso bajo en la zo</w:t>
      </w:r>
      <w:r w:rsidR="00C62024" w:rsidRPr="00551E61">
        <w:rPr>
          <w:rFonts w:ascii="Arial" w:hAnsi="Arial" w:cs="Arial"/>
          <w:sz w:val="22"/>
          <w:szCs w:val="22"/>
          <w:lang w:val="es-ES_tradnl"/>
        </w:rPr>
        <w:t>na norte (Plan Estratégico, 2006</w:t>
      </w:r>
      <w:r w:rsidR="00274AD1" w:rsidRPr="00551E61">
        <w:rPr>
          <w:rFonts w:ascii="Arial" w:hAnsi="Arial" w:cs="Arial"/>
          <w:sz w:val="22"/>
          <w:szCs w:val="22"/>
          <w:lang w:val="es-ES_tradnl"/>
        </w:rPr>
        <w:t>).</w:t>
      </w:r>
    </w:p>
    <w:p w:rsidR="008067B3" w:rsidRPr="00551E61" w:rsidRDefault="008067B3" w:rsidP="008067B3">
      <w:pPr>
        <w:pStyle w:val="Paragraph"/>
        <w:ind w:left="720"/>
        <w:rPr>
          <w:rFonts w:ascii="Arial" w:hAnsi="Arial" w:cs="Arial"/>
          <w:sz w:val="22"/>
          <w:szCs w:val="22"/>
          <w:lang w:val="es-ES_tradnl"/>
        </w:rPr>
      </w:pPr>
    </w:p>
    <w:p w:rsidR="00DA232A" w:rsidRPr="00551E61" w:rsidRDefault="008067B3" w:rsidP="00DA232A">
      <w:pPr>
        <w:spacing w:after="0"/>
        <w:jc w:val="center"/>
        <w:rPr>
          <w:rFonts w:ascii="Arial" w:hAnsi="Arial" w:cs="Arial"/>
          <w:lang w:val="es-ES_tradnl"/>
        </w:rPr>
      </w:pPr>
      <w:r w:rsidRPr="00551E61">
        <w:rPr>
          <w:rFonts w:ascii="Arial" w:hAnsi="Arial" w:cs="Arial"/>
          <w:lang w:val="es-ES_tradnl"/>
        </w:rPr>
        <w:t xml:space="preserve">Mapa 1 </w:t>
      </w:r>
      <w:r w:rsidR="00DA232A" w:rsidRPr="00551E61">
        <w:rPr>
          <w:rFonts w:ascii="Arial" w:hAnsi="Arial" w:cs="Arial"/>
          <w:lang w:val="es-ES_tradnl"/>
        </w:rPr>
        <w:t>Usos dominantes CCSD</w:t>
      </w:r>
    </w:p>
    <w:p w:rsidR="00DA5636" w:rsidRPr="00551E61" w:rsidRDefault="004D34EF" w:rsidP="00DA232A">
      <w:pPr>
        <w:spacing w:after="0"/>
        <w:jc w:val="center"/>
        <w:rPr>
          <w:rFonts w:ascii="Arial" w:hAnsi="Arial" w:cs="Arial"/>
          <w:lang w:val="es-ES_tradnl"/>
        </w:rPr>
      </w:pPr>
      <w:r w:rsidRPr="00551E61">
        <w:rPr>
          <w:rFonts w:ascii="Arial" w:hAnsi="Arial" w:cs="Arial"/>
          <w:noProof/>
          <w:lang w:val="en-US"/>
        </w:rPr>
        <w:drawing>
          <wp:inline distT="0" distB="0" distL="0" distR="0" wp14:anchorId="663CED85" wp14:editId="4A70EE58">
            <wp:extent cx="4206240" cy="3300730"/>
            <wp:effectExtent l="0" t="0" r="381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4210447" cy="3304031"/>
                    </a:xfrm>
                    <a:prstGeom prst="rect">
                      <a:avLst/>
                    </a:prstGeom>
                  </pic:spPr>
                </pic:pic>
              </a:graphicData>
            </a:graphic>
          </wp:inline>
        </w:drawing>
      </w:r>
    </w:p>
    <w:p w:rsidR="00DA5636" w:rsidRPr="00551E61" w:rsidRDefault="00DA232A" w:rsidP="00274AD1">
      <w:pPr>
        <w:spacing w:after="0"/>
        <w:rPr>
          <w:rFonts w:ascii="Arial" w:hAnsi="Arial" w:cs="Arial"/>
          <w:lang w:val="es-ES_tradnl"/>
        </w:rPr>
      </w:pPr>
      <w:r w:rsidRPr="00551E61">
        <w:rPr>
          <w:rFonts w:ascii="Arial" w:hAnsi="Arial" w:cs="Arial"/>
          <w:lang w:val="es-ES_tradnl"/>
        </w:rPr>
        <w:t xml:space="preserve">Fuente: </w:t>
      </w:r>
      <w:r w:rsidR="00C62024" w:rsidRPr="00551E61">
        <w:rPr>
          <w:rFonts w:ascii="Arial" w:hAnsi="Arial" w:cs="Arial"/>
          <w:lang w:val="es-ES_tradnl"/>
        </w:rPr>
        <w:t xml:space="preserve">Plan Estratégico </w:t>
      </w:r>
      <w:r w:rsidR="002602A9" w:rsidRPr="00551E61">
        <w:rPr>
          <w:rFonts w:ascii="Arial" w:hAnsi="Arial" w:cs="Arial"/>
          <w:lang w:val="es-ES_tradnl"/>
        </w:rPr>
        <w:t>(200</w:t>
      </w:r>
      <w:r w:rsidR="00C62024" w:rsidRPr="00551E61">
        <w:rPr>
          <w:rFonts w:ascii="Arial" w:hAnsi="Arial" w:cs="Arial"/>
          <w:lang w:val="es-ES_tradnl"/>
        </w:rPr>
        <w:t>6</w:t>
      </w:r>
      <w:r w:rsidR="00ED7F4A" w:rsidRPr="00551E61">
        <w:rPr>
          <w:rFonts w:ascii="Arial" w:hAnsi="Arial" w:cs="Arial"/>
          <w:lang w:val="es-ES_tradnl"/>
        </w:rPr>
        <w:t>)</w:t>
      </w:r>
    </w:p>
    <w:p w:rsidR="00936758" w:rsidRPr="00551E61" w:rsidRDefault="00936758" w:rsidP="00936758">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szCs w:val="22"/>
          <w:lang w:val="es-ES_tradnl"/>
        </w:rPr>
        <w:lastRenderedPageBreak/>
        <w:t>De acuerdo a un censo realizado</w:t>
      </w:r>
      <w:r w:rsidR="000B2EDF" w:rsidRPr="00551E61">
        <w:rPr>
          <w:rFonts w:ascii="Arial" w:hAnsi="Arial" w:cs="Arial"/>
          <w:sz w:val="22"/>
          <w:szCs w:val="22"/>
          <w:lang w:val="es-ES_tradnl"/>
        </w:rPr>
        <w:t xml:space="preserve"> en la CCSD por el Ministerio de Turismo</w:t>
      </w:r>
      <w:r w:rsidR="00310ABF" w:rsidRPr="00551E61">
        <w:rPr>
          <w:rFonts w:ascii="Arial" w:hAnsi="Arial" w:cs="Arial"/>
          <w:sz w:val="22"/>
          <w:szCs w:val="22"/>
          <w:lang w:val="es-ES_tradnl"/>
        </w:rPr>
        <w:t xml:space="preserve"> (MINTUR)</w:t>
      </w:r>
      <w:r w:rsidRPr="00551E61">
        <w:rPr>
          <w:rFonts w:ascii="Arial" w:hAnsi="Arial" w:cs="Arial"/>
          <w:sz w:val="22"/>
          <w:szCs w:val="22"/>
          <w:lang w:val="es-ES_tradnl"/>
        </w:rPr>
        <w:t xml:space="preserve"> en e</w:t>
      </w:r>
      <w:r w:rsidR="00F7034F" w:rsidRPr="00551E61">
        <w:rPr>
          <w:rFonts w:ascii="Arial" w:hAnsi="Arial" w:cs="Arial"/>
          <w:sz w:val="22"/>
          <w:szCs w:val="22"/>
          <w:lang w:val="es-ES_tradnl"/>
        </w:rPr>
        <w:t>l 2015 existían en la zona 3,788</w:t>
      </w:r>
      <w:r w:rsidRPr="00551E61">
        <w:rPr>
          <w:rFonts w:ascii="Arial" w:hAnsi="Arial" w:cs="Arial"/>
          <w:sz w:val="22"/>
          <w:szCs w:val="22"/>
          <w:lang w:val="es-ES_tradnl"/>
        </w:rPr>
        <w:t xml:space="preserve"> viviendas particulares, pensiones, ca</w:t>
      </w:r>
      <w:r w:rsidR="00872ED7" w:rsidRPr="00551E61">
        <w:rPr>
          <w:rFonts w:ascii="Arial" w:hAnsi="Arial" w:cs="Arial"/>
          <w:sz w:val="22"/>
          <w:szCs w:val="22"/>
          <w:lang w:val="es-ES_tradnl"/>
        </w:rPr>
        <w:t>sas de huéspedes y hoteles. L</w:t>
      </w:r>
      <w:r w:rsidRPr="00551E61">
        <w:rPr>
          <w:rFonts w:ascii="Arial" w:hAnsi="Arial" w:cs="Arial"/>
          <w:sz w:val="22"/>
          <w:szCs w:val="22"/>
          <w:lang w:val="es-ES_tradnl"/>
        </w:rPr>
        <w:t>as viviendas particulares</w:t>
      </w:r>
      <w:r w:rsidR="00872ED7" w:rsidRPr="00551E61">
        <w:rPr>
          <w:rFonts w:ascii="Arial" w:hAnsi="Arial" w:cs="Arial"/>
          <w:sz w:val="22"/>
          <w:szCs w:val="22"/>
          <w:lang w:val="es-ES_tradnl"/>
        </w:rPr>
        <w:t xml:space="preserve"> ascendían al 98.3% con 3,764 unidades. De estas</w:t>
      </w:r>
      <w:r w:rsidRPr="00551E61">
        <w:rPr>
          <w:rFonts w:ascii="Arial" w:hAnsi="Arial" w:cs="Arial"/>
          <w:sz w:val="22"/>
          <w:szCs w:val="22"/>
          <w:lang w:val="es-ES_tradnl"/>
        </w:rPr>
        <w:t xml:space="preserve">, 56.2% eran apartamentos, 21.3% casas independientes, 10% casas en hileras o bloques, 8.7% piezas en cuartería o parte de atrás, 2.4% viviendas compartidas con negocios y 1.3% locales no construidos para vivienda y otro tipo de acomodaciones (censo CCSD, 2015). </w:t>
      </w:r>
    </w:p>
    <w:p w:rsidR="008067B3" w:rsidRPr="00551E61" w:rsidRDefault="008067B3" w:rsidP="008067B3">
      <w:pPr>
        <w:pStyle w:val="Paragraph"/>
        <w:ind w:left="720"/>
        <w:rPr>
          <w:rFonts w:ascii="Arial" w:hAnsi="Arial" w:cs="Arial"/>
          <w:sz w:val="22"/>
          <w:szCs w:val="22"/>
          <w:lang w:val="es-ES_tradnl"/>
        </w:rPr>
      </w:pPr>
    </w:p>
    <w:p w:rsidR="008067B3" w:rsidRPr="00551E61" w:rsidRDefault="008067B3" w:rsidP="00274AD1">
      <w:pPr>
        <w:pStyle w:val="Chapter"/>
        <w:numPr>
          <w:ilvl w:val="0"/>
          <w:numId w:val="4"/>
        </w:numPr>
        <w:jc w:val="left"/>
        <w:rPr>
          <w:rFonts w:ascii="Arial" w:hAnsi="Arial" w:cs="Arial"/>
          <w:sz w:val="22"/>
          <w:szCs w:val="22"/>
        </w:rPr>
      </w:pPr>
      <w:r w:rsidRPr="00551E61">
        <w:rPr>
          <w:rFonts w:ascii="Arial" w:hAnsi="Arial" w:cs="Arial"/>
          <w:sz w:val="22"/>
          <w:szCs w:val="22"/>
        </w:rPr>
        <w:t>PROBLEMÁTICA</w:t>
      </w:r>
    </w:p>
    <w:p w:rsidR="008067B3" w:rsidRPr="00551E61" w:rsidRDefault="008067B3" w:rsidP="008067B3">
      <w:pPr>
        <w:pStyle w:val="ListParagraph"/>
        <w:ind w:left="360"/>
        <w:rPr>
          <w:rFonts w:ascii="Arial" w:hAnsi="Arial" w:cs="Arial"/>
          <w:b/>
        </w:rPr>
      </w:pPr>
    </w:p>
    <w:p w:rsidR="008067B3" w:rsidRPr="00551E61" w:rsidRDefault="008067B3" w:rsidP="008067B3">
      <w:pPr>
        <w:pStyle w:val="ListParagraph"/>
        <w:keepNext/>
        <w:numPr>
          <w:ilvl w:val="0"/>
          <w:numId w:val="1"/>
        </w:numPr>
        <w:tabs>
          <w:tab w:val="left" w:pos="1440"/>
        </w:tabs>
        <w:spacing w:before="240" w:after="240" w:line="240" w:lineRule="auto"/>
        <w:contextualSpacing w:val="0"/>
        <w:jc w:val="center"/>
        <w:rPr>
          <w:rFonts w:ascii="Arial" w:hAnsi="Arial" w:cs="Arial"/>
          <w:b/>
          <w:smallCaps/>
          <w:vanish/>
          <w:sz w:val="24"/>
          <w:szCs w:val="20"/>
          <w:lang w:val="es-ES_tradnl"/>
        </w:rPr>
      </w:pPr>
    </w:p>
    <w:p w:rsidR="00872ED7" w:rsidRPr="00551E61" w:rsidRDefault="008067B3" w:rsidP="00872ED7">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szCs w:val="22"/>
          <w:lang w:val="es-ES_tradnl"/>
        </w:rPr>
        <w:t xml:space="preserve">Desde una perspectiva habitacional, la CCSD presenta dos problemas principales: paulatino abandono de la zona de parte de los residentes y baja calidad en parte del stock. Respecto </w:t>
      </w:r>
      <w:r w:rsidR="00E5136D" w:rsidRPr="00551E61">
        <w:rPr>
          <w:rFonts w:ascii="Arial" w:hAnsi="Arial" w:cs="Arial"/>
          <w:sz w:val="22"/>
          <w:szCs w:val="22"/>
          <w:lang w:val="es-ES_tradnl"/>
        </w:rPr>
        <w:t xml:space="preserve">a la </w:t>
      </w:r>
      <w:r w:rsidR="00E5136D" w:rsidRPr="00551E61">
        <w:rPr>
          <w:rFonts w:ascii="Arial" w:hAnsi="Arial" w:cs="Arial"/>
          <w:b/>
          <w:sz w:val="22"/>
          <w:szCs w:val="22"/>
          <w:lang w:val="es-ES_tradnl"/>
        </w:rPr>
        <w:t>disminución de la población en la zona</w:t>
      </w:r>
      <w:r w:rsidRPr="00551E61">
        <w:rPr>
          <w:rFonts w:ascii="Arial" w:hAnsi="Arial" w:cs="Arial"/>
          <w:sz w:val="22"/>
          <w:szCs w:val="22"/>
          <w:lang w:val="es-ES_tradnl"/>
        </w:rPr>
        <w:t xml:space="preserve">, </w:t>
      </w:r>
      <w:r w:rsidR="00DC7FE3" w:rsidRPr="00551E61">
        <w:rPr>
          <w:rFonts w:ascii="Arial" w:hAnsi="Arial" w:cs="Arial"/>
          <w:sz w:val="22"/>
          <w:szCs w:val="22"/>
          <w:lang w:val="es-ES_tradnl"/>
        </w:rPr>
        <w:t>la población de la CCSD pasa de 16,430 residentes según el censo</w:t>
      </w:r>
      <w:r w:rsidR="000B2EDF" w:rsidRPr="00551E61">
        <w:rPr>
          <w:rFonts w:ascii="Arial" w:hAnsi="Arial" w:cs="Arial"/>
          <w:sz w:val="22"/>
          <w:szCs w:val="22"/>
          <w:lang w:val="es-ES_tradnl"/>
        </w:rPr>
        <w:t xml:space="preserve"> nacional</w:t>
      </w:r>
      <w:r w:rsidR="00DC7FE3" w:rsidRPr="00551E61">
        <w:rPr>
          <w:rFonts w:ascii="Arial" w:hAnsi="Arial" w:cs="Arial"/>
          <w:sz w:val="22"/>
          <w:szCs w:val="22"/>
          <w:lang w:val="es-ES_tradnl"/>
        </w:rPr>
        <w:t xml:space="preserve"> de 1981 a  7,750 en 2015. Una caída de 53% en menos de 35 años. Como resultado, la densidad del área llega a 73.11 habitantes por hectárea lo que es sustancialmente menor a otros centros históricos de la región como La Paz y Quito</w:t>
      </w:r>
      <w:r w:rsidR="00DC7FE3" w:rsidRPr="00551E61">
        <w:rPr>
          <w:rFonts w:ascii="Arial" w:hAnsi="Arial" w:cs="Arial"/>
          <w:vertAlign w:val="superscript"/>
        </w:rPr>
        <w:footnoteReference w:id="3"/>
      </w:r>
      <w:r w:rsidR="00DC7FE3" w:rsidRPr="00551E61">
        <w:rPr>
          <w:rFonts w:ascii="Arial" w:hAnsi="Arial" w:cs="Arial"/>
          <w:sz w:val="22"/>
          <w:szCs w:val="22"/>
          <w:lang w:val="es-ES_tradnl"/>
        </w:rPr>
        <w:t xml:space="preserve">. </w:t>
      </w:r>
      <w:r w:rsidR="00872ED7" w:rsidRPr="00551E61">
        <w:rPr>
          <w:rFonts w:ascii="Arial" w:hAnsi="Arial" w:cs="Arial"/>
          <w:sz w:val="22"/>
          <w:szCs w:val="22"/>
          <w:lang w:val="es-ES_tradnl"/>
        </w:rPr>
        <w:t xml:space="preserve">La tabla 1 muestra el decrecimiento constante de la población total para los años censales. </w:t>
      </w:r>
    </w:p>
    <w:p w:rsidR="00872ED7" w:rsidRPr="00551E61" w:rsidRDefault="00872ED7" w:rsidP="00872ED7">
      <w:pPr>
        <w:pStyle w:val="Paragraph"/>
        <w:ind w:left="720"/>
        <w:rPr>
          <w:rFonts w:ascii="Arial" w:hAnsi="Arial" w:cs="Arial"/>
          <w:sz w:val="22"/>
          <w:szCs w:val="22"/>
          <w:lang w:val="es-ES_tradnl"/>
        </w:rPr>
      </w:pPr>
    </w:p>
    <w:p w:rsidR="00872ED7" w:rsidRPr="00551E61" w:rsidRDefault="00872ED7" w:rsidP="00872ED7">
      <w:pPr>
        <w:spacing w:after="0"/>
        <w:jc w:val="center"/>
        <w:rPr>
          <w:rFonts w:ascii="Arial" w:hAnsi="Arial" w:cs="Arial"/>
          <w:lang w:val="es-ES_tradnl"/>
        </w:rPr>
      </w:pPr>
      <w:r w:rsidRPr="00551E61">
        <w:rPr>
          <w:rFonts w:ascii="Arial" w:hAnsi="Arial" w:cs="Arial"/>
          <w:lang w:val="es-ES_tradnl"/>
        </w:rPr>
        <w:t>Tabla 1 Población en CCSD</w:t>
      </w:r>
    </w:p>
    <w:tbl>
      <w:tblPr>
        <w:tblStyle w:val="TableGrid"/>
        <w:tblW w:w="0" w:type="auto"/>
        <w:tblLook w:val="04A0" w:firstRow="1" w:lastRow="0" w:firstColumn="1" w:lastColumn="0" w:noHBand="0" w:noVBand="1"/>
      </w:tblPr>
      <w:tblGrid>
        <w:gridCol w:w="1833"/>
        <w:gridCol w:w="1833"/>
        <w:gridCol w:w="1833"/>
        <w:gridCol w:w="1833"/>
        <w:gridCol w:w="1834"/>
      </w:tblGrid>
      <w:tr w:rsidR="00872ED7" w:rsidRPr="00551E61" w:rsidTr="00872ED7">
        <w:tc>
          <w:tcPr>
            <w:tcW w:w="1833" w:type="dxa"/>
          </w:tcPr>
          <w:p w:rsidR="00872ED7" w:rsidRPr="00551E61" w:rsidRDefault="00872ED7" w:rsidP="00872ED7">
            <w:pPr>
              <w:jc w:val="center"/>
              <w:rPr>
                <w:rFonts w:ascii="Arial" w:hAnsi="Arial" w:cs="Arial"/>
                <w:b/>
                <w:lang w:val="es-ES_tradnl"/>
              </w:rPr>
            </w:pPr>
            <w:r w:rsidRPr="00551E61">
              <w:rPr>
                <w:rFonts w:ascii="Arial" w:hAnsi="Arial" w:cs="Arial"/>
                <w:b/>
                <w:lang w:val="es-ES_tradnl"/>
              </w:rPr>
              <w:t>1981</w:t>
            </w:r>
          </w:p>
        </w:tc>
        <w:tc>
          <w:tcPr>
            <w:tcW w:w="1833" w:type="dxa"/>
          </w:tcPr>
          <w:p w:rsidR="00872ED7" w:rsidRPr="00551E61" w:rsidRDefault="00872ED7" w:rsidP="00872ED7">
            <w:pPr>
              <w:jc w:val="center"/>
              <w:rPr>
                <w:rFonts w:ascii="Arial" w:hAnsi="Arial" w:cs="Arial"/>
                <w:b/>
                <w:lang w:val="es-ES_tradnl"/>
              </w:rPr>
            </w:pPr>
            <w:r w:rsidRPr="00551E61">
              <w:rPr>
                <w:rFonts w:ascii="Arial" w:hAnsi="Arial" w:cs="Arial"/>
                <w:b/>
                <w:lang w:val="es-ES_tradnl"/>
              </w:rPr>
              <w:t>1993</w:t>
            </w:r>
          </w:p>
        </w:tc>
        <w:tc>
          <w:tcPr>
            <w:tcW w:w="1833" w:type="dxa"/>
          </w:tcPr>
          <w:p w:rsidR="00872ED7" w:rsidRPr="00551E61" w:rsidRDefault="00872ED7" w:rsidP="00872ED7">
            <w:pPr>
              <w:jc w:val="center"/>
              <w:rPr>
                <w:rFonts w:ascii="Arial" w:hAnsi="Arial" w:cs="Arial"/>
                <w:b/>
                <w:lang w:val="es-ES_tradnl"/>
              </w:rPr>
            </w:pPr>
            <w:r w:rsidRPr="00551E61">
              <w:rPr>
                <w:rFonts w:ascii="Arial" w:hAnsi="Arial" w:cs="Arial"/>
                <w:b/>
                <w:lang w:val="es-ES_tradnl"/>
              </w:rPr>
              <w:t>2002</w:t>
            </w:r>
          </w:p>
        </w:tc>
        <w:tc>
          <w:tcPr>
            <w:tcW w:w="1833" w:type="dxa"/>
          </w:tcPr>
          <w:p w:rsidR="00872ED7" w:rsidRPr="00551E61" w:rsidRDefault="00872ED7" w:rsidP="00872ED7">
            <w:pPr>
              <w:jc w:val="center"/>
              <w:rPr>
                <w:rFonts w:ascii="Arial" w:hAnsi="Arial" w:cs="Arial"/>
                <w:b/>
                <w:lang w:val="es-ES_tradnl"/>
              </w:rPr>
            </w:pPr>
            <w:r w:rsidRPr="00551E61">
              <w:rPr>
                <w:rFonts w:ascii="Arial" w:hAnsi="Arial" w:cs="Arial"/>
                <w:b/>
                <w:lang w:val="es-ES_tradnl"/>
              </w:rPr>
              <w:t>2010</w:t>
            </w:r>
          </w:p>
        </w:tc>
        <w:tc>
          <w:tcPr>
            <w:tcW w:w="1834" w:type="dxa"/>
          </w:tcPr>
          <w:p w:rsidR="00872ED7" w:rsidRPr="00551E61" w:rsidRDefault="00872ED7" w:rsidP="00872ED7">
            <w:pPr>
              <w:jc w:val="center"/>
              <w:rPr>
                <w:rFonts w:ascii="Arial" w:hAnsi="Arial" w:cs="Arial"/>
                <w:b/>
                <w:lang w:val="es-ES_tradnl"/>
              </w:rPr>
            </w:pPr>
            <w:r w:rsidRPr="00551E61">
              <w:rPr>
                <w:rFonts w:ascii="Arial" w:hAnsi="Arial" w:cs="Arial"/>
                <w:b/>
                <w:lang w:val="es-ES_tradnl"/>
              </w:rPr>
              <w:t>2015</w:t>
            </w:r>
          </w:p>
        </w:tc>
      </w:tr>
      <w:tr w:rsidR="00872ED7" w:rsidRPr="00551E61" w:rsidTr="00872ED7">
        <w:tc>
          <w:tcPr>
            <w:tcW w:w="1833" w:type="dxa"/>
          </w:tcPr>
          <w:p w:rsidR="00872ED7" w:rsidRPr="00551E61" w:rsidRDefault="00872ED7" w:rsidP="00872ED7">
            <w:pPr>
              <w:jc w:val="center"/>
              <w:rPr>
                <w:rFonts w:ascii="Arial" w:hAnsi="Arial" w:cs="Arial"/>
                <w:lang w:val="es-ES_tradnl"/>
              </w:rPr>
            </w:pPr>
            <w:r w:rsidRPr="00551E61">
              <w:rPr>
                <w:rFonts w:ascii="Arial" w:hAnsi="Arial" w:cs="Arial"/>
                <w:lang w:val="es-ES_tradnl"/>
              </w:rPr>
              <w:t>16,430</w:t>
            </w:r>
          </w:p>
        </w:tc>
        <w:tc>
          <w:tcPr>
            <w:tcW w:w="1833" w:type="dxa"/>
          </w:tcPr>
          <w:p w:rsidR="00872ED7" w:rsidRPr="00551E61" w:rsidRDefault="00872ED7" w:rsidP="00872ED7">
            <w:pPr>
              <w:jc w:val="center"/>
              <w:rPr>
                <w:rFonts w:ascii="Arial" w:hAnsi="Arial" w:cs="Arial"/>
                <w:lang w:val="es-ES_tradnl"/>
              </w:rPr>
            </w:pPr>
            <w:r w:rsidRPr="00551E61">
              <w:rPr>
                <w:rFonts w:ascii="Arial" w:hAnsi="Arial" w:cs="Arial"/>
                <w:lang w:val="es-ES_tradnl"/>
              </w:rPr>
              <w:t>12,415</w:t>
            </w:r>
          </w:p>
        </w:tc>
        <w:tc>
          <w:tcPr>
            <w:tcW w:w="1833" w:type="dxa"/>
          </w:tcPr>
          <w:p w:rsidR="00872ED7" w:rsidRPr="00551E61" w:rsidRDefault="00872ED7" w:rsidP="00872ED7">
            <w:pPr>
              <w:jc w:val="center"/>
              <w:rPr>
                <w:rFonts w:ascii="Arial" w:hAnsi="Arial" w:cs="Arial"/>
                <w:lang w:val="es-ES_tradnl"/>
              </w:rPr>
            </w:pPr>
            <w:r w:rsidRPr="00551E61">
              <w:rPr>
                <w:rFonts w:ascii="Arial" w:hAnsi="Arial" w:cs="Arial"/>
                <w:lang w:val="es-ES_tradnl"/>
              </w:rPr>
              <w:t>12,133</w:t>
            </w:r>
          </w:p>
        </w:tc>
        <w:tc>
          <w:tcPr>
            <w:tcW w:w="1833" w:type="dxa"/>
          </w:tcPr>
          <w:p w:rsidR="00872ED7" w:rsidRPr="00551E61" w:rsidRDefault="00872ED7" w:rsidP="00872ED7">
            <w:pPr>
              <w:jc w:val="center"/>
              <w:rPr>
                <w:rFonts w:ascii="Arial" w:hAnsi="Arial" w:cs="Arial"/>
                <w:lang w:val="es-ES_tradnl"/>
              </w:rPr>
            </w:pPr>
            <w:r w:rsidRPr="00551E61">
              <w:rPr>
                <w:rFonts w:ascii="Arial" w:hAnsi="Arial" w:cs="Arial"/>
                <w:lang w:val="es-ES_tradnl"/>
              </w:rPr>
              <w:t>8,477</w:t>
            </w:r>
          </w:p>
        </w:tc>
        <w:tc>
          <w:tcPr>
            <w:tcW w:w="1834" w:type="dxa"/>
          </w:tcPr>
          <w:p w:rsidR="00872ED7" w:rsidRPr="00551E61" w:rsidRDefault="00872ED7" w:rsidP="00872ED7">
            <w:pPr>
              <w:jc w:val="center"/>
              <w:rPr>
                <w:rFonts w:ascii="Arial" w:hAnsi="Arial" w:cs="Arial"/>
                <w:lang w:val="es-ES_tradnl"/>
              </w:rPr>
            </w:pPr>
            <w:r w:rsidRPr="00551E61">
              <w:rPr>
                <w:rFonts w:ascii="Arial" w:hAnsi="Arial" w:cs="Arial"/>
                <w:lang w:val="es-ES_tradnl"/>
              </w:rPr>
              <w:t>7,750</w:t>
            </w:r>
          </w:p>
        </w:tc>
      </w:tr>
    </w:tbl>
    <w:p w:rsidR="00872ED7" w:rsidRPr="00551E61" w:rsidRDefault="00334E9B" w:rsidP="00872ED7">
      <w:pPr>
        <w:rPr>
          <w:rFonts w:ascii="Arial" w:hAnsi="Arial" w:cs="Arial"/>
          <w:lang w:val="es-ES_tradnl"/>
        </w:rPr>
      </w:pPr>
      <w:r w:rsidRPr="00551E61">
        <w:rPr>
          <w:rFonts w:ascii="Arial" w:hAnsi="Arial" w:cs="Arial"/>
          <w:lang w:val="es-ES_tradnl"/>
        </w:rPr>
        <w:t>Fuente: Censo CCSD</w:t>
      </w:r>
      <w:r w:rsidR="00872ED7" w:rsidRPr="00551E61">
        <w:rPr>
          <w:rFonts w:ascii="Arial" w:hAnsi="Arial" w:cs="Arial"/>
          <w:lang w:val="es-ES_tradnl"/>
        </w:rPr>
        <w:t xml:space="preserve"> (2015)</w:t>
      </w:r>
    </w:p>
    <w:p w:rsidR="00872ED7" w:rsidRPr="00551E61" w:rsidRDefault="00872ED7" w:rsidP="00872ED7">
      <w:pPr>
        <w:rPr>
          <w:rFonts w:ascii="Arial" w:hAnsi="Arial" w:cs="Arial"/>
          <w:lang w:val="es-ES_tradnl"/>
        </w:rPr>
      </w:pPr>
    </w:p>
    <w:p w:rsidR="00DC7FE3" w:rsidRPr="00551E61" w:rsidRDefault="00872ED7" w:rsidP="008067B3">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szCs w:val="22"/>
          <w:lang w:val="es-ES_tradnl"/>
        </w:rPr>
        <w:t>Concomitantemente</w:t>
      </w:r>
      <w:r w:rsidR="00DC7FE3" w:rsidRPr="00551E61">
        <w:rPr>
          <w:rFonts w:ascii="Arial" w:hAnsi="Arial" w:cs="Arial"/>
          <w:sz w:val="22"/>
          <w:szCs w:val="22"/>
          <w:lang w:val="es-ES_tradnl"/>
        </w:rPr>
        <w:t xml:space="preserve">, la población de la CCSD </w:t>
      </w:r>
      <w:r w:rsidR="001A467A" w:rsidRPr="00551E61">
        <w:rPr>
          <w:rFonts w:ascii="Arial" w:hAnsi="Arial" w:cs="Arial"/>
          <w:sz w:val="22"/>
          <w:szCs w:val="22"/>
          <w:lang w:val="es-ES_tradnl"/>
        </w:rPr>
        <w:t xml:space="preserve">ha venido presentando un proceso de envejecimiento. Por ejemplo, la población mayor de 64 años hacia el año 2012 representaba el 10.85% del total mientras que para el 2010 era el 13.21% </w:t>
      </w:r>
      <w:r w:rsidR="00CF44BD" w:rsidRPr="00551E61">
        <w:rPr>
          <w:rFonts w:ascii="Arial" w:hAnsi="Arial" w:cs="Arial"/>
          <w:sz w:val="22"/>
          <w:szCs w:val="22"/>
          <w:lang w:val="es-ES_tradnl"/>
        </w:rPr>
        <w:t>y para 2015 alcanzaba a 13.9</w:t>
      </w:r>
      <w:r w:rsidR="001A467A" w:rsidRPr="00551E61">
        <w:rPr>
          <w:rFonts w:ascii="Arial" w:hAnsi="Arial" w:cs="Arial"/>
          <w:sz w:val="22"/>
          <w:szCs w:val="22"/>
          <w:lang w:val="es-ES_tradnl"/>
        </w:rPr>
        <w:t>%. Est</w:t>
      </w:r>
      <w:r w:rsidR="00334E9B" w:rsidRPr="00551E61">
        <w:rPr>
          <w:rFonts w:ascii="Arial" w:hAnsi="Arial" w:cs="Arial"/>
          <w:sz w:val="22"/>
          <w:szCs w:val="22"/>
          <w:lang w:val="es-ES_tradnl"/>
        </w:rPr>
        <w:t>o</w:t>
      </w:r>
      <w:r w:rsidR="00DD51F6" w:rsidRPr="00551E61">
        <w:rPr>
          <w:rFonts w:ascii="Arial" w:hAnsi="Arial" w:cs="Arial"/>
          <w:sz w:val="22"/>
          <w:szCs w:val="22"/>
          <w:lang w:val="es-ES_tradnl"/>
        </w:rPr>
        <w:t xml:space="preserve">s </w:t>
      </w:r>
      <w:r w:rsidR="00334E9B" w:rsidRPr="00551E61">
        <w:rPr>
          <w:rFonts w:ascii="Arial" w:hAnsi="Arial" w:cs="Arial"/>
          <w:sz w:val="22"/>
          <w:szCs w:val="22"/>
          <w:lang w:val="es-ES_tradnl"/>
        </w:rPr>
        <w:t>porcentajes</w:t>
      </w:r>
      <w:r w:rsidR="00DD51F6" w:rsidRPr="00551E61">
        <w:rPr>
          <w:rFonts w:ascii="Arial" w:hAnsi="Arial" w:cs="Arial"/>
          <w:sz w:val="22"/>
          <w:szCs w:val="22"/>
          <w:lang w:val="es-ES_tradnl"/>
        </w:rPr>
        <w:t xml:space="preserve"> </w:t>
      </w:r>
      <w:r w:rsidR="00334E9B" w:rsidRPr="00551E61">
        <w:rPr>
          <w:rFonts w:ascii="Arial" w:hAnsi="Arial" w:cs="Arial"/>
          <w:sz w:val="22"/>
          <w:szCs w:val="22"/>
          <w:lang w:val="es-ES_tradnl"/>
        </w:rPr>
        <w:t>son casi el doble de lo</w:t>
      </w:r>
      <w:r w:rsidR="00DD51F6" w:rsidRPr="00551E61">
        <w:rPr>
          <w:rFonts w:ascii="Arial" w:hAnsi="Arial" w:cs="Arial"/>
          <w:sz w:val="22"/>
          <w:szCs w:val="22"/>
          <w:lang w:val="es-ES_tradnl"/>
        </w:rPr>
        <w:t xml:space="preserve">s de </w:t>
      </w:r>
      <w:r w:rsidR="001A467A" w:rsidRPr="00551E61">
        <w:rPr>
          <w:rFonts w:ascii="Arial" w:hAnsi="Arial" w:cs="Arial"/>
          <w:sz w:val="22"/>
          <w:szCs w:val="22"/>
          <w:lang w:val="es-ES_tradnl"/>
        </w:rPr>
        <w:t>Santo Domingo donde el promedio para 2010 era 7.25%. Paralelamente, la población menor a 15 años viene disminuyendo pasando de 23.42% a 17.52% entre 2002 y 2010 (Villaescusa, 2015).</w:t>
      </w:r>
    </w:p>
    <w:p w:rsidR="0092615E" w:rsidRPr="00551E61" w:rsidRDefault="001A467A" w:rsidP="0092615E">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szCs w:val="22"/>
          <w:lang w:val="es-ES_tradnl"/>
        </w:rPr>
        <w:t xml:space="preserve">El fenómeno </w:t>
      </w:r>
      <w:r w:rsidR="00831C16" w:rsidRPr="00551E61">
        <w:rPr>
          <w:rFonts w:ascii="Arial" w:hAnsi="Arial" w:cs="Arial"/>
          <w:sz w:val="22"/>
          <w:szCs w:val="22"/>
          <w:lang w:val="es-ES_tradnl"/>
        </w:rPr>
        <w:t>de disminución de la población de la</w:t>
      </w:r>
      <w:r w:rsidRPr="00551E61">
        <w:rPr>
          <w:rFonts w:ascii="Arial" w:hAnsi="Arial" w:cs="Arial"/>
          <w:sz w:val="22"/>
          <w:szCs w:val="22"/>
          <w:lang w:val="es-ES_tradnl"/>
        </w:rPr>
        <w:t xml:space="preserve"> CCSD </w:t>
      </w:r>
      <w:r w:rsidR="00F7034F" w:rsidRPr="00551E61">
        <w:rPr>
          <w:rFonts w:ascii="Arial" w:hAnsi="Arial" w:cs="Arial"/>
          <w:sz w:val="22"/>
          <w:szCs w:val="22"/>
          <w:lang w:val="es-ES_tradnl"/>
        </w:rPr>
        <w:t>está</w:t>
      </w:r>
      <w:r w:rsidRPr="00551E61">
        <w:rPr>
          <w:rFonts w:ascii="Arial" w:hAnsi="Arial" w:cs="Arial"/>
          <w:sz w:val="22"/>
          <w:szCs w:val="22"/>
          <w:lang w:val="es-ES_tradnl"/>
        </w:rPr>
        <w:t xml:space="preserve"> asociado con el crecimiento de los edificios vacantes. </w:t>
      </w:r>
      <w:r w:rsidR="00F7034F" w:rsidRPr="00551E61">
        <w:rPr>
          <w:rFonts w:ascii="Arial" w:hAnsi="Arial" w:cs="Arial"/>
          <w:sz w:val="22"/>
          <w:szCs w:val="22"/>
          <w:lang w:val="es-ES_tradnl"/>
        </w:rPr>
        <w:t>De las 3</w:t>
      </w:r>
      <w:r w:rsidR="00831C16" w:rsidRPr="00551E61">
        <w:rPr>
          <w:rFonts w:ascii="Arial" w:hAnsi="Arial" w:cs="Arial"/>
          <w:sz w:val="22"/>
          <w:szCs w:val="22"/>
          <w:lang w:val="es-ES_tradnl"/>
        </w:rPr>
        <w:t>,</w:t>
      </w:r>
      <w:r w:rsidR="00F7034F" w:rsidRPr="00551E61">
        <w:rPr>
          <w:rFonts w:ascii="Arial" w:hAnsi="Arial" w:cs="Arial"/>
          <w:sz w:val="22"/>
          <w:szCs w:val="22"/>
          <w:lang w:val="es-ES_tradnl"/>
        </w:rPr>
        <w:t xml:space="preserve">788 viviendas censadas en 2015, 857 (22.62% se encontraban desocupadas). Esta cifra es mayor que la registrada en el censo </w:t>
      </w:r>
      <w:r w:rsidR="00DD781C" w:rsidRPr="00551E61">
        <w:rPr>
          <w:rFonts w:ascii="Arial" w:hAnsi="Arial" w:cs="Arial"/>
          <w:sz w:val="22"/>
          <w:szCs w:val="22"/>
          <w:lang w:val="es-ES_tradnl"/>
        </w:rPr>
        <w:t xml:space="preserve">nacional </w:t>
      </w:r>
      <w:r w:rsidR="00F7034F" w:rsidRPr="00551E61">
        <w:rPr>
          <w:rFonts w:ascii="Arial" w:hAnsi="Arial" w:cs="Arial"/>
          <w:sz w:val="22"/>
          <w:szCs w:val="22"/>
          <w:lang w:val="es-ES_tradnl"/>
        </w:rPr>
        <w:t>de 2010 cuando las viviendas vacías llegaban a 20.01% y q</w:t>
      </w:r>
      <w:r w:rsidR="00C62024" w:rsidRPr="00551E61">
        <w:rPr>
          <w:rFonts w:ascii="Arial" w:hAnsi="Arial" w:cs="Arial"/>
          <w:sz w:val="22"/>
          <w:szCs w:val="22"/>
          <w:lang w:val="es-ES_tradnl"/>
        </w:rPr>
        <w:t>ue la correspondiente al Diagnóstico del Plan Estratégico (</w:t>
      </w:r>
      <w:r w:rsidR="00831C16" w:rsidRPr="00551E61">
        <w:rPr>
          <w:rFonts w:ascii="Arial" w:hAnsi="Arial" w:cs="Arial"/>
          <w:sz w:val="22"/>
          <w:szCs w:val="22"/>
          <w:lang w:val="es-ES_tradnl"/>
        </w:rPr>
        <w:t>2004</w:t>
      </w:r>
      <w:r w:rsidR="00C62024" w:rsidRPr="00551E61">
        <w:rPr>
          <w:rFonts w:ascii="Arial" w:hAnsi="Arial" w:cs="Arial"/>
          <w:sz w:val="22"/>
          <w:szCs w:val="22"/>
          <w:lang w:val="es-ES_tradnl"/>
        </w:rPr>
        <w:t>)</w:t>
      </w:r>
      <w:r w:rsidR="00831C16" w:rsidRPr="00551E61">
        <w:rPr>
          <w:rFonts w:ascii="Arial" w:hAnsi="Arial" w:cs="Arial"/>
          <w:sz w:val="22"/>
          <w:szCs w:val="22"/>
          <w:lang w:val="es-ES_tradnl"/>
        </w:rPr>
        <w:t xml:space="preserve"> cuando se estimó en 11%. </w:t>
      </w:r>
      <w:r w:rsidR="005D6F41" w:rsidRPr="00551E61">
        <w:rPr>
          <w:rFonts w:ascii="Arial" w:hAnsi="Arial" w:cs="Arial"/>
          <w:sz w:val="22"/>
          <w:szCs w:val="22"/>
          <w:lang w:val="es-ES_tradnl"/>
        </w:rPr>
        <w:t>P</w:t>
      </w:r>
      <w:r w:rsidR="00DD51F6" w:rsidRPr="00551E61">
        <w:rPr>
          <w:rFonts w:ascii="Arial" w:hAnsi="Arial" w:cs="Arial"/>
          <w:sz w:val="22"/>
          <w:szCs w:val="22"/>
          <w:lang w:val="es-ES_tradnl"/>
        </w:rPr>
        <w:t>ara el año del mencionado plan,</w:t>
      </w:r>
      <w:r w:rsidR="00831C16" w:rsidRPr="00551E61">
        <w:rPr>
          <w:rFonts w:ascii="Arial" w:hAnsi="Arial" w:cs="Arial"/>
          <w:sz w:val="22"/>
          <w:szCs w:val="22"/>
          <w:lang w:val="es-ES_tradnl"/>
        </w:rPr>
        <w:t xml:space="preserve"> </w:t>
      </w:r>
      <w:r w:rsidR="0092615E" w:rsidRPr="00551E61">
        <w:rPr>
          <w:rFonts w:ascii="Arial" w:hAnsi="Arial" w:cs="Arial"/>
          <w:sz w:val="22"/>
          <w:szCs w:val="22"/>
          <w:lang w:val="es-ES_tradnl"/>
        </w:rPr>
        <w:t>15 manzanas</w:t>
      </w:r>
      <w:r w:rsidR="00831C16" w:rsidRPr="00551E61">
        <w:rPr>
          <w:rFonts w:ascii="Arial" w:hAnsi="Arial" w:cs="Arial"/>
          <w:sz w:val="22"/>
          <w:szCs w:val="22"/>
          <w:lang w:val="es-ES_tradnl"/>
        </w:rPr>
        <w:t xml:space="preserve"> presentaban un porcentaje de desocupación entre 20% y 30% y</w:t>
      </w:r>
      <w:r w:rsidR="0092615E" w:rsidRPr="00551E61">
        <w:rPr>
          <w:rFonts w:ascii="Arial" w:hAnsi="Arial" w:cs="Arial"/>
          <w:sz w:val="22"/>
          <w:szCs w:val="22"/>
          <w:lang w:val="es-ES_tradnl"/>
        </w:rPr>
        <w:t xml:space="preserve"> </w:t>
      </w:r>
      <w:r w:rsidR="00DD51F6" w:rsidRPr="00551E61">
        <w:rPr>
          <w:rFonts w:ascii="Arial" w:hAnsi="Arial" w:cs="Arial"/>
          <w:sz w:val="22"/>
          <w:szCs w:val="22"/>
          <w:lang w:val="es-ES_tradnl"/>
        </w:rPr>
        <w:t>otras</w:t>
      </w:r>
      <w:r w:rsidR="00831C16" w:rsidRPr="00551E61">
        <w:rPr>
          <w:rFonts w:ascii="Arial" w:hAnsi="Arial" w:cs="Arial"/>
          <w:sz w:val="22"/>
          <w:szCs w:val="22"/>
          <w:lang w:val="es-ES_tradnl"/>
        </w:rPr>
        <w:t xml:space="preserve"> </w:t>
      </w:r>
      <w:r w:rsidR="0092615E" w:rsidRPr="00551E61">
        <w:rPr>
          <w:rFonts w:ascii="Arial" w:hAnsi="Arial" w:cs="Arial"/>
          <w:sz w:val="22"/>
          <w:szCs w:val="22"/>
          <w:lang w:val="es-ES_tradnl"/>
        </w:rPr>
        <w:t xml:space="preserve">2 manzanas </w:t>
      </w:r>
      <w:r w:rsidR="00831C16" w:rsidRPr="00551E61">
        <w:rPr>
          <w:rFonts w:ascii="Arial" w:hAnsi="Arial" w:cs="Arial"/>
          <w:sz w:val="22"/>
          <w:szCs w:val="22"/>
          <w:lang w:val="es-ES_tradnl"/>
        </w:rPr>
        <w:t xml:space="preserve">la proporción ascendía a </w:t>
      </w:r>
      <w:r w:rsidR="0092615E" w:rsidRPr="00551E61">
        <w:rPr>
          <w:rFonts w:ascii="Arial" w:hAnsi="Arial" w:cs="Arial"/>
          <w:sz w:val="22"/>
          <w:szCs w:val="22"/>
          <w:lang w:val="es-ES_tradnl"/>
        </w:rPr>
        <w:t>más</w:t>
      </w:r>
      <w:r w:rsidR="00831C16" w:rsidRPr="00551E61">
        <w:rPr>
          <w:rFonts w:ascii="Arial" w:hAnsi="Arial" w:cs="Arial"/>
          <w:sz w:val="22"/>
          <w:szCs w:val="22"/>
          <w:lang w:val="es-ES_tradnl"/>
        </w:rPr>
        <w:t xml:space="preserve"> del 50%. </w:t>
      </w:r>
    </w:p>
    <w:p w:rsidR="00DD781C" w:rsidRPr="00551E61" w:rsidRDefault="00831C16" w:rsidP="00DD781C">
      <w:pPr>
        <w:pStyle w:val="Paragraph"/>
        <w:numPr>
          <w:ilvl w:val="1"/>
          <w:numId w:val="1"/>
        </w:numPr>
        <w:tabs>
          <w:tab w:val="clear" w:pos="2736"/>
          <w:tab w:val="num" w:pos="720"/>
        </w:tabs>
        <w:ind w:left="720" w:hanging="720"/>
        <w:rPr>
          <w:rFonts w:ascii="Arial" w:hAnsi="Arial" w:cs="Arial"/>
          <w:b/>
          <w:lang w:val="es-ES_tradnl"/>
        </w:rPr>
      </w:pPr>
      <w:r w:rsidRPr="00551E61">
        <w:rPr>
          <w:rFonts w:ascii="Arial" w:hAnsi="Arial" w:cs="Arial"/>
          <w:sz w:val="22"/>
          <w:szCs w:val="22"/>
          <w:lang w:val="es-ES_tradnl"/>
        </w:rPr>
        <w:t xml:space="preserve">Respecto a la </w:t>
      </w:r>
      <w:r w:rsidRPr="00551E61">
        <w:rPr>
          <w:rFonts w:ascii="Arial" w:hAnsi="Arial" w:cs="Arial"/>
          <w:b/>
          <w:sz w:val="22"/>
          <w:szCs w:val="22"/>
          <w:lang w:val="es-ES_tradnl"/>
        </w:rPr>
        <w:t>baja calidad de parte del stock</w:t>
      </w:r>
      <w:r w:rsidRPr="00551E61">
        <w:rPr>
          <w:rFonts w:ascii="Arial" w:hAnsi="Arial" w:cs="Arial"/>
          <w:sz w:val="22"/>
          <w:szCs w:val="22"/>
          <w:lang w:val="es-ES_tradnl"/>
        </w:rPr>
        <w:t xml:space="preserve">, </w:t>
      </w:r>
      <w:r w:rsidR="00357E85" w:rsidRPr="00551E61">
        <w:rPr>
          <w:rFonts w:ascii="Arial" w:hAnsi="Arial" w:cs="Arial"/>
          <w:sz w:val="22"/>
          <w:szCs w:val="22"/>
          <w:lang w:val="es-ES_tradnl"/>
        </w:rPr>
        <w:t>el censo</w:t>
      </w:r>
      <w:r w:rsidR="00DD781C" w:rsidRPr="00551E61">
        <w:rPr>
          <w:rFonts w:ascii="Arial" w:hAnsi="Arial" w:cs="Arial"/>
          <w:sz w:val="22"/>
          <w:szCs w:val="22"/>
          <w:lang w:val="es-ES_tradnl"/>
        </w:rPr>
        <w:t xml:space="preserve"> de la CCSD</w:t>
      </w:r>
      <w:r w:rsidR="00357E85" w:rsidRPr="00551E61">
        <w:rPr>
          <w:rFonts w:ascii="Arial" w:hAnsi="Arial" w:cs="Arial"/>
          <w:sz w:val="22"/>
          <w:szCs w:val="22"/>
          <w:lang w:val="es-ES_tradnl"/>
        </w:rPr>
        <w:t xml:space="preserve"> del 2015 muestra </w:t>
      </w:r>
      <w:r w:rsidR="004C7DB0" w:rsidRPr="00551E61">
        <w:rPr>
          <w:rFonts w:ascii="Arial" w:hAnsi="Arial" w:cs="Arial"/>
          <w:sz w:val="22"/>
          <w:szCs w:val="22"/>
          <w:lang w:val="es-ES_tradnl"/>
        </w:rPr>
        <w:t>problemas de acceso a servicios y materiales constructivos inadecuados. En cuanto a la primera carencia, el</w:t>
      </w:r>
      <w:r w:rsidR="00357E85" w:rsidRPr="00551E61">
        <w:rPr>
          <w:rFonts w:ascii="Arial" w:hAnsi="Arial" w:cs="Arial"/>
          <w:sz w:val="22"/>
          <w:szCs w:val="22"/>
          <w:lang w:val="es-ES_tradnl"/>
        </w:rPr>
        <w:t xml:space="preserve"> 14.54% de las viviendas no tienen acceso a agua del acueducto dentro</w:t>
      </w:r>
      <w:r w:rsidR="00357E85" w:rsidRPr="00551E61">
        <w:rPr>
          <w:rFonts w:ascii="Arial" w:hAnsi="Arial" w:cs="Arial"/>
          <w:sz w:val="22"/>
          <w:szCs w:val="22"/>
        </w:rPr>
        <w:t xml:space="preserve"> de la vivienda y 7.58% no tiene acceso a drenaje cloacal público. </w:t>
      </w:r>
      <w:r w:rsidR="004C7DB0" w:rsidRPr="00551E61">
        <w:rPr>
          <w:rFonts w:ascii="Arial" w:hAnsi="Arial" w:cs="Arial"/>
          <w:sz w:val="22"/>
          <w:szCs w:val="22"/>
        </w:rPr>
        <w:t>En términos de los materiales constructivos, 10.6% de las viviendas tienen techos de zinc</w:t>
      </w:r>
      <w:r w:rsidR="000B2EDF" w:rsidRPr="00551E61">
        <w:rPr>
          <w:rFonts w:ascii="Arial" w:hAnsi="Arial" w:cs="Arial"/>
          <w:sz w:val="22"/>
          <w:szCs w:val="22"/>
        </w:rPr>
        <w:t xml:space="preserve">, </w:t>
      </w:r>
      <w:r w:rsidR="004C7DB0" w:rsidRPr="00551E61">
        <w:rPr>
          <w:rFonts w:ascii="Arial" w:hAnsi="Arial" w:cs="Arial"/>
          <w:sz w:val="22"/>
          <w:szCs w:val="22"/>
        </w:rPr>
        <w:t>2.</w:t>
      </w:r>
      <w:r w:rsidR="0037235D" w:rsidRPr="00551E61">
        <w:rPr>
          <w:rFonts w:ascii="Arial" w:hAnsi="Arial" w:cs="Arial"/>
          <w:sz w:val="22"/>
          <w:szCs w:val="22"/>
        </w:rPr>
        <w:t>21% no tienen inodoros,</w:t>
      </w:r>
      <w:r w:rsidR="004C7DB0" w:rsidRPr="00551E61">
        <w:rPr>
          <w:rFonts w:ascii="Arial" w:hAnsi="Arial" w:cs="Arial"/>
          <w:sz w:val="22"/>
          <w:szCs w:val="22"/>
        </w:rPr>
        <w:t xml:space="preserve"> y </w:t>
      </w:r>
      <w:r w:rsidR="000B2EDF" w:rsidRPr="00551E61">
        <w:rPr>
          <w:rFonts w:ascii="Arial" w:hAnsi="Arial" w:cs="Arial"/>
          <w:sz w:val="22"/>
          <w:szCs w:val="22"/>
        </w:rPr>
        <w:t>2.9</w:t>
      </w:r>
      <w:r w:rsidR="004C7DB0" w:rsidRPr="00551E61">
        <w:rPr>
          <w:rFonts w:ascii="Arial" w:hAnsi="Arial" w:cs="Arial"/>
          <w:sz w:val="22"/>
          <w:szCs w:val="22"/>
        </w:rPr>
        <w:t xml:space="preserve">% no tienen pisos o tienen piso de </w:t>
      </w:r>
      <w:r w:rsidR="004C7DB0" w:rsidRPr="00551E61">
        <w:rPr>
          <w:rFonts w:ascii="Arial" w:hAnsi="Arial" w:cs="Arial"/>
          <w:sz w:val="22"/>
          <w:szCs w:val="22"/>
        </w:rPr>
        <w:lastRenderedPageBreak/>
        <w:t xml:space="preserve">tierra. </w:t>
      </w:r>
      <w:r w:rsidR="000B2EDF" w:rsidRPr="00551E61">
        <w:rPr>
          <w:rFonts w:ascii="Arial" w:hAnsi="Arial" w:cs="Arial"/>
          <w:sz w:val="22"/>
          <w:szCs w:val="22"/>
        </w:rPr>
        <w:t>Adicionalm</w:t>
      </w:r>
      <w:r w:rsidR="00DD781C" w:rsidRPr="00551E61">
        <w:rPr>
          <w:rFonts w:ascii="Arial" w:hAnsi="Arial" w:cs="Arial"/>
          <w:sz w:val="22"/>
          <w:szCs w:val="22"/>
        </w:rPr>
        <w:t xml:space="preserve">ente, para el 2010 existían 196 </w:t>
      </w:r>
      <w:r w:rsidR="006B21F3" w:rsidRPr="00551E61">
        <w:rPr>
          <w:rFonts w:ascii="Arial" w:hAnsi="Arial" w:cs="Arial"/>
          <w:sz w:val="22"/>
          <w:szCs w:val="22"/>
        </w:rPr>
        <w:t xml:space="preserve">hogares </w:t>
      </w:r>
      <w:r w:rsidR="00DD781C" w:rsidRPr="00551E61">
        <w:rPr>
          <w:rFonts w:ascii="Arial" w:hAnsi="Arial" w:cs="Arial"/>
          <w:sz w:val="22"/>
          <w:szCs w:val="22"/>
        </w:rPr>
        <w:t xml:space="preserve">en condiciones de hacinamiento y en otros 48 el hacinamiento era extremo. </w:t>
      </w:r>
    </w:p>
    <w:p w:rsidR="00DD51F6" w:rsidRPr="00551E61" w:rsidRDefault="00E5136D" w:rsidP="00DD51F6">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szCs w:val="22"/>
          <w:lang w:val="es-ES_tradnl"/>
        </w:rPr>
        <w:t>Estas carencias habitacionales son más marcadas en la zona norte de la CCSD que se compone de 4 barrios al norte de la Calle Las Mercedes: Santa Barbara, San Antón, San Lázaro y San Miguel. Estos barrios</w:t>
      </w:r>
      <w:r w:rsidR="00827830" w:rsidRPr="00551E61">
        <w:rPr>
          <w:rFonts w:ascii="Arial" w:hAnsi="Arial" w:cs="Arial"/>
          <w:sz w:val="22"/>
          <w:szCs w:val="22"/>
          <w:lang w:val="es-ES_tradnl"/>
        </w:rPr>
        <w:t xml:space="preserve"> que</w:t>
      </w:r>
      <w:r w:rsidRPr="00551E61">
        <w:rPr>
          <w:rFonts w:ascii="Arial" w:hAnsi="Arial" w:cs="Arial"/>
          <w:sz w:val="22"/>
          <w:szCs w:val="22"/>
          <w:lang w:val="es-ES_tradnl"/>
        </w:rPr>
        <w:t xml:space="preserve"> </w:t>
      </w:r>
      <w:r w:rsidR="00827830" w:rsidRPr="00551E61">
        <w:rPr>
          <w:rFonts w:ascii="Arial" w:hAnsi="Arial" w:cs="Arial"/>
          <w:sz w:val="22"/>
          <w:szCs w:val="22"/>
          <w:lang w:val="es-ES_tradnl"/>
        </w:rPr>
        <w:t xml:space="preserve">comprenden unas 970 viviendas particulares (25.77% del total) han sido tradicionalmente áreas marginadas. Por ejemplo, en el barrio Santa Barbara, que es el que concentra </w:t>
      </w:r>
      <w:r w:rsidR="008966DB" w:rsidRPr="00551E61">
        <w:rPr>
          <w:rFonts w:ascii="Arial" w:hAnsi="Arial" w:cs="Arial"/>
          <w:sz w:val="22"/>
          <w:szCs w:val="22"/>
          <w:lang w:val="es-ES_tradnl"/>
        </w:rPr>
        <w:t>más</w:t>
      </w:r>
      <w:r w:rsidR="00827830" w:rsidRPr="00551E61">
        <w:rPr>
          <w:rFonts w:ascii="Arial" w:hAnsi="Arial" w:cs="Arial"/>
          <w:sz w:val="22"/>
          <w:szCs w:val="22"/>
          <w:lang w:val="es-ES_tradnl"/>
        </w:rPr>
        <w:t xml:space="preserve"> problemas de calidad, el porcentaje de viviendas sin acceso a agua de</w:t>
      </w:r>
      <w:r w:rsidR="00F27E93" w:rsidRPr="00551E61">
        <w:rPr>
          <w:rFonts w:ascii="Arial" w:hAnsi="Arial" w:cs="Arial"/>
          <w:sz w:val="22"/>
          <w:szCs w:val="22"/>
          <w:lang w:val="es-ES_tradnl"/>
        </w:rPr>
        <w:t xml:space="preserve"> acueducto interno</w:t>
      </w:r>
      <w:r w:rsidR="00827830" w:rsidRPr="00551E61">
        <w:rPr>
          <w:rFonts w:ascii="Arial" w:hAnsi="Arial" w:cs="Arial"/>
          <w:sz w:val="22"/>
          <w:szCs w:val="22"/>
          <w:lang w:val="es-ES_tradnl"/>
        </w:rPr>
        <w:t xml:space="preserve"> es </w:t>
      </w:r>
      <w:r w:rsidR="008966DB" w:rsidRPr="00551E61">
        <w:rPr>
          <w:rFonts w:ascii="Arial" w:hAnsi="Arial" w:cs="Arial"/>
          <w:sz w:val="22"/>
          <w:szCs w:val="22"/>
          <w:lang w:val="es-ES_tradnl"/>
        </w:rPr>
        <w:t>22.06%, las viv</w:t>
      </w:r>
      <w:r w:rsidR="00AA06FF" w:rsidRPr="00551E61">
        <w:rPr>
          <w:rFonts w:ascii="Arial" w:hAnsi="Arial" w:cs="Arial"/>
          <w:sz w:val="22"/>
          <w:szCs w:val="22"/>
          <w:lang w:val="es-ES_tradnl"/>
        </w:rPr>
        <w:t>iendas sin inodoros llegan a 6% y</w:t>
      </w:r>
      <w:r w:rsidR="008966DB" w:rsidRPr="00551E61">
        <w:rPr>
          <w:rFonts w:ascii="Arial" w:hAnsi="Arial" w:cs="Arial"/>
          <w:sz w:val="22"/>
          <w:szCs w:val="22"/>
          <w:lang w:val="es-ES_tradnl"/>
        </w:rPr>
        <w:t xml:space="preserve"> las viviendas con techos de zinc a </w:t>
      </w:r>
      <w:r w:rsidR="00AA06FF" w:rsidRPr="00551E61">
        <w:rPr>
          <w:rFonts w:ascii="Arial" w:hAnsi="Arial" w:cs="Arial"/>
          <w:sz w:val="22"/>
          <w:szCs w:val="22"/>
          <w:lang w:val="es-ES_tradnl"/>
        </w:rPr>
        <w:t>38.52%.</w:t>
      </w:r>
      <w:r w:rsidR="00F27E93" w:rsidRPr="00551E61">
        <w:rPr>
          <w:rFonts w:ascii="Arial" w:hAnsi="Arial" w:cs="Arial"/>
          <w:sz w:val="22"/>
          <w:szCs w:val="22"/>
          <w:lang w:val="es-ES_tradnl"/>
        </w:rPr>
        <w:t xml:space="preserve"> </w:t>
      </w:r>
      <w:r w:rsidR="005D6F41" w:rsidRPr="00551E61">
        <w:rPr>
          <w:rFonts w:ascii="Arial" w:hAnsi="Arial" w:cs="Arial"/>
          <w:sz w:val="22"/>
          <w:szCs w:val="22"/>
          <w:lang w:val="es-ES_tradnl"/>
        </w:rPr>
        <w:t>La ilustración 1 muestra algunos de los problemas en la calidad constructiva de las viviendas encontrados durante las visitas de campo.</w:t>
      </w:r>
    </w:p>
    <w:p w:rsidR="003938A4" w:rsidRPr="00551E61" w:rsidRDefault="003938A4" w:rsidP="003938A4">
      <w:pPr>
        <w:pStyle w:val="Paragraph"/>
        <w:ind w:left="720"/>
        <w:rPr>
          <w:rFonts w:ascii="Arial" w:hAnsi="Arial" w:cs="Arial"/>
          <w:sz w:val="22"/>
          <w:szCs w:val="22"/>
          <w:lang w:val="es-ES_tradnl"/>
        </w:rPr>
      </w:pPr>
    </w:p>
    <w:p w:rsidR="003938A4" w:rsidRPr="00551E61" w:rsidRDefault="003938A4" w:rsidP="003938A4">
      <w:pPr>
        <w:spacing w:after="0"/>
        <w:jc w:val="center"/>
        <w:rPr>
          <w:rFonts w:ascii="Arial" w:hAnsi="Arial" w:cs="Arial"/>
          <w:lang w:val="es-ES_tradnl"/>
        </w:rPr>
      </w:pPr>
      <w:r w:rsidRPr="00551E61">
        <w:rPr>
          <w:rFonts w:ascii="Arial" w:hAnsi="Arial" w:cs="Arial"/>
          <w:lang w:val="es-ES_tradnl"/>
        </w:rPr>
        <w:t>Ilustración 1 Imágenes de vivienda con baja calidad constructiva CCSD</w:t>
      </w:r>
    </w:p>
    <w:p w:rsidR="00DD51F6" w:rsidRPr="00551E61" w:rsidRDefault="00DD51F6" w:rsidP="00DD51F6">
      <w:pPr>
        <w:jc w:val="center"/>
        <w:rPr>
          <w:rFonts w:ascii="Arial" w:hAnsi="Arial" w:cs="Arial"/>
          <w:lang w:val="es-ES_tradnl"/>
        </w:rPr>
      </w:pPr>
      <w:r w:rsidRPr="00551E61">
        <w:rPr>
          <w:rFonts w:ascii="Arial" w:hAnsi="Arial" w:cs="Arial"/>
          <w:noProof/>
          <w:lang w:eastAsia="es-ES"/>
        </w:rPr>
        <w:t xml:space="preserve"> </w:t>
      </w:r>
      <w:r w:rsidRPr="00551E61">
        <w:rPr>
          <w:rFonts w:ascii="Arial" w:hAnsi="Arial" w:cs="Arial"/>
          <w:noProof/>
          <w:lang w:val="en-US"/>
        </w:rPr>
        <w:drawing>
          <wp:inline distT="0" distB="0" distL="0" distR="0" wp14:anchorId="69747671" wp14:editId="33F0AA0A">
            <wp:extent cx="2689860" cy="15316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696862" cy="1535607"/>
                    </a:xfrm>
                    <a:prstGeom prst="rect">
                      <a:avLst/>
                    </a:prstGeom>
                    <a:noFill/>
                    <a:ln>
                      <a:noFill/>
                    </a:ln>
                  </pic:spPr>
                </pic:pic>
              </a:graphicData>
            </a:graphic>
          </wp:inline>
        </w:drawing>
      </w:r>
      <w:r w:rsidRPr="00551E61">
        <w:rPr>
          <w:rFonts w:ascii="Arial" w:hAnsi="Arial" w:cs="Arial"/>
          <w:noProof/>
          <w:lang w:eastAsia="es-ES"/>
        </w:rPr>
        <w:t xml:space="preserve">  </w:t>
      </w:r>
      <w:r w:rsidR="003938A4" w:rsidRPr="00551E61">
        <w:rPr>
          <w:rFonts w:ascii="Arial" w:hAnsi="Arial" w:cs="Arial"/>
          <w:noProof/>
          <w:lang w:eastAsia="es-ES"/>
        </w:rPr>
        <w:t xml:space="preserve"> </w:t>
      </w:r>
      <w:r w:rsidRPr="00551E61">
        <w:rPr>
          <w:rFonts w:ascii="Arial" w:hAnsi="Arial" w:cs="Arial"/>
          <w:noProof/>
          <w:lang w:val="en-US"/>
        </w:rPr>
        <w:drawing>
          <wp:inline distT="0" distB="0" distL="0" distR="0" wp14:anchorId="32B80512" wp14:editId="58A7494C">
            <wp:extent cx="2735580" cy="1533331"/>
            <wp:effectExtent l="0" t="0" r="762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732986" cy="1531877"/>
                    </a:xfrm>
                    <a:prstGeom prst="rect">
                      <a:avLst/>
                    </a:prstGeom>
                    <a:noFill/>
                    <a:ln>
                      <a:noFill/>
                    </a:ln>
                  </pic:spPr>
                </pic:pic>
              </a:graphicData>
            </a:graphic>
          </wp:inline>
        </w:drawing>
      </w:r>
    </w:p>
    <w:p w:rsidR="00DD51F6" w:rsidRPr="00551E61" w:rsidRDefault="00DD51F6" w:rsidP="00DD51F6">
      <w:pPr>
        <w:jc w:val="center"/>
        <w:rPr>
          <w:rFonts w:ascii="Arial" w:hAnsi="Arial" w:cs="Arial"/>
          <w:noProof/>
          <w:lang w:eastAsia="es-ES"/>
        </w:rPr>
      </w:pPr>
      <w:r w:rsidRPr="00551E61">
        <w:rPr>
          <w:rFonts w:ascii="Arial" w:hAnsi="Arial" w:cs="Arial"/>
          <w:noProof/>
          <w:lang w:val="en-US"/>
        </w:rPr>
        <w:drawing>
          <wp:inline distT="0" distB="0" distL="0" distR="0" wp14:anchorId="24B3C692" wp14:editId="1FD5A057">
            <wp:extent cx="2689860" cy="15621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698263" cy="1566980"/>
                    </a:xfrm>
                    <a:prstGeom prst="rect">
                      <a:avLst/>
                    </a:prstGeom>
                    <a:noFill/>
                    <a:ln>
                      <a:noFill/>
                    </a:ln>
                  </pic:spPr>
                </pic:pic>
              </a:graphicData>
            </a:graphic>
          </wp:inline>
        </w:drawing>
      </w:r>
      <w:r w:rsidRPr="00551E61">
        <w:rPr>
          <w:rFonts w:ascii="Arial" w:hAnsi="Arial" w:cs="Arial"/>
          <w:noProof/>
          <w:lang w:eastAsia="es-ES"/>
        </w:rPr>
        <w:t xml:space="preserve">   </w:t>
      </w:r>
      <w:r w:rsidRPr="00551E61">
        <w:rPr>
          <w:rFonts w:ascii="Arial" w:hAnsi="Arial" w:cs="Arial"/>
          <w:noProof/>
          <w:lang w:val="en-US"/>
        </w:rPr>
        <w:drawing>
          <wp:inline distT="0" distB="0" distL="0" distR="0" wp14:anchorId="6174E027" wp14:editId="5BC81AFF">
            <wp:extent cx="2697112" cy="1554480"/>
            <wp:effectExtent l="0" t="0" r="8255" b="762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94555" cy="1553006"/>
                    </a:xfrm>
                    <a:prstGeom prst="rect">
                      <a:avLst/>
                    </a:prstGeom>
                    <a:noFill/>
                    <a:ln>
                      <a:noFill/>
                    </a:ln>
                  </pic:spPr>
                </pic:pic>
              </a:graphicData>
            </a:graphic>
          </wp:inline>
        </w:drawing>
      </w:r>
    </w:p>
    <w:p w:rsidR="003938A4" w:rsidRPr="00551E61" w:rsidRDefault="003938A4" w:rsidP="003938A4">
      <w:pPr>
        <w:spacing w:after="0"/>
        <w:rPr>
          <w:rFonts w:ascii="Arial" w:hAnsi="Arial" w:cs="Arial"/>
          <w:lang w:val="es-ES_tradnl"/>
        </w:rPr>
      </w:pPr>
      <w:r w:rsidRPr="00551E61">
        <w:rPr>
          <w:rFonts w:ascii="Arial" w:hAnsi="Arial" w:cs="Arial"/>
          <w:lang w:val="es-ES_tradnl"/>
        </w:rPr>
        <w:t>Fuente: Rolando (2016)</w:t>
      </w:r>
    </w:p>
    <w:p w:rsidR="003938A4" w:rsidRPr="00551E61" w:rsidRDefault="003938A4" w:rsidP="00DD51F6">
      <w:pPr>
        <w:jc w:val="center"/>
        <w:rPr>
          <w:rFonts w:ascii="Arial" w:hAnsi="Arial" w:cs="Arial"/>
          <w:noProof/>
          <w:lang w:eastAsia="es-ES"/>
        </w:rPr>
      </w:pPr>
    </w:p>
    <w:p w:rsidR="003938A4" w:rsidRPr="00551E61" w:rsidRDefault="00787A2E" w:rsidP="00274AD1">
      <w:pPr>
        <w:pStyle w:val="Chapter"/>
        <w:numPr>
          <w:ilvl w:val="0"/>
          <w:numId w:val="4"/>
        </w:numPr>
        <w:jc w:val="left"/>
        <w:rPr>
          <w:rFonts w:ascii="Arial" w:hAnsi="Arial" w:cs="Arial"/>
          <w:sz w:val="22"/>
          <w:szCs w:val="22"/>
        </w:rPr>
      </w:pPr>
      <w:r w:rsidRPr="00551E61">
        <w:rPr>
          <w:rFonts w:ascii="Arial" w:hAnsi="Arial" w:cs="Arial"/>
          <w:sz w:val="22"/>
          <w:szCs w:val="22"/>
        </w:rPr>
        <w:t>CAUSAS DE LA DISMINUCION DE LA POBLACION EN LA CCSD</w:t>
      </w:r>
    </w:p>
    <w:p w:rsidR="00787A2E" w:rsidRPr="00551E61" w:rsidRDefault="00787A2E" w:rsidP="00787A2E">
      <w:pPr>
        <w:pStyle w:val="ListParagraph"/>
        <w:ind w:left="360"/>
        <w:rPr>
          <w:rFonts w:ascii="Arial" w:hAnsi="Arial" w:cs="Arial"/>
          <w:b/>
        </w:rPr>
      </w:pPr>
    </w:p>
    <w:p w:rsidR="00787A2E" w:rsidRPr="00551E61" w:rsidRDefault="00787A2E" w:rsidP="00787A2E">
      <w:pPr>
        <w:pStyle w:val="ListParagraph"/>
        <w:keepNext/>
        <w:numPr>
          <w:ilvl w:val="0"/>
          <w:numId w:val="1"/>
        </w:numPr>
        <w:tabs>
          <w:tab w:val="left" w:pos="1440"/>
        </w:tabs>
        <w:spacing w:before="240" w:after="240" w:line="240" w:lineRule="auto"/>
        <w:contextualSpacing w:val="0"/>
        <w:jc w:val="center"/>
        <w:rPr>
          <w:rFonts w:ascii="Arial" w:hAnsi="Arial" w:cs="Arial"/>
          <w:b/>
          <w:smallCaps/>
          <w:vanish/>
          <w:sz w:val="24"/>
          <w:szCs w:val="20"/>
          <w:lang w:val="es-ES_tradnl"/>
        </w:rPr>
      </w:pPr>
    </w:p>
    <w:p w:rsidR="00787A2E" w:rsidRPr="00551E61" w:rsidRDefault="00787A2E" w:rsidP="00787A2E">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szCs w:val="22"/>
          <w:lang w:val="es-ES_tradnl"/>
        </w:rPr>
        <w:t>Como en otros centros históricos de la región, hacia la mitad del siglo pasado los usos residenciales y terciarios comienzan a abandonar la CCSD en la medida que se consolida la dispersión física de la ciudad, el deterioro natural de las edificaciones, la obsolescencia técnica del stock construido y los cambios en las preferencias de la demanda.</w:t>
      </w:r>
    </w:p>
    <w:p w:rsidR="00787A2E" w:rsidRPr="00551E61" w:rsidRDefault="00787A2E" w:rsidP="00787A2E">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szCs w:val="22"/>
          <w:lang w:val="es-ES_tradnl"/>
        </w:rPr>
        <w:t xml:space="preserve">Este fenómeno no es particular de la CCSD pero se ve agravado por factores específicos que afectan la demanda y la oferta habitacional en la zona colonial. </w:t>
      </w:r>
      <w:r w:rsidRPr="00551E61">
        <w:rPr>
          <w:rFonts w:ascii="Arial" w:hAnsi="Arial" w:cs="Arial"/>
          <w:b/>
          <w:sz w:val="22"/>
          <w:szCs w:val="22"/>
          <w:lang w:val="es-ES_tradnl"/>
        </w:rPr>
        <w:t>Por el lado de la demanda</w:t>
      </w:r>
      <w:r w:rsidRPr="00551E61">
        <w:rPr>
          <w:rFonts w:ascii="Arial" w:hAnsi="Arial" w:cs="Arial"/>
          <w:sz w:val="22"/>
          <w:szCs w:val="22"/>
          <w:lang w:val="es-ES_tradnl"/>
        </w:rPr>
        <w:t xml:space="preserve">, los análisis y las entrevistas realizadas apuntan a tres </w:t>
      </w:r>
      <w:r w:rsidR="005B208A" w:rsidRPr="00551E61">
        <w:rPr>
          <w:rFonts w:ascii="Arial" w:hAnsi="Arial" w:cs="Arial"/>
          <w:sz w:val="22"/>
          <w:szCs w:val="22"/>
          <w:lang w:val="es-ES_tradnl"/>
        </w:rPr>
        <w:t>factores: (i) inadecuado estado de conservación de la zona, (ii) falta de lugares de parqueo, y (iii) altos precios</w:t>
      </w:r>
      <w:r w:rsidRPr="00551E61">
        <w:rPr>
          <w:rFonts w:ascii="Arial" w:hAnsi="Arial" w:cs="Arial"/>
          <w:sz w:val="22"/>
          <w:szCs w:val="22"/>
          <w:lang w:val="es-ES_tradnl"/>
        </w:rPr>
        <w:t xml:space="preserve"> </w:t>
      </w:r>
      <w:r w:rsidR="00D77D01" w:rsidRPr="00551E61">
        <w:rPr>
          <w:rFonts w:ascii="Arial" w:hAnsi="Arial" w:cs="Arial"/>
          <w:sz w:val="22"/>
          <w:szCs w:val="22"/>
          <w:lang w:val="es-ES_tradnl"/>
        </w:rPr>
        <w:t>de las unidades</w:t>
      </w:r>
      <w:r w:rsidR="005B208A" w:rsidRPr="00551E61">
        <w:rPr>
          <w:rFonts w:ascii="Arial" w:hAnsi="Arial" w:cs="Arial"/>
          <w:sz w:val="22"/>
          <w:szCs w:val="22"/>
          <w:lang w:val="es-ES_tradnl"/>
        </w:rPr>
        <w:t>.</w:t>
      </w:r>
      <w:r w:rsidR="00D77D01" w:rsidRPr="00551E61">
        <w:rPr>
          <w:rFonts w:ascii="Arial" w:hAnsi="Arial" w:cs="Arial"/>
          <w:sz w:val="22"/>
          <w:szCs w:val="22"/>
          <w:lang w:val="es-ES_tradnl"/>
        </w:rPr>
        <w:t xml:space="preserve"> </w:t>
      </w:r>
      <w:r w:rsidR="00D77D01" w:rsidRPr="00551E61">
        <w:rPr>
          <w:rFonts w:ascii="Arial" w:hAnsi="Arial" w:cs="Arial"/>
          <w:b/>
          <w:sz w:val="22"/>
          <w:szCs w:val="22"/>
          <w:lang w:val="es-ES_tradnl"/>
        </w:rPr>
        <w:t>Por el lado de la oferta</w:t>
      </w:r>
      <w:r w:rsidR="00D77D01" w:rsidRPr="00551E61">
        <w:rPr>
          <w:rFonts w:ascii="Arial" w:hAnsi="Arial" w:cs="Arial"/>
          <w:sz w:val="22"/>
          <w:szCs w:val="22"/>
          <w:lang w:val="es-ES_tradnl"/>
        </w:rPr>
        <w:t xml:space="preserve">, los factores identificados son: (i) la dificultad de ejercer reposesiones por incumplimiento de </w:t>
      </w:r>
      <w:r w:rsidR="00D77D01" w:rsidRPr="00551E61">
        <w:rPr>
          <w:rFonts w:ascii="Arial" w:hAnsi="Arial" w:cs="Arial"/>
          <w:sz w:val="22"/>
          <w:szCs w:val="22"/>
          <w:lang w:val="es-ES_tradnl"/>
        </w:rPr>
        <w:lastRenderedPageBreak/>
        <w:t>alquiler, (ii) la baja titularidad de las propiedades en la CCSD, y (iii) los altos valores del suelo.</w:t>
      </w:r>
    </w:p>
    <w:p w:rsidR="00D77D01" w:rsidRPr="00551E61" w:rsidRDefault="00D77D01" w:rsidP="00D77D01">
      <w:pPr>
        <w:pStyle w:val="Paragraph"/>
        <w:ind w:left="720"/>
        <w:rPr>
          <w:rFonts w:ascii="Arial" w:hAnsi="Arial" w:cs="Arial"/>
          <w:sz w:val="22"/>
          <w:szCs w:val="22"/>
          <w:lang w:val="es-ES_tradnl"/>
        </w:rPr>
      </w:pPr>
    </w:p>
    <w:p w:rsidR="00D77D01" w:rsidRPr="00551E61" w:rsidRDefault="00D77D01" w:rsidP="00D77D01">
      <w:pPr>
        <w:pStyle w:val="Paragraph"/>
        <w:ind w:left="720"/>
        <w:rPr>
          <w:rFonts w:ascii="Arial" w:hAnsi="Arial" w:cs="Arial"/>
          <w:b/>
          <w:sz w:val="22"/>
          <w:szCs w:val="22"/>
          <w:lang w:val="es-ES_tradnl"/>
        </w:rPr>
      </w:pPr>
      <w:r w:rsidRPr="00551E61">
        <w:rPr>
          <w:rFonts w:ascii="Arial" w:hAnsi="Arial" w:cs="Arial"/>
          <w:b/>
          <w:sz w:val="22"/>
          <w:szCs w:val="22"/>
          <w:lang w:val="es-ES_tradnl"/>
        </w:rPr>
        <w:t>Factores de Demanda</w:t>
      </w:r>
    </w:p>
    <w:p w:rsidR="005B208A" w:rsidRPr="00551E61" w:rsidRDefault="005B208A" w:rsidP="00EA11A2">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szCs w:val="22"/>
          <w:lang w:val="es-ES_tradnl"/>
        </w:rPr>
        <w:t xml:space="preserve">Respecto al </w:t>
      </w:r>
      <w:r w:rsidRPr="00551E61">
        <w:rPr>
          <w:rFonts w:ascii="Arial" w:hAnsi="Arial" w:cs="Arial"/>
          <w:b/>
          <w:sz w:val="22"/>
          <w:szCs w:val="22"/>
          <w:lang w:val="es-ES_tradnl"/>
        </w:rPr>
        <w:t>inadecuado estado de conservación</w:t>
      </w:r>
      <w:r w:rsidRPr="00551E61">
        <w:rPr>
          <w:rFonts w:ascii="Arial" w:hAnsi="Arial" w:cs="Arial"/>
          <w:sz w:val="22"/>
          <w:szCs w:val="22"/>
          <w:lang w:val="es-ES_tradnl"/>
        </w:rPr>
        <w:t xml:space="preserve">, </w:t>
      </w:r>
      <w:r w:rsidR="00040518" w:rsidRPr="00551E61">
        <w:rPr>
          <w:rFonts w:ascii="Arial" w:hAnsi="Arial" w:cs="Arial"/>
          <w:sz w:val="22"/>
          <w:szCs w:val="22"/>
          <w:lang w:val="es-ES_tradnl"/>
        </w:rPr>
        <w:t>los pobladores señalan la necesidad de mejorar el estado de los edificios y áreas comunes, la seguridad y</w:t>
      </w:r>
      <w:r w:rsidR="00D77D01" w:rsidRPr="00551E61">
        <w:rPr>
          <w:rFonts w:ascii="Arial" w:hAnsi="Arial" w:cs="Arial"/>
          <w:sz w:val="22"/>
          <w:szCs w:val="22"/>
          <w:lang w:val="es-ES_tradnl"/>
        </w:rPr>
        <w:t xml:space="preserve"> l</w:t>
      </w:r>
      <w:r w:rsidR="00040518" w:rsidRPr="00551E61">
        <w:rPr>
          <w:rFonts w:ascii="Arial" w:hAnsi="Arial" w:cs="Arial"/>
          <w:sz w:val="22"/>
          <w:szCs w:val="22"/>
          <w:lang w:val="es-ES_tradnl"/>
        </w:rPr>
        <w:t>a limpieza como factores para asegurar la retención de usos habitacionales. Por ejemplo, un análisis basado en la técnica de grupos focales realizado como parte de</w:t>
      </w:r>
      <w:r w:rsidR="00C62024" w:rsidRPr="00551E61">
        <w:rPr>
          <w:rFonts w:ascii="Arial" w:hAnsi="Arial" w:cs="Arial"/>
          <w:sz w:val="22"/>
          <w:szCs w:val="22"/>
          <w:lang w:val="es-ES_tradnl"/>
        </w:rPr>
        <w:t>l Diagnóstico del Plan Estratégico (</w:t>
      </w:r>
      <w:r w:rsidR="00040518" w:rsidRPr="00551E61">
        <w:rPr>
          <w:rFonts w:ascii="Arial" w:hAnsi="Arial" w:cs="Arial"/>
          <w:sz w:val="22"/>
          <w:szCs w:val="22"/>
          <w:lang w:val="es-ES_tradnl"/>
        </w:rPr>
        <w:t>2004</w:t>
      </w:r>
      <w:r w:rsidR="00C62024" w:rsidRPr="00551E61">
        <w:rPr>
          <w:rFonts w:ascii="Arial" w:hAnsi="Arial" w:cs="Arial"/>
          <w:sz w:val="22"/>
          <w:szCs w:val="22"/>
          <w:lang w:val="es-ES_tradnl"/>
        </w:rPr>
        <w:t>)</w:t>
      </w:r>
      <w:r w:rsidR="00040518" w:rsidRPr="00551E61">
        <w:rPr>
          <w:rStyle w:val="FootnoteReference"/>
          <w:rFonts w:ascii="Arial" w:hAnsi="Arial" w:cs="Arial"/>
          <w:sz w:val="22"/>
          <w:szCs w:val="22"/>
          <w:lang w:val="es-ES_tradnl"/>
        </w:rPr>
        <w:footnoteReference w:id="4"/>
      </w:r>
      <w:r w:rsidR="00040518" w:rsidRPr="00551E61">
        <w:rPr>
          <w:rFonts w:ascii="Arial" w:hAnsi="Arial" w:cs="Arial"/>
          <w:sz w:val="22"/>
          <w:szCs w:val="22"/>
          <w:lang w:val="es-ES_tradnl"/>
        </w:rPr>
        <w:t xml:space="preserve">, </w:t>
      </w:r>
      <w:r w:rsidR="00EA11A2" w:rsidRPr="00551E61">
        <w:rPr>
          <w:rFonts w:ascii="Arial" w:hAnsi="Arial" w:cs="Arial"/>
          <w:sz w:val="22"/>
          <w:szCs w:val="22"/>
          <w:lang w:val="es-ES_tradnl"/>
        </w:rPr>
        <w:t xml:space="preserve">mostró que 56% de los participantes estableció deseos de mudarse y al ser preguntados sobre </w:t>
      </w:r>
      <w:r w:rsidR="00D77D01" w:rsidRPr="00551E61">
        <w:rPr>
          <w:rFonts w:ascii="Arial" w:hAnsi="Arial" w:cs="Arial"/>
          <w:sz w:val="22"/>
          <w:szCs w:val="22"/>
          <w:lang w:val="es-ES_tradnl"/>
        </w:rPr>
        <w:t xml:space="preserve">lo que demandarían para </w:t>
      </w:r>
      <w:r w:rsidR="00EA11A2" w:rsidRPr="00551E61">
        <w:rPr>
          <w:rFonts w:ascii="Arial" w:hAnsi="Arial" w:cs="Arial"/>
          <w:sz w:val="22"/>
          <w:szCs w:val="22"/>
          <w:lang w:val="es-ES_tradnl"/>
        </w:rPr>
        <w:t xml:space="preserve">continuar residiendo en la zona respondieron: </w:t>
      </w:r>
      <w:r w:rsidR="00FE6E75" w:rsidRPr="00551E61">
        <w:rPr>
          <w:rFonts w:ascii="Arial" w:hAnsi="Arial" w:cs="Arial"/>
          <w:i/>
          <w:sz w:val="22"/>
          <w:szCs w:val="22"/>
          <w:lang w:val="es-ES_tradnl"/>
        </w:rPr>
        <w:t>“</w:t>
      </w:r>
      <w:r w:rsidR="00EA11A2" w:rsidRPr="00551E61">
        <w:rPr>
          <w:rFonts w:ascii="Arial" w:hAnsi="Arial" w:cs="Arial"/>
          <w:i/>
          <w:sz w:val="22"/>
          <w:szCs w:val="22"/>
          <w:lang w:val="es-ES_tradnl"/>
        </w:rPr>
        <w:t>(i) mejoramiento de los servicios de agua potable y energía eléctrica, (ii) continuación y ampliación de los procesos de restauración de casas y edificios, (iii) mejoramiento de la iluminación en la zona, (iv) mejoramiento de las condiciones de higiene y limpieza de calles y de la zona en general</w:t>
      </w:r>
      <w:r w:rsidR="00FE6E75" w:rsidRPr="00551E61">
        <w:rPr>
          <w:rFonts w:ascii="Arial" w:hAnsi="Arial" w:cs="Arial"/>
          <w:i/>
          <w:sz w:val="22"/>
          <w:szCs w:val="22"/>
          <w:lang w:val="es-ES_tradnl"/>
        </w:rPr>
        <w:t>”</w:t>
      </w:r>
      <w:r w:rsidR="00EA11A2" w:rsidRPr="00551E61">
        <w:rPr>
          <w:rStyle w:val="FootnoteReference"/>
          <w:rFonts w:ascii="Arial" w:hAnsi="Arial" w:cs="Arial"/>
          <w:sz w:val="22"/>
          <w:szCs w:val="22"/>
          <w:lang w:val="es-ES_tradnl"/>
        </w:rPr>
        <w:footnoteReference w:id="5"/>
      </w:r>
      <w:r w:rsidR="002602A9" w:rsidRPr="00551E61">
        <w:rPr>
          <w:rFonts w:ascii="Arial" w:hAnsi="Arial" w:cs="Arial"/>
          <w:sz w:val="22"/>
          <w:szCs w:val="22"/>
          <w:lang w:val="es-ES_tradnl"/>
        </w:rPr>
        <w:t xml:space="preserve"> (</w:t>
      </w:r>
      <w:r w:rsidR="00C62024" w:rsidRPr="00551E61">
        <w:rPr>
          <w:rFonts w:ascii="Arial" w:hAnsi="Arial" w:cs="Arial"/>
          <w:sz w:val="22"/>
          <w:szCs w:val="22"/>
          <w:lang w:val="es-ES_tradnl"/>
        </w:rPr>
        <w:t xml:space="preserve">Plan Estratégico. </w:t>
      </w:r>
      <w:r w:rsidR="00FE6E75" w:rsidRPr="00551E61">
        <w:rPr>
          <w:rFonts w:ascii="Arial" w:hAnsi="Arial" w:cs="Arial"/>
          <w:sz w:val="22"/>
          <w:szCs w:val="22"/>
          <w:lang w:val="es-ES_tradnl"/>
        </w:rPr>
        <w:t>Documento diagnóstico</w:t>
      </w:r>
      <w:r w:rsidR="00C62024" w:rsidRPr="00551E61">
        <w:rPr>
          <w:rFonts w:ascii="Arial" w:hAnsi="Arial" w:cs="Arial"/>
          <w:sz w:val="22"/>
          <w:szCs w:val="22"/>
          <w:lang w:val="es-ES_tradnl"/>
        </w:rPr>
        <w:t xml:space="preserve"> (2004)</w:t>
      </w:r>
      <w:r w:rsidR="00FE6E75" w:rsidRPr="00551E61">
        <w:rPr>
          <w:rFonts w:ascii="Arial" w:hAnsi="Arial" w:cs="Arial"/>
          <w:sz w:val="22"/>
          <w:szCs w:val="22"/>
          <w:lang w:val="es-ES_tradnl"/>
        </w:rPr>
        <w:t>: pág. 260)</w:t>
      </w:r>
      <w:r w:rsidR="00EA11A2" w:rsidRPr="00551E61">
        <w:rPr>
          <w:rFonts w:ascii="Arial" w:hAnsi="Arial" w:cs="Arial"/>
          <w:sz w:val="22"/>
          <w:szCs w:val="22"/>
          <w:lang w:val="es-ES_tradnl"/>
        </w:rPr>
        <w:t>.</w:t>
      </w:r>
    </w:p>
    <w:p w:rsidR="00D91806" w:rsidRPr="00551E61" w:rsidRDefault="00EA11A2" w:rsidP="00EA11A2">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szCs w:val="22"/>
          <w:lang w:val="es-ES_tradnl"/>
        </w:rPr>
        <w:t xml:space="preserve">Más recientemente, el censo de la CCSD de 2015 </w:t>
      </w:r>
      <w:r w:rsidR="005337EF" w:rsidRPr="00551E61">
        <w:rPr>
          <w:rFonts w:ascii="Arial" w:hAnsi="Arial" w:cs="Arial"/>
          <w:sz w:val="22"/>
          <w:szCs w:val="22"/>
          <w:lang w:val="es-ES_tradnl"/>
        </w:rPr>
        <w:t>preguntó</w:t>
      </w:r>
      <w:r w:rsidRPr="00551E61">
        <w:rPr>
          <w:rFonts w:ascii="Arial" w:hAnsi="Arial" w:cs="Arial"/>
          <w:sz w:val="22"/>
          <w:szCs w:val="22"/>
          <w:lang w:val="es-ES_tradnl"/>
        </w:rPr>
        <w:t xml:space="preserve"> a la población sobre los aspectos qu</w:t>
      </w:r>
      <w:r w:rsidR="00334E9B" w:rsidRPr="00551E61">
        <w:rPr>
          <w:rFonts w:ascii="Arial" w:hAnsi="Arial" w:cs="Arial"/>
          <w:sz w:val="22"/>
          <w:szCs w:val="22"/>
          <w:lang w:val="es-ES_tradnl"/>
        </w:rPr>
        <w:t>e le gustaría mejorar en la zona</w:t>
      </w:r>
      <w:r w:rsidRPr="00551E61">
        <w:rPr>
          <w:rFonts w:ascii="Arial" w:hAnsi="Arial" w:cs="Arial"/>
          <w:sz w:val="22"/>
          <w:szCs w:val="22"/>
          <w:lang w:val="es-ES_tradnl"/>
        </w:rPr>
        <w:t>. El 66.7% respondió que ‘el estado de conservación de la ciudad colonial’, el 62.9% identificó la seguridad, el 40% señaló la limpieza de las calles y el 18.6% dijo que el transporte</w:t>
      </w:r>
      <w:r w:rsidR="00D77D01" w:rsidRPr="00551E61">
        <w:rPr>
          <w:rFonts w:ascii="Arial" w:hAnsi="Arial" w:cs="Arial"/>
          <w:sz w:val="22"/>
          <w:szCs w:val="22"/>
          <w:lang w:val="es-ES_tradnl"/>
        </w:rPr>
        <w:t xml:space="preserve"> y</w:t>
      </w:r>
      <w:r w:rsidRPr="00551E61">
        <w:rPr>
          <w:rFonts w:ascii="Arial" w:hAnsi="Arial" w:cs="Arial"/>
          <w:sz w:val="22"/>
          <w:szCs w:val="22"/>
          <w:lang w:val="es-ES_tradnl"/>
        </w:rPr>
        <w:t xml:space="preserve"> la movilidad dentro de la CCSD.  </w:t>
      </w:r>
      <w:r w:rsidR="00D91806" w:rsidRPr="00551E61">
        <w:rPr>
          <w:rFonts w:ascii="Arial" w:hAnsi="Arial" w:cs="Arial"/>
          <w:sz w:val="22"/>
          <w:szCs w:val="22"/>
          <w:lang w:val="es-ES_tradnl"/>
        </w:rPr>
        <w:t>Pese a esto, en este caso, el 93% de la población señaló que le gustaría quedarse viviendo en la zona, el 84.2% manifestó tener conocimiento o involucramiento en las inversiones y obras de renovación que realiza el gobierno, y el 92.7% declaró que espera que como resultado</w:t>
      </w:r>
      <w:r w:rsidR="00D77D01" w:rsidRPr="00551E61">
        <w:rPr>
          <w:rFonts w:ascii="Arial" w:hAnsi="Arial" w:cs="Arial"/>
          <w:sz w:val="22"/>
          <w:szCs w:val="22"/>
          <w:lang w:val="es-ES_tradnl"/>
        </w:rPr>
        <w:t xml:space="preserve"> de estas</w:t>
      </w:r>
      <w:r w:rsidR="00D91806" w:rsidRPr="00551E61">
        <w:rPr>
          <w:rFonts w:ascii="Arial" w:hAnsi="Arial" w:cs="Arial"/>
          <w:sz w:val="22"/>
          <w:szCs w:val="22"/>
          <w:lang w:val="es-ES_tradnl"/>
        </w:rPr>
        <w:t xml:space="preserve"> la zona mejore</w:t>
      </w:r>
      <w:r w:rsidR="00FE6E75" w:rsidRPr="00551E61">
        <w:rPr>
          <w:rFonts w:ascii="Arial" w:hAnsi="Arial" w:cs="Arial"/>
          <w:sz w:val="22"/>
          <w:szCs w:val="22"/>
          <w:lang w:val="es-ES_tradnl"/>
        </w:rPr>
        <w:t xml:space="preserve"> (Censo CCSD, 2015)</w:t>
      </w:r>
      <w:r w:rsidR="00D91806" w:rsidRPr="00551E61">
        <w:rPr>
          <w:rFonts w:ascii="Arial" w:hAnsi="Arial" w:cs="Arial"/>
          <w:sz w:val="22"/>
          <w:szCs w:val="22"/>
          <w:lang w:val="es-ES_tradnl"/>
        </w:rPr>
        <w:t xml:space="preserve">. </w:t>
      </w:r>
    </w:p>
    <w:p w:rsidR="00BA5B9C" w:rsidRPr="00551E61" w:rsidRDefault="00D91806" w:rsidP="00EA11A2">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szCs w:val="22"/>
          <w:lang w:val="es-ES_tradnl"/>
        </w:rPr>
        <w:t>Por su parte</w:t>
      </w:r>
      <w:r w:rsidR="00BA5B9C" w:rsidRPr="00551E61">
        <w:rPr>
          <w:rFonts w:ascii="Arial" w:hAnsi="Arial" w:cs="Arial"/>
          <w:sz w:val="22"/>
          <w:szCs w:val="22"/>
          <w:lang w:val="es-ES_tradnl"/>
        </w:rPr>
        <w:t>,</w:t>
      </w:r>
      <w:r w:rsidRPr="00551E61">
        <w:rPr>
          <w:rFonts w:ascii="Arial" w:hAnsi="Arial" w:cs="Arial"/>
          <w:sz w:val="22"/>
          <w:szCs w:val="22"/>
          <w:lang w:val="es-ES_tradnl"/>
        </w:rPr>
        <w:t xml:space="preserve"> </w:t>
      </w:r>
      <w:r w:rsidRPr="00551E61">
        <w:rPr>
          <w:rFonts w:ascii="Arial" w:hAnsi="Arial" w:cs="Arial"/>
          <w:b/>
          <w:sz w:val="22"/>
          <w:szCs w:val="22"/>
          <w:lang w:val="es-ES_tradnl"/>
        </w:rPr>
        <w:t>la falta de lugares de parqueo</w:t>
      </w:r>
      <w:r w:rsidRPr="00551E61">
        <w:rPr>
          <w:rFonts w:ascii="Arial" w:hAnsi="Arial" w:cs="Arial"/>
          <w:sz w:val="22"/>
          <w:szCs w:val="22"/>
          <w:lang w:val="es-ES_tradnl"/>
        </w:rPr>
        <w:t xml:space="preserve"> es uno de los factores tradicionalmente señalados por cualquier interlocutor al que se pregunte por las condiciones habitacionales en la zona.  </w:t>
      </w:r>
      <w:r w:rsidR="00FE6E75" w:rsidRPr="00551E61">
        <w:rPr>
          <w:rFonts w:ascii="Arial" w:hAnsi="Arial" w:cs="Arial"/>
          <w:sz w:val="22"/>
          <w:szCs w:val="22"/>
          <w:lang w:val="es-ES_tradnl"/>
        </w:rPr>
        <w:t xml:space="preserve">Los grupos focales del </w:t>
      </w:r>
      <w:r w:rsidR="00C62024" w:rsidRPr="00551E61">
        <w:rPr>
          <w:rFonts w:ascii="Arial" w:hAnsi="Arial" w:cs="Arial"/>
          <w:sz w:val="22"/>
          <w:szCs w:val="22"/>
          <w:lang w:val="es-ES_tradnl"/>
        </w:rPr>
        <w:t>Diagnóstico del Plan Estratégico</w:t>
      </w:r>
      <w:r w:rsidR="00FE6E75" w:rsidRPr="00551E61">
        <w:rPr>
          <w:rFonts w:ascii="Arial" w:hAnsi="Arial" w:cs="Arial"/>
          <w:sz w:val="22"/>
          <w:szCs w:val="22"/>
          <w:lang w:val="es-ES_tradnl"/>
        </w:rPr>
        <w:t xml:space="preserve"> de 2004 lo identificaron como una ‘condición que debe producirse para quedarse viviendo en la zona colonial’. Por su parte, el censo de la CCSD en 2015 mostró que pese a que solo el 33.1% de los habitantes poseen un vehículo, el 43.7% de estos parquea en la calle y apenas el 22.8% tiene estacionamiento propio.</w:t>
      </w:r>
    </w:p>
    <w:p w:rsidR="009E4FDA" w:rsidRPr="00551E61" w:rsidRDefault="00BA5B9C" w:rsidP="00D94867">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szCs w:val="22"/>
          <w:lang w:val="es-ES_tradnl"/>
        </w:rPr>
        <w:t xml:space="preserve">En cuanto a los </w:t>
      </w:r>
      <w:r w:rsidRPr="00551E61">
        <w:rPr>
          <w:rFonts w:ascii="Arial" w:hAnsi="Arial" w:cs="Arial"/>
          <w:b/>
          <w:sz w:val="22"/>
          <w:szCs w:val="22"/>
          <w:lang w:val="es-ES_tradnl"/>
        </w:rPr>
        <w:t>altos precios de las unidades en oferta</w:t>
      </w:r>
      <w:r w:rsidRPr="00551E61">
        <w:rPr>
          <w:rFonts w:ascii="Arial" w:hAnsi="Arial" w:cs="Arial"/>
          <w:sz w:val="22"/>
          <w:szCs w:val="22"/>
          <w:lang w:val="es-ES_tradnl"/>
        </w:rPr>
        <w:t xml:space="preserve">, </w:t>
      </w:r>
      <w:r w:rsidR="00D94867" w:rsidRPr="00551E61">
        <w:rPr>
          <w:rFonts w:ascii="Arial" w:hAnsi="Arial" w:cs="Arial"/>
          <w:sz w:val="22"/>
          <w:szCs w:val="22"/>
          <w:lang w:val="es-ES_tradnl"/>
        </w:rPr>
        <w:t xml:space="preserve">se estima que hasta fines de los 90 el mercado inmobiliario en la zona era </w:t>
      </w:r>
      <w:r w:rsidR="004B2610" w:rsidRPr="00551E61">
        <w:rPr>
          <w:rFonts w:ascii="Arial" w:hAnsi="Arial" w:cs="Arial"/>
          <w:sz w:val="22"/>
          <w:szCs w:val="22"/>
          <w:lang w:val="es-ES_tradnl"/>
        </w:rPr>
        <w:t>‘</w:t>
      </w:r>
      <w:r w:rsidR="009E4FDA" w:rsidRPr="00551E61">
        <w:rPr>
          <w:rFonts w:ascii="Arial" w:hAnsi="Arial" w:cs="Arial"/>
          <w:sz w:val="22"/>
          <w:szCs w:val="22"/>
          <w:lang w:val="es-ES_tradnl"/>
        </w:rPr>
        <w:t xml:space="preserve">prácticamente </w:t>
      </w:r>
      <w:r w:rsidR="00D94867" w:rsidRPr="00551E61">
        <w:rPr>
          <w:rFonts w:ascii="Arial" w:hAnsi="Arial" w:cs="Arial"/>
          <w:sz w:val="22"/>
          <w:szCs w:val="22"/>
          <w:lang w:val="es-ES_tradnl"/>
        </w:rPr>
        <w:t>inexistente</w:t>
      </w:r>
      <w:r w:rsidR="004B2610" w:rsidRPr="00551E61">
        <w:rPr>
          <w:rFonts w:ascii="Arial" w:hAnsi="Arial" w:cs="Arial"/>
          <w:sz w:val="22"/>
          <w:szCs w:val="22"/>
          <w:lang w:val="es-ES_tradnl"/>
        </w:rPr>
        <w:t>’</w:t>
      </w:r>
      <w:r w:rsidR="009E4FDA" w:rsidRPr="00551E61">
        <w:rPr>
          <w:rFonts w:ascii="Arial" w:hAnsi="Arial" w:cs="Arial"/>
          <w:sz w:val="22"/>
          <w:szCs w:val="22"/>
          <w:lang w:val="es-ES_tradnl"/>
        </w:rPr>
        <w:t>.</w:t>
      </w:r>
      <w:r w:rsidR="00D94867" w:rsidRPr="00551E61">
        <w:rPr>
          <w:rFonts w:ascii="Arial" w:hAnsi="Arial" w:cs="Arial"/>
          <w:sz w:val="22"/>
          <w:szCs w:val="22"/>
          <w:lang w:val="es-ES_tradnl"/>
        </w:rPr>
        <w:t xml:space="preserve"> Sin embargo, con la llegada de inversionistas extranjeros la situación cambia y ya para el año 2004 comienzan a aparecer </w:t>
      </w:r>
      <w:r w:rsidR="009E4FDA" w:rsidRPr="00551E61">
        <w:rPr>
          <w:rFonts w:ascii="Arial" w:hAnsi="Arial" w:cs="Arial"/>
          <w:sz w:val="22"/>
          <w:szCs w:val="22"/>
          <w:lang w:val="es-ES_tradnl"/>
        </w:rPr>
        <w:t>prop</w:t>
      </w:r>
      <w:r w:rsidR="00D77D01" w:rsidRPr="00551E61">
        <w:rPr>
          <w:rFonts w:ascii="Arial" w:hAnsi="Arial" w:cs="Arial"/>
          <w:sz w:val="22"/>
          <w:szCs w:val="22"/>
          <w:lang w:val="es-ES_tradnl"/>
        </w:rPr>
        <w:t>iedades a la venta hasta por US</w:t>
      </w:r>
      <w:r w:rsidR="009E4FDA" w:rsidRPr="00551E61">
        <w:rPr>
          <w:rFonts w:ascii="Arial" w:hAnsi="Arial" w:cs="Arial"/>
          <w:sz w:val="22"/>
          <w:szCs w:val="22"/>
          <w:lang w:val="es-ES_tradnl"/>
        </w:rPr>
        <w:t>$</w:t>
      </w:r>
      <w:r w:rsidR="00D77D01" w:rsidRPr="00551E61">
        <w:rPr>
          <w:rFonts w:ascii="Arial" w:hAnsi="Arial" w:cs="Arial"/>
          <w:sz w:val="22"/>
          <w:szCs w:val="22"/>
          <w:lang w:val="es-ES_tradnl"/>
        </w:rPr>
        <w:t xml:space="preserve"> 1,5 millones</w:t>
      </w:r>
      <w:r w:rsidR="009E4FDA" w:rsidRPr="00551E61">
        <w:rPr>
          <w:rFonts w:ascii="Arial" w:hAnsi="Arial" w:cs="Arial"/>
          <w:sz w:val="22"/>
          <w:szCs w:val="22"/>
          <w:lang w:val="es-ES_tradnl"/>
        </w:rPr>
        <w:t xml:space="preserve"> para destinos de vivienda de lujo y servicios turísticos. Como la tabla 2 lo demuestra los precios de las propiedades para el año de ela</w:t>
      </w:r>
      <w:r w:rsidR="00334E9B" w:rsidRPr="00551E61">
        <w:rPr>
          <w:rFonts w:ascii="Arial" w:hAnsi="Arial" w:cs="Arial"/>
          <w:sz w:val="22"/>
          <w:szCs w:val="22"/>
          <w:lang w:val="es-ES_tradnl"/>
        </w:rPr>
        <w:t>boración del</w:t>
      </w:r>
      <w:r w:rsidR="00C62024" w:rsidRPr="00551E61">
        <w:rPr>
          <w:rFonts w:ascii="Arial" w:hAnsi="Arial" w:cs="Arial"/>
          <w:sz w:val="22"/>
          <w:szCs w:val="22"/>
          <w:lang w:val="es-ES_tradnl"/>
        </w:rPr>
        <w:t xml:space="preserve"> Diagnóstico</w:t>
      </w:r>
      <w:r w:rsidR="00334E9B" w:rsidRPr="00551E61">
        <w:rPr>
          <w:rFonts w:ascii="Arial" w:hAnsi="Arial" w:cs="Arial"/>
          <w:sz w:val="22"/>
          <w:szCs w:val="22"/>
          <w:lang w:val="es-ES_tradnl"/>
        </w:rPr>
        <w:t xml:space="preserve"> Plan </w:t>
      </w:r>
      <w:r w:rsidR="00C62024" w:rsidRPr="00551E61">
        <w:rPr>
          <w:rFonts w:ascii="Arial" w:hAnsi="Arial" w:cs="Arial"/>
          <w:sz w:val="22"/>
          <w:szCs w:val="22"/>
          <w:lang w:val="es-ES_tradnl"/>
        </w:rPr>
        <w:t>Estratégico</w:t>
      </w:r>
      <w:r w:rsidR="00334E9B" w:rsidRPr="00551E61">
        <w:rPr>
          <w:rFonts w:ascii="Arial" w:hAnsi="Arial" w:cs="Arial"/>
          <w:sz w:val="22"/>
          <w:szCs w:val="22"/>
          <w:lang w:val="es-ES_tradnl"/>
        </w:rPr>
        <w:t xml:space="preserve"> </w:t>
      </w:r>
      <w:r w:rsidR="009E4FDA" w:rsidRPr="00551E61">
        <w:rPr>
          <w:rFonts w:ascii="Arial" w:hAnsi="Arial" w:cs="Arial"/>
          <w:sz w:val="22"/>
          <w:szCs w:val="22"/>
          <w:lang w:val="es-ES_tradnl"/>
        </w:rPr>
        <w:t xml:space="preserve">eran muy variables concentrándose los más altos en las zonas de patrimonio cultural como en las Calles Merino, Hostos y Restauración lugares donde las propiedades en venta alcanzaban un promedio de </w:t>
      </w:r>
      <w:r w:rsidR="00D77D01" w:rsidRPr="00551E61">
        <w:rPr>
          <w:rFonts w:ascii="Arial" w:hAnsi="Arial" w:cs="Arial"/>
          <w:sz w:val="22"/>
          <w:szCs w:val="22"/>
          <w:lang w:val="es-ES_tradnl"/>
        </w:rPr>
        <w:t>US</w:t>
      </w:r>
      <w:r w:rsidR="009E4FDA" w:rsidRPr="00551E61">
        <w:rPr>
          <w:rFonts w:ascii="Arial" w:hAnsi="Arial" w:cs="Arial"/>
          <w:sz w:val="22"/>
          <w:szCs w:val="22"/>
          <w:lang w:val="es-ES_tradnl"/>
        </w:rPr>
        <w:t>$</w:t>
      </w:r>
      <w:r w:rsidR="00D77D01" w:rsidRPr="00551E61">
        <w:rPr>
          <w:rFonts w:ascii="Arial" w:hAnsi="Arial" w:cs="Arial"/>
          <w:sz w:val="22"/>
          <w:szCs w:val="22"/>
          <w:lang w:val="es-ES_tradnl"/>
        </w:rPr>
        <w:t xml:space="preserve"> </w:t>
      </w:r>
      <w:r w:rsidR="009E4FDA" w:rsidRPr="00551E61">
        <w:rPr>
          <w:rFonts w:ascii="Arial" w:hAnsi="Arial" w:cs="Arial"/>
          <w:sz w:val="22"/>
          <w:szCs w:val="22"/>
          <w:lang w:val="es-ES_tradnl"/>
        </w:rPr>
        <w:t>3,775 por metro cuadrado</w:t>
      </w:r>
      <w:r w:rsidR="004B2610" w:rsidRPr="00551E61">
        <w:rPr>
          <w:rFonts w:ascii="Arial" w:hAnsi="Arial" w:cs="Arial"/>
          <w:sz w:val="22"/>
          <w:szCs w:val="22"/>
          <w:lang w:val="es-ES_tradnl"/>
        </w:rPr>
        <w:t>.</w:t>
      </w:r>
    </w:p>
    <w:p w:rsidR="004B2610" w:rsidRPr="00551E61" w:rsidRDefault="009E4FDA" w:rsidP="00D77D01">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szCs w:val="22"/>
          <w:lang w:val="es-ES_tradnl"/>
        </w:rPr>
        <w:t>Esta situación fue identificada como el principal problema habitacional por los gru</w:t>
      </w:r>
      <w:r w:rsidR="00C62024" w:rsidRPr="00551E61">
        <w:rPr>
          <w:rFonts w:ascii="Arial" w:hAnsi="Arial" w:cs="Arial"/>
          <w:sz w:val="22"/>
          <w:szCs w:val="22"/>
          <w:lang w:val="es-ES_tradnl"/>
        </w:rPr>
        <w:t>pos focales de D</w:t>
      </w:r>
      <w:r w:rsidR="004B2610" w:rsidRPr="00551E61">
        <w:rPr>
          <w:rFonts w:ascii="Arial" w:hAnsi="Arial" w:cs="Arial"/>
          <w:sz w:val="22"/>
          <w:szCs w:val="22"/>
          <w:lang w:val="es-ES_tradnl"/>
        </w:rPr>
        <w:t xml:space="preserve">iagnóstico del Plan </w:t>
      </w:r>
      <w:r w:rsidR="00C62024" w:rsidRPr="00551E61">
        <w:rPr>
          <w:rFonts w:ascii="Arial" w:hAnsi="Arial" w:cs="Arial"/>
          <w:sz w:val="22"/>
          <w:szCs w:val="22"/>
          <w:lang w:val="es-ES_tradnl"/>
        </w:rPr>
        <w:t>Estratégico</w:t>
      </w:r>
      <w:r w:rsidR="004B2610" w:rsidRPr="00551E61">
        <w:rPr>
          <w:rFonts w:ascii="Arial" w:hAnsi="Arial" w:cs="Arial"/>
          <w:sz w:val="22"/>
          <w:szCs w:val="22"/>
          <w:lang w:val="es-ES_tradnl"/>
        </w:rPr>
        <w:t xml:space="preserve"> de 2004 que concluía diciendo: </w:t>
      </w:r>
      <w:r w:rsidR="004B2610" w:rsidRPr="00551E61">
        <w:rPr>
          <w:rFonts w:ascii="Arial" w:hAnsi="Arial" w:cs="Arial"/>
          <w:i/>
          <w:sz w:val="22"/>
          <w:szCs w:val="22"/>
          <w:lang w:val="es-ES_tradnl"/>
        </w:rPr>
        <w:t xml:space="preserve">“hay un fuerte peso de la percepción de que la zona se ha convertido en una zona para extranjeros muy cara y que para quedarse en la zona se necesitaría un </w:t>
      </w:r>
      <w:r w:rsidR="004B2610" w:rsidRPr="00551E61">
        <w:rPr>
          <w:rFonts w:ascii="Arial" w:hAnsi="Arial" w:cs="Arial"/>
          <w:i/>
          <w:sz w:val="22"/>
          <w:szCs w:val="22"/>
          <w:lang w:val="es-ES_tradnl"/>
        </w:rPr>
        <w:lastRenderedPageBreak/>
        <w:t>abaratamiento de los costos de vida en ella. Esta razón tiene relación con las razones planteadas en una parte importante de los grupos focales para no quedarse en la z</w:t>
      </w:r>
      <w:r w:rsidR="00D77D01" w:rsidRPr="00551E61">
        <w:rPr>
          <w:rFonts w:ascii="Arial" w:hAnsi="Arial" w:cs="Arial"/>
          <w:i/>
          <w:sz w:val="22"/>
          <w:szCs w:val="22"/>
          <w:lang w:val="es-ES_tradnl"/>
        </w:rPr>
        <w:t>ona</w:t>
      </w:r>
      <w:r w:rsidR="004B2610" w:rsidRPr="00551E61">
        <w:rPr>
          <w:rFonts w:ascii="Arial" w:hAnsi="Arial" w:cs="Arial"/>
          <w:i/>
          <w:sz w:val="22"/>
          <w:szCs w:val="22"/>
          <w:lang w:val="es-ES_tradnl"/>
        </w:rPr>
        <w:t>”</w:t>
      </w:r>
      <w:r w:rsidRPr="00551E61">
        <w:rPr>
          <w:rFonts w:ascii="Arial" w:hAnsi="Arial" w:cs="Arial"/>
          <w:sz w:val="22"/>
          <w:szCs w:val="22"/>
          <w:lang w:val="es-ES_tradnl"/>
        </w:rPr>
        <w:t xml:space="preserve"> </w:t>
      </w:r>
      <w:r w:rsidR="002602A9" w:rsidRPr="00551E61">
        <w:rPr>
          <w:rFonts w:ascii="Arial" w:hAnsi="Arial" w:cs="Arial"/>
          <w:sz w:val="22"/>
          <w:szCs w:val="22"/>
          <w:lang w:val="es-ES_tradnl"/>
        </w:rPr>
        <w:t xml:space="preserve">(Plan </w:t>
      </w:r>
      <w:r w:rsidR="000D5498" w:rsidRPr="00551E61">
        <w:rPr>
          <w:rFonts w:ascii="Arial" w:hAnsi="Arial" w:cs="Arial"/>
          <w:sz w:val="22"/>
          <w:szCs w:val="22"/>
          <w:lang w:val="es-ES_tradnl"/>
        </w:rPr>
        <w:t>Estratégico</w:t>
      </w:r>
      <w:r w:rsidR="004B2610" w:rsidRPr="00551E61">
        <w:rPr>
          <w:rFonts w:ascii="Arial" w:hAnsi="Arial" w:cs="Arial"/>
          <w:sz w:val="22"/>
          <w:szCs w:val="22"/>
          <w:lang w:val="es-ES_tradnl"/>
        </w:rPr>
        <w:t>. Documento diagnóstico</w:t>
      </w:r>
      <w:r w:rsidR="000D5498" w:rsidRPr="00551E61">
        <w:rPr>
          <w:rFonts w:ascii="Arial" w:hAnsi="Arial" w:cs="Arial"/>
          <w:sz w:val="22"/>
          <w:szCs w:val="22"/>
          <w:lang w:val="es-ES_tradnl"/>
        </w:rPr>
        <w:t xml:space="preserve"> (2004)</w:t>
      </w:r>
      <w:r w:rsidR="004B2610" w:rsidRPr="00551E61">
        <w:rPr>
          <w:rFonts w:ascii="Arial" w:hAnsi="Arial" w:cs="Arial"/>
          <w:sz w:val="22"/>
          <w:szCs w:val="22"/>
          <w:lang w:val="es-ES_tradnl"/>
        </w:rPr>
        <w:t>: pág. 265).</w:t>
      </w:r>
    </w:p>
    <w:p w:rsidR="001659CA" w:rsidRPr="00551E61" w:rsidRDefault="001659CA" w:rsidP="004B2610">
      <w:pPr>
        <w:spacing w:after="0"/>
        <w:jc w:val="center"/>
        <w:rPr>
          <w:rFonts w:ascii="Arial" w:hAnsi="Arial" w:cs="Arial"/>
          <w:lang w:val="es-ES_tradnl"/>
        </w:rPr>
      </w:pPr>
    </w:p>
    <w:p w:rsidR="004B2610" w:rsidRPr="00551E61" w:rsidRDefault="004B2610" w:rsidP="004B2610">
      <w:pPr>
        <w:spacing w:after="0"/>
        <w:jc w:val="center"/>
        <w:rPr>
          <w:rFonts w:ascii="Arial" w:hAnsi="Arial" w:cs="Arial"/>
          <w:lang w:val="es-ES_tradnl"/>
        </w:rPr>
      </w:pPr>
      <w:r w:rsidRPr="00551E61">
        <w:rPr>
          <w:rFonts w:ascii="Arial" w:hAnsi="Arial" w:cs="Arial"/>
          <w:lang w:val="es-ES_tradnl"/>
        </w:rPr>
        <w:t xml:space="preserve">Tabla 2 Costos de Predios por Localización en el 2004 </w:t>
      </w:r>
      <w:r w:rsidR="00E131F2" w:rsidRPr="00551E61">
        <w:rPr>
          <w:rFonts w:ascii="Arial" w:hAnsi="Arial" w:cs="Arial"/>
          <w:lang w:val="es-ES_tradnl"/>
        </w:rPr>
        <w:t xml:space="preserve">en la </w:t>
      </w:r>
      <w:r w:rsidRPr="00551E61">
        <w:rPr>
          <w:rFonts w:ascii="Arial" w:hAnsi="Arial" w:cs="Arial"/>
          <w:lang w:val="es-ES_tradnl"/>
        </w:rPr>
        <w:t>CCSD</w:t>
      </w:r>
    </w:p>
    <w:p w:rsidR="004B2610" w:rsidRPr="00551E61" w:rsidRDefault="009E4FDA" w:rsidP="004B2610">
      <w:pPr>
        <w:rPr>
          <w:rFonts w:ascii="Arial" w:hAnsi="Arial" w:cs="Arial"/>
          <w:lang w:val="es-ES_tradnl"/>
        </w:rPr>
      </w:pPr>
      <w:r w:rsidRPr="00551E61">
        <w:rPr>
          <w:rFonts w:ascii="Arial" w:hAnsi="Arial" w:cs="Arial"/>
          <w:noProof/>
          <w:lang w:val="en-US"/>
        </w:rPr>
        <w:drawing>
          <wp:inline distT="0" distB="0" distL="0" distR="0" wp14:anchorId="26C098E2" wp14:editId="45B5CD53">
            <wp:extent cx="5731510" cy="3493224"/>
            <wp:effectExtent l="0" t="0" r="254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1510" cy="3493224"/>
                    </a:xfrm>
                    <a:prstGeom prst="rect">
                      <a:avLst/>
                    </a:prstGeom>
                    <a:noFill/>
                    <a:ln>
                      <a:noFill/>
                    </a:ln>
                  </pic:spPr>
                </pic:pic>
              </a:graphicData>
            </a:graphic>
          </wp:inline>
        </w:drawing>
      </w:r>
      <w:r w:rsidR="004B2610" w:rsidRPr="00551E61">
        <w:rPr>
          <w:rFonts w:ascii="Arial" w:hAnsi="Arial" w:cs="Arial"/>
          <w:lang w:val="es-ES_tradnl"/>
        </w:rPr>
        <w:t xml:space="preserve">Fuente: Plan </w:t>
      </w:r>
      <w:r w:rsidR="000D5498" w:rsidRPr="00551E61">
        <w:rPr>
          <w:rFonts w:ascii="Arial" w:hAnsi="Arial" w:cs="Arial"/>
          <w:lang w:val="es-ES_tradnl"/>
        </w:rPr>
        <w:t>Estratégico</w:t>
      </w:r>
      <w:r w:rsidR="002602A9" w:rsidRPr="00551E61">
        <w:rPr>
          <w:rFonts w:ascii="Arial" w:hAnsi="Arial" w:cs="Arial"/>
          <w:lang w:val="es-ES_tradnl"/>
        </w:rPr>
        <w:t>. Documento de Diagnóstico (200</w:t>
      </w:r>
      <w:r w:rsidR="004B2610" w:rsidRPr="00551E61">
        <w:rPr>
          <w:rFonts w:ascii="Arial" w:hAnsi="Arial" w:cs="Arial"/>
          <w:lang w:val="es-ES_tradnl"/>
        </w:rPr>
        <w:t>4). Página 230.</w:t>
      </w:r>
    </w:p>
    <w:p w:rsidR="00D94867" w:rsidRPr="00551E61" w:rsidRDefault="00D94867" w:rsidP="00D94867">
      <w:pPr>
        <w:rPr>
          <w:rFonts w:ascii="Arial" w:hAnsi="Arial" w:cs="Arial"/>
          <w:lang w:val="es-ES_tradnl"/>
        </w:rPr>
      </w:pPr>
    </w:p>
    <w:p w:rsidR="005D3BB2" w:rsidRPr="00551E61" w:rsidRDefault="00F7418D" w:rsidP="00787A2E">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szCs w:val="22"/>
          <w:lang w:val="es-ES_tradnl"/>
        </w:rPr>
        <w:t>El creciente</w:t>
      </w:r>
      <w:r w:rsidR="00BC294F" w:rsidRPr="00551E61">
        <w:rPr>
          <w:rFonts w:ascii="Arial" w:hAnsi="Arial" w:cs="Arial"/>
          <w:sz w:val="22"/>
          <w:szCs w:val="22"/>
          <w:lang w:val="es-ES_tradnl"/>
        </w:rPr>
        <w:t xml:space="preserve"> dinamismo del mercado inmobiliario </w:t>
      </w:r>
      <w:r w:rsidR="006A09AD" w:rsidRPr="00551E61">
        <w:rPr>
          <w:rFonts w:ascii="Arial" w:hAnsi="Arial" w:cs="Arial"/>
          <w:sz w:val="22"/>
          <w:szCs w:val="22"/>
          <w:lang w:val="es-ES_tradnl"/>
        </w:rPr>
        <w:t>continuó</w:t>
      </w:r>
      <w:r w:rsidR="005D3BB2" w:rsidRPr="00551E61">
        <w:rPr>
          <w:rFonts w:ascii="Arial" w:hAnsi="Arial" w:cs="Arial"/>
          <w:sz w:val="22"/>
          <w:szCs w:val="22"/>
          <w:lang w:val="es-ES_tradnl"/>
        </w:rPr>
        <w:t xml:space="preserve"> consolidándose a partir de 2004. De acuerdo a un estudio sobre el nivel de transacciones basado en las tra</w:t>
      </w:r>
      <w:r w:rsidR="00334E9B" w:rsidRPr="00551E61">
        <w:rPr>
          <w:rFonts w:ascii="Arial" w:hAnsi="Arial" w:cs="Arial"/>
          <w:sz w:val="22"/>
          <w:szCs w:val="22"/>
          <w:lang w:val="es-ES_tradnl"/>
        </w:rPr>
        <w:t>n</w:t>
      </w:r>
      <w:r w:rsidR="005D3BB2" w:rsidRPr="00551E61">
        <w:rPr>
          <w:rFonts w:ascii="Arial" w:hAnsi="Arial" w:cs="Arial"/>
          <w:sz w:val="22"/>
          <w:szCs w:val="22"/>
          <w:lang w:val="es-ES_tradnl"/>
        </w:rPr>
        <w:t>sferencias de títulos registradas</w:t>
      </w:r>
      <w:r w:rsidR="00E131F2" w:rsidRPr="00551E61">
        <w:rPr>
          <w:rStyle w:val="FootnoteReference"/>
          <w:rFonts w:ascii="Arial" w:hAnsi="Arial" w:cs="Arial"/>
          <w:sz w:val="22"/>
          <w:szCs w:val="22"/>
          <w:lang w:val="es-ES_tradnl"/>
        </w:rPr>
        <w:footnoteReference w:id="6"/>
      </w:r>
      <w:r w:rsidR="005D3BB2" w:rsidRPr="00551E61">
        <w:rPr>
          <w:rFonts w:ascii="Arial" w:hAnsi="Arial" w:cs="Arial"/>
          <w:sz w:val="22"/>
          <w:szCs w:val="22"/>
          <w:lang w:val="es-ES_tradnl"/>
        </w:rPr>
        <w:t>, entre 2000 y 2004 se realizaron 158 traspasos por un valor promedio de metro cuadrado de US$</w:t>
      </w:r>
      <w:r w:rsidRPr="00551E61">
        <w:rPr>
          <w:rFonts w:ascii="Arial" w:hAnsi="Arial" w:cs="Arial"/>
          <w:sz w:val="22"/>
          <w:szCs w:val="22"/>
          <w:lang w:val="es-ES_tradnl"/>
        </w:rPr>
        <w:t xml:space="preserve"> </w:t>
      </w:r>
      <w:r w:rsidR="005D3BB2" w:rsidRPr="00551E61">
        <w:rPr>
          <w:rFonts w:ascii="Arial" w:hAnsi="Arial" w:cs="Arial"/>
          <w:sz w:val="22"/>
          <w:szCs w:val="22"/>
          <w:lang w:val="es-ES_tradnl"/>
        </w:rPr>
        <w:t>13.89. Para el periodo de 2005 a 2009, las transferencias sumaban 664 y el valor promedio US$</w:t>
      </w:r>
      <w:r w:rsidRPr="00551E61">
        <w:rPr>
          <w:rFonts w:ascii="Arial" w:hAnsi="Arial" w:cs="Arial"/>
          <w:sz w:val="22"/>
          <w:szCs w:val="22"/>
          <w:lang w:val="es-ES_tradnl"/>
        </w:rPr>
        <w:t xml:space="preserve"> </w:t>
      </w:r>
      <w:r w:rsidR="005D3BB2" w:rsidRPr="00551E61">
        <w:rPr>
          <w:rFonts w:ascii="Arial" w:hAnsi="Arial" w:cs="Arial"/>
          <w:sz w:val="22"/>
          <w:szCs w:val="22"/>
          <w:lang w:val="es-ES_tradnl"/>
        </w:rPr>
        <w:t>84.76. De 2010 a 2014, las transacciones llegaron a 1,175 y el valor del metro cuadrado a US$</w:t>
      </w:r>
      <w:r w:rsidRPr="00551E61">
        <w:rPr>
          <w:rFonts w:ascii="Arial" w:hAnsi="Arial" w:cs="Arial"/>
          <w:sz w:val="22"/>
          <w:szCs w:val="22"/>
          <w:lang w:val="es-ES_tradnl"/>
        </w:rPr>
        <w:t xml:space="preserve"> </w:t>
      </w:r>
      <w:r w:rsidR="005D3BB2" w:rsidRPr="00551E61">
        <w:rPr>
          <w:rFonts w:ascii="Arial" w:hAnsi="Arial" w:cs="Arial"/>
          <w:sz w:val="22"/>
          <w:szCs w:val="22"/>
          <w:lang w:val="es-ES_tradnl"/>
        </w:rPr>
        <w:t>81.80</w:t>
      </w:r>
      <w:r w:rsidR="00E131F2" w:rsidRPr="00551E61">
        <w:rPr>
          <w:rFonts w:ascii="Arial" w:hAnsi="Arial" w:cs="Arial"/>
          <w:sz w:val="22"/>
          <w:szCs w:val="22"/>
          <w:lang w:val="es-ES_tradnl"/>
        </w:rPr>
        <w:t>. La comparación con dos zonas similares aledañas a la CCSD muestra que la zona colonial ha tenido un mayor número de transacciones</w:t>
      </w:r>
      <w:r w:rsidR="005D3BB2" w:rsidRPr="00551E61">
        <w:rPr>
          <w:rFonts w:ascii="Arial" w:hAnsi="Arial" w:cs="Arial"/>
          <w:sz w:val="22"/>
          <w:szCs w:val="22"/>
          <w:lang w:val="es-ES_tradnl"/>
        </w:rPr>
        <w:t xml:space="preserve"> (Gil, 2015).</w:t>
      </w:r>
    </w:p>
    <w:p w:rsidR="005337EF" w:rsidRPr="00551E61" w:rsidRDefault="00787A2E" w:rsidP="00787A2E">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szCs w:val="22"/>
          <w:lang w:val="es-ES_tradnl"/>
        </w:rPr>
        <w:t xml:space="preserve">En </w:t>
      </w:r>
      <w:r w:rsidR="005D3BB2" w:rsidRPr="00551E61">
        <w:rPr>
          <w:rFonts w:ascii="Arial" w:hAnsi="Arial" w:cs="Arial"/>
          <w:sz w:val="22"/>
          <w:szCs w:val="22"/>
          <w:lang w:val="es-ES_tradnl"/>
        </w:rPr>
        <w:t>el</w:t>
      </w:r>
      <w:r w:rsidR="004B2610" w:rsidRPr="00551E61">
        <w:rPr>
          <w:rFonts w:ascii="Arial" w:hAnsi="Arial" w:cs="Arial"/>
          <w:sz w:val="22"/>
          <w:szCs w:val="22"/>
          <w:lang w:val="es-ES_tradnl"/>
        </w:rPr>
        <w:t xml:space="preserve"> censo de la CCSD en 2015 se </w:t>
      </w:r>
      <w:r w:rsidR="005337EF" w:rsidRPr="00551E61">
        <w:rPr>
          <w:rFonts w:ascii="Arial" w:hAnsi="Arial" w:cs="Arial"/>
          <w:sz w:val="22"/>
          <w:szCs w:val="22"/>
          <w:lang w:val="es-ES_tradnl"/>
        </w:rPr>
        <w:t xml:space="preserve">preguntó a los residentes si creían que el valor de mercado de las propiedades había aumentado desde 2012. El 87.4% respondió que sí. De estos 28.2% estimaron que el aumento había estado en el orden del 15 al 29% mientras el 28.8% respondieron que el aumento podría estar entre 30 a 59%. Dos terceras partes de los hogares consideraron que la valorización fue mayor que en Santo Domingo. Las respuestas sobre la dinámica de los alquileres siguieron la misma tendencia.  </w:t>
      </w:r>
    </w:p>
    <w:p w:rsidR="00EA3CD8" w:rsidRPr="00551E61" w:rsidRDefault="00EA3CD8" w:rsidP="00EA3CD8">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szCs w:val="22"/>
          <w:lang w:val="es-ES_tradnl"/>
        </w:rPr>
        <w:t xml:space="preserve">Esta dinámica de encarecimiento estaría </w:t>
      </w:r>
      <w:r w:rsidR="00BC294F" w:rsidRPr="00551E61">
        <w:rPr>
          <w:rFonts w:ascii="Arial" w:hAnsi="Arial" w:cs="Arial"/>
          <w:sz w:val="22"/>
          <w:szCs w:val="22"/>
          <w:lang w:val="es-ES_tradnl"/>
        </w:rPr>
        <w:t xml:space="preserve">haciendo </w:t>
      </w:r>
      <w:r w:rsidRPr="00551E61">
        <w:rPr>
          <w:rFonts w:ascii="Arial" w:hAnsi="Arial" w:cs="Arial"/>
          <w:sz w:val="22"/>
          <w:szCs w:val="22"/>
          <w:lang w:val="es-ES_tradnl"/>
        </w:rPr>
        <w:t>prohibitivo para la población de ing</w:t>
      </w:r>
      <w:r w:rsidR="00E131F2" w:rsidRPr="00551E61">
        <w:rPr>
          <w:rFonts w:ascii="Arial" w:hAnsi="Arial" w:cs="Arial"/>
          <w:sz w:val="22"/>
          <w:szCs w:val="22"/>
          <w:lang w:val="es-ES_tradnl"/>
        </w:rPr>
        <w:t>resos medios mantenerse o mudarse</w:t>
      </w:r>
      <w:r w:rsidRPr="00551E61">
        <w:rPr>
          <w:rFonts w:ascii="Arial" w:hAnsi="Arial" w:cs="Arial"/>
          <w:sz w:val="22"/>
          <w:szCs w:val="22"/>
          <w:lang w:val="es-ES_tradnl"/>
        </w:rPr>
        <w:t xml:space="preserve"> a la CCSD. </w:t>
      </w:r>
      <w:r w:rsidR="00BC294F" w:rsidRPr="00551E61">
        <w:rPr>
          <w:rFonts w:ascii="Arial" w:hAnsi="Arial" w:cs="Arial"/>
          <w:sz w:val="22"/>
          <w:szCs w:val="22"/>
          <w:lang w:val="es-ES_tradnl"/>
        </w:rPr>
        <w:t>La tabla 3 presenta una muestra de las propiedades en venta más baratas ofrecidas</w:t>
      </w:r>
      <w:r w:rsidR="00334E9B" w:rsidRPr="00551E61">
        <w:rPr>
          <w:rFonts w:ascii="Arial" w:hAnsi="Arial" w:cs="Arial"/>
          <w:sz w:val="22"/>
          <w:szCs w:val="22"/>
          <w:lang w:val="es-ES_tradnl"/>
        </w:rPr>
        <w:t xml:space="preserve"> en el mes de Enero de 2016</w:t>
      </w:r>
      <w:r w:rsidR="00BC294F" w:rsidRPr="00551E61">
        <w:rPr>
          <w:rFonts w:ascii="Arial" w:hAnsi="Arial" w:cs="Arial"/>
          <w:sz w:val="22"/>
          <w:szCs w:val="22"/>
          <w:lang w:val="es-ES_tradnl"/>
        </w:rPr>
        <w:t xml:space="preserve"> por corredores inmobiliarios en la CCSD</w:t>
      </w:r>
      <w:r w:rsidR="003477F2" w:rsidRPr="00551E61">
        <w:rPr>
          <w:rFonts w:ascii="Arial" w:hAnsi="Arial" w:cs="Arial"/>
          <w:sz w:val="22"/>
          <w:szCs w:val="22"/>
          <w:lang w:val="es-ES_tradnl"/>
        </w:rPr>
        <w:t>. Las</w:t>
      </w:r>
      <w:r w:rsidR="00BC294F" w:rsidRPr="00551E61">
        <w:rPr>
          <w:rFonts w:ascii="Arial" w:hAnsi="Arial" w:cs="Arial"/>
          <w:sz w:val="22"/>
          <w:szCs w:val="22"/>
          <w:lang w:val="es-ES_tradnl"/>
        </w:rPr>
        <w:t xml:space="preserve"> propiedades de 2 y 3 habitaciones </w:t>
      </w:r>
      <w:r w:rsidR="003477F2" w:rsidRPr="00551E61">
        <w:rPr>
          <w:rFonts w:ascii="Arial" w:hAnsi="Arial" w:cs="Arial"/>
          <w:sz w:val="22"/>
          <w:szCs w:val="22"/>
          <w:lang w:val="es-ES_tradnl"/>
        </w:rPr>
        <w:t xml:space="preserve">tienen precios </w:t>
      </w:r>
      <w:r w:rsidR="00BC294F" w:rsidRPr="00551E61">
        <w:rPr>
          <w:rFonts w:ascii="Arial" w:hAnsi="Arial" w:cs="Arial"/>
          <w:sz w:val="22"/>
          <w:szCs w:val="22"/>
          <w:lang w:val="es-ES_tradnl"/>
        </w:rPr>
        <w:t>entre US$ 78,000 y US$ 189,000 dependie</w:t>
      </w:r>
      <w:r w:rsidR="003477F2" w:rsidRPr="00551E61">
        <w:rPr>
          <w:rFonts w:ascii="Arial" w:hAnsi="Arial" w:cs="Arial"/>
          <w:sz w:val="22"/>
          <w:szCs w:val="22"/>
          <w:lang w:val="es-ES_tradnl"/>
        </w:rPr>
        <w:t xml:space="preserve">ndo de la </w:t>
      </w:r>
      <w:r w:rsidR="003477F2" w:rsidRPr="00551E61">
        <w:rPr>
          <w:rFonts w:ascii="Arial" w:hAnsi="Arial" w:cs="Arial"/>
          <w:sz w:val="22"/>
          <w:szCs w:val="22"/>
          <w:lang w:val="es-ES_tradnl"/>
        </w:rPr>
        <w:lastRenderedPageBreak/>
        <w:t>localización. Esto</w:t>
      </w:r>
      <w:r w:rsidR="00BC294F" w:rsidRPr="00551E61">
        <w:rPr>
          <w:rFonts w:ascii="Arial" w:hAnsi="Arial" w:cs="Arial"/>
          <w:sz w:val="22"/>
          <w:szCs w:val="22"/>
          <w:lang w:val="es-ES_tradnl"/>
        </w:rPr>
        <w:t xml:space="preserve"> equivale a un metro cuadrado construido entre </w:t>
      </w:r>
      <w:r w:rsidR="006A09AD" w:rsidRPr="00551E61">
        <w:rPr>
          <w:rFonts w:ascii="Arial" w:hAnsi="Arial" w:cs="Arial"/>
          <w:sz w:val="22"/>
          <w:szCs w:val="22"/>
          <w:lang w:val="es-ES_tradnl"/>
        </w:rPr>
        <w:t>US</w:t>
      </w:r>
      <w:r w:rsidR="00BC294F" w:rsidRPr="00551E61">
        <w:rPr>
          <w:rFonts w:ascii="Arial" w:hAnsi="Arial" w:cs="Arial"/>
          <w:sz w:val="22"/>
          <w:szCs w:val="22"/>
          <w:lang w:val="es-ES_tradnl"/>
        </w:rPr>
        <w:t xml:space="preserve">$ 876.4 y US$ 2,100. </w:t>
      </w:r>
    </w:p>
    <w:p w:rsidR="00EA3CD8" w:rsidRPr="00551E61" w:rsidRDefault="00EA3CD8" w:rsidP="00EA3CD8">
      <w:pPr>
        <w:rPr>
          <w:rFonts w:ascii="Arial" w:hAnsi="Arial" w:cs="Arial"/>
          <w:lang w:val="es-ES_tradnl"/>
        </w:rPr>
      </w:pPr>
    </w:p>
    <w:p w:rsidR="00E131F2" w:rsidRPr="00551E61" w:rsidRDefault="00E131F2" w:rsidP="00E131F2">
      <w:pPr>
        <w:spacing w:after="0"/>
        <w:jc w:val="center"/>
        <w:rPr>
          <w:rFonts w:ascii="Arial" w:hAnsi="Arial" w:cs="Arial"/>
          <w:lang w:val="es-ES_tradnl"/>
        </w:rPr>
      </w:pPr>
      <w:r w:rsidRPr="00551E61">
        <w:rPr>
          <w:rFonts w:ascii="Arial" w:hAnsi="Arial" w:cs="Arial"/>
          <w:lang w:val="es-ES_tradnl"/>
        </w:rPr>
        <w:t>Tabla 3 Precio de las propiedades en venta más baratas en Enero 2016 en la CCSD</w:t>
      </w:r>
    </w:p>
    <w:tbl>
      <w:tblPr>
        <w:tblW w:w="85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56"/>
        <w:gridCol w:w="1451"/>
        <w:gridCol w:w="1586"/>
        <w:gridCol w:w="890"/>
        <w:gridCol w:w="1628"/>
        <w:gridCol w:w="1689"/>
      </w:tblGrid>
      <w:tr w:rsidR="00BC294F" w:rsidRPr="00551E61" w:rsidTr="00BC294F">
        <w:trPr>
          <w:jc w:val="center"/>
        </w:trPr>
        <w:tc>
          <w:tcPr>
            <w:tcW w:w="1286" w:type="dxa"/>
            <w:hideMark/>
          </w:tcPr>
          <w:p w:rsidR="00BC294F" w:rsidRPr="00551E61" w:rsidRDefault="00BC294F" w:rsidP="00BC294F">
            <w:pPr>
              <w:spacing w:after="0" w:line="240" w:lineRule="auto"/>
              <w:jc w:val="center"/>
              <w:rPr>
                <w:rFonts w:ascii="Arial" w:hAnsi="Arial" w:cs="Arial"/>
                <w:b/>
                <w:lang w:val="es-ES_tradnl"/>
              </w:rPr>
            </w:pPr>
            <w:r w:rsidRPr="00551E61">
              <w:rPr>
                <w:rFonts w:ascii="Arial" w:hAnsi="Arial" w:cs="Arial"/>
                <w:b/>
                <w:lang w:val="es-ES_tradnl"/>
              </w:rPr>
              <w:t>Precio (RD$)</w:t>
            </w:r>
          </w:p>
        </w:tc>
        <w:tc>
          <w:tcPr>
            <w:tcW w:w="1379" w:type="dxa"/>
            <w:hideMark/>
          </w:tcPr>
          <w:p w:rsidR="00BC294F" w:rsidRPr="00551E61" w:rsidRDefault="00BC294F" w:rsidP="00BC294F">
            <w:pPr>
              <w:spacing w:after="0" w:line="240" w:lineRule="auto"/>
              <w:jc w:val="center"/>
              <w:rPr>
                <w:rFonts w:ascii="Arial" w:hAnsi="Arial" w:cs="Arial"/>
                <w:b/>
                <w:lang w:val="es-ES_tradnl"/>
              </w:rPr>
            </w:pPr>
            <w:r w:rsidRPr="00551E61">
              <w:rPr>
                <w:rFonts w:ascii="Arial" w:hAnsi="Arial" w:cs="Arial"/>
                <w:b/>
                <w:lang w:val="es-ES_tradnl"/>
              </w:rPr>
              <w:t>Equivalente en (US)</w:t>
            </w:r>
          </w:p>
        </w:tc>
        <w:tc>
          <w:tcPr>
            <w:tcW w:w="1402" w:type="dxa"/>
            <w:hideMark/>
          </w:tcPr>
          <w:p w:rsidR="00BC294F" w:rsidRPr="00551E61" w:rsidRDefault="00BC294F" w:rsidP="00BC294F">
            <w:pPr>
              <w:spacing w:after="0" w:line="240" w:lineRule="auto"/>
              <w:jc w:val="center"/>
              <w:rPr>
                <w:rFonts w:ascii="Arial" w:hAnsi="Arial" w:cs="Arial"/>
                <w:b/>
                <w:lang w:val="es-ES_tradnl"/>
              </w:rPr>
            </w:pPr>
            <w:r w:rsidRPr="00551E61">
              <w:rPr>
                <w:rFonts w:ascii="Arial" w:hAnsi="Arial" w:cs="Arial"/>
                <w:b/>
                <w:lang w:val="es-ES_tradnl"/>
              </w:rPr>
              <w:t>Habitaciones</w:t>
            </w:r>
          </w:p>
        </w:tc>
        <w:tc>
          <w:tcPr>
            <w:tcW w:w="890" w:type="dxa"/>
            <w:hideMark/>
          </w:tcPr>
          <w:p w:rsidR="00BC294F" w:rsidRPr="00551E61" w:rsidRDefault="00BC294F" w:rsidP="00BC294F">
            <w:pPr>
              <w:spacing w:after="0" w:line="240" w:lineRule="auto"/>
              <w:jc w:val="center"/>
              <w:rPr>
                <w:rFonts w:ascii="Arial" w:hAnsi="Arial" w:cs="Arial"/>
                <w:b/>
                <w:lang w:val="es-ES_tradnl"/>
              </w:rPr>
            </w:pPr>
            <w:r w:rsidRPr="00551E61">
              <w:rPr>
                <w:rFonts w:ascii="Arial" w:hAnsi="Arial" w:cs="Arial"/>
                <w:b/>
                <w:lang w:val="es-ES_tradnl"/>
              </w:rPr>
              <w:t>Baños</w:t>
            </w:r>
          </w:p>
        </w:tc>
        <w:tc>
          <w:tcPr>
            <w:tcW w:w="1701" w:type="dxa"/>
            <w:hideMark/>
          </w:tcPr>
          <w:p w:rsidR="00BC294F" w:rsidRPr="00551E61" w:rsidRDefault="00BC294F" w:rsidP="00BC294F">
            <w:pPr>
              <w:spacing w:after="0" w:line="240" w:lineRule="auto"/>
              <w:jc w:val="center"/>
              <w:rPr>
                <w:rFonts w:ascii="Arial" w:hAnsi="Arial" w:cs="Arial"/>
                <w:b/>
                <w:lang w:val="es-ES_tradnl"/>
              </w:rPr>
            </w:pPr>
            <w:r w:rsidRPr="00551E61">
              <w:rPr>
                <w:rFonts w:ascii="Arial" w:hAnsi="Arial" w:cs="Arial"/>
                <w:b/>
                <w:lang w:val="es-ES_tradnl"/>
              </w:rPr>
              <w:t>Metros cuadrados construidos</w:t>
            </w:r>
          </w:p>
        </w:tc>
        <w:tc>
          <w:tcPr>
            <w:tcW w:w="1842" w:type="dxa"/>
            <w:hideMark/>
          </w:tcPr>
          <w:p w:rsidR="00BC294F" w:rsidRPr="00551E61" w:rsidRDefault="00BC294F" w:rsidP="00BC294F">
            <w:pPr>
              <w:spacing w:after="0" w:line="240" w:lineRule="auto"/>
              <w:jc w:val="center"/>
              <w:rPr>
                <w:rFonts w:ascii="Arial" w:hAnsi="Arial" w:cs="Arial"/>
                <w:b/>
                <w:lang w:val="es-ES_tradnl"/>
              </w:rPr>
            </w:pPr>
            <w:r w:rsidRPr="00551E61">
              <w:rPr>
                <w:rFonts w:ascii="Arial" w:hAnsi="Arial" w:cs="Arial"/>
                <w:b/>
                <w:lang w:val="es-ES_tradnl"/>
              </w:rPr>
              <w:t>Ubicación dentro de la CCSD</w:t>
            </w:r>
          </w:p>
        </w:tc>
      </w:tr>
      <w:tr w:rsidR="00BC294F" w:rsidRPr="00551E61" w:rsidTr="00BC294F">
        <w:trPr>
          <w:jc w:val="center"/>
        </w:trPr>
        <w:tc>
          <w:tcPr>
            <w:tcW w:w="1286" w:type="dxa"/>
            <w:hideMark/>
          </w:tcPr>
          <w:p w:rsidR="00BC294F" w:rsidRPr="00551E61" w:rsidRDefault="00BC294F" w:rsidP="00BC294F">
            <w:pPr>
              <w:spacing w:after="0" w:line="240" w:lineRule="auto"/>
              <w:jc w:val="center"/>
              <w:rPr>
                <w:rFonts w:ascii="Arial" w:hAnsi="Arial" w:cs="Arial"/>
                <w:lang w:val="es-ES_tradnl"/>
              </w:rPr>
            </w:pPr>
            <w:r w:rsidRPr="00551E61">
              <w:rPr>
                <w:rFonts w:ascii="Arial" w:hAnsi="Arial" w:cs="Arial"/>
                <w:lang w:val="es-ES_tradnl"/>
              </w:rPr>
              <w:t>5.250.000</w:t>
            </w:r>
          </w:p>
        </w:tc>
        <w:tc>
          <w:tcPr>
            <w:tcW w:w="1379" w:type="dxa"/>
            <w:hideMark/>
          </w:tcPr>
          <w:p w:rsidR="00BC294F" w:rsidRPr="00551E61" w:rsidRDefault="00BC294F" w:rsidP="00BC294F">
            <w:pPr>
              <w:spacing w:after="0" w:line="240" w:lineRule="auto"/>
              <w:jc w:val="center"/>
              <w:rPr>
                <w:rFonts w:ascii="Arial" w:hAnsi="Arial" w:cs="Arial"/>
                <w:lang w:val="es-ES_tradnl"/>
              </w:rPr>
            </w:pPr>
            <w:r w:rsidRPr="00551E61">
              <w:rPr>
                <w:rFonts w:ascii="Arial" w:hAnsi="Arial" w:cs="Arial"/>
                <w:lang w:val="es-ES_tradnl"/>
              </w:rPr>
              <w:t>116.000</w:t>
            </w:r>
          </w:p>
        </w:tc>
        <w:tc>
          <w:tcPr>
            <w:tcW w:w="1402" w:type="dxa"/>
            <w:hideMark/>
          </w:tcPr>
          <w:p w:rsidR="00BC294F" w:rsidRPr="00551E61" w:rsidRDefault="00BC294F" w:rsidP="00BC294F">
            <w:pPr>
              <w:spacing w:after="0" w:line="240" w:lineRule="auto"/>
              <w:jc w:val="center"/>
              <w:rPr>
                <w:rFonts w:ascii="Arial" w:hAnsi="Arial" w:cs="Arial"/>
                <w:lang w:val="es-ES_tradnl"/>
              </w:rPr>
            </w:pPr>
            <w:r w:rsidRPr="00551E61">
              <w:rPr>
                <w:rFonts w:ascii="Arial" w:hAnsi="Arial" w:cs="Arial"/>
                <w:lang w:val="es-ES_tradnl"/>
              </w:rPr>
              <w:t>3</w:t>
            </w:r>
          </w:p>
        </w:tc>
        <w:tc>
          <w:tcPr>
            <w:tcW w:w="890" w:type="dxa"/>
            <w:hideMark/>
          </w:tcPr>
          <w:p w:rsidR="00BC294F" w:rsidRPr="00551E61" w:rsidRDefault="00BC294F" w:rsidP="00BC294F">
            <w:pPr>
              <w:spacing w:after="0" w:line="240" w:lineRule="auto"/>
              <w:jc w:val="center"/>
              <w:rPr>
                <w:rFonts w:ascii="Arial" w:hAnsi="Arial" w:cs="Arial"/>
                <w:lang w:val="es-ES_tradnl"/>
              </w:rPr>
            </w:pPr>
            <w:r w:rsidRPr="00551E61">
              <w:rPr>
                <w:rFonts w:ascii="Arial" w:hAnsi="Arial" w:cs="Arial"/>
                <w:lang w:val="es-ES_tradnl"/>
              </w:rPr>
              <w:t>2</w:t>
            </w:r>
          </w:p>
        </w:tc>
        <w:tc>
          <w:tcPr>
            <w:tcW w:w="1701" w:type="dxa"/>
            <w:hideMark/>
          </w:tcPr>
          <w:p w:rsidR="00BC294F" w:rsidRPr="00551E61" w:rsidRDefault="00BC294F" w:rsidP="00BC294F">
            <w:pPr>
              <w:spacing w:after="0" w:line="240" w:lineRule="auto"/>
              <w:jc w:val="center"/>
              <w:rPr>
                <w:rFonts w:ascii="Arial" w:hAnsi="Arial" w:cs="Arial"/>
                <w:lang w:val="es-ES_tradnl"/>
              </w:rPr>
            </w:pPr>
            <w:r w:rsidRPr="00551E61">
              <w:rPr>
                <w:rFonts w:ascii="Arial" w:hAnsi="Arial" w:cs="Arial"/>
                <w:lang w:val="es-ES_tradnl"/>
              </w:rPr>
              <w:t>105</w:t>
            </w:r>
          </w:p>
        </w:tc>
        <w:tc>
          <w:tcPr>
            <w:tcW w:w="1842" w:type="dxa"/>
            <w:hideMark/>
          </w:tcPr>
          <w:p w:rsidR="00BC294F" w:rsidRPr="00551E61" w:rsidRDefault="00BC294F" w:rsidP="00BC294F">
            <w:pPr>
              <w:spacing w:after="0" w:line="240" w:lineRule="auto"/>
              <w:jc w:val="center"/>
              <w:rPr>
                <w:rFonts w:ascii="Arial" w:hAnsi="Arial" w:cs="Arial"/>
                <w:lang w:val="es-ES_tradnl"/>
              </w:rPr>
            </w:pPr>
            <w:r w:rsidRPr="00551E61">
              <w:rPr>
                <w:rFonts w:ascii="Arial" w:hAnsi="Arial" w:cs="Arial"/>
                <w:lang w:val="es-ES_tradnl"/>
              </w:rPr>
              <w:t>Sin Información</w:t>
            </w:r>
          </w:p>
        </w:tc>
      </w:tr>
      <w:tr w:rsidR="00BC294F" w:rsidRPr="00551E61" w:rsidTr="00BC294F">
        <w:trPr>
          <w:jc w:val="center"/>
        </w:trPr>
        <w:tc>
          <w:tcPr>
            <w:tcW w:w="1286" w:type="dxa"/>
            <w:hideMark/>
          </w:tcPr>
          <w:p w:rsidR="00BC294F" w:rsidRPr="00551E61" w:rsidRDefault="00BC294F" w:rsidP="00BC294F">
            <w:pPr>
              <w:spacing w:after="0" w:line="240" w:lineRule="auto"/>
              <w:jc w:val="center"/>
              <w:rPr>
                <w:rFonts w:ascii="Arial" w:hAnsi="Arial" w:cs="Arial"/>
                <w:lang w:val="es-ES_tradnl"/>
              </w:rPr>
            </w:pPr>
            <w:r w:rsidRPr="00551E61">
              <w:rPr>
                <w:rFonts w:ascii="Arial" w:hAnsi="Arial" w:cs="Arial"/>
                <w:lang w:val="es-ES_tradnl"/>
              </w:rPr>
              <w:t>8.500.000</w:t>
            </w:r>
          </w:p>
        </w:tc>
        <w:tc>
          <w:tcPr>
            <w:tcW w:w="1379" w:type="dxa"/>
            <w:hideMark/>
          </w:tcPr>
          <w:p w:rsidR="00BC294F" w:rsidRPr="00551E61" w:rsidRDefault="00BC294F" w:rsidP="00BC294F">
            <w:pPr>
              <w:spacing w:after="0" w:line="240" w:lineRule="auto"/>
              <w:jc w:val="center"/>
              <w:rPr>
                <w:rFonts w:ascii="Arial" w:hAnsi="Arial" w:cs="Arial"/>
                <w:lang w:val="es-ES_tradnl"/>
              </w:rPr>
            </w:pPr>
            <w:r w:rsidRPr="00551E61">
              <w:rPr>
                <w:rFonts w:ascii="Arial" w:hAnsi="Arial" w:cs="Arial"/>
                <w:lang w:val="es-ES_tradnl"/>
              </w:rPr>
              <w:t>189.000</w:t>
            </w:r>
          </w:p>
        </w:tc>
        <w:tc>
          <w:tcPr>
            <w:tcW w:w="1402" w:type="dxa"/>
            <w:hideMark/>
          </w:tcPr>
          <w:p w:rsidR="00BC294F" w:rsidRPr="00551E61" w:rsidRDefault="00BC294F" w:rsidP="00BC294F">
            <w:pPr>
              <w:spacing w:after="0" w:line="240" w:lineRule="auto"/>
              <w:jc w:val="center"/>
              <w:rPr>
                <w:rFonts w:ascii="Arial" w:hAnsi="Arial" w:cs="Arial"/>
                <w:lang w:val="es-ES_tradnl"/>
              </w:rPr>
            </w:pPr>
            <w:r w:rsidRPr="00551E61">
              <w:rPr>
                <w:rFonts w:ascii="Arial" w:hAnsi="Arial" w:cs="Arial"/>
                <w:lang w:val="es-ES_tradnl"/>
              </w:rPr>
              <w:t>3</w:t>
            </w:r>
          </w:p>
        </w:tc>
        <w:tc>
          <w:tcPr>
            <w:tcW w:w="890" w:type="dxa"/>
            <w:hideMark/>
          </w:tcPr>
          <w:p w:rsidR="00BC294F" w:rsidRPr="00551E61" w:rsidRDefault="00BC294F" w:rsidP="00BC294F">
            <w:pPr>
              <w:spacing w:after="0" w:line="240" w:lineRule="auto"/>
              <w:jc w:val="center"/>
              <w:rPr>
                <w:rFonts w:ascii="Arial" w:hAnsi="Arial" w:cs="Arial"/>
                <w:lang w:val="es-ES_tradnl"/>
              </w:rPr>
            </w:pPr>
            <w:r w:rsidRPr="00551E61">
              <w:rPr>
                <w:rFonts w:ascii="Arial" w:hAnsi="Arial" w:cs="Arial"/>
                <w:lang w:val="es-ES_tradnl"/>
              </w:rPr>
              <w:t>1</w:t>
            </w:r>
          </w:p>
        </w:tc>
        <w:tc>
          <w:tcPr>
            <w:tcW w:w="1701" w:type="dxa"/>
            <w:hideMark/>
          </w:tcPr>
          <w:p w:rsidR="00BC294F" w:rsidRPr="00551E61" w:rsidRDefault="00BC294F" w:rsidP="00BC294F">
            <w:pPr>
              <w:spacing w:after="0" w:line="240" w:lineRule="auto"/>
              <w:jc w:val="center"/>
              <w:rPr>
                <w:rFonts w:ascii="Arial" w:hAnsi="Arial" w:cs="Arial"/>
                <w:lang w:val="es-ES_tradnl"/>
              </w:rPr>
            </w:pPr>
            <w:r w:rsidRPr="00551E61">
              <w:rPr>
                <w:rFonts w:ascii="Arial" w:hAnsi="Arial" w:cs="Arial"/>
                <w:lang w:val="es-ES_tradnl"/>
              </w:rPr>
              <w:t>90</w:t>
            </w:r>
          </w:p>
        </w:tc>
        <w:tc>
          <w:tcPr>
            <w:tcW w:w="1842" w:type="dxa"/>
            <w:hideMark/>
          </w:tcPr>
          <w:p w:rsidR="00BC294F" w:rsidRPr="00551E61" w:rsidRDefault="00BC294F" w:rsidP="00BC294F">
            <w:pPr>
              <w:spacing w:after="0" w:line="240" w:lineRule="auto"/>
              <w:jc w:val="center"/>
              <w:rPr>
                <w:rFonts w:ascii="Arial" w:hAnsi="Arial" w:cs="Arial"/>
                <w:lang w:val="es-ES_tradnl"/>
              </w:rPr>
            </w:pPr>
            <w:r w:rsidRPr="00551E61">
              <w:rPr>
                <w:rFonts w:ascii="Arial" w:hAnsi="Arial" w:cs="Arial"/>
                <w:lang w:val="es-ES_tradnl"/>
              </w:rPr>
              <w:t>Calle Hostos</w:t>
            </w:r>
          </w:p>
        </w:tc>
      </w:tr>
      <w:tr w:rsidR="00BC294F" w:rsidRPr="00551E61" w:rsidTr="00BC294F">
        <w:trPr>
          <w:jc w:val="center"/>
        </w:trPr>
        <w:tc>
          <w:tcPr>
            <w:tcW w:w="1286" w:type="dxa"/>
            <w:hideMark/>
          </w:tcPr>
          <w:p w:rsidR="00BC294F" w:rsidRPr="00551E61" w:rsidRDefault="00BC294F" w:rsidP="00BC294F">
            <w:pPr>
              <w:spacing w:after="0" w:line="240" w:lineRule="auto"/>
              <w:jc w:val="center"/>
              <w:rPr>
                <w:rFonts w:ascii="Arial" w:hAnsi="Arial" w:cs="Arial"/>
                <w:lang w:val="es-ES_tradnl"/>
              </w:rPr>
            </w:pPr>
            <w:r w:rsidRPr="00551E61">
              <w:rPr>
                <w:rFonts w:ascii="Arial" w:hAnsi="Arial" w:cs="Arial"/>
                <w:lang w:val="es-ES_tradnl"/>
              </w:rPr>
              <w:t>4.950.000</w:t>
            </w:r>
          </w:p>
        </w:tc>
        <w:tc>
          <w:tcPr>
            <w:tcW w:w="1379" w:type="dxa"/>
            <w:hideMark/>
          </w:tcPr>
          <w:p w:rsidR="00BC294F" w:rsidRPr="00551E61" w:rsidRDefault="00BC294F" w:rsidP="00BC294F">
            <w:pPr>
              <w:spacing w:after="0" w:line="240" w:lineRule="auto"/>
              <w:jc w:val="center"/>
              <w:rPr>
                <w:rFonts w:ascii="Arial" w:hAnsi="Arial" w:cs="Arial"/>
                <w:lang w:val="es-ES_tradnl"/>
              </w:rPr>
            </w:pPr>
            <w:r w:rsidRPr="00551E61">
              <w:rPr>
                <w:rFonts w:ascii="Arial" w:hAnsi="Arial" w:cs="Arial"/>
                <w:lang w:val="es-ES_tradnl"/>
              </w:rPr>
              <w:t>110.000</w:t>
            </w:r>
          </w:p>
        </w:tc>
        <w:tc>
          <w:tcPr>
            <w:tcW w:w="1402" w:type="dxa"/>
            <w:hideMark/>
          </w:tcPr>
          <w:p w:rsidR="00BC294F" w:rsidRPr="00551E61" w:rsidRDefault="00BC294F" w:rsidP="00BC294F">
            <w:pPr>
              <w:spacing w:after="0" w:line="240" w:lineRule="auto"/>
              <w:jc w:val="center"/>
              <w:rPr>
                <w:rFonts w:ascii="Arial" w:hAnsi="Arial" w:cs="Arial"/>
                <w:lang w:val="es-ES_tradnl"/>
              </w:rPr>
            </w:pPr>
            <w:r w:rsidRPr="00551E61">
              <w:rPr>
                <w:rFonts w:ascii="Arial" w:hAnsi="Arial" w:cs="Arial"/>
                <w:lang w:val="es-ES_tradnl"/>
              </w:rPr>
              <w:t>2</w:t>
            </w:r>
          </w:p>
        </w:tc>
        <w:tc>
          <w:tcPr>
            <w:tcW w:w="890" w:type="dxa"/>
            <w:hideMark/>
          </w:tcPr>
          <w:p w:rsidR="00BC294F" w:rsidRPr="00551E61" w:rsidRDefault="00BC294F" w:rsidP="00BC294F">
            <w:pPr>
              <w:spacing w:after="0" w:line="240" w:lineRule="auto"/>
              <w:jc w:val="center"/>
              <w:rPr>
                <w:rFonts w:ascii="Arial" w:hAnsi="Arial" w:cs="Arial"/>
                <w:lang w:val="es-ES_tradnl"/>
              </w:rPr>
            </w:pPr>
            <w:r w:rsidRPr="00551E61">
              <w:rPr>
                <w:rFonts w:ascii="Arial" w:hAnsi="Arial" w:cs="Arial"/>
                <w:lang w:val="es-ES_tradnl"/>
              </w:rPr>
              <w:t>1</w:t>
            </w:r>
          </w:p>
        </w:tc>
        <w:tc>
          <w:tcPr>
            <w:tcW w:w="1701" w:type="dxa"/>
            <w:hideMark/>
          </w:tcPr>
          <w:p w:rsidR="00BC294F" w:rsidRPr="00551E61" w:rsidRDefault="00BC294F" w:rsidP="00BC294F">
            <w:pPr>
              <w:spacing w:after="0" w:line="240" w:lineRule="auto"/>
              <w:jc w:val="center"/>
              <w:rPr>
                <w:rFonts w:ascii="Arial" w:hAnsi="Arial" w:cs="Arial"/>
                <w:lang w:val="es-ES_tradnl"/>
              </w:rPr>
            </w:pPr>
            <w:r w:rsidRPr="00551E61">
              <w:rPr>
                <w:rFonts w:ascii="Arial" w:hAnsi="Arial" w:cs="Arial"/>
                <w:lang w:val="es-ES_tradnl"/>
              </w:rPr>
              <w:t>108</w:t>
            </w:r>
          </w:p>
        </w:tc>
        <w:tc>
          <w:tcPr>
            <w:tcW w:w="1842" w:type="dxa"/>
            <w:hideMark/>
          </w:tcPr>
          <w:p w:rsidR="00BC294F" w:rsidRPr="00551E61" w:rsidRDefault="00BC294F" w:rsidP="00BC294F">
            <w:pPr>
              <w:spacing w:after="0" w:line="240" w:lineRule="auto"/>
              <w:jc w:val="center"/>
              <w:rPr>
                <w:rFonts w:ascii="Arial" w:hAnsi="Arial" w:cs="Arial"/>
                <w:lang w:val="es-ES_tradnl"/>
              </w:rPr>
            </w:pPr>
            <w:r w:rsidRPr="00551E61">
              <w:rPr>
                <w:rFonts w:ascii="Arial" w:hAnsi="Arial" w:cs="Arial"/>
                <w:lang w:val="es-ES_tradnl"/>
              </w:rPr>
              <w:t>Calle Padre Billini</w:t>
            </w:r>
          </w:p>
        </w:tc>
      </w:tr>
      <w:tr w:rsidR="00BC294F" w:rsidRPr="00551E61" w:rsidTr="00BC294F">
        <w:trPr>
          <w:jc w:val="center"/>
        </w:trPr>
        <w:tc>
          <w:tcPr>
            <w:tcW w:w="1286" w:type="dxa"/>
            <w:hideMark/>
          </w:tcPr>
          <w:p w:rsidR="00BC294F" w:rsidRPr="00551E61" w:rsidRDefault="00BC294F" w:rsidP="00BC294F">
            <w:pPr>
              <w:spacing w:after="0" w:line="240" w:lineRule="auto"/>
              <w:jc w:val="center"/>
              <w:rPr>
                <w:rFonts w:ascii="Arial" w:hAnsi="Arial" w:cs="Arial"/>
                <w:lang w:val="es-ES_tradnl"/>
              </w:rPr>
            </w:pPr>
            <w:r w:rsidRPr="00551E61">
              <w:rPr>
                <w:rFonts w:ascii="Arial" w:hAnsi="Arial" w:cs="Arial"/>
                <w:lang w:val="es-ES_tradnl"/>
              </w:rPr>
              <w:t>3.500.000</w:t>
            </w:r>
          </w:p>
        </w:tc>
        <w:tc>
          <w:tcPr>
            <w:tcW w:w="1379" w:type="dxa"/>
            <w:hideMark/>
          </w:tcPr>
          <w:p w:rsidR="00BC294F" w:rsidRPr="00551E61" w:rsidRDefault="00BC294F" w:rsidP="00BC294F">
            <w:pPr>
              <w:spacing w:after="0" w:line="240" w:lineRule="auto"/>
              <w:jc w:val="center"/>
              <w:rPr>
                <w:rFonts w:ascii="Arial" w:hAnsi="Arial" w:cs="Arial"/>
                <w:lang w:val="es-ES_tradnl"/>
              </w:rPr>
            </w:pPr>
            <w:r w:rsidRPr="00551E61">
              <w:rPr>
                <w:rFonts w:ascii="Arial" w:hAnsi="Arial" w:cs="Arial"/>
                <w:lang w:val="es-ES_tradnl"/>
              </w:rPr>
              <w:t>78.000</w:t>
            </w:r>
          </w:p>
        </w:tc>
        <w:tc>
          <w:tcPr>
            <w:tcW w:w="1402" w:type="dxa"/>
            <w:hideMark/>
          </w:tcPr>
          <w:p w:rsidR="00BC294F" w:rsidRPr="00551E61" w:rsidRDefault="00BC294F" w:rsidP="00BC294F">
            <w:pPr>
              <w:spacing w:after="0" w:line="240" w:lineRule="auto"/>
              <w:jc w:val="center"/>
              <w:rPr>
                <w:rFonts w:ascii="Arial" w:hAnsi="Arial" w:cs="Arial"/>
                <w:lang w:val="es-ES_tradnl"/>
              </w:rPr>
            </w:pPr>
            <w:r w:rsidRPr="00551E61">
              <w:rPr>
                <w:rFonts w:ascii="Arial" w:hAnsi="Arial" w:cs="Arial"/>
                <w:lang w:val="es-ES_tradnl"/>
              </w:rPr>
              <w:t>3</w:t>
            </w:r>
          </w:p>
        </w:tc>
        <w:tc>
          <w:tcPr>
            <w:tcW w:w="890" w:type="dxa"/>
            <w:hideMark/>
          </w:tcPr>
          <w:p w:rsidR="00BC294F" w:rsidRPr="00551E61" w:rsidRDefault="00BC294F" w:rsidP="00BC294F">
            <w:pPr>
              <w:spacing w:after="0" w:line="240" w:lineRule="auto"/>
              <w:jc w:val="center"/>
              <w:rPr>
                <w:rFonts w:ascii="Arial" w:hAnsi="Arial" w:cs="Arial"/>
                <w:lang w:val="es-ES_tradnl"/>
              </w:rPr>
            </w:pPr>
            <w:r w:rsidRPr="00551E61">
              <w:rPr>
                <w:rFonts w:ascii="Arial" w:hAnsi="Arial" w:cs="Arial"/>
                <w:lang w:val="es-ES_tradnl"/>
              </w:rPr>
              <w:t>2</w:t>
            </w:r>
          </w:p>
        </w:tc>
        <w:tc>
          <w:tcPr>
            <w:tcW w:w="1701" w:type="dxa"/>
            <w:hideMark/>
          </w:tcPr>
          <w:p w:rsidR="00BC294F" w:rsidRPr="00551E61" w:rsidRDefault="00BC294F" w:rsidP="00BC294F">
            <w:pPr>
              <w:spacing w:after="0" w:line="240" w:lineRule="auto"/>
              <w:jc w:val="center"/>
              <w:rPr>
                <w:rFonts w:ascii="Arial" w:hAnsi="Arial" w:cs="Arial"/>
                <w:lang w:val="es-ES_tradnl"/>
              </w:rPr>
            </w:pPr>
            <w:r w:rsidRPr="00551E61">
              <w:rPr>
                <w:rFonts w:ascii="Arial" w:hAnsi="Arial" w:cs="Arial"/>
                <w:lang w:val="es-ES_tradnl"/>
              </w:rPr>
              <w:t>89</w:t>
            </w:r>
          </w:p>
        </w:tc>
        <w:tc>
          <w:tcPr>
            <w:tcW w:w="1842" w:type="dxa"/>
            <w:hideMark/>
          </w:tcPr>
          <w:p w:rsidR="00BC294F" w:rsidRPr="00551E61" w:rsidRDefault="00BC294F" w:rsidP="00BC294F">
            <w:pPr>
              <w:spacing w:after="0" w:line="240" w:lineRule="auto"/>
              <w:jc w:val="center"/>
              <w:rPr>
                <w:rFonts w:ascii="Arial" w:hAnsi="Arial" w:cs="Arial"/>
                <w:lang w:val="es-ES_tradnl"/>
              </w:rPr>
            </w:pPr>
            <w:r w:rsidRPr="00551E61">
              <w:rPr>
                <w:rFonts w:ascii="Arial" w:hAnsi="Arial" w:cs="Arial"/>
                <w:lang w:val="es-ES_tradnl"/>
              </w:rPr>
              <w:t>Plaza San Antón</w:t>
            </w:r>
          </w:p>
        </w:tc>
      </w:tr>
      <w:tr w:rsidR="00BC294F" w:rsidRPr="00551E61" w:rsidTr="00BC294F">
        <w:trPr>
          <w:jc w:val="center"/>
        </w:trPr>
        <w:tc>
          <w:tcPr>
            <w:tcW w:w="1286" w:type="dxa"/>
            <w:hideMark/>
          </w:tcPr>
          <w:p w:rsidR="00BC294F" w:rsidRPr="00551E61" w:rsidRDefault="00BC294F" w:rsidP="00BC294F">
            <w:pPr>
              <w:spacing w:after="0" w:line="240" w:lineRule="auto"/>
              <w:jc w:val="center"/>
              <w:rPr>
                <w:rFonts w:ascii="Arial" w:hAnsi="Arial" w:cs="Arial"/>
                <w:lang w:val="es-ES_tradnl"/>
              </w:rPr>
            </w:pPr>
            <w:r w:rsidRPr="00551E61">
              <w:rPr>
                <w:rFonts w:ascii="Arial" w:hAnsi="Arial" w:cs="Arial"/>
                <w:lang w:val="es-ES_tradnl"/>
              </w:rPr>
              <w:t>4.500.000</w:t>
            </w:r>
          </w:p>
        </w:tc>
        <w:tc>
          <w:tcPr>
            <w:tcW w:w="1379" w:type="dxa"/>
            <w:hideMark/>
          </w:tcPr>
          <w:p w:rsidR="00BC294F" w:rsidRPr="00551E61" w:rsidRDefault="00BC294F" w:rsidP="00BC294F">
            <w:pPr>
              <w:spacing w:after="0" w:line="240" w:lineRule="auto"/>
              <w:jc w:val="center"/>
              <w:rPr>
                <w:rFonts w:ascii="Arial" w:hAnsi="Arial" w:cs="Arial"/>
                <w:lang w:val="es-ES_tradnl"/>
              </w:rPr>
            </w:pPr>
            <w:r w:rsidRPr="00551E61">
              <w:rPr>
                <w:rFonts w:ascii="Arial" w:hAnsi="Arial" w:cs="Arial"/>
                <w:lang w:val="es-ES_tradnl"/>
              </w:rPr>
              <w:t>100.000</w:t>
            </w:r>
          </w:p>
        </w:tc>
        <w:tc>
          <w:tcPr>
            <w:tcW w:w="1402" w:type="dxa"/>
            <w:hideMark/>
          </w:tcPr>
          <w:p w:rsidR="00BC294F" w:rsidRPr="00551E61" w:rsidRDefault="00BC294F" w:rsidP="00BC294F">
            <w:pPr>
              <w:spacing w:after="0" w:line="240" w:lineRule="auto"/>
              <w:jc w:val="center"/>
              <w:rPr>
                <w:rFonts w:ascii="Arial" w:hAnsi="Arial" w:cs="Arial"/>
                <w:lang w:val="es-ES_tradnl"/>
              </w:rPr>
            </w:pPr>
            <w:r w:rsidRPr="00551E61">
              <w:rPr>
                <w:rFonts w:ascii="Arial" w:hAnsi="Arial" w:cs="Arial"/>
                <w:lang w:val="es-ES_tradnl"/>
              </w:rPr>
              <w:t>3</w:t>
            </w:r>
          </w:p>
        </w:tc>
        <w:tc>
          <w:tcPr>
            <w:tcW w:w="890" w:type="dxa"/>
            <w:hideMark/>
          </w:tcPr>
          <w:p w:rsidR="00BC294F" w:rsidRPr="00551E61" w:rsidRDefault="00BC294F" w:rsidP="00BC294F">
            <w:pPr>
              <w:spacing w:after="0" w:line="240" w:lineRule="auto"/>
              <w:jc w:val="center"/>
              <w:rPr>
                <w:rFonts w:ascii="Arial" w:hAnsi="Arial" w:cs="Arial"/>
                <w:lang w:val="es-ES_tradnl"/>
              </w:rPr>
            </w:pPr>
            <w:r w:rsidRPr="00551E61">
              <w:rPr>
                <w:rFonts w:ascii="Arial" w:hAnsi="Arial" w:cs="Arial"/>
                <w:lang w:val="es-ES_tradnl"/>
              </w:rPr>
              <w:t>1</w:t>
            </w:r>
          </w:p>
        </w:tc>
        <w:tc>
          <w:tcPr>
            <w:tcW w:w="1701" w:type="dxa"/>
            <w:hideMark/>
          </w:tcPr>
          <w:p w:rsidR="00BC294F" w:rsidRPr="00551E61" w:rsidRDefault="00BC294F" w:rsidP="00BC294F">
            <w:pPr>
              <w:spacing w:after="0" w:line="240" w:lineRule="auto"/>
              <w:jc w:val="center"/>
              <w:rPr>
                <w:rFonts w:ascii="Arial" w:hAnsi="Arial" w:cs="Arial"/>
                <w:lang w:val="es-ES_tradnl"/>
              </w:rPr>
            </w:pPr>
            <w:r w:rsidRPr="00551E61">
              <w:rPr>
                <w:rFonts w:ascii="Arial" w:hAnsi="Arial" w:cs="Arial"/>
                <w:lang w:val="es-ES_tradnl"/>
              </w:rPr>
              <w:t>249</w:t>
            </w:r>
          </w:p>
        </w:tc>
        <w:tc>
          <w:tcPr>
            <w:tcW w:w="1842" w:type="dxa"/>
            <w:hideMark/>
          </w:tcPr>
          <w:p w:rsidR="00BC294F" w:rsidRPr="00551E61" w:rsidRDefault="00BC294F" w:rsidP="00BC294F">
            <w:pPr>
              <w:spacing w:after="0" w:line="240" w:lineRule="auto"/>
              <w:jc w:val="center"/>
              <w:rPr>
                <w:rFonts w:ascii="Arial" w:hAnsi="Arial" w:cs="Arial"/>
                <w:lang w:val="es-ES_tradnl"/>
              </w:rPr>
            </w:pPr>
            <w:r w:rsidRPr="00551E61">
              <w:rPr>
                <w:rFonts w:ascii="Arial" w:hAnsi="Arial" w:cs="Arial"/>
                <w:lang w:val="es-ES_tradnl"/>
              </w:rPr>
              <w:t>Calle El Conde</w:t>
            </w:r>
          </w:p>
        </w:tc>
      </w:tr>
      <w:tr w:rsidR="00BC294F" w:rsidRPr="00551E61" w:rsidTr="00BC294F">
        <w:trPr>
          <w:jc w:val="center"/>
        </w:trPr>
        <w:tc>
          <w:tcPr>
            <w:tcW w:w="1286" w:type="dxa"/>
            <w:hideMark/>
          </w:tcPr>
          <w:p w:rsidR="00BC294F" w:rsidRPr="00551E61" w:rsidRDefault="00BC294F" w:rsidP="00BC294F">
            <w:pPr>
              <w:spacing w:after="0" w:line="240" w:lineRule="auto"/>
              <w:jc w:val="center"/>
              <w:rPr>
                <w:rFonts w:ascii="Arial" w:hAnsi="Arial" w:cs="Arial"/>
                <w:lang w:val="es-ES_tradnl"/>
              </w:rPr>
            </w:pPr>
            <w:r w:rsidRPr="00551E61">
              <w:rPr>
                <w:rFonts w:ascii="Arial" w:hAnsi="Arial" w:cs="Arial"/>
                <w:lang w:val="es-ES_tradnl"/>
              </w:rPr>
              <w:t>7.300.000</w:t>
            </w:r>
          </w:p>
        </w:tc>
        <w:tc>
          <w:tcPr>
            <w:tcW w:w="1379" w:type="dxa"/>
            <w:hideMark/>
          </w:tcPr>
          <w:p w:rsidR="00BC294F" w:rsidRPr="00551E61" w:rsidRDefault="00BC294F" w:rsidP="00BC294F">
            <w:pPr>
              <w:spacing w:after="0" w:line="240" w:lineRule="auto"/>
              <w:jc w:val="center"/>
              <w:rPr>
                <w:rFonts w:ascii="Arial" w:hAnsi="Arial" w:cs="Arial"/>
                <w:lang w:val="es-ES_tradnl"/>
              </w:rPr>
            </w:pPr>
            <w:r w:rsidRPr="00551E61">
              <w:rPr>
                <w:rFonts w:ascii="Arial" w:hAnsi="Arial" w:cs="Arial"/>
                <w:lang w:val="es-ES_tradnl"/>
              </w:rPr>
              <w:t>162.000</w:t>
            </w:r>
          </w:p>
        </w:tc>
        <w:tc>
          <w:tcPr>
            <w:tcW w:w="1402" w:type="dxa"/>
            <w:hideMark/>
          </w:tcPr>
          <w:p w:rsidR="00BC294F" w:rsidRPr="00551E61" w:rsidRDefault="00BC294F" w:rsidP="00BC294F">
            <w:pPr>
              <w:spacing w:after="0" w:line="240" w:lineRule="auto"/>
              <w:jc w:val="center"/>
              <w:rPr>
                <w:rFonts w:ascii="Arial" w:hAnsi="Arial" w:cs="Arial"/>
                <w:lang w:val="es-ES_tradnl"/>
              </w:rPr>
            </w:pPr>
            <w:r w:rsidRPr="00551E61">
              <w:rPr>
                <w:rFonts w:ascii="Arial" w:hAnsi="Arial" w:cs="Arial"/>
                <w:lang w:val="es-ES_tradnl"/>
              </w:rPr>
              <w:t>4</w:t>
            </w:r>
          </w:p>
        </w:tc>
        <w:tc>
          <w:tcPr>
            <w:tcW w:w="890" w:type="dxa"/>
            <w:hideMark/>
          </w:tcPr>
          <w:p w:rsidR="00BC294F" w:rsidRPr="00551E61" w:rsidRDefault="00BC294F" w:rsidP="00BC294F">
            <w:pPr>
              <w:spacing w:after="0" w:line="240" w:lineRule="auto"/>
              <w:jc w:val="center"/>
              <w:rPr>
                <w:rFonts w:ascii="Arial" w:hAnsi="Arial" w:cs="Arial"/>
                <w:lang w:val="es-ES_tradnl"/>
              </w:rPr>
            </w:pPr>
            <w:r w:rsidRPr="00551E61">
              <w:rPr>
                <w:rFonts w:ascii="Arial" w:hAnsi="Arial" w:cs="Arial"/>
                <w:lang w:val="es-ES_tradnl"/>
              </w:rPr>
              <w:t>3</w:t>
            </w:r>
          </w:p>
        </w:tc>
        <w:tc>
          <w:tcPr>
            <w:tcW w:w="1701" w:type="dxa"/>
            <w:hideMark/>
          </w:tcPr>
          <w:p w:rsidR="00BC294F" w:rsidRPr="00551E61" w:rsidRDefault="00BC294F" w:rsidP="00BC294F">
            <w:pPr>
              <w:spacing w:after="0" w:line="240" w:lineRule="auto"/>
              <w:jc w:val="center"/>
              <w:rPr>
                <w:rFonts w:ascii="Arial" w:hAnsi="Arial" w:cs="Arial"/>
                <w:lang w:val="es-ES_tradnl"/>
              </w:rPr>
            </w:pPr>
            <w:r w:rsidRPr="00551E61">
              <w:rPr>
                <w:rFonts w:ascii="Arial" w:hAnsi="Arial" w:cs="Arial"/>
                <w:lang w:val="es-ES_tradnl"/>
              </w:rPr>
              <w:t>90</w:t>
            </w:r>
          </w:p>
        </w:tc>
        <w:tc>
          <w:tcPr>
            <w:tcW w:w="1842" w:type="dxa"/>
            <w:hideMark/>
          </w:tcPr>
          <w:p w:rsidR="00BC294F" w:rsidRPr="00551E61" w:rsidRDefault="00BC294F" w:rsidP="00BC294F">
            <w:pPr>
              <w:spacing w:after="0" w:line="240" w:lineRule="auto"/>
              <w:jc w:val="center"/>
              <w:rPr>
                <w:rFonts w:ascii="Arial" w:hAnsi="Arial" w:cs="Arial"/>
                <w:lang w:val="es-ES_tradnl"/>
              </w:rPr>
            </w:pPr>
            <w:r w:rsidRPr="00551E61">
              <w:rPr>
                <w:rFonts w:ascii="Arial" w:hAnsi="Arial" w:cs="Arial"/>
                <w:lang w:val="es-ES_tradnl"/>
              </w:rPr>
              <w:t>Calle Portes</w:t>
            </w:r>
          </w:p>
        </w:tc>
      </w:tr>
      <w:tr w:rsidR="00BC294F" w:rsidRPr="00551E61" w:rsidTr="00BC294F">
        <w:trPr>
          <w:jc w:val="center"/>
        </w:trPr>
        <w:tc>
          <w:tcPr>
            <w:tcW w:w="1286" w:type="dxa"/>
            <w:hideMark/>
          </w:tcPr>
          <w:p w:rsidR="00BC294F" w:rsidRPr="00551E61" w:rsidRDefault="00BC294F" w:rsidP="00BC294F">
            <w:pPr>
              <w:spacing w:after="0" w:line="240" w:lineRule="auto"/>
              <w:jc w:val="center"/>
              <w:rPr>
                <w:rFonts w:ascii="Arial" w:hAnsi="Arial" w:cs="Arial"/>
                <w:lang w:val="es-ES_tradnl"/>
              </w:rPr>
            </w:pPr>
            <w:r w:rsidRPr="00551E61">
              <w:rPr>
                <w:rFonts w:ascii="Arial" w:hAnsi="Arial" w:cs="Arial"/>
                <w:lang w:val="es-ES_tradnl"/>
              </w:rPr>
              <w:t>6.500.000</w:t>
            </w:r>
          </w:p>
        </w:tc>
        <w:tc>
          <w:tcPr>
            <w:tcW w:w="1379" w:type="dxa"/>
            <w:hideMark/>
          </w:tcPr>
          <w:p w:rsidR="00BC294F" w:rsidRPr="00551E61" w:rsidRDefault="00BC294F" w:rsidP="00BC294F">
            <w:pPr>
              <w:spacing w:after="0" w:line="240" w:lineRule="auto"/>
              <w:jc w:val="center"/>
              <w:rPr>
                <w:rFonts w:ascii="Arial" w:hAnsi="Arial" w:cs="Arial"/>
                <w:lang w:val="es-ES_tradnl"/>
              </w:rPr>
            </w:pPr>
            <w:r w:rsidRPr="00551E61">
              <w:rPr>
                <w:rFonts w:ascii="Arial" w:hAnsi="Arial" w:cs="Arial"/>
                <w:lang w:val="es-ES_tradnl"/>
              </w:rPr>
              <w:t>144.000</w:t>
            </w:r>
          </w:p>
        </w:tc>
        <w:tc>
          <w:tcPr>
            <w:tcW w:w="1402" w:type="dxa"/>
            <w:hideMark/>
          </w:tcPr>
          <w:p w:rsidR="00BC294F" w:rsidRPr="00551E61" w:rsidRDefault="00BC294F" w:rsidP="00BC294F">
            <w:pPr>
              <w:spacing w:after="0" w:line="240" w:lineRule="auto"/>
              <w:jc w:val="center"/>
              <w:rPr>
                <w:rFonts w:ascii="Arial" w:hAnsi="Arial" w:cs="Arial"/>
                <w:lang w:val="es-ES_tradnl"/>
              </w:rPr>
            </w:pPr>
            <w:r w:rsidRPr="00551E61">
              <w:rPr>
                <w:rFonts w:ascii="Arial" w:hAnsi="Arial" w:cs="Arial"/>
                <w:lang w:val="es-ES_tradnl"/>
              </w:rPr>
              <w:t>3</w:t>
            </w:r>
          </w:p>
        </w:tc>
        <w:tc>
          <w:tcPr>
            <w:tcW w:w="890" w:type="dxa"/>
            <w:hideMark/>
          </w:tcPr>
          <w:p w:rsidR="00BC294F" w:rsidRPr="00551E61" w:rsidRDefault="00BC294F" w:rsidP="00BC294F">
            <w:pPr>
              <w:spacing w:after="0" w:line="240" w:lineRule="auto"/>
              <w:jc w:val="center"/>
              <w:rPr>
                <w:rFonts w:ascii="Arial" w:hAnsi="Arial" w:cs="Arial"/>
                <w:lang w:val="es-ES_tradnl"/>
              </w:rPr>
            </w:pPr>
            <w:r w:rsidRPr="00551E61">
              <w:rPr>
                <w:rFonts w:ascii="Arial" w:hAnsi="Arial" w:cs="Arial"/>
                <w:lang w:val="es-ES_tradnl"/>
              </w:rPr>
              <w:t>1</w:t>
            </w:r>
          </w:p>
        </w:tc>
        <w:tc>
          <w:tcPr>
            <w:tcW w:w="1701" w:type="dxa"/>
            <w:hideMark/>
          </w:tcPr>
          <w:p w:rsidR="00BC294F" w:rsidRPr="00551E61" w:rsidRDefault="00BC294F" w:rsidP="00BC294F">
            <w:pPr>
              <w:spacing w:after="0" w:line="240" w:lineRule="auto"/>
              <w:jc w:val="center"/>
              <w:rPr>
                <w:rFonts w:ascii="Arial" w:hAnsi="Arial" w:cs="Arial"/>
                <w:lang w:val="es-ES_tradnl"/>
              </w:rPr>
            </w:pPr>
            <w:r w:rsidRPr="00551E61">
              <w:rPr>
                <w:rFonts w:ascii="Arial" w:hAnsi="Arial" w:cs="Arial"/>
                <w:lang w:val="es-ES_tradnl"/>
              </w:rPr>
              <w:t>213</w:t>
            </w:r>
          </w:p>
        </w:tc>
        <w:tc>
          <w:tcPr>
            <w:tcW w:w="1842" w:type="dxa"/>
            <w:hideMark/>
          </w:tcPr>
          <w:p w:rsidR="00BC294F" w:rsidRPr="00551E61" w:rsidRDefault="00BC294F" w:rsidP="00BC294F">
            <w:pPr>
              <w:spacing w:after="0" w:line="240" w:lineRule="auto"/>
              <w:jc w:val="center"/>
              <w:rPr>
                <w:rFonts w:ascii="Arial" w:hAnsi="Arial" w:cs="Arial"/>
                <w:lang w:val="es-ES_tradnl"/>
              </w:rPr>
            </w:pPr>
            <w:r w:rsidRPr="00551E61">
              <w:rPr>
                <w:rFonts w:ascii="Arial" w:hAnsi="Arial" w:cs="Arial"/>
                <w:lang w:val="es-ES_tradnl"/>
              </w:rPr>
              <w:t>Sin información</w:t>
            </w:r>
          </w:p>
        </w:tc>
      </w:tr>
    </w:tbl>
    <w:p w:rsidR="00EA3CD8" w:rsidRPr="00551E61" w:rsidRDefault="00E131F2" w:rsidP="00EA3CD8">
      <w:pPr>
        <w:rPr>
          <w:rFonts w:ascii="Arial" w:hAnsi="Arial" w:cs="Arial"/>
          <w:lang w:val="es-ES_tradnl"/>
        </w:rPr>
      </w:pPr>
      <w:r w:rsidRPr="00551E61">
        <w:rPr>
          <w:rFonts w:ascii="Arial" w:hAnsi="Arial" w:cs="Arial"/>
          <w:lang w:val="es-ES_tradnl"/>
        </w:rPr>
        <w:t>Fuente: Rolando (2016)</w:t>
      </w:r>
    </w:p>
    <w:p w:rsidR="00F36B1A" w:rsidRPr="00551E61" w:rsidRDefault="00F36B1A" w:rsidP="00EA3CD8">
      <w:pPr>
        <w:rPr>
          <w:rFonts w:ascii="Arial" w:hAnsi="Arial" w:cs="Arial"/>
          <w:lang w:val="es-ES_tradnl"/>
        </w:rPr>
      </w:pPr>
    </w:p>
    <w:p w:rsidR="00897440" w:rsidRPr="00551E61" w:rsidRDefault="00F36B1A" w:rsidP="00897440">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szCs w:val="22"/>
          <w:lang w:val="es-ES_tradnl"/>
        </w:rPr>
        <w:t>A manera de ejemplo, la cuota hipotecaria</w:t>
      </w:r>
      <w:r w:rsidR="003477F2" w:rsidRPr="00551E61">
        <w:rPr>
          <w:rFonts w:ascii="Arial" w:hAnsi="Arial" w:cs="Arial"/>
          <w:sz w:val="22"/>
          <w:szCs w:val="22"/>
          <w:lang w:val="es-ES_tradnl"/>
        </w:rPr>
        <w:t xml:space="preserve"> mensual</w:t>
      </w:r>
      <w:r w:rsidRPr="00551E61">
        <w:rPr>
          <w:rFonts w:ascii="Arial" w:hAnsi="Arial" w:cs="Arial"/>
          <w:sz w:val="22"/>
          <w:szCs w:val="22"/>
          <w:lang w:val="es-ES_tradnl"/>
        </w:rPr>
        <w:t xml:space="preserve"> necesaria para comprar una de estas viviendas tomando como base un pago inicial del 20%, una tasa hipotecaria del 12%</w:t>
      </w:r>
      <w:r w:rsidRPr="00551E61">
        <w:rPr>
          <w:rStyle w:val="FootnoteReference"/>
          <w:rFonts w:ascii="Arial" w:hAnsi="Arial" w:cs="Arial"/>
          <w:sz w:val="22"/>
          <w:szCs w:val="22"/>
          <w:lang w:val="es-ES_tradnl"/>
        </w:rPr>
        <w:footnoteReference w:id="7"/>
      </w:r>
      <w:r w:rsidRPr="00551E61">
        <w:rPr>
          <w:rFonts w:ascii="Arial" w:hAnsi="Arial" w:cs="Arial"/>
          <w:sz w:val="22"/>
          <w:szCs w:val="22"/>
          <w:lang w:val="es-ES_tradnl"/>
        </w:rPr>
        <w:t xml:space="preserve"> y 30 años de pago, estaría entre US$</w:t>
      </w:r>
      <w:r w:rsidR="006A09AD" w:rsidRPr="00551E61">
        <w:rPr>
          <w:rFonts w:ascii="Arial" w:hAnsi="Arial" w:cs="Arial"/>
          <w:sz w:val="22"/>
          <w:szCs w:val="22"/>
          <w:lang w:val="es-ES_tradnl"/>
        </w:rPr>
        <w:t xml:space="preserve"> </w:t>
      </w:r>
      <w:r w:rsidR="004C4B95" w:rsidRPr="00551E61">
        <w:rPr>
          <w:rFonts w:ascii="Arial" w:hAnsi="Arial" w:cs="Arial"/>
          <w:sz w:val="22"/>
          <w:szCs w:val="22"/>
          <w:lang w:val="es-ES_tradnl"/>
        </w:rPr>
        <w:t>624</w:t>
      </w:r>
      <w:r w:rsidRPr="00551E61">
        <w:rPr>
          <w:rFonts w:ascii="Arial" w:hAnsi="Arial" w:cs="Arial"/>
          <w:sz w:val="22"/>
          <w:szCs w:val="22"/>
          <w:lang w:val="es-ES_tradnl"/>
        </w:rPr>
        <w:t xml:space="preserve"> para la </w:t>
      </w:r>
      <w:r w:rsidR="00BE5420" w:rsidRPr="00551E61">
        <w:rPr>
          <w:rFonts w:ascii="Arial" w:hAnsi="Arial" w:cs="Arial"/>
          <w:sz w:val="22"/>
          <w:szCs w:val="22"/>
          <w:lang w:val="es-ES_tradnl"/>
        </w:rPr>
        <w:t>más</w:t>
      </w:r>
      <w:r w:rsidRPr="00551E61">
        <w:rPr>
          <w:rFonts w:ascii="Arial" w:hAnsi="Arial" w:cs="Arial"/>
          <w:sz w:val="22"/>
          <w:szCs w:val="22"/>
          <w:lang w:val="es-ES_tradnl"/>
        </w:rPr>
        <w:t xml:space="preserve"> barata y US$</w:t>
      </w:r>
      <w:r w:rsidR="006A09AD" w:rsidRPr="00551E61">
        <w:rPr>
          <w:rFonts w:ascii="Arial" w:hAnsi="Arial" w:cs="Arial"/>
          <w:sz w:val="22"/>
          <w:szCs w:val="22"/>
          <w:lang w:val="es-ES_tradnl"/>
        </w:rPr>
        <w:t xml:space="preserve"> </w:t>
      </w:r>
      <w:r w:rsidR="004C4B95" w:rsidRPr="00551E61">
        <w:rPr>
          <w:rFonts w:ascii="Arial" w:hAnsi="Arial" w:cs="Arial"/>
          <w:sz w:val="22"/>
          <w:szCs w:val="22"/>
          <w:lang w:val="es-ES_tradnl"/>
        </w:rPr>
        <w:t>1,512</w:t>
      </w:r>
      <w:r w:rsidR="00BE5420" w:rsidRPr="00551E61">
        <w:rPr>
          <w:rFonts w:ascii="Arial" w:hAnsi="Arial" w:cs="Arial"/>
          <w:sz w:val="22"/>
          <w:szCs w:val="22"/>
          <w:lang w:val="es-ES_tradnl"/>
        </w:rPr>
        <w:t xml:space="preserve"> para la más cara. Si </w:t>
      </w:r>
      <w:r w:rsidR="004C4B95" w:rsidRPr="00551E61">
        <w:rPr>
          <w:rFonts w:ascii="Arial" w:hAnsi="Arial" w:cs="Arial"/>
          <w:sz w:val="22"/>
          <w:szCs w:val="22"/>
          <w:lang w:val="es-ES_tradnl"/>
        </w:rPr>
        <w:t>por otro lado</w:t>
      </w:r>
      <w:r w:rsidR="00BE5420" w:rsidRPr="00551E61">
        <w:rPr>
          <w:rFonts w:ascii="Arial" w:hAnsi="Arial" w:cs="Arial"/>
          <w:sz w:val="22"/>
          <w:szCs w:val="22"/>
          <w:lang w:val="es-ES_tradnl"/>
        </w:rPr>
        <w:t xml:space="preserve"> tomamos el rendimiento promedio del alquiler formal, el cual de acuerdo a las fuentes consultadas puede estar en el orden de 7.2% anual</w:t>
      </w:r>
      <w:r w:rsidR="00BE5420" w:rsidRPr="00551E61">
        <w:rPr>
          <w:rStyle w:val="FootnoteReference"/>
          <w:rFonts w:ascii="Arial" w:hAnsi="Arial" w:cs="Arial"/>
          <w:sz w:val="22"/>
          <w:szCs w:val="22"/>
          <w:lang w:val="es-ES_tradnl"/>
        </w:rPr>
        <w:footnoteReference w:id="8"/>
      </w:r>
      <w:r w:rsidR="00BE5420" w:rsidRPr="00551E61">
        <w:rPr>
          <w:rFonts w:ascii="Arial" w:hAnsi="Arial" w:cs="Arial"/>
          <w:sz w:val="22"/>
          <w:szCs w:val="22"/>
          <w:lang w:val="es-ES_tradnl"/>
        </w:rPr>
        <w:t>, los cánones de renta de estas propiedades estarían entre US$</w:t>
      </w:r>
      <w:r w:rsidR="006A09AD" w:rsidRPr="00551E61">
        <w:rPr>
          <w:rFonts w:ascii="Arial" w:hAnsi="Arial" w:cs="Arial"/>
          <w:sz w:val="22"/>
          <w:szCs w:val="22"/>
          <w:lang w:val="es-ES_tradnl"/>
        </w:rPr>
        <w:t xml:space="preserve"> </w:t>
      </w:r>
      <w:r w:rsidR="00BE5420" w:rsidRPr="00551E61">
        <w:rPr>
          <w:rFonts w:ascii="Arial" w:hAnsi="Arial" w:cs="Arial"/>
          <w:sz w:val="22"/>
          <w:szCs w:val="22"/>
          <w:lang w:val="es-ES_tradnl"/>
        </w:rPr>
        <w:t>468 y US$</w:t>
      </w:r>
      <w:r w:rsidR="006A09AD" w:rsidRPr="00551E61">
        <w:rPr>
          <w:rFonts w:ascii="Arial" w:hAnsi="Arial" w:cs="Arial"/>
          <w:sz w:val="22"/>
          <w:szCs w:val="22"/>
          <w:lang w:val="es-ES_tradnl"/>
        </w:rPr>
        <w:t xml:space="preserve"> </w:t>
      </w:r>
      <w:r w:rsidR="00BE5420" w:rsidRPr="00551E61">
        <w:rPr>
          <w:rFonts w:ascii="Arial" w:hAnsi="Arial" w:cs="Arial"/>
          <w:sz w:val="22"/>
          <w:szCs w:val="22"/>
          <w:lang w:val="es-ES_tradnl"/>
        </w:rPr>
        <w:t xml:space="preserve">1,134. </w:t>
      </w:r>
      <w:r w:rsidR="003477F2" w:rsidRPr="00551E61">
        <w:rPr>
          <w:rFonts w:ascii="Arial" w:hAnsi="Arial" w:cs="Arial"/>
          <w:sz w:val="22"/>
          <w:szCs w:val="22"/>
          <w:lang w:val="es-ES_tradnl"/>
        </w:rPr>
        <w:t>Todos estos</w:t>
      </w:r>
      <w:r w:rsidR="00311234" w:rsidRPr="00551E61">
        <w:rPr>
          <w:rFonts w:ascii="Arial" w:hAnsi="Arial" w:cs="Arial"/>
          <w:sz w:val="22"/>
          <w:szCs w:val="22"/>
          <w:lang w:val="es-ES_tradnl"/>
        </w:rPr>
        <w:t xml:space="preserve"> valores</w:t>
      </w:r>
      <w:r w:rsidR="003477F2" w:rsidRPr="00551E61">
        <w:rPr>
          <w:rFonts w:ascii="Arial" w:hAnsi="Arial" w:cs="Arial"/>
          <w:sz w:val="22"/>
          <w:szCs w:val="22"/>
          <w:lang w:val="es-ES_tradnl"/>
        </w:rPr>
        <w:t>, tanto los de cuota hipotecaria como los de renta,</w:t>
      </w:r>
      <w:r w:rsidR="00311234" w:rsidRPr="00551E61">
        <w:rPr>
          <w:rFonts w:ascii="Arial" w:hAnsi="Arial" w:cs="Arial"/>
          <w:sz w:val="22"/>
          <w:szCs w:val="22"/>
          <w:lang w:val="es-ES_tradnl"/>
        </w:rPr>
        <w:t xml:space="preserve"> son más altos que el salario formal promedio en </w:t>
      </w:r>
      <w:r w:rsidR="003477F2" w:rsidRPr="00551E61">
        <w:rPr>
          <w:rFonts w:ascii="Arial" w:hAnsi="Arial" w:cs="Arial"/>
          <w:sz w:val="22"/>
          <w:szCs w:val="22"/>
          <w:lang w:val="es-ES_tradnl"/>
        </w:rPr>
        <w:t>República</w:t>
      </w:r>
      <w:r w:rsidR="00311234" w:rsidRPr="00551E61">
        <w:rPr>
          <w:rFonts w:ascii="Arial" w:hAnsi="Arial" w:cs="Arial"/>
          <w:sz w:val="22"/>
          <w:szCs w:val="22"/>
          <w:lang w:val="es-ES_tradnl"/>
        </w:rPr>
        <w:t xml:space="preserve"> Dominicana que se encuentra alrededor de US$ 350. </w:t>
      </w:r>
      <w:r w:rsidR="00DC28C5" w:rsidRPr="00551E61">
        <w:rPr>
          <w:rFonts w:ascii="Arial" w:hAnsi="Arial" w:cs="Arial"/>
          <w:sz w:val="22"/>
          <w:szCs w:val="22"/>
          <w:lang w:val="es-ES_tradnl"/>
        </w:rPr>
        <w:t>Más</w:t>
      </w:r>
      <w:r w:rsidR="00311234" w:rsidRPr="00551E61">
        <w:rPr>
          <w:rFonts w:ascii="Arial" w:hAnsi="Arial" w:cs="Arial"/>
          <w:sz w:val="22"/>
          <w:szCs w:val="22"/>
          <w:lang w:val="es-ES_tradnl"/>
        </w:rPr>
        <w:t xml:space="preserve"> aun</w:t>
      </w:r>
      <w:r w:rsidR="006A09AD" w:rsidRPr="00551E61">
        <w:rPr>
          <w:rFonts w:ascii="Arial" w:hAnsi="Arial" w:cs="Arial"/>
          <w:sz w:val="22"/>
          <w:szCs w:val="22"/>
          <w:lang w:val="es-ES_tradnl"/>
        </w:rPr>
        <w:t xml:space="preserve">, </w:t>
      </w:r>
      <w:r w:rsidR="00DC28C5" w:rsidRPr="00551E61">
        <w:rPr>
          <w:rFonts w:ascii="Arial" w:hAnsi="Arial" w:cs="Arial"/>
          <w:sz w:val="22"/>
          <w:szCs w:val="22"/>
          <w:lang w:val="es-ES_tradnl"/>
        </w:rPr>
        <w:t>solo el valor d</w:t>
      </w:r>
      <w:r w:rsidR="006A09AD" w:rsidRPr="00551E61">
        <w:rPr>
          <w:rFonts w:ascii="Arial" w:hAnsi="Arial" w:cs="Arial"/>
          <w:sz w:val="22"/>
          <w:szCs w:val="22"/>
          <w:lang w:val="es-ES_tradnl"/>
        </w:rPr>
        <w:t>el alquiler de la propiedad más barata es asequible</w:t>
      </w:r>
      <w:r w:rsidR="00897440" w:rsidRPr="00551E61">
        <w:rPr>
          <w:rFonts w:ascii="Arial" w:hAnsi="Arial" w:cs="Arial"/>
          <w:sz w:val="22"/>
          <w:szCs w:val="22"/>
          <w:lang w:val="es-ES_tradnl"/>
        </w:rPr>
        <w:t xml:space="preserve"> para el</w:t>
      </w:r>
      <w:r w:rsidR="00DC28C5" w:rsidRPr="00551E61">
        <w:rPr>
          <w:rFonts w:ascii="Arial" w:hAnsi="Arial" w:cs="Arial"/>
          <w:sz w:val="22"/>
          <w:szCs w:val="22"/>
          <w:lang w:val="es-ES_tradnl"/>
        </w:rPr>
        <w:t xml:space="preserve"> ingreso familiar mediano del</w:t>
      </w:r>
      <w:r w:rsidR="00897440" w:rsidRPr="00551E61">
        <w:rPr>
          <w:rFonts w:ascii="Arial" w:hAnsi="Arial" w:cs="Arial"/>
          <w:sz w:val="22"/>
          <w:szCs w:val="22"/>
          <w:lang w:val="es-ES_tradnl"/>
        </w:rPr>
        <w:t xml:space="preserve"> decil 10</w:t>
      </w:r>
      <w:r w:rsidR="00DC28C5" w:rsidRPr="00551E61">
        <w:rPr>
          <w:rFonts w:ascii="Arial" w:hAnsi="Arial" w:cs="Arial"/>
          <w:sz w:val="22"/>
          <w:szCs w:val="22"/>
          <w:lang w:val="es-ES_tradnl"/>
        </w:rPr>
        <w:t xml:space="preserve">. </w:t>
      </w:r>
      <w:r w:rsidR="006A09AD" w:rsidRPr="00551E61">
        <w:rPr>
          <w:rFonts w:ascii="Arial" w:hAnsi="Arial" w:cs="Arial"/>
          <w:sz w:val="22"/>
          <w:szCs w:val="22"/>
          <w:lang w:val="es-ES_tradnl"/>
        </w:rPr>
        <w:t>P</w:t>
      </w:r>
      <w:r w:rsidR="00897440" w:rsidRPr="00551E61">
        <w:rPr>
          <w:rFonts w:ascii="Arial" w:hAnsi="Arial" w:cs="Arial"/>
          <w:sz w:val="22"/>
          <w:szCs w:val="22"/>
          <w:lang w:val="es-ES_tradnl"/>
        </w:rPr>
        <w:t>or tanto</w:t>
      </w:r>
      <w:r w:rsidR="006A09AD" w:rsidRPr="00551E61">
        <w:rPr>
          <w:rFonts w:ascii="Arial" w:hAnsi="Arial" w:cs="Arial"/>
          <w:sz w:val="22"/>
          <w:szCs w:val="22"/>
          <w:lang w:val="es-ES_tradnl"/>
        </w:rPr>
        <w:t>, estas propiedades</w:t>
      </w:r>
      <w:r w:rsidR="00897440" w:rsidRPr="00551E61">
        <w:rPr>
          <w:rFonts w:ascii="Arial" w:hAnsi="Arial" w:cs="Arial"/>
          <w:sz w:val="22"/>
          <w:szCs w:val="22"/>
          <w:lang w:val="es-ES_tradnl"/>
        </w:rPr>
        <w:t xml:space="preserve"> </w:t>
      </w:r>
      <w:r w:rsidR="006A09AD" w:rsidRPr="00551E61">
        <w:rPr>
          <w:rFonts w:ascii="Arial" w:hAnsi="Arial" w:cs="Arial"/>
          <w:sz w:val="22"/>
          <w:szCs w:val="22"/>
          <w:lang w:val="es-ES_tradnl"/>
        </w:rPr>
        <w:t>están</w:t>
      </w:r>
      <w:r w:rsidR="00897440" w:rsidRPr="00551E61">
        <w:rPr>
          <w:rFonts w:ascii="Arial" w:hAnsi="Arial" w:cs="Arial"/>
          <w:sz w:val="22"/>
          <w:szCs w:val="22"/>
          <w:lang w:val="es-ES_tradnl"/>
        </w:rPr>
        <w:t xml:space="preserve"> fuera del alcance para </w:t>
      </w:r>
      <w:r w:rsidR="006A09AD" w:rsidRPr="00551E61">
        <w:rPr>
          <w:rFonts w:ascii="Arial" w:hAnsi="Arial" w:cs="Arial"/>
          <w:sz w:val="22"/>
          <w:szCs w:val="22"/>
          <w:lang w:val="es-ES_tradnl"/>
        </w:rPr>
        <w:t>más d</w:t>
      </w:r>
      <w:r w:rsidR="00897440" w:rsidRPr="00551E61">
        <w:rPr>
          <w:rFonts w:ascii="Arial" w:hAnsi="Arial" w:cs="Arial"/>
          <w:sz w:val="22"/>
          <w:szCs w:val="22"/>
          <w:lang w:val="es-ES_tradnl"/>
        </w:rPr>
        <w:t>el 90% de las familias domini</w:t>
      </w:r>
      <w:r w:rsidR="00DC28C5" w:rsidRPr="00551E61">
        <w:rPr>
          <w:rFonts w:ascii="Arial" w:hAnsi="Arial" w:cs="Arial"/>
          <w:sz w:val="22"/>
          <w:szCs w:val="22"/>
          <w:lang w:val="es-ES_tradnl"/>
        </w:rPr>
        <w:t>canas como lo muestra la tabla 4</w:t>
      </w:r>
      <w:r w:rsidR="00897440" w:rsidRPr="00551E61">
        <w:rPr>
          <w:rFonts w:ascii="Arial" w:hAnsi="Arial" w:cs="Arial"/>
          <w:sz w:val="22"/>
          <w:szCs w:val="22"/>
          <w:lang w:val="es-ES_tradnl"/>
        </w:rPr>
        <w:t>. Esta t</w:t>
      </w:r>
      <w:r w:rsidR="00DC28C5" w:rsidRPr="00551E61">
        <w:rPr>
          <w:rFonts w:ascii="Arial" w:hAnsi="Arial" w:cs="Arial"/>
          <w:sz w:val="22"/>
          <w:szCs w:val="22"/>
          <w:lang w:val="es-ES_tradnl"/>
        </w:rPr>
        <w:t>abla presenta el valor máximo que podría alcanzar una</w:t>
      </w:r>
      <w:r w:rsidR="00897440" w:rsidRPr="00551E61">
        <w:rPr>
          <w:rFonts w:ascii="Arial" w:hAnsi="Arial" w:cs="Arial"/>
          <w:sz w:val="22"/>
          <w:szCs w:val="22"/>
          <w:lang w:val="es-ES_tradnl"/>
        </w:rPr>
        <w:t xml:space="preserve"> cuota hipotecaria</w:t>
      </w:r>
      <w:r w:rsidR="006A09AD" w:rsidRPr="00551E61">
        <w:rPr>
          <w:rFonts w:ascii="Arial" w:hAnsi="Arial" w:cs="Arial"/>
          <w:sz w:val="22"/>
          <w:szCs w:val="22"/>
          <w:lang w:val="es-ES_tradnl"/>
        </w:rPr>
        <w:t xml:space="preserve"> o </w:t>
      </w:r>
      <w:r w:rsidR="00DC28C5" w:rsidRPr="00551E61">
        <w:rPr>
          <w:rFonts w:ascii="Arial" w:hAnsi="Arial" w:cs="Arial"/>
          <w:sz w:val="22"/>
          <w:szCs w:val="22"/>
          <w:lang w:val="es-ES_tradnl"/>
        </w:rPr>
        <w:t xml:space="preserve">un </w:t>
      </w:r>
      <w:r w:rsidR="006A09AD" w:rsidRPr="00551E61">
        <w:rPr>
          <w:rFonts w:ascii="Arial" w:hAnsi="Arial" w:cs="Arial"/>
          <w:sz w:val="22"/>
          <w:szCs w:val="22"/>
          <w:lang w:val="es-ES_tradnl"/>
        </w:rPr>
        <w:t>canon de alquiler para que el gasto en</w:t>
      </w:r>
      <w:r w:rsidR="00897440" w:rsidRPr="00551E61">
        <w:rPr>
          <w:rFonts w:ascii="Arial" w:hAnsi="Arial" w:cs="Arial"/>
          <w:sz w:val="22"/>
          <w:szCs w:val="22"/>
          <w:lang w:val="es-ES_tradnl"/>
        </w:rPr>
        <w:t xml:space="preserve"> vivienda sea asequible de acuerdo al ingreso mensual de los hogares por decil (</w:t>
      </w:r>
      <w:r w:rsidR="006A09AD" w:rsidRPr="00551E61">
        <w:rPr>
          <w:rFonts w:ascii="Arial" w:hAnsi="Arial" w:cs="Arial"/>
          <w:sz w:val="22"/>
          <w:szCs w:val="22"/>
          <w:lang w:val="es-ES_tradnl"/>
        </w:rPr>
        <w:t xml:space="preserve">gasto </w:t>
      </w:r>
      <w:r w:rsidR="00897440" w:rsidRPr="00551E61">
        <w:rPr>
          <w:rFonts w:ascii="Arial" w:hAnsi="Arial" w:cs="Arial"/>
          <w:sz w:val="22"/>
          <w:szCs w:val="22"/>
          <w:lang w:val="es-ES_tradnl"/>
        </w:rPr>
        <w:t xml:space="preserve">asequible </w:t>
      </w:r>
      <w:r w:rsidR="006A09AD" w:rsidRPr="00551E61">
        <w:rPr>
          <w:rFonts w:ascii="Arial" w:hAnsi="Arial" w:cs="Arial"/>
          <w:sz w:val="22"/>
          <w:szCs w:val="22"/>
          <w:lang w:val="es-ES_tradnl"/>
        </w:rPr>
        <w:t xml:space="preserve">en vivienda </w:t>
      </w:r>
      <w:r w:rsidR="00897440" w:rsidRPr="00551E61">
        <w:rPr>
          <w:rFonts w:ascii="Arial" w:hAnsi="Arial" w:cs="Arial"/>
          <w:sz w:val="22"/>
          <w:szCs w:val="22"/>
          <w:lang w:val="es-ES_tradnl"/>
        </w:rPr>
        <w:t>se calcula como 30% del ingreso).</w:t>
      </w:r>
    </w:p>
    <w:p w:rsidR="00897440" w:rsidRPr="00551E61" w:rsidRDefault="00897440" w:rsidP="00897440">
      <w:pPr>
        <w:pStyle w:val="Paragraph"/>
        <w:ind w:left="720"/>
        <w:rPr>
          <w:rFonts w:ascii="Arial" w:hAnsi="Arial" w:cs="Arial"/>
          <w:sz w:val="22"/>
          <w:szCs w:val="22"/>
          <w:lang w:val="es-ES_tradnl"/>
        </w:rPr>
      </w:pPr>
    </w:p>
    <w:p w:rsidR="00897440" w:rsidRPr="00551E61" w:rsidRDefault="00897440" w:rsidP="00897440">
      <w:pPr>
        <w:spacing w:after="0"/>
        <w:jc w:val="center"/>
        <w:rPr>
          <w:rFonts w:ascii="Arial" w:eastAsia="Calibri" w:hAnsi="Arial" w:cs="Arial"/>
          <w:lang w:val="es-PE"/>
        </w:rPr>
      </w:pPr>
      <w:r w:rsidRPr="00551E61">
        <w:rPr>
          <w:rFonts w:ascii="Arial" w:eastAsia="Calibri" w:hAnsi="Arial" w:cs="Arial"/>
          <w:lang w:val="es-PE"/>
        </w:rPr>
        <w:t>Tabla 4 Ingresos Familiares Mensuales en República Dominicana (2014)</w:t>
      </w:r>
    </w:p>
    <w:tbl>
      <w:tblPr>
        <w:tblStyle w:val="Tablaconcuadrcula5"/>
        <w:tblW w:w="0" w:type="auto"/>
        <w:jc w:val="center"/>
        <w:tblInd w:w="0" w:type="dxa"/>
        <w:tblLook w:val="04A0" w:firstRow="1" w:lastRow="0" w:firstColumn="1" w:lastColumn="0" w:noHBand="0" w:noVBand="1"/>
      </w:tblPr>
      <w:tblGrid>
        <w:gridCol w:w="1668"/>
        <w:gridCol w:w="1701"/>
        <w:gridCol w:w="1701"/>
        <w:gridCol w:w="1559"/>
      </w:tblGrid>
      <w:tr w:rsidR="00897440" w:rsidRPr="00551E61" w:rsidTr="00897440">
        <w:trPr>
          <w:jc w:val="center"/>
        </w:trPr>
        <w:tc>
          <w:tcPr>
            <w:tcW w:w="1668" w:type="dxa"/>
            <w:tcBorders>
              <w:top w:val="single" w:sz="4" w:space="0" w:color="auto"/>
              <w:left w:val="single" w:sz="4" w:space="0" w:color="auto"/>
              <w:bottom w:val="single" w:sz="4" w:space="0" w:color="auto"/>
              <w:right w:val="single" w:sz="4" w:space="0" w:color="auto"/>
            </w:tcBorders>
            <w:vAlign w:val="center"/>
            <w:hideMark/>
          </w:tcPr>
          <w:p w:rsidR="00897440" w:rsidRPr="00551E61" w:rsidRDefault="00897440">
            <w:pPr>
              <w:jc w:val="center"/>
              <w:rPr>
                <w:rFonts w:ascii="Arial" w:hAnsi="Arial" w:cs="Arial"/>
                <w:sz w:val="20"/>
                <w:szCs w:val="20"/>
              </w:rPr>
            </w:pPr>
            <w:r w:rsidRPr="00551E61">
              <w:rPr>
                <w:rFonts w:ascii="Arial" w:hAnsi="Arial" w:cs="Arial"/>
                <w:sz w:val="20"/>
                <w:szCs w:val="20"/>
              </w:rPr>
              <w:t>Deciles</w:t>
            </w:r>
          </w:p>
        </w:tc>
        <w:tc>
          <w:tcPr>
            <w:tcW w:w="1701" w:type="dxa"/>
            <w:tcBorders>
              <w:top w:val="single" w:sz="4" w:space="0" w:color="auto"/>
              <w:left w:val="single" w:sz="4" w:space="0" w:color="auto"/>
              <w:bottom w:val="single" w:sz="4" w:space="0" w:color="auto"/>
              <w:right w:val="single" w:sz="4" w:space="0" w:color="auto"/>
            </w:tcBorders>
            <w:vAlign w:val="center"/>
            <w:hideMark/>
          </w:tcPr>
          <w:p w:rsidR="00897440" w:rsidRPr="00551E61" w:rsidRDefault="00897440">
            <w:pPr>
              <w:jc w:val="center"/>
              <w:rPr>
                <w:rFonts w:ascii="Arial" w:hAnsi="Arial" w:cs="Arial"/>
                <w:sz w:val="20"/>
                <w:szCs w:val="20"/>
              </w:rPr>
            </w:pPr>
            <w:r w:rsidRPr="00551E61">
              <w:rPr>
                <w:rFonts w:ascii="Arial" w:hAnsi="Arial" w:cs="Arial"/>
                <w:sz w:val="20"/>
                <w:szCs w:val="20"/>
              </w:rPr>
              <w:t>Mediana RD $</w:t>
            </w:r>
          </w:p>
        </w:tc>
        <w:tc>
          <w:tcPr>
            <w:tcW w:w="1701" w:type="dxa"/>
            <w:tcBorders>
              <w:top w:val="single" w:sz="4" w:space="0" w:color="auto"/>
              <w:left w:val="single" w:sz="4" w:space="0" w:color="auto"/>
              <w:bottom w:val="single" w:sz="4" w:space="0" w:color="auto"/>
              <w:right w:val="single" w:sz="4" w:space="0" w:color="auto"/>
            </w:tcBorders>
            <w:vAlign w:val="center"/>
            <w:hideMark/>
          </w:tcPr>
          <w:p w:rsidR="00897440" w:rsidRPr="00551E61" w:rsidRDefault="00897440">
            <w:pPr>
              <w:jc w:val="center"/>
              <w:rPr>
                <w:rFonts w:ascii="Arial" w:hAnsi="Arial" w:cs="Arial"/>
                <w:sz w:val="20"/>
                <w:szCs w:val="20"/>
              </w:rPr>
            </w:pPr>
            <w:r w:rsidRPr="00551E61">
              <w:rPr>
                <w:rFonts w:ascii="Arial" w:hAnsi="Arial" w:cs="Arial"/>
                <w:sz w:val="20"/>
                <w:szCs w:val="20"/>
              </w:rPr>
              <w:t>US$</w:t>
            </w:r>
          </w:p>
        </w:tc>
        <w:tc>
          <w:tcPr>
            <w:tcW w:w="1559" w:type="dxa"/>
            <w:tcBorders>
              <w:top w:val="single" w:sz="4" w:space="0" w:color="auto"/>
              <w:left w:val="single" w:sz="4" w:space="0" w:color="auto"/>
              <w:bottom w:val="single" w:sz="4" w:space="0" w:color="auto"/>
              <w:right w:val="single" w:sz="4" w:space="0" w:color="auto"/>
            </w:tcBorders>
            <w:vAlign w:val="center"/>
            <w:hideMark/>
          </w:tcPr>
          <w:p w:rsidR="00897440" w:rsidRPr="00551E61" w:rsidRDefault="00897440">
            <w:pPr>
              <w:jc w:val="center"/>
              <w:rPr>
                <w:rFonts w:ascii="Arial" w:hAnsi="Arial" w:cs="Arial"/>
                <w:sz w:val="20"/>
                <w:szCs w:val="20"/>
              </w:rPr>
            </w:pPr>
            <w:r w:rsidRPr="00551E61">
              <w:rPr>
                <w:rFonts w:ascii="Arial" w:hAnsi="Arial" w:cs="Arial"/>
                <w:sz w:val="20"/>
                <w:szCs w:val="20"/>
              </w:rPr>
              <w:t>30% de Mediana</w:t>
            </w:r>
          </w:p>
        </w:tc>
      </w:tr>
      <w:tr w:rsidR="00897440" w:rsidRPr="00551E61" w:rsidTr="00897440">
        <w:trPr>
          <w:jc w:val="center"/>
        </w:trPr>
        <w:tc>
          <w:tcPr>
            <w:tcW w:w="1668" w:type="dxa"/>
            <w:tcBorders>
              <w:top w:val="single" w:sz="4" w:space="0" w:color="auto"/>
              <w:left w:val="single" w:sz="4" w:space="0" w:color="auto"/>
              <w:bottom w:val="single" w:sz="4" w:space="0" w:color="auto"/>
              <w:right w:val="single" w:sz="4" w:space="0" w:color="auto"/>
            </w:tcBorders>
            <w:hideMark/>
          </w:tcPr>
          <w:p w:rsidR="00897440" w:rsidRPr="00551E61" w:rsidRDefault="00897440">
            <w:pPr>
              <w:jc w:val="center"/>
              <w:rPr>
                <w:rFonts w:ascii="Arial" w:hAnsi="Arial" w:cs="Arial"/>
                <w:sz w:val="20"/>
                <w:szCs w:val="20"/>
              </w:rPr>
            </w:pPr>
            <w:r w:rsidRPr="00551E61">
              <w:rPr>
                <w:rFonts w:ascii="Arial" w:hAnsi="Arial" w:cs="Arial"/>
                <w:sz w:val="20"/>
                <w:szCs w:val="20"/>
              </w:rPr>
              <w:t>1</w:t>
            </w:r>
          </w:p>
        </w:tc>
        <w:tc>
          <w:tcPr>
            <w:tcW w:w="1701" w:type="dxa"/>
            <w:tcBorders>
              <w:top w:val="single" w:sz="4" w:space="0" w:color="auto"/>
              <w:left w:val="single" w:sz="4" w:space="0" w:color="auto"/>
              <w:bottom w:val="single" w:sz="4" w:space="0" w:color="auto"/>
              <w:right w:val="single" w:sz="4" w:space="0" w:color="auto"/>
            </w:tcBorders>
            <w:hideMark/>
          </w:tcPr>
          <w:p w:rsidR="00897440" w:rsidRPr="00551E61" w:rsidRDefault="00897440">
            <w:pPr>
              <w:jc w:val="center"/>
              <w:rPr>
                <w:rFonts w:ascii="Arial" w:hAnsi="Arial" w:cs="Arial"/>
                <w:sz w:val="20"/>
                <w:szCs w:val="20"/>
              </w:rPr>
            </w:pPr>
            <w:r w:rsidRPr="00551E61">
              <w:rPr>
                <w:rFonts w:ascii="Arial" w:hAnsi="Arial" w:cs="Arial"/>
                <w:sz w:val="20"/>
                <w:szCs w:val="20"/>
              </w:rPr>
              <w:t>5,565</w:t>
            </w:r>
          </w:p>
        </w:tc>
        <w:tc>
          <w:tcPr>
            <w:tcW w:w="1701" w:type="dxa"/>
            <w:tcBorders>
              <w:top w:val="single" w:sz="4" w:space="0" w:color="auto"/>
              <w:left w:val="single" w:sz="4" w:space="0" w:color="auto"/>
              <w:bottom w:val="single" w:sz="4" w:space="0" w:color="auto"/>
              <w:right w:val="single" w:sz="4" w:space="0" w:color="auto"/>
            </w:tcBorders>
            <w:hideMark/>
          </w:tcPr>
          <w:p w:rsidR="00897440" w:rsidRPr="00551E61" w:rsidRDefault="00897440">
            <w:pPr>
              <w:jc w:val="center"/>
              <w:rPr>
                <w:rFonts w:ascii="Arial" w:hAnsi="Arial" w:cs="Arial"/>
                <w:sz w:val="20"/>
                <w:szCs w:val="20"/>
              </w:rPr>
            </w:pPr>
            <w:r w:rsidRPr="00551E61">
              <w:rPr>
                <w:rFonts w:ascii="Arial" w:hAnsi="Arial" w:cs="Arial"/>
                <w:sz w:val="20"/>
                <w:szCs w:val="20"/>
              </w:rPr>
              <w:t>123</w:t>
            </w:r>
          </w:p>
        </w:tc>
        <w:tc>
          <w:tcPr>
            <w:tcW w:w="1559" w:type="dxa"/>
            <w:tcBorders>
              <w:top w:val="single" w:sz="4" w:space="0" w:color="auto"/>
              <w:left w:val="single" w:sz="4" w:space="0" w:color="auto"/>
              <w:bottom w:val="single" w:sz="4" w:space="0" w:color="auto"/>
              <w:right w:val="single" w:sz="4" w:space="0" w:color="auto"/>
            </w:tcBorders>
            <w:hideMark/>
          </w:tcPr>
          <w:p w:rsidR="00897440" w:rsidRPr="00551E61" w:rsidRDefault="00897440">
            <w:pPr>
              <w:jc w:val="center"/>
              <w:rPr>
                <w:rFonts w:ascii="Arial" w:hAnsi="Arial" w:cs="Arial"/>
                <w:sz w:val="20"/>
                <w:szCs w:val="20"/>
              </w:rPr>
            </w:pPr>
            <w:r w:rsidRPr="00551E61">
              <w:rPr>
                <w:rFonts w:ascii="Arial" w:hAnsi="Arial" w:cs="Arial"/>
                <w:sz w:val="20"/>
                <w:szCs w:val="20"/>
              </w:rPr>
              <w:t>37</w:t>
            </w:r>
          </w:p>
        </w:tc>
      </w:tr>
      <w:tr w:rsidR="00897440" w:rsidRPr="00551E61" w:rsidTr="00897440">
        <w:trPr>
          <w:jc w:val="center"/>
        </w:trPr>
        <w:tc>
          <w:tcPr>
            <w:tcW w:w="1668" w:type="dxa"/>
            <w:tcBorders>
              <w:top w:val="single" w:sz="4" w:space="0" w:color="auto"/>
              <w:left w:val="single" w:sz="4" w:space="0" w:color="auto"/>
              <w:bottom w:val="single" w:sz="4" w:space="0" w:color="auto"/>
              <w:right w:val="single" w:sz="4" w:space="0" w:color="auto"/>
            </w:tcBorders>
            <w:hideMark/>
          </w:tcPr>
          <w:p w:rsidR="00897440" w:rsidRPr="00551E61" w:rsidRDefault="00897440">
            <w:pPr>
              <w:jc w:val="center"/>
              <w:rPr>
                <w:rFonts w:ascii="Arial" w:hAnsi="Arial" w:cs="Arial"/>
                <w:sz w:val="20"/>
                <w:szCs w:val="20"/>
              </w:rPr>
            </w:pPr>
            <w:r w:rsidRPr="00551E61">
              <w:rPr>
                <w:rFonts w:ascii="Arial" w:hAnsi="Arial" w:cs="Arial"/>
                <w:sz w:val="20"/>
                <w:szCs w:val="20"/>
              </w:rPr>
              <w:t>2</w:t>
            </w:r>
          </w:p>
        </w:tc>
        <w:tc>
          <w:tcPr>
            <w:tcW w:w="1701" w:type="dxa"/>
            <w:tcBorders>
              <w:top w:val="single" w:sz="4" w:space="0" w:color="auto"/>
              <w:left w:val="single" w:sz="4" w:space="0" w:color="auto"/>
              <w:bottom w:val="single" w:sz="4" w:space="0" w:color="auto"/>
              <w:right w:val="single" w:sz="4" w:space="0" w:color="auto"/>
            </w:tcBorders>
            <w:hideMark/>
          </w:tcPr>
          <w:p w:rsidR="00897440" w:rsidRPr="00551E61" w:rsidRDefault="00897440">
            <w:pPr>
              <w:jc w:val="center"/>
              <w:rPr>
                <w:rFonts w:ascii="Arial" w:hAnsi="Arial" w:cs="Arial"/>
                <w:sz w:val="20"/>
                <w:szCs w:val="20"/>
              </w:rPr>
            </w:pPr>
            <w:r w:rsidRPr="00551E61">
              <w:rPr>
                <w:rFonts w:ascii="Arial" w:hAnsi="Arial" w:cs="Arial"/>
                <w:sz w:val="20"/>
                <w:szCs w:val="20"/>
              </w:rPr>
              <w:t>9,000</w:t>
            </w:r>
          </w:p>
        </w:tc>
        <w:tc>
          <w:tcPr>
            <w:tcW w:w="1701" w:type="dxa"/>
            <w:tcBorders>
              <w:top w:val="single" w:sz="4" w:space="0" w:color="auto"/>
              <w:left w:val="single" w:sz="4" w:space="0" w:color="auto"/>
              <w:bottom w:val="single" w:sz="4" w:space="0" w:color="auto"/>
              <w:right w:val="single" w:sz="4" w:space="0" w:color="auto"/>
            </w:tcBorders>
            <w:hideMark/>
          </w:tcPr>
          <w:p w:rsidR="00897440" w:rsidRPr="00551E61" w:rsidRDefault="00897440">
            <w:pPr>
              <w:jc w:val="center"/>
              <w:rPr>
                <w:rFonts w:ascii="Arial" w:hAnsi="Arial" w:cs="Arial"/>
                <w:sz w:val="20"/>
                <w:szCs w:val="20"/>
              </w:rPr>
            </w:pPr>
            <w:r w:rsidRPr="00551E61">
              <w:rPr>
                <w:rFonts w:ascii="Arial" w:hAnsi="Arial" w:cs="Arial"/>
                <w:sz w:val="20"/>
                <w:szCs w:val="20"/>
              </w:rPr>
              <w:t>250</w:t>
            </w:r>
          </w:p>
        </w:tc>
        <w:tc>
          <w:tcPr>
            <w:tcW w:w="1559" w:type="dxa"/>
            <w:tcBorders>
              <w:top w:val="single" w:sz="4" w:space="0" w:color="auto"/>
              <w:left w:val="single" w:sz="4" w:space="0" w:color="auto"/>
              <w:bottom w:val="single" w:sz="4" w:space="0" w:color="auto"/>
              <w:right w:val="single" w:sz="4" w:space="0" w:color="auto"/>
            </w:tcBorders>
            <w:hideMark/>
          </w:tcPr>
          <w:p w:rsidR="00897440" w:rsidRPr="00551E61" w:rsidRDefault="00897440">
            <w:pPr>
              <w:jc w:val="center"/>
              <w:rPr>
                <w:rFonts w:ascii="Arial" w:hAnsi="Arial" w:cs="Arial"/>
                <w:sz w:val="20"/>
                <w:szCs w:val="20"/>
              </w:rPr>
            </w:pPr>
            <w:r w:rsidRPr="00551E61">
              <w:rPr>
                <w:rFonts w:ascii="Arial" w:hAnsi="Arial" w:cs="Arial"/>
                <w:sz w:val="20"/>
                <w:szCs w:val="20"/>
              </w:rPr>
              <w:t>60</w:t>
            </w:r>
          </w:p>
        </w:tc>
      </w:tr>
      <w:tr w:rsidR="00897440" w:rsidRPr="00551E61" w:rsidTr="00897440">
        <w:trPr>
          <w:jc w:val="center"/>
        </w:trPr>
        <w:tc>
          <w:tcPr>
            <w:tcW w:w="1668" w:type="dxa"/>
            <w:tcBorders>
              <w:top w:val="single" w:sz="4" w:space="0" w:color="auto"/>
              <w:left w:val="single" w:sz="4" w:space="0" w:color="auto"/>
              <w:bottom w:val="single" w:sz="4" w:space="0" w:color="auto"/>
              <w:right w:val="single" w:sz="4" w:space="0" w:color="auto"/>
            </w:tcBorders>
            <w:hideMark/>
          </w:tcPr>
          <w:p w:rsidR="00897440" w:rsidRPr="00551E61" w:rsidRDefault="00897440">
            <w:pPr>
              <w:jc w:val="center"/>
              <w:rPr>
                <w:rFonts w:ascii="Arial" w:hAnsi="Arial" w:cs="Arial"/>
                <w:sz w:val="20"/>
                <w:szCs w:val="20"/>
              </w:rPr>
            </w:pPr>
            <w:r w:rsidRPr="00551E61">
              <w:rPr>
                <w:rFonts w:ascii="Arial" w:hAnsi="Arial" w:cs="Arial"/>
                <w:sz w:val="20"/>
                <w:szCs w:val="20"/>
              </w:rPr>
              <w:t>3</w:t>
            </w:r>
          </w:p>
        </w:tc>
        <w:tc>
          <w:tcPr>
            <w:tcW w:w="1701" w:type="dxa"/>
            <w:tcBorders>
              <w:top w:val="single" w:sz="4" w:space="0" w:color="auto"/>
              <w:left w:val="single" w:sz="4" w:space="0" w:color="auto"/>
              <w:bottom w:val="single" w:sz="4" w:space="0" w:color="auto"/>
              <w:right w:val="single" w:sz="4" w:space="0" w:color="auto"/>
            </w:tcBorders>
            <w:hideMark/>
          </w:tcPr>
          <w:p w:rsidR="00897440" w:rsidRPr="00551E61" w:rsidRDefault="00897440">
            <w:pPr>
              <w:jc w:val="center"/>
              <w:rPr>
                <w:rFonts w:ascii="Arial" w:hAnsi="Arial" w:cs="Arial"/>
                <w:sz w:val="20"/>
                <w:szCs w:val="20"/>
              </w:rPr>
            </w:pPr>
            <w:r w:rsidRPr="00551E61">
              <w:rPr>
                <w:rFonts w:ascii="Arial" w:hAnsi="Arial" w:cs="Arial"/>
                <w:sz w:val="20"/>
                <w:szCs w:val="20"/>
              </w:rPr>
              <w:t>12,000</w:t>
            </w:r>
          </w:p>
        </w:tc>
        <w:tc>
          <w:tcPr>
            <w:tcW w:w="1701" w:type="dxa"/>
            <w:tcBorders>
              <w:top w:val="single" w:sz="4" w:space="0" w:color="auto"/>
              <w:left w:val="single" w:sz="4" w:space="0" w:color="auto"/>
              <w:bottom w:val="single" w:sz="4" w:space="0" w:color="auto"/>
              <w:right w:val="single" w:sz="4" w:space="0" w:color="auto"/>
            </w:tcBorders>
            <w:hideMark/>
          </w:tcPr>
          <w:p w:rsidR="00897440" w:rsidRPr="00551E61" w:rsidRDefault="00897440">
            <w:pPr>
              <w:jc w:val="center"/>
              <w:rPr>
                <w:rFonts w:ascii="Arial" w:hAnsi="Arial" w:cs="Arial"/>
                <w:sz w:val="20"/>
                <w:szCs w:val="20"/>
              </w:rPr>
            </w:pPr>
            <w:r w:rsidRPr="00551E61">
              <w:rPr>
                <w:rFonts w:ascii="Arial" w:hAnsi="Arial" w:cs="Arial"/>
                <w:sz w:val="20"/>
                <w:szCs w:val="20"/>
              </w:rPr>
              <w:t>266</w:t>
            </w:r>
          </w:p>
        </w:tc>
        <w:tc>
          <w:tcPr>
            <w:tcW w:w="1559" w:type="dxa"/>
            <w:tcBorders>
              <w:top w:val="single" w:sz="4" w:space="0" w:color="auto"/>
              <w:left w:val="single" w:sz="4" w:space="0" w:color="auto"/>
              <w:bottom w:val="single" w:sz="4" w:space="0" w:color="auto"/>
              <w:right w:val="single" w:sz="4" w:space="0" w:color="auto"/>
            </w:tcBorders>
            <w:hideMark/>
          </w:tcPr>
          <w:p w:rsidR="00897440" w:rsidRPr="00551E61" w:rsidRDefault="00897440">
            <w:pPr>
              <w:jc w:val="center"/>
              <w:rPr>
                <w:rFonts w:ascii="Arial" w:hAnsi="Arial" w:cs="Arial"/>
                <w:sz w:val="20"/>
                <w:szCs w:val="20"/>
              </w:rPr>
            </w:pPr>
            <w:r w:rsidRPr="00551E61">
              <w:rPr>
                <w:rFonts w:ascii="Arial" w:hAnsi="Arial" w:cs="Arial"/>
                <w:sz w:val="20"/>
                <w:szCs w:val="20"/>
              </w:rPr>
              <w:t>80</w:t>
            </w:r>
          </w:p>
        </w:tc>
      </w:tr>
      <w:tr w:rsidR="00897440" w:rsidRPr="00551E61" w:rsidTr="00897440">
        <w:trPr>
          <w:jc w:val="center"/>
        </w:trPr>
        <w:tc>
          <w:tcPr>
            <w:tcW w:w="1668" w:type="dxa"/>
            <w:tcBorders>
              <w:top w:val="single" w:sz="4" w:space="0" w:color="auto"/>
              <w:left w:val="single" w:sz="4" w:space="0" w:color="auto"/>
              <w:bottom w:val="single" w:sz="4" w:space="0" w:color="auto"/>
              <w:right w:val="single" w:sz="4" w:space="0" w:color="auto"/>
            </w:tcBorders>
            <w:hideMark/>
          </w:tcPr>
          <w:p w:rsidR="00897440" w:rsidRPr="00551E61" w:rsidRDefault="00897440">
            <w:pPr>
              <w:jc w:val="center"/>
              <w:rPr>
                <w:rFonts w:ascii="Arial" w:hAnsi="Arial" w:cs="Arial"/>
                <w:sz w:val="20"/>
                <w:szCs w:val="20"/>
              </w:rPr>
            </w:pPr>
            <w:r w:rsidRPr="00551E61">
              <w:rPr>
                <w:rFonts w:ascii="Arial" w:hAnsi="Arial" w:cs="Arial"/>
                <w:sz w:val="20"/>
                <w:szCs w:val="20"/>
              </w:rPr>
              <w:t>4</w:t>
            </w:r>
          </w:p>
        </w:tc>
        <w:tc>
          <w:tcPr>
            <w:tcW w:w="1701" w:type="dxa"/>
            <w:tcBorders>
              <w:top w:val="single" w:sz="4" w:space="0" w:color="auto"/>
              <w:left w:val="single" w:sz="4" w:space="0" w:color="auto"/>
              <w:bottom w:val="single" w:sz="4" w:space="0" w:color="auto"/>
              <w:right w:val="single" w:sz="4" w:space="0" w:color="auto"/>
            </w:tcBorders>
            <w:hideMark/>
          </w:tcPr>
          <w:p w:rsidR="00897440" w:rsidRPr="00551E61" w:rsidRDefault="00897440">
            <w:pPr>
              <w:jc w:val="center"/>
              <w:rPr>
                <w:rFonts w:ascii="Arial" w:hAnsi="Arial" w:cs="Arial"/>
                <w:sz w:val="20"/>
                <w:szCs w:val="20"/>
              </w:rPr>
            </w:pPr>
            <w:r w:rsidRPr="00551E61">
              <w:rPr>
                <w:rFonts w:ascii="Arial" w:hAnsi="Arial" w:cs="Arial"/>
                <w:sz w:val="20"/>
                <w:szCs w:val="20"/>
              </w:rPr>
              <w:t>15,231</w:t>
            </w:r>
          </w:p>
        </w:tc>
        <w:tc>
          <w:tcPr>
            <w:tcW w:w="1701" w:type="dxa"/>
            <w:tcBorders>
              <w:top w:val="single" w:sz="4" w:space="0" w:color="auto"/>
              <w:left w:val="single" w:sz="4" w:space="0" w:color="auto"/>
              <w:bottom w:val="single" w:sz="4" w:space="0" w:color="auto"/>
              <w:right w:val="single" w:sz="4" w:space="0" w:color="auto"/>
            </w:tcBorders>
            <w:hideMark/>
          </w:tcPr>
          <w:p w:rsidR="00897440" w:rsidRPr="00551E61" w:rsidRDefault="00897440">
            <w:pPr>
              <w:jc w:val="center"/>
              <w:rPr>
                <w:rFonts w:ascii="Arial" w:hAnsi="Arial" w:cs="Arial"/>
                <w:sz w:val="20"/>
                <w:szCs w:val="20"/>
              </w:rPr>
            </w:pPr>
            <w:r w:rsidRPr="00551E61">
              <w:rPr>
                <w:rFonts w:ascii="Arial" w:hAnsi="Arial" w:cs="Arial"/>
                <w:sz w:val="20"/>
                <w:szCs w:val="20"/>
              </w:rPr>
              <w:t>338</w:t>
            </w:r>
          </w:p>
        </w:tc>
        <w:tc>
          <w:tcPr>
            <w:tcW w:w="1559" w:type="dxa"/>
            <w:tcBorders>
              <w:top w:val="single" w:sz="4" w:space="0" w:color="auto"/>
              <w:left w:val="single" w:sz="4" w:space="0" w:color="auto"/>
              <w:bottom w:val="single" w:sz="4" w:space="0" w:color="auto"/>
              <w:right w:val="single" w:sz="4" w:space="0" w:color="auto"/>
            </w:tcBorders>
            <w:hideMark/>
          </w:tcPr>
          <w:p w:rsidR="00897440" w:rsidRPr="00551E61" w:rsidRDefault="00897440">
            <w:pPr>
              <w:jc w:val="center"/>
              <w:rPr>
                <w:rFonts w:ascii="Arial" w:hAnsi="Arial" w:cs="Arial"/>
                <w:sz w:val="20"/>
                <w:szCs w:val="20"/>
              </w:rPr>
            </w:pPr>
            <w:r w:rsidRPr="00551E61">
              <w:rPr>
                <w:rFonts w:ascii="Arial" w:hAnsi="Arial" w:cs="Arial"/>
                <w:sz w:val="20"/>
                <w:szCs w:val="20"/>
              </w:rPr>
              <w:t>101</w:t>
            </w:r>
          </w:p>
        </w:tc>
      </w:tr>
      <w:tr w:rsidR="00897440" w:rsidRPr="00551E61" w:rsidTr="00897440">
        <w:trPr>
          <w:jc w:val="center"/>
        </w:trPr>
        <w:tc>
          <w:tcPr>
            <w:tcW w:w="1668" w:type="dxa"/>
            <w:tcBorders>
              <w:top w:val="single" w:sz="4" w:space="0" w:color="auto"/>
              <w:left w:val="single" w:sz="4" w:space="0" w:color="auto"/>
              <w:bottom w:val="single" w:sz="4" w:space="0" w:color="auto"/>
              <w:right w:val="single" w:sz="4" w:space="0" w:color="auto"/>
            </w:tcBorders>
            <w:hideMark/>
          </w:tcPr>
          <w:p w:rsidR="00897440" w:rsidRPr="00551E61" w:rsidRDefault="00897440">
            <w:pPr>
              <w:jc w:val="center"/>
              <w:rPr>
                <w:rFonts w:ascii="Arial" w:hAnsi="Arial" w:cs="Arial"/>
                <w:sz w:val="20"/>
                <w:szCs w:val="20"/>
              </w:rPr>
            </w:pPr>
            <w:r w:rsidRPr="00551E61">
              <w:rPr>
                <w:rFonts w:ascii="Arial" w:hAnsi="Arial" w:cs="Arial"/>
                <w:sz w:val="20"/>
                <w:szCs w:val="20"/>
              </w:rPr>
              <w:t>5</w:t>
            </w:r>
          </w:p>
        </w:tc>
        <w:tc>
          <w:tcPr>
            <w:tcW w:w="1701" w:type="dxa"/>
            <w:tcBorders>
              <w:top w:val="single" w:sz="4" w:space="0" w:color="auto"/>
              <w:left w:val="single" w:sz="4" w:space="0" w:color="auto"/>
              <w:bottom w:val="single" w:sz="4" w:space="0" w:color="auto"/>
              <w:right w:val="single" w:sz="4" w:space="0" w:color="auto"/>
            </w:tcBorders>
            <w:hideMark/>
          </w:tcPr>
          <w:p w:rsidR="00897440" w:rsidRPr="00551E61" w:rsidRDefault="00897440">
            <w:pPr>
              <w:jc w:val="center"/>
              <w:rPr>
                <w:rFonts w:ascii="Arial" w:hAnsi="Arial" w:cs="Arial"/>
                <w:sz w:val="20"/>
                <w:szCs w:val="20"/>
              </w:rPr>
            </w:pPr>
            <w:r w:rsidRPr="00551E61">
              <w:rPr>
                <w:rFonts w:ascii="Arial" w:hAnsi="Arial" w:cs="Arial"/>
                <w:sz w:val="20"/>
                <w:szCs w:val="20"/>
              </w:rPr>
              <w:t>18,950</w:t>
            </w:r>
          </w:p>
        </w:tc>
        <w:tc>
          <w:tcPr>
            <w:tcW w:w="1701" w:type="dxa"/>
            <w:tcBorders>
              <w:top w:val="single" w:sz="4" w:space="0" w:color="auto"/>
              <w:left w:val="single" w:sz="4" w:space="0" w:color="auto"/>
              <w:bottom w:val="single" w:sz="4" w:space="0" w:color="auto"/>
              <w:right w:val="single" w:sz="4" w:space="0" w:color="auto"/>
            </w:tcBorders>
            <w:hideMark/>
          </w:tcPr>
          <w:p w:rsidR="00897440" w:rsidRPr="00551E61" w:rsidRDefault="00897440">
            <w:pPr>
              <w:jc w:val="center"/>
              <w:rPr>
                <w:rFonts w:ascii="Arial" w:hAnsi="Arial" w:cs="Arial"/>
                <w:sz w:val="20"/>
                <w:szCs w:val="20"/>
              </w:rPr>
            </w:pPr>
            <w:r w:rsidRPr="00551E61">
              <w:rPr>
                <w:rFonts w:ascii="Arial" w:hAnsi="Arial" w:cs="Arial"/>
                <w:sz w:val="20"/>
                <w:szCs w:val="20"/>
              </w:rPr>
              <w:t>421</w:t>
            </w:r>
          </w:p>
        </w:tc>
        <w:tc>
          <w:tcPr>
            <w:tcW w:w="1559" w:type="dxa"/>
            <w:tcBorders>
              <w:top w:val="single" w:sz="4" w:space="0" w:color="auto"/>
              <w:left w:val="single" w:sz="4" w:space="0" w:color="auto"/>
              <w:bottom w:val="single" w:sz="4" w:space="0" w:color="auto"/>
              <w:right w:val="single" w:sz="4" w:space="0" w:color="auto"/>
            </w:tcBorders>
            <w:hideMark/>
          </w:tcPr>
          <w:p w:rsidR="00897440" w:rsidRPr="00551E61" w:rsidRDefault="00897440">
            <w:pPr>
              <w:jc w:val="center"/>
              <w:rPr>
                <w:rFonts w:ascii="Arial" w:hAnsi="Arial" w:cs="Arial"/>
                <w:sz w:val="20"/>
                <w:szCs w:val="20"/>
              </w:rPr>
            </w:pPr>
            <w:r w:rsidRPr="00551E61">
              <w:rPr>
                <w:rFonts w:ascii="Arial" w:hAnsi="Arial" w:cs="Arial"/>
                <w:sz w:val="20"/>
                <w:szCs w:val="20"/>
              </w:rPr>
              <w:t>126</w:t>
            </w:r>
          </w:p>
        </w:tc>
      </w:tr>
      <w:tr w:rsidR="00897440" w:rsidRPr="00551E61" w:rsidTr="00897440">
        <w:trPr>
          <w:jc w:val="center"/>
        </w:trPr>
        <w:tc>
          <w:tcPr>
            <w:tcW w:w="1668" w:type="dxa"/>
            <w:tcBorders>
              <w:top w:val="single" w:sz="4" w:space="0" w:color="auto"/>
              <w:left w:val="single" w:sz="4" w:space="0" w:color="auto"/>
              <w:bottom w:val="single" w:sz="4" w:space="0" w:color="auto"/>
              <w:right w:val="single" w:sz="4" w:space="0" w:color="auto"/>
            </w:tcBorders>
            <w:hideMark/>
          </w:tcPr>
          <w:p w:rsidR="00897440" w:rsidRPr="00551E61" w:rsidRDefault="00897440">
            <w:pPr>
              <w:jc w:val="center"/>
              <w:rPr>
                <w:rFonts w:ascii="Arial" w:hAnsi="Arial" w:cs="Arial"/>
                <w:sz w:val="20"/>
                <w:szCs w:val="20"/>
              </w:rPr>
            </w:pPr>
            <w:r w:rsidRPr="00551E61">
              <w:rPr>
                <w:rFonts w:ascii="Arial" w:hAnsi="Arial" w:cs="Arial"/>
                <w:sz w:val="20"/>
                <w:szCs w:val="20"/>
              </w:rPr>
              <w:t>6</w:t>
            </w:r>
          </w:p>
        </w:tc>
        <w:tc>
          <w:tcPr>
            <w:tcW w:w="1701" w:type="dxa"/>
            <w:tcBorders>
              <w:top w:val="single" w:sz="4" w:space="0" w:color="auto"/>
              <w:left w:val="single" w:sz="4" w:space="0" w:color="auto"/>
              <w:bottom w:val="single" w:sz="4" w:space="0" w:color="auto"/>
              <w:right w:val="single" w:sz="4" w:space="0" w:color="auto"/>
            </w:tcBorders>
            <w:hideMark/>
          </w:tcPr>
          <w:p w:rsidR="00897440" w:rsidRPr="00551E61" w:rsidRDefault="00897440">
            <w:pPr>
              <w:jc w:val="center"/>
              <w:rPr>
                <w:rFonts w:ascii="Arial" w:hAnsi="Arial" w:cs="Arial"/>
                <w:sz w:val="20"/>
                <w:szCs w:val="20"/>
              </w:rPr>
            </w:pPr>
            <w:r w:rsidRPr="00551E61">
              <w:rPr>
                <w:rFonts w:ascii="Arial" w:hAnsi="Arial" w:cs="Arial"/>
                <w:sz w:val="20"/>
                <w:szCs w:val="20"/>
              </w:rPr>
              <w:t>23,315</w:t>
            </w:r>
          </w:p>
        </w:tc>
        <w:tc>
          <w:tcPr>
            <w:tcW w:w="1701" w:type="dxa"/>
            <w:tcBorders>
              <w:top w:val="single" w:sz="4" w:space="0" w:color="auto"/>
              <w:left w:val="single" w:sz="4" w:space="0" w:color="auto"/>
              <w:bottom w:val="single" w:sz="4" w:space="0" w:color="auto"/>
              <w:right w:val="single" w:sz="4" w:space="0" w:color="auto"/>
            </w:tcBorders>
            <w:hideMark/>
          </w:tcPr>
          <w:p w:rsidR="00897440" w:rsidRPr="00551E61" w:rsidRDefault="00897440">
            <w:pPr>
              <w:jc w:val="center"/>
              <w:rPr>
                <w:rFonts w:ascii="Arial" w:hAnsi="Arial" w:cs="Arial"/>
                <w:sz w:val="20"/>
                <w:szCs w:val="20"/>
              </w:rPr>
            </w:pPr>
            <w:r w:rsidRPr="00551E61">
              <w:rPr>
                <w:rFonts w:ascii="Arial" w:hAnsi="Arial" w:cs="Arial"/>
                <w:sz w:val="20"/>
                <w:szCs w:val="20"/>
              </w:rPr>
              <w:t>518</w:t>
            </w:r>
          </w:p>
        </w:tc>
        <w:tc>
          <w:tcPr>
            <w:tcW w:w="1559" w:type="dxa"/>
            <w:tcBorders>
              <w:top w:val="single" w:sz="4" w:space="0" w:color="auto"/>
              <w:left w:val="single" w:sz="4" w:space="0" w:color="auto"/>
              <w:bottom w:val="single" w:sz="4" w:space="0" w:color="auto"/>
              <w:right w:val="single" w:sz="4" w:space="0" w:color="auto"/>
            </w:tcBorders>
            <w:hideMark/>
          </w:tcPr>
          <w:p w:rsidR="00897440" w:rsidRPr="00551E61" w:rsidRDefault="00897440">
            <w:pPr>
              <w:jc w:val="center"/>
              <w:rPr>
                <w:rFonts w:ascii="Arial" w:hAnsi="Arial" w:cs="Arial"/>
                <w:sz w:val="20"/>
                <w:szCs w:val="20"/>
              </w:rPr>
            </w:pPr>
            <w:r w:rsidRPr="00551E61">
              <w:rPr>
                <w:rFonts w:ascii="Arial" w:hAnsi="Arial" w:cs="Arial"/>
                <w:sz w:val="20"/>
                <w:szCs w:val="20"/>
              </w:rPr>
              <w:t>155</w:t>
            </w:r>
          </w:p>
        </w:tc>
      </w:tr>
      <w:tr w:rsidR="00897440" w:rsidRPr="00551E61" w:rsidTr="00897440">
        <w:trPr>
          <w:jc w:val="center"/>
        </w:trPr>
        <w:tc>
          <w:tcPr>
            <w:tcW w:w="1668" w:type="dxa"/>
            <w:tcBorders>
              <w:top w:val="single" w:sz="4" w:space="0" w:color="auto"/>
              <w:left w:val="single" w:sz="4" w:space="0" w:color="auto"/>
              <w:bottom w:val="single" w:sz="4" w:space="0" w:color="auto"/>
              <w:right w:val="single" w:sz="4" w:space="0" w:color="auto"/>
            </w:tcBorders>
            <w:hideMark/>
          </w:tcPr>
          <w:p w:rsidR="00897440" w:rsidRPr="00551E61" w:rsidRDefault="00897440">
            <w:pPr>
              <w:jc w:val="center"/>
              <w:rPr>
                <w:rFonts w:ascii="Arial" w:hAnsi="Arial" w:cs="Arial"/>
                <w:sz w:val="20"/>
                <w:szCs w:val="20"/>
              </w:rPr>
            </w:pPr>
            <w:r w:rsidRPr="00551E61">
              <w:rPr>
                <w:rFonts w:ascii="Arial" w:hAnsi="Arial" w:cs="Arial"/>
                <w:sz w:val="20"/>
                <w:szCs w:val="20"/>
              </w:rPr>
              <w:t>7</w:t>
            </w:r>
          </w:p>
        </w:tc>
        <w:tc>
          <w:tcPr>
            <w:tcW w:w="1701" w:type="dxa"/>
            <w:tcBorders>
              <w:top w:val="single" w:sz="4" w:space="0" w:color="auto"/>
              <w:left w:val="single" w:sz="4" w:space="0" w:color="auto"/>
              <w:bottom w:val="single" w:sz="4" w:space="0" w:color="auto"/>
              <w:right w:val="single" w:sz="4" w:space="0" w:color="auto"/>
            </w:tcBorders>
            <w:hideMark/>
          </w:tcPr>
          <w:p w:rsidR="00897440" w:rsidRPr="00551E61" w:rsidRDefault="00897440">
            <w:pPr>
              <w:jc w:val="center"/>
              <w:rPr>
                <w:rFonts w:ascii="Arial" w:hAnsi="Arial" w:cs="Arial"/>
                <w:sz w:val="20"/>
                <w:szCs w:val="20"/>
              </w:rPr>
            </w:pPr>
            <w:r w:rsidRPr="00551E61">
              <w:rPr>
                <w:rFonts w:ascii="Arial" w:hAnsi="Arial" w:cs="Arial"/>
                <w:sz w:val="20"/>
                <w:szCs w:val="20"/>
              </w:rPr>
              <w:t>28,645</w:t>
            </w:r>
          </w:p>
        </w:tc>
        <w:tc>
          <w:tcPr>
            <w:tcW w:w="1701" w:type="dxa"/>
            <w:tcBorders>
              <w:top w:val="single" w:sz="4" w:space="0" w:color="auto"/>
              <w:left w:val="single" w:sz="4" w:space="0" w:color="auto"/>
              <w:bottom w:val="single" w:sz="4" w:space="0" w:color="auto"/>
              <w:right w:val="single" w:sz="4" w:space="0" w:color="auto"/>
            </w:tcBorders>
            <w:hideMark/>
          </w:tcPr>
          <w:p w:rsidR="00897440" w:rsidRPr="00551E61" w:rsidRDefault="00897440">
            <w:pPr>
              <w:jc w:val="center"/>
              <w:rPr>
                <w:rFonts w:ascii="Arial" w:hAnsi="Arial" w:cs="Arial"/>
                <w:sz w:val="20"/>
                <w:szCs w:val="20"/>
              </w:rPr>
            </w:pPr>
            <w:r w:rsidRPr="00551E61">
              <w:rPr>
                <w:rFonts w:ascii="Arial" w:hAnsi="Arial" w:cs="Arial"/>
                <w:sz w:val="20"/>
                <w:szCs w:val="20"/>
              </w:rPr>
              <w:t>637</w:t>
            </w:r>
          </w:p>
        </w:tc>
        <w:tc>
          <w:tcPr>
            <w:tcW w:w="1559" w:type="dxa"/>
            <w:tcBorders>
              <w:top w:val="single" w:sz="4" w:space="0" w:color="auto"/>
              <w:left w:val="single" w:sz="4" w:space="0" w:color="auto"/>
              <w:bottom w:val="single" w:sz="4" w:space="0" w:color="auto"/>
              <w:right w:val="single" w:sz="4" w:space="0" w:color="auto"/>
            </w:tcBorders>
            <w:hideMark/>
          </w:tcPr>
          <w:p w:rsidR="00897440" w:rsidRPr="00551E61" w:rsidRDefault="00897440">
            <w:pPr>
              <w:jc w:val="center"/>
              <w:rPr>
                <w:rFonts w:ascii="Arial" w:hAnsi="Arial" w:cs="Arial"/>
                <w:sz w:val="20"/>
                <w:szCs w:val="20"/>
              </w:rPr>
            </w:pPr>
            <w:r w:rsidRPr="00551E61">
              <w:rPr>
                <w:rFonts w:ascii="Arial" w:hAnsi="Arial" w:cs="Arial"/>
                <w:sz w:val="20"/>
                <w:szCs w:val="20"/>
              </w:rPr>
              <w:t>191</w:t>
            </w:r>
          </w:p>
        </w:tc>
      </w:tr>
      <w:tr w:rsidR="00897440" w:rsidRPr="00551E61" w:rsidTr="00897440">
        <w:trPr>
          <w:jc w:val="center"/>
        </w:trPr>
        <w:tc>
          <w:tcPr>
            <w:tcW w:w="1668" w:type="dxa"/>
            <w:tcBorders>
              <w:top w:val="single" w:sz="4" w:space="0" w:color="auto"/>
              <w:left w:val="single" w:sz="4" w:space="0" w:color="auto"/>
              <w:bottom w:val="single" w:sz="4" w:space="0" w:color="auto"/>
              <w:right w:val="single" w:sz="4" w:space="0" w:color="auto"/>
            </w:tcBorders>
            <w:hideMark/>
          </w:tcPr>
          <w:p w:rsidR="00897440" w:rsidRPr="00551E61" w:rsidRDefault="00897440">
            <w:pPr>
              <w:jc w:val="center"/>
              <w:rPr>
                <w:rFonts w:ascii="Arial" w:hAnsi="Arial" w:cs="Arial"/>
                <w:sz w:val="20"/>
                <w:szCs w:val="20"/>
              </w:rPr>
            </w:pPr>
            <w:r w:rsidRPr="00551E61">
              <w:rPr>
                <w:rFonts w:ascii="Arial" w:hAnsi="Arial" w:cs="Arial"/>
                <w:sz w:val="20"/>
                <w:szCs w:val="20"/>
              </w:rPr>
              <w:lastRenderedPageBreak/>
              <w:t>8</w:t>
            </w:r>
          </w:p>
        </w:tc>
        <w:tc>
          <w:tcPr>
            <w:tcW w:w="1701" w:type="dxa"/>
            <w:tcBorders>
              <w:top w:val="single" w:sz="4" w:space="0" w:color="auto"/>
              <w:left w:val="single" w:sz="4" w:space="0" w:color="auto"/>
              <w:bottom w:val="single" w:sz="4" w:space="0" w:color="auto"/>
              <w:right w:val="single" w:sz="4" w:space="0" w:color="auto"/>
            </w:tcBorders>
            <w:hideMark/>
          </w:tcPr>
          <w:p w:rsidR="00897440" w:rsidRPr="00551E61" w:rsidRDefault="00897440">
            <w:pPr>
              <w:jc w:val="center"/>
              <w:rPr>
                <w:rFonts w:ascii="Arial" w:hAnsi="Arial" w:cs="Arial"/>
                <w:sz w:val="20"/>
                <w:szCs w:val="20"/>
              </w:rPr>
            </w:pPr>
            <w:r w:rsidRPr="00551E61">
              <w:rPr>
                <w:rFonts w:ascii="Arial" w:hAnsi="Arial" w:cs="Arial"/>
                <w:sz w:val="20"/>
                <w:szCs w:val="20"/>
              </w:rPr>
              <w:t>36,093</w:t>
            </w:r>
          </w:p>
        </w:tc>
        <w:tc>
          <w:tcPr>
            <w:tcW w:w="1701" w:type="dxa"/>
            <w:tcBorders>
              <w:top w:val="single" w:sz="4" w:space="0" w:color="auto"/>
              <w:left w:val="single" w:sz="4" w:space="0" w:color="auto"/>
              <w:bottom w:val="single" w:sz="4" w:space="0" w:color="auto"/>
              <w:right w:val="single" w:sz="4" w:space="0" w:color="auto"/>
            </w:tcBorders>
            <w:hideMark/>
          </w:tcPr>
          <w:p w:rsidR="00897440" w:rsidRPr="00551E61" w:rsidRDefault="00897440">
            <w:pPr>
              <w:jc w:val="center"/>
              <w:rPr>
                <w:rFonts w:ascii="Arial" w:hAnsi="Arial" w:cs="Arial"/>
                <w:sz w:val="20"/>
                <w:szCs w:val="20"/>
              </w:rPr>
            </w:pPr>
            <w:r w:rsidRPr="00551E61">
              <w:rPr>
                <w:rFonts w:ascii="Arial" w:hAnsi="Arial" w:cs="Arial"/>
                <w:sz w:val="20"/>
                <w:szCs w:val="20"/>
              </w:rPr>
              <w:t>802</w:t>
            </w:r>
          </w:p>
        </w:tc>
        <w:tc>
          <w:tcPr>
            <w:tcW w:w="1559" w:type="dxa"/>
            <w:tcBorders>
              <w:top w:val="single" w:sz="4" w:space="0" w:color="auto"/>
              <w:left w:val="single" w:sz="4" w:space="0" w:color="auto"/>
              <w:bottom w:val="single" w:sz="4" w:space="0" w:color="auto"/>
              <w:right w:val="single" w:sz="4" w:space="0" w:color="auto"/>
            </w:tcBorders>
            <w:hideMark/>
          </w:tcPr>
          <w:p w:rsidR="00897440" w:rsidRPr="00551E61" w:rsidRDefault="00897440">
            <w:pPr>
              <w:jc w:val="center"/>
              <w:rPr>
                <w:rFonts w:ascii="Arial" w:hAnsi="Arial" w:cs="Arial"/>
                <w:sz w:val="20"/>
                <w:szCs w:val="20"/>
              </w:rPr>
            </w:pPr>
            <w:r w:rsidRPr="00551E61">
              <w:rPr>
                <w:rFonts w:ascii="Arial" w:hAnsi="Arial" w:cs="Arial"/>
                <w:sz w:val="20"/>
                <w:szCs w:val="20"/>
              </w:rPr>
              <w:t>241</w:t>
            </w:r>
          </w:p>
        </w:tc>
      </w:tr>
      <w:tr w:rsidR="00897440" w:rsidRPr="00551E61" w:rsidTr="00897440">
        <w:trPr>
          <w:jc w:val="center"/>
        </w:trPr>
        <w:tc>
          <w:tcPr>
            <w:tcW w:w="1668" w:type="dxa"/>
            <w:tcBorders>
              <w:top w:val="single" w:sz="4" w:space="0" w:color="auto"/>
              <w:left w:val="single" w:sz="4" w:space="0" w:color="auto"/>
              <w:bottom w:val="single" w:sz="4" w:space="0" w:color="auto"/>
              <w:right w:val="single" w:sz="4" w:space="0" w:color="auto"/>
            </w:tcBorders>
            <w:hideMark/>
          </w:tcPr>
          <w:p w:rsidR="00897440" w:rsidRPr="00551E61" w:rsidRDefault="00897440">
            <w:pPr>
              <w:jc w:val="center"/>
              <w:rPr>
                <w:rFonts w:ascii="Arial" w:hAnsi="Arial" w:cs="Arial"/>
                <w:sz w:val="20"/>
                <w:szCs w:val="20"/>
              </w:rPr>
            </w:pPr>
            <w:r w:rsidRPr="00551E61">
              <w:rPr>
                <w:rFonts w:ascii="Arial" w:hAnsi="Arial" w:cs="Arial"/>
                <w:sz w:val="20"/>
                <w:szCs w:val="20"/>
              </w:rPr>
              <w:t>9</w:t>
            </w:r>
          </w:p>
        </w:tc>
        <w:tc>
          <w:tcPr>
            <w:tcW w:w="1701" w:type="dxa"/>
            <w:tcBorders>
              <w:top w:val="single" w:sz="4" w:space="0" w:color="auto"/>
              <w:left w:val="single" w:sz="4" w:space="0" w:color="auto"/>
              <w:bottom w:val="single" w:sz="4" w:space="0" w:color="auto"/>
              <w:right w:val="single" w:sz="4" w:space="0" w:color="auto"/>
            </w:tcBorders>
            <w:hideMark/>
          </w:tcPr>
          <w:p w:rsidR="00897440" w:rsidRPr="00551E61" w:rsidRDefault="00897440">
            <w:pPr>
              <w:jc w:val="center"/>
              <w:rPr>
                <w:rFonts w:ascii="Arial" w:hAnsi="Arial" w:cs="Arial"/>
                <w:sz w:val="20"/>
                <w:szCs w:val="20"/>
              </w:rPr>
            </w:pPr>
            <w:r w:rsidRPr="00551E61">
              <w:rPr>
                <w:rFonts w:ascii="Arial" w:hAnsi="Arial" w:cs="Arial"/>
                <w:sz w:val="20"/>
                <w:szCs w:val="20"/>
              </w:rPr>
              <w:t>51,067</w:t>
            </w:r>
          </w:p>
        </w:tc>
        <w:tc>
          <w:tcPr>
            <w:tcW w:w="1701" w:type="dxa"/>
            <w:tcBorders>
              <w:top w:val="single" w:sz="4" w:space="0" w:color="auto"/>
              <w:left w:val="single" w:sz="4" w:space="0" w:color="auto"/>
              <w:bottom w:val="single" w:sz="4" w:space="0" w:color="auto"/>
              <w:right w:val="single" w:sz="4" w:space="0" w:color="auto"/>
            </w:tcBorders>
            <w:hideMark/>
          </w:tcPr>
          <w:p w:rsidR="00897440" w:rsidRPr="00551E61" w:rsidRDefault="00897440">
            <w:pPr>
              <w:jc w:val="center"/>
              <w:rPr>
                <w:rFonts w:ascii="Arial" w:hAnsi="Arial" w:cs="Arial"/>
                <w:sz w:val="20"/>
                <w:szCs w:val="20"/>
              </w:rPr>
            </w:pPr>
            <w:r w:rsidRPr="00551E61">
              <w:rPr>
                <w:rFonts w:ascii="Arial" w:hAnsi="Arial" w:cs="Arial"/>
                <w:sz w:val="20"/>
                <w:szCs w:val="20"/>
              </w:rPr>
              <w:t>1,135</w:t>
            </w:r>
          </w:p>
        </w:tc>
        <w:tc>
          <w:tcPr>
            <w:tcW w:w="1559" w:type="dxa"/>
            <w:tcBorders>
              <w:top w:val="single" w:sz="4" w:space="0" w:color="auto"/>
              <w:left w:val="single" w:sz="4" w:space="0" w:color="auto"/>
              <w:bottom w:val="single" w:sz="4" w:space="0" w:color="auto"/>
              <w:right w:val="single" w:sz="4" w:space="0" w:color="auto"/>
            </w:tcBorders>
            <w:hideMark/>
          </w:tcPr>
          <w:p w:rsidR="00897440" w:rsidRPr="00551E61" w:rsidRDefault="00897440">
            <w:pPr>
              <w:jc w:val="center"/>
              <w:rPr>
                <w:rFonts w:ascii="Arial" w:hAnsi="Arial" w:cs="Arial"/>
                <w:sz w:val="20"/>
                <w:szCs w:val="20"/>
              </w:rPr>
            </w:pPr>
            <w:r w:rsidRPr="00551E61">
              <w:rPr>
                <w:rFonts w:ascii="Arial" w:hAnsi="Arial" w:cs="Arial"/>
                <w:sz w:val="20"/>
                <w:szCs w:val="20"/>
              </w:rPr>
              <w:t>341</w:t>
            </w:r>
          </w:p>
        </w:tc>
      </w:tr>
      <w:tr w:rsidR="00897440" w:rsidRPr="00551E61" w:rsidTr="00897440">
        <w:trPr>
          <w:jc w:val="center"/>
        </w:trPr>
        <w:tc>
          <w:tcPr>
            <w:tcW w:w="1668" w:type="dxa"/>
            <w:tcBorders>
              <w:top w:val="single" w:sz="4" w:space="0" w:color="auto"/>
              <w:left w:val="single" w:sz="4" w:space="0" w:color="auto"/>
              <w:bottom w:val="single" w:sz="4" w:space="0" w:color="auto"/>
              <w:right w:val="single" w:sz="4" w:space="0" w:color="auto"/>
            </w:tcBorders>
            <w:hideMark/>
          </w:tcPr>
          <w:p w:rsidR="00897440" w:rsidRPr="00551E61" w:rsidRDefault="00897440">
            <w:pPr>
              <w:jc w:val="center"/>
              <w:rPr>
                <w:rFonts w:ascii="Arial" w:hAnsi="Arial" w:cs="Arial"/>
                <w:sz w:val="20"/>
                <w:szCs w:val="20"/>
              </w:rPr>
            </w:pPr>
            <w:r w:rsidRPr="00551E61">
              <w:rPr>
                <w:rFonts w:ascii="Arial" w:hAnsi="Arial" w:cs="Arial"/>
                <w:sz w:val="20"/>
                <w:szCs w:val="20"/>
              </w:rPr>
              <w:t>10</w:t>
            </w:r>
          </w:p>
        </w:tc>
        <w:tc>
          <w:tcPr>
            <w:tcW w:w="1701" w:type="dxa"/>
            <w:tcBorders>
              <w:top w:val="single" w:sz="4" w:space="0" w:color="auto"/>
              <w:left w:val="single" w:sz="4" w:space="0" w:color="auto"/>
              <w:bottom w:val="single" w:sz="4" w:space="0" w:color="auto"/>
              <w:right w:val="single" w:sz="4" w:space="0" w:color="auto"/>
            </w:tcBorders>
            <w:hideMark/>
          </w:tcPr>
          <w:p w:rsidR="00897440" w:rsidRPr="00551E61" w:rsidRDefault="00897440">
            <w:pPr>
              <w:jc w:val="center"/>
              <w:rPr>
                <w:rFonts w:ascii="Arial" w:hAnsi="Arial" w:cs="Arial"/>
                <w:sz w:val="20"/>
                <w:szCs w:val="20"/>
              </w:rPr>
            </w:pPr>
            <w:r w:rsidRPr="00551E61">
              <w:rPr>
                <w:rFonts w:ascii="Arial" w:hAnsi="Arial" w:cs="Arial"/>
                <w:sz w:val="20"/>
                <w:szCs w:val="20"/>
              </w:rPr>
              <w:t>83,400</w:t>
            </w:r>
          </w:p>
        </w:tc>
        <w:tc>
          <w:tcPr>
            <w:tcW w:w="1701" w:type="dxa"/>
            <w:tcBorders>
              <w:top w:val="single" w:sz="4" w:space="0" w:color="auto"/>
              <w:left w:val="single" w:sz="4" w:space="0" w:color="auto"/>
              <w:bottom w:val="single" w:sz="4" w:space="0" w:color="auto"/>
              <w:right w:val="single" w:sz="4" w:space="0" w:color="auto"/>
            </w:tcBorders>
            <w:hideMark/>
          </w:tcPr>
          <w:p w:rsidR="00897440" w:rsidRPr="00551E61" w:rsidRDefault="00897440">
            <w:pPr>
              <w:jc w:val="center"/>
              <w:rPr>
                <w:rFonts w:ascii="Arial" w:hAnsi="Arial" w:cs="Arial"/>
                <w:sz w:val="20"/>
                <w:szCs w:val="20"/>
              </w:rPr>
            </w:pPr>
            <w:r w:rsidRPr="00551E61">
              <w:rPr>
                <w:rFonts w:ascii="Arial" w:hAnsi="Arial" w:cs="Arial"/>
                <w:sz w:val="20"/>
                <w:szCs w:val="20"/>
              </w:rPr>
              <w:t>1,853</w:t>
            </w:r>
          </w:p>
        </w:tc>
        <w:tc>
          <w:tcPr>
            <w:tcW w:w="1559" w:type="dxa"/>
            <w:tcBorders>
              <w:top w:val="single" w:sz="4" w:space="0" w:color="auto"/>
              <w:left w:val="single" w:sz="4" w:space="0" w:color="auto"/>
              <w:bottom w:val="single" w:sz="4" w:space="0" w:color="auto"/>
              <w:right w:val="single" w:sz="4" w:space="0" w:color="auto"/>
            </w:tcBorders>
            <w:hideMark/>
          </w:tcPr>
          <w:p w:rsidR="00897440" w:rsidRPr="00551E61" w:rsidRDefault="00897440">
            <w:pPr>
              <w:jc w:val="center"/>
              <w:rPr>
                <w:rFonts w:ascii="Arial" w:hAnsi="Arial" w:cs="Arial"/>
                <w:sz w:val="20"/>
                <w:szCs w:val="20"/>
              </w:rPr>
            </w:pPr>
            <w:r w:rsidRPr="00551E61">
              <w:rPr>
                <w:rFonts w:ascii="Arial" w:hAnsi="Arial" w:cs="Arial"/>
                <w:sz w:val="20"/>
                <w:szCs w:val="20"/>
              </w:rPr>
              <w:t>556</w:t>
            </w:r>
          </w:p>
        </w:tc>
      </w:tr>
    </w:tbl>
    <w:p w:rsidR="006A09AD" w:rsidRPr="00551E61" w:rsidRDefault="00897440" w:rsidP="00897440">
      <w:pPr>
        <w:rPr>
          <w:rFonts w:ascii="Arial" w:eastAsia="Calibri" w:hAnsi="Arial" w:cs="Arial"/>
          <w:sz w:val="20"/>
          <w:szCs w:val="20"/>
          <w:lang w:val="es-PE"/>
        </w:rPr>
      </w:pPr>
      <w:r w:rsidRPr="00551E61">
        <w:rPr>
          <w:rFonts w:ascii="Arial" w:eastAsia="Calibri" w:hAnsi="Arial" w:cs="Arial"/>
          <w:sz w:val="20"/>
          <w:szCs w:val="20"/>
          <w:lang w:val="es-PE"/>
        </w:rPr>
        <w:tab/>
      </w:r>
      <w:r w:rsidRPr="00551E61">
        <w:rPr>
          <w:rFonts w:ascii="Arial" w:eastAsia="Calibri" w:hAnsi="Arial" w:cs="Arial"/>
          <w:sz w:val="20"/>
          <w:szCs w:val="20"/>
          <w:lang w:val="es-PE"/>
        </w:rPr>
        <w:tab/>
        <w:t>Fuente:</w:t>
      </w:r>
      <w:r w:rsidR="006A09AD" w:rsidRPr="00551E61">
        <w:rPr>
          <w:rFonts w:ascii="Arial" w:eastAsia="Calibri" w:hAnsi="Arial" w:cs="Arial"/>
          <w:sz w:val="20"/>
          <w:szCs w:val="20"/>
          <w:lang w:val="es-PE"/>
        </w:rPr>
        <w:t xml:space="preserve"> Morris (2016).</w:t>
      </w:r>
      <w:r w:rsidRPr="00551E61">
        <w:rPr>
          <w:rFonts w:ascii="Arial" w:eastAsia="Calibri" w:hAnsi="Arial" w:cs="Arial"/>
          <w:sz w:val="20"/>
          <w:szCs w:val="20"/>
          <w:lang w:val="es-PE"/>
        </w:rPr>
        <w:t xml:space="preserve"> Encuesta Nacional de Fuer</w:t>
      </w:r>
      <w:r w:rsidR="006A09AD" w:rsidRPr="00551E61">
        <w:rPr>
          <w:rFonts w:ascii="Arial" w:eastAsia="Calibri" w:hAnsi="Arial" w:cs="Arial"/>
          <w:sz w:val="20"/>
          <w:szCs w:val="20"/>
          <w:lang w:val="es-PE"/>
        </w:rPr>
        <w:t>za de Trabajo del Banco Central</w:t>
      </w:r>
    </w:p>
    <w:p w:rsidR="003477F2" w:rsidRPr="00551E61" w:rsidRDefault="003477F2" w:rsidP="00897440">
      <w:pPr>
        <w:rPr>
          <w:rFonts w:ascii="Arial" w:eastAsia="Calibri" w:hAnsi="Arial" w:cs="Arial"/>
          <w:sz w:val="20"/>
          <w:szCs w:val="20"/>
          <w:lang w:val="es-PE"/>
        </w:rPr>
      </w:pPr>
    </w:p>
    <w:p w:rsidR="006A09AD" w:rsidRPr="00551E61" w:rsidRDefault="00311234" w:rsidP="00787A2E">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szCs w:val="22"/>
          <w:lang w:val="es-ES_tradnl"/>
        </w:rPr>
        <w:t>Para terminar el análisis de los factores que afectan la demanda, e</w:t>
      </w:r>
      <w:r w:rsidR="006A09AD" w:rsidRPr="00551E61">
        <w:rPr>
          <w:rFonts w:ascii="Arial" w:hAnsi="Arial" w:cs="Arial"/>
          <w:sz w:val="22"/>
          <w:szCs w:val="22"/>
          <w:lang w:val="es-ES_tradnl"/>
        </w:rPr>
        <w:t xml:space="preserve">s importante señalar que </w:t>
      </w:r>
      <w:r w:rsidRPr="00551E61">
        <w:rPr>
          <w:rFonts w:ascii="Arial" w:hAnsi="Arial" w:cs="Arial"/>
          <w:sz w:val="22"/>
          <w:szCs w:val="22"/>
          <w:lang w:val="es-ES_tradnl"/>
        </w:rPr>
        <w:t xml:space="preserve">en la medida en que se </w:t>
      </w:r>
      <w:r w:rsidR="0095287F" w:rsidRPr="00551E61">
        <w:rPr>
          <w:rFonts w:ascii="Arial" w:hAnsi="Arial" w:cs="Arial"/>
          <w:sz w:val="22"/>
          <w:szCs w:val="22"/>
          <w:lang w:val="es-ES_tradnl"/>
        </w:rPr>
        <w:t>han consolidado</w:t>
      </w:r>
      <w:r w:rsidRPr="00551E61">
        <w:rPr>
          <w:rFonts w:ascii="Arial" w:hAnsi="Arial" w:cs="Arial"/>
          <w:sz w:val="22"/>
          <w:szCs w:val="22"/>
          <w:lang w:val="es-ES_tradnl"/>
        </w:rPr>
        <w:t xml:space="preserve"> las </w:t>
      </w:r>
      <w:r w:rsidR="0095287F" w:rsidRPr="00551E61">
        <w:rPr>
          <w:rFonts w:ascii="Arial" w:hAnsi="Arial" w:cs="Arial"/>
          <w:sz w:val="22"/>
          <w:szCs w:val="22"/>
          <w:lang w:val="es-ES_tradnl"/>
        </w:rPr>
        <w:t>mejoras a la zona y fortalecido</w:t>
      </w:r>
      <w:r w:rsidRPr="00551E61">
        <w:rPr>
          <w:rFonts w:ascii="Arial" w:hAnsi="Arial" w:cs="Arial"/>
          <w:sz w:val="22"/>
          <w:szCs w:val="22"/>
          <w:lang w:val="es-ES_tradnl"/>
        </w:rPr>
        <w:t xml:space="preserve"> la oferta cultural del centro ha emergido un segmento que está dispuesto a vivir en la CCSD siempre que se disponga de unidades a precios asequibles.</w:t>
      </w:r>
      <w:r w:rsidR="00310ABF" w:rsidRPr="00551E61">
        <w:rPr>
          <w:rFonts w:ascii="Arial" w:hAnsi="Arial" w:cs="Arial"/>
          <w:sz w:val="22"/>
          <w:szCs w:val="22"/>
          <w:lang w:val="es-ES_tradnl"/>
        </w:rPr>
        <w:t xml:space="preserve"> De hecho, como muestra la tabla 1 el ritmo de pérdida poblacional se ha venido ralentizando.</w:t>
      </w:r>
      <w:r w:rsidRPr="00551E61">
        <w:rPr>
          <w:rFonts w:ascii="Arial" w:hAnsi="Arial" w:cs="Arial"/>
          <w:sz w:val="22"/>
          <w:szCs w:val="22"/>
          <w:lang w:val="es-ES_tradnl"/>
        </w:rPr>
        <w:t xml:space="preserve"> Por ejemplo, de 1999 a 2004 el programa PACTARIM </w:t>
      </w:r>
      <w:r w:rsidR="007F7EE3" w:rsidRPr="00551E61">
        <w:rPr>
          <w:rFonts w:ascii="Arial" w:hAnsi="Arial" w:cs="Arial"/>
          <w:sz w:val="22"/>
          <w:szCs w:val="22"/>
          <w:lang w:val="es-ES_tradnl"/>
        </w:rPr>
        <w:t>renovó</w:t>
      </w:r>
      <w:r w:rsidRPr="00551E61">
        <w:rPr>
          <w:rFonts w:ascii="Arial" w:hAnsi="Arial" w:cs="Arial"/>
          <w:sz w:val="22"/>
          <w:szCs w:val="22"/>
          <w:lang w:val="es-ES_tradnl"/>
        </w:rPr>
        <w:t xml:space="preserve"> y </w:t>
      </w:r>
      <w:r w:rsidR="007F7EE3" w:rsidRPr="00551E61">
        <w:rPr>
          <w:rFonts w:ascii="Arial" w:hAnsi="Arial" w:cs="Arial"/>
          <w:sz w:val="22"/>
          <w:szCs w:val="22"/>
          <w:lang w:val="es-ES_tradnl"/>
        </w:rPr>
        <w:t>vendió</w:t>
      </w:r>
      <w:r w:rsidRPr="00551E61">
        <w:rPr>
          <w:rFonts w:ascii="Arial" w:hAnsi="Arial" w:cs="Arial"/>
          <w:sz w:val="22"/>
          <w:szCs w:val="22"/>
          <w:lang w:val="es-ES_tradnl"/>
        </w:rPr>
        <w:t xml:space="preserve"> 46 unidades </w:t>
      </w:r>
      <w:r w:rsidR="007F7EE3" w:rsidRPr="00551E61">
        <w:rPr>
          <w:rFonts w:ascii="Arial" w:hAnsi="Arial" w:cs="Arial"/>
          <w:sz w:val="22"/>
          <w:szCs w:val="22"/>
          <w:lang w:val="es-ES_tradnl"/>
        </w:rPr>
        <w:t xml:space="preserve">orientadas a un mercado de clase media. No solo las unidades se vendieron </w:t>
      </w:r>
      <w:r w:rsidR="00AE7226" w:rsidRPr="00551E61">
        <w:rPr>
          <w:rFonts w:ascii="Arial" w:hAnsi="Arial" w:cs="Arial"/>
          <w:sz w:val="22"/>
          <w:szCs w:val="22"/>
          <w:lang w:val="es-ES_tradnl"/>
        </w:rPr>
        <w:t xml:space="preserve">sobre planos </w:t>
      </w:r>
      <w:r w:rsidR="007F7EE3" w:rsidRPr="00551E61">
        <w:rPr>
          <w:rFonts w:ascii="Arial" w:hAnsi="Arial" w:cs="Arial"/>
          <w:sz w:val="22"/>
          <w:szCs w:val="22"/>
          <w:lang w:val="es-ES_tradnl"/>
        </w:rPr>
        <w:t xml:space="preserve">en su totalidad sino que las familias </w:t>
      </w:r>
      <w:r w:rsidR="00881604" w:rsidRPr="00551E61">
        <w:rPr>
          <w:rFonts w:ascii="Arial" w:hAnsi="Arial" w:cs="Arial"/>
          <w:sz w:val="22"/>
          <w:szCs w:val="22"/>
          <w:lang w:val="es-ES_tradnl"/>
        </w:rPr>
        <w:t>solicitantes</w:t>
      </w:r>
      <w:r w:rsidR="007F7EE3" w:rsidRPr="00551E61">
        <w:rPr>
          <w:rFonts w:ascii="Arial" w:hAnsi="Arial" w:cs="Arial"/>
          <w:sz w:val="22"/>
          <w:szCs w:val="22"/>
          <w:lang w:val="es-ES_tradnl"/>
        </w:rPr>
        <w:t xml:space="preserve"> llegaron a 1,427, 30% de las cuales eran residentes de la CCSD y 63% ciudadanos de Santo Domingo (Plan </w:t>
      </w:r>
      <w:r w:rsidR="000D5498" w:rsidRPr="00551E61">
        <w:rPr>
          <w:rFonts w:ascii="Arial" w:hAnsi="Arial" w:cs="Arial"/>
          <w:sz w:val="22"/>
          <w:szCs w:val="22"/>
          <w:lang w:val="es-ES_tradnl"/>
        </w:rPr>
        <w:t>Estratégico</w:t>
      </w:r>
      <w:r w:rsidR="007F7EE3" w:rsidRPr="00551E61">
        <w:rPr>
          <w:rFonts w:ascii="Arial" w:hAnsi="Arial" w:cs="Arial"/>
          <w:sz w:val="22"/>
          <w:szCs w:val="22"/>
          <w:lang w:val="es-ES_tradnl"/>
        </w:rPr>
        <w:t xml:space="preserve">. Documento de </w:t>
      </w:r>
      <w:r w:rsidR="00881604" w:rsidRPr="00551E61">
        <w:rPr>
          <w:rFonts w:ascii="Arial" w:hAnsi="Arial" w:cs="Arial"/>
          <w:sz w:val="22"/>
          <w:szCs w:val="22"/>
          <w:lang w:val="es-ES_tradnl"/>
        </w:rPr>
        <w:t>diagnóstico</w:t>
      </w:r>
      <w:r w:rsidR="002602A9" w:rsidRPr="00551E61">
        <w:rPr>
          <w:rFonts w:ascii="Arial" w:hAnsi="Arial" w:cs="Arial"/>
          <w:sz w:val="22"/>
          <w:szCs w:val="22"/>
          <w:lang w:val="es-ES_tradnl"/>
        </w:rPr>
        <w:t>, 200</w:t>
      </w:r>
      <w:r w:rsidR="007F7EE3" w:rsidRPr="00551E61">
        <w:rPr>
          <w:rFonts w:ascii="Arial" w:hAnsi="Arial" w:cs="Arial"/>
          <w:sz w:val="22"/>
          <w:szCs w:val="22"/>
          <w:lang w:val="es-ES_tradnl"/>
        </w:rPr>
        <w:t>4).</w:t>
      </w:r>
    </w:p>
    <w:p w:rsidR="00282C30" w:rsidRPr="00551E61" w:rsidRDefault="00282C30" w:rsidP="00282C30">
      <w:pPr>
        <w:pStyle w:val="Paragraph"/>
        <w:ind w:left="720"/>
        <w:rPr>
          <w:rFonts w:ascii="Arial" w:hAnsi="Arial" w:cs="Arial"/>
          <w:sz w:val="22"/>
          <w:szCs w:val="22"/>
          <w:lang w:val="es-ES_tradnl"/>
        </w:rPr>
      </w:pPr>
    </w:p>
    <w:p w:rsidR="00282C30" w:rsidRPr="00551E61" w:rsidRDefault="00282C30" w:rsidP="00282C30">
      <w:pPr>
        <w:pStyle w:val="Paragraph"/>
        <w:ind w:left="720"/>
        <w:rPr>
          <w:rFonts w:ascii="Arial" w:hAnsi="Arial" w:cs="Arial"/>
          <w:b/>
          <w:sz w:val="22"/>
          <w:szCs w:val="22"/>
          <w:lang w:val="es-ES_tradnl"/>
        </w:rPr>
      </w:pPr>
      <w:r w:rsidRPr="00551E61">
        <w:rPr>
          <w:rFonts w:ascii="Arial" w:hAnsi="Arial" w:cs="Arial"/>
          <w:b/>
          <w:sz w:val="22"/>
          <w:szCs w:val="22"/>
          <w:lang w:val="es-ES_tradnl"/>
        </w:rPr>
        <w:t>Factores de oferta</w:t>
      </w:r>
    </w:p>
    <w:p w:rsidR="00A95AF5" w:rsidRPr="00551E61" w:rsidRDefault="00282C30" w:rsidP="00787A2E">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szCs w:val="22"/>
          <w:lang w:val="es-ES_tradnl"/>
        </w:rPr>
        <w:t>Como se ya se introdujo</w:t>
      </w:r>
      <w:r w:rsidR="00F60B87" w:rsidRPr="00551E61">
        <w:rPr>
          <w:rFonts w:ascii="Arial" w:hAnsi="Arial" w:cs="Arial"/>
          <w:sz w:val="22"/>
          <w:szCs w:val="22"/>
          <w:lang w:val="es-ES_tradnl"/>
        </w:rPr>
        <w:t>,</w:t>
      </w:r>
      <w:r w:rsidRPr="00551E61">
        <w:rPr>
          <w:rFonts w:ascii="Arial" w:hAnsi="Arial" w:cs="Arial"/>
          <w:sz w:val="22"/>
          <w:szCs w:val="22"/>
          <w:lang w:val="es-ES_tradnl"/>
        </w:rPr>
        <w:t xml:space="preserve"> los</w:t>
      </w:r>
      <w:r w:rsidR="00881604" w:rsidRPr="00551E61">
        <w:rPr>
          <w:rFonts w:ascii="Arial" w:hAnsi="Arial" w:cs="Arial"/>
          <w:sz w:val="22"/>
          <w:szCs w:val="22"/>
          <w:lang w:val="es-ES_tradnl"/>
        </w:rPr>
        <w:t xml:space="preserve"> </w:t>
      </w:r>
      <w:r w:rsidR="00881604" w:rsidRPr="00551E61">
        <w:rPr>
          <w:rFonts w:ascii="Arial" w:hAnsi="Arial" w:cs="Arial"/>
          <w:b/>
          <w:sz w:val="22"/>
          <w:szCs w:val="22"/>
          <w:lang w:val="es-ES_tradnl"/>
        </w:rPr>
        <w:t xml:space="preserve">factores </w:t>
      </w:r>
      <w:r w:rsidR="008776A1" w:rsidRPr="00551E61">
        <w:rPr>
          <w:rFonts w:ascii="Arial" w:hAnsi="Arial" w:cs="Arial"/>
          <w:b/>
          <w:sz w:val="22"/>
          <w:szCs w:val="22"/>
          <w:lang w:val="es-ES_tradnl"/>
        </w:rPr>
        <w:t>de oferta</w:t>
      </w:r>
      <w:r w:rsidR="008776A1" w:rsidRPr="00551E61">
        <w:rPr>
          <w:rFonts w:ascii="Arial" w:hAnsi="Arial" w:cs="Arial"/>
          <w:sz w:val="22"/>
          <w:szCs w:val="22"/>
          <w:lang w:val="es-ES_tradnl"/>
        </w:rPr>
        <w:t xml:space="preserve"> </w:t>
      </w:r>
      <w:r w:rsidR="00881604" w:rsidRPr="00551E61">
        <w:rPr>
          <w:rFonts w:ascii="Arial" w:hAnsi="Arial" w:cs="Arial"/>
          <w:sz w:val="22"/>
          <w:szCs w:val="22"/>
          <w:lang w:val="es-ES_tradnl"/>
        </w:rPr>
        <w:t xml:space="preserve">que están impidiendo que exista una </w:t>
      </w:r>
      <w:r w:rsidR="008776A1" w:rsidRPr="00551E61">
        <w:rPr>
          <w:rFonts w:ascii="Arial" w:hAnsi="Arial" w:cs="Arial"/>
          <w:sz w:val="22"/>
          <w:szCs w:val="22"/>
          <w:lang w:val="es-ES_tradnl"/>
        </w:rPr>
        <w:t>provisión de vivienda</w:t>
      </w:r>
      <w:r w:rsidR="00881604" w:rsidRPr="00551E61">
        <w:rPr>
          <w:rFonts w:ascii="Arial" w:hAnsi="Arial" w:cs="Arial"/>
          <w:sz w:val="22"/>
          <w:szCs w:val="22"/>
          <w:lang w:val="es-ES_tradnl"/>
        </w:rPr>
        <w:t xml:space="preserve"> a precios asequibles </w:t>
      </w:r>
      <w:r w:rsidR="008776A1" w:rsidRPr="00551E61">
        <w:rPr>
          <w:rFonts w:ascii="Arial" w:hAnsi="Arial" w:cs="Arial"/>
          <w:sz w:val="22"/>
          <w:szCs w:val="22"/>
          <w:lang w:val="es-ES_tradnl"/>
        </w:rPr>
        <w:t xml:space="preserve">son: (i) </w:t>
      </w:r>
      <w:r w:rsidR="00D4713A" w:rsidRPr="00551E61">
        <w:rPr>
          <w:rFonts w:ascii="Arial" w:hAnsi="Arial" w:cs="Arial"/>
          <w:sz w:val="22"/>
          <w:szCs w:val="22"/>
          <w:lang w:val="es-ES_tradnl"/>
        </w:rPr>
        <w:t xml:space="preserve">la dificultad de ejercer </w:t>
      </w:r>
      <w:r w:rsidR="001659CA" w:rsidRPr="00551E61">
        <w:rPr>
          <w:rFonts w:ascii="Arial" w:hAnsi="Arial" w:cs="Arial"/>
          <w:sz w:val="22"/>
          <w:szCs w:val="22"/>
          <w:lang w:val="es-ES_tradnl"/>
        </w:rPr>
        <w:t>reposesione</w:t>
      </w:r>
      <w:r w:rsidR="00D4713A" w:rsidRPr="00551E61">
        <w:rPr>
          <w:rFonts w:ascii="Arial" w:hAnsi="Arial" w:cs="Arial"/>
          <w:sz w:val="22"/>
          <w:szCs w:val="22"/>
          <w:lang w:val="es-ES_tradnl"/>
        </w:rPr>
        <w:t xml:space="preserve">s por incumplimiento de alquiler, (ii) la </w:t>
      </w:r>
      <w:r w:rsidR="00A95AF5" w:rsidRPr="00551E61">
        <w:rPr>
          <w:rFonts w:ascii="Arial" w:hAnsi="Arial" w:cs="Arial"/>
          <w:sz w:val="22"/>
          <w:szCs w:val="22"/>
          <w:lang w:val="es-ES_tradnl"/>
        </w:rPr>
        <w:t>baja titularidad de las propiedades en la CCSD, y (iii) los altos valor</w:t>
      </w:r>
      <w:r w:rsidR="008F796B" w:rsidRPr="00551E61">
        <w:rPr>
          <w:rFonts w:ascii="Arial" w:hAnsi="Arial" w:cs="Arial"/>
          <w:sz w:val="22"/>
          <w:szCs w:val="22"/>
          <w:lang w:val="es-ES_tradnl"/>
        </w:rPr>
        <w:t>es</w:t>
      </w:r>
      <w:r w:rsidR="00A95AF5" w:rsidRPr="00551E61">
        <w:rPr>
          <w:rFonts w:ascii="Arial" w:hAnsi="Arial" w:cs="Arial"/>
          <w:sz w:val="22"/>
          <w:szCs w:val="22"/>
          <w:lang w:val="es-ES_tradnl"/>
        </w:rPr>
        <w:t xml:space="preserve"> del suelo.</w:t>
      </w:r>
    </w:p>
    <w:p w:rsidR="00A464AA" w:rsidRPr="00551E61" w:rsidRDefault="00A95AF5" w:rsidP="00787A2E">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szCs w:val="22"/>
          <w:lang w:val="es-ES_tradnl"/>
        </w:rPr>
        <w:t xml:space="preserve">En cuanto a </w:t>
      </w:r>
      <w:r w:rsidRPr="00551E61">
        <w:rPr>
          <w:rFonts w:ascii="Arial" w:hAnsi="Arial" w:cs="Arial"/>
          <w:b/>
          <w:sz w:val="22"/>
          <w:szCs w:val="22"/>
          <w:lang w:val="es-ES_tradnl"/>
        </w:rPr>
        <w:t xml:space="preserve">la dificultad de ejercer </w:t>
      </w:r>
      <w:r w:rsidR="001659CA" w:rsidRPr="00551E61">
        <w:rPr>
          <w:rFonts w:ascii="Arial" w:hAnsi="Arial" w:cs="Arial"/>
          <w:b/>
          <w:sz w:val="22"/>
          <w:szCs w:val="22"/>
          <w:lang w:val="es-ES_tradnl"/>
        </w:rPr>
        <w:t>reposesiones</w:t>
      </w:r>
      <w:r w:rsidRPr="00551E61">
        <w:rPr>
          <w:rFonts w:ascii="Arial" w:hAnsi="Arial" w:cs="Arial"/>
          <w:b/>
          <w:sz w:val="22"/>
          <w:szCs w:val="22"/>
          <w:lang w:val="es-ES_tradnl"/>
        </w:rPr>
        <w:t xml:space="preserve"> por incumplimiento de alquiler</w:t>
      </w:r>
      <w:r w:rsidRPr="00551E61">
        <w:rPr>
          <w:rFonts w:ascii="Arial" w:hAnsi="Arial" w:cs="Arial"/>
          <w:sz w:val="22"/>
          <w:szCs w:val="22"/>
          <w:lang w:val="es-ES_tradnl"/>
        </w:rPr>
        <w:t xml:space="preserve">, es importante comenzar señalando que la CCSD tiene una mayoritaria incidencia de vivienda en alquiler. De acuerdo al censo de la zona en 2015, </w:t>
      </w:r>
      <w:r w:rsidR="00AE7226" w:rsidRPr="00551E61">
        <w:rPr>
          <w:rFonts w:ascii="Arial" w:hAnsi="Arial" w:cs="Arial"/>
          <w:sz w:val="22"/>
          <w:szCs w:val="22"/>
          <w:lang w:val="es-ES_tradnl"/>
        </w:rPr>
        <w:t>el 55.5% de los hogares residentes en la CCSD estaba en condición de alquiler, manteniendo la tendencia registrada</w:t>
      </w:r>
      <w:r w:rsidR="00A464AA" w:rsidRPr="00551E61">
        <w:rPr>
          <w:rFonts w:ascii="Arial" w:hAnsi="Arial" w:cs="Arial"/>
          <w:sz w:val="22"/>
          <w:szCs w:val="22"/>
          <w:lang w:val="es-ES_tradnl"/>
        </w:rPr>
        <w:t xml:space="preserve"> en el pasado pues en 1998 llegó</w:t>
      </w:r>
      <w:r w:rsidR="00AE7226" w:rsidRPr="00551E61">
        <w:rPr>
          <w:rFonts w:ascii="Arial" w:hAnsi="Arial" w:cs="Arial"/>
          <w:sz w:val="22"/>
          <w:szCs w:val="22"/>
          <w:lang w:val="es-ES_tradnl"/>
        </w:rPr>
        <w:t xml:space="preserve"> a 69%, en el 2002 a 62% y en el 2010 a 53%</w:t>
      </w:r>
      <w:r w:rsidR="00533B94" w:rsidRPr="00551E61">
        <w:rPr>
          <w:rFonts w:ascii="Arial" w:hAnsi="Arial" w:cs="Arial"/>
          <w:sz w:val="22"/>
          <w:szCs w:val="22"/>
          <w:lang w:val="es-ES_tradnl"/>
        </w:rPr>
        <w:t xml:space="preserve"> (Villaescusa, 2015)</w:t>
      </w:r>
      <w:r w:rsidR="00AE7226" w:rsidRPr="00551E61">
        <w:rPr>
          <w:rFonts w:ascii="Arial" w:hAnsi="Arial" w:cs="Arial"/>
          <w:sz w:val="22"/>
          <w:szCs w:val="22"/>
          <w:lang w:val="es-ES_tradnl"/>
        </w:rPr>
        <w:t xml:space="preserve">. </w:t>
      </w:r>
    </w:p>
    <w:p w:rsidR="00881604" w:rsidRPr="00551E61" w:rsidRDefault="00AE7226" w:rsidP="00787A2E">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szCs w:val="22"/>
          <w:lang w:val="es-ES_tradnl"/>
        </w:rPr>
        <w:t xml:space="preserve">Este alto porcentaje no es en </w:t>
      </w:r>
      <w:r w:rsidR="00533B94" w:rsidRPr="00551E61">
        <w:rPr>
          <w:rFonts w:ascii="Arial" w:hAnsi="Arial" w:cs="Arial"/>
          <w:sz w:val="22"/>
          <w:szCs w:val="22"/>
          <w:lang w:val="es-ES_tradnl"/>
        </w:rPr>
        <w:t>sí</w:t>
      </w:r>
      <w:r w:rsidRPr="00551E61">
        <w:rPr>
          <w:rFonts w:ascii="Arial" w:hAnsi="Arial" w:cs="Arial"/>
          <w:sz w:val="22"/>
          <w:szCs w:val="22"/>
          <w:lang w:val="es-ES_tradnl"/>
        </w:rPr>
        <w:t xml:space="preserve"> mismo problemático en tanto que Republica Dominicana es el segundo país con la tasa de alquiler </w:t>
      </w:r>
      <w:r w:rsidR="00533B94" w:rsidRPr="00551E61">
        <w:rPr>
          <w:rFonts w:ascii="Arial" w:hAnsi="Arial" w:cs="Arial"/>
          <w:sz w:val="22"/>
          <w:szCs w:val="22"/>
          <w:lang w:val="es-ES_tradnl"/>
        </w:rPr>
        <w:t>más</w:t>
      </w:r>
      <w:r w:rsidRPr="00551E61">
        <w:rPr>
          <w:rFonts w:ascii="Arial" w:hAnsi="Arial" w:cs="Arial"/>
          <w:sz w:val="22"/>
          <w:szCs w:val="22"/>
          <w:lang w:val="es-ES_tradnl"/>
        </w:rPr>
        <w:t xml:space="preserve"> alta de </w:t>
      </w:r>
      <w:r w:rsidR="00F60B87" w:rsidRPr="00551E61">
        <w:rPr>
          <w:rFonts w:ascii="Arial" w:hAnsi="Arial" w:cs="Arial"/>
          <w:sz w:val="22"/>
          <w:szCs w:val="22"/>
          <w:lang w:val="es-ES_tradnl"/>
        </w:rPr>
        <w:t>América Latina</w:t>
      </w:r>
      <w:r w:rsidRPr="00551E61">
        <w:rPr>
          <w:rFonts w:ascii="Arial" w:hAnsi="Arial" w:cs="Arial"/>
          <w:sz w:val="22"/>
          <w:szCs w:val="22"/>
          <w:lang w:val="es-ES_tradnl"/>
        </w:rPr>
        <w:t xml:space="preserve"> con un 33% frente a una media </w:t>
      </w:r>
      <w:r w:rsidR="00F60B87" w:rsidRPr="00551E61">
        <w:rPr>
          <w:rFonts w:ascii="Arial" w:hAnsi="Arial" w:cs="Arial"/>
          <w:sz w:val="22"/>
          <w:szCs w:val="22"/>
          <w:lang w:val="es-ES_tradnl"/>
        </w:rPr>
        <w:t xml:space="preserve">regional </w:t>
      </w:r>
      <w:r w:rsidRPr="00551E61">
        <w:rPr>
          <w:rFonts w:ascii="Arial" w:hAnsi="Arial" w:cs="Arial"/>
          <w:sz w:val="22"/>
          <w:szCs w:val="22"/>
          <w:lang w:val="es-ES_tradnl"/>
        </w:rPr>
        <w:t>de 21%</w:t>
      </w:r>
      <w:r w:rsidR="00A464AA" w:rsidRPr="00551E61">
        <w:rPr>
          <w:rFonts w:ascii="Arial" w:hAnsi="Arial" w:cs="Arial"/>
          <w:sz w:val="22"/>
          <w:szCs w:val="22"/>
          <w:lang w:val="es-ES_tradnl"/>
        </w:rPr>
        <w:t xml:space="preserve">. Además, altos índices de alquiler son </w:t>
      </w:r>
      <w:r w:rsidRPr="00551E61">
        <w:rPr>
          <w:rFonts w:ascii="Arial" w:hAnsi="Arial" w:cs="Arial"/>
          <w:sz w:val="22"/>
          <w:szCs w:val="22"/>
          <w:lang w:val="es-ES_tradnl"/>
        </w:rPr>
        <w:t>típico</w:t>
      </w:r>
      <w:r w:rsidR="00A464AA" w:rsidRPr="00551E61">
        <w:rPr>
          <w:rFonts w:ascii="Arial" w:hAnsi="Arial" w:cs="Arial"/>
          <w:sz w:val="22"/>
          <w:szCs w:val="22"/>
          <w:lang w:val="es-ES_tradnl"/>
        </w:rPr>
        <w:t>s</w:t>
      </w:r>
      <w:r w:rsidRPr="00551E61">
        <w:rPr>
          <w:rFonts w:ascii="Arial" w:hAnsi="Arial" w:cs="Arial"/>
          <w:sz w:val="22"/>
          <w:szCs w:val="22"/>
          <w:lang w:val="es-ES_tradnl"/>
        </w:rPr>
        <w:t xml:space="preserve"> </w:t>
      </w:r>
      <w:r w:rsidR="00A464AA" w:rsidRPr="00551E61">
        <w:rPr>
          <w:rFonts w:ascii="Arial" w:hAnsi="Arial" w:cs="Arial"/>
          <w:sz w:val="22"/>
          <w:szCs w:val="22"/>
          <w:lang w:val="es-ES_tradnl"/>
        </w:rPr>
        <w:t>de</w:t>
      </w:r>
      <w:r w:rsidR="00533B94" w:rsidRPr="00551E61">
        <w:rPr>
          <w:rFonts w:ascii="Arial" w:hAnsi="Arial" w:cs="Arial"/>
          <w:sz w:val="22"/>
          <w:szCs w:val="22"/>
          <w:lang w:val="es-ES_tradnl"/>
        </w:rPr>
        <w:t xml:space="preserve"> las zonas centrales </w:t>
      </w:r>
      <w:r w:rsidR="00A464AA" w:rsidRPr="00551E61">
        <w:rPr>
          <w:rFonts w:ascii="Arial" w:hAnsi="Arial" w:cs="Arial"/>
          <w:sz w:val="22"/>
          <w:szCs w:val="22"/>
          <w:lang w:val="es-ES_tradnl"/>
        </w:rPr>
        <w:t xml:space="preserve">puesto que </w:t>
      </w:r>
      <w:r w:rsidR="001659CA" w:rsidRPr="00551E61">
        <w:rPr>
          <w:rFonts w:ascii="Arial" w:hAnsi="Arial" w:cs="Arial"/>
          <w:sz w:val="22"/>
          <w:szCs w:val="22"/>
          <w:lang w:val="es-ES_tradnl"/>
        </w:rPr>
        <w:t>la vivienda en renta tiende a ser más prevalente en áreas con</w:t>
      </w:r>
      <w:r w:rsidR="00A464AA" w:rsidRPr="00551E61">
        <w:rPr>
          <w:rFonts w:ascii="Arial" w:hAnsi="Arial" w:cs="Arial"/>
          <w:sz w:val="22"/>
          <w:szCs w:val="22"/>
          <w:lang w:val="es-ES_tradnl"/>
        </w:rPr>
        <w:t xml:space="preserve"> mayor consolidación</w:t>
      </w:r>
      <w:r w:rsidR="001659CA" w:rsidRPr="00551E61">
        <w:rPr>
          <w:rFonts w:ascii="Arial" w:hAnsi="Arial" w:cs="Arial"/>
          <w:sz w:val="22"/>
          <w:szCs w:val="22"/>
          <w:lang w:val="es-ES_tradnl"/>
        </w:rPr>
        <w:t>, densidad e</w:t>
      </w:r>
      <w:r w:rsidR="00A464AA" w:rsidRPr="00551E61">
        <w:rPr>
          <w:rFonts w:ascii="Arial" w:hAnsi="Arial" w:cs="Arial"/>
          <w:sz w:val="22"/>
          <w:szCs w:val="22"/>
          <w:lang w:val="es-ES_tradnl"/>
        </w:rPr>
        <w:t xml:space="preserve"> incidencia de apartamentos multifamiliares </w:t>
      </w:r>
      <w:r w:rsidR="00533B94" w:rsidRPr="00551E61">
        <w:rPr>
          <w:rFonts w:ascii="Arial" w:hAnsi="Arial" w:cs="Arial"/>
          <w:sz w:val="22"/>
          <w:szCs w:val="22"/>
          <w:lang w:val="es-ES_tradnl"/>
        </w:rPr>
        <w:t>(Blanco et al., 2015).</w:t>
      </w:r>
      <w:r w:rsidR="00A464AA" w:rsidRPr="00551E61">
        <w:rPr>
          <w:rFonts w:ascii="Arial" w:hAnsi="Arial" w:cs="Arial"/>
          <w:sz w:val="22"/>
          <w:szCs w:val="22"/>
          <w:lang w:val="es-ES_tradnl"/>
        </w:rPr>
        <w:t xml:space="preserve"> El problema </w:t>
      </w:r>
      <w:r w:rsidR="001659CA" w:rsidRPr="00551E61">
        <w:rPr>
          <w:rFonts w:ascii="Arial" w:hAnsi="Arial" w:cs="Arial"/>
          <w:sz w:val="22"/>
          <w:szCs w:val="22"/>
          <w:lang w:val="es-ES_tradnl"/>
        </w:rPr>
        <w:t xml:space="preserve">más bien </w:t>
      </w:r>
      <w:r w:rsidR="00A464AA" w:rsidRPr="00551E61">
        <w:rPr>
          <w:rFonts w:ascii="Arial" w:hAnsi="Arial" w:cs="Arial"/>
          <w:sz w:val="22"/>
          <w:szCs w:val="22"/>
          <w:lang w:val="es-ES_tradnl"/>
        </w:rPr>
        <w:t xml:space="preserve">radica en que en República Dominicana la legislación de alquiler es arcaica y el proceso de reposesión es supremamente difícil ante un incumplimiento. </w:t>
      </w:r>
    </w:p>
    <w:p w:rsidR="00533B94" w:rsidRPr="00551E61" w:rsidRDefault="004201AE" w:rsidP="004201AE">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szCs w:val="22"/>
          <w:lang w:val="es-ES_tradnl"/>
        </w:rPr>
        <w:t xml:space="preserve">El Plan </w:t>
      </w:r>
      <w:r w:rsidR="000D5498" w:rsidRPr="00551E61">
        <w:rPr>
          <w:rFonts w:ascii="Arial" w:hAnsi="Arial" w:cs="Arial"/>
          <w:sz w:val="22"/>
          <w:szCs w:val="22"/>
          <w:lang w:val="es-ES_tradnl"/>
        </w:rPr>
        <w:t>Estratégico</w:t>
      </w:r>
      <w:r w:rsidRPr="00551E61">
        <w:rPr>
          <w:rFonts w:ascii="Arial" w:hAnsi="Arial" w:cs="Arial"/>
          <w:sz w:val="22"/>
          <w:szCs w:val="22"/>
          <w:lang w:val="es-ES_tradnl"/>
        </w:rPr>
        <w:t xml:space="preserve"> de la CCSD y su diagnóstico de base identificaban este tema como la causa principal de la existencia de propiedades desocupadas: “</w:t>
      </w:r>
      <w:r w:rsidRPr="00551E61">
        <w:rPr>
          <w:rFonts w:ascii="Arial" w:hAnsi="Arial" w:cs="Arial"/>
          <w:i/>
          <w:sz w:val="22"/>
          <w:szCs w:val="22"/>
          <w:lang w:val="es-ES_tradnl"/>
        </w:rPr>
        <w:t>El alto nivel de desocupación existente en las manzanas se debe principalmente, de acuerdo al criterio de las personas entrevistadas, a la legislación de inquilinato que protege totalmente al inquilino en las siguientes formas: (i) el contrato de arrendamiento se renueva automáticamente, (ii) en caso de producirse problemas entre el inquilino y el propietario, el inquilino no puede ser desalojado del inmueble que ocupa; si lo fuere, es necesario que el propietario le alquile otra vivienda por el mismo valor, y (iii) si el inquilino no está de acuerdo con la tarifa acordada, recurre a las instancias correspondientes y éstas le disminuyen en un 15% la tarifa; estas tarifas acordadas o impuestas por la autoridad permanecen vigentes durante el tiempo que el predio es alquilado a la misma persona</w:t>
      </w:r>
      <w:r w:rsidRPr="00551E61">
        <w:rPr>
          <w:rFonts w:ascii="Arial" w:hAnsi="Arial" w:cs="Arial"/>
          <w:sz w:val="22"/>
          <w:szCs w:val="22"/>
          <w:lang w:val="es-ES_tradnl"/>
        </w:rPr>
        <w:t xml:space="preserve">” (Plan </w:t>
      </w:r>
      <w:r w:rsidR="000D5498" w:rsidRPr="00551E61">
        <w:rPr>
          <w:rFonts w:ascii="Arial" w:hAnsi="Arial" w:cs="Arial"/>
          <w:sz w:val="22"/>
          <w:szCs w:val="22"/>
          <w:lang w:val="es-ES_tradnl"/>
        </w:rPr>
        <w:t>Estratégico.</w:t>
      </w:r>
      <w:r w:rsidR="002602A9" w:rsidRPr="00551E61">
        <w:rPr>
          <w:rFonts w:ascii="Arial" w:hAnsi="Arial" w:cs="Arial"/>
          <w:sz w:val="22"/>
          <w:szCs w:val="22"/>
          <w:lang w:val="es-ES_tradnl"/>
        </w:rPr>
        <w:t xml:space="preserve"> </w:t>
      </w:r>
      <w:r w:rsidR="00F60B87" w:rsidRPr="00551E61">
        <w:rPr>
          <w:rFonts w:ascii="Arial" w:hAnsi="Arial" w:cs="Arial"/>
          <w:sz w:val="22"/>
          <w:szCs w:val="22"/>
          <w:lang w:val="es-ES_tradnl"/>
        </w:rPr>
        <w:t>Documento de Diagnóstico</w:t>
      </w:r>
      <w:r w:rsidR="000D5498" w:rsidRPr="00551E61">
        <w:rPr>
          <w:rFonts w:ascii="Arial" w:hAnsi="Arial" w:cs="Arial"/>
          <w:sz w:val="22"/>
          <w:szCs w:val="22"/>
          <w:lang w:val="es-ES_tradnl"/>
        </w:rPr>
        <w:t xml:space="preserve"> (2004)</w:t>
      </w:r>
      <w:r w:rsidR="00F60B87" w:rsidRPr="00551E61">
        <w:rPr>
          <w:rFonts w:ascii="Arial" w:hAnsi="Arial" w:cs="Arial"/>
          <w:sz w:val="22"/>
          <w:szCs w:val="22"/>
          <w:lang w:val="es-ES_tradnl"/>
        </w:rPr>
        <w:t>:</w:t>
      </w:r>
      <w:r w:rsidRPr="00551E61">
        <w:rPr>
          <w:rFonts w:ascii="Arial" w:hAnsi="Arial" w:cs="Arial"/>
          <w:sz w:val="22"/>
          <w:szCs w:val="22"/>
          <w:lang w:val="es-ES_tradnl"/>
        </w:rPr>
        <w:t xml:space="preserve"> pág. 219).</w:t>
      </w:r>
    </w:p>
    <w:p w:rsidR="00FB349A" w:rsidRPr="00551E61" w:rsidRDefault="004201AE" w:rsidP="004201AE">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szCs w:val="22"/>
          <w:lang w:val="es-ES_tradnl"/>
        </w:rPr>
        <w:t xml:space="preserve">La combinación del alto porcentaje de alquiler con las dificultades de reposesión del bien, hace que muchas propiedades permanezcan por fuera del mercado y crea un </w:t>
      </w:r>
      <w:r w:rsidRPr="00551E61">
        <w:rPr>
          <w:rFonts w:ascii="Arial" w:hAnsi="Arial" w:cs="Arial"/>
          <w:sz w:val="22"/>
          <w:szCs w:val="22"/>
          <w:lang w:val="es-ES_tradnl"/>
        </w:rPr>
        <w:lastRenderedPageBreak/>
        <w:t xml:space="preserve">fuerte desincentivo a este tipo de tenencia restringiendo fuertemente la oferta inmobiliaria en el sector. Una muestra de esto es la altísima varianza entre los alquileres pagados en la CCSD, de acuerdo al Plan </w:t>
      </w:r>
      <w:r w:rsidR="000D5498" w:rsidRPr="00551E61">
        <w:rPr>
          <w:rFonts w:ascii="Arial" w:hAnsi="Arial" w:cs="Arial"/>
          <w:sz w:val="22"/>
          <w:szCs w:val="22"/>
          <w:lang w:val="es-ES_tradnl"/>
        </w:rPr>
        <w:t>Estratégico de 2006</w:t>
      </w:r>
      <w:r w:rsidRPr="00551E61">
        <w:rPr>
          <w:rFonts w:ascii="Arial" w:hAnsi="Arial" w:cs="Arial"/>
          <w:sz w:val="22"/>
          <w:szCs w:val="22"/>
          <w:lang w:val="es-ES_tradnl"/>
        </w:rPr>
        <w:t xml:space="preserve"> por ejemplo,</w:t>
      </w:r>
      <w:r w:rsidR="00FB349A" w:rsidRPr="00551E61">
        <w:rPr>
          <w:rFonts w:ascii="Arial" w:hAnsi="Arial" w:cs="Arial"/>
          <w:sz w:val="22"/>
          <w:szCs w:val="22"/>
          <w:lang w:val="es-ES_tradnl"/>
        </w:rPr>
        <w:t xml:space="preserve"> una habitación alquilada en la época del plan entre la Calle Conde y la Calle Las Mercedes, podría tener un valor de RD$ 5,000 (unos US$ 171 ajustando por inflación) mientras una habitación en la misma área alquilada años atrás podría tener una renta de tan solo RD$ 200 (o US$ 7). Es decir que dependiendo de cuando fue alquilada, el diferencial en la renta del mismo tipo de bien inmueble podía ser hasta de 25 veces. </w:t>
      </w:r>
    </w:p>
    <w:p w:rsidR="00205BE9" w:rsidRPr="00551E61" w:rsidRDefault="00205BE9" w:rsidP="00205BE9">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szCs w:val="22"/>
          <w:lang w:val="es-ES_tradnl"/>
        </w:rPr>
        <w:t>En el censo de la CCSD del 2015 se puede apreciar el impacto de esta situación en términos de la amplia variabilidad de renta mensual que se paga en la zona. Mientras el 10.5% de las familias paga menos de RD$ 2,000 (unos US$ 44), el 5.3% paga 10 veces más con alquileres de RD$ 20,000 mientras la gran mayoría se ubica entre estas dos cotas siendo el rango entre RD$ 5,000 y RD$ 9,999 (US$ 111 a US$ 222) el que contiene un mayor porcentaje de familias (ilustración 2).</w:t>
      </w:r>
    </w:p>
    <w:p w:rsidR="00205BE9" w:rsidRPr="00551E61" w:rsidRDefault="00205BE9" w:rsidP="00205BE9">
      <w:pPr>
        <w:pStyle w:val="Paragraph"/>
        <w:ind w:left="720"/>
        <w:rPr>
          <w:rFonts w:ascii="Arial" w:hAnsi="Arial" w:cs="Arial"/>
          <w:sz w:val="22"/>
          <w:szCs w:val="22"/>
          <w:lang w:val="es-ES_tradnl"/>
        </w:rPr>
      </w:pPr>
    </w:p>
    <w:p w:rsidR="00205BE9" w:rsidRPr="00551E61" w:rsidRDefault="00205BE9" w:rsidP="00205BE9">
      <w:pPr>
        <w:spacing w:after="0"/>
        <w:jc w:val="center"/>
        <w:rPr>
          <w:rFonts w:ascii="Arial" w:eastAsia="Calibri" w:hAnsi="Arial" w:cs="Arial"/>
          <w:lang w:val="es-PE"/>
        </w:rPr>
      </w:pPr>
      <w:r w:rsidRPr="00551E61">
        <w:rPr>
          <w:rFonts w:ascii="Arial" w:eastAsia="Calibri" w:hAnsi="Arial" w:cs="Arial"/>
          <w:lang w:val="es-PE"/>
        </w:rPr>
        <w:t>Ilustración 2 Alquiler mensual en la CCSD (2015)</w:t>
      </w:r>
    </w:p>
    <w:p w:rsidR="00205BE9" w:rsidRPr="00551E61" w:rsidRDefault="00205BE9" w:rsidP="00205BE9">
      <w:pPr>
        <w:spacing w:after="0"/>
        <w:jc w:val="center"/>
        <w:rPr>
          <w:rFonts w:ascii="Arial" w:hAnsi="Arial" w:cs="Arial"/>
          <w:lang w:val="es-ES_tradnl"/>
        </w:rPr>
      </w:pPr>
      <w:r w:rsidRPr="00551E61">
        <w:rPr>
          <w:rFonts w:ascii="Arial" w:hAnsi="Arial" w:cs="Arial"/>
          <w:noProof/>
          <w:lang w:val="en-US"/>
        </w:rPr>
        <w:drawing>
          <wp:inline distT="0" distB="0" distL="0" distR="0" wp14:anchorId="6A92BDF8" wp14:editId="1A8EC49D">
            <wp:extent cx="5731510" cy="2370625"/>
            <wp:effectExtent l="0" t="0" r="254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731510" cy="2370625"/>
                    </a:xfrm>
                    <a:prstGeom prst="rect">
                      <a:avLst/>
                    </a:prstGeom>
                    <a:noFill/>
                    <a:ln>
                      <a:noFill/>
                    </a:ln>
                  </pic:spPr>
                </pic:pic>
              </a:graphicData>
            </a:graphic>
          </wp:inline>
        </w:drawing>
      </w:r>
    </w:p>
    <w:p w:rsidR="00205BE9" w:rsidRPr="00551E61" w:rsidRDefault="00205BE9" w:rsidP="00205BE9">
      <w:pPr>
        <w:rPr>
          <w:rFonts w:ascii="Arial" w:eastAsia="Calibri" w:hAnsi="Arial" w:cs="Arial"/>
          <w:sz w:val="20"/>
          <w:szCs w:val="20"/>
          <w:lang w:val="es-PE"/>
        </w:rPr>
      </w:pPr>
      <w:r w:rsidRPr="00551E61">
        <w:rPr>
          <w:rFonts w:ascii="Arial" w:eastAsia="Calibri" w:hAnsi="Arial" w:cs="Arial"/>
          <w:sz w:val="20"/>
          <w:szCs w:val="20"/>
          <w:lang w:val="es-PE"/>
        </w:rPr>
        <w:t xml:space="preserve">Fuente: Censo CCSD </w:t>
      </w:r>
      <w:r w:rsidR="00E66AC5" w:rsidRPr="00551E61">
        <w:rPr>
          <w:rFonts w:ascii="Arial" w:eastAsia="Calibri" w:hAnsi="Arial" w:cs="Arial"/>
          <w:sz w:val="20"/>
          <w:szCs w:val="20"/>
          <w:lang w:val="es-PE"/>
        </w:rPr>
        <w:t>(</w:t>
      </w:r>
      <w:r w:rsidRPr="00551E61">
        <w:rPr>
          <w:rFonts w:ascii="Arial" w:eastAsia="Calibri" w:hAnsi="Arial" w:cs="Arial"/>
          <w:sz w:val="20"/>
          <w:szCs w:val="20"/>
          <w:lang w:val="es-PE"/>
        </w:rPr>
        <w:t>2015</w:t>
      </w:r>
      <w:r w:rsidR="00E66AC5" w:rsidRPr="00551E61">
        <w:rPr>
          <w:rFonts w:ascii="Arial" w:eastAsia="Calibri" w:hAnsi="Arial" w:cs="Arial"/>
          <w:sz w:val="20"/>
          <w:szCs w:val="20"/>
          <w:lang w:val="es-PE"/>
        </w:rPr>
        <w:t>)</w:t>
      </w:r>
    </w:p>
    <w:p w:rsidR="004201AE" w:rsidRPr="00551E61" w:rsidRDefault="00FB349A" w:rsidP="00205BE9">
      <w:pPr>
        <w:pStyle w:val="Chapter"/>
        <w:numPr>
          <w:ilvl w:val="0"/>
          <w:numId w:val="0"/>
        </w:numPr>
        <w:ind w:left="1728"/>
        <w:rPr>
          <w:rFonts w:ascii="Arial" w:hAnsi="Arial" w:cs="Arial"/>
          <w:sz w:val="22"/>
          <w:szCs w:val="22"/>
          <w:lang w:val="es-ES_tradnl"/>
        </w:rPr>
      </w:pPr>
      <w:r w:rsidRPr="00551E61">
        <w:rPr>
          <w:rFonts w:ascii="Arial" w:hAnsi="Arial" w:cs="Arial"/>
          <w:lang w:val="es-ES_tradnl"/>
        </w:rPr>
        <w:t xml:space="preserve">  </w:t>
      </w:r>
    </w:p>
    <w:p w:rsidR="003F5ABC" w:rsidRPr="00551E61" w:rsidRDefault="003F5ABC" w:rsidP="00787A2E">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szCs w:val="22"/>
          <w:lang w:val="es-ES_tradnl"/>
        </w:rPr>
        <w:t>A primera vista esta situación puede presentar beneficios en términos de mantener una buena mezcla de grupos de ingreso en la zona y de contribuir a que el tiempo de permanencia sea muy alto ya que el 29.9% de los residentes han vivido 30 años o más en la misma vivienda,</w:t>
      </w:r>
      <w:r w:rsidR="001659CA" w:rsidRPr="00551E61">
        <w:rPr>
          <w:rFonts w:ascii="Arial" w:hAnsi="Arial" w:cs="Arial"/>
          <w:sz w:val="22"/>
          <w:szCs w:val="22"/>
          <w:lang w:val="es-ES_tradnl"/>
        </w:rPr>
        <w:t xml:space="preserve"> y</w:t>
      </w:r>
      <w:r w:rsidRPr="00551E61">
        <w:rPr>
          <w:rFonts w:ascii="Arial" w:hAnsi="Arial" w:cs="Arial"/>
          <w:sz w:val="22"/>
          <w:szCs w:val="22"/>
          <w:lang w:val="es-ES_tradnl"/>
        </w:rPr>
        <w:t xml:space="preserve"> 19.5% entre 15 y 29. Sin embargo, al generar un desincentivo para la o</w:t>
      </w:r>
      <w:r w:rsidR="001659CA" w:rsidRPr="00551E61">
        <w:rPr>
          <w:rFonts w:ascii="Arial" w:hAnsi="Arial" w:cs="Arial"/>
          <w:sz w:val="22"/>
          <w:szCs w:val="22"/>
          <w:lang w:val="es-ES_tradnl"/>
        </w:rPr>
        <w:t>ferta de vivienda asequible que sea a su vez</w:t>
      </w:r>
      <w:r w:rsidRPr="00551E61">
        <w:rPr>
          <w:rFonts w:ascii="Arial" w:hAnsi="Arial" w:cs="Arial"/>
          <w:sz w:val="22"/>
          <w:szCs w:val="22"/>
          <w:lang w:val="es-ES_tradnl"/>
        </w:rPr>
        <w:t xml:space="preserve"> rentable</w:t>
      </w:r>
      <w:r w:rsidR="001659CA" w:rsidRPr="00551E61">
        <w:rPr>
          <w:rFonts w:ascii="Arial" w:hAnsi="Arial" w:cs="Arial"/>
          <w:sz w:val="22"/>
          <w:szCs w:val="22"/>
          <w:lang w:val="es-ES_tradnl"/>
        </w:rPr>
        <w:t xml:space="preserve"> para el proveedor</w:t>
      </w:r>
      <w:r w:rsidRPr="00551E61">
        <w:rPr>
          <w:rFonts w:ascii="Arial" w:hAnsi="Arial" w:cs="Arial"/>
          <w:sz w:val="22"/>
          <w:szCs w:val="22"/>
          <w:lang w:val="es-ES_tradnl"/>
        </w:rPr>
        <w:t>,</w:t>
      </w:r>
      <w:r w:rsidR="001659CA" w:rsidRPr="00551E61">
        <w:rPr>
          <w:rFonts w:ascii="Arial" w:hAnsi="Arial" w:cs="Arial"/>
          <w:sz w:val="22"/>
          <w:szCs w:val="22"/>
          <w:lang w:val="es-ES_tradnl"/>
        </w:rPr>
        <w:t xml:space="preserve"> se</w:t>
      </w:r>
      <w:r w:rsidRPr="00551E61">
        <w:rPr>
          <w:rFonts w:ascii="Arial" w:hAnsi="Arial" w:cs="Arial"/>
          <w:sz w:val="22"/>
          <w:szCs w:val="22"/>
          <w:lang w:val="es-ES_tradnl"/>
        </w:rPr>
        <w:t xml:space="preserve"> impacta negativamente las condiciones de habitabilidad en la zona, disminuye la inversión en mantenimiento, crea un mercado segmentado informal de vivienda de baja calidad y contribuye a los problemas de vivienda vacía. </w:t>
      </w:r>
    </w:p>
    <w:p w:rsidR="00A91500" w:rsidRPr="00551E61" w:rsidRDefault="003F5ABC" w:rsidP="00787A2E">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szCs w:val="22"/>
          <w:lang w:val="es-ES_tradnl"/>
        </w:rPr>
        <w:t xml:space="preserve">El segundo factor que impide una oferta más dinámica, </w:t>
      </w:r>
      <w:r w:rsidRPr="00551E61">
        <w:rPr>
          <w:rFonts w:ascii="Arial" w:hAnsi="Arial" w:cs="Arial"/>
          <w:b/>
          <w:sz w:val="22"/>
          <w:szCs w:val="22"/>
          <w:lang w:val="es-ES_tradnl"/>
        </w:rPr>
        <w:t>la escasa titularidad de las propiedades en el área</w:t>
      </w:r>
      <w:r w:rsidR="008432B0" w:rsidRPr="00551E61">
        <w:rPr>
          <w:rFonts w:ascii="Arial" w:hAnsi="Arial" w:cs="Arial"/>
          <w:sz w:val="22"/>
          <w:szCs w:val="22"/>
          <w:lang w:val="es-ES_tradnl"/>
        </w:rPr>
        <w:t xml:space="preserve">, tiene consecuencias negativas similares. </w:t>
      </w:r>
      <w:r w:rsidR="00DA3521" w:rsidRPr="00551E61">
        <w:rPr>
          <w:rFonts w:ascii="Arial" w:hAnsi="Arial" w:cs="Arial"/>
          <w:sz w:val="22"/>
          <w:szCs w:val="22"/>
          <w:lang w:val="es-ES_tradnl"/>
        </w:rPr>
        <w:t xml:space="preserve">Como en el caso del alquiler, sus raíces están en marcos legales inadecuados para responder a la realidad. La ley de títulos en </w:t>
      </w:r>
      <w:r w:rsidR="00A91500" w:rsidRPr="00551E61">
        <w:rPr>
          <w:rFonts w:ascii="Arial" w:hAnsi="Arial" w:cs="Arial"/>
          <w:sz w:val="22"/>
          <w:szCs w:val="22"/>
          <w:lang w:val="es-ES_tradnl"/>
        </w:rPr>
        <w:t>República</w:t>
      </w:r>
      <w:r w:rsidR="00DA3521" w:rsidRPr="00551E61">
        <w:rPr>
          <w:rFonts w:ascii="Arial" w:hAnsi="Arial" w:cs="Arial"/>
          <w:sz w:val="22"/>
          <w:szCs w:val="22"/>
          <w:lang w:val="es-ES_tradnl"/>
        </w:rPr>
        <w:t xml:space="preserve"> Dominicana se basa en un sistema constitutivo del derecho y no en uno declaratorio como en otros </w:t>
      </w:r>
      <w:r w:rsidR="00A91500" w:rsidRPr="00551E61">
        <w:rPr>
          <w:rFonts w:ascii="Arial" w:hAnsi="Arial" w:cs="Arial"/>
          <w:sz w:val="22"/>
          <w:szCs w:val="22"/>
          <w:lang w:val="es-ES_tradnl"/>
        </w:rPr>
        <w:t>países</w:t>
      </w:r>
      <w:r w:rsidR="00DA3521" w:rsidRPr="00551E61">
        <w:rPr>
          <w:rFonts w:ascii="Arial" w:hAnsi="Arial" w:cs="Arial"/>
          <w:sz w:val="22"/>
          <w:szCs w:val="22"/>
          <w:lang w:val="es-ES_tradnl"/>
        </w:rPr>
        <w:t xml:space="preserve"> de la región. Esto se traduce en</w:t>
      </w:r>
      <w:r w:rsidR="00A91500" w:rsidRPr="00551E61">
        <w:rPr>
          <w:rFonts w:ascii="Arial" w:hAnsi="Arial" w:cs="Arial"/>
          <w:sz w:val="22"/>
          <w:szCs w:val="22"/>
          <w:lang w:val="es-ES_tradnl"/>
        </w:rPr>
        <w:t xml:space="preserve"> que</w:t>
      </w:r>
      <w:r w:rsidR="00DA3521" w:rsidRPr="00551E61">
        <w:rPr>
          <w:rFonts w:ascii="Arial" w:hAnsi="Arial" w:cs="Arial"/>
          <w:sz w:val="22"/>
          <w:szCs w:val="22"/>
          <w:lang w:val="es-ES_tradnl"/>
        </w:rPr>
        <w:t xml:space="preserve"> no hay propietarios de hecho sino solo de derecho ya que no es posible acceder a la propiedad por </w:t>
      </w:r>
      <w:r w:rsidR="00A91500" w:rsidRPr="00551E61">
        <w:rPr>
          <w:rFonts w:ascii="Arial" w:hAnsi="Arial" w:cs="Arial"/>
          <w:sz w:val="22"/>
          <w:szCs w:val="22"/>
          <w:lang w:val="es-ES_tradnl"/>
        </w:rPr>
        <w:t>ocupación</w:t>
      </w:r>
      <w:r w:rsidR="00DA3521" w:rsidRPr="00551E61">
        <w:rPr>
          <w:rFonts w:ascii="Arial" w:hAnsi="Arial" w:cs="Arial"/>
          <w:sz w:val="22"/>
          <w:szCs w:val="22"/>
          <w:lang w:val="es-ES_tradnl"/>
        </w:rPr>
        <w:t xml:space="preserve"> y</w:t>
      </w:r>
      <w:r w:rsidR="00A91500" w:rsidRPr="00551E61">
        <w:rPr>
          <w:rFonts w:ascii="Arial" w:hAnsi="Arial" w:cs="Arial"/>
          <w:sz w:val="22"/>
          <w:szCs w:val="22"/>
          <w:lang w:val="es-ES_tradnl"/>
        </w:rPr>
        <w:t xml:space="preserve"> el derecho de los propietarios es perpetuo. </w:t>
      </w:r>
    </w:p>
    <w:p w:rsidR="00B44E34" w:rsidRPr="00551E61" w:rsidRDefault="00A91500" w:rsidP="00787A2E">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szCs w:val="22"/>
          <w:lang w:val="es-ES_tradnl"/>
        </w:rPr>
        <w:lastRenderedPageBreak/>
        <w:t>Por estas razones, se calcula que el 85% de los predios urbanos y el 45% de los predios rurales esta en alguna condición de extra</w:t>
      </w:r>
      <w:r w:rsidR="001659CA" w:rsidRPr="00551E61">
        <w:rPr>
          <w:rFonts w:ascii="Arial" w:hAnsi="Arial" w:cs="Arial"/>
          <w:sz w:val="22"/>
          <w:szCs w:val="22"/>
          <w:lang w:val="es-ES_tradnl"/>
        </w:rPr>
        <w:t>-</w:t>
      </w:r>
      <w:r w:rsidRPr="00551E61">
        <w:rPr>
          <w:rFonts w:ascii="Arial" w:hAnsi="Arial" w:cs="Arial"/>
          <w:sz w:val="22"/>
          <w:szCs w:val="22"/>
          <w:lang w:val="es-ES_tradnl"/>
        </w:rPr>
        <w:t>legalidad. La CCSD no es ajena a estos problemas. Un estudio realizado para el BID</w:t>
      </w:r>
      <w:r w:rsidR="00B8735C" w:rsidRPr="00551E61">
        <w:rPr>
          <w:rFonts w:ascii="Arial" w:hAnsi="Arial" w:cs="Arial"/>
          <w:sz w:val="22"/>
          <w:szCs w:val="22"/>
          <w:lang w:val="es-ES_tradnl"/>
        </w:rPr>
        <w:t xml:space="preserve"> revisó el estado de las propiedades en Sala de Consulta del Registro de Títulos del Distrito Nacional</w:t>
      </w:r>
      <w:r w:rsidRPr="00551E61">
        <w:rPr>
          <w:rFonts w:ascii="Arial" w:hAnsi="Arial" w:cs="Arial"/>
          <w:sz w:val="22"/>
          <w:szCs w:val="22"/>
          <w:lang w:val="es-ES_tradnl"/>
        </w:rPr>
        <w:t xml:space="preserve"> </w:t>
      </w:r>
      <w:r w:rsidR="00B8735C" w:rsidRPr="00551E61">
        <w:rPr>
          <w:rFonts w:ascii="Arial" w:hAnsi="Arial" w:cs="Arial"/>
          <w:sz w:val="22"/>
          <w:szCs w:val="22"/>
          <w:lang w:val="es-ES_tradnl"/>
        </w:rPr>
        <w:t>encontrando que de los 2,622 inmuebles registrados</w:t>
      </w:r>
      <w:r w:rsidR="001944B3" w:rsidRPr="00551E61">
        <w:rPr>
          <w:rFonts w:ascii="Arial" w:hAnsi="Arial" w:cs="Arial"/>
          <w:sz w:val="22"/>
          <w:szCs w:val="22"/>
          <w:lang w:val="es-ES_tradnl"/>
        </w:rPr>
        <w:t>, “</w:t>
      </w:r>
      <w:r w:rsidR="001944B3" w:rsidRPr="00551E61">
        <w:rPr>
          <w:rFonts w:ascii="Arial" w:hAnsi="Arial" w:cs="Arial"/>
          <w:bCs/>
          <w:i/>
          <w:sz w:val="22"/>
          <w:szCs w:val="22"/>
          <w:lang w:val="es-ES_tradnl"/>
        </w:rPr>
        <w:t>725 tienen Certificados de Títulos identificados con matricula, según la Ley de Registro Inmobiliario número 108-11</w:t>
      </w:r>
      <w:r w:rsidR="00F60B87" w:rsidRPr="00551E61">
        <w:rPr>
          <w:rFonts w:ascii="Arial" w:hAnsi="Arial" w:cs="Arial"/>
          <w:bCs/>
          <w:sz w:val="22"/>
          <w:szCs w:val="22"/>
          <w:lang w:val="es-ES_tradnl"/>
        </w:rPr>
        <w:t>” (Gil, 2015:</w:t>
      </w:r>
      <w:r w:rsidR="001944B3" w:rsidRPr="00551E61">
        <w:rPr>
          <w:rFonts w:ascii="Arial" w:hAnsi="Arial" w:cs="Arial"/>
          <w:bCs/>
          <w:sz w:val="22"/>
          <w:szCs w:val="22"/>
          <w:lang w:val="es-ES_tradnl"/>
        </w:rPr>
        <w:t xml:space="preserve"> Pág. 11). </w:t>
      </w:r>
      <w:r w:rsidR="001944B3" w:rsidRPr="00551E61">
        <w:rPr>
          <w:rFonts w:ascii="Arial" w:hAnsi="Arial" w:cs="Arial"/>
          <w:sz w:val="22"/>
          <w:szCs w:val="22"/>
          <w:lang w:val="es-ES_tradnl"/>
        </w:rPr>
        <w:t>Esto significa que solo el 28% de las propiedades tienen un título de propiedad acorde con la ley vigente y que el resto presentan varios problemas de titularidad desde propiedades fundamentadas</w:t>
      </w:r>
      <w:r w:rsidR="00B44E34" w:rsidRPr="00551E61">
        <w:rPr>
          <w:rFonts w:ascii="Arial" w:hAnsi="Arial" w:cs="Arial"/>
          <w:sz w:val="22"/>
          <w:szCs w:val="22"/>
          <w:lang w:val="es-ES_tradnl"/>
        </w:rPr>
        <w:t xml:space="preserve"> con</w:t>
      </w:r>
      <w:r w:rsidR="001944B3" w:rsidRPr="00551E61">
        <w:rPr>
          <w:rFonts w:ascii="Arial" w:hAnsi="Arial" w:cs="Arial"/>
          <w:sz w:val="22"/>
          <w:szCs w:val="22"/>
          <w:lang w:val="es-ES_tradnl"/>
        </w:rPr>
        <w:t xml:space="preserve"> base a constancias anotadas pendientes de deslinde</w:t>
      </w:r>
      <w:r w:rsidRPr="00551E61">
        <w:rPr>
          <w:rFonts w:ascii="Arial" w:hAnsi="Arial" w:cs="Arial"/>
          <w:sz w:val="22"/>
          <w:szCs w:val="22"/>
          <w:lang w:val="es-ES_tradnl"/>
        </w:rPr>
        <w:t xml:space="preserve"> </w:t>
      </w:r>
      <w:r w:rsidR="001944B3" w:rsidRPr="00551E61">
        <w:rPr>
          <w:rFonts w:ascii="Arial" w:hAnsi="Arial" w:cs="Arial"/>
          <w:sz w:val="22"/>
          <w:szCs w:val="22"/>
          <w:lang w:val="es-ES_tradnl"/>
        </w:rPr>
        <w:t>hasta propiedades a nombre de un pariente fallecido que no se han transferido o propiedades ocupadas de hecho.</w:t>
      </w:r>
    </w:p>
    <w:p w:rsidR="00205BE9" w:rsidRPr="00551E61" w:rsidRDefault="00B44E34" w:rsidP="00787A2E">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szCs w:val="22"/>
          <w:lang w:val="es-ES_tradnl"/>
        </w:rPr>
        <w:t xml:space="preserve">El tercer factor que afecta a la oferta, es </w:t>
      </w:r>
      <w:r w:rsidRPr="00551E61">
        <w:rPr>
          <w:rFonts w:ascii="Arial" w:hAnsi="Arial" w:cs="Arial"/>
          <w:b/>
          <w:sz w:val="22"/>
          <w:szCs w:val="22"/>
          <w:lang w:val="es-ES_tradnl"/>
        </w:rPr>
        <w:t>el alto precio del suelo</w:t>
      </w:r>
      <w:r w:rsidRPr="00551E61">
        <w:rPr>
          <w:rFonts w:ascii="Arial" w:hAnsi="Arial" w:cs="Arial"/>
          <w:sz w:val="22"/>
          <w:szCs w:val="22"/>
          <w:lang w:val="es-ES_tradnl"/>
        </w:rPr>
        <w:t xml:space="preserve">. </w:t>
      </w:r>
      <w:r w:rsidR="00083831" w:rsidRPr="00551E61">
        <w:rPr>
          <w:rFonts w:ascii="Arial" w:hAnsi="Arial" w:cs="Arial"/>
          <w:sz w:val="22"/>
          <w:szCs w:val="22"/>
          <w:lang w:val="es-ES_tradnl"/>
        </w:rPr>
        <w:t xml:space="preserve">Esto es una consecuencia obvia de varios de los elementos de diagnóstico descritos previamente: </w:t>
      </w:r>
      <w:r w:rsidR="00A46336" w:rsidRPr="00551E61">
        <w:rPr>
          <w:rFonts w:ascii="Arial" w:hAnsi="Arial" w:cs="Arial"/>
          <w:sz w:val="22"/>
          <w:szCs w:val="22"/>
          <w:lang w:val="es-ES_tradnl"/>
        </w:rPr>
        <w:t xml:space="preserve">por un lado, </w:t>
      </w:r>
      <w:r w:rsidR="00083831" w:rsidRPr="00551E61">
        <w:rPr>
          <w:rFonts w:ascii="Arial" w:hAnsi="Arial" w:cs="Arial"/>
          <w:sz w:val="22"/>
          <w:szCs w:val="22"/>
          <w:lang w:val="es-ES_tradnl"/>
        </w:rPr>
        <w:t>la demanda por vivienda de lujo y servicios de turismo en el área</w:t>
      </w:r>
      <w:r w:rsidR="00A46336" w:rsidRPr="00551E61">
        <w:rPr>
          <w:rFonts w:ascii="Arial" w:hAnsi="Arial" w:cs="Arial"/>
          <w:sz w:val="22"/>
          <w:szCs w:val="22"/>
          <w:lang w:val="es-ES_tradnl"/>
        </w:rPr>
        <w:t xml:space="preserve"> </w:t>
      </w:r>
      <w:r w:rsidR="00083831" w:rsidRPr="00551E61">
        <w:rPr>
          <w:rFonts w:ascii="Arial" w:hAnsi="Arial" w:cs="Arial"/>
          <w:sz w:val="22"/>
          <w:szCs w:val="22"/>
          <w:lang w:val="es-ES_tradnl"/>
        </w:rPr>
        <w:t>y</w:t>
      </w:r>
      <w:r w:rsidR="00A46336" w:rsidRPr="00551E61">
        <w:rPr>
          <w:rFonts w:ascii="Arial" w:hAnsi="Arial" w:cs="Arial"/>
          <w:sz w:val="22"/>
          <w:szCs w:val="22"/>
          <w:lang w:val="es-ES_tradnl"/>
        </w:rPr>
        <w:t>, por el otro,</w:t>
      </w:r>
      <w:r w:rsidR="00083831" w:rsidRPr="00551E61">
        <w:rPr>
          <w:rFonts w:ascii="Arial" w:hAnsi="Arial" w:cs="Arial"/>
          <w:sz w:val="22"/>
          <w:szCs w:val="22"/>
          <w:lang w:val="es-ES_tradnl"/>
        </w:rPr>
        <w:t xml:space="preserve"> la retención de parte de la oferta inmobiliaria fuera del mercado por los problemas de reposesión y titularidad, hace</w:t>
      </w:r>
      <w:r w:rsidR="001659CA" w:rsidRPr="00551E61">
        <w:rPr>
          <w:rFonts w:ascii="Arial" w:hAnsi="Arial" w:cs="Arial"/>
          <w:sz w:val="22"/>
          <w:szCs w:val="22"/>
          <w:lang w:val="es-ES_tradnl"/>
        </w:rPr>
        <w:t>n</w:t>
      </w:r>
      <w:r w:rsidR="00083831" w:rsidRPr="00551E61">
        <w:rPr>
          <w:rFonts w:ascii="Arial" w:hAnsi="Arial" w:cs="Arial"/>
          <w:sz w:val="22"/>
          <w:szCs w:val="22"/>
          <w:lang w:val="es-ES_tradnl"/>
        </w:rPr>
        <w:t xml:space="preserve"> que los precios de las propiedades en oferta</w:t>
      </w:r>
      <w:r w:rsidR="001659CA" w:rsidRPr="00551E61">
        <w:rPr>
          <w:rFonts w:ascii="Arial" w:hAnsi="Arial" w:cs="Arial"/>
          <w:sz w:val="22"/>
          <w:szCs w:val="22"/>
          <w:lang w:val="es-ES_tradnl"/>
        </w:rPr>
        <w:t xml:space="preserve"> disponibles</w:t>
      </w:r>
      <w:r w:rsidR="00A46336" w:rsidRPr="00551E61">
        <w:rPr>
          <w:rFonts w:ascii="Arial" w:hAnsi="Arial" w:cs="Arial"/>
          <w:sz w:val="22"/>
          <w:szCs w:val="22"/>
          <w:lang w:val="es-ES_tradnl"/>
        </w:rPr>
        <w:t xml:space="preserve"> para realizar proyectos inmobiliarios</w:t>
      </w:r>
      <w:r w:rsidR="00083831" w:rsidRPr="00551E61">
        <w:rPr>
          <w:rFonts w:ascii="Arial" w:hAnsi="Arial" w:cs="Arial"/>
          <w:sz w:val="22"/>
          <w:szCs w:val="22"/>
          <w:lang w:val="es-ES_tradnl"/>
        </w:rPr>
        <w:t xml:space="preserve"> se disparen. Adicionalmente, el problema se agrava por la escasez física de terrenos en una área de 106 hectáreas en la que solo el 1.</w:t>
      </w:r>
      <w:r w:rsidR="00A46336" w:rsidRPr="00551E61">
        <w:rPr>
          <w:rFonts w:ascii="Arial" w:hAnsi="Arial" w:cs="Arial"/>
          <w:sz w:val="22"/>
          <w:szCs w:val="22"/>
          <w:lang w:val="es-ES_tradnl"/>
        </w:rPr>
        <w:t xml:space="preserve">7% </w:t>
      </w:r>
      <w:r w:rsidR="00083831" w:rsidRPr="00551E61">
        <w:rPr>
          <w:rFonts w:ascii="Arial" w:hAnsi="Arial" w:cs="Arial"/>
          <w:sz w:val="22"/>
          <w:szCs w:val="22"/>
          <w:lang w:val="es-ES_tradnl"/>
        </w:rPr>
        <w:t>son lotes vacíos</w:t>
      </w:r>
      <w:r w:rsidR="00A46336" w:rsidRPr="00551E61">
        <w:rPr>
          <w:rFonts w:ascii="Arial" w:hAnsi="Arial" w:cs="Arial"/>
          <w:sz w:val="22"/>
          <w:szCs w:val="22"/>
          <w:lang w:val="es-ES_tradnl"/>
        </w:rPr>
        <w:t xml:space="preserve"> (Plan </w:t>
      </w:r>
      <w:r w:rsidR="000D5498" w:rsidRPr="00551E61">
        <w:rPr>
          <w:rFonts w:ascii="Arial" w:hAnsi="Arial" w:cs="Arial"/>
          <w:sz w:val="22"/>
          <w:szCs w:val="22"/>
          <w:lang w:val="es-ES_tradnl"/>
        </w:rPr>
        <w:t>Estratégico, 2006</w:t>
      </w:r>
      <w:r w:rsidR="00A46336" w:rsidRPr="00551E61">
        <w:rPr>
          <w:rFonts w:ascii="Arial" w:hAnsi="Arial" w:cs="Arial"/>
          <w:sz w:val="22"/>
          <w:szCs w:val="22"/>
          <w:lang w:val="es-ES_tradnl"/>
        </w:rPr>
        <w:t>) y por la normatividad patrimonial que, de acuerdo a algunos desarrolladores consultados, limita no solo las volumetrías y densidades sino también temas como los horarios en los que pueden entrar materiales de construcción a la zona</w:t>
      </w:r>
      <w:r w:rsidR="00AE1041" w:rsidRPr="00551E61">
        <w:rPr>
          <w:rStyle w:val="FootnoteReference"/>
          <w:rFonts w:ascii="Arial" w:hAnsi="Arial" w:cs="Arial"/>
          <w:sz w:val="22"/>
          <w:szCs w:val="22"/>
          <w:lang w:val="es-ES_tradnl"/>
        </w:rPr>
        <w:footnoteReference w:id="9"/>
      </w:r>
      <w:r w:rsidR="00083831" w:rsidRPr="00551E61">
        <w:rPr>
          <w:rFonts w:ascii="Arial" w:hAnsi="Arial" w:cs="Arial"/>
          <w:sz w:val="22"/>
          <w:szCs w:val="22"/>
          <w:lang w:val="es-ES_tradnl"/>
        </w:rPr>
        <w:t xml:space="preserve">.  </w:t>
      </w:r>
    </w:p>
    <w:p w:rsidR="00DD40D3" w:rsidRPr="00551E61" w:rsidRDefault="00581383" w:rsidP="00787A2E">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szCs w:val="22"/>
          <w:lang w:val="es-ES_tradnl"/>
        </w:rPr>
        <w:t xml:space="preserve">El alto precio del suelo hace muy complejo ofertar vivienda asequible. De acuerdo a Villaescusa (2015) </w:t>
      </w:r>
      <w:r w:rsidRPr="00551E61">
        <w:rPr>
          <w:rFonts w:ascii="Arial" w:hAnsi="Arial" w:cs="Arial"/>
          <w:i/>
          <w:sz w:val="22"/>
          <w:szCs w:val="22"/>
          <w:lang w:val="es-ES_tradnl"/>
        </w:rPr>
        <w:t>“</w:t>
      </w:r>
      <w:r w:rsidRPr="00551E61">
        <w:rPr>
          <w:rFonts w:ascii="Arial" w:hAnsi="Arial" w:cs="Arial"/>
          <w:i/>
          <w:sz w:val="22"/>
          <w:szCs w:val="22"/>
        </w:rPr>
        <w:t>si se tiene en cuenta que el precio del m2 de suelo actualmente en el CCSD no es inferior a los RD$ 22,000 y que el precio de construcción para vivienda popular es de unos RD$ 8,800 por m2, se deduce que una vivienda de 60 m2 útiles o 68 m2 construidos (incluyendo los espacios comunes) en un edificio de tres niveles, vendría a resultar a un precio de coste de unos RD$ 16,150 por m2 es decir unos RD$</w:t>
      </w:r>
      <w:r w:rsidR="00F60B87" w:rsidRPr="00551E61">
        <w:rPr>
          <w:rFonts w:ascii="Arial" w:hAnsi="Arial" w:cs="Arial"/>
          <w:i/>
          <w:sz w:val="22"/>
          <w:szCs w:val="22"/>
        </w:rPr>
        <w:t xml:space="preserve"> 1,100,</w:t>
      </w:r>
      <w:r w:rsidRPr="00551E61">
        <w:rPr>
          <w:rFonts w:ascii="Arial" w:hAnsi="Arial" w:cs="Arial"/>
          <w:i/>
          <w:sz w:val="22"/>
          <w:szCs w:val="22"/>
        </w:rPr>
        <w:t>000</w:t>
      </w:r>
      <w:r w:rsidR="00DC28C5" w:rsidRPr="00551E61">
        <w:rPr>
          <w:rFonts w:ascii="Arial" w:hAnsi="Arial" w:cs="Arial"/>
          <w:i/>
          <w:sz w:val="22"/>
          <w:szCs w:val="22"/>
        </w:rPr>
        <w:t xml:space="preserve"> por vivienda</w:t>
      </w:r>
      <w:r w:rsidRPr="00551E61">
        <w:rPr>
          <w:rFonts w:ascii="Arial" w:hAnsi="Arial" w:cs="Arial"/>
          <w:i/>
          <w:sz w:val="22"/>
          <w:szCs w:val="22"/>
        </w:rPr>
        <w:t>”</w:t>
      </w:r>
      <w:r w:rsidR="00DD40D3" w:rsidRPr="00551E61">
        <w:rPr>
          <w:rFonts w:ascii="Arial" w:hAnsi="Arial" w:cs="Arial"/>
          <w:i/>
          <w:sz w:val="22"/>
          <w:szCs w:val="22"/>
        </w:rPr>
        <w:t xml:space="preserve">. </w:t>
      </w:r>
      <w:r w:rsidR="004C4B95" w:rsidRPr="00551E61">
        <w:rPr>
          <w:rFonts w:ascii="Arial" w:hAnsi="Arial" w:cs="Arial"/>
          <w:sz w:val="22"/>
          <w:szCs w:val="22"/>
        </w:rPr>
        <w:t>Esto equivale a un costo de producción para vivienda social de unos US$ 24,500 el cual</w:t>
      </w:r>
      <w:r w:rsidR="00DC28C5" w:rsidRPr="00551E61">
        <w:rPr>
          <w:rFonts w:ascii="Arial" w:hAnsi="Arial" w:cs="Arial"/>
          <w:sz w:val="22"/>
          <w:szCs w:val="22"/>
        </w:rPr>
        <w:t>,</w:t>
      </w:r>
      <w:r w:rsidR="004C4B95" w:rsidRPr="00551E61">
        <w:rPr>
          <w:rFonts w:ascii="Arial" w:hAnsi="Arial" w:cs="Arial"/>
          <w:sz w:val="22"/>
          <w:szCs w:val="22"/>
        </w:rPr>
        <w:t xml:space="preserve"> con las condiciones</w:t>
      </w:r>
      <w:r w:rsidR="00DC28C5" w:rsidRPr="00551E61">
        <w:rPr>
          <w:rFonts w:ascii="Arial" w:hAnsi="Arial" w:cs="Arial"/>
          <w:sz w:val="22"/>
          <w:szCs w:val="22"/>
        </w:rPr>
        <w:t xml:space="preserve"> de crédito</w:t>
      </w:r>
      <w:r w:rsidR="004C4B95" w:rsidRPr="00551E61">
        <w:rPr>
          <w:rFonts w:ascii="Arial" w:hAnsi="Arial" w:cs="Arial"/>
          <w:sz w:val="22"/>
          <w:szCs w:val="22"/>
        </w:rPr>
        <w:t xml:space="preserve"> definidas</w:t>
      </w:r>
      <w:r w:rsidR="00DC28C5" w:rsidRPr="00551E61">
        <w:rPr>
          <w:rFonts w:ascii="Arial" w:hAnsi="Arial" w:cs="Arial"/>
          <w:sz w:val="22"/>
          <w:szCs w:val="22"/>
        </w:rPr>
        <w:t xml:space="preserve"> anteriorment</w:t>
      </w:r>
      <w:r w:rsidR="00F60B87" w:rsidRPr="00551E61">
        <w:rPr>
          <w:rFonts w:ascii="Arial" w:hAnsi="Arial" w:cs="Arial"/>
          <w:sz w:val="22"/>
          <w:szCs w:val="22"/>
        </w:rPr>
        <w:t xml:space="preserve">e, implicaría una cuota de </w:t>
      </w:r>
      <w:r w:rsidR="00DC28C5" w:rsidRPr="00551E61">
        <w:rPr>
          <w:rFonts w:ascii="Arial" w:hAnsi="Arial" w:cs="Arial"/>
          <w:sz w:val="22"/>
          <w:szCs w:val="22"/>
        </w:rPr>
        <w:t xml:space="preserve">US$ 196 lo que la hace asequible únicamente para el ingreso familiar mediano del decil 8 en adelante. </w:t>
      </w:r>
      <w:r w:rsidR="004C4B95" w:rsidRPr="00551E61">
        <w:rPr>
          <w:rFonts w:ascii="Arial" w:hAnsi="Arial" w:cs="Arial"/>
          <w:sz w:val="22"/>
          <w:szCs w:val="22"/>
        </w:rPr>
        <w:t xml:space="preserve"> </w:t>
      </w:r>
    </w:p>
    <w:p w:rsidR="006B6FB8" w:rsidRPr="00551E61" w:rsidRDefault="00DC28C5" w:rsidP="006B6FB8">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szCs w:val="22"/>
        </w:rPr>
        <w:t xml:space="preserve">Es importante resaltar que este valor incluye solo el costo </w:t>
      </w:r>
      <w:r w:rsidR="008E6BA3" w:rsidRPr="00551E61">
        <w:rPr>
          <w:rFonts w:ascii="Arial" w:hAnsi="Arial" w:cs="Arial"/>
          <w:sz w:val="22"/>
          <w:szCs w:val="22"/>
        </w:rPr>
        <w:t>mínimo</w:t>
      </w:r>
      <w:r w:rsidRPr="00551E61">
        <w:rPr>
          <w:rFonts w:ascii="Arial" w:hAnsi="Arial" w:cs="Arial"/>
          <w:sz w:val="22"/>
          <w:szCs w:val="22"/>
        </w:rPr>
        <w:t xml:space="preserve"> de producción y no tiene en cuenta el rendimiento esperado del constructor y </w:t>
      </w:r>
      <w:r w:rsidR="008E6BA3" w:rsidRPr="00551E61">
        <w:rPr>
          <w:rFonts w:ascii="Arial" w:hAnsi="Arial" w:cs="Arial"/>
          <w:sz w:val="22"/>
          <w:szCs w:val="22"/>
        </w:rPr>
        <w:t xml:space="preserve">otros costos como el financiero. Desarrolladores consultados confirman que con un precio de suelo entre US$ 400 y US$ 500 por metro cuadrado y sin la posibilidad de construir en altura para reemplazar tierra por capital es imposible construir vivienda </w:t>
      </w:r>
      <w:r w:rsidR="00B33EC6" w:rsidRPr="00551E61">
        <w:rPr>
          <w:rFonts w:ascii="Arial" w:hAnsi="Arial" w:cs="Arial"/>
          <w:sz w:val="22"/>
          <w:szCs w:val="22"/>
        </w:rPr>
        <w:t>asequible</w:t>
      </w:r>
      <w:r w:rsidR="008E6BA3" w:rsidRPr="00551E61">
        <w:rPr>
          <w:rFonts w:ascii="Arial" w:hAnsi="Arial" w:cs="Arial"/>
          <w:sz w:val="22"/>
          <w:szCs w:val="22"/>
        </w:rPr>
        <w:t xml:space="preserve">. Para mantener el costo de oportunidad del dinero, el constructor tendría que vender el metro cuadrado construido alrededor de US$ 1,600 como mínimo lo que equivaldría a un precio de mercado US$ 100,000 para un apartamento de 60 metros cuadrados. Este valor no solo es inasequible para el ingreso familiar mediano del decil 10 sino que además no es competitivo con las alternativas que existen hoy en </w:t>
      </w:r>
      <w:r w:rsidR="009510E7" w:rsidRPr="00551E61">
        <w:rPr>
          <w:rFonts w:ascii="Arial" w:hAnsi="Arial" w:cs="Arial"/>
          <w:sz w:val="22"/>
          <w:szCs w:val="22"/>
        </w:rPr>
        <w:t>día</w:t>
      </w:r>
      <w:r w:rsidR="008E6BA3" w:rsidRPr="00551E61">
        <w:rPr>
          <w:rFonts w:ascii="Arial" w:hAnsi="Arial" w:cs="Arial"/>
          <w:sz w:val="22"/>
          <w:szCs w:val="22"/>
        </w:rPr>
        <w:t xml:space="preserve"> en el mercado. Por</w:t>
      </w:r>
      <w:r w:rsidR="009510E7" w:rsidRPr="00551E61">
        <w:rPr>
          <w:rFonts w:ascii="Arial" w:hAnsi="Arial" w:cs="Arial"/>
          <w:sz w:val="22"/>
          <w:szCs w:val="22"/>
        </w:rPr>
        <w:t xml:space="preserve"> ejemplo, existen proyectos en construcción de hasta 200 unidades </w:t>
      </w:r>
      <w:r w:rsidR="008E6BA3" w:rsidRPr="00551E61">
        <w:rPr>
          <w:rFonts w:ascii="Arial" w:hAnsi="Arial" w:cs="Arial"/>
          <w:sz w:val="22"/>
          <w:szCs w:val="22"/>
        </w:rPr>
        <w:t xml:space="preserve"> </w:t>
      </w:r>
      <w:r w:rsidR="009510E7" w:rsidRPr="00551E61">
        <w:rPr>
          <w:rFonts w:ascii="Arial" w:hAnsi="Arial" w:cs="Arial"/>
          <w:sz w:val="22"/>
          <w:szCs w:val="22"/>
        </w:rPr>
        <w:t xml:space="preserve">a una distancia caminable de la CCSD que se venden sobre planos desde </w:t>
      </w:r>
      <w:r w:rsidR="008E6BA3" w:rsidRPr="00551E61">
        <w:rPr>
          <w:rFonts w:ascii="Arial" w:hAnsi="Arial" w:cs="Arial"/>
          <w:sz w:val="22"/>
          <w:szCs w:val="22"/>
        </w:rPr>
        <w:t xml:space="preserve">US$ </w:t>
      </w:r>
      <w:r w:rsidR="009510E7" w:rsidRPr="00551E61">
        <w:rPr>
          <w:rFonts w:ascii="Arial" w:hAnsi="Arial" w:cs="Arial"/>
          <w:sz w:val="22"/>
          <w:szCs w:val="22"/>
        </w:rPr>
        <w:t xml:space="preserve">65,000 para dos habitaciones, con 2 parqueaderos y con una mayor </w:t>
      </w:r>
      <w:r w:rsidR="00B33EC6" w:rsidRPr="00551E61">
        <w:rPr>
          <w:rFonts w:ascii="Arial" w:hAnsi="Arial" w:cs="Arial"/>
          <w:sz w:val="22"/>
          <w:szCs w:val="22"/>
        </w:rPr>
        <w:t xml:space="preserve">área construida (desde 84 metros cuadrados). </w:t>
      </w:r>
    </w:p>
    <w:p w:rsidR="006B6FB8" w:rsidRPr="00551E61" w:rsidRDefault="006B6FB8" w:rsidP="00274AD1">
      <w:pPr>
        <w:pStyle w:val="Chapter"/>
        <w:numPr>
          <w:ilvl w:val="0"/>
          <w:numId w:val="0"/>
        </w:numPr>
        <w:ind w:left="1728"/>
        <w:rPr>
          <w:rFonts w:ascii="Arial" w:hAnsi="Arial" w:cs="Arial"/>
          <w:lang w:val="es-ES_tradnl"/>
        </w:rPr>
      </w:pPr>
    </w:p>
    <w:p w:rsidR="00274AD1" w:rsidRPr="00551E61" w:rsidRDefault="00274AD1" w:rsidP="00274AD1">
      <w:pPr>
        <w:pStyle w:val="Chapter"/>
        <w:numPr>
          <w:ilvl w:val="0"/>
          <w:numId w:val="4"/>
        </w:numPr>
        <w:jc w:val="left"/>
        <w:rPr>
          <w:rFonts w:ascii="Arial" w:hAnsi="Arial" w:cs="Arial"/>
          <w:sz w:val="22"/>
          <w:szCs w:val="22"/>
        </w:rPr>
      </w:pPr>
      <w:r w:rsidRPr="00551E61">
        <w:rPr>
          <w:rFonts w:ascii="Arial" w:hAnsi="Arial" w:cs="Arial"/>
          <w:sz w:val="22"/>
          <w:szCs w:val="22"/>
        </w:rPr>
        <w:t>CAUSAS DE LA MALA CALIDAD DE PARTE DEL STOCK EN LA CCSD</w:t>
      </w:r>
    </w:p>
    <w:p w:rsidR="006E2A16" w:rsidRPr="00551E61" w:rsidRDefault="006E2A16" w:rsidP="006E2A16">
      <w:pPr>
        <w:rPr>
          <w:rFonts w:ascii="Arial" w:hAnsi="Arial" w:cs="Arial"/>
        </w:rPr>
      </w:pPr>
    </w:p>
    <w:p w:rsidR="00274AD1" w:rsidRPr="00551E61" w:rsidRDefault="00274AD1" w:rsidP="00274AD1">
      <w:pPr>
        <w:pStyle w:val="ListParagraph"/>
        <w:keepNext/>
        <w:numPr>
          <w:ilvl w:val="0"/>
          <w:numId w:val="1"/>
        </w:numPr>
        <w:tabs>
          <w:tab w:val="left" w:pos="1440"/>
        </w:tabs>
        <w:spacing w:before="240" w:after="240" w:line="240" w:lineRule="auto"/>
        <w:contextualSpacing w:val="0"/>
        <w:jc w:val="center"/>
        <w:rPr>
          <w:rFonts w:ascii="Arial" w:hAnsi="Arial" w:cs="Arial"/>
          <w:b/>
          <w:smallCaps/>
          <w:vanish/>
          <w:sz w:val="24"/>
          <w:szCs w:val="20"/>
        </w:rPr>
      </w:pPr>
    </w:p>
    <w:p w:rsidR="00A90C4C" w:rsidRPr="00551E61" w:rsidRDefault="006E2A16" w:rsidP="00787A2E">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szCs w:val="22"/>
        </w:rPr>
        <w:t>Como se describió previamente la mayoría de las carencias habitacionales están concentradas en la parte norte de la ciudad entre la calle Las Mercedes y la Avenida Mella en el sector correspondiente a 4 barrios</w:t>
      </w:r>
      <w:r w:rsidRPr="00551E61">
        <w:rPr>
          <w:rFonts w:ascii="Arial" w:hAnsi="Arial" w:cs="Arial"/>
          <w:sz w:val="22"/>
          <w:szCs w:val="22"/>
          <w:lang w:val="es-ES_tradnl"/>
        </w:rPr>
        <w:t>: Santa Barbara, San Antón, San Lázaro y San Miguel. La</w:t>
      </w:r>
      <w:r w:rsidR="006138E2" w:rsidRPr="00551E61">
        <w:rPr>
          <w:rFonts w:ascii="Arial" w:hAnsi="Arial" w:cs="Arial"/>
          <w:sz w:val="22"/>
          <w:szCs w:val="22"/>
          <w:lang w:val="es-ES_tradnl"/>
        </w:rPr>
        <w:t>s principales razones para este problema son: (i) los bajos ingresos de los habitantes en la zona norte y (ii) la concentración en esta zona de algunas de las limitaciones expuestas en la sección anterior, especialmente la dificultad de ejercer reposesiones y la escasa titularidad.</w:t>
      </w:r>
      <w:r w:rsidRPr="00551E61">
        <w:rPr>
          <w:rFonts w:ascii="Arial" w:hAnsi="Arial" w:cs="Arial"/>
          <w:sz w:val="22"/>
          <w:szCs w:val="22"/>
          <w:lang w:val="es-ES_tradnl"/>
        </w:rPr>
        <w:t xml:space="preserve"> </w:t>
      </w:r>
    </w:p>
    <w:p w:rsidR="006E2A16" w:rsidRPr="00551E61" w:rsidRDefault="006E2A16" w:rsidP="00C5382E">
      <w:pPr>
        <w:pStyle w:val="Paragraph"/>
        <w:numPr>
          <w:ilvl w:val="1"/>
          <w:numId w:val="1"/>
        </w:numPr>
        <w:tabs>
          <w:tab w:val="clear" w:pos="2736"/>
          <w:tab w:val="num" w:pos="720"/>
        </w:tabs>
        <w:ind w:left="720" w:hanging="720"/>
        <w:rPr>
          <w:rFonts w:ascii="Arial" w:hAnsi="Arial" w:cs="Arial"/>
        </w:rPr>
      </w:pPr>
      <w:r w:rsidRPr="00551E61">
        <w:rPr>
          <w:rFonts w:ascii="Arial" w:hAnsi="Arial" w:cs="Arial"/>
          <w:sz w:val="22"/>
          <w:szCs w:val="22"/>
          <w:lang w:val="es-ES_tradnl"/>
        </w:rPr>
        <w:t xml:space="preserve">En efecto, los recuentos históricos de la CCSD señalan que </w:t>
      </w:r>
      <w:r w:rsidR="006138E2" w:rsidRPr="00551E61">
        <w:rPr>
          <w:rFonts w:ascii="Arial" w:hAnsi="Arial" w:cs="Arial"/>
          <w:b/>
          <w:sz w:val="22"/>
          <w:szCs w:val="22"/>
          <w:lang w:val="es-ES_tradnl"/>
        </w:rPr>
        <w:t xml:space="preserve">la zona norte ha concentrado tradicionalmente a habitantes de bajos ingresos </w:t>
      </w:r>
      <w:r w:rsidR="006138E2" w:rsidRPr="00551E61">
        <w:rPr>
          <w:rFonts w:ascii="Arial" w:hAnsi="Arial" w:cs="Arial"/>
          <w:sz w:val="22"/>
          <w:szCs w:val="22"/>
          <w:lang w:val="es-ES_tradnl"/>
        </w:rPr>
        <w:t>y que esta situación se ha mantenido a través del tiempo</w:t>
      </w:r>
      <w:r w:rsidR="006138E2" w:rsidRPr="00551E61">
        <w:rPr>
          <w:rFonts w:ascii="Arial" w:hAnsi="Arial" w:cs="Arial"/>
          <w:b/>
          <w:sz w:val="22"/>
          <w:szCs w:val="22"/>
          <w:lang w:val="es-ES_tradnl"/>
        </w:rPr>
        <w:t xml:space="preserve">. </w:t>
      </w:r>
      <w:r w:rsidR="006138E2" w:rsidRPr="00551E61">
        <w:rPr>
          <w:rFonts w:ascii="Arial" w:hAnsi="Arial" w:cs="Arial"/>
          <w:sz w:val="22"/>
          <w:szCs w:val="22"/>
          <w:lang w:val="es-ES_tradnl"/>
        </w:rPr>
        <w:t xml:space="preserve">En efecto, </w:t>
      </w:r>
      <w:r w:rsidRPr="00551E61">
        <w:rPr>
          <w:rFonts w:ascii="Arial" w:hAnsi="Arial" w:cs="Arial"/>
          <w:sz w:val="22"/>
          <w:szCs w:val="22"/>
          <w:lang w:val="es-ES_tradnl"/>
        </w:rPr>
        <w:t xml:space="preserve">la construcción de las murallas iniciada hacia 1543 demandó una fuerte explotación de piedra caliza de una cantera localizada al norte de la Ciudad Ovandina. </w:t>
      </w:r>
      <w:r w:rsidR="00C5382E" w:rsidRPr="00551E61">
        <w:rPr>
          <w:rFonts w:ascii="Arial" w:hAnsi="Arial" w:cs="Arial"/>
          <w:sz w:val="22"/>
          <w:szCs w:val="22"/>
          <w:lang w:val="es-ES_tradnl"/>
        </w:rPr>
        <w:t xml:space="preserve">El barrio Santa Barbara se establece alrededor de esta cantera como uno de los primeros asentamientos obreros del nuevo mundo. Hacia 1560 la ciudad, en ese entonces de 6,000 habitantes, ya tenía una clara estructura social donde la clase baja se estableció en el norte y las clases medias y altas en el parte sur. Las murallas tardan casi tres siglos en ser finalizadas pero definen un área vacía al oeste que hacia 1850 es ocupada por otros tres barrios destinados a clases obreras: </w:t>
      </w:r>
      <w:r w:rsidR="00C5382E" w:rsidRPr="00551E61">
        <w:rPr>
          <w:rFonts w:ascii="Arial" w:hAnsi="Arial" w:cs="Arial"/>
          <w:sz w:val="22"/>
          <w:szCs w:val="22"/>
        </w:rPr>
        <w:t>San Lázaro, San Miguel y San Antón</w:t>
      </w:r>
      <w:r w:rsidR="006138E2" w:rsidRPr="00551E61">
        <w:rPr>
          <w:rFonts w:ascii="Arial" w:hAnsi="Arial" w:cs="Arial"/>
          <w:sz w:val="22"/>
          <w:szCs w:val="22"/>
        </w:rPr>
        <w:t xml:space="preserve"> (Plan </w:t>
      </w:r>
      <w:r w:rsidR="000D5498" w:rsidRPr="00551E61">
        <w:rPr>
          <w:rFonts w:ascii="Arial" w:hAnsi="Arial" w:cs="Arial"/>
          <w:sz w:val="22"/>
          <w:szCs w:val="22"/>
        </w:rPr>
        <w:t>Estratégico, 2006</w:t>
      </w:r>
      <w:r w:rsidR="006138E2" w:rsidRPr="00551E61">
        <w:rPr>
          <w:rFonts w:ascii="Arial" w:hAnsi="Arial" w:cs="Arial"/>
          <w:sz w:val="22"/>
          <w:szCs w:val="22"/>
        </w:rPr>
        <w:t>; AECID, 2011)</w:t>
      </w:r>
      <w:r w:rsidR="00C5382E" w:rsidRPr="00551E61">
        <w:rPr>
          <w:rFonts w:ascii="Arial" w:hAnsi="Arial" w:cs="Arial"/>
          <w:sz w:val="22"/>
          <w:szCs w:val="22"/>
        </w:rPr>
        <w:t>.</w:t>
      </w:r>
    </w:p>
    <w:p w:rsidR="00AA06FF" w:rsidRPr="00551E61" w:rsidRDefault="00F74662" w:rsidP="00F74662">
      <w:pPr>
        <w:pStyle w:val="Paragraph"/>
        <w:numPr>
          <w:ilvl w:val="1"/>
          <w:numId w:val="1"/>
        </w:numPr>
        <w:tabs>
          <w:tab w:val="clear" w:pos="2736"/>
          <w:tab w:val="num" w:pos="720"/>
        </w:tabs>
        <w:ind w:left="720" w:hanging="720"/>
        <w:rPr>
          <w:rFonts w:ascii="Arial" w:hAnsi="Arial" w:cs="Arial"/>
        </w:rPr>
      </w:pPr>
      <w:r w:rsidRPr="00551E61">
        <w:rPr>
          <w:rFonts w:ascii="Arial" w:hAnsi="Arial" w:cs="Arial"/>
          <w:sz w:val="22"/>
          <w:szCs w:val="22"/>
        </w:rPr>
        <w:t>Esta estructura urbano-social se ha mantenido hasta la actualidad.</w:t>
      </w:r>
      <w:r w:rsidRPr="00551E61">
        <w:rPr>
          <w:rFonts w:ascii="Arial" w:hAnsi="Arial" w:cs="Arial"/>
        </w:rPr>
        <w:t xml:space="preserve"> </w:t>
      </w:r>
      <w:r w:rsidR="00F27E93" w:rsidRPr="00551E61">
        <w:rPr>
          <w:rFonts w:ascii="Arial" w:hAnsi="Arial" w:cs="Arial"/>
          <w:sz w:val="22"/>
          <w:szCs w:val="22"/>
          <w:lang w:val="es-ES_tradnl"/>
        </w:rPr>
        <w:t>El mapa 2 muestra la di</w:t>
      </w:r>
      <w:r w:rsidRPr="00551E61">
        <w:rPr>
          <w:rFonts w:ascii="Arial" w:hAnsi="Arial" w:cs="Arial"/>
          <w:sz w:val="22"/>
          <w:szCs w:val="22"/>
          <w:lang w:val="es-ES_tradnl"/>
        </w:rPr>
        <w:t>stribución de ingreso en la CCSD</w:t>
      </w:r>
      <w:r w:rsidR="00F27E93" w:rsidRPr="00551E61">
        <w:rPr>
          <w:rFonts w:ascii="Arial" w:hAnsi="Arial" w:cs="Arial"/>
          <w:sz w:val="22"/>
          <w:szCs w:val="22"/>
          <w:lang w:val="es-ES_tradnl"/>
        </w:rPr>
        <w:t xml:space="preserve"> donde se puede notar como la población de menores ingresos se concentra en la zona norte.</w:t>
      </w:r>
      <w:r w:rsidR="00A30FA4" w:rsidRPr="00551E61">
        <w:rPr>
          <w:rFonts w:ascii="Arial" w:hAnsi="Arial" w:cs="Arial"/>
          <w:sz w:val="22"/>
          <w:szCs w:val="22"/>
          <w:lang w:val="es-ES_tradnl"/>
        </w:rPr>
        <w:t xml:space="preserve"> </w:t>
      </w:r>
    </w:p>
    <w:p w:rsidR="00F27E93" w:rsidRPr="00551E61" w:rsidRDefault="00F27E93" w:rsidP="00F27E93">
      <w:pPr>
        <w:pStyle w:val="Paragraph"/>
        <w:ind w:left="720"/>
        <w:rPr>
          <w:rFonts w:ascii="Arial" w:hAnsi="Arial" w:cs="Arial"/>
          <w:sz w:val="22"/>
          <w:szCs w:val="22"/>
          <w:lang w:val="es-ES_tradnl"/>
        </w:rPr>
      </w:pPr>
    </w:p>
    <w:p w:rsidR="00F27E93" w:rsidRPr="00551E61" w:rsidRDefault="00F27E93" w:rsidP="00F27E93">
      <w:pPr>
        <w:spacing w:after="0"/>
        <w:jc w:val="center"/>
        <w:rPr>
          <w:rFonts w:ascii="Arial" w:hAnsi="Arial" w:cs="Arial"/>
          <w:lang w:val="es-ES_tradnl"/>
        </w:rPr>
      </w:pPr>
      <w:r w:rsidRPr="00551E61">
        <w:rPr>
          <w:rFonts w:ascii="Arial" w:hAnsi="Arial" w:cs="Arial"/>
          <w:lang w:val="es-ES_tradnl"/>
        </w:rPr>
        <w:t>Mapa 2 Distribución de ingresos CCSD</w:t>
      </w:r>
    </w:p>
    <w:p w:rsidR="00F27E93" w:rsidRPr="00551E61" w:rsidRDefault="00F27E93" w:rsidP="00F74662">
      <w:pPr>
        <w:pStyle w:val="Paragraph"/>
        <w:ind w:left="720"/>
        <w:jc w:val="center"/>
        <w:rPr>
          <w:rFonts w:ascii="Arial" w:hAnsi="Arial" w:cs="Arial"/>
          <w:sz w:val="22"/>
          <w:szCs w:val="22"/>
          <w:lang w:val="es-ES_tradnl"/>
        </w:rPr>
      </w:pPr>
      <w:r w:rsidRPr="00551E61">
        <w:rPr>
          <w:rFonts w:ascii="Arial" w:hAnsi="Arial" w:cs="Arial"/>
          <w:noProof/>
          <w:lang w:val="en-US"/>
        </w:rPr>
        <w:drawing>
          <wp:inline distT="0" distB="0" distL="0" distR="0" wp14:anchorId="721975A0" wp14:editId="55C27CFA">
            <wp:extent cx="3947160" cy="312947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942858" cy="3126062"/>
                    </a:xfrm>
                    <a:prstGeom prst="rect">
                      <a:avLst/>
                    </a:prstGeom>
                  </pic:spPr>
                </pic:pic>
              </a:graphicData>
            </a:graphic>
          </wp:inline>
        </w:drawing>
      </w:r>
    </w:p>
    <w:p w:rsidR="00F27E93" w:rsidRPr="00551E61" w:rsidRDefault="00F27E93" w:rsidP="00F27E93">
      <w:pPr>
        <w:spacing w:after="0"/>
        <w:rPr>
          <w:rFonts w:ascii="Arial" w:hAnsi="Arial" w:cs="Arial"/>
          <w:lang w:val="es-ES_tradnl"/>
        </w:rPr>
      </w:pPr>
      <w:r w:rsidRPr="00551E61">
        <w:rPr>
          <w:rFonts w:ascii="Arial" w:hAnsi="Arial" w:cs="Arial"/>
          <w:lang w:val="es-ES_tradnl"/>
        </w:rPr>
        <w:t xml:space="preserve">Fuente: Plan </w:t>
      </w:r>
      <w:r w:rsidR="000D5498" w:rsidRPr="00551E61">
        <w:rPr>
          <w:rFonts w:ascii="Arial" w:hAnsi="Arial" w:cs="Arial"/>
          <w:lang w:val="es-ES_tradnl"/>
        </w:rPr>
        <w:t>Estratégico. Documento Diagnóstico</w:t>
      </w:r>
      <w:r w:rsidR="00E66AC5" w:rsidRPr="00551E61">
        <w:rPr>
          <w:rFonts w:ascii="Arial" w:hAnsi="Arial" w:cs="Arial"/>
          <w:lang w:val="es-ES_tradnl"/>
        </w:rPr>
        <w:t xml:space="preserve"> (2004)</w:t>
      </w:r>
    </w:p>
    <w:p w:rsidR="00F27E93" w:rsidRPr="00551E61" w:rsidRDefault="00F27E93" w:rsidP="00F27E93">
      <w:pPr>
        <w:pStyle w:val="Paragraph"/>
        <w:ind w:left="720"/>
        <w:rPr>
          <w:rFonts w:ascii="Arial" w:hAnsi="Arial" w:cs="Arial"/>
          <w:sz w:val="22"/>
          <w:szCs w:val="22"/>
          <w:lang w:val="es-ES_tradnl"/>
        </w:rPr>
      </w:pPr>
    </w:p>
    <w:p w:rsidR="00FB602A" w:rsidRPr="00551E61" w:rsidRDefault="00F74662" w:rsidP="00DC7FE3">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szCs w:val="22"/>
          <w:lang w:val="es-ES_tradnl"/>
        </w:rPr>
        <w:lastRenderedPageBreak/>
        <w:t>El censo de la CCSD también</w:t>
      </w:r>
      <w:r w:rsidR="004D58BD" w:rsidRPr="00551E61">
        <w:rPr>
          <w:rFonts w:ascii="Arial" w:hAnsi="Arial" w:cs="Arial"/>
          <w:sz w:val="22"/>
          <w:szCs w:val="22"/>
          <w:lang w:val="es-ES_tradnl"/>
        </w:rPr>
        <w:t xml:space="preserve"> apunta a una concentración de variables indicativas de menores ingresos en la zona norte. Por ejemplo, el porcentaje de viviendas en piezas o cuartería en los 4 barrios es 9.90% mientras que en el resto de la CCSD es de 8.15%. Barrios como Santa Barbara llegan a tener hasta un 21.31% indicando condiciones de inquilinato. El porcentaje de población con solo primaria en los 4 barrios es 25.81% y en Santa Barbara un 32.40% mientras en el resto de la CCSD es 18.79%. </w:t>
      </w:r>
      <w:r w:rsidR="00FB602A" w:rsidRPr="00551E61">
        <w:rPr>
          <w:rFonts w:ascii="Arial" w:hAnsi="Arial" w:cs="Arial"/>
          <w:sz w:val="22"/>
          <w:szCs w:val="22"/>
          <w:lang w:val="es-ES_tradnl"/>
        </w:rPr>
        <w:t xml:space="preserve">Concomitantemente, el porcentaje de población con educación universitaria es </w:t>
      </w:r>
      <w:r w:rsidR="005213EB" w:rsidRPr="00551E61">
        <w:rPr>
          <w:rFonts w:ascii="Arial" w:hAnsi="Arial" w:cs="Arial"/>
          <w:sz w:val="22"/>
          <w:szCs w:val="22"/>
          <w:lang w:val="es-ES_tradnl"/>
        </w:rPr>
        <w:t xml:space="preserve">24.65% en Santa Barbara, </w:t>
      </w:r>
      <w:r w:rsidR="00FB602A" w:rsidRPr="00551E61">
        <w:rPr>
          <w:rFonts w:ascii="Arial" w:hAnsi="Arial" w:cs="Arial"/>
          <w:sz w:val="22"/>
          <w:szCs w:val="22"/>
          <w:lang w:val="es-ES_tradnl"/>
        </w:rPr>
        <w:t>34.27% en la zona norte</w:t>
      </w:r>
      <w:r w:rsidR="005213EB" w:rsidRPr="00551E61">
        <w:rPr>
          <w:rFonts w:ascii="Arial" w:hAnsi="Arial" w:cs="Arial"/>
          <w:sz w:val="22"/>
          <w:szCs w:val="22"/>
          <w:lang w:val="es-ES_tradnl"/>
        </w:rPr>
        <w:t xml:space="preserve"> y 42.89% en el resto de la CCSD.</w:t>
      </w:r>
      <w:r w:rsidR="00FB602A" w:rsidRPr="00551E61">
        <w:rPr>
          <w:rFonts w:ascii="Arial" w:hAnsi="Arial" w:cs="Arial"/>
          <w:sz w:val="22"/>
          <w:szCs w:val="22"/>
          <w:lang w:val="es-ES_tradnl"/>
        </w:rPr>
        <w:t xml:space="preserve"> </w:t>
      </w:r>
    </w:p>
    <w:p w:rsidR="00DC7FE3" w:rsidRPr="00551E61" w:rsidRDefault="00FB602A" w:rsidP="00DC7FE3">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szCs w:val="22"/>
          <w:lang w:val="es-ES_tradnl"/>
        </w:rPr>
        <w:t xml:space="preserve">De la misma manera, los barrios del norte presentan </w:t>
      </w:r>
      <w:r w:rsidR="005213EB" w:rsidRPr="00551E61">
        <w:rPr>
          <w:rFonts w:ascii="Arial" w:hAnsi="Arial" w:cs="Arial"/>
          <w:sz w:val="22"/>
          <w:szCs w:val="22"/>
          <w:lang w:val="es-ES_tradnl"/>
        </w:rPr>
        <w:t xml:space="preserve">una </w:t>
      </w:r>
      <w:r w:rsidR="005213EB" w:rsidRPr="00551E61">
        <w:rPr>
          <w:rFonts w:ascii="Arial" w:hAnsi="Arial" w:cs="Arial"/>
          <w:b/>
          <w:sz w:val="22"/>
          <w:szCs w:val="22"/>
          <w:lang w:val="es-ES_tradnl"/>
        </w:rPr>
        <w:t xml:space="preserve">mayor concentración de variables </w:t>
      </w:r>
      <w:r w:rsidR="006138E2" w:rsidRPr="00551E61">
        <w:rPr>
          <w:rFonts w:ascii="Arial" w:hAnsi="Arial" w:cs="Arial"/>
          <w:b/>
          <w:sz w:val="22"/>
          <w:szCs w:val="22"/>
          <w:lang w:val="es-ES_tradnl"/>
        </w:rPr>
        <w:t>indicativas de</w:t>
      </w:r>
      <w:r w:rsidR="005213EB" w:rsidRPr="00551E61">
        <w:rPr>
          <w:rFonts w:ascii="Arial" w:hAnsi="Arial" w:cs="Arial"/>
          <w:b/>
          <w:sz w:val="22"/>
          <w:szCs w:val="22"/>
          <w:lang w:val="es-ES_tradnl"/>
        </w:rPr>
        <w:t xml:space="preserve"> los problemas de reposesión y titularidad de inmuebles </w:t>
      </w:r>
      <w:r w:rsidR="006138E2" w:rsidRPr="00551E61">
        <w:rPr>
          <w:rFonts w:ascii="Arial" w:hAnsi="Arial" w:cs="Arial"/>
          <w:sz w:val="22"/>
          <w:szCs w:val="22"/>
          <w:lang w:val="es-ES_tradnl"/>
        </w:rPr>
        <w:t>descrito</w:t>
      </w:r>
      <w:r w:rsidR="005213EB" w:rsidRPr="00551E61">
        <w:rPr>
          <w:rFonts w:ascii="Arial" w:hAnsi="Arial" w:cs="Arial"/>
          <w:sz w:val="22"/>
          <w:szCs w:val="22"/>
          <w:lang w:val="es-ES_tradnl"/>
        </w:rPr>
        <w:t xml:space="preserve">s en la sección anterior. Por ejemplo, el porcentaje de vivienda calificada como cedida es </w:t>
      </w:r>
      <w:r w:rsidRPr="00551E61">
        <w:rPr>
          <w:rFonts w:ascii="Arial" w:hAnsi="Arial" w:cs="Arial"/>
          <w:sz w:val="22"/>
          <w:szCs w:val="22"/>
          <w:lang w:val="es-ES_tradnl"/>
        </w:rPr>
        <w:t xml:space="preserve">un 21.25% </w:t>
      </w:r>
      <w:r w:rsidR="005213EB" w:rsidRPr="00551E61">
        <w:rPr>
          <w:rFonts w:ascii="Arial" w:hAnsi="Arial" w:cs="Arial"/>
          <w:sz w:val="22"/>
          <w:szCs w:val="22"/>
          <w:lang w:val="es-ES_tradnl"/>
        </w:rPr>
        <w:t>en los 4 barrios</w:t>
      </w:r>
      <w:r w:rsidRPr="00551E61">
        <w:rPr>
          <w:rFonts w:ascii="Arial" w:hAnsi="Arial" w:cs="Arial"/>
          <w:sz w:val="22"/>
          <w:szCs w:val="22"/>
          <w:lang w:val="es-ES_tradnl"/>
        </w:rPr>
        <w:t xml:space="preserve"> y</w:t>
      </w:r>
      <w:r w:rsidR="005213EB" w:rsidRPr="00551E61">
        <w:rPr>
          <w:rFonts w:ascii="Arial" w:hAnsi="Arial" w:cs="Arial"/>
          <w:sz w:val="22"/>
          <w:szCs w:val="22"/>
          <w:lang w:val="es-ES_tradnl"/>
        </w:rPr>
        <w:t xml:space="preserve"> </w:t>
      </w:r>
      <w:r w:rsidRPr="00551E61">
        <w:rPr>
          <w:rFonts w:ascii="Arial" w:hAnsi="Arial" w:cs="Arial"/>
          <w:sz w:val="22"/>
          <w:szCs w:val="22"/>
          <w:lang w:val="es-ES_tradnl"/>
        </w:rPr>
        <w:t>un 31.03%</w:t>
      </w:r>
      <w:r w:rsidR="005213EB" w:rsidRPr="00551E61">
        <w:rPr>
          <w:rFonts w:ascii="Arial" w:hAnsi="Arial" w:cs="Arial"/>
          <w:sz w:val="22"/>
          <w:szCs w:val="22"/>
          <w:lang w:val="es-ES_tradnl"/>
        </w:rPr>
        <w:t xml:space="preserve"> Santa Barbara</w:t>
      </w:r>
      <w:r w:rsidRPr="00551E61">
        <w:rPr>
          <w:rFonts w:ascii="Arial" w:hAnsi="Arial" w:cs="Arial"/>
          <w:sz w:val="22"/>
          <w:szCs w:val="22"/>
          <w:lang w:val="es-ES_tradnl"/>
        </w:rPr>
        <w:t xml:space="preserve"> mientras esta condición </w:t>
      </w:r>
      <w:r w:rsidR="005213EB" w:rsidRPr="00551E61">
        <w:rPr>
          <w:rFonts w:ascii="Arial" w:hAnsi="Arial" w:cs="Arial"/>
          <w:sz w:val="22"/>
          <w:szCs w:val="22"/>
          <w:lang w:val="es-ES_tradnl"/>
        </w:rPr>
        <w:t>de tenencia llega solo a</w:t>
      </w:r>
      <w:r w:rsidRPr="00551E61">
        <w:rPr>
          <w:rFonts w:ascii="Arial" w:hAnsi="Arial" w:cs="Arial"/>
          <w:sz w:val="22"/>
          <w:szCs w:val="22"/>
          <w:lang w:val="es-ES_tradnl"/>
        </w:rPr>
        <w:t xml:space="preserve"> 12.83% en el resto de la zona.</w:t>
      </w:r>
      <w:r w:rsidR="005213EB" w:rsidRPr="00551E61">
        <w:rPr>
          <w:rFonts w:ascii="Arial" w:hAnsi="Arial" w:cs="Arial"/>
          <w:sz w:val="22"/>
          <w:szCs w:val="22"/>
          <w:lang w:val="es-ES_tradnl"/>
        </w:rPr>
        <w:t xml:space="preserve"> El porcentaje de hogares residiendo más de 30 años en la misma vivienda es 30% mientras en el resto de la CCSD es 23%. El porcentaje de hogares</w:t>
      </w:r>
      <w:r w:rsidR="002E1263" w:rsidRPr="00551E61">
        <w:rPr>
          <w:rFonts w:ascii="Arial" w:hAnsi="Arial" w:cs="Arial"/>
          <w:sz w:val="22"/>
          <w:szCs w:val="22"/>
          <w:lang w:val="es-ES_tradnl"/>
        </w:rPr>
        <w:t xml:space="preserve"> que alquilan</w:t>
      </w:r>
      <w:r w:rsidR="005213EB" w:rsidRPr="00551E61">
        <w:rPr>
          <w:rFonts w:ascii="Arial" w:hAnsi="Arial" w:cs="Arial"/>
          <w:sz w:val="22"/>
          <w:szCs w:val="22"/>
          <w:lang w:val="es-ES_tradnl"/>
        </w:rPr>
        <w:t xml:space="preserve"> en los 4 barrios que responden ‘No Aplica’ a la pregunta de cuánto pagan por alquiler es 35.03% y solo 3.27% en el resto de la zona</w:t>
      </w:r>
      <w:r w:rsidR="002E1263" w:rsidRPr="00551E61">
        <w:rPr>
          <w:rFonts w:ascii="Arial" w:hAnsi="Arial" w:cs="Arial"/>
          <w:sz w:val="22"/>
          <w:szCs w:val="22"/>
          <w:lang w:val="es-ES_tradnl"/>
        </w:rPr>
        <w:t xml:space="preserve"> (Censo CCSD, 2015)</w:t>
      </w:r>
      <w:r w:rsidR="005213EB" w:rsidRPr="00551E61">
        <w:rPr>
          <w:rFonts w:ascii="Arial" w:hAnsi="Arial" w:cs="Arial"/>
          <w:sz w:val="22"/>
          <w:szCs w:val="22"/>
          <w:lang w:val="es-ES_tradnl"/>
        </w:rPr>
        <w:t>. Por su parte, el porcentaje de viviendas con título es 20.43% en el norte contra el 27% de la zona al sur de la Calle Las Mercedes</w:t>
      </w:r>
      <w:r w:rsidR="002E1263" w:rsidRPr="00551E61">
        <w:rPr>
          <w:rFonts w:ascii="Arial" w:hAnsi="Arial" w:cs="Arial"/>
          <w:sz w:val="22"/>
          <w:szCs w:val="22"/>
          <w:lang w:val="es-ES_tradnl"/>
        </w:rPr>
        <w:t xml:space="preserve"> (Gil, 2015)</w:t>
      </w:r>
      <w:r w:rsidR="005213EB" w:rsidRPr="00551E61">
        <w:rPr>
          <w:rFonts w:ascii="Arial" w:hAnsi="Arial" w:cs="Arial"/>
          <w:sz w:val="22"/>
          <w:szCs w:val="22"/>
          <w:lang w:val="es-ES_tradnl"/>
        </w:rPr>
        <w:t>.</w:t>
      </w:r>
    </w:p>
    <w:p w:rsidR="008F796B" w:rsidRPr="00551E61" w:rsidRDefault="00C72CEB" w:rsidP="00DC7FE3">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szCs w:val="22"/>
          <w:lang w:val="es-ES_tradnl"/>
        </w:rPr>
        <w:t>Esta situación se refleja en el número y monto de las transferencias inmobiliarias. Mientras los 4 barrios tuvieron 75 transferencias a un promedio de RD$ 0.5 millones entre 2005 y 2009, el resto de la zona experimentó 751 transferencias a RD$ 18.6 millones en promedio. Para el periodo de 2010 a 2014 la misma diferencia se mantiene con 93 transferencias a un promedio de RD$ 1 millón para los 4 barrios y 416 transferencias a un promedio de RD$ 28.5 millones para el resto de la CCSD. Esto sugiere que el mercado inmobiliario es menos activo y los valores de referencia son menores en los 4 barrios del norte (Gil, 2015).</w:t>
      </w:r>
    </w:p>
    <w:p w:rsidR="008F796B" w:rsidRPr="00551E61" w:rsidRDefault="008F796B" w:rsidP="008F796B">
      <w:pPr>
        <w:pStyle w:val="Paragraph"/>
        <w:ind w:left="720"/>
        <w:rPr>
          <w:rFonts w:ascii="Arial" w:hAnsi="Arial" w:cs="Arial"/>
          <w:sz w:val="22"/>
          <w:szCs w:val="22"/>
          <w:lang w:val="es-ES_tradnl"/>
        </w:rPr>
      </w:pPr>
    </w:p>
    <w:p w:rsidR="008F796B" w:rsidRPr="00551E61" w:rsidRDefault="008F796B" w:rsidP="008F796B">
      <w:pPr>
        <w:pStyle w:val="Chapter"/>
        <w:numPr>
          <w:ilvl w:val="0"/>
          <w:numId w:val="4"/>
        </w:numPr>
        <w:jc w:val="left"/>
        <w:rPr>
          <w:rFonts w:ascii="Arial" w:hAnsi="Arial" w:cs="Arial"/>
          <w:sz w:val="22"/>
          <w:szCs w:val="22"/>
        </w:rPr>
      </w:pPr>
      <w:r w:rsidRPr="00551E61">
        <w:rPr>
          <w:rFonts w:ascii="Arial" w:hAnsi="Arial" w:cs="Arial"/>
          <w:sz w:val="22"/>
          <w:szCs w:val="22"/>
        </w:rPr>
        <w:t>PROPUESTA DE INTERVENCION</w:t>
      </w:r>
    </w:p>
    <w:p w:rsidR="008F796B" w:rsidRPr="00551E61" w:rsidRDefault="008F796B" w:rsidP="008F796B">
      <w:pPr>
        <w:pStyle w:val="Paragraph"/>
        <w:ind w:left="720"/>
        <w:rPr>
          <w:rFonts w:ascii="Arial" w:hAnsi="Arial" w:cs="Arial"/>
          <w:sz w:val="22"/>
          <w:szCs w:val="22"/>
          <w:lang w:val="es-ES_tradnl"/>
        </w:rPr>
      </w:pPr>
    </w:p>
    <w:p w:rsidR="008F796B" w:rsidRPr="00551E61" w:rsidRDefault="008F796B" w:rsidP="008F796B">
      <w:pPr>
        <w:pStyle w:val="ListParagraph"/>
        <w:keepNext/>
        <w:numPr>
          <w:ilvl w:val="0"/>
          <w:numId w:val="1"/>
        </w:numPr>
        <w:tabs>
          <w:tab w:val="left" w:pos="1440"/>
        </w:tabs>
        <w:spacing w:before="240" w:after="240" w:line="240" w:lineRule="auto"/>
        <w:contextualSpacing w:val="0"/>
        <w:jc w:val="center"/>
        <w:rPr>
          <w:rFonts w:ascii="Arial" w:hAnsi="Arial" w:cs="Arial"/>
          <w:b/>
          <w:smallCaps/>
          <w:vanish/>
          <w:sz w:val="24"/>
          <w:szCs w:val="20"/>
          <w:lang w:val="es-ES_tradnl"/>
        </w:rPr>
      </w:pPr>
    </w:p>
    <w:p w:rsidR="005F7BC7" w:rsidRPr="00551E61" w:rsidRDefault="005F7BC7" w:rsidP="005F7BC7">
      <w:pPr>
        <w:pStyle w:val="Paragraph"/>
        <w:numPr>
          <w:ilvl w:val="1"/>
          <w:numId w:val="1"/>
        </w:numPr>
        <w:tabs>
          <w:tab w:val="clear" w:pos="2736"/>
          <w:tab w:val="num" w:pos="720"/>
        </w:tabs>
        <w:ind w:left="720" w:hanging="720"/>
        <w:rPr>
          <w:rFonts w:ascii="Arial" w:hAnsi="Arial" w:cs="Arial"/>
          <w:b/>
        </w:rPr>
      </w:pPr>
      <w:r w:rsidRPr="00551E61">
        <w:rPr>
          <w:rFonts w:ascii="Arial" w:hAnsi="Arial" w:cs="Arial"/>
          <w:sz w:val="22"/>
          <w:szCs w:val="22"/>
          <w:lang w:val="es-ES_tradnl"/>
        </w:rPr>
        <w:t>En esta sección se proponen intervenciones a ser implementadas como parte de la operación de crédito del BID “</w:t>
      </w:r>
      <w:r w:rsidRPr="00551E61">
        <w:rPr>
          <w:rFonts w:ascii="Arial" w:hAnsi="Arial" w:cs="Arial"/>
          <w:sz w:val="22"/>
          <w:szCs w:val="22"/>
        </w:rPr>
        <w:t>Programa Integral de Desarrollo Turístico y Urbano de la Ciudad Colonial de Santo Domingo (DR-L1084)” actualme</w:t>
      </w:r>
      <w:r w:rsidR="0018139F" w:rsidRPr="00551E61">
        <w:rPr>
          <w:rFonts w:ascii="Arial" w:hAnsi="Arial" w:cs="Arial"/>
          <w:sz w:val="22"/>
          <w:szCs w:val="22"/>
        </w:rPr>
        <w:t xml:space="preserve">nte en diseño. </w:t>
      </w:r>
      <w:r w:rsidR="001C168F" w:rsidRPr="00551E61">
        <w:rPr>
          <w:rFonts w:ascii="Arial" w:hAnsi="Arial" w:cs="Arial"/>
          <w:sz w:val="22"/>
          <w:szCs w:val="22"/>
        </w:rPr>
        <w:t xml:space="preserve">Esta operación incluye tres componentes: (i) Consolidación de la oferta turística y urbana, (ii) inclusión económica y social en el desarrollo turístico, y (iii) fortalecimiento de la gestión turística y territorial. </w:t>
      </w:r>
      <w:r w:rsidRPr="00551E61">
        <w:rPr>
          <w:rFonts w:ascii="Arial" w:hAnsi="Arial" w:cs="Arial"/>
          <w:sz w:val="22"/>
          <w:szCs w:val="22"/>
        </w:rPr>
        <w:t xml:space="preserve"> </w:t>
      </w:r>
    </w:p>
    <w:p w:rsidR="002F40DA" w:rsidRPr="00551E61" w:rsidRDefault="009C40A0" w:rsidP="008F796B">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szCs w:val="22"/>
          <w:lang w:val="es-ES_tradnl"/>
        </w:rPr>
        <w:t>L</w:t>
      </w:r>
      <w:r w:rsidR="006A2860" w:rsidRPr="00551E61">
        <w:rPr>
          <w:rFonts w:ascii="Arial" w:hAnsi="Arial" w:cs="Arial"/>
          <w:sz w:val="22"/>
          <w:szCs w:val="22"/>
          <w:lang w:val="es-ES_tradnl"/>
        </w:rPr>
        <w:t xml:space="preserve">os componentes </w:t>
      </w:r>
      <w:r w:rsidRPr="00551E61">
        <w:rPr>
          <w:rFonts w:ascii="Arial" w:hAnsi="Arial" w:cs="Arial"/>
          <w:sz w:val="22"/>
          <w:szCs w:val="22"/>
          <w:lang w:val="es-ES_tradnl"/>
        </w:rPr>
        <w:t xml:space="preserve">de la operación de crédito DR-L1084 </w:t>
      </w:r>
      <w:r w:rsidR="006A2860" w:rsidRPr="00551E61">
        <w:rPr>
          <w:rFonts w:ascii="Arial" w:hAnsi="Arial" w:cs="Arial"/>
          <w:sz w:val="22"/>
          <w:szCs w:val="22"/>
          <w:lang w:val="es-ES_tradnl"/>
        </w:rPr>
        <w:t xml:space="preserve">incluyen varias intervenciones organizadas en subcomponentes. El primero incluye los siguientes: (i) infraestructura de espacio público, (ii) integración turística y cohesión territorial en la zona norte, (iii) modernización de la oferta de turismo cultural, y (iv)  equipamiento y servicios (movilidad y aseo). El segundo componente incluye 2 subcomponentes </w:t>
      </w:r>
      <w:r w:rsidR="005457C2" w:rsidRPr="00551E61">
        <w:rPr>
          <w:rFonts w:ascii="Arial" w:hAnsi="Arial" w:cs="Arial"/>
          <w:sz w:val="22"/>
          <w:szCs w:val="22"/>
          <w:lang w:val="es-ES_tradnl"/>
        </w:rPr>
        <w:t>así</w:t>
      </w:r>
      <w:r w:rsidR="006A2860" w:rsidRPr="00551E61">
        <w:rPr>
          <w:rFonts w:ascii="Arial" w:hAnsi="Arial" w:cs="Arial"/>
          <w:sz w:val="22"/>
          <w:szCs w:val="22"/>
          <w:lang w:val="es-ES_tradnl"/>
        </w:rPr>
        <w:t>: (i) habitabilidad y espacios públicos comunitarios, y (ii) desarrollo de económicas locales. El tercero</w:t>
      </w:r>
      <w:r w:rsidR="002F40DA" w:rsidRPr="00551E61">
        <w:rPr>
          <w:rFonts w:ascii="Arial" w:hAnsi="Arial" w:cs="Arial"/>
          <w:sz w:val="22"/>
          <w:szCs w:val="22"/>
          <w:lang w:val="es-ES_tradnl"/>
        </w:rPr>
        <w:t xml:space="preserve"> </w:t>
      </w:r>
      <w:r w:rsidR="006A2860" w:rsidRPr="00551E61">
        <w:rPr>
          <w:rFonts w:ascii="Arial" w:hAnsi="Arial" w:cs="Arial"/>
          <w:sz w:val="22"/>
          <w:szCs w:val="22"/>
          <w:lang w:val="es-ES_tradnl"/>
        </w:rPr>
        <w:t xml:space="preserve">incluye: (i) fortalecimiento interinstitucional, (ii) gestión </w:t>
      </w:r>
      <w:r w:rsidR="005457C2" w:rsidRPr="00551E61">
        <w:rPr>
          <w:rFonts w:ascii="Arial" w:hAnsi="Arial" w:cs="Arial"/>
          <w:sz w:val="22"/>
          <w:szCs w:val="22"/>
          <w:lang w:val="es-ES_tradnl"/>
        </w:rPr>
        <w:t>turística</w:t>
      </w:r>
      <w:r w:rsidR="006A2860" w:rsidRPr="00551E61">
        <w:rPr>
          <w:rFonts w:ascii="Arial" w:hAnsi="Arial" w:cs="Arial"/>
          <w:sz w:val="22"/>
          <w:szCs w:val="22"/>
          <w:lang w:val="es-ES_tradnl"/>
        </w:rPr>
        <w:t xml:space="preserve"> de destino, (iii) asociatividad </w:t>
      </w:r>
      <w:r w:rsidR="005457C2" w:rsidRPr="00551E61">
        <w:rPr>
          <w:rFonts w:ascii="Arial" w:hAnsi="Arial" w:cs="Arial"/>
          <w:sz w:val="22"/>
          <w:szCs w:val="22"/>
          <w:lang w:val="es-ES_tradnl"/>
        </w:rPr>
        <w:t>público</w:t>
      </w:r>
      <w:r w:rsidR="006A2860" w:rsidRPr="00551E61">
        <w:rPr>
          <w:rFonts w:ascii="Arial" w:hAnsi="Arial" w:cs="Arial"/>
          <w:sz w:val="22"/>
          <w:szCs w:val="22"/>
          <w:lang w:val="es-ES_tradnl"/>
        </w:rPr>
        <w:t xml:space="preserve">-privada, y (iv) relaciones </w:t>
      </w:r>
      <w:r w:rsidR="002F40DA" w:rsidRPr="00551E61">
        <w:rPr>
          <w:rFonts w:ascii="Arial" w:hAnsi="Arial" w:cs="Arial"/>
          <w:sz w:val="22"/>
          <w:szCs w:val="22"/>
          <w:lang w:val="es-ES_tradnl"/>
        </w:rPr>
        <w:t>públicas</w:t>
      </w:r>
      <w:r w:rsidR="006A2860" w:rsidRPr="00551E61">
        <w:rPr>
          <w:rFonts w:ascii="Arial" w:hAnsi="Arial" w:cs="Arial"/>
          <w:sz w:val="22"/>
          <w:szCs w:val="22"/>
          <w:lang w:val="es-ES_tradnl"/>
        </w:rPr>
        <w:t xml:space="preserve"> y comunicación. </w:t>
      </w:r>
      <w:r w:rsidR="002F40DA" w:rsidRPr="00551E61">
        <w:rPr>
          <w:rFonts w:ascii="Arial" w:hAnsi="Arial" w:cs="Arial"/>
          <w:sz w:val="22"/>
          <w:szCs w:val="22"/>
          <w:lang w:val="es-ES_tradnl"/>
        </w:rPr>
        <w:t xml:space="preserve">Las intervenciones propuestas en este documento se refieren al subcomponente de habitabilidad del segundo componente ‘inclusión económica y social en el desarrollo turístico’. </w:t>
      </w:r>
    </w:p>
    <w:p w:rsidR="005317E4" w:rsidRPr="00551E61" w:rsidRDefault="002F40DA" w:rsidP="005317E4">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szCs w:val="22"/>
          <w:lang w:val="es-ES_tradnl"/>
        </w:rPr>
        <w:t>Las intervenciones propuestas responden a las causas de los principales problemas identificados en materia de vivienda en la CCSD</w:t>
      </w:r>
      <w:r w:rsidR="00586396" w:rsidRPr="00551E61">
        <w:rPr>
          <w:rFonts w:ascii="Arial" w:hAnsi="Arial" w:cs="Arial"/>
          <w:sz w:val="22"/>
          <w:szCs w:val="22"/>
          <w:lang w:val="es-ES_tradnl"/>
        </w:rPr>
        <w:t xml:space="preserve"> y se presentan organizadas en dos </w:t>
      </w:r>
      <w:r w:rsidR="00586396" w:rsidRPr="00551E61">
        <w:rPr>
          <w:rFonts w:ascii="Arial" w:hAnsi="Arial" w:cs="Arial"/>
          <w:sz w:val="22"/>
          <w:szCs w:val="22"/>
          <w:lang w:val="es-ES_tradnl"/>
        </w:rPr>
        <w:lastRenderedPageBreak/>
        <w:t xml:space="preserve">estrategias: una de atracción y otra de retención. La </w:t>
      </w:r>
      <w:r w:rsidR="00586396" w:rsidRPr="00551E61">
        <w:rPr>
          <w:rFonts w:ascii="Arial" w:hAnsi="Arial" w:cs="Arial"/>
          <w:b/>
          <w:sz w:val="22"/>
          <w:szCs w:val="22"/>
          <w:lang w:val="es-ES_tradnl"/>
        </w:rPr>
        <w:t>estrategia de atracción</w:t>
      </w:r>
      <w:r w:rsidR="00586396" w:rsidRPr="00551E61">
        <w:rPr>
          <w:rFonts w:ascii="Arial" w:hAnsi="Arial" w:cs="Arial"/>
          <w:sz w:val="22"/>
          <w:szCs w:val="22"/>
          <w:lang w:val="es-ES_tradnl"/>
        </w:rPr>
        <w:t xml:space="preserve"> busca responder </w:t>
      </w:r>
      <w:r w:rsidR="001F0AB8" w:rsidRPr="00551E61">
        <w:rPr>
          <w:rFonts w:ascii="Arial" w:hAnsi="Arial" w:cs="Arial"/>
          <w:sz w:val="22"/>
          <w:szCs w:val="22"/>
          <w:lang w:val="es-ES_tradnl"/>
        </w:rPr>
        <w:t xml:space="preserve">de manera general </w:t>
      </w:r>
      <w:r w:rsidR="00586396" w:rsidRPr="00551E61">
        <w:rPr>
          <w:rFonts w:ascii="Arial" w:hAnsi="Arial" w:cs="Arial"/>
          <w:sz w:val="22"/>
          <w:szCs w:val="22"/>
          <w:lang w:val="es-ES_tradnl"/>
        </w:rPr>
        <w:t>al problema de la disminución de la población en la zona y de manera particular a sus causas</w:t>
      </w:r>
      <w:r w:rsidR="002E78A1" w:rsidRPr="00551E61">
        <w:rPr>
          <w:rFonts w:ascii="Arial" w:hAnsi="Arial" w:cs="Arial"/>
          <w:sz w:val="22"/>
          <w:szCs w:val="22"/>
          <w:lang w:val="es-ES_tradnl"/>
        </w:rPr>
        <w:t>. Del lado de la demanda,</w:t>
      </w:r>
      <w:r w:rsidR="00586396" w:rsidRPr="00551E61">
        <w:rPr>
          <w:rFonts w:ascii="Arial" w:hAnsi="Arial" w:cs="Arial"/>
          <w:sz w:val="22"/>
          <w:szCs w:val="22"/>
          <w:lang w:val="es-ES_tradnl"/>
        </w:rPr>
        <w:t xml:space="preserve"> (i) el inadecuado estado de conservación de la zona y los inmuebles, (ii) la falta de parqueo, y (iii) los altos precios de las unidades en oferta. Por el lado de la oferta</w:t>
      </w:r>
      <w:r w:rsidR="002E78A1" w:rsidRPr="00551E61">
        <w:rPr>
          <w:rFonts w:ascii="Arial" w:hAnsi="Arial" w:cs="Arial"/>
          <w:sz w:val="22"/>
          <w:szCs w:val="22"/>
          <w:lang w:val="es-ES_tradnl"/>
        </w:rPr>
        <w:t>,</w:t>
      </w:r>
      <w:r w:rsidR="00586396" w:rsidRPr="00551E61">
        <w:rPr>
          <w:rFonts w:ascii="Arial" w:hAnsi="Arial" w:cs="Arial"/>
          <w:sz w:val="22"/>
          <w:szCs w:val="22"/>
          <w:lang w:val="es-ES_tradnl"/>
        </w:rPr>
        <w:t xml:space="preserve"> (i) la dificultad de ejercer reposesión de bienes alquilados, (ii) la baja titularidad de las propiedades, y (iii) los altos precios del suelo.</w:t>
      </w:r>
      <w:r w:rsidR="005317E4" w:rsidRPr="00551E61">
        <w:rPr>
          <w:rFonts w:ascii="Arial" w:hAnsi="Arial" w:cs="Arial"/>
          <w:sz w:val="22"/>
          <w:szCs w:val="22"/>
          <w:lang w:val="es-ES_tradnl"/>
        </w:rPr>
        <w:t xml:space="preserve"> La </w:t>
      </w:r>
      <w:r w:rsidR="005317E4" w:rsidRPr="00551E61">
        <w:rPr>
          <w:rFonts w:ascii="Arial" w:hAnsi="Arial" w:cs="Arial"/>
          <w:b/>
          <w:sz w:val="22"/>
          <w:szCs w:val="22"/>
          <w:lang w:val="es-ES_tradnl"/>
        </w:rPr>
        <w:t>estrategia de retención</w:t>
      </w:r>
      <w:r w:rsidR="005317E4" w:rsidRPr="00551E61">
        <w:rPr>
          <w:rFonts w:ascii="Arial" w:hAnsi="Arial" w:cs="Arial"/>
          <w:sz w:val="22"/>
          <w:szCs w:val="22"/>
          <w:lang w:val="es-ES_tradnl"/>
        </w:rPr>
        <w:t xml:space="preserve"> se propone mejorar las condiciones habitacionales del sector y mantener su diversidad e inclusión social atendiendo a los factores causantes de la baja calidad de parte del stock: (i) los bajos ingresos de los pobladores de las áreas en las que se concentran los problemas constructivos y (ii) mayor incidencia de problemáticas de </w:t>
      </w:r>
      <w:r w:rsidR="008560C0" w:rsidRPr="00551E61">
        <w:rPr>
          <w:rFonts w:ascii="Arial" w:hAnsi="Arial" w:cs="Arial"/>
          <w:sz w:val="22"/>
          <w:szCs w:val="22"/>
          <w:lang w:val="es-ES_tradnl"/>
        </w:rPr>
        <w:t xml:space="preserve">informalidad en el </w:t>
      </w:r>
      <w:r w:rsidR="005317E4" w:rsidRPr="00551E61">
        <w:rPr>
          <w:rFonts w:ascii="Arial" w:hAnsi="Arial" w:cs="Arial"/>
          <w:sz w:val="22"/>
          <w:szCs w:val="22"/>
          <w:lang w:val="es-ES_tradnl"/>
        </w:rPr>
        <w:t xml:space="preserve">alquiler y </w:t>
      </w:r>
      <w:r w:rsidR="008560C0" w:rsidRPr="00551E61">
        <w:rPr>
          <w:rFonts w:ascii="Arial" w:hAnsi="Arial" w:cs="Arial"/>
          <w:sz w:val="22"/>
          <w:szCs w:val="22"/>
          <w:lang w:val="es-ES_tradnl"/>
        </w:rPr>
        <w:t xml:space="preserve">la </w:t>
      </w:r>
      <w:r w:rsidR="005317E4" w:rsidRPr="00551E61">
        <w:rPr>
          <w:rFonts w:ascii="Arial" w:hAnsi="Arial" w:cs="Arial"/>
          <w:sz w:val="22"/>
          <w:szCs w:val="22"/>
          <w:lang w:val="es-ES_tradnl"/>
        </w:rPr>
        <w:t>titularidad.</w:t>
      </w:r>
    </w:p>
    <w:p w:rsidR="005317E4" w:rsidRPr="00551E61" w:rsidRDefault="005317E4" w:rsidP="005317E4">
      <w:pPr>
        <w:pStyle w:val="Paragraph"/>
        <w:ind w:left="720"/>
        <w:rPr>
          <w:rFonts w:ascii="Arial" w:hAnsi="Arial" w:cs="Arial"/>
          <w:sz w:val="22"/>
          <w:szCs w:val="22"/>
          <w:lang w:val="es-ES_tradnl"/>
        </w:rPr>
      </w:pPr>
    </w:p>
    <w:p w:rsidR="005317E4" w:rsidRPr="00551E61" w:rsidRDefault="005317E4" w:rsidP="005317E4">
      <w:pPr>
        <w:pStyle w:val="Paragraph"/>
        <w:ind w:left="720"/>
        <w:rPr>
          <w:rFonts w:ascii="Arial" w:hAnsi="Arial" w:cs="Arial"/>
          <w:b/>
          <w:sz w:val="22"/>
          <w:szCs w:val="22"/>
          <w:lang w:val="es-ES_tradnl"/>
        </w:rPr>
      </w:pPr>
      <w:r w:rsidRPr="00551E61">
        <w:rPr>
          <w:rFonts w:ascii="Arial" w:hAnsi="Arial" w:cs="Arial"/>
          <w:b/>
          <w:sz w:val="22"/>
          <w:szCs w:val="22"/>
          <w:lang w:val="es-ES_tradnl"/>
        </w:rPr>
        <w:t xml:space="preserve">Estrategia de atracción </w:t>
      </w:r>
    </w:p>
    <w:p w:rsidR="00EB3F6F" w:rsidRPr="00551E61" w:rsidRDefault="00586396" w:rsidP="00586396">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szCs w:val="22"/>
          <w:lang w:val="es-ES_tradnl"/>
        </w:rPr>
        <w:t xml:space="preserve">En términos del </w:t>
      </w:r>
      <w:r w:rsidRPr="00551E61">
        <w:rPr>
          <w:rFonts w:ascii="Arial" w:hAnsi="Arial" w:cs="Arial"/>
          <w:b/>
          <w:sz w:val="22"/>
          <w:szCs w:val="22"/>
          <w:lang w:val="es-ES_tradnl"/>
        </w:rPr>
        <w:t>inadecuado estado de conservación de la zona y los inmuebles</w:t>
      </w:r>
      <w:r w:rsidRPr="00551E61">
        <w:rPr>
          <w:rFonts w:ascii="Arial" w:hAnsi="Arial" w:cs="Arial"/>
          <w:sz w:val="22"/>
          <w:szCs w:val="22"/>
          <w:lang w:val="es-ES_tradnl"/>
        </w:rPr>
        <w:t>, la estrategia de atracción propone complementar</w:t>
      </w:r>
      <w:r w:rsidR="00B337EA" w:rsidRPr="00551E61">
        <w:rPr>
          <w:rFonts w:ascii="Arial" w:hAnsi="Arial" w:cs="Arial"/>
          <w:sz w:val="22"/>
          <w:szCs w:val="22"/>
          <w:lang w:val="es-ES_tradnl"/>
        </w:rPr>
        <w:t xml:space="preserve"> l</w:t>
      </w:r>
      <w:r w:rsidR="00D9521D" w:rsidRPr="00551E61">
        <w:rPr>
          <w:rFonts w:ascii="Arial" w:hAnsi="Arial" w:cs="Arial"/>
          <w:sz w:val="22"/>
          <w:szCs w:val="22"/>
          <w:lang w:val="es-ES_tradnl"/>
        </w:rPr>
        <w:t xml:space="preserve">as intervenciones en el entorno y los espacios públicos que se plantean en los demás subcomponentes del programa con una intervención orientada al </w:t>
      </w:r>
      <w:r w:rsidR="00D9521D" w:rsidRPr="00551E61">
        <w:rPr>
          <w:rFonts w:ascii="Arial" w:hAnsi="Arial" w:cs="Arial"/>
          <w:b/>
          <w:sz w:val="22"/>
          <w:szCs w:val="22"/>
          <w:lang w:val="es-ES_tradnl"/>
        </w:rPr>
        <w:t>embellecimiento de las fachadas</w:t>
      </w:r>
      <w:r w:rsidR="00D9521D" w:rsidRPr="00551E61">
        <w:rPr>
          <w:rFonts w:ascii="Arial" w:hAnsi="Arial" w:cs="Arial"/>
          <w:sz w:val="22"/>
          <w:szCs w:val="22"/>
          <w:lang w:val="es-ES_tradnl"/>
        </w:rPr>
        <w:t xml:space="preserve"> de los edificios privados. Otras experiencias de la región como el reconocido caso del barrio Las </w:t>
      </w:r>
      <w:r w:rsidR="00610E56" w:rsidRPr="00551E61">
        <w:rPr>
          <w:rFonts w:ascii="Arial" w:hAnsi="Arial" w:cs="Arial"/>
          <w:sz w:val="22"/>
          <w:szCs w:val="22"/>
          <w:lang w:val="es-ES_tradnl"/>
        </w:rPr>
        <w:t>Peñas</w:t>
      </w:r>
      <w:r w:rsidR="00D9521D" w:rsidRPr="00551E61">
        <w:rPr>
          <w:rFonts w:ascii="Arial" w:hAnsi="Arial" w:cs="Arial"/>
          <w:sz w:val="22"/>
          <w:szCs w:val="22"/>
          <w:lang w:val="es-ES_tradnl"/>
        </w:rPr>
        <w:t xml:space="preserve"> en Guayaquil ha demostrado la importancia de una intervención publica en las fachadas para generar un medio ambiente apreciado por los ciudadanos (El Universo, 2012). </w:t>
      </w:r>
    </w:p>
    <w:p w:rsidR="00CB773B" w:rsidRPr="00551E61" w:rsidRDefault="0030301C" w:rsidP="00586396">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szCs w:val="22"/>
          <w:lang w:val="es-ES_tradnl"/>
        </w:rPr>
        <w:t xml:space="preserve">El Plan </w:t>
      </w:r>
      <w:r w:rsidR="000D5498" w:rsidRPr="00551E61">
        <w:rPr>
          <w:rFonts w:ascii="Arial" w:hAnsi="Arial" w:cs="Arial"/>
          <w:sz w:val="22"/>
          <w:szCs w:val="22"/>
          <w:lang w:val="es-ES_tradnl"/>
        </w:rPr>
        <w:t>Estratégico de la CCSD (2006</w:t>
      </w:r>
      <w:r w:rsidRPr="00551E61">
        <w:rPr>
          <w:rFonts w:ascii="Arial" w:hAnsi="Arial" w:cs="Arial"/>
          <w:sz w:val="22"/>
          <w:szCs w:val="22"/>
          <w:lang w:val="es-ES_tradnl"/>
        </w:rPr>
        <w:t>) identifica que 4.5% de los edificios de la zona tienen valor monumental, el 30.3% tienen valor tipológico y arquitectónico, y el 14.1% tienen valor tipológico alterado</w:t>
      </w:r>
      <w:r w:rsidRPr="00551E61">
        <w:rPr>
          <w:rStyle w:val="FootnoteReference"/>
          <w:rFonts w:ascii="Arial" w:hAnsi="Arial" w:cs="Arial"/>
          <w:sz w:val="22"/>
          <w:szCs w:val="22"/>
          <w:lang w:val="es-ES_tradnl"/>
        </w:rPr>
        <w:footnoteReference w:id="10"/>
      </w:r>
      <w:r w:rsidRPr="00551E61">
        <w:rPr>
          <w:rFonts w:ascii="Arial" w:hAnsi="Arial" w:cs="Arial"/>
          <w:sz w:val="22"/>
          <w:szCs w:val="22"/>
          <w:lang w:val="es-ES_tradnl"/>
        </w:rPr>
        <w:t>, de t</w:t>
      </w:r>
      <w:r w:rsidR="00CB773B" w:rsidRPr="00551E61">
        <w:rPr>
          <w:rFonts w:ascii="Arial" w:hAnsi="Arial" w:cs="Arial"/>
          <w:sz w:val="22"/>
          <w:szCs w:val="22"/>
          <w:lang w:val="es-ES_tradnl"/>
        </w:rPr>
        <w:t>al manera el Plan</w:t>
      </w:r>
      <w:r w:rsidRPr="00551E61">
        <w:rPr>
          <w:rFonts w:ascii="Arial" w:hAnsi="Arial" w:cs="Arial"/>
          <w:sz w:val="22"/>
          <w:szCs w:val="22"/>
          <w:lang w:val="es-ES_tradnl"/>
        </w:rPr>
        <w:t xml:space="preserve"> concluye que “</w:t>
      </w:r>
      <w:r w:rsidRPr="00551E61">
        <w:rPr>
          <w:rFonts w:ascii="Arial" w:hAnsi="Arial" w:cs="Arial"/>
          <w:i/>
          <w:sz w:val="22"/>
          <w:szCs w:val="22"/>
          <w:lang w:val="es-ES_tradnl"/>
        </w:rPr>
        <w:t>en su totalidad podemos afirmar que alrededor de la mitad de la superficie del centro histórico está ocupada por lotes de alto valor histórico y arquitectónico</w:t>
      </w:r>
      <w:r w:rsidRPr="00551E61">
        <w:rPr>
          <w:rFonts w:ascii="Arial" w:hAnsi="Arial" w:cs="Arial"/>
          <w:sz w:val="22"/>
          <w:szCs w:val="22"/>
          <w:lang w:val="es-ES_tradnl"/>
        </w:rPr>
        <w:t xml:space="preserve">”. Si </w:t>
      </w:r>
      <w:r w:rsidR="00EB3F6F" w:rsidRPr="00551E61">
        <w:rPr>
          <w:rFonts w:ascii="Arial" w:hAnsi="Arial" w:cs="Arial"/>
          <w:sz w:val="22"/>
          <w:szCs w:val="22"/>
          <w:lang w:val="es-ES_tradnl"/>
        </w:rPr>
        <w:t>le restamos a las 3,764 viviendas particulares de la CCSD aquellas calificadas como ‘</w:t>
      </w:r>
      <w:r w:rsidR="00CB773B" w:rsidRPr="00551E61">
        <w:rPr>
          <w:rFonts w:ascii="Arial" w:hAnsi="Arial" w:cs="Arial"/>
          <w:sz w:val="22"/>
          <w:szCs w:val="22"/>
          <w:lang w:val="es-ES_tradnl"/>
        </w:rPr>
        <w:t>cuartería</w:t>
      </w:r>
      <w:r w:rsidR="00EB3F6F" w:rsidRPr="00551E61">
        <w:rPr>
          <w:rFonts w:ascii="Arial" w:hAnsi="Arial" w:cs="Arial"/>
          <w:sz w:val="22"/>
          <w:szCs w:val="22"/>
          <w:lang w:val="es-ES_tradnl"/>
        </w:rPr>
        <w:t xml:space="preserve"> en la parte de atrás’ (329) y las clasificadas como ‘vivienda en hilera o bloque’ (377) y suponemos que el</w:t>
      </w:r>
      <w:r w:rsidRPr="00551E61">
        <w:rPr>
          <w:rFonts w:ascii="Arial" w:hAnsi="Arial" w:cs="Arial"/>
          <w:sz w:val="22"/>
          <w:szCs w:val="22"/>
          <w:lang w:val="es-ES_tradnl"/>
        </w:rPr>
        <w:t xml:space="preserve"> porcentaje </w:t>
      </w:r>
      <w:r w:rsidR="00CB773B" w:rsidRPr="00551E61">
        <w:rPr>
          <w:rFonts w:ascii="Arial" w:hAnsi="Arial" w:cs="Arial"/>
          <w:sz w:val="22"/>
          <w:szCs w:val="22"/>
          <w:lang w:val="es-ES_tradnl"/>
        </w:rPr>
        <w:t>de edificios</w:t>
      </w:r>
      <w:r w:rsidR="00EB3F6F" w:rsidRPr="00551E61">
        <w:rPr>
          <w:rFonts w:ascii="Arial" w:hAnsi="Arial" w:cs="Arial"/>
          <w:sz w:val="22"/>
          <w:szCs w:val="22"/>
          <w:lang w:val="es-ES_tradnl"/>
        </w:rPr>
        <w:t xml:space="preserve"> con valor patrimonial </w:t>
      </w:r>
      <w:r w:rsidRPr="00551E61">
        <w:rPr>
          <w:rFonts w:ascii="Arial" w:hAnsi="Arial" w:cs="Arial"/>
          <w:sz w:val="22"/>
          <w:szCs w:val="22"/>
          <w:lang w:val="es-ES_tradnl"/>
        </w:rPr>
        <w:t xml:space="preserve">se mantiene para </w:t>
      </w:r>
      <w:r w:rsidR="009C40A0" w:rsidRPr="00551E61">
        <w:rPr>
          <w:rFonts w:ascii="Arial" w:hAnsi="Arial" w:cs="Arial"/>
          <w:sz w:val="22"/>
          <w:szCs w:val="22"/>
          <w:lang w:val="es-ES_tradnl"/>
        </w:rPr>
        <w:t xml:space="preserve">las unidades destinadas a </w:t>
      </w:r>
      <w:r w:rsidRPr="00551E61">
        <w:rPr>
          <w:rFonts w:ascii="Arial" w:hAnsi="Arial" w:cs="Arial"/>
          <w:sz w:val="22"/>
          <w:szCs w:val="22"/>
          <w:lang w:val="es-ES_tradnl"/>
        </w:rPr>
        <w:t>vivienda tendríamos un</w:t>
      </w:r>
      <w:r w:rsidR="00EB3F6F" w:rsidRPr="00551E61">
        <w:rPr>
          <w:rFonts w:ascii="Arial" w:hAnsi="Arial" w:cs="Arial"/>
          <w:sz w:val="22"/>
          <w:szCs w:val="22"/>
          <w:lang w:val="es-ES_tradnl"/>
        </w:rPr>
        <w:t xml:space="preserve"> universo de unas 1,529 unidades que podrían</w:t>
      </w:r>
      <w:r w:rsidR="00CB773B" w:rsidRPr="00551E61">
        <w:rPr>
          <w:rFonts w:ascii="Arial" w:hAnsi="Arial" w:cs="Arial"/>
          <w:sz w:val="22"/>
          <w:szCs w:val="22"/>
          <w:lang w:val="es-ES_tradnl"/>
        </w:rPr>
        <w:t xml:space="preserve"> beneficiarse de un embellecimiento de fachada.</w:t>
      </w:r>
      <w:r w:rsidR="00CB773B" w:rsidRPr="00551E61">
        <w:rPr>
          <w:rStyle w:val="FootnoteReference"/>
          <w:rFonts w:ascii="Arial" w:hAnsi="Arial" w:cs="Arial"/>
          <w:sz w:val="22"/>
          <w:szCs w:val="22"/>
          <w:lang w:val="es-ES_tradnl"/>
        </w:rPr>
        <w:footnoteReference w:id="11"/>
      </w:r>
    </w:p>
    <w:p w:rsidR="00B73F0E" w:rsidRPr="00551E61" w:rsidRDefault="00CB773B" w:rsidP="00CB773B">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szCs w:val="22"/>
          <w:lang w:val="es-ES_tradnl"/>
        </w:rPr>
        <w:t xml:space="preserve">La operación de préstamo actual que se está terminando de ejecutar ‘Programa de Fomento al Turismo – Ciudad Colonial de Santo Domingo (2587/OC-DR)’ incluyó un fondo concursable para el embellecimiento de fachadas en la zona colonial. Para tal fin se presupuestaron US$ 1.4 millones para </w:t>
      </w:r>
      <w:r w:rsidR="0092758E" w:rsidRPr="00551E61">
        <w:rPr>
          <w:rFonts w:ascii="Arial" w:hAnsi="Arial" w:cs="Arial"/>
          <w:sz w:val="22"/>
          <w:szCs w:val="22"/>
          <w:lang w:val="es-ES_tradnl"/>
        </w:rPr>
        <w:t>proveer fondos no reembolsables para restaurar o rehabilitar fachadas de casas históricas</w:t>
      </w:r>
      <w:r w:rsidR="008F23ED" w:rsidRPr="00551E61">
        <w:rPr>
          <w:rStyle w:val="FootnoteReference"/>
          <w:rFonts w:ascii="Arial" w:hAnsi="Arial" w:cs="Arial"/>
          <w:sz w:val="22"/>
          <w:szCs w:val="22"/>
          <w:lang w:val="es-ES_tradnl"/>
        </w:rPr>
        <w:footnoteReference w:id="12"/>
      </w:r>
      <w:r w:rsidR="008F23ED" w:rsidRPr="00551E61">
        <w:rPr>
          <w:rFonts w:ascii="Arial" w:hAnsi="Arial" w:cs="Arial"/>
          <w:sz w:val="22"/>
          <w:szCs w:val="22"/>
          <w:lang w:val="es-ES_tradnl"/>
        </w:rPr>
        <w:t>. L</w:t>
      </w:r>
      <w:r w:rsidR="0092758E" w:rsidRPr="00551E61">
        <w:rPr>
          <w:rFonts w:ascii="Arial" w:hAnsi="Arial" w:cs="Arial"/>
          <w:sz w:val="22"/>
          <w:szCs w:val="22"/>
          <w:lang w:val="es-ES_tradnl"/>
        </w:rPr>
        <w:t xml:space="preserve">a prioridad estaba definida </w:t>
      </w:r>
      <w:r w:rsidR="00B73F0E" w:rsidRPr="00551E61">
        <w:rPr>
          <w:rFonts w:ascii="Arial" w:hAnsi="Arial" w:cs="Arial"/>
          <w:sz w:val="22"/>
          <w:szCs w:val="22"/>
          <w:lang w:val="es-ES_tradnl"/>
        </w:rPr>
        <w:t>por la</w:t>
      </w:r>
      <w:r w:rsidR="00656CF0" w:rsidRPr="00551E61">
        <w:rPr>
          <w:rFonts w:ascii="Arial" w:hAnsi="Arial" w:cs="Arial"/>
          <w:sz w:val="22"/>
          <w:szCs w:val="22"/>
          <w:lang w:val="es-ES_tradnl"/>
        </w:rPr>
        <w:t xml:space="preserve"> ubicación</w:t>
      </w:r>
      <w:r w:rsidR="00B73F0E" w:rsidRPr="00551E61">
        <w:rPr>
          <w:rFonts w:ascii="Arial" w:hAnsi="Arial" w:cs="Arial"/>
          <w:sz w:val="22"/>
          <w:szCs w:val="22"/>
          <w:lang w:val="es-ES_tradnl"/>
        </w:rPr>
        <w:t>, limitándose a la zona de actuación de la operación que comprendía el área monumental compuesta por aproximadamente 20 de las 116 manzanas</w:t>
      </w:r>
      <w:r w:rsidR="00653B59" w:rsidRPr="00551E61">
        <w:rPr>
          <w:rFonts w:ascii="Arial" w:hAnsi="Arial" w:cs="Arial"/>
          <w:sz w:val="22"/>
          <w:szCs w:val="22"/>
          <w:lang w:val="es-ES_tradnl"/>
        </w:rPr>
        <w:t xml:space="preserve">, y </w:t>
      </w:r>
      <w:r w:rsidR="00653B59" w:rsidRPr="00551E61">
        <w:rPr>
          <w:rFonts w:ascii="Arial" w:hAnsi="Arial" w:cs="Arial"/>
          <w:sz w:val="22"/>
          <w:szCs w:val="22"/>
          <w:lang w:val="es-ES_tradnl"/>
        </w:rPr>
        <w:lastRenderedPageBreak/>
        <w:t>por la tipología</w:t>
      </w:r>
      <w:r w:rsidR="00B73F0E" w:rsidRPr="00551E61">
        <w:rPr>
          <w:rFonts w:ascii="Arial" w:hAnsi="Arial" w:cs="Arial"/>
          <w:sz w:val="22"/>
          <w:szCs w:val="22"/>
          <w:lang w:val="es-ES_tradnl"/>
        </w:rPr>
        <w:t xml:space="preserve"> p</w:t>
      </w:r>
      <w:r w:rsidR="00653B59" w:rsidRPr="00551E61">
        <w:rPr>
          <w:rFonts w:ascii="Arial" w:hAnsi="Arial" w:cs="Arial"/>
          <w:sz w:val="22"/>
          <w:szCs w:val="22"/>
          <w:lang w:val="es-ES_tradnl"/>
        </w:rPr>
        <w:t>atrimonial</w:t>
      </w:r>
      <w:r w:rsidR="00B73F0E" w:rsidRPr="00551E61">
        <w:rPr>
          <w:rFonts w:ascii="Arial" w:hAnsi="Arial" w:cs="Arial"/>
          <w:sz w:val="22"/>
          <w:szCs w:val="22"/>
          <w:lang w:val="es-ES_tradnl"/>
        </w:rPr>
        <w:t xml:space="preserve"> incluyendo los inmuebles de categorías 1 ‘valor monumental’ y de categoría 2 ‘valor tipológico y arquitectónico pre y post 1900’</w:t>
      </w:r>
      <w:r w:rsidR="00656CF0" w:rsidRPr="00551E61">
        <w:rPr>
          <w:rFonts w:ascii="Arial" w:hAnsi="Arial" w:cs="Arial"/>
          <w:sz w:val="22"/>
          <w:szCs w:val="22"/>
          <w:lang w:val="es-ES_tradnl"/>
        </w:rPr>
        <w:t>.</w:t>
      </w:r>
    </w:p>
    <w:p w:rsidR="00653B59" w:rsidRPr="00551E61" w:rsidRDefault="008F23ED" w:rsidP="00656CF0">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szCs w:val="22"/>
          <w:lang w:val="es-ES_tradnl"/>
        </w:rPr>
        <w:t xml:space="preserve">Adicionalmente, existían criterios de elegibilidad técnicos y legales entre los cuales estaba tener </w:t>
      </w:r>
      <w:r w:rsidR="00653B59" w:rsidRPr="00551E61">
        <w:rPr>
          <w:rFonts w:ascii="Arial" w:hAnsi="Arial" w:cs="Arial"/>
          <w:sz w:val="22"/>
          <w:szCs w:val="22"/>
          <w:lang w:val="es-ES_tradnl"/>
        </w:rPr>
        <w:t xml:space="preserve">una </w:t>
      </w:r>
      <w:r w:rsidRPr="00551E61">
        <w:rPr>
          <w:rFonts w:ascii="Arial" w:hAnsi="Arial" w:cs="Arial"/>
          <w:sz w:val="22"/>
          <w:szCs w:val="22"/>
          <w:lang w:val="es-ES_tradnl"/>
        </w:rPr>
        <w:t>muestra de propiedad</w:t>
      </w:r>
      <w:r w:rsidR="00653B59" w:rsidRPr="00551E61">
        <w:rPr>
          <w:rFonts w:ascii="Arial" w:hAnsi="Arial" w:cs="Arial"/>
          <w:sz w:val="22"/>
          <w:szCs w:val="22"/>
          <w:lang w:val="es-ES_tradnl"/>
        </w:rPr>
        <w:t xml:space="preserve"> como: título de propiedad registrado, certificado de inscripción de propiedad ante catastro, comprobantes de pago y/o de regularización de impuestos a la propiedad, contratos de arrendamiento, comprobantes de pago, pago de servicios y otras constancias de ocupación legal. Es importante señalar que en caso de evidenciarse la ausencia de estos documentos o la falta de respuesta de los propietarios el MITUR se reservaba el derecho de </w:t>
      </w:r>
      <w:r w:rsidR="006B7B19" w:rsidRPr="00551E61">
        <w:rPr>
          <w:rFonts w:ascii="Arial" w:hAnsi="Arial" w:cs="Arial"/>
          <w:sz w:val="22"/>
          <w:szCs w:val="22"/>
          <w:lang w:val="es-ES_tradnl"/>
        </w:rPr>
        <w:t>intervención</w:t>
      </w:r>
      <w:r w:rsidR="00653B59" w:rsidRPr="00551E61">
        <w:rPr>
          <w:rFonts w:ascii="Arial" w:hAnsi="Arial" w:cs="Arial"/>
          <w:sz w:val="22"/>
          <w:szCs w:val="22"/>
          <w:lang w:val="es-ES_tradnl"/>
        </w:rPr>
        <w:t xml:space="preserve"> basado en “</w:t>
      </w:r>
      <w:r w:rsidR="00653B59" w:rsidRPr="00551E61">
        <w:rPr>
          <w:rFonts w:ascii="Arial" w:hAnsi="Arial" w:cs="Arial"/>
          <w:i/>
          <w:sz w:val="22"/>
          <w:szCs w:val="22"/>
          <w:lang w:val="es-ES_tradnl"/>
        </w:rPr>
        <w:t>el Decreto Presidencial No. 29-13 del 29 de enero de 2013 que, entre otros, declara de alto interés nacional e interés social, los trabajos de intervención por parte del ‘Programa de Fomento al Turismo, Ciudad Colonial de Santo Domingo’</w:t>
      </w:r>
      <w:r w:rsidR="006B7B19" w:rsidRPr="00551E61">
        <w:rPr>
          <w:rFonts w:ascii="Arial" w:hAnsi="Arial" w:cs="Arial"/>
          <w:i/>
          <w:sz w:val="22"/>
          <w:szCs w:val="22"/>
          <w:lang w:val="es-ES_tradnl"/>
        </w:rPr>
        <w:t xml:space="preserve"> en las fachadas que califiquen</w:t>
      </w:r>
      <w:r w:rsidR="00653B59" w:rsidRPr="00551E61">
        <w:rPr>
          <w:rFonts w:ascii="Arial" w:hAnsi="Arial" w:cs="Arial"/>
          <w:sz w:val="22"/>
          <w:szCs w:val="22"/>
          <w:lang w:val="es-ES_tradnl"/>
        </w:rPr>
        <w:t>” (</w:t>
      </w:r>
      <w:r w:rsidR="006C1FF9" w:rsidRPr="00551E61">
        <w:rPr>
          <w:rFonts w:ascii="Arial" w:hAnsi="Arial" w:cs="Arial"/>
          <w:sz w:val="22"/>
          <w:szCs w:val="22"/>
          <w:lang w:val="es-ES_tradnl"/>
        </w:rPr>
        <w:t>Garrett, 2014:</w:t>
      </w:r>
      <w:r w:rsidR="00653B59" w:rsidRPr="00551E61">
        <w:rPr>
          <w:rFonts w:ascii="Arial" w:hAnsi="Arial" w:cs="Arial"/>
          <w:sz w:val="22"/>
          <w:szCs w:val="22"/>
          <w:lang w:val="es-ES_tradnl"/>
        </w:rPr>
        <w:t xml:space="preserve"> Pág. 18).</w:t>
      </w:r>
    </w:p>
    <w:p w:rsidR="00232F74" w:rsidRPr="00551E61" w:rsidRDefault="006B7B19" w:rsidP="00656CF0">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szCs w:val="22"/>
          <w:lang w:val="es-ES_tradnl"/>
        </w:rPr>
        <w:t xml:space="preserve">Se definió un alcance de 100 a 150 inmuebles y un presupuesto no mayor a US$ 11,900 para fachadas de menos de 2 pisos y de hasta US$ 20,000 para fachadas de 3 a 4 niveles. </w:t>
      </w:r>
      <w:r w:rsidR="006C1FF9" w:rsidRPr="00551E61">
        <w:rPr>
          <w:rFonts w:ascii="Arial" w:hAnsi="Arial" w:cs="Arial"/>
          <w:sz w:val="22"/>
          <w:szCs w:val="22"/>
          <w:lang w:val="es-ES_tradnl"/>
        </w:rPr>
        <w:t>La ejecución se haría</w:t>
      </w:r>
      <w:r w:rsidR="00310ABF" w:rsidRPr="00551E61">
        <w:rPr>
          <w:rFonts w:ascii="Arial" w:hAnsi="Arial" w:cs="Arial"/>
          <w:sz w:val="22"/>
          <w:szCs w:val="22"/>
          <w:lang w:val="es-ES_tradnl"/>
        </w:rPr>
        <w:t xml:space="preserve"> a través del MINTUR que contrataría directamente sin que haya transferencia de dinero a los beneficiarios. </w:t>
      </w:r>
      <w:r w:rsidR="00232F74" w:rsidRPr="00551E61">
        <w:rPr>
          <w:rFonts w:ascii="Arial" w:hAnsi="Arial" w:cs="Arial"/>
          <w:sz w:val="22"/>
          <w:szCs w:val="22"/>
          <w:lang w:val="es-ES_tradnl"/>
        </w:rPr>
        <w:t>Según informe del equipo del proyecto actual a la fecha se han ejecutado unas 120 fachadas.</w:t>
      </w:r>
    </w:p>
    <w:p w:rsidR="006B7B19" w:rsidRPr="00551E61" w:rsidRDefault="006B7B19" w:rsidP="00656CF0">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szCs w:val="22"/>
          <w:lang w:val="es-ES_tradnl"/>
        </w:rPr>
        <w:t>Para esta nueva operación se sugiere mantener las mismas reglas operativas pero abrie</w:t>
      </w:r>
      <w:r w:rsidR="006C1FF9" w:rsidRPr="00551E61">
        <w:rPr>
          <w:rFonts w:ascii="Arial" w:hAnsi="Arial" w:cs="Arial"/>
          <w:sz w:val="22"/>
          <w:szCs w:val="22"/>
          <w:lang w:val="es-ES_tradnl"/>
        </w:rPr>
        <w:t>ndo la prioridad a toda la CCSD</w:t>
      </w:r>
      <w:r w:rsidRPr="00551E61">
        <w:rPr>
          <w:rFonts w:ascii="Arial" w:hAnsi="Arial" w:cs="Arial"/>
          <w:sz w:val="22"/>
          <w:szCs w:val="22"/>
          <w:lang w:val="es-ES_tradnl"/>
        </w:rPr>
        <w:t xml:space="preserve"> en la medida que la </w:t>
      </w:r>
      <w:r w:rsidR="00232F74" w:rsidRPr="00551E61">
        <w:rPr>
          <w:rFonts w:ascii="Arial" w:hAnsi="Arial" w:cs="Arial"/>
          <w:sz w:val="22"/>
          <w:szCs w:val="22"/>
          <w:lang w:val="es-ES_tradnl"/>
        </w:rPr>
        <w:t>intervención</w:t>
      </w:r>
      <w:r w:rsidRPr="00551E61">
        <w:rPr>
          <w:rFonts w:ascii="Arial" w:hAnsi="Arial" w:cs="Arial"/>
          <w:sz w:val="22"/>
          <w:szCs w:val="22"/>
          <w:lang w:val="es-ES_tradnl"/>
        </w:rPr>
        <w:t xml:space="preserve"> cubrirá la may</w:t>
      </w:r>
      <w:r w:rsidR="006C1FF9" w:rsidRPr="00551E61">
        <w:rPr>
          <w:rFonts w:ascii="Arial" w:hAnsi="Arial" w:cs="Arial"/>
          <w:sz w:val="22"/>
          <w:szCs w:val="22"/>
          <w:lang w:val="es-ES_tradnl"/>
        </w:rPr>
        <w:t>oría de las manzanas de la zona. Por otra parte, se sugiere incluir</w:t>
      </w:r>
      <w:r w:rsidR="00232F74" w:rsidRPr="00551E61">
        <w:rPr>
          <w:rFonts w:ascii="Arial" w:hAnsi="Arial" w:cs="Arial"/>
          <w:sz w:val="22"/>
          <w:szCs w:val="22"/>
          <w:lang w:val="es-ES_tradnl"/>
        </w:rPr>
        <w:t xml:space="preserve"> inmuebles de categoría 3 ‘edificios de valor tipológico y arquitectónico alterado’ en la medida en que estos podrían mejorar el estado de conservación de la CCSD</w:t>
      </w:r>
      <w:r w:rsidR="00310ABF" w:rsidRPr="00551E61">
        <w:rPr>
          <w:rFonts w:ascii="Arial" w:hAnsi="Arial" w:cs="Arial"/>
          <w:sz w:val="22"/>
          <w:szCs w:val="22"/>
          <w:lang w:val="es-ES_tradnl"/>
        </w:rPr>
        <w:t xml:space="preserve"> y abrir más áreas y edificios para demanda residencial</w:t>
      </w:r>
      <w:r w:rsidR="00232F74" w:rsidRPr="00551E61">
        <w:rPr>
          <w:rFonts w:ascii="Arial" w:hAnsi="Arial" w:cs="Arial"/>
          <w:sz w:val="22"/>
          <w:szCs w:val="22"/>
          <w:lang w:val="es-ES_tradnl"/>
        </w:rPr>
        <w:t xml:space="preserve">. </w:t>
      </w:r>
      <w:r w:rsidR="00310ABF" w:rsidRPr="00551E61">
        <w:rPr>
          <w:rFonts w:ascii="Arial" w:hAnsi="Arial" w:cs="Arial"/>
          <w:sz w:val="22"/>
          <w:szCs w:val="22"/>
          <w:lang w:val="es-ES_tradnl"/>
        </w:rPr>
        <w:t>Así</w:t>
      </w:r>
      <w:r w:rsidR="00232F74" w:rsidRPr="00551E61">
        <w:rPr>
          <w:rFonts w:ascii="Arial" w:hAnsi="Arial" w:cs="Arial"/>
          <w:sz w:val="22"/>
          <w:szCs w:val="22"/>
          <w:lang w:val="es-ES_tradnl"/>
        </w:rPr>
        <w:t xml:space="preserve"> mismo</w:t>
      </w:r>
      <w:r w:rsidR="006C1FF9" w:rsidRPr="00551E61">
        <w:rPr>
          <w:rFonts w:ascii="Arial" w:hAnsi="Arial" w:cs="Arial"/>
          <w:sz w:val="22"/>
          <w:szCs w:val="22"/>
          <w:lang w:val="es-ES_tradnl"/>
        </w:rPr>
        <w:t>,</w:t>
      </w:r>
      <w:r w:rsidR="00232F74" w:rsidRPr="00551E61">
        <w:rPr>
          <w:rFonts w:ascii="Arial" w:hAnsi="Arial" w:cs="Arial"/>
          <w:sz w:val="22"/>
          <w:szCs w:val="22"/>
          <w:lang w:val="es-ES_tradnl"/>
        </w:rPr>
        <w:t xml:space="preserve"> se sugiere mantener los valores de referencia con un monto de inversión promedio de US$ 1</w:t>
      </w:r>
      <w:r w:rsidR="00292795" w:rsidRPr="00551E61">
        <w:rPr>
          <w:rFonts w:ascii="Arial" w:hAnsi="Arial" w:cs="Arial"/>
          <w:sz w:val="22"/>
          <w:szCs w:val="22"/>
          <w:lang w:val="es-ES_tradnl"/>
        </w:rPr>
        <w:t>2,5</w:t>
      </w:r>
      <w:r w:rsidR="00232F74" w:rsidRPr="00551E61">
        <w:rPr>
          <w:rFonts w:ascii="Arial" w:hAnsi="Arial" w:cs="Arial"/>
          <w:sz w:val="22"/>
          <w:szCs w:val="22"/>
          <w:lang w:val="es-ES_tradnl"/>
        </w:rPr>
        <w:t>00</w:t>
      </w:r>
      <w:r w:rsidR="00292795" w:rsidRPr="00551E61">
        <w:rPr>
          <w:rFonts w:ascii="Arial" w:hAnsi="Arial" w:cs="Arial"/>
          <w:sz w:val="22"/>
          <w:szCs w:val="22"/>
          <w:lang w:val="es-ES_tradnl"/>
        </w:rPr>
        <w:t xml:space="preserve"> y una meta de 120</w:t>
      </w:r>
      <w:r w:rsidR="00232F74" w:rsidRPr="00551E61">
        <w:rPr>
          <w:rFonts w:ascii="Arial" w:hAnsi="Arial" w:cs="Arial"/>
          <w:sz w:val="22"/>
          <w:szCs w:val="22"/>
          <w:lang w:val="es-ES_tradnl"/>
        </w:rPr>
        <w:t xml:space="preserve"> fachadas para un </w:t>
      </w:r>
      <w:r w:rsidR="00A3761E" w:rsidRPr="00551E61">
        <w:rPr>
          <w:rFonts w:ascii="Arial" w:hAnsi="Arial" w:cs="Arial"/>
          <w:sz w:val="22"/>
          <w:szCs w:val="22"/>
          <w:lang w:val="es-ES_tradnl"/>
        </w:rPr>
        <w:t>valor total de US$ 1,5 millones de inversión y un presupuesto par</w:t>
      </w:r>
      <w:r w:rsidR="008305A5" w:rsidRPr="00551E61">
        <w:rPr>
          <w:rFonts w:ascii="Arial" w:hAnsi="Arial" w:cs="Arial"/>
          <w:sz w:val="22"/>
          <w:szCs w:val="22"/>
          <w:lang w:val="es-ES_tradnl"/>
        </w:rPr>
        <w:t>a contratar la elaboración del Reglamento Operativo por US$ 50,000 personal técnico de $25</w:t>
      </w:r>
      <w:r w:rsidR="00A3761E" w:rsidRPr="00551E61">
        <w:rPr>
          <w:rFonts w:ascii="Arial" w:hAnsi="Arial" w:cs="Arial"/>
          <w:sz w:val="22"/>
          <w:szCs w:val="22"/>
          <w:lang w:val="es-ES_tradnl"/>
        </w:rPr>
        <w:t>0,000 que se encargara de contratar, hacer el seguimiento social y la supervisión</w:t>
      </w:r>
      <w:r w:rsidR="00FC7237" w:rsidRPr="00551E61">
        <w:rPr>
          <w:rStyle w:val="FootnoteReference"/>
          <w:rFonts w:ascii="Arial" w:hAnsi="Arial" w:cs="Arial"/>
          <w:sz w:val="22"/>
          <w:szCs w:val="22"/>
          <w:lang w:val="es-ES_tradnl"/>
        </w:rPr>
        <w:footnoteReference w:id="13"/>
      </w:r>
      <w:r w:rsidR="00A3761E" w:rsidRPr="00551E61">
        <w:rPr>
          <w:rFonts w:ascii="Arial" w:hAnsi="Arial" w:cs="Arial"/>
          <w:sz w:val="22"/>
          <w:szCs w:val="22"/>
          <w:lang w:val="es-ES_tradnl"/>
        </w:rPr>
        <w:t xml:space="preserve">. </w:t>
      </w:r>
    </w:p>
    <w:p w:rsidR="00232F74" w:rsidRPr="00551E61" w:rsidRDefault="00310ABF" w:rsidP="00656CF0">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szCs w:val="22"/>
          <w:lang w:val="es-ES_tradnl"/>
        </w:rPr>
        <w:t>P</w:t>
      </w:r>
      <w:r w:rsidR="005150B9" w:rsidRPr="00551E61">
        <w:rPr>
          <w:rFonts w:ascii="Arial" w:hAnsi="Arial" w:cs="Arial"/>
          <w:sz w:val="22"/>
          <w:szCs w:val="22"/>
          <w:lang w:val="es-ES_tradnl"/>
        </w:rPr>
        <w:t>or su naturaleza la intervención habitacional</w:t>
      </w:r>
      <w:r w:rsidRPr="00551E61">
        <w:rPr>
          <w:rFonts w:ascii="Arial" w:hAnsi="Arial" w:cs="Arial"/>
          <w:sz w:val="22"/>
          <w:szCs w:val="22"/>
          <w:lang w:val="es-ES_tradnl"/>
        </w:rPr>
        <w:t xml:space="preserve"> no atendería directamente</w:t>
      </w:r>
      <w:r w:rsidR="008935D5" w:rsidRPr="00551E61">
        <w:rPr>
          <w:rFonts w:ascii="Arial" w:hAnsi="Arial" w:cs="Arial"/>
          <w:sz w:val="22"/>
          <w:szCs w:val="22"/>
          <w:lang w:val="es-ES_tradnl"/>
        </w:rPr>
        <w:t xml:space="preserve"> </w:t>
      </w:r>
      <w:r w:rsidRPr="00551E61">
        <w:rPr>
          <w:rFonts w:ascii="Arial" w:hAnsi="Arial" w:cs="Arial"/>
          <w:sz w:val="22"/>
          <w:szCs w:val="22"/>
          <w:lang w:val="es-ES_tradnl"/>
        </w:rPr>
        <w:t>la falta de parqueo</w:t>
      </w:r>
      <w:r w:rsidRPr="00551E61">
        <w:rPr>
          <w:rFonts w:ascii="Arial" w:hAnsi="Arial" w:cs="Arial"/>
          <w:b/>
          <w:sz w:val="22"/>
          <w:szCs w:val="22"/>
          <w:lang w:val="es-ES_tradnl"/>
        </w:rPr>
        <w:t xml:space="preserve"> </w:t>
      </w:r>
      <w:r w:rsidRPr="00551E61">
        <w:rPr>
          <w:rFonts w:ascii="Arial" w:hAnsi="Arial" w:cs="Arial"/>
          <w:sz w:val="22"/>
          <w:szCs w:val="22"/>
          <w:lang w:val="es-ES_tradnl"/>
        </w:rPr>
        <w:t xml:space="preserve">pero este tema es parte de las intervenciones </w:t>
      </w:r>
      <w:r w:rsidR="005150B9" w:rsidRPr="00551E61">
        <w:rPr>
          <w:rFonts w:ascii="Arial" w:hAnsi="Arial" w:cs="Arial"/>
          <w:sz w:val="22"/>
          <w:szCs w:val="22"/>
          <w:lang w:val="es-ES_tradnl"/>
        </w:rPr>
        <w:t>tenidas en cuenta</w:t>
      </w:r>
      <w:r w:rsidRPr="00551E61">
        <w:rPr>
          <w:rFonts w:ascii="Arial" w:hAnsi="Arial" w:cs="Arial"/>
          <w:sz w:val="22"/>
          <w:szCs w:val="22"/>
          <w:lang w:val="es-ES_tradnl"/>
        </w:rPr>
        <w:t xml:space="preserve"> en el componente 3 </w:t>
      </w:r>
      <w:r w:rsidR="005150B9" w:rsidRPr="00551E61">
        <w:rPr>
          <w:rFonts w:ascii="Arial" w:hAnsi="Arial" w:cs="Arial"/>
          <w:sz w:val="22"/>
          <w:szCs w:val="22"/>
          <w:lang w:val="es-ES_tradnl"/>
        </w:rPr>
        <w:t>‘Fortalecimiento de la Gestión Turística Territorial de la CCSD’ en su subcomponente 2 ‘Asociatividad Público-Privada’ la cual incluye como producto la implementación de un</w:t>
      </w:r>
      <w:r w:rsidR="005150B9" w:rsidRPr="00551E61">
        <w:rPr>
          <w:rFonts w:ascii="Arial" w:hAnsi="Arial" w:cs="Arial"/>
          <w:b/>
          <w:sz w:val="22"/>
          <w:lang w:val="es-ES_tradnl"/>
        </w:rPr>
        <w:t xml:space="preserve"> ‘Programa de incentivos para la implantación de estacionamientos privados’ </w:t>
      </w:r>
      <w:r w:rsidR="005150B9" w:rsidRPr="00551E61">
        <w:rPr>
          <w:rFonts w:ascii="Arial" w:hAnsi="Arial" w:cs="Arial"/>
          <w:sz w:val="22"/>
          <w:lang w:val="es-ES_tradnl"/>
        </w:rPr>
        <w:t>que abarcará asistencia para: (i) el diseño e implementación de un sistema de estacionamientos; (ii) mejoras de estacionamientos existentes; (iii) regulaciones y sistemas de control para parqueos en la vía; y (iv) estudio y marcos regulatorios para tarifas y concesiones a sector privado.</w:t>
      </w:r>
    </w:p>
    <w:p w:rsidR="000776EE" w:rsidRPr="00551E61" w:rsidRDefault="005150B9" w:rsidP="002F51BE">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lang w:val="es-ES_tradnl"/>
        </w:rPr>
        <w:t xml:space="preserve">En cuanto a los altos precios de las unidades </w:t>
      </w:r>
      <w:r w:rsidR="002F51BE" w:rsidRPr="00551E61">
        <w:rPr>
          <w:rFonts w:ascii="Arial" w:hAnsi="Arial" w:cs="Arial"/>
          <w:sz w:val="22"/>
          <w:lang w:val="es-ES_tradnl"/>
        </w:rPr>
        <w:t>se sugiere una intervención indirecta que ataque las limitaciones a la oferta que están impidiendo la inversión en vivienda en la zona.</w:t>
      </w:r>
      <w:r w:rsidR="002F51BE" w:rsidRPr="00551E61">
        <w:rPr>
          <w:rFonts w:ascii="Arial" w:hAnsi="Arial" w:cs="Arial"/>
          <w:sz w:val="22"/>
          <w:szCs w:val="22"/>
          <w:lang w:val="es-ES_tradnl"/>
        </w:rPr>
        <w:t xml:space="preserve"> Para esto, se propon</w:t>
      </w:r>
      <w:r w:rsidRPr="00551E61">
        <w:rPr>
          <w:rFonts w:ascii="Arial" w:hAnsi="Arial" w:cs="Arial"/>
          <w:sz w:val="22"/>
          <w:lang w:val="es-ES_tradnl"/>
        </w:rPr>
        <w:t xml:space="preserve">e </w:t>
      </w:r>
      <w:r w:rsidR="001D0463" w:rsidRPr="00551E61">
        <w:rPr>
          <w:rFonts w:ascii="Arial" w:hAnsi="Arial" w:cs="Arial"/>
          <w:sz w:val="22"/>
          <w:lang w:val="es-ES_tradnl"/>
        </w:rPr>
        <w:t xml:space="preserve">una intervención indirecta basada en </w:t>
      </w:r>
      <w:r w:rsidR="001D0463" w:rsidRPr="00551E61">
        <w:rPr>
          <w:rFonts w:ascii="Arial" w:hAnsi="Arial" w:cs="Arial"/>
          <w:b/>
          <w:sz w:val="22"/>
          <w:lang w:val="es-ES_tradnl"/>
        </w:rPr>
        <w:t xml:space="preserve">levantamiento de información, elaboración de estructuras financieras para el desarrollo de vivienda asequible </w:t>
      </w:r>
      <w:r w:rsidR="006A6C44" w:rsidRPr="00551E61">
        <w:rPr>
          <w:rFonts w:ascii="Arial" w:hAnsi="Arial" w:cs="Arial"/>
          <w:b/>
          <w:sz w:val="22"/>
          <w:lang w:val="es-ES_tradnl"/>
        </w:rPr>
        <w:t xml:space="preserve">para segmentos medios y bajos </w:t>
      </w:r>
      <w:r w:rsidR="001D0463" w:rsidRPr="00551E61">
        <w:rPr>
          <w:rFonts w:ascii="Arial" w:hAnsi="Arial" w:cs="Arial"/>
          <w:b/>
          <w:sz w:val="22"/>
          <w:lang w:val="es-ES_tradnl"/>
        </w:rPr>
        <w:t>en la CCSD, y la elaboración de diseños arquitectónicos y ferias de constructores para promocionar inversión en el ramo</w:t>
      </w:r>
      <w:r w:rsidR="001D0463" w:rsidRPr="00551E61">
        <w:rPr>
          <w:rFonts w:ascii="Arial" w:hAnsi="Arial" w:cs="Arial"/>
          <w:sz w:val="22"/>
          <w:lang w:val="es-ES_tradnl"/>
        </w:rPr>
        <w:t>.  Antes de desarrollar estas propuestas es bueno explicar porque no se insiste en una propuesta más directa</w:t>
      </w:r>
      <w:r w:rsidR="002F51BE" w:rsidRPr="00551E61">
        <w:rPr>
          <w:rFonts w:ascii="Arial" w:hAnsi="Arial" w:cs="Arial"/>
          <w:sz w:val="22"/>
          <w:lang w:val="es-ES_tradnl"/>
        </w:rPr>
        <w:t xml:space="preserve"> del lado de la demanda</w:t>
      </w:r>
      <w:r w:rsidR="001D0463" w:rsidRPr="00551E61">
        <w:rPr>
          <w:rFonts w:ascii="Arial" w:hAnsi="Arial" w:cs="Arial"/>
          <w:sz w:val="22"/>
          <w:lang w:val="es-ES_tradnl"/>
        </w:rPr>
        <w:t xml:space="preserve">. Los análisis de los factores limitantes de la demanda y oferta incluidos en los capítulos anteriores, indican que los altos precios </w:t>
      </w:r>
      <w:r w:rsidR="0083074D" w:rsidRPr="00551E61">
        <w:rPr>
          <w:rFonts w:ascii="Arial" w:hAnsi="Arial" w:cs="Arial"/>
          <w:sz w:val="22"/>
          <w:lang w:val="es-ES_tradnl"/>
        </w:rPr>
        <w:t xml:space="preserve">inmobiliarios </w:t>
      </w:r>
      <w:r w:rsidR="001D0463" w:rsidRPr="00551E61">
        <w:rPr>
          <w:rFonts w:ascii="Arial" w:hAnsi="Arial" w:cs="Arial"/>
          <w:sz w:val="22"/>
          <w:lang w:val="es-ES_tradnl"/>
        </w:rPr>
        <w:t xml:space="preserve">responden fundamentalmente a una alta demanda impulsada por la expectativa de apreciación </w:t>
      </w:r>
      <w:r w:rsidR="001D0463" w:rsidRPr="00551E61">
        <w:rPr>
          <w:rFonts w:ascii="Arial" w:hAnsi="Arial" w:cs="Arial"/>
          <w:sz w:val="22"/>
          <w:lang w:val="es-ES_tradnl"/>
        </w:rPr>
        <w:lastRenderedPageBreak/>
        <w:t>en la provisión de vivienda de lujo y otros usos así como</w:t>
      </w:r>
      <w:r w:rsidR="00BA5500" w:rsidRPr="00551E61">
        <w:rPr>
          <w:rFonts w:ascii="Arial" w:hAnsi="Arial" w:cs="Arial"/>
          <w:sz w:val="22"/>
          <w:lang w:val="es-ES_tradnl"/>
        </w:rPr>
        <w:t xml:space="preserve"> a</w:t>
      </w:r>
      <w:r w:rsidR="001D0463" w:rsidRPr="00551E61">
        <w:rPr>
          <w:rFonts w:ascii="Arial" w:hAnsi="Arial" w:cs="Arial"/>
          <w:sz w:val="22"/>
          <w:lang w:val="es-ES_tradnl"/>
        </w:rPr>
        <w:t xml:space="preserve"> una oferta segmentada en la cual gran parte del stock </w:t>
      </w:r>
      <w:r w:rsidR="00BA5500" w:rsidRPr="00551E61">
        <w:rPr>
          <w:rFonts w:ascii="Arial" w:hAnsi="Arial" w:cs="Arial"/>
          <w:sz w:val="22"/>
          <w:lang w:val="es-ES_tradnl"/>
        </w:rPr>
        <w:t xml:space="preserve">de vivienda y suelo </w:t>
      </w:r>
      <w:r w:rsidR="001D0463" w:rsidRPr="00551E61">
        <w:rPr>
          <w:rFonts w:ascii="Arial" w:hAnsi="Arial" w:cs="Arial"/>
          <w:sz w:val="22"/>
          <w:lang w:val="es-ES_tradnl"/>
        </w:rPr>
        <w:t xml:space="preserve">se mantiene por fuera del mercado. </w:t>
      </w:r>
      <w:r w:rsidR="000776EE" w:rsidRPr="00551E61">
        <w:rPr>
          <w:rFonts w:ascii="Arial" w:hAnsi="Arial" w:cs="Arial"/>
          <w:sz w:val="22"/>
          <w:lang w:val="es-ES_tradnl"/>
        </w:rPr>
        <w:t xml:space="preserve">Como </w:t>
      </w:r>
      <w:r w:rsidR="006A6C44" w:rsidRPr="00551E61">
        <w:rPr>
          <w:rFonts w:ascii="Arial" w:hAnsi="Arial" w:cs="Arial"/>
          <w:sz w:val="22"/>
          <w:lang w:val="es-ES_tradnl"/>
        </w:rPr>
        <w:t>resultado,</w:t>
      </w:r>
      <w:r w:rsidR="000776EE" w:rsidRPr="00551E61">
        <w:rPr>
          <w:rFonts w:ascii="Arial" w:hAnsi="Arial" w:cs="Arial"/>
          <w:sz w:val="22"/>
          <w:lang w:val="es-ES_tradnl"/>
        </w:rPr>
        <w:t xml:space="preserve"> la oferta actual de vivienda en la CCSD incluye alternativas en las que el metro cuadrado construido se ofrece entre US$ 874 y US$ 2,100 dependiendo de la localización. Como se desprende del análisis estos valores no son solo inasequibles para más del 90% de las familias dominicanas sino que no son competitivos frente a opciones localizadas a distancias caminables de la zona colonial que se están ofreciendo a US$ 774 el metro cuadrado con productos más modernos, parqueaderos y amenidades.</w:t>
      </w:r>
    </w:p>
    <w:p w:rsidR="000776EE" w:rsidRPr="00551E61" w:rsidRDefault="000776EE" w:rsidP="000776EE">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lang w:val="es-ES_tradnl"/>
        </w:rPr>
        <w:t xml:space="preserve">Por esta razón, un subsidio a la demanda que pretenda crear un incentivo a vivir en la CCSD </w:t>
      </w:r>
      <w:r w:rsidR="00B31BF8" w:rsidRPr="00551E61">
        <w:rPr>
          <w:rFonts w:ascii="Arial" w:hAnsi="Arial" w:cs="Arial"/>
          <w:sz w:val="22"/>
          <w:lang w:val="es-ES_tradnl"/>
        </w:rPr>
        <w:t>vía</w:t>
      </w:r>
      <w:r w:rsidRPr="00551E61">
        <w:rPr>
          <w:rFonts w:ascii="Arial" w:hAnsi="Arial" w:cs="Arial"/>
          <w:sz w:val="22"/>
          <w:lang w:val="es-ES_tradnl"/>
        </w:rPr>
        <w:t xml:space="preserve"> </w:t>
      </w:r>
      <w:r w:rsidR="00507238" w:rsidRPr="00551E61">
        <w:rPr>
          <w:rFonts w:ascii="Arial" w:hAnsi="Arial" w:cs="Arial"/>
          <w:sz w:val="22"/>
          <w:lang w:val="es-ES_tradnl"/>
        </w:rPr>
        <w:t xml:space="preserve">la compensación </w:t>
      </w:r>
      <w:r w:rsidR="00A3761E" w:rsidRPr="00551E61">
        <w:rPr>
          <w:rFonts w:ascii="Arial" w:hAnsi="Arial" w:cs="Arial"/>
          <w:sz w:val="22"/>
          <w:lang w:val="es-ES_tradnl"/>
        </w:rPr>
        <w:t>de precios respecto a</w:t>
      </w:r>
      <w:r w:rsidR="00507238" w:rsidRPr="00551E61">
        <w:rPr>
          <w:rFonts w:ascii="Arial" w:hAnsi="Arial" w:cs="Arial"/>
          <w:sz w:val="22"/>
          <w:lang w:val="es-ES_tradnl"/>
        </w:rPr>
        <w:t xml:space="preserve"> las alternativas de mercado fuera de la CCSD </w:t>
      </w:r>
      <w:r w:rsidRPr="00551E61">
        <w:rPr>
          <w:rFonts w:ascii="Arial" w:hAnsi="Arial" w:cs="Arial"/>
          <w:sz w:val="22"/>
          <w:lang w:val="es-ES_tradnl"/>
        </w:rPr>
        <w:t>no solo sería prohibitivamente alto (entre US$ 100 a US$ 1,326 por metro cuadrado construido)</w:t>
      </w:r>
      <w:r w:rsidRPr="00551E61">
        <w:rPr>
          <w:rStyle w:val="FootnoteReference"/>
          <w:rFonts w:ascii="Arial" w:hAnsi="Arial" w:cs="Arial"/>
          <w:sz w:val="22"/>
          <w:lang w:val="es-ES_tradnl"/>
        </w:rPr>
        <w:footnoteReference w:id="14"/>
      </w:r>
      <w:r w:rsidRPr="00551E61">
        <w:rPr>
          <w:rFonts w:ascii="Arial" w:hAnsi="Arial" w:cs="Arial"/>
          <w:sz w:val="22"/>
          <w:lang w:val="es-ES_tradnl"/>
        </w:rPr>
        <w:t xml:space="preserve"> sino que tendría que destinarse a hogares del decil 10 que son los únicos que tendrían la capacidad de pago. Esto por</w:t>
      </w:r>
      <w:r w:rsidR="00507238" w:rsidRPr="00551E61">
        <w:rPr>
          <w:rFonts w:ascii="Arial" w:hAnsi="Arial" w:cs="Arial"/>
          <w:sz w:val="22"/>
          <w:lang w:val="es-ES_tradnl"/>
        </w:rPr>
        <w:t>que el citado subsidio por metro cuadrado aun resultaría en precios efectivos para la demanda final de US$778 el metro cuadrado que para una vivienda de 90 metros cuadrados significarían precios de US$70,020 y una cuota aproximada de US$ 560</w:t>
      </w:r>
      <w:r w:rsidR="0083074D" w:rsidRPr="00551E61">
        <w:rPr>
          <w:rFonts w:ascii="Arial" w:hAnsi="Arial" w:cs="Arial"/>
          <w:sz w:val="22"/>
          <w:lang w:val="es-ES_tradnl"/>
        </w:rPr>
        <w:t>. Esta cuota es casi igual a</w:t>
      </w:r>
      <w:r w:rsidR="00507238" w:rsidRPr="00551E61">
        <w:rPr>
          <w:rFonts w:ascii="Arial" w:hAnsi="Arial" w:cs="Arial"/>
          <w:sz w:val="22"/>
          <w:lang w:val="es-ES_tradnl"/>
        </w:rPr>
        <w:t>l ingreso</w:t>
      </w:r>
      <w:r w:rsidR="0083074D" w:rsidRPr="00551E61">
        <w:rPr>
          <w:rFonts w:ascii="Arial" w:hAnsi="Arial" w:cs="Arial"/>
          <w:sz w:val="22"/>
          <w:lang w:val="es-ES_tradnl"/>
        </w:rPr>
        <w:t xml:space="preserve"> familiar mediano del decil 10 (</w:t>
      </w:r>
      <w:r w:rsidR="00507238" w:rsidRPr="00551E61">
        <w:rPr>
          <w:rFonts w:ascii="Arial" w:hAnsi="Arial" w:cs="Arial"/>
          <w:sz w:val="22"/>
          <w:lang w:val="es-ES_tradnl"/>
        </w:rPr>
        <w:t>US$ 556</w:t>
      </w:r>
      <w:r w:rsidR="0083074D" w:rsidRPr="00551E61">
        <w:rPr>
          <w:rFonts w:ascii="Arial" w:hAnsi="Arial" w:cs="Arial"/>
          <w:sz w:val="22"/>
          <w:lang w:val="es-ES_tradnl"/>
        </w:rPr>
        <w:t>)</w:t>
      </w:r>
      <w:r w:rsidR="00507238" w:rsidRPr="00551E61">
        <w:rPr>
          <w:rFonts w:ascii="Arial" w:hAnsi="Arial" w:cs="Arial"/>
          <w:sz w:val="22"/>
          <w:lang w:val="es-ES_tradnl"/>
        </w:rPr>
        <w:t>.</w:t>
      </w:r>
    </w:p>
    <w:p w:rsidR="000A7583" w:rsidRPr="00551E61" w:rsidRDefault="00B31BF8" w:rsidP="000776EE">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lang w:val="es-ES_tradnl"/>
        </w:rPr>
        <w:t xml:space="preserve">En este sentido, las acciones incluidas en la estrategia de atracción buscan </w:t>
      </w:r>
      <w:r w:rsidR="002F51BE" w:rsidRPr="00551E61">
        <w:rPr>
          <w:rFonts w:ascii="Arial" w:hAnsi="Arial" w:cs="Arial"/>
          <w:sz w:val="22"/>
          <w:lang w:val="es-ES_tradnl"/>
        </w:rPr>
        <w:t>incentivar al sector privado a que produzca viviendas asequibles de una manera indirecta mediante la exploración de modelos que garanticen la rentabilidad de las inversiones. Esto porque l</w:t>
      </w:r>
      <w:r w:rsidR="002F51BE" w:rsidRPr="00551E61">
        <w:rPr>
          <w:rFonts w:ascii="Arial" w:hAnsi="Arial" w:cs="Arial"/>
          <w:sz w:val="22"/>
          <w:szCs w:val="22"/>
          <w:lang w:val="es-ES_tradnl"/>
        </w:rPr>
        <w:t>os factores que limitan la oferta identificados en el diagnóstico: (i) la dificultad de ejercer reposesión de bienes alquilados, (ii) la baja titularidad de las propiedades, y (iii) los altos precios del suelo, corresponden a restricciones de tipo legal e institucional que por su naturaleza son difíciles de solucionar por medio de una operación como la sugerida</w:t>
      </w:r>
      <w:r w:rsidR="002F51BE" w:rsidRPr="00551E61">
        <w:rPr>
          <w:rStyle w:val="FootnoteReference"/>
          <w:rFonts w:ascii="Arial" w:hAnsi="Arial" w:cs="Arial"/>
          <w:sz w:val="22"/>
          <w:szCs w:val="22"/>
          <w:lang w:val="es-ES_tradnl"/>
        </w:rPr>
        <w:footnoteReference w:id="15"/>
      </w:r>
      <w:r w:rsidR="002F51BE" w:rsidRPr="00551E61">
        <w:rPr>
          <w:rFonts w:ascii="Arial" w:hAnsi="Arial" w:cs="Arial"/>
          <w:sz w:val="22"/>
          <w:szCs w:val="22"/>
          <w:lang w:val="es-ES_tradnl"/>
        </w:rPr>
        <w:t xml:space="preserve">. </w:t>
      </w:r>
    </w:p>
    <w:p w:rsidR="00B31BF8" w:rsidRPr="00551E61" w:rsidRDefault="000A7583" w:rsidP="000776EE">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szCs w:val="22"/>
          <w:lang w:val="es-ES_tradnl"/>
        </w:rPr>
        <w:t xml:space="preserve">De esta manera, </w:t>
      </w:r>
      <w:r w:rsidRPr="00551E61">
        <w:rPr>
          <w:rFonts w:ascii="Arial" w:hAnsi="Arial" w:cs="Arial"/>
          <w:sz w:val="22"/>
          <w:lang w:val="es-ES_tradnl"/>
        </w:rPr>
        <w:t>l</w:t>
      </w:r>
      <w:r w:rsidR="00B31BF8" w:rsidRPr="00551E61">
        <w:rPr>
          <w:rFonts w:ascii="Arial" w:hAnsi="Arial" w:cs="Arial"/>
          <w:sz w:val="22"/>
          <w:lang w:val="es-ES_tradnl"/>
        </w:rPr>
        <w:t xml:space="preserve">o primero que se sugiere </w:t>
      </w:r>
      <w:r w:rsidRPr="00551E61">
        <w:rPr>
          <w:rFonts w:ascii="Arial" w:hAnsi="Arial" w:cs="Arial"/>
          <w:sz w:val="22"/>
          <w:lang w:val="es-ES_tradnl"/>
        </w:rPr>
        <w:t xml:space="preserve">en esta estrategia indirecta </w:t>
      </w:r>
      <w:r w:rsidR="00B31BF8" w:rsidRPr="00551E61">
        <w:rPr>
          <w:rFonts w:ascii="Arial" w:hAnsi="Arial" w:cs="Arial"/>
          <w:sz w:val="22"/>
          <w:lang w:val="es-ES_tradnl"/>
        </w:rPr>
        <w:t xml:space="preserve">es la realización de un levantamiento de </w:t>
      </w:r>
      <w:r w:rsidR="00DF5B6B" w:rsidRPr="00551E61">
        <w:rPr>
          <w:rFonts w:ascii="Arial" w:hAnsi="Arial" w:cs="Arial"/>
          <w:sz w:val="22"/>
          <w:lang w:val="es-ES_tradnl"/>
        </w:rPr>
        <w:t>información que identifique cuales propiedades tienen potencial para vivienda. Esto estaría acompañado de la formulación de modelos financieros para la generación de vivienda asequible</w:t>
      </w:r>
      <w:r w:rsidR="00A3761E" w:rsidRPr="00551E61">
        <w:rPr>
          <w:rFonts w:ascii="Arial" w:hAnsi="Arial" w:cs="Arial"/>
          <w:sz w:val="22"/>
          <w:lang w:val="es-ES_tradnl"/>
        </w:rPr>
        <w:t xml:space="preserve"> para estratos medios e incluso bajos</w:t>
      </w:r>
      <w:r w:rsidR="00DF5B6B" w:rsidRPr="00551E61">
        <w:rPr>
          <w:rFonts w:ascii="Arial" w:hAnsi="Arial" w:cs="Arial"/>
          <w:sz w:val="22"/>
          <w:lang w:val="es-ES_tradnl"/>
        </w:rPr>
        <w:t>. Aquí se explorarán opciones como</w:t>
      </w:r>
      <w:r w:rsidR="00032A1C" w:rsidRPr="00551E61">
        <w:rPr>
          <w:rFonts w:ascii="Arial" w:hAnsi="Arial" w:cs="Arial"/>
          <w:sz w:val="22"/>
          <w:lang w:val="es-ES_tradnl"/>
        </w:rPr>
        <w:t>: (i)</w:t>
      </w:r>
      <w:r w:rsidR="00DF5B6B" w:rsidRPr="00551E61">
        <w:rPr>
          <w:rFonts w:ascii="Arial" w:hAnsi="Arial" w:cs="Arial"/>
          <w:sz w:val="22"/>
          <w:lang w:val="es-ES_tradnl"/>
        </w:rPr>
        <w:t xml:space="preserve"> la </w:t>
      </w:r>
      <w:r w:rsidR="00032A1C" w:rsidRPr="00551E61">
        <w:rPr>
          <w:rFonts w:ascii="Arial" w:hAnsi="Arial" w:cs="Arial"/>
          <w:sz w:val="22"/>
          <w:lang w:val="es-ES_tradnl"/>
        </w:rPr>
        <w:t>generación</w:t>
      </w:r>
      <w:r w:rsidR="00DF5B6B" w:rsidRPr="00551E61">
        <w:rPr>
          <w:rFonts w:ascii="Arial" w:hAnsi="Arial" w:cs="Arial"/>
          <w:sz w:val="22"/>
          <w:lang w:val="es-ES_tradnl"/>
        </w:rPr>
        <w:t xml:space="preserve"> de proyectos que combinen diferentes tipos de demanda con usos comerciales de tal manera que pueda existir una suerte subsidio cruzado que cubra</w:t>
      </w:r>
      <w:r w:rsidR="00032A1C" w:rsidRPr="00551E61">
        <w:rPr>
          <w:rFonts w:ascii="Arial" w:hAnsi="Arial" w:cs="Arial"/>
          <w:sz w:val="22"/>
          <w:lang w:val="es-ES_tradnl"/>
        </w:rPr>
        <w:t xml:space="preserve"> parte de</w:t>
      </w:r>
      <w:r w:rsidR="00DF5B6B" w:rsidRPr="00551E61">
        <w:rPr>
          <w:rFonts w:ascii="Arial" w:hAnsi="Arial" w:cs="Arial"/>
          <w:sz w:val="22"/>
          <w:lang w:val="es-ES_tradnl"/>
        </w:rPr>
        <w:t xml:space="preserve"> los costos de las viviendas</w:t>
      </w:r>
      <w:r w:rsidR="00032A1C" w:rsidRPr="00551E61">
        <w:rPr>
          <w:rFonts w:ascii="Arial" w:hAnsi="Arial" w:cs="Arial"/>
          <w:sz w:val="22"/>
          <w:lang w:val="es-ES_tradnl"/>
        </w:rPr>
        <w:t xml:space="preserve"> de bajo costo, (ii) proyectos de vivienda para alquiler en la que el desarrollador o inversionista rehabilite viviendas y las rente de tal manera que tenga dos incentivos: el rendimiento de la renta y la plusvalía del terreno, y (iii) mecanismos de asociación público – privado que permitan </w:t>
      </w:r>
      <w:r w:rsidR="006A6C44" w:rsidRPr="00551E61">
        <w:rPr>
          <w:rFonts w:ascii="Arial" w:hAnsi="Arial" w:cs="Arial"/>
          <w:sz w:val="22"/>
          <w:lang w:val="es-ES_tradnl"/>
        </w:rPr>
        <w:t xml:space="preserve">esquemas en los que por ejemplo algunas de las 125 propiedades en el área que tiene el estado dominicano o las 24 que tiene la iglesia se puedan utilizar para proyectos de vivienda que incluyan un componente de asequibilidad. </w:t>
      </w:r>
    </w:p>
    <w:p w:rsidR="006A6C44" w:rsidRPr="00551E61" w:rsidRDefault="000A7583" w:rsidP="000776EE">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lang w:val="es-ES_tradnl"/>
        </w:rPr>
        <w:t>Como complemento</w:t>
      </w:r>
      <w:r w:rsidR="006A6C44" w:rsidRPr="00551E61">
        <w:rPr>
          <w:rFonts w:ascii="Arial" w:hAnsi="Arial" w:cs="Arial"/>
          <w:sz w:val="22"/>
          <w:lang w:val="es-ES_tradnl"/>
        </w:rPr>
        <w:t xml:space="preserve"> </w:t>
      </w:r>
      <w:r w:rsidR="00A3761E" w:rsidRPr="00551E61">
        <w:rPr>
          <w:rFonts w:ascii="Arial" w:hAnsi="Arial" w:cs="Arial"/>
          <w:sz w:val="22"/>
          <w:lang w:val="es-ES_tradnl"/>
        </w:rPr>
        <w:t>a esto se sugiere que para ciertas propiedades en las que se identifique un potencial real de desarrollo en el levantamiento de información, se financien diseños arquitectónicos que respondan a los modelos financieros para la generación de vivienda asequible. Estos diseños pueden ofrecerse a desarrolladores en ferias inmobiliarias como mecanismo de incentivo a la participación del sector privado. Para estos los tres productos expuestos, levantamiento de información, estructuración de modelos financieros, y diseños arquitectónicos se sugiere un presupuesto de US$</w:t>
      </w:r>
      <w:r w:rsidR="00E66AC5" w:rsidRPr="00551E61">
        <w:rPr>
          <w:rFonts w:ascii="Arial" w:hAnsi="Arial" w:cs="Arial"/>
          <w:sz w:val="22"/>
          <w:lang w:val="es-ES_tradnl"/>
        </w:rPr>
        <w:t xml:space="preserve"> </w:t>
      </w:r>
      <w:r w:rsidR="00A3761E" w:rsidRPr="00551E61">
        <w:rPr>
          <w:rFonts w:ascii="Arial" w:hAnsi="Arial" w:cs="Arial"/>
          <w:sz w:val="22"/>
          <w:lang w:val="es-ES_tradnl"/>
        </w:rPr>
        <w:t xml:space="preserve">500,000.  </w:t>
      </w:r>
    </w:p>
    <w:p w:rsidR="006C1FF9" w:rsidRPr="00551E61" w:rsidRDefault="000A7583" w:rsidP="006C1FF9">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szCs w:val="22"/>
          <w:lang w:val="es-ES_tradnl"/>
        </w:rPr>
        <w:lastRenderedPageBreak/>
        <w:t>L</w:t>
      </w:r>
      <w:r w:rsidR="0083074D" w:rsidRPr="00551E61">
        <w:rPr>
          <w:rFonts w:ascii="Arial" w:hAnsi="Arial" w:cs="Arial"/>
          <w:sz w:val="22"/>
          <w:szCs w:val="22"/>
          <w:lang w:val="es-ES_tradnl"/>
        </w:rPr>
        <w:t xml:space="preserve">a estrategia de atracción incluye </w:t>
      </w:r>
      <w:r w:rsidRPr="00551E61">
        <w:rPr>
          <w:rFonts w:ascii="Arial" w:hAnsi="Arial" w:cs="Arial"/>
          <w:sz w:val="22"/>
          <w:szCs w:val="22"/>
          <w:lang w:val="es-ES_tradnl"/>
        </w:rPr>
        <w:t>además una</w:t>
      </w:r>
      <w:r w:rsidR="0081254C" w:rsidRPr="00551E61">
        <w:rPr>
          <w:rFonts w:ascii="Arial" w:hAnsi="Arial" w:cs="Arial"/>
          <w:sz w:val="22"/>
          <w:szCs w:val="22"/>
          <w:lang w:val="es-ES_tradnl"/>
        </w:rPr>
        <w:t xml:space="preserve"> </w:t>
      </w:r>
      <w:r w:rsidR="0083074D" w:rsidRPr="00551E61">
        <w:rPr>
          <w:rFonts w:ascii="Arial" w:hAnsi="Arial" w:cs="Arial"/>
          <w:sz w:val="22"/>
          <w:szCs w:val="22"/>
          <w:lang w:val="es-ES_tradnl"/>
        </w:rPr>
        <w:t xml:space="preserve">acción </w:t>
      </w:r>
      <w:r w:rsidR="0081254C" w:rsidRPr="00551E61">
        <w:rPr>
          <w:rFonts w:ascii="Arial" w:hAnsi="Arial" w:cs="Arial"/>
          <w:sz w:val="22"/>
          <w:szCs w:val="22"/>
          <w:lang w:val="es-ES_tradnl"/>
        </w:rPr>
        <w:t>específica</w:t>
      </w:r>
      <w:r w:rsidR="0083074D" w:rsidRPr="00551E61">
        <w:rPr>
          <w:rFonts w:ascii="Arial" w:hAnsi="Arial" w:cs="Arial"/>
          <w:sz w:val="22"/>
          <w:szCs w:val="22"/>
          <w:lang w:val="es-ES_tradnl"/>
        </w:rPr>
        <w:t xml:space="preserve"> </w:t>
      </w:r>
      <w:r w:rsidRPr="00551E61">
        <w:rPr>
          <w:rFonts w:ascii="Arial" w:hAnsi="Arial" w:cs="Arial"/>
          <w:sz w:val="22"/>
          <w:szCs w:val="22"/>
          <w:lang w:val="es-ES_tradnl"/>
        </w:rPr>
        <w:t xml:space="preserve">que busca </w:t>
      </w:r>
      <w:r w:rsidR="0083074D" w:rsidRPr="00551E61">
        <w:rPr>
          <w:rFonts w:ascii="Arial" w:hAnsi="Arial" w:cs="Arial"/>
          <w:sz w:val="22"/>
          <w:szCs w:val="22"/>
          <w:lang w:val="es-ES_tradnl"/>
        </w:rPr>
        <w:t>aument</w:t>
      </w:r>
      <w:r w:rsidR="0081254C" w:rsidRPr="00551E61">
        <w:rPr>
          <w:rFonts w:ascii="Arial" w:hAnsi="Arial" w:cs="Arial"/>
          <w:sz w:val="22"/>
          <w:szCs w:val="22"/>
          <w:lang w:val="es-ES_tradnl"/>
        </w:rPr>
        <w:t>ar la titularidad</w:t>
      </w:r>
      <w:r w:rsidRPr="00551E61">
        <w:rPr>
          <w:rFonts w:ascii="Arial" w:hAnsi="Arial" w:cs="Arial"/>
          <w:sz w:val="22"/>
          <w:szCs w:val="22"/>
          <w:lang w:val="es-ES_tradnl"/>
        </w:rPr>
        <w:t xml:space="preserve"> por medio de</w:t>
      </w:r>
      <w:r w:rsidR="0083074D" w:rsidRPr="00551E61">
        <w:rPr>
          <w:rFonts w:ascii="Arial" w:hAnsi="Arial" w:cs="Arial"/>
          <w:sz w:val="22"/>
          <w:szCs w:val="22"/>
          <w:lang w:val="es-ES_tradnl"/>
        </w:rPr>
        <w:t xml:space="preserve"> la </w:t>
      </w:r>
      <w:r w:rsidR="0081254C" w:rsidRPr="00551E61">
        <w:rPr>
          <w:rFonts w:ascii="Arial" w:hAnsi="Arial" w:cs="Arial"/>
          <w:sz w:val="22"/>
          <w:szCs w:val="22"/>
          <w:lang w:val="es-ES_tradnl"/>
        </w:rPr>
        <w:t>generación</w:t>
      </w:r>
      <w:r w:rsidR="0083074D" w:rsidRPr="00551E61">
        <w:rPr>
          <w:rFonts w:ascii="Arial" w:hAnsi="Arial" w:cs="Arial"/>
          <w:sz w:val="22"/>
          <w:szCs w:val="22"/>
          <w:lang w:val="es-ES_tradnl"/>
        </w:rPr>
        <w:t xml:space="preserve"> de un sistema de </w:t>
      </w:r>
      <w:r w:rsidR="0081254C" w:rsidRPr="00551E61">
        <w:rPr>
          <w:rFonts w:ascii="Arial" w:hAnsi="Arial" w:cs="Arial"/>
          <w:sz w:val="22"/>
          <w:szCs w:val="22"/>
          <w:lang w:val="es-ES_tradnl"/>
        </w:rPr>
        <w:t>información</w:t>
      </w:r>
      <w:r w:rsidR="0083074D" w:rsidRPr="00551E61">
        <w:rPr>
          <w:rFonts w:ascii="Arial" w:hAnsi="Arial" w:cs="Arial"/>
          <w:sz w:val="22"/>
          <w:szCs w:val="22"/>
          <w:lang w:val="es-ES_tradnl"/>
        </w:rPr>
        <w:t xml:space="preserve"> geo</w:t>
      </w:r>
      <w:r w:rsidR="0081254C" w:rsidRPr="00551E61">
        <w:rPr>
          <w:rFonts w:ascii="Arial" w:hAnsi="Arial" w:cs="Arial"/>
          <w:sz w:val="22"/>
          <w:szCs w:val="22"/>
          <w:lang w:val="es-ES_tradnl"/>
        </w:rPr>
        <w:t>-referenciada de cada predio</w:t>
      </w:r>
      <w:r w:rsidR="0083074D" w:rsidRPr="00551E61">
        <w:rPr>
          <w:rFonts w:ascii="Arial" w:hAnsi="Arial" w:cs="Arial"/>
          <w:sz w:val="22"/>
          <w:szCs w:val="22"/>
          <w:lang w:val="es-ES_tradnl"/>
        </w:rPr>
        <w:t xml:space="preserve"> que perm</w:t>
      </w:r>
      <w:r w:rsidR="0081254C" w:rsidRPr="00551E61">
        <w:rPr>
          <w:rFonts w:ascii="Arial" w:hAnsi="Arial" w:cs="Arial"/>
          <w:sz w:val="22"/>
          <w:szCs w:val="22"/>
          <w:lang w:val="es-ES_tradnl"/>
        </w:rPr>
        <w:t>ita</w:t>
      </w:r>
      <w:r w:rsidR="0083074D" w:rsidRPr="00551E61">
        <w:rPr>
          <w:rFonts w:ascii="Arial" w:hAnsi="Arial" w:cs="Arial"/>
          <w:sz w:val="22"/>
          <w:szCs w:val="22"/>
          <w:lang w:val="es-ES_tradnl"/>
        </w:rPr>
        <w:t xml:space="preserve"> mediante una consulta </w:t>
      </w:r>
      <w:r w:rsidR="0081254C" w:rsidRPr="00551E61">
        <w:rPr>
          <w:rFonts w:ascii="Arial" w:hAnsi="Arial" w:cs="Arial"/>
          <w:sz w:val="22"/>
          <w:szCs w:val="22"/>
          <w:lang w:val="es-ES_tradnl"/>
        </w:rPr>
        <w:t>ágil</w:t>
      </w:r>
      <w:r w:rsidR="0083074D" w:rsidRPr="00551E61">
        <w:rPr>
          <w:rFonts w:ascii="Arial" w:hAnsi="Arial" w:cs="Arial"/>
          <w:sz w:val="22"/>
          <w:szCs w:val="22"/>
          <w:lang w:val="es-ES_tradnl"/>
        </w:rPr>
        <w:t xml:space="preserve"> conocer el estado de</w:t>
      </w:r>
      <w:r w:rsidR="0081254C" w:rsidRPr="00551E61">
        <w:rPr>
          <w:rFonts w:ascii="Arial" w:hAnsi="Arial" w:cs="Arial"/>
          <w:sz w:val="22"/>
          <w:szCs w:val="22"/>
          <w:lang w:val="es-ES_tradnl"/>
        </w:rPr>
        <w:t>l título</w:t>
      </w:r>
      <w:r w:rsidR="0083074D" w:rsidRPr="00551E61">
        <w:rPr>
          <w:rFonts w:ascii="Arial" w:hAnsi="Arial" w:cs="Arial"/>
          <w:sz w:val="22"/>
          <w:szCs w:val="22"/>
          <w:lang w:val="es-ES_tradnl"/>
        </w:rPr>
        <w:t xml:space="preserve">. Esta </w:t>
      </w:r>
      <w:r w:rsidR="0081254C" w:rsidRPr="00551E61">
        <w:rPr>
          <w:rFonts w:ascii="Arial" w:hAnsi="Arial" w:cs="Arial"/>
          <w:sz w:val="22"/>
          <w:szCs w:val="22"/>
          <w:lang w:val="es-ES_tradnl"/>
        </w:rPr>
        <w:t>información</w:t>
      </w:r>
      <w:r w:rsidR="0083074D" w:rsidRPr="00551E61">
        <w:rPr>
          <w:rFonts w:ascii="Arial" w:hAnsi="Arial" w:cs="Arial"/>
          <w:sz w:val="22"/>
          <w:szCs w:val="22"/>
          <w:lang w:val="es-ES_tradnl"/>
        </w:rPr>
        <w:t xml:space="preserve"> </w:t>
      </w:r>
      <w:r w:rsidR="0081254C" w:rsidRPr="00551E61">
        <w:rPr>
          <w:rFonts w:ascii="Arial" w:hAnsi="Arial" w:cs="Arial"/>
          <w:sz w:val="22"/>
          <w:szCs w:val="22"/>
          <w:lang w:val="es-ES_tradnl"/>
        </w:rPr>
        <w:t>es pública y se encuentra en la Sala de Consulta del Registro de Títulos del Distrito Nacional</w:t>
      </w:r>
      <w:r w:rsidR="006C1FF9" w:rsidRPr="00551E61">
        <w:rPr>
          <w:rFonts w:ascii="Arial" w:hAnsi="Arial" w:cs="Arial"/>
          <w:sz w:val="22"/>
          <w:szCs w:val="22"/>
          <w:lang w:val="es-ES_tradnl"/>
        </w:rPr>
        <w:t>, sin embargo no es fácilmente accesible</w:t>
      </w:r>
      <w:r w:rsidR="0081254C" w:rsidRPr="00551E61">
        <w:rPr>
          <w:rFonts w:ascii="Arial" w:hAnsi="Arial" w:cs="Arial"/>
          <w:sz w:val="22"/>
          <w:szCs w:val="22"/>
          <w:lang w:val="es-ES_tradnl"/>
        </w:rPr>
        <w:t xml:space="preserve">. La innovación aquí consistiría en ponerla toda en un mismo lugar y proveer la información sobre los pasos a seguir para sanear el título. Gran parte de esta información ya se tiene como parte del censo realizado por Gil (2015). Expertos consultados consideran que un catastro de este tipo más alguna estrategia de comunicación para darlo a conocer podría estar en el orden de los </w:t>
      </w:r>
      <w:r w:rsidR="006C1FF9" w:rsidRPr="00551E61">
        <w:rPr>
          <w:rFonts w:ascii="Arial" w:hAnsi="Arial" w:cs="Arial"/>
          <w:sz w:val="22"/>
          <w:szCs w:val="22"/>
          <w:lang w:val="es-ES_tradnl"/>
        </w:rPr>
        <w:t>US</w:t>
      </w:r>
      <w:r w:rsidR="0081254C" w:rsidRPr="00551E61">
        <w:rPr>
          <w:rFonts w:ascii="Arial" w:hAnsi="Arial" w:cs="Arial"/>
          <w:sz w:val="22"/>
          <w:szCs w:val="22"/>
          <w:lang w:val="es-ES_tradnl"/>
        </w:rPr>
        <w:t>$</w:t>
      </w:r>
      <w:r w:rsidR="006C1FF9" w:rsidRPr="00551E61">
        <w:rPr>
          <w:rFonts w:ascii="Arial" w:hAnsi="Arial" w:cs="Arial"/>
          <w:sz w:val="22"/>
          <w:szCs w:val="22"/>
          <w:lang w:val="es-ES_tradnl"/>
        </w:rPr>
        <w:t xml:space="preserve"> </w:t>
      </w:r>
      <w:r w:rsidR="0081254C" w:rsidRPr="00551E61">
        <w:rPr>
          <w:rFonts w:ascii="Arial" w:hAnsi="Arial" w:cs="Arial"/>
          <w:sz w:val="22"/>
          <w:szCs w:val="22"/>
          <w:lang w:val="es-ES_tradnl"/>
        </w:rPr>
        <w:t>100,000.</w:t>
      </w:r>
    </w:p>
    <w:p w:rsidR="006C1FF9" w:rsidRPr="00551E61" w:rsidRDefault="006C1FF9" w:rsidP="006C1FF9">
      <w:pPr>
        <w:pStyle w:val="Paragraph"/>
        <w:ind w:left="720"/>
        <w:rPr>
          <w:rFonts w:ascii="Arial" w:hAnsi="Arial" w:cs="Arial"/>
          <w:sz w:val="22"/>
          <w:szCs w:val="22"/>
          <w:lang w:val="es-ES_tradnl"/>
        </w:rPr>
      </w:pPr>
    </w:p>
    <w:p w:rsidR="006C1FF9" w:rsidRPr="00551E61" w:rsidRDefault="006C1FF9" w:rsidP="006C1FF9">
      <w:pPr>
        <w:pStyle w:val="Paragraph"/>
        <w:ind w:left="720"/>
        <w:rPr>
          <w:rFonts w:ascii="Arial" w:hAnsi="Arial" w:cs="Arial"/>
          <w:b/>
          <w:sz w:val="22"/>
          <w:szCs w:val="22"/>
          <w:lang w:val="es-ES_tradnl"/>
        </w:rPr>
      </w:pPr>
      <w:r w:rsidRPr="00551E61">
        <w:rPr>
          <w:rFonts w:ascii="Arial" w:hAnsi="Arial" w:cs="Arial"/>
          <w:b/>
          <w:sz w:val="22"/>
          <w:szCs w:val="22"/>
          <w:lang w:val="es-ES_tradnl"/>
        </w:rPr>
        <w:t xml:space="preserve">Estrategia de </w:t>
      </w:r>
      <w:r w:rsidR="005317E4" w:rsidRPr="00551E61">
        <w:rPr>
          <w:rFonts w:ascii="Arial" w:hAnsi="Arial" w:cs="Arial"/>
          <w:b/>
          <w:sz w:val="22"/>
          <w:szCs w:val="22"/>
          <w:lang w:val="es-ES_tradnl"/>
        </w:rPr>
        <w:t>r</w:t>
      </w:r>
      <w:r w:rsidRPr="00551E61">
        <w:rPr>
          <w:rFonts w:ascii="Arial" w:hAnsi="Arial" w:cs="Arial"/>
          <w:b/>
          <w:sz w:val="22"/>
          <w:szCs w:val="22"/>
          <w:lang w:val="es-ES_tradnl"/>
        </w:rPr>
        <w:t>etención</w:t>
      </w:r>
    </w:p>
    <w:p w:rsidR="00586396" w:rsidRPr="00551E61" w:rsidRDefault="00586396" w:rsidP="00586396">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szCs w:val="22"/>
          <w:lang w:val="es-ES_tradnl"/>
        </w:rPr>
        <w:t xml:space="preserve">El segundo problema es la baja </w:t>
      </w:r>
      <w:r w:rsidR="004F3A8B" w:rsidRPr="00551E61">
        <w:rPr>
          <w:rFonts w:ascii="Arial" w:hAnsi="Arial" w:cs="Arial"/>
          <w:sz w:val="22"/>
          <w:szCs w:val="22"/>
          <w:lang w:val="es-ES_tradnl"/>
        </w:rPr>
        <w:t xml:space="preserve">calidad de parte del stock. Para esto se propone una </w:t>
      </w:r>
      <w:r w:rsidR="004F3A8B" w:rsidRPr="00551E61">
        <w:rPr>
          <w:rFonts w:ascii="Arial" w:hAnsi="Arial" w:cs="Arial"/>
          <w:b/>
          <w:sz w:val="22"/>
          <w:szCs w:val="22"/>
          <w:lang w:val="es-ES_tradnl"/>
        </w:rPr>
        <w:t>estrategia de retención</w:t>
      </w:r>
      <w:r w:rsidR="004F3A8B" w:rsidRPr="00551E61">
        <w:rPr>
          <w:rFonts w:ascii="Arial" w:hAnsi="Arial" w:cs="Arial"/>
          <w:sz w:val="22"/>
          <w:szCs w:val="22"/>
          <w:lang w:val="es-ES_tradnl"/>
        </w:rPr>
        <w:t xml:space="preserve"> que logre mejorar las condiciones habitacionales del sector y mantener su diversidad e inclusión social atendiendo los factores causantes</w:t>
      </w:r>
      <w:r w:rsidRPr="00551E61">
        <w:rPr>
          <w:rFonts w:ascii="Arial" w:hAnsi="Arial" w:cs="Arial"/>
          <w:sz w:val="22"/>
          <w:szCs w:val="22"/>
          <w:lang w:val="es-ES_tradnl"/>
        </w:rPr>
        <w:t>: (i) los bajos ingresos de los pobladores de las áreas en las que se concentran los problemas constructivos y (ii) mayor incidencia de problemáticas de</w:t>
      </w:r>
      <w:r w:rsidR="008560C0" w:rsidRPr="00551E61">
        <w:rPr>
          <w:rFonts w:ascii="Arial" w:hAnsi="Arial" w:cs="Arial"/>
          <w:sz w:val="22"/>
          <w:szCs w:val="22"/>
          <w:lang w:val="es-ES_tradnl"/>
        </w:rPr>
        <w:t xml:space="preserve"> informalidad en el</w:t>
      </w:r>
      <w:r w:rsidRPr="00551E61">
        <w:rPr>
          <w:rFonts w:ascii="Arial" w:hAnsi="Arial" w:cs="Arial"/>
          <w:sz w:val="22"/>
          <w:szCs w:val="22"/>
          <w:lang w:val="es-ES_tradnl"/>
        </w:rPr>
        <w:t xml:space="preserve"> alquiler y </w:t>
      </w:r>
      <w:r w:rsidR="008560C0" w:rsidRPr="00551E61">
        <w:rPr>
          <w:rFonts w:ascii="Arial" w:hAnsi="Arial" w:cs="Arial"/>
          <w:sz w:val="22"/>
          <w:szCs w:val="22"/>
          <w:lang w:val="es-ES_tradnl"/>
        </w:rPr>
        <w:t xml:space="preserve">la </w:t>
      </w:r>
      <w:r w:rsidRPr="00551E61">
        <w:rPr>
          <w:rFonts w:ascii="Arial" w:hAnsi="Arial" w:cs="Arial"/>
          <w:sz w:val="22"/>
          <w:szCs w:val="22"/>
          <w:lang w:val="es-ES_tradnl"/>
        </w:rPr>
        <w:t>titularidad.</w:t>
      </w:r>
      <w:r w:rsidR="004F3A8B" w:rsidRPr="00551E61">
        <w:rPr>
          <w:rFonts w:ascii="Arial" w:hAnsi="Arial" w:cs="Arial"/>
          <w:sz w:val="22"/>
          <w:szCs w:val="22"/>
          <w:lang w:val="es-ES_tradnl"/>
        </w:rPr>
        <w:t xml:space="preserve"> </w:t>
      </w:r>
    </w:p>
    <w:p w:rsidR="000223F1" w:rsidRPr="00551E61" w:rsidRDefault="004F3A8B" w:rsidP="00586396">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szCs w:val="22"/>
          <w:lang w:val="es-ES_tradnl"/>
        </w:rPr>
        <w:t xml:space="preserve">Para </w:t>
      </w:r>
      <w:r w:rsidR="008C507E" w:rsidRPr="00551E61">
        <w:rPr>
          <w:rFonts w:ascii="Arial" w:hAnsi="Arial" w:cs="Arial"/>
          <w:sz w:val="22"/>
          <w:szCs w:val="22"/>
          <w:lang w:val="es-ES_tradnl"/>
        </w:rPr>
        <w:t>ambos factores</w:t>
      </w:r>
      <w:r w:rsidRPr="00551E61">
        <w:rPr>
          <w:rFonts w:ascii="Arial" w:hAnsi="Arial" w:cs="Arial"/>
          <w:sz w:val="22"/>
          <w:szCs w:val="22"/>
          <w:lang w:val="es-ES_tradnl"/>
        </w:rPr>
        <w:t xml:space="preserve"> </w:t>
      </w:r>
      <w:r w:rsidR="008C507E" w:rsidRPr="00551E61">
        <w:rPr>
          <w:rFonts w:ascii="Arial" w:hAnsi="Arial" w:cs="Arial"/>
          <w:sz w:val="22"/>
          <w:szCs w:val="22"/>
          <w:lang w:val="es-ES_tradnl"/>
        </w:rPr>
        <w:t>esta propuesta sugiere la implementación de</w:t>
      </w:r>
      <w:r w:rsidRPr="00551E61">
        <w:rPr>
          <w:rFonts w:ascii="Arial" w:hAnsi="Arial" w:cs="Arial"/>
          <w:sz w:val="22"/>
          <w:szCs w:val="22"/>
          <w:lang w:val="es-ES_tradnl"/>
        </w:rPr>
        <w:t xml:space="preserve"> </w:t>
      </w:r>
      <w:r w:rsidRPr="00551E61">
        <w:rPr>
          <w:rFonts w:ascii="Arial" w:hAnsi="Arial" w:cs="Arial"/>
          <w:b/>
          <w:sz w:val="22"/>
          <w:szCs w:val="22"/>
          <w:lang w:val="es-ES_tradnl"/>
        </w:rPr>
        <w:t>subsidios de mejoramiento de vivienda</w:t>
      </w:r>
      <w:r w:rsidR="008C507E" w:rsidRPr="00551E61">
        <w:rPr>
          <w:rFonts w:ascii="Arial" w:hAnsi="Arial" w:cs="Arial"/>
          <w:b/>
          <w:sz w:val="22"/>
          <w:szCs w:val="22"/>
          <w:lang w:val="es-ES_tradnl"/>
        </w:rPr>
        <w:t xml:space="preserve"> y titulación</w:t>
      </w:r>
      <w:r w:rsidRPr="00551E61">
        <w:rPr>
          <w:rFonts w:ascii="Arial" w:hAnsi="Arial" w:cs="Arial"/>
          <w:sz w:val="22"/>
          <w:szCs w:val="22"/>
          <w:lang w:val="es-ES_tradnl"/>
        </w:rPr>
        <w:t xml:space="preserve"> </w:t>
      </w:r>
      <w:r w:rsidR="000223F1" w:rsidRPr="00551E61">
        <w:rPr>
          <w:rFonts w:ascii="Arial" w:hAnsi="Arial" w:cs="Arial"/>
          <w:sz w:val="22"/>
          <w:szCs w:val="22"/>
          <w:lang w:val="es-ES_tradnl"/>
        </w:rPr>
        <w:t>para 200 viviendas localizadas en los 4 barrios del norte</w:t>
      </w:r>
      <w:r w:rsidRPr="00551E61">
        <w:rPr>
          <w:rFonts w:ascii="Arial" w:hAnsi="Arial" w:cs="Arial"/>
          <w:sz w:val="22"/>
          <w:szCs w:val="22"/>
          <w:lang w:val="es-ES_tradnl"/>
        </w:rPr>
        <w:t xml:space="preserve">. </w:t>
      </w:r>
      <w:r w:rsidR="0047461C" w:rsidRPr="00551E61">
        <w:rPr>
          <w:rFonts w:ascii="Arial" w:hAnsi="Arial" w:cs="Arial"/>
          <w:sz w:val="22"/>
          <w:szCs w:val="22"/>
          <w:lang w:val="es-ES_tradnl"/>
        </w:rPr>
        <w:t>Para esto se propone un esquema de trabajo basado en el utilizado por instituciones como Hábitat para la Humanidad y CEMEX en su programa ‘Patrimonio Hoy’. El esquema consist</w:t>
      </w:r>
      <w:r w:rsidR="000223F1" w:rsidRPr="00551E61">
        <w:rPr>
          <w:rFonts w:ascii="Arial" w:hAnsi="Arial" w:cs="Arial"/>
          <w:sz w:val="22"/>
          <w:szCs w:val="22"/>
          <w:lang w:val="es-ES_tradnl"/>
        </w:rPr>
        <w:t xml:space="preserve">iría en </w:t>
      </w:r>
      <w:r w:rsidR="00F724B8" w:rsidRPr="00551E61">
        <w:rPr>
          <w:rFonts w:ascii="Arial" w:hAnsi="Arial" w:cs="Arial"/>
          <w:sz w:val="22"/>
          <w:szCs w:val="22"/>
          <w:lang w:val="es-ES_tradnl"/>
        </w:rPr>
        <w:t>cinco</w:t>
      </w:r>
      <w:r w:rsidR="000223F1" w:rsidRPr="00551E61">
        <w:rPr>
          <w:rFonts w:ascii="Arial" w:hAnsi="Arial" w:cs="Arial"/>
          <w:sz w:val="22"/>
          <w:szCs w:val="22"/>
          <w:lang w:val="es-ES_tradnl"/>
        </w:rPr>
        <w:t xml:space="preserve"> etapas: (i) selección de familias, (ii) </w:t>
      </w:r>
      <w:r w:rsidR="0047461C" w:rsidRPr="00551E61">
        <w:rPr>
          <w:rFonts w:ascii="Arial" w:hAnsi="Arial" w:cs="Arial"/>
          <w:sz w:val="22"/>
          <w:szCs w:val="22"/>
          <w:lang w:val="es-ES_tradnl"/>
        </w:rPr>
        <w:t>levantamiento,</w:t>
      </w:r>
      <w:r w:rsidR="00F724B8" w:rsidRPr="00551E61">
        <w:rPr>
          <w:rFonts w:ascii="Arial" w:hAnsi="Arial" w:cs="Arial"/>
          <w:sz w:val="22"/>
          <w:szCs w:val="22"/>
          <w:lang w:val="es-ES_tradnl"/>
        </w:rPr>
        <w:t xml:space="preserve"> </w:t>
      </w:r>
      <w:r w:rsidR="000223F1" w:rsidRPr="00551E61">
        <w:rPr>
          <w:rFonts w:ascii="Arial" w:hAnsi="Arial" w:cs="Arial"/>
          <w:sz w:val="22"/>
          <w:szCs w:val="22"/>
          <w:lang w:val="es-ES_tradnl"/>
        </w:rPr>
        <w:t>(iii)</w:t>
      </w:r>
      <w:r w:rsidR="00F724B8" w:rsidRPr="00551E61">
        <w:rPr>
          <w:rFonts w:ascii="Arial" w:hAnsi="Arial" w:cs="Arial"/>
          <w:sz w:val="22"/>
          <w:szCs w:val="22"/>
          <w:lang w:val="es-ES_tradnl"/>
        </w:rPr>
        <w:t xml:space="preserve"> contratación, (iv)</w:t>
      </w:r>
      <w:r w:rsidR="0047461C" w:rsidRPr="00551E61">
        <w:rPr>
          <w:rFonts w:ascii="Arial" w:hAnsi="Arial" w:cs="Arial"/>
          <w:sz w:val="22"/>
          <w:szCs w:val="22"/>
          <w:lang w:val="es-ES_tradnl"/>
        </w:rPr>
        <w:t xml:space="preserve"> ejecución</w:t>
      </w:r>
      <w:r w:rsidR="007D6F6D" w:rsidRPr="00551E61">
        <w:rPr>
          <w:rFonts w:ascii="Arial" w:hAnsi="Arial" w:cs="Arial"/>
          <w:sz w:val="22"/>
          <w:szCs w:val="22"/>
          <w:lang w:val="es-ES_tradnl"/>
        </w:rPr>
        <w:t xml:space="preserve"> de obra</w:t>
      </w:r>
      <w:r w:rsidR="00F724B8" w:rsidRPr="00551E61">
        <w:rPr>
          <w:rFonts w:ascii="Arial" w:hAnsi="Arial" w:cs="Arial"/>
          <w:sz w:val="22"/>
          <w:szCs w:val="22"/>
          <w:lang w:val="es-ES_tradnl"/>
        </w:rPr>
        <w:t xml:space="preserve"> y (v) supervisión</w:t>
      </w:r>
      <w:r w:rsidR="007D6F6D" w:rsidRPr="00551E61">
        <w:rPr>
          <w:rFonts w:ascii="Arial" w:hAnsi="Arial" w:cs="Arial"/>
          <w:sz w:val="22"/>
          <w:szCs w:val="22"/>
          <w:lang w:val="es-ES_tradnl"/>
        </w:rPr>
        <w:t xml:space="preserve"> y acompañamiento social</w:t>
      </w:r>
      <w:r w:rsidR="00460E10" w:rsidRPr="00551E61">
        <w:rPr>
          <w:rStyle w:val="FootnoteReference"/>
          <w:rFonts w:ascii="Arial" w:hAnsi="Arial" w:cs="Arial"/>
          <w:sz w:val="22"/>
          <w:szCs w:val="22"/>
          <w:lang w:val="es-ES_tradnl"/>
        </w:rPr>
        <w:footnoteReference w:id="16"/>
      </w:r>
      <w:r w:rsidR="0047461C" w:rsidRPr="00551E61">
        <w:rPr>
          <w:rFonts w:ascii="Arial" w:hAnsi="Arial" w:cs="Arial"/>
          <w:sz w:val="22"/>
          <w:szCs w:val="22"/>
          <w:lang w:val="es-ES_tradnl"/>
        </w:rPr>
        <w:t xml:space="preserve">. </w:t>
      </w:r>
    </w:p>
    <w:p w:rsidR="00460E10" w:rsidRPr="00551E61" w:rsidRDefault="0047461C" w:rsidP="00586396">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szCs w:val="22"/>
          <w:lang w:val="es-ES_tradnl"/>
        </w:rPr>
        <w:t xml:space="preserve">Para la etapa de </w:t>
      </w:r>
      <w:r w:rsidR="000223F1" w:rsidRPr="00551E61">
        <w:rPr>
          <w:rFonts w:ascii="Arial" w:hAnsi="Arial" w:cs="Arial"/>
          <w:sz w:val="22"/>
          <w:szCs w:val="22"/>
          <w:lang w:val="es-ES_tradnl"/>
        </w:rPr>
        <w:t>selección de familias un equipo</w:t>
      </w:r>
      <w:r w:rsidR="00422447" w:rsidRPr="00551E61">
        <w:rPr>
          <w:rFonts w:ascii="Arial" w:hAnsi="Arial" w:cs="Arial"/>
          <w:sz w:val="22"/>
          <w:szCs w:val="22"/>
          <w:lang w:val="es-ES_tradnl"/>
        </w:rPr>
        <w:t xml:space="preserve"> gestor</w:t>
      </w:r>
      <w:r w:rsidR="000223F1" w:rsidRPr="00551E61">
        <w:rPr>
          <w:rFonts w:ascii="Arial" w:hAnsi="Arial" w:cs="Arial"/>
          <w:sz w:val="22"/>
          <w:szCs w:val="22"/>
          <w:lang w:val="es-ES_tradnl"/>
        </w:rPr>
        <w:t xml:space="preserve"> multidisciplinario </w:t>
      </w:r>
      <w:r w:rsidR="00460E10" w:rsidRPr="00551E61">
        <w:rPr>
          <w:rFonts w:ascii="Arial" w:hAnsi="Arial" w:cs="Arial"/>
          <w:sz w:val="22"/>
          <w:szCs w:val="22"/>
        </w:rPr>
        <w:t>evaluará las zonas de trabajo, revisará los estudios previos que se haya</w:t>
      </w:r>
      <w:r w:rsidR="005317E4" w:rsidRPr="00551E61">
        <w:rPr>
          <w:rFonts w:ascii="Arial" w:hAnsi="Arial" w:cs="Arial"/>
          <w:sz w:val="22"/>
          <w:szCs w:val="22"/>
        </w:rPr>
        <w:t>n realizado y organi</w:t>
      </w:r>
      <w:r w:rsidR="00460E10" w:rsidRPr="00551E61">
        <w:rPr>
          <w:rFonts w:ascii="Arial" w:hAnsi="Arial" w:cs="Arial"/>
          <w:sz w:val="22"/>
          <w:szCs w:val="22"/>
        </w:rPr>
        <w:t>zará una reunión de presentación del proyecto describiendo las acciones del levantamiento soc</w:t>
      </w:r>
      <w:r w:rsidR="00F724B8" w:rsidRPr="00551E61">
        <w:rPr>
          <w:rFonts w:ascii="Arial" w:hAnsi="Arial" w:cs="Arial"/>
          <w:sz w:val="22"/>
          <w:szCs w:val="22"/>
        </w:rPr>
        <w:t>ial, técnico y financiero a lo</w:t>
      </w:r>
      <w:r w:rsidR="006C1FF9" w:rsidRPr="00551E61">
        <w:rPr>
          <w:rFonts w:ascii="Arial" w:hAnsi="Arial" w:cs="Arial"/>
          <w:sz w:val="22"/>
          <w:szCs w:val="22"/>
        </w:rPr>
        <w:t>s líderes comunitario</w:t>
      </w:r>
      <w:r w:rsidR="00460E10" w:rsidRPr="00551E61">
        <w:rPr>
          <w:rFonts w:ascii="Arial" w:hAnsi="Arial" w:cs="Arial"/>
          <w:sz w:val="22"/>
          <w:szCs w:val="22"/>
        </w:rPr>
        <w:t xml:space="preserve">s de la zona. También se realizarán </w:t>
      </w:r>
      <w:r w:rsidR="000223F1" w:rsidRPr="00551E61">
        <w:rPr>
          <w:rFonts w:ascii="Arial" w:hAnsi="Arial" w:cs="Arial"/>
          <w:sz w:val="22"/>
          <w:szCs w:val="22"/>
        </w:rPr>
        <w:t>reuniones y acuerdos con organizaciones de base comunitaria e instituciones aliadas</w:t>
      </w:r>
      <w:r w:rsidR="006C1FF9" w:rsidRPr="00551E61">
        <w:rPr>
          <w:rFonts w:ascii="Arial" w:hAnsi="Arial" w:cs="Arial"/>
          <w:sz w:val="22"/>
          <w:szCs w:val="22"/>
        </w:rPr>
        <w:t xml:space="preserve"> que trabajen en la zona (ONG’s, fundaciones, etc.</w:t>
      </w:r>
      <w:r w:rsidR="000223F1" w:rsidRPr="00551E61">
        <w:rPr>
          <w:rFonts w:ascii="Arial" w:hAnsi="Arial" w:cs="Arial"/>
          <w:sz w:val="22"/>
          <w:szCs w:val="22"/>
        </w:rPr>
        <w:t xml:space="preserve">). </w:t>
      </w:r>
      <w:r w:rsidR="00460E10" w:rsidRPr="00551E61">
        <w:rPr>
          <w:rFonts w:ascii="Arial" w:hAnsi="Arial" w:cs="Arial"/>
          <w:sz w:val="22"/>
          <w:szCs w:val="22"/>
        </w:rPr>
        <w:t>A partir de ese trabajo social de entrada se formará un comité con la comunidad encargado de la preselección de familias de acuerdo a un</w:t>
      </w:r>
      <w:r w:rsidR="00422447" w:rsidRPr="00551E61">
        <w:rPr>
          <w:rFonts w:ascii="Arial" w:hAnsi="Arial" w:cs="Arial"/>
          <w:sz w:val="22"/>
          <w:szCs w:val="22"/>
        </w:rPr>
        <w:t>os</w:t>
      </w:r>
      <w:r w:rsidR="00460E10" w:rsidRPr="00551E61">
        <w:rPr>
          <w:rFonts w:ascii="Arial" w:hAnsi="Arial" w:cs="Arial"/>
          <w:sz w:val="22"/>
          <w:szCs w:val="22"/>
        </w:rPr>
        <w:t xml:space="preserve"> criterio</w:t>
      </w:r>
      <w:r w:rsidR="00422447" w:rsidRPr="00551E61">
        <w:rPr>
          <w:rFonts w:ascii="Arial" w:hAnsi="Arial" w:cs="Arial"/>
          <w:sz w:val="22"/>
          <w:szCs w:val="22"/>
        </w:rPr>
        <w:t>s</w:t>
      </w:r>
      <w:r w:rsidR="00460E10" w:rsidRPr="00551E61">
        <w:rPr>
          <w:rFonts w:ascii="Arial" w:hAnsi="Arial" w:cs="Arial"/>
          <w:sz w:val="22"/>
          <w:szCs w:val="22"/>
        </w:rPr>
        <w:t xml:space="preserve"> de necesidad</w:t>
      </w:r>
      <w:r w:rsidR="00422447" w:rsidRPr="00551E61">
        <w:rPr>
          <w:rFonts w:ascii="Arial" w:hAnsi="Arial" w:cs="Arial"/>
          <w:sz w:val="22"/>
          <w:szCs w:val="22"/>
        </w:rPr>
        <w:t xml:space="preserve"> previamente definidos</w:t>
      </w:r>
      <w:r w:rsidR="00460E10" w:rsidRPr="00551E61">
        <w:rPr>
          <w:rFonts w:ascii="Arial" w:hAnsi="Arial" w:cs="Arial"/>
          <w:sz w:val="22"/>
          <w:szCs w:val="22"/>
        </w:rPr>
        <w:t xml:space="preserve"> y se preparará el plan de acción para el levantamiento. </w:t>
      </w:r>
    </w:p>
    <w:p w:rsidR="002F40DA" w:rsidRPr="00551E61" w:rsidRDefault="00460E10" w:rsidP="00586396">
      <w:pPr>
        <w:pStyle w:val="Paragraph"/>
        <w:numPr>
          <w:ilvl w:val="1"/>
          <w:numId w:val="1"/>
        </w:numPr>
        <w:tabs>
          <w:tab w:val="clear" w:pos="2736"/>
          <w:tab w:val="num" w:pos="720"/>
        </w:tabs>
        <w:ind w:left="720" w:hanging="720"/>
        <w:rPr>
          <w:rFonts w:ascii="Arial" w:hAnsi="Arial" w:cs="Arial"/>
          <w:sz w:val="22"/>
          <w:szCs w:val="22"/>
          <w:lang w:val="es-ES_tradnl"/>
        </w:rPr>
      </w:pPr>
      <w:r w:rsidRPr="00551E61">
        <w:rPr>
          <w:rFonts w:ascii="Arial" w:hAnsi="Arial" w:cs="Arial"/>
          <w:sz w:val="22"/>
          <w:szCs w:val="22"/>
        </w:rPr>
        <w:t xml:space="preserve">En la etapa de levantamiento </w:t>
      </w:r>
      <w:r w:rsidR="00422447" w:rsidRPr="00551E61">
        <w:rPr>
          <w:rFonts w:ascii="Arial" w:hAnsi="Arial" w:cs="Arial"/>
          <w:sz w:val="22"/>
          <w:szCs w:val="22"/>
        </w:rPr>
        <w:t xml:space="preserve">el equipo gestor </w:t>
      </w:r>
      <w:r w:rsidR="00EF2953" w:rsidRPr="00551E61">
        <w:rPr>
          <w:rFonts w:ascii="Arial" w:hAnsi="Arial" w:cs="Arial"/>
          <w:sz w:val="22"/>
          <w:szCs w:val="22"/>
        </w:rPr>
        <w:t>hará un conta</w:t>
      </w:r>
      <w:r w:rsidR="00422447" w:rsidRPr="00551E61">
        <w:rPr>
          <w:rFonts w:ascii="Arial" w:hAnsi="Arial" w:cs="Arial"/>
          <w:sz w:val="22"/>
          <w:szCs w:val="22"/>
        </w:rPr>
        <w:t xml:space="preserve">cto inicial con las familias, </w:t>
      </w:r>
      <w:r w:rsidRPr="00551E61">
        <w:rPr>
          <w:rFonts w:ascii="Arial" w:hAnsi="Arial" w:cs="Arial"/>
          <w:sz w:val="22"/>
          <w:szCs w:val="22"/>
        </w:rPr>
        <w:t>aplicará una encuesta social y realizará una evaluación de la vivienda para obtener un di</w:t>
      </w:r>
      <w:r w:rsidR="00B452D5" w:rsidRPr="00551E61">
        <w:rPr>
          <w:rFonts w:ascii="Arial" w:hAnsi="Arial" w:cs="Arial"/>
          <w:sz w:val="22"/>
          <w:szCs w:val="22"/>
        </w:rPr>
        <w:t>agnó</w:t>
      </w:r>
      <w:r w:rsidRPr="00551E61">
        <w:rPr>
          <w:rFonts w:ascii="Arial" w:hAnsi="Arial" w:cs="Arial"/>
          <w:sz w:val="22"/>
          <w:szCs w:val="22"/>
        </w:rPr>
        <w:t xml:space="preserve">stico técnico de la unidad. </w:t>
      </w:r>
      <w:r w:rsidR="00B452D5" w:rsidRPr="00551E61">
        <w:rPr>
          <w:rFonts w:ascii="Arial" w:hAnsi="Arial" w:cs="Arial"/>
          <w:sz w:val="22"/>
          <w:szCs w:val="22"/>
        </w:rPr>
        <w:t xml:space="preserve">También se evaluará la capacidad financiera de las familias y la situación legal en la que se encuentra su tenencia. </w:t>
      </w:r>
      <w:r w:rsidRPr="00551E61">
        <w:rPr>
          <w:rFonts w:ascii="Arial" w:hAnsi="Arial" w:cs="Arial"/>
          <w:sz w:val="22"/>
          <w:szCs w:val="22"/>
        </w:rPr>
        <w:t>Con esta información</w:t>
      </w:r>
      <w:r w:rsidR="005317E4" w:rsidRPr="00551E61">
        <w:rPr>
          <w:rFonts w:ascii="Arial" w:hAnsi="Arial" w:cs="Arial"/>
          <w:sz w:val="22"/>
          <w:szCs w:val="22"/>
        </w:rPr>
        <w:t xml:space="preserve"> se determinará</w:t>
      </w:r>
      <w:r w:rsidRPr="00551E61">
        <w:rPr>
          <w:rFonts w:ascii="Arial" w:hAnsi="Arial" w:cs="Arial"/>
          <w:sz w:val="22"/>
          <w:szCs w:val="22"/>
        </w:rPr>
        <w:t>n las familias más vulnerables</w:t>
      </w:r>
      <w:r w:rsidR="00EF2953" w:rsidRPr="00551E61">
        <w:rPr>
          <w:rFonts w:ascii="Arial" w:hAnsi="Arial" w:cs="Arial"/>
          <w:sz w:val="22"/>
          <w:szCs w:val="22"/>
        </w:rPr>
        <w:t xml:space="preserve"> y</w:t>
      </w:r>
      <w:r w:rsidRPr="00551E61">
        <w:rPr>
          <w:rFonts w:ascii="Arial" w:hAnsi="Arial" w:cs="Arial"/>
          <w:sz w:val="22"/>
          <w:szCs w:val="22"/>
        </w:rPr>
        <w:t xml:space="preserve"> se completa</w:t>
      </w:r>
      <w:r w:rsidR="005317E4" w:rsidRPr="00551E61">
        <w:rPr>
          <w:rFonts w:ascii="Arial" w:hAnsi="Arial" w:cs="Arial"/>
          <w:sz w:val="22"/>
          <w:szCs w:val="22"/>
        </w:rPr>
        <w:t>rá</w:t>
      </w:r>
      <w:r w:rsidRPr="00551E61">
        <w:rPr>
          <w:rFonts w:ascii="Arial" w:hAnsi="Arial" w:cs="Arial"/>
          <w:sz w:val="22"/>
          <w:szCs w:val="22"/>
        </w:rPr>
        <w:t xml:space="preserve"> un</w:t>
      </w:r>
      <w:r w:rsidR="00EF2953" w:rsidRPr="00551E61">
        <w:rPr>
          <w:rFonts w:ascii="Arial" w:hAnsi="Arial" w:cs="Arial"/>
          <w:sz w:val="22"/>
          <w:szCs w:val="22"/>
        </w:rPr>
        <w:t xml:space="preserve"> listado final de beneficiarios. P</w:t>
      </w:r>
      <w:r w:rsidR="00422447" w:rsidRPr="00551E61">
        <w:rPr>
          <w:rFonts w:ascii="Arial" w:hAnsi="Arial" w:cs="Arial"/>
          <w:sz w:val="22"/>
          <w:szCs w:val="22"/>
        </w:rPr>
        <w:t>ara ca</w:t>
      </w:r>
      <w:r w:rsidR="00B452D5" w:rsidRPr="00551E61">
        <w:rPr>
          <w:rFonts w:ascii="Arial" w:hAnsi="Arial" w:cs="Arial"/>
          <w:sz w:val="22"/>
          <w:szCs w:val="22"/>
        </w:rPr>
        <w:t>da beneficiario</w:t>
      </w:r>
      <w:r w:rsidR="005317E4" w:rsidRPr="00551E61">
        <w:rPr>
          <w:rFonts w:ascii="Arial" w:hAnsi="Arial" w:cs="Arial"/>
          <w:sz w:val="22"/>
          <w:szCs w:val="22"/>
        </w:rPr>
        <w:t>,</w:t>
      </w:r>
      <w:r w:rsidR="00B452D5" w:rsidRPr="00551E61">
        <w:rPr>
          <w:rFonts w:ascii="Arial" w:hAnsi="Arial" w:cs="Arial"/>
          <w:sz w:val="22"/>
          <w:szCs w:val="22"/>
        </w:rPr>
        <w:t xml:space="preserve"> el grupo gestor, por medio de un proceso de trabajo social con la familia, </w:t>
      </w:r>
      <w:r w:rsidR="00422447" w:rsidRPr="00551E61">
        <w:rPr>
          <w:rFonts w:ascii="Arial" w:hAnsi="Arial" w:cs="Arial"/>
          <w:sz w:val="22"/>
          <w:szCs w:val="22"/>
        </w:rPr>
        <w:t>hará</w:t>
      </w:r>
      <w:r w:rsidRPr="00551E61">
        <w:rPr>
          <w:rFonts w:ascii="Arial" w:hAnsi="Arial" w:cs="Arial"/>
          <w:sz w:val="22"/>
          <w:szCs w:val="22"/>
        </w:rPr>
        <w:t xml:space="preserve"> un diseño</w:t>
      </w:r>
      <w:r w:rsidR="00EF2953" w:rsidRPr="00551E61">
        <w:rPr>
          <w:rFonts w:ascii="Arial" w:hAnsi="Arial" w:cs="Arial"/>
          <w:sz w:val="22"/>
          <w:szCs w:val="22"/>
        </w:rPr>
        <w:t xml:space="preserve"> de obra (plan de mejora)</w:t>
      </w:r>
      <w:r w:rsidR="00B452D5" w:rsidRPr="00551E61">
        <w:rPr>
          <w:rFonts w:ascii="Arial" w:hAnsi="Arial" w:cs="Arial"/>
          <w:sz w:val="22"/>
          <w:szCs w:val="22"/>
        </w:rPr>
        <w:t xml:space="preserve">, decidirá si es procedente el proceso de saneamiento de título </w:t>
      </w:r>
      <w:r w:rsidRPr="00551E61">
        <w:rPr>
          <w:rFonts w:ascii="Arial" w:hAnsi="Arial" w:cs="Arial"/>
          <w:sz w:val="22"/>
          <w:szCs w:val="22"/>
        </w:rPr>
        <w:t>y</w:t>
      </w:r>
      <w:r w:rsidR="005317E4" w:rsidRPr="00551E61">
        <w:rPr>
          <w:rFonts w:ascii="Arial" w:hAnsi="Arial" w:cs="Arial"/>
          <w:sz w:val="22"/>
          <w:szCs w:val="22"/>
        </w:rPr>
        <w:t xml:space="preserve"> definirá</w:t>
      </w:r>
      <w:r w:rsidR="00422447" w:rsidRPr="00551E61">
        <w:rPr>
          <w:rFonts w:ascii="Arial" w:hAnsi="Arial" w:cs="Arial"/>
          <w:sz w:val="22"/>
          <w:szCs w:val="22"/>
        </w:rPr>
        <w:t xml:space="preserve"> un</w:t>
      </w:r>
      <w:r w:rsidRPr="00551E61">
        <w:rPr>
          <w:rFonts w:ascii="Arial" w:hAnsi="Arial" w:cs="Arial"/>
          <w:sz w:val="22"/>
          <w:szCs w:val="22"/>
        </w:rPr>
        <w:t xml:space="preserve"> presupuesto del mejoramiento individual</w:t>
      </w:r>
      <w:r w:rsidR="00EF2953" w:rsidRPr="00551E61">
        <w:rPr>
          <w:rFonts w:ascii="Arial" w:hAnsi="Arial" w:cs="Arial"/>
          <w:sz w:val="22"/>
          <w:szCs w:val="22"/>
        </w:rPr>
        <w:t xml:space="preserve">. </w:t>
      </w:r>
      <w:r w:rsidR="007A4787" w:rsidRPr="00551E61">
        <w:rPr>
          <w:rFonts w:ascii="Arial" w:hAnsi="Arial" w:cs="Arial"/>
          <w:sz w:val="22"/>
          <w:szCs w:val="22"/>
        </w:rPr>
        <w:t xml:space="preserve">Idealmente, se solicitará a la familia un aporte propio como mecanismo de corresponsabilidad que será como mínimo el 10% del subsidio a recibir y podrá pagarse en dinero, materiales o mano de obra. El equipo gestor trabajará con la familia en la definición del aporte propio. </w:t>
      </w:r>
      <w:r w:rsidR="00EF2953" w:rsidRPr="00551E61">
        <w:rPr>
          <w:rFonts w:ascii="Arial" w:hAnsi="Arial" w:cs="Arial"/>
          <w:sz w:val="22"/>
          <w:szCs w:val="22"/>
        </w:rPr>
        <w:t>F</w:t>
      </w:r>
      <w:r w:rsidRPr="00551E61">
        <w:rPr>
          <w:rFonts w:ascii="Arial" w:hAnsi="Arial" w:cs="Arial"/>
          <w:sz w:val="22"/>
          <w:szCs w:val="22"/>
        </w:rPr>
        <w:t>inalmente se socializa</w:t>
      </w:r>
      <w:r w:rsidR="00422447" w:rsidRPr="00551E61">
        <w:rPr>
          <w:rFonts w:ascii="Arial" w:hAnsi="Arial" w:cs="Arial"/>
          <w:sz w:val="22"/>
          <w:szCs w:val="22"/>
        </w:rPr>
        <w:t>rá</w:t>
      </w:r>
      <w:r w:rsidRPr="00551E61">
        <w:rPr>
          <w:rFonts w:ascii="Arial" w:hAnsi="Arial" w:cs="Arial"/>
          <w:sz w:val="22"/>
          <w:szCs w:val="22"/>
        </w:rPr>
        <w:t>n los resultados del proceso con toda la comunidad.</w:t>
      </w:r>
      <w:r w:rsidR="00EF2953" w:rsidRPr="00551E61">
        <w:rPr>
          <w:rFonts w:ascii="Arial" w:hAnsi="Arial" w:cs="Arial"/>
          <w:color w:val="000000"/>
          <w:sz w:val="22"/>
          <w:szCs w:val="22"/>
        </w:rPr>
        <w:t xml:space="preserve"> </w:t>
      </w:r>
      <w:r w:rsidR="00EF2953" w:rsidRPr="00551E61">
        <w:rPr>
          <w:rFonts w:ascii="Arial" w:hAnsi="Arial" w:cs="Arial"/>
          <w:sz w:val="22"/>
          <w:szCs w:val="22"/>
        </w:rPr>
        <w:t xml:space="preserve">El levantamiento técnico se realizará a 320 familias (las 200 que serán atendidas más un 60% de </w:t>
      </w:r>
      <w:r w:rsidR="00EF2953" w:rsidRPr="00551E61">
        <w:rPr>
          <w:rFonts w:ascii="Arial" w:hAnsi="Arial" w:cs="Arial"/>
          <w:sz w:val="22"/>
          <w:szCs w:val="22"/>
        </w:rPr>
        <w:lastRenderedPageBreak/>
        <w:t xml:space="preserve">margen de familias que </w:t>
      </w:r>
      <w:r w:rsidR="005317E4" w:rsidRPr="00551E61">
        <w:rPr>
          <w:rFonts w:ascii="Arial" w:hAnsi="Arial" w:cs="Arial"/>
          <w:sz w:val="22"/>
          <w:szCs w:val="22"/>
        </w:rPr>
        <w:t xml:space="preserve">probablemente </w:t>
      </w:r>
      <w:r w:rsidR="00EF2953" w:rsidRPr="00551E61">
        <w:rPr>
          <w:rFonts w:ascii="Arial" w:hAnsi="Arial" w:cs="Arial"/>
          <w:sz w:val="22"/>
          <w:szCs w:val="22"/>
        </w:rPr>
        <w:t>se retiran).</w:t>
      </w:r>
      <w:r w:rsidR="006607FB" w:rsidRPr="00551E61">
        <w:rPr>
          <w:rFonts w:ascii="Arial" w:hAnsi="Arial" w:cs="Arial"/>
          <w:sz w:val="22"/>
          <w:szCs w:val="22"/>
        </w:rPr>
        <w:t xml:space="preserve"> El producto final de esta etapa será la preparación de carpetas con los planes de mejora donde especifique los planes de obra, los requerimientos técnicos y los presupuestos adecuados.</w:t>
      </w:r>
    </w:p>
    <w:p w:rsidR="00F724B8" w:rsidRPr="00551E61" w:rsidRDefault="006607FB" w:rsidP="007A6741">
      <w:pPr>
        <w:pStyle w:val="Paragraph"/>
        <w:numPr>
          <w:ilvl w:val="1"/>
          <w:numId w:val="1"/>
        </w:numPr>
        <w:tabs>
          <w:tab w:val="clear" w:pos="2736"/>
          <w:tab w:val="num" w:pos="720"/>
        </w:tabs>
        <w:ind w:left="720" w:hanging="720"/>
        <w:rPr>
          <w:rFonts w:ascii="Arial" w:hAnsi="Arial" w:cs="Arial"/>
          <w:sz w:val="22"/>
          <w:szCs w:val="22"/>
        </w:rPr>
      </w:pPr>
      <w:r w:rsidRPr="00551E61">
        <w:rPr>
          <w:rFonts w:ascii="Arial" w:hAnsi="Arial" w:cs="Arial"/>
          <w:sz w:val="22"/>
          <w:szCs w:val="22"/>
          <w:lang w:val="es-ES_tradnl"/>
        </w:rPr>
        <w:t>En la fase de contratación l</w:t>
      </w:r>
      <w:r w:rsidR="007D6F6D" w:rsidRPr="00551E61">
        <w:rPr>
          <w:rFonts w:ascii="Arial" w:hAnsi="Arial" w:cs="Arial"/>
          <w:sz w:val="22"/>
          <w:szCs w:val="22"/>
        </w:rPr>
        <w:t xml:space="preserve">a Unidad Ejecutora del MITUR revisará estas carpetas de acuerdo a unos criterios previamente establecidos en las reglas de operación y </w:t>
      </w:r>
      <w:r w:rsidR="00F724B8" w:rsidRPr="00551E61">
        <w:rPr>
          <w:rFonts w:ascii="Arial" w:hAnsi="Arial" w:cs="Arial"/>
          <w:sz w:val="22"/>
          <w:szCs w:val="22"/>
        </w:rPr>
        <w:t xml:space="preserve">elegirá a terceros para que estos ejecuten la obra de acuerdo a un plan establecido. Para el caso de intervenciones que incluyan </w:t>
      </w:r>
      <w:r w:rsidR="00BA4865" w:rsidRPr="00551E61">
        <w:rPr>
          <w:rFonts w:ascii="Arial" w:hAnsi="Arial" w:cs="Arial"/>
          <w:sz w:val="22"/>
          <w:szCs w:val="22"/>
        </w:rPr>
        <w:t xml:space="preserve">un apoyo en el proceso de titulación, se seguirá el mismo proceso para contratar los servicios de terceros especializados </w:t>
      </w:r>
      <w:r w:rsidR="007D6F6D" w:rsidRPr="00551E61">
        <w:rPr>
          <w:rFonts w:ascii="Arial" w:hAnsi="Arial" w:cs="Arial"/>
          <w:sz w:val="22"/>
          <w:szCs w:val="22"/>
        </w:rPr>
        <w:t>como agrimensores y abogados.</w:t>
      </w:r>
      <w:r w:rsidR="00F724B8" w:rsidRPr="00551E61">
        <w:rPr>
          <w:rFonts w:ascii="Arial" w:hAnsi="Arial" w:cs="Arial"/>
          <w:sz w:val="22"/>
          <w:szCs w:val="22"/>
        </w:rPr>
        <w:t xml:space="preserve"> Se tratará de crear paquetes de contratos con varias intervenciones de vivienda localizadas en cercanía geográfica para generar economías de escala. </w:t>
      </w:r>
    </w:p>
    <w:p w:rsidR="006607FB" w:rsidRPr="00551E61" w:rsidRDefault="00F724B8" w:rsidP="007A6741">
      <w:pPr>
        <w:pStyle w:val="Paragraph"/>
        <w:numPr>
          <w:ilvl w:val="1"/>
          <w:numId w:val="1"/>
        </w:numPr>
        <w:tabs>
          <w:tab w:val="clear" w:pos="2736"/>
          <w:tab w:val="num" w:pos="720"/>
        </w:tabs>
        <w:ind w:left="720" w:hanging="720"/>
        <w:rPr>
          <w:rFonts w:ascii="Arial" w:hAnsi="Arial" w:cs="Arial"/>
          <w:sz w:val="22"/>
          <w:szCs w:val="22"/>
        </w:rPr>
      </w:pPr>
      <w:r w:rsidRPr="00551E61">
        <w:rPr>
          <w:rFonts w:ascii="Arial" w:hAnsi="Arial" w:cs="Arial"/>
          <w:sz w:val="22"/>
          <w:szCs w:val="22"/>
        </w:rPr>
        <w:t>En la etapa de ejecución</w:t>
      </w:r>
      <w:r w:rsidR="006607FB" w:rsidRPr="00551E61">
        <w:rPr>
          <w:rFonts w:ascii="Arial" w:hAnsi="Arial" w:cs="Arial"/>
          <w:sz w:val="22"/>
          <w:szCs w:val="22"/>
        </w:rPr>
        <w:t xml:space="preserve"> de obra las</w:t>
      </w:r>
      <w:r w:rsidRPr="00551E61">
        <w:rPr>
          <w:rFonts w:ascii="Arial" w:hAnsi="Arial" w:cs="Arial"/>
          <w:sz w:val="22"/>
          <w:szCs w:val="22"/>
        </w:rPr>
        <w:t xml:space="preserve"> terceras partes contratadas con los recursos del programa </w:t>
      </w:r>
      <w:r w:rsidR="006607FB" w:rsidRPr="00551E61">
        <w:rPr>
          <w:rFonts w:ascii="Arial" w:hAnsi="Arial" w:cs="Arial"/>
          <w:sz w:val="22"/>
          <w:szCs w:val="22"/>
        </w:rPr>
        <w:t>por parte del MINTUR adelantará</w:t>
      </w:r>
      <w:r w:rsidRPr="00551E61">
        <w:rPr>
          <w:rFonts w:ascii="Arial" w:hAnsi="Arial" w:cs="Arial"/>
          <w:sz w:val="22"/>
          <w:szCs w:val="22"/>
        </w:rPr>
        <w:t xml:space="preserve">n las obras de </w:t>
      </w:r>
      <w:r w:rsidR="007A6741" w:rsidRPr="00551E61">
        <w:rPr>
          <w:rFonts w:ascii="Arial" w:hAnsi="Arial" w:cs="Arial"/>
          <w:sz w:val="22"/>
          <w:szCs w:val="22"/>
        </w:rPr>
        <w:t>intervención constructiva</w:t>
      </w:r>
      <w:r w:rsidR="00B452D5" w:rsidRPr="00551E61">
        <w:rPr>
          <w:rFonts w:ascii="Arial" w:hAnsi="Arial" w:cs="Arial"/>
          <w:sz w:val="22"/>
          <w:szCs w:val="22"/>
        </w:rPr>
        <w:t xml:space="preserve"> y del proceso de titulación</w:t>
      </w:r>
      <w:r w:rsidR="007A6741" w:rsidRPr="00551E61">
        <w:rPr>
          <w:rFonts w:ascii="Arial" w:hAnsi="Arial" w:cs="Arial"/>
          <w:sz w:val="22"/>
          <w:szCs w:val="22"/>
        </w:rPr>
        <w:t xml:space="preserve"> de a</w:t>
      </w:r>
      <w:r w:rsidR="006607FB" w:rsidRPr="00551E61">
        <w:rPr>
          <w:rFonts w:ascii="Arial" w:hAnsi="Arial" w:cs="Arial"/>
          <w:sz w:val="22"/>
          <w:szCs w:val="22"/>
        </w:rPr>
        <w:t>cuerdo a la propuesta del plan de</w:t>
      </w:r>
      <w:r w:rsidR="007A6741" w:rsidRPr="00551E61">
        <w:rPr>
          <w:rFonts w:ascii="Arial" w:hAnsi="Arial" w:cs="Arial"/>
          <w:sz w:val="22"/>
          <w:szCs w:val="22"/>
        </w:rPr>
        <w:t xml:space="preserve"> mejora realizado durante el levantamiento técnico. </w:t>
      </w:r>
    </w:p>
    <w:p w:rsidR="007A6741" w:rsidRPr="00551E61" w:rsidRDefault="006607FB" w:rsidP="007A6741">
      <w:pPr>
        <w:pStyle w:val="Paragraph"/>
        <w:numPr>
          <w:ilvl w:val="1"/>
          <w:numId w:val="1"/>
        </w:numPr>
        <w:tabs>
          <w:tab w:val="clear" w:pos="2736"/>
          <w:tab w:val="num" w:pos="720"/>
        </w:tabs>
        <w:ind w:left="720" w:hanging="720"/>
        <w:rPr>
          <w:rFonts w:ascii="Arial" w:hAnsi="Arial" w:cs="Arial"/>
          <w:sz w:val="22"/>
          <w:szCs w:val="22"/>
        </w:rPr>
      </w:pPr>
      <w:r w:rsidRPr="00551E61">
        <w:rPr>
          <w:rFonts w:ascii="Arial" w:hAnsi="Arial" w:cs="Arial"/>
          <w:sz w:val="22"/>
          <w:szCs w:val="22"/>
        </w:rPr>
        <w:t xml:space="preserve">En la etapa de supervisión y acompañamiento social, el grupo gestor que realizó los planes de obra trabajara con las familias beneficiadas para verificar su conformidad con el proceso de la obra y con su resultado final. </w:t>
      </w:r>
      <w:r w:rsidR="007A6741" w:rsidRPr="00551E61">
        <w:rPr>
          <w:rFonts w:ascii="Arial" w:hAnsi="Arial" w:cs="Arial"/>
          <w:sz w:val="22"/>
          <w:szCs w:val="22"/>
        </w:rPr>
        <w:t>También se capacitará a las familia</w:t>
      </w:r>
      <w:r w:rsidRPr="00551E61">
        <w:rPr>
          <w:rFonts w:ascii="Arial" w:hAnsi="Arial" w:cs="Arial"/>
          <w:sz w:val="22"/>
          <w:szCs w:val="22"/>
        </w:rPr>
        <w:t>s en educación financiera y en otras habilidades</w:t>
      </w:r>
      <w:r w:rsidR="007A6741" w:rsidRPr="00551E61">
        <w:rPr>
          <w:rFonts w:ascii="Arial" w:hAnsi="Arial" w:cs="Arial"/>
          <w:sz w:val="22"/>
          <w:szCs w:val="22"/>
        </w:rPr>
        <w:t xml:space="preserve"> </w:t>
      </w:r>
      <w:r w:rsidRPr="00551E61">
        <w:rPr>
          <w:rFonts w:ascii="Arial" w:hAnsi="Arial" w:cs="Arial"/>
          <w:sz w:val="22"/>
          <w:szCs w:val="22"/>
        </w:rPr>
        <w:t xml:space="preserve">relevantes con el fin de </w:t>
      </w:r>
      <w:r w:rsidR="007A6741" w:rsidRPr="00551E61">
        <w:rPr>
          <w:rFonts w:ascii="Arial" w:hAnsi="Arial" w:cs="Arial"/>
          <w:sz w:val="22"/>
          <w:szCs w:val="22"/>
        </w:rPr>
        <w:t>empoderarles en el proceso</w:t>
      </w:r>
      <w:r w:rsidR="009D4E13" w:rsidRPr="00551E61">
        <w:rPr>
          <w:rStyle w:val="FootnoteReference"/>
          <w:rFonts w:ascii="Arial" w:hAnsi="Arial" w:cs="Arial"/>
          <w:sz w:val="22"/>
          <w:szCs w:val="22"/>
        </w:rPr>
        <w:footnoteReference w:id="17"/>
      </w:r>
      <w:r w:rsidR="007A6741" w:rsidRPr="00551E61">
        <w:rPr>
          <w:rFonts w:ascii="Arial" w:hAnsi="Arial" w:cs="Arial"/>
          <w:sz w:val="22"/>
          <w:szCs w:val="22"/>
        </w:rPr>
        <w:t xml:space="preserve">. </w:t>
      </w:r>
    </w:p>
    <w:p w:rsidR="002167E6" w:rsidRPr="00551E61" w:rsidRDefault="002167E6" w:rsidP="003B654F">
      <w:pPr>
        <w:pStyle w:val="Paragraph"/>
        <w:numPr>
          <w:ilvl w:val="1"/>
          <w:numId w:val="1"/>
        </w:numPr>
        <w:tabs>
          <w:tab w:val="clear" w:pos="2736"/>
          <w:tab w:val="num" w:pos="720"/>
        </w:tabs>
        <w:ind w:left="720" w:hanging="720"/>
        <w:rPr>
          <w:rFonts w:ascii="Arial" w:hAnsi="Arial" w:cs="Arial"/>
          <w:sz w:val="22"/>
          <w:szCs w:val="22"/>
        </w:rPr>
      </w:pPr>
      <w:r w:rsidRPr="00551E61">
        <w:rPr>
          <w:rFonts w:ascii="Arial" w:hAnsi="Arial" w:cs="Arial"/>
          <w:sz w:val="22"/>
          <w:szCs w:val="22"/>
        </w:rPr>
        <w:t>Como se introdujo anteriormente</w:t>
      </w:r>
      <w:r w:rsidR="005317E4" w:rsidRPr="00551E61">
        <w:rPr>
          <w:rFonts w:ascii="Arial" w:hAnsi="Arial" w:cs="Arial"/>
          <w:sz w:val="22"/>
          <w:szCs w:val="22"/>
        </w:rPr>
        <w:t>,</w:t>
      </w:r>
      <w:r w:rsidRPr="00551E61">
        <w:rPr>
          <w:rFonts w:ascii="Arial" w:hAnsi="Arial" w:cs="Arial"/>
          <w:sz w:val="22"/>
          <w:szCs w:val="22"/>
        </w:rPr>
        <w:t xml:space="preserve"> el levantamiento incluirá la verificación de la legalidad de la tenencia. Las reglas de operación definirán las condiciones específicas de titularidad que se tomarán en cuenta como condición de elegibilidad de los beneficiarios de acuerdo a la normativa del Banco</w:t>
      </w:r>
      <w:r w:rsidR="003B654F" w:rsidRPr="00551E61">
        <w:rPr>
          <w:rStyle w:val="FootnoteReference"/>
          <w:rFonts w:ascii="Arial" w:hAnsi="Arial" w:cs="Arial"/>
          <w:sz w:val="22"/>
          <w:szCs w:val="22"/>
        </w:rPr>
        <w:footnoteReference w:id="18"/>
      </w:r>
      <w:r w:rsidRPr="00551E61">
        <w:rPr>
          <w:rFonts w:ascii="Arial" w:hAnsi="Arial" w:cs="Arial"/>
          <w:sz w:val="22"/>
          <w:szCs w:val="22"/>
        </w:rPr>
        <w:t xml:space="preserve">. </w:t>
      </w:r>
      <w:r w:rsidR="003B654F" w:rsidRPr="00551E61">
        <w:rPr>
          <w:rFonts w:ascii="Arial" w:hAnsi="Arial" w:cs="Arial"/>
          <w:sz w:val="22"/>
          <w:szCs w:val="22"/>
        </w:rPr>
        <w:t xml:space="preserve">El grupo </w:t>
      </w:r>
      <w:r w:rsidR="005C171A" w:rsidRPr="00551E61">
        <w:rPr>
          <w:rFonts w:ascii="Arial" w:hAnsi="Arial" w:cs="Arial"/>
          <w:sz w:val="22"/>
          <w:szCs w:val="22"/>
        </w:rPr>
        <w:t xml:space="preserve">gestor </w:t>
      </w:r>
      <w:r w:rsidR="003B654F" w:rsidRPr="00551E61">
        <w:rPr>
          <w:rFonts w:ascii="Arial" w:hAnsi="Arial" w:cs="Arial"/>
          <w:sz w:val="22"/>
          <w:szCs w:val="22"/>
        </w:rPr>
        <w:t xml:space="preserve">asesorará a los beneficiarios en la obtención de </w:t>
      </w:r>
      <w:r w:rsidR="005C171A" w:rsidRPr="00551E61">
        <w:rPr>
          <w:rFonts w:ascii="Arial" w:hAnsi="Arial" w:cs="Arial"/>
          <w:sz w:val="22"/>
          <w:szCs w:val="22"/>
        </w:rPr>
        <w:t>la</w:t>
      </w:r>
      <w:r w:rsidR="003B654F" w:rsidRPr="00551E61">
        <w:rPr>
          <w:rFonts w:ascii="Arial" w:hAnsi="Arial" w:cs="Arial"/>
          <w:sz w:val="22"/>
          <w:szCs w:val="22"/>
        </w:rPr>
        <w:t xml:space="preserve">s pruebas </w:t>
      </w:r>
      <w:r w:rsidR="00F600C7" w:rsidRPr="00551E61">
        <w:rPr>
          <w:rFonts w:ascii="Arial" w:hAnsi="Arial" w:cs="Arial"/>
          <w:sz w:val="22"/>
          <w:szCs w:val="22"/>
        </w:rPr>
        <w:t>de propiedad e incluso</w:t>
      </w:r>
      <w:r w:rsidR="008C507E" w:rsidRPr="00551E61">
        <w:rPr>
          <w:rFonts w:ascii="Arial" w:hAnsi="Arial" w:cs="Arial"/>
          <w:sz w:val="22"/>
          <w:szCs w:val="22"/>
        </w:rPr>
        <w:t xml:space="preserve"> definirá junto a la familia si</w:t>
      </w:r>
      <w:r w:rsidR="005C171A" w:rsidRPr="00551E61">
        <w:rPr>
          <w:rFonts w:ascii="Arial" w:hAnsi="Arial" w:cs="Arial"/>
          <w:sz w:val="22"/>
          <w:szCs w:val="22"/>
        </w:rPr>
        <w:t xml:space="preserve"> el proceso de titulación </w:t>
      </w:r>
      <w:r w:rsidR="008C507E" w:rsidRPr="00551E61">
        <w:rPr>
          <w:rFonts w:ascii="Arial" w:hAnsi="Arial" w:cs="Arial"/>
          <w:sz w:val="22"/>
          <w:szCs w:val="22"/>
        </w:rPr>
        <w:t>se incluye como parte del plan de intervención de la vivienda</w:t>
      </w:r>
      <w:r w:rsidR="005C171A" w:rsidRPr="00551E61">
        <w:rPr>
          <w:rFonts w:ascii="Arial" w:hAnsi="Arial" w:cs="Arial"/>
          <w:sz w:val="22"/>
          <w:szCs w:val="22"/>
        </w:rPr>
        <w:t>. En casos en que el ocupante sea un inquilino</w:t>
      </w:r>
      <w:r w:rsidR="00F600C7" w:rsidRPr="00551E61">
        <w:rPr>
          <w:rFonts w:ascii="Arial" w:hAnsi="Arial" w:cs="Arial"/>
          <w:sz w:val="22"/>
          <w:szCs w:val="22"/>
        </w:rPr>
        <w:t>,</w:t>
      </w:r>
      <w:r w:rsidR="005C171A" w:rsidRPr="00551E61">
        <w:rPr>
          <w:rFonts w:ascii="Arial" w:hAnsi="Arial" w:cs="Arial"/>
          <w:sz w:val="22"/>
          <w:szCs w:val="22"/>
        </w:rPr>
        <w:t xml:space="preserve"> el grupo gestor</w:t>
      </w:r>
      <w:r w:rsidR="003B654F" w:rsidRPr="00551E61">
        <w:rPr>
          <w:rFonts w:ascii="Arial" w:hAnsi="Arial" w:cs="Arial"/>
          <w:sz w:val="22"/>
          <w:szCs w:val="22"/>
        </w:rPr>
        <w:t xml:space="preserve"> </w:t>
      </w:r>
      <w:r w:rsidR="005C171A" w:rsidRPr="00551E61">
        <w:rPr>
          <w:rFonts w:ascii="Arial" w:hAnsi="Arial" w:cs="Arial"/>
          <w:sz w:val="22"/>
          <w:szCs w:val="22"/>
        </w:rPr>
        <w:t>hará</w:t>
      </w:r>
      <w:r w:rsidR="003B654F" w:rsidRPr="00551E61">
        <w:rPr>
          <w:rFonts w:ascii="Arial" w:hAnsi="Arial" w:cs="Arial"/>
          <w:sz w:val="22"/>
          <w:szCs w:val="22"/>
        </w:rPr>
        <w:t xml:space="preserve"> el trabajo social con ocupantes</w:t>
      </w:r>
      <w:r w:rsidR="005C171A" w:rsidRPr="00551E61">
        <w:rPr>
          <w:rFonts w:ascii="Arial" w:hAnsi="Arial" w:cs="Arial"/>
          <w:sz w:val="22"/>
          <w:szCs w:val="22"/>
        </w:rPr>
        <w:t xml:space="preserve"> y propietarios para viabilizar la intervención.</w:t>
      </w:r>
      <w:r w:rsidR="00167037" w:rsidRPr="00551E61">
        <w:rPr>
          <w:rFonts w:ascii="Arial" w:hAnsi="Arial" w:cs="Arial"/>
          <w:sz w:val="22"/>
          <w:szCs w:val="22"/>
        </w:rPr>
        <w:t xml:space="preserve"> En caso de que no se pueda establecer al propi</w:t>
      </w:r>
      <w:r w:rsidR="00F600C7" w:rsidRPr="00551E61">
        <w:rPr>
          <w:rFonts w:ascii="Arial" w:hAnsi="Arial" w:cs="Arial"/>
          <w:sz w:val="22"/>
          <w:szCs w:val="22"/>
        </w:rPr>
        <w:t>etario del inmueble se explorará</w:t>
      </w:r>
      <w:r w:rsidR="00167037" w:rsidRPr="00551E61">
        <w:rPr>
          <w:rFonts w:ascii="Arial" w:hAnsi="Arial" w:cs="Arial"/>
          <w:sz w:val="22"/>
          <w:szCs w:val="22"/>
        </w:rPr>
        <w:t>n otras alternativas como la constitución de cooperativas para la parte de los servicios.</w:t>
      </w:r>
    </w:p>
    <w:p w:rsidR="005F7BC7" w:rsidRPr="00551E61" w:rsidRDefault="001C2214" w:rsidP="001C2214">
      <w:pPr>
        <w:pStyle w:val="Paragraph"/>
        <w:numPr>
          <w:ilvl w:val="1"/>
          <w:numId w:val="1"/>
        </w:numPr>
        <w:tabs>
          <w:tab w:val="clear" w:pos="2736"/>
          <w:tab w:val="num" w:pos="720"/>
        </w:tabs>
        <w:ind w:left="720" w:hanging="720"/>
        <w:rPr>
          <w:rFonts w:ascii="Arial" w:hAnsi="Arial" w:cs="Arial"/>
          <w:sz w:val="22"/>
          <w:szCs w:val="22"/>
        </w:rPr>
      </w:pPr>
      <w:r w:rsidRPr="00551E61">
        <w:rPr>
          <w:rFonts w:ascii="Arial" w:hAnsi="Arial" w:cs="Arial"/>
          <w:sz w:val="22"/>
          <w:szCs w:val="22"/>
        </w:rPr>
        <w:t xml:space="preserve">Los tipos de mejora a ser financiados por parte de la operación serán definidos previamente de acuerdo a unas reglas operativas y podrán incluir </w:t>
      </w:r>
      <w:r w:rsidR="00F600C7" w:rsidRPr="00551E61">
        <w:rPr>
          <w:rFonts w:ascii="Arial" w:hAnsi="Arial" w:cs="Arial"/>
          <w:sz w:val="22"/>
          <w:szCs w:val="22"/>
        </w:rPr>
        <w:t>el proceso de titulación</w:t>
      </w:r>
      <w:r w:rsidR="00782C27" w:rsidRPr="00551E61">
        <w:rPr>
          <w:rFonts w:ascii="Arial" w:hAnsi="Arial" w:cs="Arial"/>
          <w:sz w:val="22"/>
          <w:szCs w:val="22"/>
        </w:rPr>
        <w:t>,</w:t>
      </w:r>
      <w:r w:rsidR="00F600C7" w:rsidRPr="00551E61">
        <w:rPr>
          <w:rFonts w:ascii="Arial" w:hAnsi="Arial" w:cs="Arial"/>
          <w:sz w:val="22"/>
          <w:szCs w:val="22"/>
        </w:rPr>
        <w:t xml:space="preserve"> cuando aplique</w:t>
      </w:r>
      <w:r w:rsidR="00782C27" w:rsidRPr="00551E61">
        <w:rPr>
          <w:rFonts w:ascii="Arial" w:hAnsi="Arial" w:cs="Arial"/>
          <w:sz w:val="22"/>
          <w:szCs w:val="22"/>
        </w:rPr>
        <w:t>,</w:t>
      </w:r>
      <w:r w:rsidR="00F600C7" w:rsidRPr="00551E61">
        <w:rPr>
          <w:rFonts w:ascii="Arial" w:hAnsi="Arial" w:cs="Arial"/>
          <w:sz w:val="22"/>
          <w:szCs w:val="22"/>
        </w:rPr>
        <w:t xml:space="preserve"> así como </w:t>
      </w:r>
      <w:r w:rsidR="00782C27" w:rsidRPr="00551E61">
        <w:rPr>
          <w:rFonts w:ascii="Arial" w:hAnsi="Arial" w:cs="Arial"/>
          <w:sz w:val="22"/>
          <w:szCs w:val="22"/>
        </w:rPr>
        <w:t>mejoras mayores del tipo de</w:t>
      </w:r>
      <w:r w:rsidRPr="00551E61">
        <w:rPr>
          <w:rFonts w:ascii="Arial" w:hAnsi="Arial" w:cs="Arial"/>
          <w:sz w:val="22"/>
          <w:szCs w:val="22"/>
        </w:rPr>
        <w:t xml:space="preserve"> instalaciones eléctricas, paredes, muros, baños, dormitorios, techo de losa (plato), cocina, y elementos estructurales</w:t>
      </w:r>
      <w:r w:rsidR="007A6741" w:rsidRPr="00551E61">
        <w:rPr>
          <w:rFonts w:ascii="Arial" w:hAnsi="Arial" w:cs="Arial"/>
          <w:sz w:val="22"/>
          <w:szCs w:val="22"/>
        </w:rPr>
        <w:t xml:space="preserve"> entre otros. También podría incluir</w:t>
      </w:r>
      <w:r w:rsidRPr="00551E61">
        <w:rPr>
          <w:rFonts w:ascii="Arial" w:hAnsi="Arial" w:cs="Arial"/>
          <w:sz w:val="22"/>
          <w:szCs w:val="22"/>
        </w:rPr>
        <w:t xml:space="preserve"> mejoras menores como</w:t>
      </w:r>
      <w:r w:rsidR="007A6741" w:rsidRPr="00551E61">
        <w:rPr>
          <w:rFonts w:ascii="Arial" w:hAnsi="Arial" w:cs="Arial"/>
          <w:sz w:val="22"/>
          <w:szCs w:val="22"/>
        </w:rPr>
        <w:t>:</w:t>
      </w:r>
      <w:r w:rsidRPr="00551E61">
        <w:rPr>
          <w:rFonts w:ascii="Arial" w:hAnsi="Arial" w:cs="Arial"/>
          <w:sz w:val="22"/>
          <w:szCs w:val="22"/>
        </w:rPr>
        <w:t xml:space="preserve"> </w:t>
      </w:r>
      <w:r w:rsidR="007A6741" w:rsidRPr="00551E61">
        <w:rPr>
          <w:rFonts w:ascii="Arial" w:hAnsi="Arial" w:cs="Arial"/>
          <w:sz w:val="22"/>
          <w:szCs w:val="22"/>
        </w:rPr>
        <w:t>pisos de c</w:t>
      </w:r>
      <w:r w:rsidRPr="00551E61">
        <w:rPr>
          <w:rFonts w:ascii="Arial" w:hAnsi="Arial" w:cs="Arial"/>
          <w:sz w:val="22"/>
          <w:szCs w:val="22"/>
        </w:rPr>
        <w:t>oncreto</w:t>
      </w:r>
      <w:r w:rsidR="007A6741" w:rsidRPr="00551E61">
        <w:rPr>
          <w:rFonts w:ascii="Arial" w:hAnsi="Arial" w:cs="Arial"/>
          <w:sz w:val="22"/>
          <w:szCs w:val="22"/>
        </w:rPr>
        <w:t>, pisos de c</w:t>
      </w:r>
      <w:r w:rsidRPr="00551E61">
        <w:rPr>
          <w:rFonts w:ascii="Arial" w:hAnsi="Arial" w:cs="Arial"/>
          <w:sz w:val="22"/>
          <w:szCs w:val="22"/>
        </w:rPr>
        <w:t>erámica</w:t>
      </w:r>
      <w:r w:rsidR="007A6741" w:rsidRPr="00551E61">
        <w:rPr>
          <w:rFonts w:ascii="Arial" w:hAnsi="Arial" w:cs="Arial"/>
          <w:sz w:val="22"/>
          <w:szCs w:val="22"/>
        </w:rPr>
        <w:t>, p</w:t>
      </w:r>
      <w:r w:rsidRPr="00551E61">
        <w:rPr>
          <w:rFonts w:ascii="Arial" w:hAnsi="Arial" w:cs="Arial"/>
          <w:sz w:val="22"/>
          <w:szCs w:val="22"/>
        </w:rPr>
        <w:t>añete y cerámica en baño</w:t>
      </w:r>
      <w:r w:rsidR="007A6741" w:rsidRPr="00551E61">
        <w:rPr>
          <w:rFonts w:ascii="Arial" w:hAnsi="Arial" w:cs="Arial"/>
          <w:sz w:val="22"/>
          <w:szCs w:val="22"/>
        </w:rPr>
        <w:t>, p</w:t>
      </w:r>
      <w:r w:rsidRPr="00551E61">
        <w:rPr>
          <w:rFonts w:ascii="Arial" w:hAnsi="Arial" w:cs="Arial"/>
          <w:sz w:val="22"/>
          <w:szCs w:val="22"/>
        </w:rPr>
        <w:t>uertas y ventanas</w:t>
      </w:r>
      <w:r w:rsidR="007A6741" w:rsidRPr="00551E61">
        <w:rPr>
          <w:rFonts w:ascii="Arial" w:hAnsi="Arial" w:cs="Arial"/>
          <w:sz w:val="22"/>
          <w:szCs w:val="22"/>
        </w:rPr>
        <w:t>, p</w:t>
      </w:r>
      <w:r w:rsidRPr="00551E61">
        <w:rPr>
          <w:rFonts w:ascii="Arial" w:hAnsi="Arial" w:cs="Arial"/>
          <w:sz w:val="22"/>
          <w:szCs w:val="22"/>
        </w:rPr>
        <w:t>lafón</w:t>
      </w:r>
      <w:r w:rsidR="007A6741" w:rsidRPr="00551E61">
        <w:rPr>
          <w:rFonts w:ascii="Arial" w:hAnsi="Arial" w:cs="Arial"/>
          <w:sz w:val="22"/>
          <w:szCs w:val="22"/>
        </w:rPr>
        <w:t>,</w:t>
      </w:r>
      <w:r w:rsidRPr="00551E61">
        <w:rPr>
          <w:rFonts w:ascii="Arial" w:hAnsi="Arial" w:cs="Arial"/>
          <w:sz w:val="22"/>
          <w:szCs w:val="22"/>
        </w:rPr>
        <w:t xml:space="preserve"> </w:t>
      </w:r>
      <w:r w:rsidR="007A6741" w:rsidRPr="00551E61">
        <w:rPr>
          <w:rFonts w:ascii="Arial" w:hAnsi="Arial" w:cs="Arial"/>
          <w:sz w:val="22"/>
          <w:szCs w:val="22"/>
        </w:rPr>
        <w:t>t</w:t>
      </w:r>
      <w:r w:rsidRPr="00551E61">
        <w:rPr>
          <w:rFonts w:ascii="Arial" w:hAnsi="Arial" w:cs="Arial"/>
          <w:sz w:val="22"/>
          <w:szCs w:val="22"/>
        </w:rPr>
        <w:t>echo de zinc (liviano)</w:t>
      </w:r>
      <w:r w:rsidR="007A6741" w:rsidRPr="00551E61">
        <w:rPr>
          <w:rFonts w:ascii="Arial" w:hAnsi="Arial" w:cs="Arial"/>
          <w:sz w:val="22"/>
          <w:szCs w:val="22"/>
        </w:rPr>
        <w:t>,</w:t>
      </w:r>
      <w:r w:rsidRPr="00551E61">
        <w:rPr>
          <w:rFonts w:ascii="Arial" w:hAnsi="Arial" w:cs="Arial"/>
          <w:sz w:val="22"/>
          <w:szCs w:val="22"/>
        </w:rPr>
        <w:t xml:space="preserve"> </w:t>
      </w:r>
      <w:r w:rsidR="007A6741" w:rsidRPr="00551E61">
        <w:rPr>
          <w:rFonts w:ascii="Arial" w:hAnsi="Arial" w:cs="Arial"/>
          <w:sz w:val="22"/>
          <w:szCs w:val="22"/>
        </w:rPr>
        <w:t>i</w:t>
      </w:r>
      <w:r w:rsidRPr="00551E61">
        <w:rPr>
          <w:rFonts w:ascii="Arial" w:hAnsi="Arial" w:cs="Arial"/>
          <w:sz w:val="22"/>
          <w:szCs w:val="22"/>
        </w:rPr>
        <w:t>nstalaciones de agua potable</w:t>
      </w:r>
      <w:r w:rsidR="005317E4" w:rsidRPr="00551E61">
        <w:rPr>
          <w:rFonts w:ascii="Arial" w:hAnsi="Arial" w:cs="Arial"/>
          <w:sz w:val="22"/>
          <w:szCs w:val="22"/>
        </w:rPr>
        <w:t xml:space="preserve">, </w:t>
      </w:r>
      <w:r w:rsidRPr="00551E61">
        <w:rPr>
          <w:rFonts w:ascii="Arial" w:hAnsi="Arial" w:cs="Arial"/>
          <w:sz w:val="22"/>
          <w:szCs w:val="22"/>
        </w:rPr>
        <w:t>conexiones sanitarias</w:t>
      </w:r>
      <w:r w:rsidR="007A6741" w:rsidRPr="00551E61">
        <w:rPr>
          <w:rFonts w:ascii="Arial" w:hAnsi="Arial" w:cs="Arial"/>
          <w:sz w:val="22"/>
          <w:szCs w:val="22"/>
        </w:rPr>
        <w:t>, verjas o r</w:t>
      </w:r>
      <w:r w:rsidRPr="00551E61">
        <w:rPr>
          <w:rFonts w:ascii="Arial" w:hAnsi="Arial" w:cs="Arial"/>
          <w:sz w:val="22"/>
          <w:szCs w:val="22"/>
        </w:rPr>
        <w:t>ejas</w:t>
      </w:r>
      <w:r w:rsidR="007A6741" w:rsidRPr="00551E61">
        <w:rPr>
          <w:rFonts w:ascii="Arial" w:hAnsi="Arial" w:cs="Arial"/>
          <w:sz w:val="22"/>
          <w:szCs w:val="22"/>
        </w:rPr>
        <w:t>, p</w:t>
      </w:r>
      <w:r w:rsidRPr="00551E61">
        <w:rPr>
          <w:rFonts w:ascii="Arial" w:hAnsi="Arial" w:cs="Arial"/>
          <w:sz w:val="22"/>
          <w:szCs w:val="22"/>
        </w:rPr>
        <w:t>intura</w:t>
      </w:r>
      <w:r w:rsidR="007A6741" w:rsidRPr="00551E61">
        <w:rPr>
          <w:rFonts w:ascii="Arial" w:hAnsi="Arial" w:cs="Arial"/>
          <w:sz w:val="22"/>
          <w:szCs w:val="22"/>
        </w:rPr>
        <w:t xml:space="preserve"> y l</w:t>
      </w:r>
      <w:r w:rsidRPr="00551E61">
        <w:rPr>
          <w:rFonts w:ascii="Arial" w:hAnsi="Arial" w:cs="Arial"/>
          <w:sz w:val="22"/>
          <w:szCs w:val="22"/>
        </w:rPr>
        <w:t>avadero</w:t>
      </w:r>
      <w:r w:rsidR="007A6741" w:rsidRPr="00551E61">
        <w:rPr>
          <w:rFonts w:ascii="Arial" w:hAnsi="Arial" w:cs="Arial"/>
          <w:sz w:val="22"/>
          <w:szCs w:val="22"/>
        </w:rPr>
        <w:t xml:space="preserve"> entre otros</w:t>
      </w:r>
      <w:r w:rsidR="007A6741" w:rsidRPr="00551E61">
        <w:rPr>
          <w:rStyle w:val="FootnoteReference"/>
          <w:rFonts w:ascii="Arial" w:hAnsi="Arial" w:cs="Arial"/>
          <w:sz w:val="22"/>
          <w:szCs w:val="22"/>
        </w:rPr>
        <w:footnoteReference w:id="19"/>
      </w:r>
      <w:r w:rsidR="007A6741" w:rsidRPr="00551E61">
        <w:rPr>
          <w:rFonts w:ascii="Arial" w:hAnsi="Arial" w:cs="Arial"/>
          <w:sz w:val="22"/>
          <w:szCs w:val="22"/>
        </w:rPr>
        <w:t>.</w:t>
      </w:r>
    </w:p>
    <w:p w:rsidR="00782C27" w:rsidRPr="00551E61" w:rsidRDefault="00422447" w:rsidP="00782C27">
      <w:pPr>
        <w:pStyle w:val="Paragraph"/>
        <w:numPr>
          <w:ilvl w:val="1"/>
          <w:numId w:val="1"/>
        </w:numPr>
        <w:tabs>
          <w:tab w:val="clear" w:pos="2736"/>
          <w:tab w:val="num" w:pos="720"/>
        </w:tabs>
        <w:ind w:left="720" w:hanging="720"/>
        <w:rPr>
          <w:rFonts w:ascii="Arial" w:hAnsi="Arial" w:cs="Arial"/>
          <w:sz w:val="22"/>
          <w:szCs w:val="22"/>
        </w:rPr>
      </w:pPr>
      <w:r w:rsidRPr="00551E61">
        <w:rPr>
          <w:rFonts w:ascii="Arial" w:hAnsi="Arial" w:cs="Arial"/>
          <w:sz w:val="22"/>
          <w:szCs w:val="22"/>
        </w:rPr>
        <w:lastRenderedPageBreak/>
        <w:t>El programa</w:t>
      </w:r>
      <w:r w:rsidR="00752B8D" w:rsidRPr="00551E61">
        <w:rPr>
          <w:rFonts w:ascii="Arial" w:hAnsi="Arial" w:cs="Arial"/>
          <w:sz w:val="22"/>
          <w:szCs w:val="22"/>
        </w:rPr>
        <w:t xml:space="preserve"> dispondrá de un subsidio promedio</w:t>
      </w:r>
      <w:r w:rsidRPr="00551E61">
        <w:rPr>
          <w:rFonts w:ascii="Arial" w:hAnsi="Arial" w:cs="Arial"/>
          <w:sz w:val="22"/>
          <w:szCs w:val="22"/>
        </w:rPr>
        <w:t xml:space="preserve"> por familia igual a US</w:t>
      </w:r>
      <w:r w:rsidR="00782C27" w:rsidRPr="00551E61">
        <w:rPr>
          <w:rFonts w:ascii="Arial" w:hAnsi="Arial" w:cs="Arial"/>
          <w:sz w:val="22"/>
          <w:szCs w:val="22"/>
        </w:rPr>
        <w:t>$ 6,500. Este valor ha sido definido en función de varios criterios. En primer lugar, el costo total que un proyecto de mejoramiento de vivienda podría alcanzar. De acuerdo a Hábitat para la Humanidad</w:t>
      </w:r>
      <w:r w:rsidR="009D4E13" w:rsidRPr="00551E61">
        <w:rPr>
          <w:rFonts w:ascii="Arial" w:hAnsi="Arial" w:cs="Arial"/>
          <w:sz w:val="22"/>
          <w:szCs w:val="22"/>
        </w:rPr>
        <w:t xml:space="preserve"> en Repú</w:t>
      </w:r>
      <w:r w:rsidR="00782C27" w:rsidRPr="00551E61">
        <w:rPr>
          <w:rFonts w:ascii="Arial" w:hAnsi="Arial" w:cs="Arial"/>
          <w:sz w:val="22"/>
          <w:szCs w:val="22"/>
        </w:rPr>
        <w:t xml:space="preserve">blica Dominicana, el costo de una intervención que incluya piso, pañete, pintura, losa, paredes, y zonas húmedas podría </w:t>
      </w:r>
      <w:r w:rsidR="00551E61">
        <w:rPr>
          <w:rFonts w:ascii="Arial" w:hAnsi="Arial" w:cs="Arial"/>
          <w:sz w:val="22"/>
          <w:szCs w:val="22"/>
        </w:rPr>
        <w:t>estar en el orden de los US$13.</w:t>
      </w:r>
      <w:r w:rsidR="00782C27" w:rsidRPr="00551E61">
        <w:rPr>
          <w:rFonts w:ascii="Arial" w:hAnsi="Arial" w:cs="Arial"/>
          <w:sz w:val="22"/>
          <w:szCs w:val="22"/>
        </w:rPr>
        <w:t>000</w:t>
      </w:r>
      <w:r w:rsidR="000F1E01" w:rsidRPr="00551E61">
        <w:rPr>
          <w:rFonts w:ascii="Arial" w:hAnsi="Arial" w:cs="Arial"/>
          <w:sz w:val="22"/>
          <w:szCs w:val="22"/>
        </w:rPr>
        <w:t xml:space="preserve"> (ver tabla 5)</w:t>
      </w:r>
      <w:r w:rsidR="00782C27" w:rsidRPr="00551E61">
        <w:rPr>
          <w:rFonts w:ascii="Arial" w:hAnsi="Arial" w:cs="Arial"/>
          <w:sz w:val="22"/>
          <w:szCs w:val="22"/>
        </w:rPr>
        <w:t>. Considerando que el subsidio debería cubrir las problemáticas más urgentes</w:t>
      </w:r>
      <w:r w:rsidR="005317E4" w:rsidRPr="00551E61">
        <w:rPr>
          <w:rFonts w:ascii="Arial" w:hAnsi="Arial" w:cs="Arial"/>
          <w:sz w:val="22"/>
          <w:szCs w:val="22"/>
        </w:rPr>
        <w:t>,</w:t>
      </w:r>
      <w:r w:rsidR="00782C27" w:rsidRPr="00551E61">
        <w:rPr>
          <w:rFonts w:ascii="Arial" w:hAnsi="Arial" w:cs="Arial"/>
          <w:sz w:val="22"/>
          <w:szCs w:val="22"/>
        </w:rPr>
        <w:t xml:space="preserve"> el valor se ha calculado como una fracción de este monto. Adicionalmente, el valor de US$ 6,500 es el promedio del microcrédito típico que una institución como el Banco ADEMI otorga para mejoras de vivienda </w:t>
      </w:r>
      <w:r w:rsidR="000F1E01" w:rsidRPr="00551E61">
        <w:rPr>
          <w:rFonts w:ascii="Arial" w:hAnsi="Arial" w:cs="Arial"/>
          <w:sz w:val="22"/>
          <w:szCs w:val="22"/>
        </w:rPr>
        <w:t xml:space="preserve">en las zonas urbanas del país. </w:t>
      </w:r>
      <w:r w:rsidR="007D32FC" w:rsidRPr="00551E61">
        <w:rPr>
          <w:rFonts w:ascii="Arial" w:hAnsi="Arial" w:cs="Arial"/>
          <w:sz w:val="22"/>
          <w:szCs w:val="22"/>
        </w:rPr>
        <w:t>Por otro lado, el valor se sitúa en</w:t>
      </w:r>
      <w:r w:rsidR="005317E4" w:rsidRPr="00551E61">
        <w:rPr>
          <w:rFonts w:ascii="Arial" w:hAnsi="Arial" w:cs="Arial"/>
          <w:sz w:val="22"/>
          <w:szCs w:val="22"/>
        </w:rPr>
        <w:t xml:space="preserve"> el rango promedio de </w:t>
      </w:r>
      <w:r w:rsidR="007D32FC" w:rsidRPr="00551E61">
        <w:rPr>
          <w:rFonts w:ascii="Arial" w:hAnsi="Arial" w:cs="Arial"/>
          <w:sz w:val="22"/>
          <w:szCs w:val="22"/>
        </w:rPr>
        <w:t>otros program</w:t>
      </w:r>
      <w:r w:rsidR="00446DFD" w:rsidRPr="00551E61">
        <w:rPr>
          <w:rFonts w:ascii="Arial" w:hAnsi="Arial" w:cs="Arial"/>
          <w:sz w:val="22"/>
          <w:szCs w:val="22"/>
        </w:rPr>
        <w:t>as de este tipo como es el caso</w:t>
      </w:r>
      <w:r w:rsidR="007D32FC" w:rsidRPr="00551E61">
        <w:rPr>
          <w:rFonts w:ascii="Arial" w:hAnsi="Arial" w:cs="Arial"/>
          <w:sz w:val="22"/>
          <w:szCs w:val="22"/>
        </w:rPr>
        <w:t xml:space="preserve"> </w:t>
      </w:r>
      <w:r w:rsidR="00446DFD" w:rsidRPr="00551E61">
        <w:rPr>
          <w:rFonts w:ascii="Arial" w:hAnsi="Arial" w:cs="Arial"/>
          <w:sz w:val="22"/>
          <w:szCs w:val="22"/>
        </w:rPr>
        <w:t xml:space="preserve">de </w:t>
      </w:r>
      <w:r w:rsidR="007D32FC" w:rsidRPr="00551E61">
        <w:rPr>
          <w:rFonts w:ascii="Arial" w:hAnsi="Arial" w:cs="Arial"/>
          <w:sz w:val="22"/>
          <w:szCs w:val="22"/>
        </w:rPr>
        <w:t>‘Pon a punto tu casa’ de Quito, Ecuador el cual realizó inversiones en 86 inmuebles, 352 viviendas y 24 locales del centro h</w:t>
      </w:r>
      <w:r w:rsidR="00551E61">
        <w:rPr>
          <w:rFonts w:ascii="Arial" w:hAnsi="Arial" w:cs="Arial"/>
          <w:sz w:val="22"/>
          <w:szCs w:val="22"/>
        </w:rPr>
        <w:t>istórico por un promedio de US$6.</w:t>
      </w:r>
      <w:r w:rsidR="007D32FC" w:rsidRPr="00551E61">
        <w:rPr>
          <w:rFonts w:ascii="Arial" w:hAnsi="Arial" w:cs="Arial"/>
          <w:sz w:val="22"/>
          <w:szCs w:val="22"/>
        </w:rPr>
        <w:t xml:space="preserve">436 (Carrion, 2015). Por otro lado, de acuerdo a </w:t>
      </w:r>
      <w:r w:rsidR="009A585C" w:rsidRPr="00551E61">
        <w:rPr>
          <w:rFonts w:ascii="Arial" w:hAnsi="Arial" w:cs="Arial"/>
          <w:sz w:val="22"/>
          <w:szCs w:val="22"/>
        </w:rPr>
        <w:t xml:space="preserve">los </w:t>
      </w:r>
      <w:r w:rsidR="007D32FC" w:rsidRPr="00551E61">
        <w:rPr>
          <w:rFonts w:ascii="Arial" w:hAnsi="Arial" w:cs="Arial"/>
          <w:sz w:val="22"/>
          <w:szCs w:val="22"/>
        </w:rPr>
        <w:t xml:space="preserve">expertos consultados </w:t>
      </w:r>
      <w:r w:rsidR="00B452D5" w:rsidRPr="00551E61">
        <w:rPr>
          <w:rFonts w:ascii="Arial" w:hAnsi="Arial" w:cs="Arial"/>
          <w:sz w:val="22"/>
          <w:szCs w:val="22"/>
        </w:rPr>
        <w:t>solamente el</w:t>
      </w:r>
      <w:r w:rsidR="007D32FC" w:rsidRPr="00551E61">
        <w:rPr>
          <w:rFonts w:ascii="Arial" w:hAnsi="Arial" w:cs="Arial"/>
          <w:sz w:val="22"/>
          <w:szCs w:val="22"/>
        </w:rPr>
        <w:t xml:space="preserve"> proceso de titulación podría tener un costo de</w:t>
      </w:r>
      <w:r w:rsidR="00B452D5" w:rsidRPr="00551E61">
        <w:rPr>
          <w:rFonts w:ascii="Arial" w:hAnsi="Arial" w:cs="Arial"/>
          <w:sz w:val="22"/>
          <w:szCs w:val="22"/>
        </w:rPr>
        <w:t xml:space="preserve"> honorarios legales de</w:t>
      </w:r>
      <w:r w:rsidR="00551E61">
        <w:rPr>
          <w:rFonts w:ascii="Arial" w:hAnsi="Arial" w:cs="Arial"/>
          <w:sz w:val="22"/>
          <w:szCs w:val="22"/>
        </w:rPr>
        <w:t xml:space="preserve"> hasta US$3.</w:t>
      </w:r>
      <w:r w:rsidR="007D32FC" w:rsidRPr="00551E61">
        <w:rPr>
          <w:rFonts w:ascii="Arial" w:hAnsi="Arial" w:cs="Arial"/>
          <w:sz w:val="22"/>
          <w:szCs w:val="22"/>
        </w:rPr>
        <w:t xml:space="preserve">000 por vivienda si incluye el proceso de deslinde, la ubicación y legalización de herederos, y la constitución </w:t>
      </w:r>
      <w:r w:rsidR="002C494F" w:rsidRPr="00551E61">
        <w:rPr>
          <w:rFonts w:ascii="Arial" w:hAnsi="Arial" w:cs="Arial"/>
          <w:sz w:val="22"/>
          <w:szCs w:val="22"/>
        </w:rPr>
        <w:t xml:space="preserve">de copropiedad. </w:t>
      </w:r>
    </w:p>
    <w:p w:rsidR="0043688B" w:rsidRPr="00551E61" w:rsidRDefault="0043688B" w:rsidP="0043688B">
      <w:pPr>
        <w:pStyle w:val="Paragraph"/>
        <w:ind w:left="720"/>
        <w:rPr>
          <w:rFonts w:ascii="Arial" w:hAnsi="Arial" w:cs="Arial"/>
          <w:sz w:val="22"/>
          <w:szCs w:val="22"/>
        </w:rPr>
      </w:pPr>
    </w:p>
    <w:p w:rsidR="0043688B" w:rsidRPr="00551E61" w:rsidRDefault="00FC75D6" w:rsidP="00FC75D6">
      <w:pPr>
        <w:spacing w:after="0"/>
        <w:jc w:val="center"/>
        <w:rPr>
          <w:rFonts w:ascii="Arial" w:hAnsi="Arial" w:cs="Arial"/>
          <w:lang w:val="es-ES_tradnl"/>
        </w:rPr>
      </w:pPr>
      <w:r w:rsidRPr="00551E61">
        <w:rPr>
          <w:rFonts w:ascii="Arial" w:hAnsi="Arial" w:cs="Arial"/>
          <w:lang w:val="es-ES_tradnl"/>
        </w:rPr>
        <w:t>Tabla 5 Costos de Intervenciones Típicas en Mejoramiento de Vivienda</w:t>
      </w:r>
    </w:p>
    <w:tbl>
      <w:tblPr>
        <w:tblW w:w="7232" w:type="dxa"/>
        <w:jc w:val="center"/>
        <w:tblInd w:w="-242" w:type="dxa"/>
        <w:tblCellMar>
          <w:left w:w="70" w:type="dxa"/>
          <w:right w:w="70" w:type="dxa"/>
        </w:tblCellMar>
        <w:tblLook w:val="04A0" w:firstRow="1" w:lastRow="0" w:firstColumn="1" w:lastColumn="0" w:noHBand="0" w:noVBand="1"/>
      </w:tblPr>
      <w:tblGrid>
        <w:gridCol w:w="1697"/>
        <w:gridCol w:w="886"/>
        <w:gridCol w:w="1405"/>
        <w:gridCol w:w="1729"/>
        <w:gridCol w:w="1515"/>
      </w:tblGrid>
      <w:tr w:rsidR="0043688B" w:rsidRPr="00551E61" w:rsidTr="007467DB">
        <w:trPr>
          <w:trHeight w:val="395"/>
          <w:jc w:val="center"/>
        </w:trPr>
        <w:tc>
          <w:tcPr>
            <w:tcW w:w="1697"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3688B" w:rsidRPr="00551E61" w:rsidRDefault="0043688B" w:rsidP="00FC75D6">
            <w:pPr>
              <w:spacing w:after="0" w:line="240" w:lineRule="auto"/>
              <w:jc w:val="center"/>
              <w:rPr>
                <w:rFonts w:ascii="Arial" w:eastAsia="Times New Roman" w:hAnsi="Arial" w:cs="Arial"/>
                <w:b/>
                <w:color w:val="000000"/>
                <w:sz w:val="20"/>
                <w:szCs w:val="20"/>
                <w:lang w:eastAsia="es-ES"/>
              </w:rPr>
            </w:pPr>
            <w:r w:rsidRPr="00551E61">
              <w:rPr>
                <w:rFonts w:ascii="Arial" w:eastAsia="Times New Roman" w:hAnsi="Arial" w:cs="Arial"/>
                <w:b/>
                <w:color w:val="000000"/>
                <w:sz w:val="20"/>
                <w:szCs w:val="20"/>
                <w:lang w:eastAsia="es-ES"/>
              </w:rPr>
              <w:t>Descripción</w:t>
            </w:r>
          </w:p>
        </w:tc>
        <w:tc>
          <w:tcPr>
            <w:tcW w:w="886" w:type="dxa"/>
            <w:tcBorders>
              <w:top w:val="single" w:sz="4" w:space="0" w:color="auto"/>
              <w:left w:val="nil"/>
              <w:bottom w:val="single" w:sz="4" w:space="0" w:color="auto"/>
              <w:right w:val="single" w:sz="4" w:space="0" w:color="auto"/>
            </w:tcBorders>
            <w:shd w:val="clear" w:color="auto" w:fill="auto"/>
            <w:vAlign w:val="center"/>
            <w:hideMark/>
          </w:tcPr>
          <w:p w:rsidR="0043688B" w:rsidRPr="00551E61" w:rsidRDefault="0043688B" w:rsidP="00FC75D6">
            <w:pPr>
              <w:spacing w:after="0" w:line="240" w:lineRule="auto"/>
              <w:jc w:val="center"/>
              <w:rPr>
                <w:rFonts w:ascii="Arial" w:eastAsia="Times New Roman" w:hAnsi="Arial" w:cs="Arial"/>
                <w:b/>
                <w:color w:val="000000"/>
                <w:sz w:val="20"/>
                <w:szCs w:val="20"/>
                <w:lang w:eastAsia="es-ES"/>
              </w:rPr>
            </w:pPr>
            <w:r w:rsidRPr="00551E61">
              <w:rPr>
                <w:rFonts w:ascii="Arial" w:eastAsia="Times New Roman" w:hAnsi="Arial" w:cs="Arial"/>
                <w:b/>
                <w:color w:val="000000"/>
                <w:sz w:val="20"/>
                <w:szCs w:val="20"/>
                <w:lang w:eastAsia="es-ES"/>
              </w:rPr>
              <w:t>Unidad</w:t>
            </w:r>
          </w:p>
        </w:tc>
        <w:tc>
          <w:tcPr>
            <w:tcW w:w="1405" w:type="dxa"/>
            <w:tcBorders>
              <w:top w:val="single" w:sz="4" w:space="0" w:color="auto"/>
              <w:left w:val="nil"/>
              <w:bottom w:val="single" w:sz="4" w:space="0" w:color="auto"/>
              <w:right w:val="single" w:sz="4" w:space="0" w:color="auto"/>
            </w:tcBorders>
            <w:shd w:val="clear" w:color="auto" w:fill="auto"/>
            <w:vAlign w:val="center"/>
            <w:hideMark/>
          </w:tcPr>
          <w:p w:rsidR="0043688B" w:rsidRPr="00551E61" w:rsidRDefault="0043688B" w:rsidP="00FC75D6">
            <w:pPr>
              <w:spacing w:after="0" w:line="240" w:lineRule="auto"/>
              <w:jc w:val="center"/>
              <w:rPr>
                <w:rFonts w:ascii="Arial" w:eastAsia="Times New Roman" w:hAnsi="Arial" w:cs="Arial"/>
                <w:b/>
                <w:color w:val="000000"/>
                <w:sz w:val="20"/>
                <w:szCs w:val="20"/>
                <w:lang w:eastAsia="es-ES"/>
              </w:rPr>
            </w:pPr>
            <w:r w:rsidRPr="00551E61">
              <w:rPr>
                <w:rFonts w:ascii="Arial" w:eastAsia="Times New Roman" w:hAnsi="Arial" w:cs="Arial"/>
                <w:b/>
                <w:color w:val="000000"/>
                <w:sz w:val="20"/>
                <w:szCs w:val="20"/>
                <w:lang w:eastAsia="es-ES"/>
              </w:rPr>
              <w:t>Precio unitario</w:t>
            </w:r>
          </w:p>
        </w:tc>
        <w:tc>
          <w:tcPr>
            <w:tcW w:w="1729" w:type="dxa"/>
            <w:tcBorders>
              <w:top w:val="single" w:sz="4" w:space="0" w:color="auto"/>
              <w:left w:val="nil"/>
              <w:bottom w:val="single" w:sz="4" w:space="0" w:color="auto"/>
              <w:right w:val="single" w:sz="4" w:space="0" w:color="auto"/>
            </w:tcBorders>
            <w:shd w:val="clear" w:color="auto" w:fill="auto"/>
            <w:vAlign w:val="center"/>
            <w:hideMark/>
          </w:tcPr>
          <w:p w:rsidR="00FC75D6" w:rsidRPr="00551E61" w:rsidRDefault="00B452D5" w:rsidP="00FC75D6">
            <w:pPr>
              <w:spacing w:after="0" w:line="240" w:lineRule="auto"/>
              <w:jc w:val="center"/>
              <w:rPr>
                <w:rFonts w:ascii="Arial" w:eastAsia="Times New Roman" w:hAnsi="Arial" w:cs="Arial"/>
                <w:b/>
                <w:color w:val="000000"/>
                <w:sz w:val="20"/>
                <w:szCs w:val="20"/>
                <w:lang w:eastAsia="es-ES"/>
              </w:rPr>
            </w:pPr>
            <w:r w:rsidRPr="00551E61">
              <w:rPr>
                <w:rFonts w:ascii="Arial" w:eastAsia="Times New Roman" w:hAnsi="Arial" w:cs="Arial"/>
                <w:b/>
                <w:color w:val="000000"/>
                <w:sz w:val="20"/>
                <w:szCs w:val="20"/>
                <w:lang w:eastAsia="es-ES"/>
              </w:rPr>
              <w:t>Unidades</w:t>
            </w:r>
            <w:r w:rsidR="007467DB" w:rsidRPr="00551E61">
              <w:rPr>
                <w:rFonts w:ascii="Arial" w:eastAsia="Times New Roman" w:hAnsi="Arial" w:cs="Arial"/>
                <w:b/>
                <w:color w:val="000000"/>
                <w:sz w:val="20"/>
                <w:szCs w:val="20"/>
                <w:lang w:eastAsia="es-ES"/>
              </w:rPr>
              <w:t xml:space="preserve"> de ref.</w:t>
            </w:r>
          </w:p>
        </w:tc>
        <w:tc>
          <w:tcPr>
            <w:tcW w:w="1515" w:type="dxa"/>
            <w:tcBorders>
              <w:top w:val="single" w:sz="4" w:space="0" w:color="auto"/>
              <w:left w:val="nil"/>
              <w:bottom w:val="single" w:sz="4" w:space="0" w:color="auto"/>
              <w:right w:val="single" w:sz="4" w:space="0" w:color="auto"/>
            </w:tcBorders>
            <w:shd w:val="clear" w:color="auto" w:fill="auto"/>
            <w:vAlign w:val="center"/>
            <w:hideMark/>
          </w:tcPr>
          <w:p w:rsidR="0043688B" w:rsidRPr="00551E61" w:rsidRDefault="0043688B" w:rsidP="00FC75D6">
            <w:pPr>
              <w:spacing w:after="0" w:line="240" w:lineRule="auto"/>
              <w:jc w:val="center"/>
              <w:rPr>
                <w:rFonts w:ascii="Arial" w:eastAsia="Times New Roman" w:hAnsi="Arial" w:cs="Arial"/>
                <w:b/>
                <w:color w:val="000000"/>
                <w:sz w:val="20"/>
                <w:szCs w:val="20"/>
                <w:lang w:eastAsia="es-ES"/>
              </w:rPr>
            </w:pPr>
            <w:r w:rsidRPr="00551E61">
              <w:rPr>
                <w:rFonts w:ascii="Arial" w:eastAsia="Times New Roman" w:hAnsi="Arial" w:cs="Arial"/>
                <w:b/>
                <w:color w:val="000000"/>
                <w:sz w:val="20"/>
                <w:szCs w:val="20"/>
                <w:lang w:eastAsia="es-ES"/>
              </w:rPr>
              <w:t>Total</w:t>
            </w:r>
          </w:p>
        </w:tc>
      </w:tr>
      <w:tr w:rsidR="0043688B" w:rsidRPr="00551E61" w:rsidTr="00B452D5">
        <w:trPr>
          <w:trHeight w:val="315"/>
          <w:jc w:val="center"/>
        </w:trPr>
        <w:tc>
          <w:tcPr>
            <w:tcW w:w="1697" w:type="dxa"/>
            <w:tcBorders>
              <w:top w:val="nil"/>
              <w:left w:val="single" w:sz="4" w:space="0" w:color="auto"/>
              <w:bottom w:val="single" w:sz="4" w:space="0" w:color="auto"/>
              <w:right w:val="single" w:sz="4" w:space="0" w:color="auto"/>
            </w:tcBorders>
            <w:shd w:val="clear" w:color="auto" w:fill="auto"/>
            <w:vAlign w:val="center"/>
            <w:hideMark/>
          </w:tcPr>
          <w:p w:rsidR="0043688B" w:rsidRPr="00551E61" w:rsidRDefault="00FC75D6" w:rsidP="0043688B">
            <w:pPr>
              <w:spacing w:after="0" w:line="240" w:lineRule="auto"/>
              <w:rPr>
                <w:rFonts w:ascii="Arial" w:eastAsia="Times New Roman" w:hAnsi="Arial" w:cs="Arial"/>
                <w:color w:val="000000"/>
                <w:sz w:val="20"/>
                <w:szCs w:val="20"/>
                <w:lang w:eastAsia="es-ES"/>
              </w:rPr>
            </w:pPr>
            <w:r w:rsidRPr="00551E61">
              <w:rPr>
                <w:rFonts w:ascii="Arial" w:eastAsia="Times New Roman" w:hAnsi="Arial" w:cs="Arial"/>
                <w:color w:val="000000"/>
                <w:sz w:val="20"/>
                <w:szCs w:val="20"/>
                <w:lang w:eastAsia="es-ES"/>
              </w:rPr>
              <w:t>Piso</w:t>
            </w:r>
          </w:p>
        </w:tc>
        <w:tc>
          <w:tcPr>
            <w:tcW w:w="886" w:type="dxa"/>
            <w:tcBorders>
              <w:top w:val="nil"/>
              <w:left w:val="nil"/>
              <w:bottom w:val="single" w:sz="4" w:space="0" w:color="auto"/>
              <w:right w:val="single" w:sz="4" w:space="0" w:color="auto"/>
            </w:tcBorders>
            <w:shd w:val="clear" w:color="auto" w:fill="auto"/>
            <w:vAlign w:val="center"/>
            <w:hideMark/>
          </w:tcPr>
          <w:p w:rsidR="0043688B" w:rsidRPr="00551E61" w:rsidRDefault="0043688B" w:rsidP="0043688B">
            <w:pPr>
              <w:spacing w:after="0" w:line="240" w:lineRule="auto"/>
              <w:jc w:val="center"/>
              <w:rPr>
                <w:rFonts w:ascii="Arial" w:eastAsia="Times New Roman" w:hAnsi="Arial" w:cs="Arial"/>
                <w:color w:val="000000"/>
                <w:sz w:val="20"/>
                <w:szCs w:val="20"/>
                <w:lang w:eastAsia="es-ES"/>
              </w:rPr>
            </w:pPr>
            <w:r w:rsidRPr="00551E61">
              <w:rPr>
                <w:rFonts w:ascii="Arial" w:eastAsia="Times New Roman" w:hAnsi="Arial" w:cs="Arial"/>
                <w:color w:val="000000"/>
                <w:sz w:val="20"/>
                <w:szCs w:val="20"/>
                <w:lang w:eastAsia="es-ES"/>
              </w:rPr>
              <w:t>M2</w:t>
            </w:r>
          </w:p>
        </w:tc>
        <w:tc>
          <w:tcPr>
            <w:tcW w:w="1405" w:type="dxa"/>
            <w:tcBorders>
              <w:top w:val="nil"/>
              <w:left w:val="nil"/>
              <w:bottom w:val="single" w:sz="4" w:space="0" w:color="auto"/>
              <w:right w:val="single" w:sz="4" w:space="0" w:color="auto"/>
            </w:tcBorders>
            <w:shd w:val="clear" w:color="auto" w:fill="auto"/>
            <w:vAlign w:val="center"/>
            <w:hideMark/>
          </w:tcPr>
          <w:p w:rsidR="0043688B" w:rsidRPr="00551E61" w:rsidRDefault="0043688B" w:rsidP="0043688B">
            <w:pPr>
              <w:spacing w:after="0" w:line="240" w:lineRule="auto"/>
              <w:jc w:val="center"/>
              <w:rPr>
                <w:rFonts w:ascii="Arial" w:eastAsia="Times New Roman" w:hAnsi="Arial" w:cs="Arial"/>
                <w:color w:val="000000"/>
                <w:sz w:val="20"/>
                <w:szCs w:val="20"/>
                <w:lang w:eastAsia="es-ES"/>
              </w:rPr>
            </w:pPr>
            <w:r w:rsidRPr="00551E61">
              <w:rPr>
                <w:rFonts w:ascii="Arial" w:eastAsia="Times New Roman" w:hAnsi="Arial" w:cs="Arial"/>
                <w:color w:val="000000"/>
                <w:sz w:val="20"/>
                <w:szCs w:val="20"/>
                <w:lang w:eastAsia="es-ES"/>
              </w:rPr>
              <w:t>14.55</w:t>
            </w:r>
          </w:p>
        </w:tc>
        <w:tc>
          <w:tcPr>
            <w:tcW w:w="1729" w:type="dxa"/>
            <w:tcBorders>
              <w:top w:val="nil"/>
              <w:left w:val="nil"/>
              <w:bottom w:val="single" w:sz="4" w:space="0" w:color="auto"/>
              <w:right w:val="single" w:sz="4" w:space="0" w:color="auto"/>
            </w:tcBorders>
            <w:shd w:val="clear" w:color="auto" w:fill="auto"/>
            <w:vAlign w:val="center"/>
            <w:hideMark/>
          </w:tcPr>
          <w:p w:rsidR="0043688B" w:rsidRPr="00551E61" w:rsidRDefault="0043688B" w:rsidP="0043688B">
            <w:pPr>
              <w:spacing w:after="0" w:line="240" w:lineRule="auto"/>
              <w:jc w:val="center"/>
              <w:rPr>
                <w:rFonts w:ascii="Arial" w:eastAsia="Times New Roman" w:hAnsi="Arial" w:cs="Arial"/>
                <w:color w:val="000000"/>
                <w:sz w:val="20"/>
                <w:szCs w:val="20"/>
                <w:lang w:eastAsia="es-ES"/>
              </w:rPr>
            </w:pPr>
            <w:r w:rsidRPr="00551E61">
              <w:rPr>
                <w:rFonts w:ascii="Arial" w:eastAsia="Times New Roman" w:hAnsi="Arial" w:cs="Arial"/>
                <w:color w:val="000000"/>
                <w:sz w:val="20"/>
                <w:szCs w:val="20"/>
                <w:lang w:eastAsia="es-ES"/>
              </w:rPr>
              <w:t>70</w:t>
            </w:r>
          </w:p>
        </w:tc>
        <w:tc>
          <w:tcPr>
            <w:tcW w:w="1515" w:type="dxa"/>
            <w:tcBorders>
              <w:top w:val="nil"/>
              <w:left w:val="nil"/>
              <w:bottom w:val="single" w:sz="4" w:space="0" w:color="auto"/>
              <w:right w:val="single" w:sz="4" w:space="0" w:color="auto"/>
            </w:tcBorders>
            <w:shd w:val="clear" w:color="auto" w:fill="auto"/>
            <w:vAlign w:val="center"/>
            <w:hideMark/>
          </w:tcPr>
          <w:p w:rsidR="0043688B" w:rsidRPr="00551E61" w:rsidRDefault="0043688B" w:rsidP="0043688B">
            <w:pPr>
              <w:spacing w:after="0" w:line="240" w:lineRule="auto"/>
              <w:jc w:val="center"/>
              <w:rPr>
                <w:rFonts w:ascii="Arial" w:eastAsia="Times New Roman" w:hAnsi="Arial" w:cs="Arial"/>
                <w:color w:val="000000"/>
                <w:sz w:val="20"/>
                <w:szCs w:val="20"/>
                <w:lang w:eastAsia="es-ES"/>
              </w:rPr>
            </w:pPr>
            <w:r w:rsidRPr="00551E61">
              <w:rPr>
                <w:rFonts w:ascii="Arial" w:eastAsia="Times New Roman" w:hAnsi="Arial" w:cs="Arial"/>
                <w:color w:val="000000"/>
                <w:sz w:val="20"/>
                <w:szCs w:val="20"/>
                <w:lang w:eastAsia="es-ES"/>
              </w:rPr>
              <w:t>1</w:t>
            </w:r>
            <w:r w:rsidR="00B452D5" w:rsidRPr="00551E61">
              <w:rPr>
                <w:rFonts w:ascii="Arial" w:eastAsia="Times New Roman" w:hAnsi="Arial" w:cs="Arial"/>
                <w:color w:val="000000"/>
                <w:sz w:val="20"/>
                <w:szCs w:val="20"/>
                <w:lang w:eastAsia="es-ES"/>
              </w:rPr>
              <w:t>,</w:t>
            </w:r>
            <w:r w:rsidRPr="00551E61">
              <w:rPr>
                <w:rFonts w:ascii="Arial" w:eastAsia="Times New Roman" w:hAnsi="Arial" w:cs="Arial"/>
                <w:color w:val="000000"/>
                <w:sz w:val="20"/>
                <w:szCs w:val="20"/>
                <w:lang w:eastAsia="es-ES"/>
              </w:rPr>
              <w:t>018.3</w:t>
            </w:r>
          </w:p>
        </w:tc>
      </w:tr>
      <w:tr w:rsidR="0043688B" w:rsidRPr="00551E61" w:rsidTr="00B452D5">
        <w:trPr>
          <w:trHeight w:val="315"/>
          <w:jc w:val="center"/>
        </w:trPr>
        <w:tc>
          <w:tcPr>
            <w:tcW w:w="1697" w:type="dxa"/>
            <w:tcBorders>
              <w:top w:val="nil"/>
              <w:left w:val="single" w:sz="4" w:space="0" w:color="auto"/>
              <w:bottom w:val="single" w:sz="4" w:space="0" w:color="auto"/>
              <w:right w:val="single" w:sz="4" w:space="0" w:color="auto"/>
            </w:tcBorders>
            <w:shd w:val="clear" w:color="auto" w:fill="auto"/>
            <w:vAlign w:val="center"/>
            <w:hideMark/>
          </w:tcPr>
          <w:p w:rsidR="0043688B" w:rsidRPr="00551E61" w:rsidRDefault="00FC75D6" w:rsidP="0043688B">
            <w:pPr>
              <w:spacing w:after="0" w:line="240" w:lineRule="auto"/>
              <w:rPr>
                <w:rFonts w:ascii="Arial" w:eastAsia="Times New Roman" w:hAnsi="Arial" w:cs="Arial"/>
                <w:color w:val="000000"/>
                <w:sz w:val="20"/>
                <w:szCs w:val="20"/>
                <w:lang w:eastAsia="es-ES"/>
              </w:rPr>
            </w:pPr>
            <w:r w:rsidRPr="00551E61">
              <w:rPr>
                <w:rFonts w:ascii="Arial" w:eastAsia="Times New Roman" w:hAnsi="Arial" w:cs="Arial"/>
                <w:color w:val="000000"/>
                <w:sz w:val="20"/>
                <w:szCs w:val="20"/>
                <w:lang w:eastAsia="es-ES"/>
              </w:rPr>
              <w:t>Pañete</w:t>
            </w:r>
          </w:p>
        </w:tc>
        <w:tc>
          <w:tcPr>
            <w:tcW w:w="886" w:type="dxa"/>
            <w:tcBorders>
              <w:top w:val="nil"/>
              <w:left w:val="nil"/>
              <w:bottom w:val="single" w:sz="4" w:space="0" w:color="auto"/>
              <w:right w:val="single" w:sz="4" w:space="0" w:color="auto"/>
            </w:tcBorders>
            <w:shd w:val="clear" w:color="auto" w:fill="auto"/>
            <w:vAlign w:val="center"/>
            <w:hideMark/>
          </w:tcPr>
          <w:p w:rsidR="0043688B" w:rsidRPr="00551E61" w:rsidRDefault="0043688B" w:rsidP="0043688B">
            <w:pPr>
              <w:spacing w:after="0" w:line="240" w:lineRule="auto"/>
              <w:jc w:val="center"/>
              <w:rPr>
                <w:rFonts w:ascii="Arial" w:eastAsia="Times New Roman" w:hAnsi="Arial" w:cs="Arial"/>
                <w:color w:val="000000"/>
                <w:sz w:val="20"/>
                <w:szCs w:val="20"/>
                <w:lang w:eastAsia="es-ES"/>
              </w:rPr>
            </w:pPr>
            <w:r w:rsidRPr="00551E61">
              <w:rPr>
                <w:rFonts w:ascii="Arial" w:eastAsia="Times New Roman" w:hAnsi="Arial" w:cs="Arial"/>
                <w:color w:val="000000"/>
                <w:sz w:val="20"/>
                <w:szCs w:val="20"/>
                <w:lang w:eastAsia="es-ES"/>
              </w:rPr>
              <w:t>M2</w:t>
            </w:r>
          </w:p>
        </w:tc>
        <w:tc>
          <w:tcPr>
            <w:tcW w:w="1405" w:type="dxa"/>
            <w:tcBorders>
              <w:top w:val="nil"/>
              <w:left w:val="nil"/>
              <w:bottom w:val="single" w:sz="4" w:space="0" w:color="auto"/>
              <w:right w:val="single" w:sz="4" w:space="0" w:color="auto"/>
            </w:tcBorders>
            <w:shd w:val="clear" w:color="auto" w:fill="auto"/>
            <w:vAlign w:val="center"/>
            <w:hideMark/>
          </w:tcPr>
          <w:p w:rsidR="0043688B" w:rsidRPr="00551E61" w:rsidRDefault="0043688B" w:rsidP="0043688B">
            <w:pPr>
              <w:spacing w:after="0" w:line="240" w:lineRule="auto"/>
              <w:jc w:val="center"/>
              <w:rPr>
                <w:rFonts w:ascii="Arial" w:eastAsia="Times New Roman" w:hAnsi="Arial" w:cs="Arial"/>
                <w:color w:val="000000"/>
                <w:sz w:val="20"/>
                <w:szCs w:val="20"/>
                <w:lang w:eastAsia="es-ES"/>
              </w:rPr>
            </w:pPr>
            <w:r w:rsidRPr="00551E61">
              <w:rPr>
                <w:rFonts w:ascii="Arial" w:eastAsia="Times New Roman" w:hAnsi="Arial" w:cs="Arial"/>
                <w:color w:val="000000"/>
                <w:sz w:val="20"/>
                <w:szCs w:val="20"/>
                <w:lang w:eastAsia="es-ES"/>
              </w:rPr>
              <w:t>9.78</w:t>
            </w:r>
          </w:p>
        </w:tc>
        <w:tc>
          <w:tcPr>
            <w:tcW w:w="1729" w:type="dxa"/>
            <w:tcBorders>
              <w:top w:val="nil"/>
              <w:left w:val="nil"/>
              <w:bottom w:val="single" w:sz="4" w:space="0" w:color="auto"/>
              <w:right w:val="single" w:sz="4" w:space="0" w:color="auto"/>
            </w:tcBorders>
            <w:shd w:val="clear" w:color="auto" w:fill="auto"/>
            <w:vAlign w:val="center"/>
            <w:hideMark/>
          </w:tcPr>
          <w:p w:rsidR="0043688B" w:rsidRPr="00551E61" w:rsidRDefault="0043688B" w:rsidP="0043688B">
            <w:pPr>
              <w:spacing w:after="0" w:line="240" w:lineRule="auto"/>
              <w:jc w:val="center"/>
              <w:rPr>
                <w:rFonts w:ascii="Arial" w:eastAsia="Times New Roman" w:hAnsi="Arial" w:cs="Arial"/>
                <w:color w:val="000000"/>
                <w:sz w:val="20"/>
                <w:szCs w:val="20"/>
                <w:lang w:eastAsia="es-ES"/>
              </w:rPr>
            </w:pPr>
            <w:r w:rsidRPr="00551E61">
              <w:rPr>
                <w:rFonts w:ascii="Arial" w:eastAsia="Times New Roman" w:hAnsi="Arial" w:cs="Arial"/>
                <w:color w:val="000000"/>
                <w:sz w:val="20"/>
                <w:szCs w:val="20"/>
                <w:lang w:eastAsia="es-ES"/>
              </w:rPr>
              <w:t>250</w:t>
            </w:r>
          </w:p>
        </w:tc>
        <w:tc>
          <w:tcPr>
            <w:tcW w:w="1515" w:type="dxa"/>
            <w:tcBorders>
              <w:top w:val="nil"/>
              <w:left w:val="nil"/>
              <w:bottom w:val="single" w:sz="4" w:space="0" w:color="auto"/>
              <w:right w:val="single" w:sz="4" w:space="0" w:color="auto"/>
            </w:tcBorders>
            <w:shd w:val="clear" w:color="auto" w:fill="auto"/>
            <w:vAlign w:val="center"/>
            <w:hideMark/>
          </w:tcPr>
          <w:p w:rsidR="0043688B" w:rsidRPr="00551E61" w:rsidRDefault="0043688B" w:rsidP="0043688B">
            <w:pPr>
              <w:spacing w:after="0" w:line="240" w:lineRule="auto"/>
              <w:jc w:val="center"/>
              <w:rPr>
                <w:rFonts w:ascii="Arial" w:eastAsia="Times New Roman" w:hAnsi="Arial" w:cs="Arial"/>
                <w:color w:val="000000"/>
                <w:sz w:val="20"/>
                <w:szCs w:val="20"/>
                <w:lang w:eastAsia="es-ES"/>
              </w:rPr>
            </w:pPr>
            <w:r w:rsidRPr="00551E61">
              <w:rPr>
                <w:rFonts w:ascii="Arial" w:eastAsia="Times New Roman" w:hAnsi="Arial" w:cs="Arial"/>
                <w:color w:val="000000"/>
                <w:sz w:val="20"/>
                <w:szCs w:val="20"/>
                <w:lang w:eastAsia="es-ES"/>
              </w:rPr>
              <w:t>2</w:t>
            </w:r>
            <w:r w:rsidR="00B452D5" w:rsidRPr="00551E61">
              <w:rPr>
                <w:rFonts w:ascii="Arial" w:eastAsia="Times New Roman" w:hAnsi="Arial" w:cs="Arial"/>
                <w:color w:val="000000"/>
                <w:sz w:val="20"/>
                <w:szCs w:val="20"/>
                <w:lang w:eastAsia="es-ES"/>
              </w:rPr>
              <w:t>,</w:t>
            </w:r>
            <w:r w:rsidRPr="00551E61">
              <w:rPr>
                <w:rFonts w:ascii="Arial" w:eastAsia="Times New Roman" w:hAnsi="Arial" w:cs="Arial"/>
                <w:color w:val="000000"/>
                <w:sz w:val="20"/>
                <w:szCs w:val="20"/>
                <w:lang w:eastAsia="es-ES"/>
              </w:rPr>
              <w:t>445.7</w:t>
            </w:r>
          </w:p>
        </w:tc>
      </w:tr>
      <w:tr w:rsidR="0043688B" w:rsidRPr="00551E61" w:rsidTr="00B452D5">
        <w:trPr>
          <w:trHeight w:val="315"/>
          <w:jc w:val="center"/>
        </w:trPr>
        <w:tc>
          <w:tcPr>
            <w:tcW w:w="1697" w:type="dxa"/>
            <w:tcBorders>
              <w:top w:val="nil"/>
              <w:left w:val="single" w:sz="4" w:space="0" w:color="auto"/>
              <w:bottom w:val="single" w:sz="4" w:space="0" w:color="auto"/>
              <w:right w:val="single" w:sz="4" w:space="0" w:color="auto"/>
            </w:tcBorders>
            <w:shd w:val="clear" w:color="auto" w:fill="auto"/>
            <w:vAlign w:val="center"/>
            <w:hideMark/>
          </w:tcPr>
          <w:p w:rsidR="0043688B" w:rsidRPr="00551E61" w:rsidRDefault="0043688B" w:rsidP="0043688B">
            <w:pPr>
              <w:spacing w:after="0" w:line="240" w:lineRule="auto"/>
              <w:rPr>
                <w:rFonts w:ascii="Arial" w:eastAsia="Times New Roman" w:hAnsi="Arial" w:cs="Arial"/>
                <w:color w:val="000000"/>
                <w:sz w:val="20"/>
                <w:szCs w:val="20"/>
                <w:lang w:eastAsia="es-ES"/>
              </w:rPr>
            </w:pPr>
            <w:r w:rsidRPr="00551E61">
              <w:rPr>
                <w:rFonts w:ascii="Arial" w:eastAsia="Times New Roman" w:hAnsi="Arial" w:cs="Arial"/>
                <w:color w:val="000000"/>
                <w:sz w:val="20"/>
                <w:szCs w:val="20"/>
                <w:lang w:eastAsia="es-ES"/>
              </w:rPr>
              <w:t>Pintura </w:t>
            </w:r>
          </w:p>
        </w:tc>
        <w:tc>
          <w:tcPr>
            <w:tcW w:w="886" w:type="dxa"/>
            <w:tcBorders>
              <w:top w:val="nil"/>
              <w:left w:val="nil"/>
              <w:bottom w:val="single" w:sz="4" w:space="0" w:color="auto"/>
              <w:right w:val="single" w:sz="4" w:space="0" w:color="auto"/>
            </w:tcBorders>
            <w:shd w:val="clear" w:color="auto" w:fill="auto"/>
            <w:vAlign w:val="center"/>
            <w:hideMark/>
          </w:tcPr>
          <w:p w:rsidR="0043688B" w:rsidRPr="00551E61" w:rsidRDefault="0043688B" w:rsidP="0043688B">
            <w:pPr>
              <w:spacing w:after="0" w:line="240" w:lineRule="auto"/>
              <w:jc w:val="center"/>
              <w:rPr>
                <w:rFonts w:ascii="Arial" w:eastAsia="Times New Roman" w:hAnsi="Arial" w:cs="Arial"/>
                <w:color w:val="000000"/>
                <w:sz w:val="20"/>
                <w:szCs w:val="20"/>
                <w:lang w:eastAsia="es-ES"/>
              </w:rPr>
            </w:pPr>
            <w:r w:rsidRPr="00551E61">
              <w:rPr>
                <w:rFonts w:ascii="Arial" w:eastAsia="Times New Roman" w:hAnsi="Arial" w:cs="Arial"/>
                <w:color w:val="000000"/>
                <w:sz w:val="20"/>
                <w:szCs w:val="20"/>
                <w:lang w:eastAsia="es-ES"/>
              </w:rPr>
              <w:t>M2</w:t>
            </w:r>
          </w:p>
        </w:tc>
        <w:tc>
          <w:tcPr>
            <w:tcW w:w="1405" w:type="dxa"/>
            <w:tcBorders>
              <w:top w:val="nil"/>
              <w:left w:val="nil"/>
              <w:bottom w:val="single" w:sz="4" w:space="0" w:color="auto"/>
              <w:right w:val="single" w:sz="4" w:space="0" w:color="auto"/>
            </w:tcBorders>
            <w:shd w:val="clear" w:color="auto" w:fill="auto"/>
            <w:vAlign w:val="center"/>
            <w:hideMark/>
          </w:tcPr>
          <w:p w:rsidR="0043688B" w:rsidRPr="00551E61" w:rsidRDefault="0043688B" w:rsidP="0043688B">
            <w:pPr>
              <w:spacing w:after="0" w:line="240" w:lineRule="auto"/>
              <w:jc w:val="center"/>
              <w:rPr>
                <w:rFonts w:ascii="Arial" w:eastAsia="Times New Roman" w:hAnsi="Arial" w:cs="Arial"/>
                <w:color w:val="000000"/>
                <w:sz w:val="20"/>
                <w:szCs w:val="20"/>
                <w:lang w:eastAsia="es-ES"/>
              </w:rPr>
            </w:pPr>
            <w:r w:rsidRPr="00551E61">
              <w:rPr>
                <w:rFonts w:ascii="Arial" w:eastAsia="Times New Roman" w:hAnsi="Arial" w:cs="Arial"/>
                <w:color w:val="000000"/>
                <w:sz w:val="20"/>
                <w:szCs w:val="20"/>
                <w:lang w:eastAsia="es-ES"/>
              </w:rPr>
              <w:t>2.29</w:t>
            </w:r>
          </w:p>
        </w:tc>
        <w:tc>
          <w:tcPr>
            <w:tcW w:w="1729" w:type="dxa"/>
            <w:tcBorders>
              <w:top w:val="nil"/>
              <w:left w:val="nil"/>
              <w:bottom w:val="single" w:sz="4" w:space="0" w:color="auto"/>
              <w:right w:val="single" w:sz="4" w:space="0" w:color="auto"/>
            </w:tcBorders>
            <w:shd w:val="clear" w:color="auto" w:fill="auto"/>
            <w:vAlign w:val="center"/>
            <w:hideMark/>
          </w:tcPr>
          <w:p w:rsidR="0043688B" w:rsidRPr="00551E61" w:rsidRDefault="0043688B" w:rsidP="0043688B">
            <w:pPr>
              <w:spacing w:after="0" w:line="240" w:lineRule="auto"/>
              <w:jc w:val="center"/>
              <w:rPr>
                <w:rFonts w:ascii="Arial" w:eastAsia="Times New Roman" w:hAnsi="Arial" w:cs="Arial"/>
                <w:color w:val="000000"/>
                <w:sz w:val="20"/>
                <w:szCs w:val="20"/>
                <w:lang w:eastAsia="es-ES"/>
              </w:rPr>
            </w:pPr>
            <w:r w:rsidRPr="00551E61">
              <w:rPr>
                <w:rFonts w:ascii="Arial" w:eastAsia="Times New Roman" w:hAnsi="Arial" w:cs="Arial"/>
                <w:color w:val="000000"/>
                <w:sz w:val="20"/>
                <w:szCs w:val="20"/>
                <w:lang w:eastAsia="es-ES"/>
              </w:rPr>
              <w:t>350</w:t>
            </w:r>
          </w:p>
        </w:tc>
        <w:tc>
          <w:tcPr>
            <w:tcW w:w="1515" w:type="dxa"/>
            <w:tcBorders>
              <w:top w:val="nil"/>
              <w:left w:val="nil"/>
              <w:bottom w:val="single" w:sz="4" w:space="0" w:color="auto"/>
              <w:right w:val="single" w:sz="4" w:space="0" w:color="auto"/>
            </w:tcBorders>
            <w:shd w:val="clear" w:color="auto" w:fill="auto"/>
            <w:vAlign w:val="center"/>
            <w:hideMark/>
          </w:tcPr>
          <w:p w:rsidR="0043688B" w:rsidRPr="00551E61" w:rsidRDefault="0043688B" w:rsidP="0043688B">
            <w:pPr>
              <w:spacing w:after="0" w:line="240" w:lineRule="auto"/>
              <w:jc w:val="center"/>
              <w:rPr>
                <w:rFonts w:ascii="Arial" w:eastAsia="Times New Roman" w:hAnsi="Arial" w:cs="Arial"/>
                <w:color w:val="000000"/>
                <w:sz w:val="20"/>
                <w:szCs w:val="20"/>
                <w:lang w:eastAsia="es-ES"/>
              </w:rPr>
            </w:pPr>
            <w:r w:rsidRPr="00551E61">
              <w:rPr>
                <w:rFonts w:ascii="Arial" w:eastAsia="Times New Roman" w:hAnsi="Arial" w:cs="Arial"/>
                <w:color w:val="000000"/>
                <w:sz w:val="20"/>
                <w:szCs w:val="20"/>
                <w:lang w:eastAsia="es-ES"/>
              </w:rPr>
              <w:t>801.7</w:t>
            </w:r>
          </w:p>
        </w:tc>
      </w:tr>
      <w:tr w:rsidR="0043688B" w:rsidRPr="00551E61" w:rsidTr="00B452D5">
        <w:trPr>
          <w:trHeight w:val="315"/>
          <w:jc w:val="center"/>
        </w:trPr>
        <w:tc>
          <w:tcPr>
            <w:tcW w:w="1697" w:type="dxa"/>
            <w:tcBorders>
              <w:top w:val="nil"/>
              <w:left w:val="single" w:sz="4" w:space="0" w:color="auto"/>
              <w:bottom w:val="single" w:sz="4" w:space="0" w:color="auto"/>
              <w:right w:val="single" w:sz="4" w:space="0" w:color="auto"/>
            </w:tcBorders>
            <w:shd w:val="clear" w:color="auto" w:fill="auto"/>
            <w:vAlign w:val="center"/>
            <w:hideMark/>
          </w:tcPr>
          <w:p w:rsidR="0043688B" w:rsidRPr="00551E61" w:rsidRDefault="0043688B" w:rsidP="0043688B">
            <w:pPr>
              <w:spacing w:after="0" w:line="240" w:lineRule="auto"/>
              <w:rPr>
                <w:rFonts w:ascii="Arial" w:eastAsia="Times New Roman" w:hAnsi="Arial" w:cs="Arial"/>
                <w:color w:val="000000"/>
                <w:sz w:val="20"/>
                <w:szCs w:val="20"/>
                <w:lang w:eastAsia="es-ES"/>
              </w:rPr>
            </w:pPr>
            <w:r w:rsidRPr="00551E61">
              <w:rPr>
                <w:rFonts w:ascii="Arial" w:eastAsia="Times New Roman" w:hAnsi="Arial" w:cs="Arial"/>
                <w:color w:val="000000"/>
                <w:sz w:val="20"/>
                <w:szCs w:val="20"/>
                <w:lang w:eastAsia="es-ES"/>
              </w:rPr>
              <w:t>Losa</w:t>
            </w:r>
          </w:p>
        </w:tc>
        <w:tc>
          <w:tcPr>
            <w:tcW w:w="886" w:type="dxa"/>
            <w:tcBorders>
              <w:top w:val="nil"/>
              <w:left w:val="nil"/>
              <w:bottom w:val="single" w:sz="4" w:space="0" w:color="auto"/>
              <w:right w:val="single" w:sz="4" w:space="0" w:color="auto"/>
            </w:tcBorders>
            <w:shd w:val="clear" w:color="auto" w:fill="auto"/>
            <w:vAlign w:val="center"/>
            <w:hideMark/>
          </w:tcPr>
          <w:p w:rsidR="0043688B" w:rsidRPr="00551E61" w:rsidRDefault="0043688B" w:rsidP="0043688B">
            <w:pPr>
              <w:spacing w:after="0" w:line="240" w:lineRule="auto"/>
              <w:jc w:val="center"/>
              <w:rPr>
                <w:rFonts w:ascii="Arial" w:eastAsia="Times New Roman" w:hAnsi="Arial" w:cs="Arial"/>
                <w:color w:val="000000"/>
                <w:sz w:val="20"/>
                <w:szCs w:val="20"/>
                <w:lang w:eastAsia="es-ES"/>
              </w:rPr>
            </w:pPr>
            <w:r w:rsidRPr="00551E61">
              <w:rPr>
                <w:rFonts w:ascii="Arial" w:eastAsia="Times New Roman" w:hAnsi="Arial" w:cs="Arial"/>
                <w:color w:val="000000"/>
                <w:sz w:val="20"/>
                <w:szCs w:val="20"/>
                <w:lang w:eastAsia="es-ES"/>
              </w:rPr>
              <w:t>M2</w:t>
            </w:r>
          </w:p>
        </w:tc>
        <w:tc>
          <w:tcPr>
            <w:tcW w:w="1405" w:type="dxa"/>
            <w:tcBorders>
              <w:top w:val="nil"/>
              <w:left w:val="nil"/>
              <w:bottom w:val="single" w:sz="4" w:space="0" w:color="auto"/>
              <w:right w:val="single" w:sz="4" w:space="0" w:color="auto"/>
            </w:tcBorders>
            <w:shd w:val="clear" w:color="auto" w:fill="auto"/>
            <w:vAlign w:val="center"/>
            <w:hideMark/>
          </w:tcPr>
          <w:p w:rsidR="0043688B" w:rsidRPr="00551E61" w:rsidRDefault="0043688B" w:rsidP="0043688B">
            <w:pPr>
              <w:spacing w:after="0" w:line="240" w:lineRule="auto"/>
              <w:jc w:val="center"/>
              <w:rPr>
                <w:rFonts w:ascii="Arial" w:eastAsia="Times New Roman" w:hAnsi="Arial" w:cs="Arial"/>
                <w:color w:val="000000"/>
                <w:sz w:val="20"/>
                <w:szCs w:val="20"/>
                <w:lang w:eastAsia="es-ES"/>
              </w:rPr>
            </w:pPr>
            <w:r w:rsidRPr="00551E61">
              <w:rPr>
                <w:rFonts w:ascii="Arial" w:eastAsia="Times New Roman" w:hAnsi="Arial" w:cs="Arial"/>
                <w:color w:val="000000"/>
                <w:sz w:val="20"/>
                <w:szCs w:val="20"/>
                <w:lang w:eastAsia="es-ES"/>
              </w:rPr>
              <w:t>245.65</w:t>
            </w:r>
          </w:p>
        </w:tc>
        <w:tc>
          <w:tcPr>
            <w:tcW w:w="1729" w:type="dxa"/>
            <w:tcBorders>
              <w:top w:val="nil"/>
              <w:left w:val="nil"/>
              <w:bottom w:val="single" w:sz="4" w:space="0" w:color="auto"/>
              <w:right w:val="single" w:sz="4" w:space="0" w:color="auto"/>
            </w:tcBorders>
            <w:shd w:val="clear" w:color="auto" w:fill="auto"/>
            <w:vAlign w:val="center"/>
            <w:hideMark/>
          </w:tcPr>
          <w:p w:rsidR="0043688B" w:rsidRPr="00551E61" w:rsidRDefault="0043688B" w:rsidP="0043688B">
            <w:pPr>
              <w:spacing w:after="0" w:line="240" w:lineRule="auto"/>
              <w:jc w:val="center"/>
              <w:rPr>
                <w:rFonts w:ascii="Arial" w:eastAsia="Times New Roman" w:hAnsi="Arial" w:cs="Arial"/>
                <w:color w:val="000000"/>
                <w:sz w:val="20"/>
                <w:szCs w:val="20"/>
                <w:lang w:eastAsia="es-ES"/>
              </w:rPr>
            </w:pPr>
            <w:r w:rsidRPr="00551E61">
              <w:rPr>
                <w:rFonts w:ascii="Arial" w:eastAsia="Times New Roman" w:hAnsi="Arial" w:cs="Arial"/>
                <w:color w:val="000000"/>
                <w:sz w:val="20"/>
                <w:szCs w:val="20"/>
                <w:lang w:eastAsia="es-ES"/>
              </w:rPr>
              <w:t>7</w:t>
            </w:r>
          </w:p>
        </w:tc>
        <w:tc>
          <w:tcPr>
            <w:tcW w:w="1515" w:type="dxa"/>
            <w:tcBorders>
              <w:top w:val="nil"/>
              <w:left w:val="nil"/>
              <w:bottom w:val="single" w:sz="4" w:space="0" w:color="auto"/>
              <w:right w:val="single" w:sz="4" w:space="0" w:color="auto"/>
            </w:tcBorders>
            <w:shd w:val="clear" w:color="auto" w:fill="auto"/>
            <w:vAlign w:val="center"/>
            <w:hideMark/>
          </w:tcPr>
          <w:p w:rsidR="0043688B" w:rsidRPr="00551E61" w:rsidRDefault="0043688B" w:rsidP="0043688B">
            <w:pPr>
              <w:spacing w:after="0" w:line="240" w:lineRule="auto"/>
              <w:jc w:val="center"/>
              <w:rPr>
                <w:rFonts w:ascii="Arial" w:eastAsia="Times New Roman" w:hAnsi="Arial" w:cs="Arial"/>
                <w:color w:val="000000"/>
                <w:sz w:val="20"/>
                <w:szCs w:val="20"/>
                <w:lang w:eastAsia="es-ES"/>
              </w:rPr>
            </w:pPr>
            <w:r w:rsidRPr="00551E61">
              <w:rPr>
                <w:rFonts w:ascii="Arial" w:eastAsia="Times New Roman" w:hAnsi="Arial" w:cs="Arial"/>
                <w:color w:val="000000"/>
                <w:sz w:val="20"/>
                <w:szCs w:val="20"/>
                <w:lang w:eastAsia="es-ES"/>
              </w:rPr>
              <w:t>1</w:t>
            </w:r>
            <w:r w:rsidR="00B452D5" w:rsidRPr="00551E61">
              <w:rPr>
                <w:rFonts w:ascii="Arial" w:eastAsia="Times New Roman" w:hAnsi="Arial" w:cs="Arial"/>
                <w:color w:val="000000"/>
                <w:sz w:val="20"/>
                <w:szCs w:val="20"/>
                <w:lang w:eastAsia="es-ES"/>
              </w:rPr>
              <w:t>,</w:t>
            </w:r>
            <w:r w:rsidRPr="00551E61">
              <w:rPr>
                <w:rFonts w:ascii="Arial" w:eastAsia="Times New Roman" w:hAnsi="Arial" w:cs="Arial"/>
                <w:color w:val="000000"/>
                <w:sz w:val="20"/>
                <w:szCs w:val="20"/>
                <w:lang w:eastAsia="es-ES"/>
              </w:rPr>
              <w:t>719.6</w:t>
            </w:r>
          </w:p>
        </w:tc>
      </w:tr>
      <w:tr w:rsidR="0043688B" w:rsidRPr="00551E61" w:rsidTr="00B452D5">
        <w:trPr>
          <w:trHeight w:val="315"/>
          <w:jc w:val="center"/>
        </w:trPr>
        <w:tc>
          <w:tcPr>
            <w:tcW w:w="1697" w:type="dxa"/>
            <w:tcBorders>
              <w:top w:val="nil"/>
              <w:left w:val="single" w:sz="4" w:space="0" w:color="auto"/>
              <w:bottom w:val="single" w:sz="4" w:space="0" w:color="auto"/>
              <w:right w:val="single" w:sz="4" w:space="0" w:color="auto"/>
            </w:tcBorders>
            <w:shd w:val="clear" w:color="auto" w:fill="auto"/>
            <w:vAlign w:val="center"/>
            <w:hideMark/>
          </w:tcPr>
          <w:p w:rsidR="0043688B" w:rsidRPr="00551E61" w:rsidRDefault="0043688B" w:rsidP="0043688B">
            <w:pPr>
              <w:spacing w:after="0" w:line="240" w:lineRule="auto"/>
              <w:rPr>
                <w:rFonts w:ascii="Arial" w:eastAsia="Times New Roman" w:hAnsi="Arial" w:cs="Arial"/>
                <w:color w:val="000000"/>
                <w:sz w:val="20"/>
                <w:szCs w:val="20"/>
                <w:lang w:eastAsia="es-ES"/>
              </w:rPr>
            </w:pPr>
            <w:r w:rsidRPr="00551E61">
              <w:rPr>
                <w:rFonts w:ascii="Arial" w:eastAsia="Times New Roman" w:hAnsi="Arial" w:cs="Arial"/>
                <w:color w:val="000000"/>
                <w:sz w:val="20"/>
                <w:szCs w:val="20"/>
                <w:lang w:eastAsia="es-ES"/>
              </w:rPr>
              <w:t>Pared</w:t>
            </w:r>
          </w:p>
        </w:tc>
        <w:tc>
          <w:tcPr>
            <w:tcW w:w="886" w:type="dxa"/>
            <w:tcBorders>
              <w:top w:val="nil"/>
              <w:left w:val="nil"/>
              <w:bottom w:val="single" w:sz="4" w:space="0" w:color="auto"/>
              <w:right w:val="single" w:sz="4" w:space="0" w:color="auto"/>
            </w:tcBorders>
            <w:shd w:val="clear" w:color="auto" w:fill="auto"/>
            <w:vAlign w:val="center"/>
            <w:hideMark/>
          </w:tcPr>
          <w:p w:rsidR="0043688B" w:rsidRPr="00551E61" w:rsidRDefault="0043688B" w:rsidP="0043688B">
            <w:pPr>
              <w:spacing w:after="0" w:line="240" w:lineRule="auto"/>
              <w:jc w:val="center"/>
              <w:rPr>
                <w:rFonts w:ascii="Arial" w:eastAsia="Times New Roman" w:hAnsi="Arial" w:cs="Arial"/>
                <w:color w:val="000000"/>
                <w:sz w:val="20"/>
                <w:szCs w:val="20"/>
                <w:lang w:eastAsia="es-ES"/>
              </w:rPr>
            </w:pPr>
            <w:r w:rsidRPr="00551E61">
              <w:rPr>
                <w:rFonts w:ascii="Arial" w:eastAsia="Times New Roman" w:hAnsi="Arial" w:cs="Arial"/>
                <w:color w:val="000000"/>
                <w:sz w:val="20"/>
                <w:szCs w:val="20"/>
                <w:lang w:eastAsia="es-ES"/>
              </w:rPr>
              <w:t>M2</w:t>
            </w:r>
          </w:p>
        </w:tc>
        <w:tc>
          <w:tcPr>
            <w:tcW w:w="1405" w:type="dxa"/>
            <w:tcBorders>
              <w:top w:val="nil"/>
              <w:left w:val="nil"/>
              <w:bottom w:val="single" w:sz="4" w:space="0" w:color="auto"/>
              <w:right w:val="single" w:sz="4" w:space="0" w:color="auto"/>
            </w:tcBorders>
            <w:shd w:val="clear" w:color="auto" w:fill="auto"/>
            <w:vAlign w:val="center"/>
            <w:hideMark/>
          </w:tcPr>
          <w:p w:rsidR="0043688B" w:rsidRPr="00551E61" w:rsidRDefault="0043688B" w:rsidP="0043688B">
            <w:pPr>
              <w:spacing w:after="0" w:line="240" w:lineRule="auto"/>
              <w:jc w:val="center"/>
              <w:rPr>
                <w:rFonts w:ascii="Arial" w:eastAsia="Times New Roman" w:hAnsi="Arial" w:cs="Arial"/>
                <w:color w:val="000000"/>
                <w:sz w:val="20"/>
                <w:szCs w:val="20"/>
                <w:lang w:eastAsia="es-ES"/>
              </w:rPr>
            </w:pPr>
            <w:r w:rsidRPr="00551E61">
              <w:rPr>
                <w:rFonts w:ascii="Arial" w:eastAsia="Times New Roman" w:hAnsi="Arial" w:cs="Arial"/>
                <w:color w:val="000000"/>
                <w:sz w:val="20"/>
                <w:szCs w:val="20"/>
                <w:lang w:eastAsia="es-ES"/>
              </w:rPr>
              <w:t>17.24</w:t>
            </w:r>
          </w:p>
        </w:tc>
        <w:tc>
          <w:tcPr>
            <w:tcW w:w="1729" w:type="dxa"/>
            <w:tcBorders>
              <w:top w:val="nil"/>
              <w:left w:val="nil"/>
              <w:bottom w:val="single" w:sz="4" w:space="0" w:color="auto"/>
              <w:right w:val="single" w:sz="4" w:space="0" w:color="auto"/>
            </w:tcBorders>
            <w:shd w:val="clear" w:color="auto" w:fill="auto"/>
            <w:vAlign w:val="center"/>
            <w:hideMark/>
          </w:tcPr>
          <w:p w:rsidR="0043688B" w:rsidRPr="00551E61" w:rsidRDefault="0043688B" w:rsidP="0043688B">
            <w:pPr>
              <w:spacing w:after="0" w:line="240" w:lineRule="auto"/>
              <w:jc w:val="center"/>
              <w:rPr>
                <w:rFonts w:ascii="Arial" w:eastAsia="Times New Roman" w:hAnsi="Arial" w:cs="Arial"/>
                <w:color w:val="000000"/>
                <w:sz w:val="20"/>
                <w:szCs w:val="20"/>
                <w:lang w:eastAsia="es-ES"/>
              </w:rPr>
            </w:pPr>
            <w:r w:rsidRPr="00551E61">
              <w:rPr>
                <w:rFonts w:ascii="Arial" w:eastAsia="Times New Roman" w:hAnsi="Arial" w:cs="Arial"/>
                <w:color w:val="000000"/>
                <w:sz w:val="20"/>
                <w:szCs w:val="20"/>
                <w:lang w:eastAsia="es-ES"/>
              </w:rPr>
              <w:t>250</w:t>
            </w:r>
          </w:p>
        </w:tc>
        <w:tc>
          <w:tcPr>
            <w:tcW w:w="1515" w:type="dxa"/>
            <w:tcBorders>
              <w:top w:val="nil"/>
              <w:left w:val="nil"/>
              <w:bottom w:val="single" w:sz="4" w:space="0" w:color="auto"/>
              <w:right w:val="single" w:sz="4" w:space="0" w:color="auto"/>
            </w:tcBorders>
            <w:shd w:val="clear" w:color="auto" w:fill="auto"/>
            <w:vAlign w:val="center"/>
            <w:hideMark/>
          </w:tcPr>
          <w:p w:rsidR="0043688B" w:rsidRPr="00551E61" w:rsidRDefault="0043688B" w:rsidP="0043688B">
            <w:pPr>
              <w:spacing w:after="0" w:line="240" w:lineRule="auto"/>
              <w:jc w:val="center"/>
              <w:rPr>
                <w:rFonts w:ascii="Arial" w:eastAsia="Times New Roman" w:hAnsi="Arial" w:cs="Arial"/>
                <w:color w:val="000000"/>
                <w:sz w:val="20"/>
                <w:szCs w:val="20"/>
                <w:lang w:eastAsia="es-ES"/>
              </w:rPr>
            </w:pPr>
            <w:r w:rsidRPr="00551E61">
              <w:rPr>
                <w:rFonts w:ascii="Arial" w:eastAsia="Times New Roman" w:hAnsi="Arial" w:cs="Arial"/>
                <w:color w:val="000000"/>
                <w:sz w:val="20"/>
                <w:szCs w:val="20"/>
                <w:lang w:eastAsia="es-ES"/>
              </w:rPr>
              <w:t>4</w:t>
            </w:r>
            <w:r w:rsidR="00B452D5" w:rsidRPr="00551E61">
              <w:rPr>
                <w:rFonts w:ascii="Arial" w:eastAsia="Times New Roman" w:hAnsi="Arial" w:cs="Arial"/>
                <w:color w:val="000000"/>
                <w:sz w:val="20"/>
                <w:szCs w:val="20"/>
                <w:lang w:eastAsia="es-ES"/>
              </w:rPr>
              <w:t>,</w:t>
            </w:r>
            <w:r w:rsidRPr="00551E61">
              <w:rPr>
                <w:rFonts w:ascii="Arial" w:eastAsia="Times New Roman" w:hAnsi="Arial" w:cs="Arial"/>
                <w:color w:val="000000"/>
                <w:sz w:val="20"/>
                <w:szCs w:val="20"/>
                <w:lang w:eastAsia="es-ES"/>
              </w:rPr>
              <w:t>309.8</w:t>
            </w:r>
          </w:p>
        </w:tc>
      </w:tr>
      <w:tr w:rsidR="0043688B" w:rsidRPr="00551E61" w:rsidTr="00B452D5">
        <w:trPr>
          <w:trHeight w:val="315"/>
          <w:jc w:val="center"/>
        </w:trPr>
        <w:tc>
          <w:tcPr>
            <w:tcW w:w="1697" w:type="dxa"/>
            <w:tcBorders>
              <w:top w:val="nil"/>
              <w:left w:val="single" w:sz="4" w:space="0" w:color="auto"/>
              <w:bottom w:val="single" w:sz="4" w:space="0" w:color="auto"/>
              <w:right w:val="single" w:sz="4" w:space="0" w:color="auto"/>
            </w:tcBorders>
            <w:shd w:val="clear" w:color="auto" w:fill="auto"/>
            <w:vAlign w:val="center"/>
            <w:hideMark/>
          </w:tcPr>
          <w:p w:rsidR="0043688B" w:rsidRPr="00551E61" w:rsidRDefault="00FC75D6" w:rsidP="0043688B">
            <w:pPr>
              <w:spacing w:after="0" w:line="240" w:lineRule="auto"/>
              <w:rPr>
                <w:rFonts w:ascii="Arial" w:eastAsia="Times New Roman" w:hAnsi="Arial" w:cs="Arial"/>
                <w:color w:val="000000"/>
                <w:sz w:val="20"/>
                <w:szCs w:val="20"/>
                <w:lang w:eastAsia="es-ES"/>
              </w:rPr>
            </w:pPr>
            <w:r w:rsidRPr="00551E61">
              <w:rPr>
                <w:rFonts w:ascii="Arial" w:eastAsia="Times New Roman" w:hAnsi="Arial" w:cs="Arial"/>
                <w:color w:val="000000"/>
                <w:sz w:val="20"/>
                <w:szCs w:val="20"/>
                <w:lang w:eastAsia="es-ES"/>
              </w:rPr>
              <w:t>Séptico</w:t>
            </w:r>
            <w:r w:rsidR="0043688B" w:rsidRPr="00551E61">
              <w:rPr>
                <w:rFonts w:ascii="Arial" w:eastAsia="Times New Roman" w:hAnsi="Arial" w:cs="Arial"/>
                <w:color w:val="000000"/>
                <w:sz w:val="20"/>
                <w:szCs w:val="20"/>
                <w:lang w:eastAsia="es-ES"/>
              </w:rPr>
              <w:t> </w:t>
            </w:r>
          </w:p>
        </w:tc>
        <w:tc>
          <w:tcPr>
            <w:tcW w:w="886" w:type="dxa"/>
            <w:tcBorders>
              <w:top w:val="nil"/>
              <w:left w:val="nil"/>
              <w:bottom w:val="single" w:sz="4" w:space="0" w:color="auto"/>
              <w:right w:val="single" w:sz="4" w:space="0" w:color="auto"/>
            </w:tcBorders>
            <w:shd w:val="clear" w:color="auto" w:fill="auto"/>
            <w:vAlign w:val="center"/>
            <w:hideMark/>
          </w:tcPr>
          <w:p w:rsidR="0043688B" w:rsidRPr="00551E61" w:rsidRDefault="00B452D5" w:rsidP="0043688B">
            <w:pPr>
              <w:spacing w:after="0" w:line="240" w:lineRule="auto"/>
              <w:jc w:val="center"/>
              <w:rPr>
                <w:rFonts w:ascii="Arial" w:eastAsia="Times New Roman" w:hAnsi="Arial" w:cs="Arial"/>
                <w:color w:val="000000"/>
                <w:sz w:val="20"/>
                <w:szCs w:val="20"/>
                <w:lang w:eastAsia="es-ES"/>
              </w:rPr>
            </w:pPr>
            <w:r w:rsidRPr="00551E61">
              <w:rPr>
                <w:rFonts w:ascii="Arial" w:eastAsia="Times New Roman" w:hAnsi="Arial" w:cs="Arial"/>
                <w:color w:val="000000"/>
                <w:sz w:val="20"/>
                <w:szCs w:val="20"/>
                <w:lang w:eastAsia="es-ES"/>
              </w:rPr>
              <w:t>Unidad</w:t>
            </w:r>
          </w:p>
        </w:tc>
        <w:tc>
          <w:tcPr>
            <w:tcW w:w="1405" w:type="dxa"/>
            <w:tcBorders>
              <w:top w:val="nil"/>
              <w:left w:val="nil"/>
              <w:bottom w:val="single" w:sz="4" w:space="0" w:color="auto"/>
              <w:right w:val="single" w:sz="4" w:space="0" w:color="auto"/>
            </w:tcBorders>
            <w:shd w:val="clear" w:color="auto" w:fill="auto"/>
            <w:vAlign w:val="center"/>
            <w:hideMark/>
          </w:tcPr>
          <w:p w:rsidR="0043688B" w:rsidRPr="00551E61" w:rsidRDefault="0043688B" w:rsidP="0043688B">
            <w:pPr>
              <w:spacing w:after="0" w:line="240" w:lineRule="auto"/>
              <w:jc w:val="center"/>
              <w:rPr>
                <w:rFonts w:ascii="Arial" w:eastAsia="Times New Roman" w:hAnsi="Arial" w:cs="Arial"/>
                <w:color w:val="000000"/>
                <w:sz w:val="20"/>
                <w:szCs w:val="20"/>
                <w:lang w:eastAsia="es-ES"/>
              </w:rPr>
            </w:pPr>
            <w:r w:rsidRPr="00551E61">
              <w:rPr>
                <w:rFonts w:ascii="Arial" w:eastAsia="Times New Roman" w:hAnsi="Arial" w:cs="Arial"/>
                <w:color w:val="000000"/>
                <w:sz w:val="20"/>
                <w:szCs w:val="20"/>
                <w:lang w:eastAsia="es-ES"/>
              </w:rPr>
              <w:t>1</w:t>
            </w:r>
            <w:r w:rsidR="00B452D5" w:rsidRPr="00551E61">
              <w:rPr>
                <w:rFonts w:ascii="Arial" w:eastAsia="Times New Roman" w:hAnsi="Arial" w:cs="Arial"/>
                <w:color w:val="000000"/>
                <w:sz w:val="20"/>
                <w:szCs w:val="20"/>
                <w:lang w:eastAsia="es-ES"/>
              </w:rPr>
              <w:t>,</w:t>
            </w:r>
            <w:r w:rsidRPr="00551E61">
              <w:rPr>
                <w:rFonts w:ascii="Arial" w:eastAsia="Times New Roman" w:hAnsi="Arial" w:cs="Arial"/>
                <w:color w:val="000000"/>
                <w:sz w:val="20"/>
                <w:szCs w:val="20"/>
                <w:lang w:eastAsia="es-ES"/>
              </w:rPr>
              <w:t>060.87</w:t>
            </w:r>
          </w:p>
        </w:tc>
        <w:tc>
          <w:tcPr>
            <w:tcW w:w="1729" w:type="dxa"/>
            <w:tcBorders>
              <w:top w:val="nil"/>
              <w:left w:val="nil"/>
              <w:bottom w:val="single" w:sz="4" w:space="0" w:color="auto"/>
              <w:right w:val="single" w:sz="4" w:space="0" w:color="auto"/>
            </w:tcBorders>
            <w:shd w:val="clear" w:color="auto" w:fill="auto"/>
            <w:vAlign w:val="center"/>
            <w:hideMark/>
          </w:tcPr>
          <w:p w:rsidR="0043688B" w:rsidRPr="00551E61" w:rsidRDefault="0043688B" w:rsidP="0043688B">
            <w:pPr>
              <w:spacing w:after="0" w:line="240" w:lineRule="auto"/>
              <w:jc w:val="center"/>
              <w:rPr>
                <w:rFonts w:ascii="Arial" w:eastAsia="Times New Roman" w:hAnsi="Arial" w:cs="Arial"/>
                <w:color w:val="000000"/>
                <w:sz w:val="20"/>
                <w:szCs w:val="20"/>
                <w:lang w:eastAsia="es-ES"/>
              </w:rPr>
            </w:pPr>
            <w:r w:rsidRPr="00551E61">
              <w:rPr>
                <w:rFonts w:ascii="Arial" w:eastAsia="Times New Roman" w:hAnsi="Arial" w:cs="Arial"/>
                <w:color w:val="000000"/>
                <w:sz w:val="20"/>
                <w:szCs w:val="20"/>
                <w:lang w:eastAsia="es-ES"/>
              </w:rPr>
              <w:t>1</w:t>
            </w:r>
          </w:p>
        </w:tc>
        <w:tc>
          <w:tcPr>
            <w:tcW w:w="1515" w:type="dxa"/>
            <w:tcBorders>
              <w:top w:val="nil"/>
              <w:left w:val="nil"/>
              <w:bottom w:val="single" w:sz="4" w:space="0" w:color="auto"/>
              <w:right w:val="single" w:sz="4" w:space="0" w:color="auto"/>
            </w:tcBorders>
            <w:shd w:val="clear" w:color="auto" w:fill="auto"/>
            <w:vAlign w:val="center"/>
            <w:hideMark/>
          </w:tcPr>
          <w:p w:rsidR="0043688B" w:rsidRPr="00551E61" w:rsidRDefault="0043688B" w:rsidP="0043688B">
            <w:pPr>
              <w:spacing w:after="0" w:line="240" w:lineRule="auto"/>
              <w:jc w:val="center"/>
              <w:rPr>
                <w:rFonts w:ascii="Arial" w:eastAsia="Times New Roman" w:hAnsi="Arial" w:cs="Arial"/>
                <w:color w:val="000000"/>
                <w:sz w:val="20"/>
                <w:szCs w:val="20"/>
                <w:lang w:eastAsia="es-ES"/>
              </w:rPr>
            </w:pPr>
            <w:r w:rsidRPr="00551E61">
              <w:rPr>
                <w:rFonts w:ascii="Arial" w:eastAsia="Times New Roman" w:hAnsi="Arial" w:cs="Arial"/>
                <w:color w:val="000000"/>
                <w:sz w:val="20"/>
                <w:szCs w:val="20"/>
                <w:lang w:eastAsia="es-ES"/>
              </w:rPr>
              <w:t>1</w:t>
            </w:r>
            <w:r w:rsidR="00B452D5" w:rsidRPr="00551E61">
              <w:rPr>
                <w:rFonts w:ascii="Arial" w:eastAsia="Times New Roman" w:hAnsi="Arial" w:cs="Arial"/>
                <w:color w:val="000000"/>
                <w:sz w:val="20"/>
                <w:szCs w:val="20"/>
                <w:lang w:eastAsia="es-ES"/>
              </w:rPr>
              <w:t>,</w:t>
            </w:r>
            <w:r w:rsidRPr="00551E61">
              <w:rPr>
                <w:rFonts w:ascii="Arial" w:eastAsia="Times New Roman" w:hAnsi="Arial" w:cs="Arial"/>
                <w:color w:val="000000"/>
                <w:sz w:val="20"/>
                <w:szCs w:val="20"/>
                <w:lang w:eastAsia="es-ES"/>
              </w:rPr>
              <w:t>060.9</w:t>
            </w:r>
          </w:p>
        </w:tc>
      </w:tr>
      <w:tr w:rsidR="0043688B" w:rsidRPr="00551E61" w:rsidTr="00B452D5">
        <w:trPr>
          <w:trHeight w:val="315"/>
          <w:jc w:val="center"/>
        </w:trPr>
        <w:tc>
          <w:tcPr>
            <w:tcW w:w="1697" w:type="dxa"/>
            <w:tcBorders>
              <w:top w:val="nil"/>
              <w:left w:val="single" w:sz="4" w:space="0" w:color="auto"/>
              <w:bottom w:val="single" w:sz="4" w:space="0" w:color="auto"/>
              <w:right w:val="single" w:sz="4" w:space="0" w:color="auto"/>
            </w:tcBorders>
            <w:shd w:val="clear" w:color="auto" w:fill="auto"/>
            <w:vAlign w:val="center"/>
            <w:hideMark/>
          </w:tcPr>
          <w:p w:rsidR="0043688B" w:rsidRPr="00551E61" w:rsidRDefault="00FC75D6" w:rsidP="0043688B">
            <w:pPr>
              <w:spacing w:after="0" w:line="240" w:lineRule="auto"/>
              <w:rPr>
                <w:rFonts w:ascii="Arial" w:eastAsia="Times New Roman" w:hAnsi="Arial" w:cs="Arial"/>
                <w:color w:val="000000"/>
                <w:sz w:val="20"/>
                <w:szCs w:val="20"/>
                <w:lang w:eastAsia="es-ES"/>
              </w:rPr>
            </w:pPr>
            <w:r w:rsidRPr="00551E61">
              <w:rPr>
                <w:rFonts w:ascii="Arial" w:eastAsia="Times New Roman" w:hAnsi="Arial" w:cs="Arial"/>
                <w:color w:val="000000"/>
                <w:sz w:val="20"/>
                <w:szCs w:val="20"/>
                <w:lang w:eastAsia="es-ES"/>
              </w:rPr>
              <w:t>Baño</w:t>
            </w:r>
          </w:p>
        </w:tc>
        <w:tc>
          <w:tcPr>
            <w:tcW w:w="886" w:type="dxa"/>
            <w:tcBorders>
              <w:top w:val="nil"/>
              <w:left w:val="nil"/>
              <w:bottom w:val="single" w:sz="4" w:space="0" w:color="auto"/>
              <w:right w:val="single" w:sz="4" w:space="0" w:color="auto"/>
            </w:tcBorders>
            <w:shd w:val="clear" w:color="auto" w:fill="auto"/>
            <w:vAlign w:val="center"/>
            <w:hideMark/>
          </w:tcPr>
          <w:p w:rsidR="0043688B" w:rsidRPr="00551E61" w:rsidRDefault="00B452D5" w:rsidP="0043688B">
            <w:pPr>
              <w:spacing w:after="0" w:line="240" w:lineRule="auto"/>
              <w:jc w:val="center"/>
              <w:rPr>
                <w:rFonts w:ascii="Arial" w:eastAsia="Times New Roman" w:hAnsi="Arial" w:cs="Arial"/>
                <w:color w:val="000000"/>
                <w:sz w:val="20"/>
                <w:szCs w:val="20"/>
                <w:lang w:eastAsia="es-ES"/>
              </w:rPr>
            </w:pPr>
            <w:r w:rsidRPr="00551E61">
              <w:rPr>
                <w:rFonts w:ascii="Arial" w:eastAsia="Times New Roman" w:hAnsi="Arial" w:cs="Arial"/>
                <w:color w:val="000000"/>
                <w:sz w:val="20"/>
                <w:szCs w:val="20"/>
                <w:lang w:eastAsia="es-ES"/>
              </w:rPr>
              <w:t>Unidad</w:t>
            </w:r>
          </w:p>
        </w:tc>
        <w:tc>
          <w:tcPr>
            <w:tcW w:w="1405" w:type="dxa"/>
            <w:tcBorders>
              <w:top w:val="nil"/>
              <w:left w:val="nil"/>
              <w:bottom w:val="single" w:sz="4" w:space="0" w:color="auto"/>
              <w:right w:val="single" w:sz="4" w:space="0" w:color="auto"/>
            </w:tcBorders>
            <w:shd w:val="clear" w:color="auto" w:fill="auto"/>
            <w:vAlign w:val="center"/>
            <w:hideMark/>
          </w:tcPr>
          <w:p w:rsidR="0043688B" w:rsidRPr="00551E61" w:rsidRDefault="0043688B" w:rsidP="0043688B">
            <w:pPr>
              <w:spacing w:after="0" w:line="240" w:lineRule="auto"/>
              <w:jc w:val="center"/>
              <w:rPr>
                <w:rFonts w:ascii="Arial" w:eastAsia="Times New Roman" w:hAnsi="Arial" w:cs="Arial"/>
                <w:color w:val="000000"/>
                <w:sz w:val="20"/>
                <w:szCs w:val="20"/>
                <w:lang w:eastAsia="es-ES"/>
              </w:rPr>
            </w:pPr>
            <w:r w:rsidRPr="00551E61">
              <w:rPr>
                <w:rFonts w:ascii="Arial" w:eastAsia="Times New Roman" w:hAnsi="Arial" w:cs="Arial"/>
                <w:color w:val="000000"/>
                <w:sz w:val="20"/>
                <w:szCs w:val="20"/>
                <w:lang w:eastAsia="es-ES"/>
              </w:rPr>
              <w:t>2</w:t>
            </w:r>
            <w:r w:rsidR="00B452D5" w:rsidRPr="00551E61">
              <w:rPr>
                <w:rFonts w:ascii="Arial" w:eastAsia="Times New Roman" w:hAnsi="Arial" w:cs="Arial"/>
                <w:color w:val="000000"/>
                <w:sz w:val="20"/>
                <w:szCs w:val="20"/>
                <w:lang w:eastAsia="es-ES"/>
              </w:rPr>
              <w:t>,</w:t>
            </w:r>
            <w:r w:rsidRPr="00551E61">
              <w:rPr>
                <w:rFonts w:ascii="Arial" w:eastAsia="Times New Roman" w:hAnsi="Arial" w:cs="Arial"/>
                <w:color w:val="000000"/>
                <w:sz w:val="20"/>
                <w:szCs w:val="20"/>
                <w:lang w:eastAsia="es-ES"/>
              </w:rPr>
              <w:t>065.22</w:t>
            </w:r>
          </w:p>
        </w:tc>
        <w:tc>
          <w:tcPr>
            <w:tcW w:w="1729" w:type="dxa"/>
            <w:tcBorders>
              <w:top w:val="nil"/>
              <w:left w:val="nil"/>
              <w:bottom w:val="single" w:sz="4" w:space="0" w:color="auto"/>
              <w:right w:val="single" w:sz="4" w:space="0" w:color="auto"/>
            </w:tcBorders>
            <w:shd w:val="clear" w:color="auto" w:fill="auto"/>
            <w:vAlign w:val="center"/>
            <w:hideMark/>
          </w:tcPr>
          <w:p w:rsidR="0043688B" w:rsidRPr="00551E61" w:rsidRDefault="0043688B" w:rsidP="0043688B">
            <w:pPr>
              <w:spacing w:after="0" w:line="240" w:lineRule="auto"/>
              <w:jc w:val="center"/>
              <w:rPr>
                <w:rFonts w:ascii="Arial" w:eastAsia="Times New Roman" w:hAnsi="Arial" w:cs="Arial"/>
                <w:color w:val="000000"/>
                <w:sz w:val="20"/>
                <w:szCs w:val="20"/>
                <w:lang w:eastAsia="es-ES"/>
              </w:rPr>
            </w:pPr>
            <w:r w:rsidRPr="00551E61">
              <w:rPr>
                <w:rFonts w:ascii="Arial" w:eastAsia="Times New Roman" w:hAnsi="Arial" w:cs="Arial"/>
                <w:color w:val="000000"/>
                <w:sz w:val="20"/>
                <w:szCs w:val="20"/>
                <w:lang w:eastAsia="es-ES"/>
              </w:rPr>
              <w:t>1</w:t>
            </w:r>
          </w:p>
        </w:tc>
        <w:tc>
          <w:tcPr>
            <w:tcW w:w="1515" w:type="dxa"/>
            <w:tcBorders>
              <w:top w:val="nil"/>
              <w:left w:val="nil"/>
              <w:bottom w:val="single" w:sz="4" w:space="0" w:color="auto"/>
              <w:right w:val="single" w:sz="4" w:space="0" w:color="auto"/>
            </w:tcBorders>
            <w:shd w:val="clear" w:color="auto" w:fill="auto"/>
            <w:vAlign w:val="center"/>
            <w:hideMark/>
          </w:tcPr>
          <w:p w:rsidR="0043688B" w:rsidRPr="00551E61" w:rsidRDefault="0043688B" w:rsidP="0043688B">
            <w:pPr>
              <w:spacing w:after="0" w:line="240" w:lineRule="auto"/>
              <w:jc w:val="center"/>
              <w:rPr>
                <w:rFonts w:ascii="Arial" w:eastAsia="Times New Roman" w:hAnsi="Arial" w:cs="Arial"/>
                <w:color w:val="000000"/>
                <w:sz w:val="20"/>
                <w:szCs w:val="20"/>
                <w:lang w:eastAsia="es-ES"/>
              </w:rPr>
            </w:pPr>
            <w:r w:rsidRPr="00551E61">
              <w:rPr>
                <w:rFonts w:ascii="Arial" w:eastAsia="Times New Roman" w:hAnsi="Arial" w:cs="Arial"/>
                <w:color w:val="000000"/>
                <w:sz w:val="20"/>
                <w:szCs w:val="20"/>
                <w:lang w:eastAsia="es-ES"/>
              </w:rPr>
              <w:t>2</w:t>
            </w:r>
            <w:r w:rsidR="00B452D5" w:rsidRPr="00551E61">
              <w:rPr>
                <w:rFonts w:ascii="Arial" w:eastAsia="Times New Roman" w:hAnsi="Arial" w:cs="Arial"/>
                <w:color w:val="000000"/>
                <w:sz w:val="20"/>
                <w:szCs w:val="20"/>
                <w:lang w:eastAsia="es-ES"/>
              </w:rPr>
              <w:t>,</w:t>
            </w:r>
            <w:r w:rsidRPr="00551E61">
              <w:rPr>
                <w:rFonts w:ascii="Arial" w:eastAsia="Times New Roman" w:hAnsi="Arial" w:cs="Arial"/>
                <w:color w:val="000000"/>
                <w:sz w:val="20"/>
                <w:szCs w:val="20"/>
                <w:lang w:eastAsia="es-ES"/>
              </w:rPr>
              <w:t>065.2</w:t>
            </w:r>
          </w:p>
        </w:tc>
      </w:tr>
    </w:tbl>
    <w:p w:rsidR="009D4E13" w:rsidRPr="00551E61" w:rsidRDefault="00FC75D6" w:rsidP="00063BCA">
      <w:pPr>
        <w:spacing w:after="0"/>
        <w:rPr>
          <w:rFonts w:ascii="Arial" w:hAnsi="Arial" w:cs="Arial"/>
          <w:lang w:val="es-ES_tradnl"/>
        </w:rPr>
      </w:pPr>
      <w:r w:rsidRPr="00551E61">
        <w:rPr>
          <w:rFonts w:ascii="Arial" w:hAnsi="Arial" w:cs="Arial"/>
          <w:lang w:val="es-ES_tradnl"/>
        </w:rPr>
        <w:tab/>
        <w:t>Fuente: Hábitat para la Humanidad República Dominicana</w:t>
      </w:r>
      <w:r w:rsidR="002602A9" w:rsidRPr="00551E61">
        <w:rPr>
          <w:rFonts w:ascii="Arial" w:hAnsi="Arial" w:cs="Arial"/>
          <w:lang w:val="es-ES_tradnl"/>
        </w:rPr>
        <w:t xml:space="preserve"> (2016)</w:t>
      </w:r>
    </w:p>
    <w:p w:rsidR="00063BCA" w:rsidRPr="00551E61" w:rsidRDefault="00063BCA" w:rsidP="00063BCA">
      <w:pPr>
        <w:spacing w:after="0"/>
        <w:rPr>
          <w:rFonts w:ascii="Arial" w:hAnsi="Arial" w:cs="Arial"/>
          <w:lang w:val="es-ES_tradnl"/>
        </w:rPr>
      </w:pPr>
    </w:p>
    <w:p w:rsidR="007D32FC" w:rsidRPr="00551E61" w:rsidRDefault="00515734" w:rsidP="00782C27">
      <w:pPr>
        <w:pStyle w:val="Paragraph"/>
        <w:numPr>
          <w:ilvl w:val="1"/>
          <w:numId w:val="1"/>
        </w:numPr>
        <w:tabs>
          <w:tab w:val="clear" w:pos="2736"/>
          <w:tab w:val="num" w:pos="720"/>
        </w:tabs>
        <w:ind w:left="720" w:hanging="720"/>
        <w:rPr>
          <w:rFonts w:ascii="Arial" w:hAnsi="Arial" w:cs="Arial"/>
          <w:sz w:val="22"/>
          <w:szCs w:val="22"/>
        </w:rPr>
      </w:pPr>
      <w:r w:rsidRPr="00551E61">
        <w:rPr>
          <w:rFonts w:ascii="Arial" w:hAnsi="Arial" w:cs="Arial"/>
          <w:sz w:val="22"/>
          <w:szCs w:val="22"/>
        </w:rPr>
        <w:t>Para la ejecución de las etapas 1</w:t>
      </w:r>
      <w:r w:rsidR="009A585C" w:rsidRPr="00551E61">
        <w:rPr>
          <w:rFonts w:ascii="Arial" w:hAnsi="Arial" w:cs="Arial"/>
          <w:sz w:val="22"/>
          <w:szCs w:val="22"/>
        </w:rPr>
        <w:t xml:space="preserve"> (selección de familias)</w:t>
      </w:r>
      <w:r w:rsidRPr="00551E61">
        <w:rPr>
          <w:rFonts w:ascii="Arial" w:hAnsi="Arial" w:cs="Arial"/>
          <w:sz w:val="22"/>
          <w:szCs w:val="22"/>
        </w:rPr>
        <w:t xml:space="preserve"> y 2</w:t>
      </w:r>
      <w:r w:rsidR="009A585C" w:rsidRPr="00551E61">
        <w:rPr>
          <w:rFonts w:ascii="Arial" w:hAnsi="Arial" w:cs="Arial"/>
          <w:sz w:val="22"/>
          <w:szCs w:val="22"/>
        </w:rPr>
        <w:t xml:space="preserve"> (levantamiento de información)</w:t>
      </w:r>
      <w:r w:rsidRPr="00551E61">
        <w:rPr>
          <w:rFonts w:ascii="Arial" w:hAnsi="Arial" w:cs="Arial"/>
          <w:sz w:val="22"/>
          <w:szCs w:val="22"/>
        </w:rPr>
        <w:t xml:space="preserve"> se sugiere contratar a un equipo</w:t>
      </w:r>
      <w:r w:rsidR="00446DFD" w:rsidRPr="00551E61">
        <w:rPr>
          <w:rFonts w:ascii="Arial" w:hAnsi="Arial" w:cs="Arial"/>
          <w:sz w:val="22"/>
          <w:szCs w:val="22"/>
        </w:rPr>
        <w:t xml:space="preserve"> gestor</w:t>
      </w:r>
      <w:r w:rsidR="002C494F" w:rsidRPr="00551E61">
        <w:rPr>
          <w:rFonts w:ascii="Arial" w:hAnsi="Arial" w:cs="Arial"/>
          <w:sz w:val="22"/>
          <w:szCs w:val="22"/>
        </w:rPr>
        <w:t xml:space="preserve"> por tres años </w:t>
      </w:r>
      <w:r w:rsidRPr="00551E61">
        <w:rPr>
          <w:rFonts w:ascii="Arial" w:hAnsi="Arial" w:cs="Arial"/>
          <w:sz w:val="22"/>
          <w:szCs w:val="22"/>
        </w:rPr>
        <w:t xml:space="preserve"> formado por un profesional de grado especialista que sirva como coordinador (ingeniero o arquitecto), dos profesionales </w:t>
      </w:r>
      <w:r w:rsidR="002C494F" w:rsidRPr="00551E61">
        <w:rPr>
          <w:rFonts w:ascii="Arial" w:hAnsi="Arial" w:cs="Arial"/>
          <w:sz w:val="22"/>
          <w:szCs w:val="22"/>
        </w:rPr>
        <w:t xml:space="preserve">del área social </w:t>
      </w:r>
      <w:r w:rsidRPr="00551E61">
        <w:rPr>
          <w:rFonts w:ascii="Arial" w:hAnsi="Arial" w:cs="Arial"/>
          <w:sz w:val="22"/>
          <w:szCs w:val="22"/>
        </w:rPr>
        <w:t xml:space="preserve">de grado analista (arquitecto, sociólogo, trabajador social o afines) y un asistente administrativo. </w:t>
      </w:r>
      <w:r w:rsidR="002C494F" w:rsidRPr="00551E61">
        <w:rPr>
          <w:rFonts w:ascii="Arial" w:hAnsi="Arial" w:cs="Arial"/>
          <w:sz w:val="22"/>
          <w:szCs w:val="22"/>
        </w:rPr>
        <w:t>Para la etapa 3</w:t>
      </w:r>
      <w:r w:rsidR="00551E61">
        <w:rPr>
          <w:rFonts w:ascii="Arial" w:hAnsi="Arial" w:cs="Arial"/>
          <w:sz w:val="22"/>
          <w:szCs w:val="22"/>
        </w:rPr>
        <w:t> </w:t>
      </w:r>
      <w:r w:rsidR="009A585C" w:rsidRPr="00551E61">
        <w:rPr>
          <w:rFonts w:ascii="Arial" w:hAnsi="Arial" w:cs="Arial"/>
          <w:sz w:val="22"/>
          <w:szCs w:val="22"/>
        </w:rPr>
        <w:t>(</w:t>
      </w:r>
      <w:r w:rsidR="006607FB" w:rsidRPr="00551E61">
        <w:rPr>
          <w:rFonts w:ascii="Arial" w:hAnsi="Arial" w:cs="Arial"/>
          <w:sz w:val="22"/>
          <w:szCs w:val="22"/>
        </w:rPr>
        <w:t>supervisión y acompañamiento social</w:t>
      </w:r>
      <w:r w:rsidR="009A585C" w:rsidRPr="00551E61">
        <w:rPr>
          <w:rFonts w:ascii="Arial" w:hAnsi="Arial" w:cs="Arial"/>
          <w:sz w:val="22"/>
          <w:szCs w:val="22"/>
        </w:rPr>
        <w:t xml:space="preserve">) </w:t>
      </w:r>
      <w:r w:rsidR="002C494F" w:rsidRPr="00551E61">
        <w:rPr>
          <w:rFonts w:ascii="Arial" w:hAnsi="Arial" w:cs="Arial"/>
          <w:sz w:val="22"/>
          <w:szCs w:val="22"/>
        </w:rPr>
        <w:t>se sugiere contratar por dos años a un equipo que tome como base el equipo anterior pero reemplace uno de los</w:t>
      </w:r>
      <w:r w:rsidR="009A585C" w:rsidRPr="00551E61">
        <w:rPr>
          <w:rFonts w:ascii="Arial" w:hAnsi="Arial" w:cs="Arial"/>
          <w:sz w:val="22"/>
          <w:szCs w:val="22"/>
        </w:rPr>
        <w:t xml:space="preserve"> profesionales del área social</w:t>
      </w:r>
      <w:r w:rsidR="002C494F" w:rsidRPr="00551E61">
        <w:rPr>
          <w:rFonts w:ascii="Arial" w:hAnsi="Arial" w:cs="Arial"/>
          <w:sz w:val="22"/>
          <w:szCs w:val="22"/>
        </w:rPr>
        <w:t xml:space="preserve"> por un profesional de tipo administrativo (contador, abogado o afines). Finalmente</w:t>
      </w:r>
      <w:r w:rsidR="00446DFD" w:rsidRPr="00551E61">
        <w:rPr>
          <w:rFonts w:ascii="Arial" w:hAnsi="Arial" w:cs="Arial"/>
          <w:sz w:val="22"/>
          <w:szCs w:val="22"/>
        </w:rPr>
        <w:t>,</w:t>
      </w:r>
      <w:r w:rsidR="002C494F" w:rsidRPr="00551E61">
        <w:rPr>
          <w:rFonts w:ascii="Arial" w:hAnsi="Arial" w:cs="Arial"/>
          <w:sz w:val="22"/>
          <w:szCs w:val="22"/>
        </w:rPr>
        <w:t xml:space="preserve"> deberá asignarse un presupuesto por materiales, logística, comunicación y equipos</w:t>
      </w:r>
      <w:r w:rsidR="00446DFD" w:rsidRPr="00551E61">
        <w:rPr>
          <w:rFonts w:ascii="Arial" w:hAnsi="Arial" w:cs="Arial"/>
          <w:sz w:val="22"/>
          <w:szCs w:val="22"/>
        </w:rPr>
        <w:t>. También se tendrán que contratar</w:t>
      </w:r>
      <w:r w:rsidR="002C494F" w:rsidRPr="00551E61">
        <w:rPr>
          <w:rFonts w:ascii="Arial" w:hAnsi="Arial" w:cs="Arial"/>
          <w:sz w:val="22"/>
          <w:szCs w:val="22"/>
        </w:rPr>
        <w:t xml:space="preserve"> las capacitaciones en técnicas constructivas y manejo financiero. </w:t>
      </w:r>
      <w:r w:rsidRPr="00551E61">
        <w:rPr>
          <w:rFonts w:ascii="Arial" w:hAnsi="Arial" w:cs="Arial"/>
          <w:sz w:val="22"/>
          <w:szCs w:val="22"/>
        </w:rPr>
        <w:t xml:space="preserve"> </w:t>
      </w:r>
      <w:r w:rsidR="002C494F" w:rsidRPr="00551E61">
        <w:rPr>
          <w:rFonts w:ascii="Arial" w:hAnsi="Arial" w:cs="Arial"/>
          <w:sz w:val="22"/>
          <w:szCs w:val="22"/>
        </w:rPr>
        <w:t xml:space="preserve">Como muestra el presupuesto adjunto </w:t>
      </w:r>
      <w:r w:rsidR="00446DFD" w:rsidRPr="00551E61">
        <w:rPr>
          <w:rFonts w:ascii="Arial" w:hAnsi="Arial" w:cs="Arial"/>
          <w:sz w:val="22"/>
          <w:szCs w:val="22"/>
        </w:rPr>
        <w:t>al final de este documento (tabla 7</w:t>
      </w:r>
      <w:r w:rsidR="002D70E2" w:rsidRPr="00551E61">
        <w:rPr>
          <w:rFonts w:ascii="Arial" w:hAnsi="Arial" w:cs="Arial"/>
          <w:sz w:val="22"/>
          <w:szCs w:val="22"/>
        </w:rPr>
        <w:t xml:space="preserve">) </w:t>
      </w:r>
      <w:r w:rsidR="00551E61">
        <w:rPr>
          <w:rFonts w:ascii="Arial" w:hAnsi="Arial" w:cs="Arial"/>
          <w:sz w:val="22"/>
          <w:szCs w:val="22"/>
        </w:rPr>
        <w:t>estos rubros se calculan en US$</w:t>
      </w:r>
      <w:r w:rsidR="002C494F" w:rsidRPr="00551E61">
        <w:rPr>
          <w:rFonts w:ascii="Arial" w:hAnsi="Arial" w:cs="Arial"/>
          <w:sz w:val="22"/>
          <w:szCs w:val="22"/>
        </w:rPr>
        <w:t>950</w:t>
      </w:r>
      <w:r w:rsidR="00551E61">
        <w:rPr>
          <w:rFonts w:ascii="Arial" w:hAnsi="Arial" w:cs="Arial"/>
          <w:sz w:val="22"/>
          <w:szCs w:val="22"/>
        </w:rPr>
        <w:t>.</w:t>
      </w:r>
      <w:r w:rsidR="002C494F" w:rsidRPr="00551E61">
        <w:rPr>
          <w:rFonts w:ascii="Arial" w:hAnsi="Arial" w:cs="Arial"/>
          <w:sz w:val="22"/>
          <w:szCs w:val="22"/>
        </w:rPr>
        <w:t>000. Sumando la elaboración del reglamento operativo (US$100</w:t>
      </w:r>
      <w:r w:rsidR="00551E61">
        <w:rPr>
          <w:rFonts w:ascii="Arial" w:hAnsi="Arial" w:cs="Arial"/>
          <w:sz w:val="22"/>
          <w:szCs w:val="22"/>
        </w:rPr>
        <w:t>.</w:t>
      </w:r>
      <w:r w:rsidR="002C494F" w:rsidRPr="00551E61">
        <w:rPr>
          <w:rFonts w:ascii="Arial" w:hAnsi="Arial" w:cs="Arial"/>
          <w:sz w:val="22"/>
          <w:szCs w:val="22"/>
        </w:rPr>
        <w:t>000)</w:t>
      </w:r>
      <w:r w:rsidR="00292795" w:rsidRPr="00551E61">
        <w:rPr>
          <w:rFonts w:ascii="Arial" w:hAnsi="Arial" w:cs="Arial"/>
          <w:sz w:val="22"/>
          <w:szCs w:val="22"/>
        </w:rPr>
        <w:t>, los estudios arqueológicos necesarios (US$50</w:t>
      </w:r>
      <w:r w:rsidR="00551E61">
        <w:rPr>
          <w:rFonts w:ascii="Arial" w:hAnsi="Arial" w:cs="Arial"/>
          <w:sz w:val="22"/>
          <w:szCs w:val="22"/>
        </w:rPr>
        <w:t>.</w:t>
      </w:r>
      <w:r w:rsidR="00292795" w:rsidRPr="00551E61">
        <w:rPr>
          <w:rFonts w:ascii="Arial" w:hAnsi="Arial" w:cs="Arial"/>
          <w:sz w:val="22"/>
          <w:szCs w:val="22"/>
        </w:rPr>
        <w:t>000)</w:t>
      </w:r>
      <w:r w:rsidR="002C494F" w:rsidRPr="00551E61">
        <w:rPr>
          <w:rFonts w:ascii="Arial" w:hAnsi="Arial" w:cs="Arial"/>
          <w:sz w:val="22"/>
          <w:szCs w:val="22"/>
        </w:rPr>
        <w:t xml:space="preserve"> y el presupuesto para los subsidios </w:t>
      </w:r>
      <w:r w:rsidR="00551E61">
        <w:rPr>
          <w:rFonts w:ascii="Arial" w:hAnsi="Arial" w:cs="Arial"/>
          <w:sz w:val="22"/>
          <w:szCs w:val="22"/>
        </w:rPr>
        <w:t>(US$</w:t>
      </w:r>
      <w:r w:rsidR="00142009" w:rsidRPr="00551E61">
        <w:rPr>
          <w:rFonts w:ascii="Arial" w:hAnsi="Arial" w:cs="Arial"/>
          <w:sz w:val="22"/>
          <w:szCs w:val="22"/>
        </w:rPr>
        <w:t>1</w:t>
      </w:r>
      <w:r w:rsidR="00551E61">
        <w:rPr>
          <w:rFonts w:ascii="Arial" w:hAnsi="Arial" w:cs="Arial"/>
          <w:sz w:val="22"/>
          <w:szCs w:val="22"/>
        </w:rPr>
        <w:t>,</w:t>
      </w:r>
      <w:r w:rsidR="00142009" w:rsidRPr="00551E61">
        <w:rPr>
          <w:rFonts w:ascii="Arial" w:hAnsi="Arial" w:cs="Arial"/>
          <w:sz w:val="22"/>
          <w:szCs w:val="22"/>
        </w:rPr>
        <w:t>3 millones) la estrategia de retención ascendería a  US$2</w:t>
      </w:r>
      <w:r w:rsidR="00551E61">
        <w:rPr>
          <w:rFonts w:ascii="Arial" w:hAnsi="Arial" w:cs="Arial"/>
          <w:sz w:val="22"/>
          <w:szCs w:val="22"/>
        </w:rPr>
        <w:t>,</w:t>
      </w:r>
      <w:r w:rsidR="00142009" w:rsidRPr="00551E61">
        <w:rPr>
          <w:rFonts w:ascii="Arial" w:hAnsi="Arial" w:cs="Arial"/>
          <w:sz w:val="22"/>
          <w:szCs w:val="22"/>
        </w:rPr>
        <w:t>35 millones.</w:t>
      </w:r>
    </w:p>
    <w:p w:rsidR="00142009" w:rsidRPr="00551E61" w:rsidRDefault="00142009" w:rsidP="00782C27">
      <w:pPr>
        <w:pStyle w:val="Paragraph"/>
        <w:numPr>
          <w:ilvl w:val="1"/>
          <w:numId w:val="1"/>
        </w:numPr>
        <w:tabs>
          <w:tab w:val="clear" w:pos="2736"/>
          <w:tab w:val="num" w:pos="720"/>
        </w:tabs>
        <w:ind w:left="720" w:hanging="720"/>
        <w:rPr>
          <w:rFonts w:ascii="Arial" w:hAnsi="Arial" w:cs="Arial"/>
          <w:sz w:val="22"/>
          <w:szCs w:val="22"/>
        </w:rPr>
      </w:pPr>
      <w:r w:rsidRPr="00551E61">
        <w:rPr>
          <w:rFonts w:ascii="Arial" w:hAnsi="Arial" w:cs="Arial"/>
          <w:sz w:val="22"/>
          <w:szCs w:val="22"/>
        </w:rPr>
        <w:t xml:space="preserve">Dada la experiencia de la unidad ejecutora del proyecto actual se sugiere que el componente habitacional, tanto en su estrategia de atracción como en su estrategia de retención, este a cargo del MINTUR. Es importante, reseñar que no existe en el momento una institucionalidad en la Republica Dominicana que se pueda encargar de la ejecución de este componente. La ejecución de la política de vivienda está a cargo de al menos tres entes estatales distintos y aunque uno de ellos maneja </w:t>
      </w:r>
      <w:r w:rsidRPr="00551E61">
        <w:rPr>
          <w:rFonts w:ascii="Arial" w:hAnsi="Arial" w:cs="Arial"/>
          <w:sz w:val="22"/>
          <w:szCs w:val="22"/>
        </w:rPr>
        <w:lastRenderedPageBreak/>
        <w:t>mejoramientos de vivienda, el Instituto Nacional para la Vivienda (INVI), sus actuaciones se centran más en pisos y en vivienda rural. Por su parte, la Alcaldía del Distrito Nacional no tiene programas ni actuaciones directas e</w:t>
      </w:r>
      <w:r w:rsidR="00446DFD" w:rsidRPr="00551E61">
        <w:rPr>
          <w:rFonts w:ascii="Arial" w:hAnsi="Arial" w:cs="Arial"/>
          <w:sz w:val="22"/>
          <w:szCs w:val="22"/>
        </w:rPr>
        <w:t>n mejoramiento de vivienda ni en</w:t>
      </w:r>
      <w:r w:rsidRPr="00551E61">
        <w:rPr>
          <w:rFonts w:ascii="Arial" w:hAnsi="Arial" w:cs="Arial"/>
          <w:sz w:val="22"/>
          <w:szCs w:val="22"/>
        </w:rPr>
        <w:t xml:space="preserve"> vivienda en general. </w:t>
      </w:r>
    </w:p>
    <w:p w:rsidR="00436475" w:rsidRPr="00551E61" w:rsidRDefault="00142009" w:rsidP="00436475">
      <w:pPr>
        <w:pStyle w:val="Paragraph"/>
        <w:numPr>
          <w:ilvl w:val="1"/>
          <w:numId w:val="1"/>
        </w:numPr>
        <w:tabs>
          <w:tab w:val="clear" w:pos="2736"/>
          <w:tab w:val="num" w:pos="720"/>
        </w:tabs>
        <w:ind w:left="720" w:hanging="720"/>
        <w:rPr>
          <w:rFonts w:ascii="Arial" w:hAnsi="Arial" w:cs="Arial"/>
          <w:sz w:val="22"/>
          <w:szCs w:val="22"/>
        </w:rPr>
      </w:pPr>
      <w:r w:rsidRPr="00551E61">
        <w:rPr>
          <w:rFonts w:ascii="Arial" w:hAnsi="Arial" w:cs="Arial"/>
          <w:sz w:val="22"/>
          <w:szCs w:val="22"/>
        </w:rPr>
        <w:t>Sin embargo, atendiend</w:t>
      </w:r>
      <w:r w:rsidR="005270C3" w:rsidRPr="00551E61">
        <w:rPr>
          <w:rFonts w:ascii="Arial" w:hAnsi="Arial" w:cs="Arial"/>
          <w:sz w:val="22"/>
          <w:szCs w:val="22"/>
        </w:rPr>
        <w:t>o a  lo puntual de la propuesta habitacional, a la escala de intervención</w:t>
      </w:r>
      <w:r w:rsidRPr="00551E61">
        <w:rPr>
          <w:rFonts w:ascii="Arial" w:hAnsi="Arial" w:cs="Arial"/>
          <w:sz w:val="22"/>
          <w:szCs w:val="22"/>
        </w:rPr>
        <w:t xml:space="preserve"> y a la </w:t>
      </w:r>
      <w:r w:rsidR="002D70E2" w:rsidRPr="00551E61">
        <w:rPr>
          <w:rFonts w:ascii="Arial" w:hAnsi="Arial" w:cs="Arial"/>
          <w:sz w:val="22"/>
          <w:szCs w:val="22"/>
        </w:rPr>
        <w:t xml:space="preserve">naturaleza de la función del MINTUR, se sugiere que se contrate </w:t>
      </w:r>
      <w:r w:rsidR="00D30048" w:rsidRPr="00551E61">
        <w:rPr>
          <w:rFonts w:ascii="Arial" w:hAnsi="Arial" w:cs="Arial"/>
          <w:sz w:val="22"/>
          <w:szCs w:val="22"/>
        </w:rPr>
        <w:t>las etapas 1 (selección de familias), 2 (levantamiento de información) y 5</w:t>
      </w:r>
      <w:r w:rsidR="00551E61">
        <w:rPr>
          <w:rFonts w:ascii="Arial" w:hAnsi="Arial" w:cs="Arial"/>
          <w:sz w:val="22"/>
          <w:szCs w:val="22"/>
        </w:rPr>
        <w:t> </w:t>
      </w:r>
      <w:r w:rsidR="00D30048" w:rsidRPr="00551E61">
        <w:rPr>
          <w:rFonts w:ascii="Arial" w:hAnsi="Arial" w:cs="Arial"/>
          <w:sz w:val="22"/>
          <w:szCs w:val="22"/>
        </w:rPr>
        <w:t>(supervisión y acompañamiento social)</w:t>
      </w:r>
      <w:r w:rsidR="002D70E2" w:rsidRPr="00551E61">
        <w:rPr>
          <w:rFonts w:ascii="Arial" w:hAnsi="Arial" w:cs="Arial"/>
          <w:sz w:val="22"/>
          <w:szCs w:val="22"/>
        </w:rPr>
        <w:t xml:space="preserve"> de la estrategia de retención a un tercero con experiencia en la ejecución de este tipo de proyectos. En las misiones a Republica Dominicana se mantuvieron reuniones con dos ONG’s (Hábitat para la Humanidad y Techo) y con los responsables del Programa Patrimonio Hoy de CEMEX. Se pudo constatar que Hábitat para la Humanidad ha venido desarrollando proyectos de mejoramiento </w:t>
      </w:r>
      <w:r w:rsidR="009A585C" w:rsidRPr="00551E61">
        <w:rPr>
          <w:rFonts w:ascii="Arial" w:hAnsi="Arial" w:cs="Arial"/>
          <w:sz w:val="22"/>
          <w:szCs w:val="22"/>
        </w:rPr>
        <w:t xml:space="preserve">similares al sugerido </w:t>
      </w:r>
      <w:r w:rsidR="00446DFD" w:rsidRPr="00551E61">
        <w:rPr>
          <w:rFonts w:ascii="Arial" w:hAnsi="Arial" w:cs="Arial"/>
          <w:sz w:val="22"/>
          <w:szCs w:val="22"/>
        </w:rPr>
        <w:t xml:space="preserve">desde 1986 en el país </w:t>
      </w:r>
      <w:r w:rsidR="002D70E2" w:rsidRPr="00551E61">
        <w:rPr>
          <w:rFonts w:ascii="Arial" w:hAnsi="Arial" w:cs="Arial"/>
          <w:sz w:val="22"/>
          <w:szCs w:val="22"/>
        </w:rPr>
        <w:t>para lo cual tienen metodologías y protocolos probados</w:t>
      </w:r>
      <w:r w:rsidR="002D70E2" w:rsidRPr="00551E61">
        <w:rPr>
          <w:rStyle w:val="FootnoteReference"/>
          <w:rFonts w:ascii="Arial" w:hAnsi="Arial" w:cs="Arial"/>
          <w:sz w:val="22"/>
          <w:szCs w:val="22"/>
        </w:rPr>
        <w:footnoteReference w:id="20"/>
      </w:r>
      <w:r w:rsidR="002D70E2" w:rsidRPr="00551E61">
        <w:rPr>
          <w:rFonts w:ascii="Arial" w:hAnsi="Arial" w:cs="Arial"/>
          <w:sz w:val="22"/>
          <w:szCs w:val="22"/>
        </w:rPr>
        <w:t>. Esto permitiría lograr economías de escala y hacer más eficiente la gestión.</w:t>
      </w:r>
    </w:p>
    <w:p w:rsidR="00436475" w:rsidRPr="00551E61" w:rsidRDefault="002D70E2" w:rsidP="00436475">
      <w:pPr>
        <w:pStyle w:val="Paragraph"/>
        <w:ind w:left="720"/>
        <w:rPr>
          <w:rFonts w:ascii="Arial" w:hAnsi="Arial" w:cs="Arial"/>
          <w:sz w:val="22"/>
          <w:szCs w:val="22"/>
        </w:rPr>
      </w:pPr>
      <w:r w:rsidRPr="00551E61">
        <w:rPr>
          <w:rFonts w:ascii="Arial" w:hAnsi="Arial" w:cs="Arial"/>
          <w:sz w:val="22"/>
          <w:szCs w:val="22"/>
        </w:rPr>
        <w:t xml:space="preserve"> </w:t>
      </w:r>
    </w:p>
    <w:p w:rsidR="00436475" w:rsidRPr="00551E61" w:rsidRDefault="00436475" w:rsidP="00436475">
      <w:pPr>
        <w:pStyle w:val="Paragraph"/>
        <w:ind w:left="720"/>
        <w:rPr>
          <w:rFonts w:ascii="Arial" w:hAnsi="Arial" w:cs="Arial"/>
          <w:b/>
          <w:sz w:val="22"/>
          <w:szCs w:val="22"/>
        </w:rPr>
      </w:pPr>
      <w:r w:rsidRPr="00551E61">
        <w:rPr>
          <w:rFonts w:ascii="Arial" w:hAnsi="Arial" w:cs="Arial"/>
          <w:b/>
          <w:sz w:val="22"/>
          <w:szCs w:val="22"/>
        </w:rPr>
        <w:t>Resumen: marco lógico y presupuesto</w:t>
      </w:r>
    </w:p>
    <w:p w:rsidR="002E78A1" w:rsidRPr="00551E61" w:rsidRDefault="00436475" w:rsidP="00436475">
      <w:pPr>
        <w:pStyle w:val="Paragraph"/>
        <w:numPr>
          <w:ilvl w:val="1"/>
          <w:numId w:val="1"/>
        </w:numPr>
        <w:tabs>
          <w:tab w:val="clear" w:pos="2736"/>
          <w:tab w:val="num" w:pos="720"/>
        </w:tabs>
        <w:ind w:left="720" w:hanging="720"/>
        <w:rPr>
          <w:rFonts w:ascii="Arial" w:hAnsi="Arial" w:cs="Arial"/>
          <w:sz w:val="22"/>
          <w:szCs w:val="22"/>
        </w:rPr>
      </w:pPr>
      <w:r w:rsidRPr="00551E61">
        <w:rPr>
          <w:rFonts w:ascii="Arial" w:hAnsi="Arial" w:cs="Arial"/>
          <w:sz w:val="22"/>
          <w:szCs w:val="22"/>
        </w:rPr>
        <w:t xml:space="preserve">En resumen, la CCSD presenta dos problemas habitacionales principales: paulatino abandono de la zona de parte de los residentes y baja calidad en parte del stock. Este documento propone intervenciones a ser implementadas como parte de la operación de crédito del BID “Programa Integral de Desarrollo Turístico y Urbano de la Ciudad Colonial de Santo Domingo (DR-L1084)” actualmente en diseño. Las intervenciones propuestas responden a las causas de los principales problemas identificados en materia de vivienda en la CCSD y se presentan organizadas en dos estrategias: una de atracción y otra de retención. </w:t>
      </w:r>
    </w:p>
    <w:p w:rsidR="002E78A1" w:rsidRPr="00551E61" w:rsidRDefault="00436475" w:rsidP="00436475">
      <w:pPr>
        <w:pStyle w:val="Paragraph"/>
        <w:numPr>
          <w:ilvl w:val="1"/>
          <w:numId w:val="1"/>
        </w:numPr>
        <w:tabs>
          <w:tab w:val="clear" w:pos="2736"/>
          <w:tab w:val="num" w:pos="720"/>
        </w:tabs>
        <w:ind w:left="720" w:hanging="720"/>
        <w:rPr>
          <w:rFonts w:ascii="Arial" w:hAnsi="Arial" w:cs="Arial"/>
          <w:sz w:val="22"/>
          <w:szCs w:val="22"/>
        </w:rPr>
      </w:pPr>
      <w:r w:rsidRPr="00551E61">
        <w:rPr>
          <w:rFonts w:ascii="Arial" w:hAnsi="Arial" w:cs="Arial"/>
          <w:sz w:val="22"/>
          <w:szCs w:val="22"/>
        </w:rPr>
        <w:t xml:space="preserve">La estrategia de atracción busca responder </w:t>
      </w:r>
      <w:r w:rsidR="00A84850" w:rsidRPr="00551E61">
        <w:rPr>
          <w:rFonts w:ascii="Arial" w:hAnsi="Arial" w:cs="Arial"/>
          <w:sz w:val="22"/>
          <w:szCs w:val="22"/>
        </w:rPr>
        <w:t>a las causas de la</w:t>
      </w:r>
      <w:r w:rsidRPr="00551E61">
        <w:rPr>
          <w:rFonts w:ascii="Arial" w:hAnsi="Arial" w:cs="Arial"/>
          <w:sz w:val="22"/>
          <w:szCs w:val="22"/>
        </w:rPr>
        <w:t xml:space="preserve"> disminución de la población en la zona</w:t>
      </w:r>
      <w:r w:rsidR="00E96D13" w:rsidRPr="00551E61">
        <w:rPr>
          <w:rFonts w:ascii="Arial" w:hAnsi="Arial" w:cs="Arial"/>
          <w:sz w:val="22"/>
          <w:szCs w:val="22"/>
        </w:rPr>
        <w:t>. S</w:t>
      </w:r>
      <w:r w:rsidR="002E78A1" w:rsidRPr="00551E61">
        <w:rPr>
          <w:rFonts w:ascii="Arial" w:hAnsi="Arial" w:cs="Arial"/>
          <w:sz w:val="22"/>
          <w:szCs w:val="22"/>
        </w:rPr>
        <w:t>e proponen las siguientes intervenciones</w:t>
      </w:r>
      <w:r w:rsidRPr="00551E61">
        <w:rPr>
          <w:rFonts w:ascii="Arial" w:hAnsi="Arial" w:cs="Arial"/>
          <w:sz w:val="22"/>
          <w:szCs w:val="22"/>
        </w:rPr>
        <w:t xml:space="preserve"> </w:t>
      </w:r>
      <w:r w:rsidR="00E96D13" w:rsidRPr="00551E61">
        <w:rPr>
          <w:rFonts w:ascii="Arial" w:hAnsi="Arial" w:cs="Arial"/>
          <w:sz w:val="22"/>
          <w:szCs w:val="22"/>
        </w:rPr>
        <w:t xml:space="preserve">para solucionar el desinterés de la demanda </w:t>
      </w:r>
      <w:r w:rsidRPr="00551E61">
        <w:rPr>
          <w:rFonts w:ascii="Arial" w:hAnsi="Arial" w:cs="Arial"/>
          <w:sz w:val="22"/>
          <w:szCs w:val="22"/>
        </w:rPr>
        <w:t xml:space="preserve">por </w:t>
      </w:r>
      <w:r w:rsidR="00F278E4" w:rsidRPr="00551E61">
        <w:rPr>
          <w:rFonts w:ascii="Arial" w:hAnsi="Arial" w:cs="Arial"/>
          <w:sz w:val="22"/>
          <w:szCs w:val="22"/>
        </w:rPr>
        <w:t>vivir en la CCSD</w:t>
      </w:r>
      <w:r w:rsidR="002E78A1" w:rsidRPr="00551E61">
        <w:rPr>
          <w:rFonts w:ascii="Arial" w:hAnsi="Arial" w:cs="Arial"/>
          <w:sz w:val="22"/>
          <w:szCs w:val="22"/>
        </w:rPr>
        <w:t>:</w:t>
      </w:r>
      <w:r w:rsidRPr="00551E61">
        <w:rPr>
          <w:rFonts w:ascii="Arial" w:hAnsi="Arial" w:cs="Arial"/>
          <w:sz w:val="22"/>
          <w:szCs w:val="22"/>
        </w:rPr>
        <w:t xml:space="preserve"> (i) </w:t>
      </w:r>
      <w:r w:rsidR="00F278E4" w:rsidRPr="00551E61">
        <w:rPr>
          <w:rFonts w:ascii="Arial" w:hAnsi="Arial" w:cs="Arial"/>
          <w:sz w:val="22"/>
          <w:szCs w:val="22"/>
        </w:rPr>
        <w:t>para</w:t>
      </w:r>
      <w:r w:rsidR="00E96D13" w:rsidRPr="00551E61">
        <w:rPr>
          <w:rFonts w:ascii="Arial" w:hAnsi="Arial" w:cs="Arial"/>
          <w:sz w:val="22"/>
          <w:szCs w:val="22"/>
        </w:rPr>
        <w:t xml:space="preserve"> el</w:t>
      </w:r>
      <w:r w:rsidRPr="00551E61">
        <w:rPr>
          <w:rFonts w:ascii="Arial" w:hAnsi="Arial" w:cs="Arial"/>
          <w:sz w:val="22"/>
          <w:szCs w:val="22"/>
        </w:rPr>
        <w:t xml:space="preserve"> </w:t>
      </w:r>
      <w:r w:rsidR="005774B1" w:rsidRPr="00551E61">
        <w:rPr>
          <w:rFonts w:ascii="Arial" w:hAnsi="Arial" w:cs="Arial"/>
          <w:sz w:val="22"/>
          <w:szCs w:val="22"/>
        </w:rPr>
        <w:t xml:space="preserve">mejorar el </w:t>
      </w:r>
      <w:r w:rsidRPr="00551E61">
        <w:rPr>
          <w:rFonts w:ascii="Arial" w:hAnsi="Arial" w:cs="Arial"/>
          <w:sz w:val="22"/>
          <w:szCs w:val="22"/>
        </w:rPr>
        <w:t>inadecuado estado de conservación de la zona y los inmuebles,</w:t>
      </w:r>
      <w:r w:rsidR="002E78A1" w:rsidRPr="00551E61">
        <w:rPr>
          <w:rFonts w:ascii="Arial" w:hAnsi="Arial" w:cs="Arial"/>
          <w:sz w:val="22"/>
          <w:szCs w:val="22"/>
        </w:rPr>
        <w:t xml:space="preserve"> </w:t>
      </w:r>
      <w:r w:rsidR="00E96D13" w:rsidRPr="00551E61">
        <w:rPr>
          <w:rFonts w:ascii="Arial" w:hAnsi="Arial" w:cs="Arial"/>
          <w:sz w:val="22"/>
          <w:szCs w:val="22"/>
        </w:rPr>
        <w:t xml:space="preserve">la estrategia habitacional financiará </w:t>
      </w:r>
      <w:r w:rsidR="002E78A1" w:rsidRPr="00551E61">
        <w:rPr>
          <w:rFonts w:ascii="Arial" w:hAnsi="Arial" w:cs="Arial"/>
          <w:sz w:val="22"/>
          <w:szCs w:val="22"/>
        </w:rPr>
        <w:t>el embellecimiento de las fachadas</w:t>
      </w:r>
      <w:r w:rsidR="005774B1" w:rsidRPr="00551E61">
        <w:rPr>
          <w:rFonts w:ascii="Arial" w:hAnsi="Arial" w:cs="Arial"/>
          <w:sz w:val="22"/>
          <w:szCs w:val="22"/>
        </w:rPr>
        <w:t xml:space="preserve"> lo cual se sumará a </w:t>
      </w:r>
      <w:r w:rsidR="002E78A1" w:rsidRPr="00551E61">
        <w:rPr>
          <w:rFonts w:ascii="Arial" w:hAnsi="Arial" w:cs="Arial"/>
          <w:sz w:val="22"/>
          <w:szCs w:val="22"/>
        </w:rPr>
        <w:t xml:space="preserve">las otras intervenciones </w:t>
      </w:r>
      <w:r w:rsidR="005774B1" w:rsidRPr="00551E61">
        <w:rPr>
          <w:rFonts w:ascii="Arial" w:hAnsi="Arial" w:cs="Arial"/>
          <w:sz w:val="22"/>
          <w:szCs w:val="22"/>
        </w:rPr>
        <w:t xml:space="preserve">en </w:t>
      </w:r>
      <w:r w:rsidR="002E78A1" w:rsidRPr="00551E61">
        <w:rPr>
          <w:rFonts w:ascii="Arial" w:hAnsi="Arial" w:cs="Arial"/>
          <w:sz w:val="22"/>
          <w:szCs w:val="22"/>
        </w:rPr>
        <w:t>el entorno y los espacios públicos</w:t>
      </w:r>
      <w:r w:rsidR="00551E61">
        <w:rPr>
          <w:rFonts w:ascii="Arial" w:hAnsi="Arial" w:cs="Arial"/>
          <w:sz w:val="22"/>
          <w:szCs w:val="22"/>
        </w:rPr>
        <w:t xml:space="preserve"> contenidas en el C</w:t>
      </w:r>
      <w:r w:rsidR="005774B1" w:rsidRPr="00551E61">
        <w:rPr>
          <w:rFonts w:ascii="Arial" w:hAnsi="Arial" w:cs="Arial"/>
          <w:sz w:val="22"/>
          <w:szCs w:val="22"/>
        </w:rPr>
        <w:t>omponente I y II de la operación</w:t>
      </w:r>
      <w:r w:rsidR="00551E61">
        <w:rPr>
          <w:rFonts w:ascii="Arial" w:hAnsi="Arial" w:cs="Arial"/>
          <w:sz w:val="22"/>
          <w:szCs w:val="22"/>
        </w:rPr>
        <w:t>;</w:t>
      </w:r>
      <w:r w:rsidRPr="00551E61">
        <w:rPr>
          <w:rFonts w:ascii="Arial" w:hAnsi="Arial" w:cs="Arial"/>
          <w:sz w:val="22"/>
          <w:szCs w:val="22"/>
        </w:rPr>
        <w:t xml:space="preserve"> (ii)</w:t>
      </w:r>
      <w:r w:rsidR="002E78A1" w:rsidRPr="00551E61">
        <w:rPr>
          <w:rFonts w:ascii="Arial" w:hAnsi="Arial" w:cs="Arial"/>
          <w:sz w:val="22"/>
          <w:szCs w:val="22"/>
        </w:rPr>
        <w:t xml:space="preserve"> Para</w:t>
      </w:r>
      <w:r w:rsidRPr="00551E61">
        <w:rPr>
          <w:rFonts w:ascii="Arial" w:hAnsi="Arial" w:cs="Arial"/>
          <w:sz w:val="22"/>
          <w:szCs w:val="22"/>
        </w:rPr>
        <w:t xml:space="preserve"> la falta de parqueo,</w:t>
      </w:r>
      <w:r w:rsidR="002E78A1" w:rsidRPr="00551E61">
        <w:rPr>
          <w:rFonts w:ascii="Arial" w:hAnsi="Arial" w:cs="Arial"/>
          <w:sz w:val="22"/>
          <w:szCs w:val="22"/>
        </w:rPr>
        <w:t xml:space="preserve"> la es</w:t>
      </w:r>
      <w:r w:rsidR="00A84850" w:rsidRPr="00551E61">
        <w:rPr>
          <w:rFonts w:ascii="Arial" w:hAnsi="Arial" w:cs="Arial"/>
          <w:sz w:val="22"/>
          <w:szCs w:val="22"/>
        </w:rPr>
        <w:t>trategia habitacional se apoyará</w:t>
      </w:r>
      <w:r w:rsidR="002E78A1" w:rsidRPr="00551E61">
        <w:rPr>
          <w:rFonts w:ascii="Arial" w:hAnsi="Arial" w:cs="Arial"/>
          <w:sz w:val="22"/>
          <w:szCs w:val="22"/>
        </w:rPr>
        <w:t xml:space="preserve"> en el programa de incentivos para la implantación de estacionamientos privados incluida en el</w:t>
      </w:r>
      <w:r w:rsidR="00551E61">
        <w:rPr>
          <w:rFonts w:ascii="Arial" w:hAnsi="Arial" w:cs="Arial"/>
          <w:sz w:val="22"/>
          <w:szCs w:val="22"/>
        </w:rPr>
        <w:t xml:space="preserve"> Componente III de la operación; y</w:t>
      </w:r>
      <w:r w:rsidRPr="00551E61">
        <w:rPr>
          <w:rFonts w:ascii="Arial" w:hAnsi="Arial" w:cs="Arial"/>
          <w:sz w:val="22"/>
          <w:szCs w:val="22"/>
        </w:rPr>
        <w:t xml:space="preserve"> (iii)</w:t>
      </w:r>
      <w:r w:rsidR="002E78A1" w:rsidRPr="00551E61">
        <w:rPr>
          <w:rFonts w:ascii="Arial" w:hAnsi="Arial" w:cs="Arial"/>
          <w:sz w:val="22"/>
          <w:szCs w:val="22"/>
        </w:rPr>
        <w:t xml:space="preserve"> Para</w:t>
      </w:r>
      <w:r w:rsidRPr="00551E61">
        <w:rPr>
          <w:rFonts w:ascii="Arial" w:hAnsi="Arial" w:cs="Arial"/>
          <w:sz w:val="22"/>
          <w:szCs w:val="22"/>
        </w:rPr>
        <w:t xml:space="preserve"> los altos precios</w:t>
      </w:r>
      <w:r w:rsidR="005774B1" w:rsidRPr="00551E61">
        <w:rPr>
          <w:rFonts w:ascii="Arial" w:hAnsi="Arial" w:cs="Arial"/>
          <w:sz w:val="22"/>
          <w:szCs w:val="22"/>
        </w:rPr>
        <w:t xml:space="preserve"> de la vivienda</w:t>
      </w:r>
      <w:r w:rsidRPr="00551E61">
        <w:rPr>
          <w:rFonts w:ascii="Arial" w:hAnsi="Arial" w:cs="Arial"/>
          <w:sz w:val="22"/>
          <w:szCs w:val="22"/>
        </w:rPr>
        <w:t xml:space="preserve"> </w:t>
      </w:r>
      <w:r w:rsidR="0032701E" w:rsidRPr="00551E61">
        <w:rPr>
          <w:rFonts w:ascii="Arial" w:hAnsi="Arial" w:cs="Arial"/>
          <w:sz w:val="22"/>
          <w:szCs w:val="22"/>
        </w:rPr>
        <w:t xml:space="preserve">se propone incentivar la inversión privada con los mecanismos </w:t>
      </w:r>
      <w:r w:rsidR="005774B1" w:rsidRPr="00551E61">
        <w:rPr>
          <w:rFonts w:ascii="Arial" w:hAnsi="Arial" w:cs="Arial"/>
          <w:sz w:val="22"/>
          <w:szCs w:val="22"/>
        </w:rPr>
        <w:t xml:space="preserve">indirectos de promoción a la oferta </w:t>
      </w:r>
      <w:r w:rsidR="0032701E" w:rsidRPr="00551E61">
        <w:rPr>
          <w:rFonts w:ascii="Arial" w:hAnsi="Arial" w:cs="Arial"/>
          <w:sz w:val="22"/>
          <w:szCs w:val="22"/>
        </w:rPr>
        <w:t xml:space="preserve">descritos </w:t>
      </w:r>
      <w:r w:rsidR="005774B1" w:rsidRPr="00551E61">
        <w:rPr>
          <w:rFonts w:ascii="Arial" w:hAnsi="Arial" w:cs="Arial"/>
          <w:sz w:val="22"/>
          <w:szCs w:val="22"/>
        </w:rPr>
        <w:t>en la siguiente sección</w:t>
      </w:r>
      <w:r w:rsidR="0032701E" w:rsidRPr="00551E61">
        <w:rPr>
          <w:rFonts w:ascii="Arial" w:hAnsi="Arial" w:cs="Arial"/>
          <w:sz w:val="22"/>
          <w:szCs w:val="22"/>
        </w:rPr>
        <w:t xml:space="preserve">. </w:t>
      </w:r>
      <w:r w:rsidR="002E78A1" w:rsidRPr="00551E61">
        <w:rPr>
          <w:rFonts w:ascii="Arial" w:hAnsi="Arial" w:cs="Arial"/>
          <w:sz w:val="22"/>
          <w:szCs w:val="22"/>
        </w:rPr>
        <w:t xml:space="preserve"> </w:t>
      </w:r>
    </w:p>
    <w:p w:rsidR="00AD3915" w:rsidRPr="00551E61" w:rsidRDefault="00436475" w:rsidP="00436475">
      <w:pPr>
        <w:pStyle w:val="Paragraph"/>
        <w:numPr>
          <w:ilvl w:val="1"/>
          <w:numId w:val="1"/>
        </w:numPr>
        <w:tabs>
          <w:tab w:val="clear" w:pos="2736"/>
          <w:tab w:val="num" w:pos="720"/>
        </w:tabs>
        <w:ind w:left="720" w:hanging="720"/>
        <w:rPr>
          <w:rFonts w:ascii="Arial" w:hAnsi="Arial" w:cs="Arial"/>
          <w:sz w:val="22"/>
          <w:szCs w:val="22"/>
        </w:rPr>
      </w:pPr>
      <w:r w:rsidRPr="00551E61">
        <w:rPr>
          <w:rFonts w:ascii="Arial" w:hAnsi="Arial" w:cs="Arial"/>
          <w:sz w:val="22"/>
          <w:szCs w:val="22"/>
        </w:rPr>
        <w:t>Por el lado de la oferta</w:t>
      </w:r>
      <w:r w:rsidR="00A84850" w:rsidRPr="00551E61">
        <w:rPr>
          <w:rFonts w:ascii="Arial" w:hAnsi="Arial" w:cs="Arial"/>
          <w:sz w:val="22"/>
          <w:szCs w:val="22"/>
        </w:rPr>
        <w:t>,</w:t>
      </w:r>
      <w:r w:rsidR="002E78A1" w:rsidRPr="00551E61">
        <w:rPr>
          <w:rFonts w:ascii="Arial" w:hAnsi="Arial" w:cs="Arial"/>
          <w:sz w:val="22"/>
          <w:szCs w:val="22"/>
        </w:rPr>
        <w:t xml:space="preserve"> la estrategia de atracción propone</w:t>
      </w:r>
      <w:r w:rsidR="00AD3915" w:rsidRPr="00551E61">
        <w:rPr>
          <w:rFonts w:ascii="Arial" w:hAnsi="Arial" w:cs="Arial"/>
          <w:sz w:val="22"/>
          <w:szCs w:val="22"/>
        </w:rPr>
        <w:t xml:space="preserve"> una estrategia indirecta para responder a </w:t>
      </w:r>
      <w:r w:rsidR="00E96D13" w:rsidRPr="00551E61">
        <w:rPr>
          <w:rFonts w:ascii="Arial" w:hAnsi="Arial" w:cs="Arial"/>
          <w:sz w:val="22"/>
          <w:szCs w:val="22"/>
        </w:rPr>
        <w:t>las limitaciones a la provisión de unidades asequibles</w:t>
      </w:r>
      <w:r w:rsidR="00AD3915" w:rsidRPr="00551E61">
        <w:rPr>
          <w:rFonts w:ascii="Arial" w:hAnsi="Arial" w:cs="Arial"/>
          <w:sz w:val="22"/>
          <w:szCs w:val="22"/>
        </w:rPr>
        <w:t>:</w:t>
      </w:r>
      <w:r w:rsidRPr="00551E61">
        <w:rPr>
          <w:rFonts w:ascii="Arial" w:hAnsi="Arial" w:cs="Arial"/>
          <w:sz w:val="22"/>
          <w:szCs w:val="22"/>
        </w:rPr>
        <w:t xml:space="preserve"> (i) la dificultad de ejercer reposesión de bienes alquilados, (ii) la baja titularidad de las propiedades, y (iii) los altos precios del suelo.</w:t>
      </w:r>
      <w:r w:rsidR="00AD3915" w:rsidRPr="00551E61">
        <w:rPr>
          <w:rFonts w:ascii="Arial" w:hAnsi="Arial" w:cs="Arial"/>
          <w:sz w:val="22"/>
          <w:szCs w:val="22"/>
        </w:rPr>
        <w:t xml:space="preserve"> E</w:t>
      </w:r>
      <w:r w:rsidR="00A84850" w:rsidRPr="00551E61">
        <w:rPr>
          <w:rFonts w:ascii="Arial" w:hAnsi="Arial" w:cs="Arial"/>
          <w:sz w:val="22"/>
          <w:szCs w:val="22"/>
        </w:rPr>
        <w:t xml:space="preserve">sta estrategia se basa en la generación de incentivos indirectos para aumentar la inversión del sector privado en el desarrollo de vivienda en la zona especialmente para los segmentos medio y bajo. </w:t>
      </w:r>
      <w:r w:rsidR="0032701E" w:rsidRPr="00551E61">
        <w:rPr>
          <w:rFonts w:ascii="Arial" w:hAnsi="Arial" w:cs="Arial"/>
          <w:sz w:val="22"/>
          <w:szCs w:val="22"/>
        </w:rPr>
        <w:t>Para esto, se propone el</w:t>
      </w:r>
      <w:r w:rsidR="0032701E" w:rsidRPr="00551E61">
        <w:rPr>
          <w:rFonts w:ascii="Arial" w:hAnsi="Arial" w:cs="Arial"/>
          <w:sz w:val="22"/>
          <w:lang w:val="es-ES_tradnl"/>
        </w:rPr>
        <w:t xml:space="preserve"> levantamiento de información para identificar potenciales propiedades en las que se pueda desarrollar vivienda asequible para segmentos medios y bajos en la CCSD,</w:t>
      </w:r>
      <w:r w:rsidR="002F51BE" w:rsidRPr="00551E61">
        <w:rPr>
          <w:rFonts w:ascii="Arial" w:hAnsi="Arial" w:cs="Arial"/>
          <w:sz w:val="22"/>
          <w:lang w:val="es-ES_tradnl"/>
        </w:rPr>
        <w:t xml:space="preserve"> la</w:t>
      </w:r>
      <w:r w:rsidR="0032701E" w:rsidRPr="00551E61">
        <w:rPr>
          <w:rFonts w:ascii="Arial" w:hAnsi="Arial" w:cs="Arial"/>
          <w:sz w:val="22"/>
          <w:lang w:val="es-ES_tradnl"/>
        </w:rPr>
        <w:t xml:space="preserve"> elaboración de estructuras financieras para tal fin, y el desarrollo de diseños arquitectónicos y ferias de constructores para promocionar la inversión en el ramo.  Esto incluye, propuestas de proyectos con mezcla de usos en la que los </w:t>
      </w:r>
      <w:r w:rsidR="002F51BE" w:rsidRPr="00551E61">
        <w:rPr>
          <w:rFonts w:ascii="Arial" w:hAnsi="Arial" w:cs="Arial"/>
          <w:sz w:val="22"/>
          <w:lang w:val="es-ES_tradnl"/>
        </w:rPr>
        <w:t>más</w:t>
      </w:r>
      <w:r w:rsidR="0032701E" w:rsidRPr="00551E61">
        <w:rPr>
          <w:rFonts w:ascii="Arial" w:hAnsi="Arial" w:cs="Arial"/>
          <w:sz w:val="22"/>
          <w:lang w:val="es-ES_tradnl"/>
        </w:rPr>
        <w:t xml:space="preserve"> rentables compensen la vivienda asequible, propuestas de proyectos de vivienda en alquiler institucional, y propuestas de mecanismos de </w:t>
      </w:r>
      <w:r w:rsidR="0032701E" w:rsidRPr="00551E61">
        <w:rPr>
          <w:rFonts w:ascii="Arial" w:hAnsi="Arial" w:cs="Arial"/>
          <w:sz w:val="22"/>
          <w:lang w:val="es-ES_tradnl"/>
        </w:rPr>
        <w:lastRenderedPageBreak/>
        <w:t xml:space="preserve">asociación </w:t>
      </w:r>
      <w:r w:rsidR="002F51BE" w:rsidRPr="00551E61">
        <w:rPr>
          <w:rFonts w:ascii="Arial" w:hAnsi="Arial" w:cs="Arial"/>
          <w:sz w:val="22"/>
          <w:lang w:val="es-ES_tradnl"/>
        </w:rPr>
        <w:t>público-</w:t>
      </w:r>
      <w:r w:rsidR="0032701E" w:rsidRPr="00551E61">
        <w:rPr>
          <w:rFonts w:ascii="Arial" w:hAnsi="Arial" w:cs="Arial"/>
          <w:sz w:val="22"/>
          <w:lang w:val="es-ES_tradnl"/>
        </w:rPr>
        <w:t xml:space="preserve">privada para usar propiedades estatales o de la iglesia para alquiler. </w:t>
      </w:r>
      <w:r w:rsidR="00A84850" w:rsidRPr="00551E61">
        <w:rPr>
          <w:rFonts w:ascii="Arial" w:hAnsi="Arial" w:cs="Arial"/>
          <w:sz w:val="22"/>
          <w:szCs w:val="22"/>
        </w:rPr>
        <w:t xml:space="preserve">Adicionalmente, se propone la </w:t>
      </w:r>
      <w:r w:rsidR="00AD3915" w:rsidRPr="00551E61">
        <w:rPr>
          <w:rFonts w:ascii="Arial" w:hAnsi="Arial" w:cs="Arial"/>
          <w:sz w:val="22"/>
          <w:szCs w:val="22"/>
          <w:lang w:val="es-ES_tradnl"/>
        </w:rPr>
        <w:t xml:space="preserve">generación de un sistema de información geo-referenciada </w:t>
      </w:r>
      <w:r w:rsidR="00A84850" w:rsidRPr="00551E61">
        <w:rPr>
          <w:rFonts w:ascii="Arial" w:hAnsi="Arial" w:cs="Arial"/>
          <w:sz w:val="22"/>
          <w:szCs w:val="22"/>
          <w:lang w:val="es-ES_tradnl"/>
        </w:rPr>
        <w:t xml:space="preserve">de titulación para que sea fácil establecer la condición de </w:t>
      </w:r>
      <w:r w:rsidR="00AD3915" w:rsidRPr="00551E61">
        <w:rPr>
          <w:rFonts w:ascii="Arial" w:hAnsi="Arial" w:cs="Arial"/>
          <w:sz w:val="22"/>
          <w:szCs w:val="22"/>
          <w:lang w:val="es-ES_tradnl"/>
        </w:rPr>
        <w:t>cada predio</w:t>
      </w:r>
      <w:r w:rsidR="00A84850" w:rsidRPr="00551E61">
        <w:rPr>
          <w:rFonts w:ascii="Arial" w:hAnsi="Arial" w:cs="Arial"/>
          <w:sz w:val="22"/>
          <w:szCs w:val="22"/>
          <w:lang w:val="es-ES_tradnl"/>
        </w:rPr>
        <w:t xml:space="preserve"> y su proceso de titularización.</w:t>
      </w:r>
      <w:r w:rsidR="002F51BE" w:rsidRPr="00551E61">
        <w:rPr>
          <w:rFonts w:ascii="Arial" w:hAnsi="Arial" w:cs="Arial"/>
          <w:sz w:val="22"/>
          <w:szCs w:val="22"/>
        </w:rPr>
        <w:t xml:space="preserve"> Otras intervenciones de la operación como las mejoras en el entorno, la adecuación de los espacios públicos, y el embellecimiento de fachadas, también pueden aumentar el interés </w:t>
      </w:r>
      <w:r w:rsidR="005774B1" w:rsidRPr="00551E61">
        <w:rPr>
          <w:rFonts w:ascii="Arial" w:hAnsi="Arial" w:cs="Arial"/>
          <w:sz w:val="22"/>
          <w:szCs w:val="22"/>
        </w:rPr>
        <w:t xml:space="preserve">del inversionista </w:t>
      </w:r>
      <w:r w:rsidR="002F51BE" w:rsidRPr="00551E61">
        <w:rPr>
          <w:rFonts w:ascii="Arial" w:hAnsi="Arial" w:cs="Arial"/>
          <w:sz w:val="22"/>
          <w:szCs w:val="22"/>
        </w:rPr>
        <w:t xml:space="preserve">privado. Lo importante es que </w:t>
      </w:r>
      <w:r w:rsidR="005774B1" w:rsidRPr="00551E61">
        <w:rPr>
          <w:rFonts w:ascii="Arial" w:hAnsi="Arial" w:cs="Arial"/>
          <w:sz w:val="22"/>
          <w:szCs w:val="22"/>
        </w:rPr>
        <w:t xml:space="preserve">estas acciones </w:t>
      </w:r>
      <w:r w:rsidR="002F51BE" w:rsidRPr="00551E61">
        <w:rPr>
          <w:rFonts w:ascii="Arial" w:hAnsi="Arial" w:cs="Arial"/>
          <w:sz w:val="22"/>
          <w:szCs w:val="22"/>
        </w:rPr>
        <w:t>se combinen con las otras intervenciones de la estrategia habitacional para mantener la diversidad de la zona.</w:t>
      </w:r>
    </w:p>
    <w:p w:rsidR="008F796B" w:rsidRPr="00551E61" w:rsidRDefault="00A84850" w:rsidP="00DD51D1">
      <w:pPr>
        <w:pStyle w:val="Paragraph"/>
        <w:numPr>
          <w:ilvl w:val="1"/>
          <w:numId w:val="1"/>
        </w:numPr>
        <w:tabs>
          <w:tab w:val="clear" w:pos="2736"/>
          <w:tab w:val="num" w:pos="720"/>
        </w:tabs>
        <w:ind w:left="720" w:hanging="720"/>
        <w:rPr>
          <w:rFonts w:ascii="Arial" w:hAnsi="Arial" w:cs="Arial"/>
          <w:sz w:val="22"/>
          <w:szCs w:val="22"/>
        </w:rPr>
      </w:pPr>
      <w:r w:rsidRPr="00551E61">
        <w:rPr>
          <w:rFonts w:ascii="Arial" w:hAnsi="Arial" w:cs="Arial"/>
          <w:sz w:val="22"/>
          <w:szCs w:val="22"/>
        </w:rPr>
        <w:t>Por su parte, la</w:t>
      </w:r>
      <w:r w:rsidR="00436475" w:rsidRPr="00551E61">
        <w:rPr>
          <w:rFonts w:ascii="Arial" w:hAnsi="Arial" w:cs="Arial"/>
          <w:sz w:val="22"/>
          <w:szCs w:val="22"/>
        </w:rPr>
        <w:t xml:space="preserve"> estrategia de retención se propone mejorar las condiciones habitacionales del sector y mantener su diversidad e inclusión social atendiendo a los factores causantes de la baja calidad de parte del stock: (i) los bajos ingresos de los pobladores de las áreas en las que se concentran los problemas constructivos</w:t>
      </w:r>
      <w:r w:rsidR="00551E61">
        <w:rPr>
          <w:rFonts w:ascii="Arial" w:hAnsi="Arial" w:cs="Arial"/>
          <w:sz w:val="22"/>
          <w:szCs w:val="22"/>
        </w:rPr>
        <w:t>;</w:t>
      </w:r>
      <w:r w:rsidR="00436475" w:rsidRPr="00551E61">
        <w:rPr>
          <w:rFonts w:ascii="Arial" w:hAnsi="Arial" w:cs="Arial"/>
          <w:sz w:val="22"/>
          <w:szCs w:val="22"/>
        </w:rPr>
        <w:t xml:space="preserve"> y (ii) </w:t>
      </w:r>
      <w:r w:rsidR="005774B1" w:rsidRPr="00551E61">
        <w:rPr>
          <w:rFonts w:ascii="Arial" w:hAnsi="Arial" w:cs="Arial"/>
          <w:sz w:val="22"/>
          <w:szCs w:val="22"/>
        </w:rPr>
        <w:t xml:space="preserve">la </w:t>
      </w:r>
      <w:r w:rsidR="00436475" w:rsidRPr="00551E61">
        <w:rPr>
          <w:rFonts w:ascii="Arial" w:hAnsi="Arial" w:cs="Arial"/>
          <w:sz w:val="22"/>
          <w:szCs w:val="22"/>
        </w:rPr>
        <w:t>mayor incidencia de</w:t>
      </w:r>
      <w:r w:rsidR="005774B1" w:rsidRPr="00551E61">
        <w:rPr>
          <w:rFonts w:ascii="Arial" w:hAnsi="Arial" w:cs="Arial"/>
          <w:sz w:val="22"/>
          <w:szCs w:val="22"/>
        </w:rPr>
        <w:t xml:space="preserve"> las</w:t>
      </w:r>
      <w:r w:rsidR="00436475" w:rsidRPr="00551E61">
        <w:rPr>
          <w:rFonts w:ascii="Arial" w:hAnsi="Arial" w:cs="Arial"/>
          <w:sz w:val="22"/>
          <w:szCs w:val="22"/>
        </w:rPr>
        <w:t xml:space="preserve"> problemáticas de alquiler y titularidad</w:t>
      </w:r>
      <w:r w:rsidR="005774B1" w:rsidRPr="00551E61">
        <w:rPr>
          <w:rFonts w:ascii="Arial" w:hAnsi="Arial" w:cs="Arial"/>
          <w:sz w:val="22"/>
          <w:szCs w:val="22"/>
        </w:rPr>
        <w:t xml:space="preserve"> informal en la zona norte</w:t>
      </w:r>
      <w:r w:rsidR="00436475" w:rsidRPr="00551E61">
        <w:rPr>
          <w:rFonts w:ascii="Arial" w:hAnsi="Arial" w:cs="Arial"/>
          <w:sz w:val="22"/>
          <w:szCs w:val="22"/>
        </w:rPr>
        <w:t>.</w:t>
      </w:r>
      <w:r w:rsidRPr="00551E61">
        <w:rPr>
          <w:rFonts w:ascii="Arial" w:hAnsi="Arial" w:cs="Arial"/>
          <w:sz w:val="22"/>
          <w:szCs w:val="22"/>
        </w:rPr>
        <w:t xml:space="preserve"> Para esto, se sugiere </w:t>
      </w:r>
      <w:r w:rsidRPr="00551E61">
        <w:rPr>
          <w:rFonts w:ascii="Arial" w:hAnsi="Arial" w:cs="Arial"/>
          <w:sz w:val="22"/>
          <w:szCs w:val="22"/>
          <w:lang w:val="es-ES_tradnl"/>
        </w:rPr>
        <w:t>sugiere la implementación de subsidios de mejoramiento de vivienda y titulación para 200 viviendas localizadas en los 4 barrios del norte</w:t>
      </w:r>
      <w:r w:rsidR="00123A4F" w:rsidRPr="00551E61">
        <w:rPr>
          <w:rFonts w:ascii="Arial" w:hAnsi="Arial" w:cs="Arial"/>
          <w:sz w:val="22"/>
          <w:szCs w:val="22"/>
          <w:lang w:val="es-ES_tradnl"/>
        </w:rPr>
        <w:t>. Estos subsidios se asignarán</w:t>
      </w:r>
      <w:r w:rsidR="005774B1" w:rsidRPr="00551E61">
        <w:rPr>
          <w:rFonts w:ascii="Arial" w:hAnsi="Arial" w:cs="Arial"/>
          <w:sz w:val="22"/>
          <w:szCs w:val="22"/>
          <w:lang w:val="es-ES_tradnl"/>
        </w:rPr>
        <w:t xml:space="preserve"> mediante un proceso social altamente participativo en el que se identifique el estado de titulación y tenencia de las viviendas </w:t>
      </w:r>
      <w:r w:rsidR="00123A4F" w:rsidRPr="00551E61">
        <w:rPr>
          <w:rFonts w:ascii="Arial" w:hAnsi="Arial" w:cs="Arial"/>
          <w:sz w:val="22"/>
          <w:szCs w:val="22"/>
          <w:lang w:val="es-ES_tradnl"/>
        </w:rPr>
        <w:t>más</w:t>
      </w:r>
      <w:r w:rsidR="005774B1" w:rsidRPr="00551E61">
        <w:rPr>
          <w:rFonts w:ascii="Arial" w:hAnsi="Arial" w:cs="Arial"/>
          <w:sz w:val="22"/>
          <w:szCs w:val="22"/>
          <w:lang w:val="es-ES_tradnl"/>
        </w:rPr>
        <w:t xml:space="preserve"> necesitadas </w:t>
      </w:r>
      <w:r w:rsidR="00123A4F" w:rsidRPr="00551E61">
        <w:rPr>
          <w:rFonts w:ascii="Arial" w:hAnsi="Arial" w:cs="Arial"/>
          <w:sz w:val="22"/>
          <w:szCs w:val="22"/>
          <w:lang w:val="es-ES_tradnl"/>
        </w:rPr>
        <w:t>así</w:t>
      </w:r>
      <w:r w:rsidR="005774B1" w:rsidRPr="00551E61">
        <w:rPr>
          <w:rFonts w:ascii="Arial" w:hAnsi="Arial" w:cs="Arial"/>
          <w:sz w:val="22"/>
          <w:szCs w:val="22"/>
          <w:lang w:val="es-ES_tradnl"/>
        </w:rPr>
        <w:t xml:space="preserve"> como sus necesidades de mejora</w:t>
      </w:r>
      <w:r w:rsidR="00123A4F" w:rsidRPr="00551E61">
        <w:rPr>
          <w:rFonts w:ascii="Arial" w:hAnsi="Arial" w:cs="Arial"/>
          <w:sz w:val="22"/>
          <w:szCs w:val="22"/>
          <w:lang w:val="es-ES_tradnl"/>
        </w:rPr>
        <w:t>. Para la implementación, se establecerá y ejecutará</w:t>
      </w:r>
      <w:r w:rsidR="005774B1" w:rsidRPr="00551E61">
        <w:rPr>
          <w:rFonts w:ascii="Arial" w:hAnsi="Arial" w:cs="Arial"/>
          <w:sz w:val="22"/>
          <w:szCs w:val="22"/>
          <w:lang w:val="es-ES_tradnl"/>
        </w:rPr>
        <w:t xml:space="preserve"> un plan de acción </w:t>
      </w:r>
      <w:r w:rsidR="00123A4F" w:rsidRPr="00551E61">
        <w:rPr>
          <w:rFonts w:ascii="Arial" w:hAnsi="Arial" w:cs="Arial"/>
          <w:sz w:val="22"/>
          <w:szCs w:val="22"/>
          <w:lang w:val="es-ES_tradnl"/>
        </w:rPr>
        <w:t>para cada familia que incluya no solo las obras y procesos de formalización adecuados sino también capacitación, acompañamiento social y definición de mecanismos de corresponsabilidad</w:t>
      </w:r>
      <w:r w:rsidRPr="00551E61">
        <w:rPr>
          <w:rFonts w:ascii="Arial" w:hAnsi="Arial" w:cs="Arial"/>
          <w:sz w:val="22"/>
          <w:szCs w:val="22"/>
          <w:lang w:val="es-ES_tradnl"/>
        </w:rPr>
        <w:t>.</w:t>
      </w:r>
      <w:r w:rsidR="00123A4F" w:rsidRPr="00551E61">
        <w:rPr>
          <w:rFonts w:ascii="Arial" w:hAnsi="Arial" w:cs="Arial"/>
          <w:sz w:val="22"/>
          <w:szCs w:val="22"/>
          <w:lang w:val="es-ES_tradnl"/>
        </w:rPr>
        <w:t xml:space="preserve"> </w:t>
      </w:r>
      <w:r w:rsidR="00DD51D1" w:rsidRPr="00551E61">
        <w:rPr>
          <w:rFonts w:ascii="Arial" w:hAnsi="Arial" w:cs="Arial"/>
          <w:sz w:val="22"/>
          <w:szCs w:val="22"/>
        </w:rPr>
        <w:t xml:space="preserve">La </w:t>
      </w:r>
      <w:r w:rsidR="00B92081" w:rsidRPr="00551E61">
        <w:rPr>
          <w:rFonts w:ascii="Arial" w:hAnsi="Arial" w:cs="Arial"/>
          <w:sz w:val="22"/>
          <w:szCs w:val="22"/>
        </w:rPr>
        <w:t>tabla</w:t>
      </w:r>
      <w:r w:rsidR="00DD51D1" w:rsidRPr="00551E61">
        <w:rPr>
          <w:rFonts w:ascii="Arial" w:hAnsi="Arial" w:cs="Arial"/>
          <w:sz w:val="22"/>
          <w:szCs w:val="22"/>
        </w:rPr>
        <w:t xml:space="preserve"> 6</w:t>
      </w:r>
      <w:r w:rsidR="00B92081" w:rsidRPr="00551E61">
        <w:rPr>
          <w:rFonts w:ascii="Arial" w:hAnsi="Arial" w:cs="Arial"/>
          <w:sz w:val="22"/>
          <w:szCs w:val="22"/>
        </w:rPr>
        <w:t xml:space="preserve"> resume el marco lógico de la propuesta.</w:t>
      </w:r>
    </w:p>
    <w:p w:rsidR="009552C4" w:rsidRPr="00551E61" w:rsidRDefault="009552C4">
      <w:pPr>
        <w:rPr>
          <w:rFonts w:ascii="Arial" w:hAnsi="Arial" w:cs="Arial"/>
        </w:rPr>
      </w:pPr>
      <w:r w:rsidRPr="00551E61">
        <w:rPr>
          <w:rFonts w:ascii="Arial" w:hAnsi="Arial" w:cs="Arial"/>
        </w:rPr>
        <w:br w:type="page"/>
      </w:r>
    </w:p>
    <w:p w:rsidR="00C059EC" w:rsidRPr="00551E61" w:rsidRDefault="00C059EC" w:rsidP="00C059EC">
      <w:pPr>
        <w:pStyle w:val="Paragraph"/>
        <w:ind w:left="720"/>
        <w:rPr>
          <w:rFonts w:ascii="Arial" w:hAnsi="Arial" w:cs="Arial"/>
          <w:sz w:val="22"/>
          <w:szCs w:val="22"/>
        </w:rPr>
      </w:pPr>
    </w:p>
    <w:p w:rsidR="00C059EC" w:rsidRPr="00551E61" w:rsidRDefault="00C059EC" w:rsidP="00C059EC">
      <w:pPr>
        <w:spacing w:after="0"/>
        <w:jc w:val="center"/>
        <w:rPr>
          <w:rFonts w:ascii="Arial" w:hAnsi="Arial" w:cs="Arial"/>
          <w:lang w:val="es-ES_tradnl"/>
        </w:rPr>
      </w:pPr>
      <w:r w:rsidRPr="00551E61">
        <w:rPr>
          <w:rFonts w:ascii="Arial" w:hAnsi="Arial" w:cs="Arial"/>
          <w:lang w:val="es-ES_tradnl"/>
        </w:rPr>
        <w:t>Tabla 6 Marco Lógico de la Propuesta</w:t>
      </w:r>
    </w:p>
    <w:tbl>
      <w:tblPr>
        <w:tblStyle w:val="TableGrid"/>
        <w:tblW w:w="9900" w:type="dxa"/>
        <w:tblInd w:w="-342" w:type="dxa"/>
        <w:tblLook w:val="04A0" w:firstRow="1" w:lastRow="0" w:firstColumn="1" w:lastColumn="0" w:noHBand="0" w:noVBand="1"/>
      </w:tblPr>
      <w:tblGrid>
        <w:gridCol w:w="1980"/>
        <w:gridCol w:w="4140"/>
        <w:gridCol w:w="3780"/>
      </w:tblGrid>
      <w:tr w:rsidR="00B92081" w:rsidRPr="00551E61" w:rsidTr="00E00E2A">
        <w:tc>
          <w:tcPr>
            <w:tcW w:w="1980" w:type="dxa"/>
          </w:tcPr>
          <w:p w:rsidR="00B92081" w:rsidRPr="00551E61" w:rsidRDefault="00B92081" w:rsidP="00B92081">
            <w:pPr>
              <w:jc w:val="center"/>
              <w:rPr>
                <w:rFonts w:ascii="Arial" w:hAnsi="Arial" w:cs="Arial"/>
                <w:b/>
              </w:rPr>
            </w:pPr>
            <w:r w:rsidRPr="00551E61">
              <w:rPr>
                <w:rFonts w:ascii="Arial" w:hAnsi="Arial" w:cs="Arial"/>
                <w:b/>
              </w:rPr>
              <w:t>Problemas</w:t>
            </w:r>
          </w:p>
        </w:tc>
        <w:tc>
          <w:tcPr>
            <w:tcW w:w="4140" w:type="dxa"/>
          </w:tcPr>
          <w:p w:rsidR="00B92081" w:rsidRPr="00551E61" w:rsidRDefault="00B92081" w:rsidP="00B92081">
            <w:pPr>
              <w:jc w:val="center"/>
              <w:rPr>
                <w:rFonts w:ascii="Arial" w:hAnsi="Arial" w:cs="Arial"/>
                <w:b/>
              </w:rPr>
            </w:pPr>
            <w:r w:rsidRPr="00551E61">
              <w:rPr>
                <w:rFonts w:ascii="Arial" w:hAnsi="Arial" w:cs="Arial"/>
                <w:b/>
              </w:rPr>
              <w:t>Causas</w:t>
            </w:r>
          </w:p>
        </w:tc>
        <w:tc>
          <w:tcPr>
            <w:tcW w:w="3780" w:type="dxa"/>
          </w:tcPr>
          <w:p w:rsidR="00B92081" w:rsidRPr="00551E61" w:rsidRDefault="00B92081" w:rsidP="00B92081">
            <w:pPr>
              <w:jc w:val="center"/>
              <w:rPr>
                <w:rFonts w:ascii="Arial" w:hAnsi="Arial" w:cs="Arial"/>
                <w:b/>
              </w:rPr>
            </w:pPr>
            <w:r w:rsidRPr="00551E61">
              <w:rPr>
                <w:rFonts w:ascii="Arial" w:hAnsi="Arial" w:cs="Arial"/>
                <w:b/>
              </w:rPr>
              <w:t>Intervenciones propuestas</w:t>
            </w:r>
          </w:p>
        </w:tc>
      </w:tr>
      <w:tr w:rsidR="00B92081" w:rsidRPr="00551E61" w:rsidTr="00E00E2A">
        <w:tc>
          <w:tcPr>
            <w:tcW w:w="1980" w:type="dxa"/>
          </w:tcPr>
          <w:p w:rsidR="00B92081" w:rsidRPr="00551E61" w:rsidRDefault="00B92081" w:rsidP="00B92081">
            <w:pPr>
              <w:pStyle w:val="ListParagraph"/>
              <w:ind w:left="0"/>
              <w:rPr>
                <w:rFonts w:ascii="Arial" w:hAnsi="Arial" w:cs="Arial"/>
              </w:rPr>
            </w:pPr>
            <w:r w:rsidRPr="00551E61">
              <w:rPr>
                <w:rFonts w:ascii="Arial" w:hAnsi="Arial" w:cs="Arial"/>
              </w:rPr>
              <w:t>Disminución de la población en la zona</w:t>
            </w:r>
          </w:p>
        </w:tc>
        <w:tc>
          <w:tcPr>
            <w:tcW w:w="4140" w:type="dxa"/>
          </w:tcPr>
          <w:p w:rsidR="00B92081" w:rsidRPr="00551E61" w:rsidRDefault="00B92081" w:rsidP="008F796B">
            <w:pPr>
              <w:rPr>
                <w:rFonts w:ascii="Arial" w:hAnsi="Arial" w:cs="Arial"/>
              </w:rPr>
            </w:pPr>
            <w:r w:rsidRPr="00551E61">
              <w:rPr>
                <w:rFonts w:ascii="Arial" w:hAnsi="Arial" w:cs="Arial"/>
              </w:rPr>
              <w:t>Demanda desinteresada por:</w:t>
            </w:r>
          </w:p>
          <w:p w:rsidR="00B92081" w:rsidRPr="00551E61" w:rsidRDefault="00B92081" w:rsidP="008F796B">
            <w:pPr>
              <w:rPr>
                <w:rFonts w:ascii="Arial" w:hAnsi="Arial" w:cs="Arial"/>
              </w:rPr>
            </w:pPr>
          </w:p>
          <w:p w:rsidR="00B92081" w:rsidRPr="00551E61" w:rsidRDefault="00DD51D1" w:rsidP="00B92081">
            <w:pPr>
              <w:pStyle w:val="ListParagraph"/>
              <w:numPr>
                <w:ilvl w:val="0"/>
                <w:numId w:val="20"/>
              </w:numPr>
              <w:rPr>
                <w:rFonts w:ascii="Arial" w:hAnsi="Arial" w:cs="Arial"/>
              </w:rPr>
            </w:pPr>
            <w:r w:rsidRPr="00551E61">
              <w:rPr>
                <w:rFonts w:ascii="Arial" w:hAnsi="Arial" w:cs="Arial"/>
                <w:noProof/>
                <w:lang w:val="en-US"/>
              </w:rPr>
              <mc:AlternateContent>
                <mc:Choice Requires="wps">
                  <w:drawing>
                    <wp:anchor distT="0" distB="0" distL="114300" distR="114300" simplePos="0" relativeHeight="251659264" behindDoc="0" locked="0" layoutInCell="1" allowOverlap="1" wp14:anchorId="2141546B" wp14:editId="62505F4A">
                      <wp:simplePos x="0" y="0"/>
                      <wp:positionH relativeFrom="column">
                        <wp:posOffset>2350770</wp:posOffset>
                      </wp:positionH>
                      <wp:positionV relativeFrom="paragraph">
                        <wp:posOffset>110490</wp:posOffset>
                      </wp:positionV>
                      <wp:extent cx="676275" cy="0"/>
                      <wp:effectExtent l="0" t="76200" r="28575" b="114300"/>
                      <wp:wrapNone/>
                      <wp:docPr id="2" name="Straight Arrow Connector 2"/>
                      <wp:cNvGraphicFramePr/>
                      <a:graphic xmlns:a="http://schemas.openxmlformats.org/drawingml/2006/main">
                        <a:graphicData uri="http://schemas.microsoft.com/office/word/2010/wordprocessingShape">
                          <wps:wsp>
                            <wps:cNvCnPr/>
                            <wps:spPr>
                              <a:xfrm>
                                <a:off x="0" y="0"/>
                                <a:ext cx="676275" cy="0"/>
                              </a:xfrm>
                              <a:prstGeom prst="straightConnector1">
                                <a:avLst/>
                              </a:prstGeom>
                              <a:ln>
                                <a:tailEnd type="arrow"/>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type id="_x0000_t32" coordsize="21600,21600" o:spt="32" o:oned="t" path="m,l21600,21600e" filled="f">
                      <v:path arrowok="t" fillok="f" o:connecttype="none"/>
                      <o:lock v:ext="edit" shapetype="t"/>
                    </v:shapetype>
                    <v:shape id="Straight Arrow Connector 2" o:spid="_x0000_s1026" type="#_x0000_t32" style="position:absolute;margin-left:185.1pt;margin-top:8.7pt;width:53.25pt;height:0;z-index:2516592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" strokecolor="black [3040]">
                      <v:stroke endarrow="open"/>
                    </v:shape>
                  </w:pict>
                </mc:Fallback>
              </mc:AlternateContent>
            </w:r>
            <w:r w:rsidR="00B92081" w:rsidRPr="00551E61">
              <w:rPr>
                <w:rFonts w:ascii="Arial" w:hAnsi="Arial" w:cs="Arial"/>
              </w:rPr>
              <w:t>Inadecuado estado de conservación</w:t>
            </w:r>
          </w:p>
          <w:p w:rsidR="00B92081" w:rsidRPr="00551E61" w:rsidRDefault="00B92081" w:rsidP="00B92081">
            <w:pPr>
              <w:pStyle w:val="ListParagraph"/>
              <w:ind w:left="360"/>
              <w:rPr>
                <w:rFonts w:ascii="Arial" w:hAnsi="Arial" w:cs="Arial"/>
              </w:rPr>
            </w:pPr>
          </w:p>
          <w:p w:rsidR="00B92081" w:rsidRPr="00551E61" w:rsidRDefault="00B92081" w:rsidP="00B92081">
            <w:pPr>
              <w:pStyle w:val="ListParagraph"/>
              <w:ind w:left="360"/>
              <w:rPr>
                <w:rFonts w:ascii="Arial" w:hAnsi="Arial" w:cs="Arial"/>
              </w:rPr>
            </w:pPr>
          </w:p>
          <w:p w:rsidR="00B92081" w:rsidRPr="00551E61" w:rsidRDefault="00DD51D1" w:rsidP="00B92081">
            <w:pPr>
              <w:pStyle w:val="ListParagraph"/>
              <w:numPr>
                <w:ilvl w:val="0"/>
                <w:numId w:val="20"/>
              </w:numPr>
              <w:rPr>
                <w:rFonts w:ascii="Arial" w:hAnsi="Arial" w:cs="Arial"/>
              </w:rPr>
            </w:pPr>
            <w:r w:rsidRPr="00551E61">
              <w:rPr>
                <w:rFonts w:ascii="Arial" w:hAnsi="Arial" w:cs="Arial"/>
                <w:noProof/>
                <w:lang w:val="en-US"/>
              </w:rPr>
              <mc:AlternateContent>
                <mc:Choice Requires="wps">
                  <w:drawing>
                    <wp:anchor distT="0" distB="0" distL="114300" distR="114300" simplePos="0" relativeHeight="251661312" behindDoc="0" locked="0" layoutInCell="1" allowOverlap="1" wp14:anchorId="40649298" wp14:editId="6D589C98">
                      <wp:simplePos x="0" y="0"/>
                      <wp:positionH relativeFrom="column">
                        <wp:posOffset>1236345</wp:posOffset>
                      </wp:positionH>
                      <wp:positionV relativeFrom="paragraph">
                        <wp:posOffset>96520</wp:posOffset>
                      </wp:positionV>
                      <wp:extent cx="1790700" cy="0"/>
                      <wp:effectExtent l="0" t="76200" r="19050" b="114300"/>
                      <wp:wrapNone/>
                      <wp:docPr id="5" name="Straight Arrow Connector 5"/>
                      <wp:cNvGraphicFramePr/>
                      <a:graphic xmlns:a="http://schemas.openxmlformats.org/drawingml/2006/main">
                        <a:graphicData uri="http://schemas.microsoft.com/office/word/2010/wordprocessingShape">
                          <wps:wsp>
                            <wps:cNvCnPr/>
                            <wps:spPr>
                              <a:xfrm>
                                <a:off x="0" y="0"/>
                                <a:ext cx="1790700" cy="0"/>
                              </a:xfrm>
                              <a:prstGeom prst="straightConnector1">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anchor>
                  </w:drawing>
                </mc:Choice>
                <mc:Fallback>
                  <w:pict>
                    <v:shape id="Straight Arrow Connector 5" o:spid="_x0000_s1026" type="#_x0000_t32" style="position:absolute;margin-left:97.35pt;margin-top:7.6pt;width:141pt;height:0;z-index:2516613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">
                      <v:stroke endarrow="open"/>
                    </v:shape>
                  </w:pict>
                </mc:Fallback>
              </mc:AlternateContent>
            </w:r>
            <w:r w:rsidR="00B92081" w:rsidRPr="00551E61">
              <w:rPr>
                <w:rFonts w:ascii="Arial" w:hAnsi="Arial" w:cs="Arial"/>
              </w:rPr>
              <w:t>Falta de parqueo</w:t>
            </w:r>
          </w:p>
          <w:p w:rsidR="00B92081" w:rsidRPr="00551E61" w:rsidRDefault="00B92081" w:rsidP="00B92081">
            <w:pPr>
              <w:pStyle w:val="ListParagraph"/>
              <w:ind w:left="360"/>
              <w:rPr>
                <w:rFonts w:ascii="Arial" w:hAnsi="Arial" w:cs="Arial"/>
              </w:rPr>
            </w:pPr>
          </w:p>
          <w:p w:rsidR="00B92081" w:rsidRPr="00551E61" w:rsidRDefault="00B92081" w:rsidP="00B92081">
            <w:pPr>
              <w:pStyle w:val="ListParagraph"/>
              <w:ind w:left="360"/>
              <w:rPr>
                <w:rFonts w:ascii="Arial" w:hAnsi="Arial" w:cs="Arial"/>
              </w:rPr>
            </w:pPr>
          </w:p>
          <w:p w:rsidR="00B92081" w:rsidRPr="00551E61" w:rsidRDefault="00DD51D1" w:rsidP="00B92081">
            <w:pPr>
              <w:pStyle w:val="ListParagraph"/>
              <w:numPr>
                <w:ilvl w:val="0"/>
                <w:numId w:val="20"/>
              </w:numPr>
              <w:rPr>
                <w:rFonts w:ascii="Arial" w:hAnsi="Arial" w:cs="Arial"/>
              </w:rPr>
            </w:pPr>
            <w:r w:rsidRPr="00551E61">
              <w:rPr>
                <w:rFonts w:ascii="Arial" w:hAnsi="Arial" w:cs="Arial"/>
                <w:noProof/>
                <w:lang w:val="en-US"/>
              </w:rPr>
              <mc:AlternateContent>
                <mc:Choice Requires="wps">
                  <w:drawing>
                    <wp:anchor distT="0" distB="0" distL="114300" distR="114300" simplePos="0" relativeHeight="251662336" behindDoc="0" locked="0" layoutInCell="1" allowOverlap="1" wp14:anchorId="7B7C6914" wp14:editId="6ED819D3">
                      <wp:simplePos x="0" y="0"/>
                      <wp:positionH relativeFrom="column">
                        <wp:posOffset>1722120</wp:posOffset>
                      </wp:positionH>
                      <wp:positionV relativeFrom="paragraph">
                        <wp:posOffset>62865</wp:posOffset>
                      </wp:positionV>
                      <wp:extent cx="952500" cy="9526"/>
                      <wp:effectExtent l="0" t="0" r="19050" b="28575"/>
                      <wp:wrapNone/>
                      <wp:docPr id="6" name="Straight Connector 6"/>
                      <wp:cNvGraphicFramePr/>
                      <a:graphic xmlns:a="http://schemas.openxmlformats.org/drawingml/2006/main">
                        <a:graphicData uri="http://schemas.microsoft.com/office/word/2010/wordprocessingShape">
                          <wps:wsp>
                            <wps:cNvCnPr/>
                            <wps:spPr>
                              <a:xfrm flipV="1">
                                <a:off x="0" y="0"/>
                                <a:ext cx="952500" cy="9526"/>
                              </a:xfrm>
                              <a:prstGeom prst="line">
                                <a:avLst/>
                              </a:prstGeom>
                              <a:ln>
                                <a:prstDash val="dash"/>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anchor>
                  </w:drawing>
                </mc:Choice>
                <mc:Fallback>
                  <w:pict>
                    <v:line id="Straight Connector 6" o:spid="_x0000_s1026" style="position:absolute;flip:y;z-index:25166233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5.6pt,4.95pt" to="210.6pt,5.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" strokecolor="black [3040]">
                      <v:stroke dashstyle="dash"/>
                    </v:line>
                  </w:pict>
                </mc:Fallback>
              </mc:AlternateContent>
            </w:r>
            <w:r w:rsidR="00B92081" w:rsidRPr="00551E61">
              <w:rPr>
                <w:rFonts w:ascii="Arial" w:hAnsi="Arial" w:cs="Arial"/>
              </w:rPr>
              <w:t>Altos precios de vivienda</w:t>
            </w:r>
          </w:p>
          <w:p w:rsidR="00B92081" w:rsidRPr="00551E61" w:rsidRDefault="00B92081" w:rsidP="00B92081">
            <w:pPr>
              <w:pStyle w:val="ListParagraph"/>
              <w:ind w:left="360"/>
              <w:rPr>
                <w:rFonts w:ascii="Arial" w:hAnsi="Arial" w:cs="Arial"/>
              </w:rPr>
            </w:pPr>
          </w:p>
          <w:p w:rsidR="00B92081" w:rsidRPr="00551E61" w:rsidRDefault="00B92081" w:rsidP="00B92081">
            <w:pPr>
              <w:rPr>
                <w:rFonts w:ascii="Arial" w:hAnsi="Arial" w:cs="Arial"/>
              </w:rPr>
            </w:pPr>
          </w:p>
          <w:p w:rsidR="00B92081" w:rsidRPr="00551E61" w:rsidRDefault="00B92081" w:rsidP="00B92081">
            <w:pPr>
              <w:rPr>
                <w:rFonts w:ascii="Arial" w:hAnsi="Arial" w:cs="Arial"/>
              </w:rPr>
            </w:pPr>
            <w:r w:rsidRPr="00551E61">
              <w:rPr>
                <w:rFonts w:ascii="Arial" w:hAnsi="Arial" w:cs="Arial"/>
              </w:rPr>
              <w:t>Oferta limitada por:</w:t>
            </w:r>
            <w:r w:rsidR="00DD51D1" w:rsidRPr="00551E61">
              <w:rPr>
                <w:rFonts w:ascii="Arial" w:hAnsi="Arial" w:cs="Arial"/>
                <w:noProof/>
                <w:lang w:eastAsia="es-ES"/>
              </w:rPr>
              <w:t xml:space="preserve"> </w:t>
            </w:r>
          </w:p>
          <w:p w:rsidR="00B92081" w:rsidRPr="00551E61" w:rsidRDefault="00B92081" w:rsidP="00B92081">
            <w:pPr>
              <w:rPr>
                <w:rFonts w:ascii="Arial" w:hAnsi="Arial" w:cs="Arial"/>
              </w:rPr>
            </w:pPr>
          </w:p>
          <w:p w:rsidR="00B92081" w:rsidRPr="00551E61" w:rsidRDefault="00DD51D1" w:rsidP="00B92081">
            <w:pPr>
              <w:pStyle w:val="ListParagraph"/>
              <w:numPr>
                <w:ilvl w:val="0"/>
                <w:numId w:val="21"/>
              </w:numPr>
              <w:rPr>
                <w:rFonts w:ascii="Arial" w:hAnsi="Arial" w:cs="Arial"/>
              </w:rPr>
            </w:pPr>
            <w:r w:rsidRPr="00551E61">
              <w:rPr>
                <w:rFonts w:ascii="Arial" w:hAnsi="Arial" w:cs="Arial"/>
                <w:noProof/>
                <w:lang w:val="en-US"/>
              </w:rPr>
              <mc:AlternateContent>
                <mc:Choice Requires="wps">
                  <w:drawing>
                    <wp:anchor distT="0" distB="0" distL="114300" distR="114300" simplePos="0" relativeHeight="251664384" behindDoc="0" locked="0" layoutInCell="1" allowOverlap="1" wp14:anchorId="7363B3B4" wp14:editId="52F1EA90">
                      <wp:simplePos x="0" y="0"/>
                      <wp:positionH relativeFrom="column">
                        <wp:posOffset>2426970</wp:posOffset>
                      </wp:positionH>
                      <wp:positionV relativeFrom="paragraph">
                        <wp:posOffset>86360</wp:posOffset>
                      </wp:positionV>
                      <wp:extent cx="247650" cy="635"/>
                      <wp:effectExtent l="0" t="0" r="19050" b="37465"/>
                      <wp:wrapNone/>
                      <wp:docPr id="12" name="Straight Connector 12"/>
                      <wp:cNvGraphicFramePr/>
                      <a:graphic xmlns:a="http://schemas.openxmlformats.org/drawingml/2006/main">
                        <a:graphicData uri="http://schemas.microsoft.com/office/word/2010/wordprocessingShape">
                          <wps:wsp>
                            <wps:cNvCnPr/>
                            <wps:spPr>
                              <a:xfrm>
                                <a:off x="0" y="0"/>
                                <a:ext cx="247650" cy="635"/>
                              </a:xfrm>
                              <a:prstGeom prst="line">
                                <a:avLst/>
                              </a:prstGeom>
                              <a:noFill/>
                              <a:ln w="9525" cap="flat" cmpd="sng" algn="ctr">
                                <a:solidFill>
                                  <a:sysClr val="windowText" lastClr="000000">
                                    <a:shade val="95000"/>
                                    <a:satMod val="105000"/>
                                  </a:sysClr>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12" o:spid="_x0000_s1026" style="position:absolute;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91.1pt,6.8pt" to="210.6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">
                      <v:stroke dashstyle="dash"/>
                    </v:line>
                  </w:pict>
                </mc:Fallback>
              </mc:AlternateContent>
            </w:r>
            <w:r w:rsidR="00B92081" w:rsidRPr="00551E61">
              <w:rPr>
                <w:rFonts w:ascii="Arial" w:hAnsi="Arial" w:cs="Arial"/>
              </w:rPr>
              <w:t>Difícil reposesión de bienes alquilados</w:t>
            </w:r>
          </w:p>
          <w:p w:rsidR="00B92081" w:rsidRPr="00551E61" w:rsidRDefault="00B92081" w:rsidP="00B92081">
            <w:pPr>
              <w:pStyle w:val="ListParagraph"/>
              <w:ind w:left="360"/>
              <w:rPr>
                <w:rFonts w:ascii="Arial" w:hAnsi="Arial" w:cs="Arial"/>
              </w:rPr>
            </w:pPr>
          </w:p>
          <w:p w:rsidR="00B92081" w:rsidRPr="00551E61" w:rsidRDefault="00B92081" w:rsidP="00B92081">
            <w:pPr>
              <w:pStyle w:val="ListParagraph"/>
              <w:ind w:left="360"/>
              <w:rPr>
                <w:rFonts w:ascii="Arial" w:hAnsi="Arial" w:cs="Arial"/>
              </w:rPr>
            </w:pPr>
          </w:p>
          <w:p w:rsidR="00B92081" w:rsidRPr="00551E61" w:rsidRDefault="00DD51D1" w:rsidP="00B92081">
            <w:pPr>
              <w:pStyle w:val="ListParagraph"/>
              <w:numPr>
                <w:ilvl w:val="0"/>
                <w:numId w:val="21"/>
              </w:numPr>
              <w:rPr>
                <w:rFonts w:ascii="Arial" w:hAnsi="Arial" w:cs="Arial"/>
              </w:rPr>
            </w:pPr>
            <w:r w:rsidRPr="00551E61">
              <w:rPr>
                <w:rFonts w:ascii="Arial" w:hAnsi="Arial" w:cs="Arial"/>
                <w:noProof/>
                <w:lang w:val="en-US"/>
              </w:rPr>
              <mc:AlternateContent>
                <mc:Choice Requires="wps">
                  <w:drawing>
                    <wp:anchor distT="0" distB="0" distL="114300" distR="114300" simplePos="0" relativeHeight="251676672" behindDoc="0" locked="0" layoutInCell="1" allowOverlap="1" wp14:anchorId="25C07EFD" wp14:editId="64D4803B">
                      <wp:simplePos x="0" y="0"/>
                      <wp:positionH relativeFrom="column">
                        <wp:posOffset>1112520</wp:posOffset>
                      </wp:positionH>
                      <wp:positionV relativeFrom="paragraph">
                        <wp:posOffset>91440</wp:posOffset>
                      </wp:positionV>
                      <wp:extent cx="1914525" cy="457200"/>
                      <wp:effectExtent l="0" t="0" r="66675" b="95250"/>
                      <wp:wrapNone/>
                      <wp:docPr id="18" name="Straight Connector 18"/>
                      <wp:cNvGraphicFramePr/>
                      <a:graphic xmlns:a="http://schemas.openxmlformats.org/drawingml/2006/main">
                        <a:graphicData uri="http://schemas.microsoft.com/office/word/2010/wordprocessingShape">
                          <wps:wsp>
                            <wps:cNvCnPr/>
                            <wps:spPr>
                              <a:xfrm>
                                <a:off x="0" y="0"/>
                                <a:ext cx="1914525" cy="457200"/>
                              </a:xfrm>
                              <a:prstGeom prst="line">
                                <a:avLst/>
                              </a:prstGeom>
                              <a:noFill/>
                              <a:ln w="9525" cap="flat" cmpd="sng" algn="ctr">
                                <a:solidFill>
                                  <a:sysClr val="windowText" lastClr="000000">
                                    <a:shade val="95000"/>
                                    <a:satMod val="105000"/>
                                  </a:sysClr>
                                </a:solidFill>
                                <a:prstDash val="dash"/>
                                <a:tailEnd type="arrow"/>
                              </a:ln>
                              <a:effectLst/>
                            </wps:spPr>
                            <wps:bodyPr/>
                          </wps:wsp>
                        </a:graphicData>
                      </a:graphic>
                      <wp14:sizeRelH relativeFrom="margin">
                        <wp14:pctWidth>0</wp14:pctWidth>
                      </wp14:sizeRelH>
                      <wp14:sizeRelV relativeFrom="margin">
                        <wp14:pctHeight>0</wp14:pctHeight>
                      </wp14:sizeRelV>
                    </wp:anchor>
                  </w:drawing>
                </mc:Choice>
                <mc:Fallback>
                  <w:pict>
                    <v:line id="Straight Connector 18" o:spid="_x0000_s1026" style="position:absolute;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87.6pt,7.2pt" to="238.35pt,4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">
                      <v:stroke dashstyle="dash" endarrow="open"/>
                    </v:line>
                  </w:pict>
                </mc:Fallback>
              </mc:AlternateContent>
            </w:r>
            <w:r w:rsidR="00B92081" w:rsidRPr="00551E61">
              <w:rPr>
                <w:rFonts w:ascii="Arial" w:hAnsi="Arial" w:cs="Arial"/>
              </w:rPr>
              <w:t>Baja titularidad</w:t>
            </w:r>
          </w:p>
          <w:p w:rsidR="00B92081" w:rsidRPr="00551E61" w:rsidRDefault="00B92081" w:rsidP="00B92081">
            <w:pPr>
              <w:pStyle w:val="ListParagraph"/>
              <w:ind w:left="360"/>
              <w:rPr>
                <w:rFonts w:ascii="Arial" w:hAnsi="Arial" w:cs="Arial"/>
              </w:rPr>
            </w:pPr>
          </w:p>
          <w:p w:rsidR="00B92081" w:rsidRPr="00551E61" w:rsidRDefault="00B92081" w:rsidP="00B92081">
            <w:pPr>
              <w:pStyle w:val="ListParagraph"/>
              <w:ind w:left="360"/>
              <w:rPr>
                <w:rFonts w:ascii="Arial" w:hAnsi="Arial" w:cs="Arial"/>
              </w:rPr>
            </w:pPr>
          </w:p>
          <w:p w:rsidR="00B92081" w:rsidRPr="00551E61" w:rsidRDefault="00DD51D1" w:rsidP="00B92081">
            <w:pPr>
              <w:pStyle w:val="ListParagraph"/>
              <w:numPr>
                <w:ilvl w:val="0"/>
                <w:numId w:val="21"/>
              </w:numPr>
              <w:rPr>
                <w:rFonts w:ascii="Arial" w:hAnsi="Arial" w:cs="Arial"/>
              </w:rPr>
            </w:pPr>
            <w:r w:rsidRPr="00551E61">
              <w:rPr>
                <w:rFonts w:ascii="Arial" w:hAnsi="Arial" w:cs="Arial"/>
                <w:noProof/>
                <w:lang w:val="en-US"/>
              </w:rPr>
              <mc:AlternateContent>
                <mc:Choice Requires="wps">
                  <w:drawing>
                    <wp:anchor distT="0" distB="0" distL="114300" distR="114300" simplePos="0" relativeHeight="251666432" behindDoc="0" locked="0" layoutInCell="1" allowOverlap="1" wp14:anchorId="47484CD9" wp14:editId="3BB8EC83">
                      <wp:simplePos x="0" y="0"/>
                      <wp:positionH relativeFrom="column">
                        <wp:posOffset>1417320</wp:posOffset>
                      </wp:positionH>
                      <wp:positionV relativeFrom="paragraph">
                        <wp:posOffset>80010</wp:posOffset>
                      </wp:positionV>
                      <wp:extent cx="1257300" cy="9526"/>
                      <wp:effectExtent l="0" t="0" r="19050" b="28575"/>
                      <wp:wrapNone/>
                      <wp:docPr id="13" name="Straight Connector 13"/>
                      <wp:cNvGraphicFramePr/>
                      <a:graphic xmlns:a="http://schemas.openxmlformats.org/drawingml/2006/main">
                        <a:graphicData uri="http://schemas.microsoft.com/office/word/2010/wordprocessingShape">
                          <wps:wsp>
                            <wps:cNvCnPr/>
                            <wps:spPr>
                              <a:xfrm flipV="1">
                                <a:off x="0" y="0"/>
                                <a:ext cx="1257300" cy="9526"/>
                              </a:xfrm>
                              <a:prstGeom prst="line">
                                <a:avLst/>
                              </a:prstGeom>
                              <a:noFill/>
                              <a:ln w="9525" cap="flat" cmpd="sng" algn="ctr">
                                <a:solidFill>
                                  <a:sysClr val="windowText" lastClr="000000">
                                    <a:shade val="95000"/>
                                    <a:satMod val="105000"/>
                                  </a:sysClr>
                                </a:solidFill>
                                <a:prstDash val="dash"/>
                              </a:ln>
                              <a:effectLst/>
                            </wps:spPr>
                            <wps:bodyPr/>
                          </wps:wsp>
                        </a:graphicData>
                      </a:graphic>
                      <wp14:sizeRelH relativeFrom="margin">
                        <wp14:pctWidth>0</wp14:pctWidth>
                      </wp14:sizeRelH>
                    </wp:anchor>
                  </w:drawing>
                </mc:Choice>
                <mc:Fallback>
                  <w:pict>
                    <v:line id="Straight Connector 13" o:spid="_x0000_s1026" style="position:absolute;flip:y;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11.6pt,6.3pt" to="210.6pt,7.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">
                      <v:stroke dashstyle="dash"/>
                    </v:line>
                  </w:pict>
                </mc:Fallback>
              </mc:AlternateContent>
            </w:r>
            <w:r w:rsidR="00B92081" w:rsidRPr="00551E61">
              <w:rPr>
                <w:rFonts w:ascii="Arial" w:hAnsi="Arial" w:cs="Arial"/>
              </w:rPr>
              <w:t>Alto precio del suelo</w:t>
            </w:r>
          </w:p>
          <w:p w:rsidR="00B92081" w:rsidRPr="00551E61" w:rsidRDefault="00B92081" w:rsidP="00B92081">
            <w:pPr>
              <w:rPr>
                <w:rFonts w:ascii="Arial" w:hAnsi="Arial" w:cs="Arial"/>
              </w:rPr>
            </w:pPr>
          </w:p>
        </w:tc>
        <w:tc>
          <w:tcPr>
            <w:tcW w:w="3780" w:type="dxa"/>
          </w:tcPr>
          <w:p w:rsidR="00B92081" w:rsidRPr="00551E61" w:rsidRDefault="00C059EC" w:rsidP="008F796B">
            <w:pPr>
              <w:rPr>
                <w:rFonts w:ascii="Arial" w:hAnsi="Arial" w:cs="Arial"/>
              </w:rPr>
            </w:pPr>
            <w:r w:rsidRPr="00551E61">
              <w:rPr>
                <w:rFonts w:ascii="Arial" w:hAnsi="Arial" w:cs="Arial"/>
              </w:rPr>
              <w:t>Estrategia de atracción:</w:t>
            </w:r>
          </w:p>
          <w:p w:rsidR="00E00E2A" w:rsidRPr="00551E61" w:rsidRDefault="00E00E2A" w:rsidP="008F796B">
            <w:pPr>
              <w:rPr>
                <w:rFonts w:ascii="Arial" w:hAnsi="Arial" w:cs="Arial"/>
              </w:rPr>
            </w:pPr>
          </w:p>
          <w:p w:rsidR="00B92081" w:rsidRPr="00551E61" w:rsidRDefault="00B92081" w:rsidP="00E00E2A">
            <w:pPr>
              <w:ind w:left="708"/>
              <w:rPr>
                <w:rFonts w:ascii="Arial" w:hAnsi="Arial" w:cs="Arial"/>
              </w:rPr>
            </w:pPr>
            <w:r w:rsidRPr="00551E61">
              <w:rPr>
                <w:rFonts w:ascii="Arial" w:hAnsi="Arial" w:cs="Arial"/>
              </w:rPr>
              <w:t>Embellecimiento de fachadas</w:t>
            </w:r>
          </w:p>
          <w:p w:rsidR="00B92081" w:rsidRPr="00551E61" w:rsidRDefault="00B92081" w:rsidP="00E00E2A">
            <w:pPr>
              <w:ind w:left="708"/>
              <w:rPr>
                <w:rFonts w:ascii="Arial" w:hAnsi="Arial" w:cs="Arial"/>
              </w:rPr>
            </w:pPr>
            <w:r w:rsidRPr="00551E61">
              <w:rPr>
                <w:rFonts w:ascii="Arial" w:hAnsi="Arial" w:cs="Arial"/>
              </w:rPr>
              <w:t>(Mejoramiento del entorno)</w:t>
            </w:r>
          </w:p>
          <w:p w:rsidR="00B92081" w:rsidRPr="00551E61" w:rsidRDefault="00B92081" w:rsidP="008F796B">
            <w:pPr>
              <w:rPr>
                <w:rFonts w:ascii="Arial" w:hAnsi="Arial" w:cs="Arial"/>
              </w:rPr>
            </w:pPr>
          </w:p>
          <w:p w:rsidR="00B92081" w:rsidRPr="00551E61" w:rsidRDefault="00B92081" w:rsidP="00E00E2A">
            <w:pPr>
              <w:ind w:left="708"/>
              <w:rPr>
                <w:rFonts w:ascii="Arial" w:hAnsi="Arial" w:cs="Arial"/>
              </w:rPr>
            </w:pPr>
            <w:r w:rsidRPr="00551E61">
              <w:rPr>
                <w:rFonts w:ascii="Arial" w:hAnsi="Arial" w:cs="Arial"/>
              </w:rPr>
              <w:t>(Incentivos para estacionamientos privados)</w:t>
            </w:r>
          </w:p>
          <w:p w:rsidR="00B92081" w:rsidRPr="00551E61" w:rsidRDefault="00B92081" w:rsidP="008F796B">
            <w:pPr>
              <w:rPr>
                <w:rFonts w:ascii="Arial" w:hAnsi="Arial" w:cs="Arial"/>
              </w:rPr>
            </w:pPr>
          </w:p>
          <w:p w:rsidR="00B92081" w:rsidRPr="00551E61" w:rsidRDefault="00DD51D1" w:rsidP="008F796B">
            <w:pPr>
              <w:rPr>
                <w:rFonts w:ascii="Arial" w:hAnsi="Arial" w:cs="Arial"/>
              </w:rPr>
            </w:pPr>
            <w:r w:rsidRPr="00551E61">
              <w:rPr>
                <w:rFonts w:ascii="Arial" w:hAnsi="Arial" w:cs="Arial"/>
                <w:noProof/>
                <w:lang w:val="en-US"/>
              </w:rPr>
              <mc:AlternateContent>
                <mc:Choice Requires="wps">
                  <w:drawing>
                    <wp:anchor distT="0" distB="0" distL="114300" distR="114300" simplePos="0" relativeHeight="251668480" behindDoc="0" locked="0" layoutInCell="1" allowOverlap="1" wp14:anchorId="40562299" wp14:editId="437A2C96">
                      <wp:simplePos x="0" y="0"/>
                      <wp:positionH relativeFrom="column">
                        <wp:posOffset>45720</wp:posOffset>
                      </wp:positionH>
                      <wp:positionV relativeFrom="paragraph">
                        <wp:posOffset>76200</wp:posOffset>
                      </wp:positionV>
                      <wp:extent cx="0" cy="1914525"/>
                      <wp:effectExtent l="0" t="0" r="19050" b="9525"/>
                      <wp:wrapNone/>
                      <wp:docPr id="14" name="Straight Connector 14"/>
                      <wp:cNvGraphicFramePr/>
                      <a:graphic xmlns:a="http://schemas.openxmlformats.org/drawingml/2006/main">
                        <a:graphicData uri="http://schemas.microsoft.com/office/word/2010/wordprocessingShape">
                          <wps:wsp>
                            <wps:cNvCnPr/>
                            <wps:spPr>
                              <a:xfrm flipV="1">
                                <a:off x="0" y="0"/>
                                <a:ext cx="0" cy="1914525"/>
                              </a:xfrm>
                              <a:prstGeom prst="line">
                                <a:avLst/>
                              </a:prstGeom>
                              <a:noFill/>
                              <a:ln w="9525" cap="flat" cmpd="sng" algn="ctr">
                                <a:solidFill>
                                  <a:sysClr val="windowText" lastClr="000000">
                                    <a:shade val="95000"/>
                                    <a:satMod val="105000"/>
                                  </a:sysClr>
                                </a:solidFill>
                                <a:prstDash val="dash"/>
                              </a:ln>
                              <a:effectLst/>
                            </wps:spPr>
                            <wps:bodyPr/>
                          </wps:wsp>
                        </a:graphicData>
                      </a:graphic>
                      <wp14:sizeRelH relativeFrom="margin">
                        <wp14:pctWidth>0</wp14:pctWidth>
                      </wp14:sizeRelH>
                      <wp14:sizeRelV relativeFrom="margin">
                        <wp14:pctHeight>0</wp14:pctHeight>
                      </wp14:sizeRelV>
                    </wp:anchor>
                  </w:drawing>
                </mc:Choice>
                <mc:Fallback>
                  <w:pict>
                    <v:line id="Straight Connector 14" o:spid="_x0000_s1026" style="position:absolute;flip:y;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pt,6pt" to="3.6pt,15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">
                      <v:stroke dashstyle="dash"/>
                    </v:line>
                  </w:pict>
                </mc:Fallback>
              </mc:AlternateContent>
            </w:r>
          </w:p>
          <w:p w:rsidR="00E00E2A" w:rsidRPr="00551E61" w:rsidRDefault="00DD51D1" w:rsidP="00E00E2A">
            <w:pPr>
              <w:ind w:left="708"/>
              <w:rPr>
                <w:rFonts w:ascii="Arial" w:hAnsi="Arial" w:cs="Arial"/>
                <w:lang w:val="es-ES_tradnl"/>
              </w:rPr>
            </w:pPr>
            <w:r w:rsidRPr="00551E61">
              <w:rPr>
                <w:rFonts w:ascii="Arial" w:hAnsi="Arial" w:cs="Arial"/>
                <w:noProof/>
                <w:lang w:val="en-US"/>
              </w:rPr>
              <mc:AlternateContent>
                <mc:Choice Requires="wps">
                  <w:drawing>
                    <wp:anchor distT="0" distB="0" distL="114300" distR="114300" simplePos="0" relativeHeight="251670528" behindDoc="0" locked="0" layoutInCell="1" allowOverlap="1" wp14:anchorId="410D4AA3" wp14:editId="35F52861">
                      <wp:simplePos x="0" y="0"/>
                      <wp:positionH relativeFrom="column">
                        <wp:posOffset>45720</wp:posOffset>
                      </wp:positionH>
                      <wp:positionV relativeFrom="paragraph">
                        <wp:posOffset>154940</wp:posOffset>
                      </wp:positionV>
                      <wp:extent cx="352425" cy="637540"/>
                      <wp:effectExtent l="0" t="38100" r="66675" b="29210"/>
                      <wp:wrapNone/>
                      <wp:docPr id="15" name="Straight Connector 15"/>
                      <wp:cNvGraphicFramePr/>
                      <a:graphic xmlns:a="http://schemas.openxmlformats.org/drawingml/2006/main">
                        <a:graphicData uri="http://schemas.microsoft.com/office/word/2010/wordprocessingShape">
                          <wps:wsp>
                            <wps:cNvCnPr/>
                            <wps:spPr>
                              <a:xfrm flipV="1">
                                <a:off x="0" y="0"/>
                                <a:ext cx="352425" cy="637540"/>
                              </a:xfrm>
                              <a:prstGeom prst="line">
                                <a:avLst/>
                              </a:prstGeom>
                              <a:noFill/>
                              <a:ln w="9525" cap="flat" cmpd="sng" algn="ctr">
                                <a:solidFill>
                                  <a:sysClr val="windowText" lastClr="000000">
                                    <a:shade val="95000"/>
                                    <a:satMod val="105000"/>
                                  </a:sysClr>
                                </a:solidFill>
                                <a:prstDash val="dash"/>
                                <a:tailEnd type="arrow"/>
                              </a:ln>
                              <a:effectLst/>
                            </wps:spPr>
                            <wps:bodyPr/>
                          </wps:wsp>
                        </a:graphicData>
                      </a:graphic>
                      <wp14:sizeRelH relativeFrom="margin">
                        <wp14:pctWidth>0</wp14:pctWidth>
                      </wp14:sizeRelH>
                      <wp14:sizeRelV relativeFrom="margin">
                        <wp14:pctHeight>0</wp14:pctHeight>
                      </wp14:sizeRelV>
                    </wp:anchor>
                  </w:drawing>
                </mc:Choice>
                <mc:Fallback>
                  <w:pict>
                    <v:line id="Straight Connector 15" o:spid="_x0000_s1026" style="position:absolute;flip:y;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pt,12.2pt" to="31.35pt,62.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">
                      <v:stroke dashstyle="dash" endarrow="open"/>
                    </v:line>
                  </w:pict>
                </mc:Fallback>
              </mc:AlternateContent>
            </w:r>
            <w:r w:rsidR="00E00E2A" w:rsidRPr="00551E61">
              <w:rPr>
                <w:rFonts w:ascii="Arial" w:hAnsi="Arial" w:cs="Arial"/>
                <w:lang w:val="es-ES_tradnl"/>
              </w:rPr>
              <w:t xml:space="preserve">Identificación de propiedades para vivienda asequible </w:t>
            </w:r>
          </w:p>
          <w:p w:rsidR="00E00E2A" w:rsidRPr="00551E61" w:rsidRDefault="00E00E2A" w:rsidP="00E00E2A">
            <w:pPr>
              <w:rPr>
                <w:rFonts w:ascii="Arial" w:hAnsi="Arial" w:cs="Arial"/>
                <w:lang w:val="es-ES_tradnl"/>
              </w:rPr>
            </w:pPr>
          </w:p>
          <w:p w:rsidR="00E00E2A" w:rsidRPr="00551E61" w:rsidRDefault="00DD51D1" w:rsidP="00E00E2A">
            <w:pPr>
              <w:ind w:left="708"/>
              <w:rPr>
                <w:rFonts w:ascii="Arial" w:hAnsi="Arial" w:cs="Arial"/>
                <w:lang w:val="es-ES_tradnl"/>
              </w:rPr>
            </w:pPr>
            <w:r w:rsidRPr="00551E61">
              <w:rPr>
                <w:rFonts w:ascii="Arial" w:hAnsi="Arial" w:cs="Arial"/>
                <w:noProof/>
                <w:lang w:val="en-US"/>
              </w:rPr>
              <mc:AlternateContent>
                <mc:Choice Requires="wps">
                  <w:drawing>
                    <wp:anchor distT="0" distB="0" distL="114300" distR="114300" simplePos="0" relativeHeight="251674624" behindDoc="0" locked="0" layoutInCell="1" allowOverlap="1" wp14:anchorId="191AF0ED" wp14:editId="399965DA">
                      <wp:simplePos x="0" y="0"/>
                      <wp:positionH relativeFrom="column">
                        <wp:posOffset>45720</wp:posOffset>
                      </wp:positionH>
                      <wp:positionV relativeFrom="paragraph">
                        <wp:posOffset>280670</wp:posOffset>
                      </wp:positionV>
                      <wp:extent cx="352425" cy="372110"/>
                      <wp:effectExtent l="0" t="0" r="47625" b="66040"/>
                      <wp:wrapNone/>
                      <wp:docPr id="17" name="Straight Connector 17"/>
                      <wp:cNvGraphicFramePr/>
                      <a:graphic xmlns:a="http://schemas.openxmlformats.org/drawingml/2006/main">
                        <a:graphicData uri="http://schemas.microsoft.com/office/word/2010/wordprocessingShape">
                          <wps:wsp>
                            <wps:cNvCnPr/>
                            <wps:spPr>
                              <a:xfrm>
                                <a:off x="0" y="0"/>
                                <a:ext cx="352425" cy="372110"/>
                              </a:xfrm>
                              <a:prstGeom prst="line">
                                <a:avLst/>
                              </a:prstGeom>
                              <a:noFill/>
                              <a:ln w="9525" cap="flat" cmpd="sng" algn="ctr">
                                <a:solidFill>
                                  <a:sysClr val="windowText" lastClr="000000">
                                    <a:shade val="95000"/>
                                    <a:satMod val="105000"/>
                                  </a:sysClr>
                                </a:solidFill>
                                <a:prstDash val="dash"/>
                                <a:tailEnd type="arrow"/>
                              </a:ln>
                              <a:effectLst/>
                            </wps:spPr>
                            <wps:bodyPr/>
                          </wps:wsp>
                        </a:graphicData>
                      </a:graphic>
                      <wp14:sizeRelH relativeFrom="margin">
                        <wp14:pctWidth>0</wp14:pctWidth>
                      </wp14:sizeRelH>
                      <wp14:sizeRelV relativeFrom="margin">
                        <wp14:pctHeight>0</wp14:pctHeight>
                      </wp14:sizeRelV>
                    </wp:anchor>
                  </w:drawing>
                </mc:Choice>
                <mc:Fallback>
                  <w:pict>
                    <v:line id="Straight Connector 17" o:spid="_x0000_s1026" style="position:absolute;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pt,22.1pt" to="31.35pt,5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">
                      <v:stroke dashstyle="dash" endarrow="open"/>
                    </v:line>
                  </w:pict>
                </mc:Fallback>
              </mc:AlternateContent>
            </w:r>
            <w:r w:rsidRPr="00551E61">
              <w:rPr>
                <w:rFonts w:ascii="Arial" w:hAnsi="Arial" w:cs="Arial"/>
                <w:noProof/>
                <w:lang w:val="en-US"/>
              </w:rPr>
              <mc:AlternateContent>
                <mc:Choice Requires="wps">
                  <w:drawing>
                    <wp:anchor distT="0" distB="0" distL="114300" distR="114300" simplePos="0" relativeHeight="251672576" behindDoc="0" locked="0" layoutInCell="1" allowOverlap="1" wp14:anchorId="4CE5270C" wp14:editId="0E17E2CF">
                      <wp:simplePos x="0" y="0"/>
                      <wp:positionH relativeFrom="column">
                        <wp:posOffset>45720</wp:posOffset>
                      </wp:positionH>
                      <wp:positionV relativeFrom="paragraph">
                        <wp:posOffset>157480</wp:posOffset>
                      </wp:positionV>
                      <wp:extent cx="352425" cy="123190"/>
                      <wp:effectExtent l="0" t="57150" r="0" b="29210"/>
                      <wp:wrapNone/>
                      <wp:docPr id="16" name="Straight Connector 16"/>
                      <wp:cNvGraphicFramePr/>
                      <a:graphic xmlns:a="http://schemas.openxmlformats.org/drawingml/2006/main">
                        <a:graphicData uri="http://schemas.microsoft.com/office/word/2010/wordprocessingShape">
                          <wps:wsp>
                            <wps:cNvCnPr/>
                            <wps:spPr>
                              <a:xfrm flipV="1">
                                <a:off x="0" y="0"/>
                                <a:ext cx="352425" cy="123190"/>
                              </a:xfrm>
                              <a:prstGeom prst="line">
                                <a:avLst/>
                              </a:prstGeom>
                              <a:noFill/>
                              <a:ln w="9525" cap="flat" cmpd="sng" algn="ctr">
                                <a:solidFill>
                                  <a:sysClr val="windowText" lastClr="000000">
                                    <a:shade val="95000"/>
                                    <a:satMod val="105000"/>
                                  </a:sysClr>
                                </a:solidFill>
                                <a:prstDash val="dash"/>
                                <a:tailEnd type="arrow"/>
                              </a:ln>
                              <a:effectLst/>
                            </wps:spPr>
                            <wps:bodyPr/>
                          </wps:wsp>
                        </a:graphicData>
                      </a:graphic>
                      <wp14:sizeRelH relativeFrom="margin">
                        <wp14:pctWidth>0</wp14:pctWidth>
                      </wp14:sizeRelH>
                      <wp14:sizeRelV relativeFrom="margin">
                        <wp14:pctHeight>0</wp14:pctHeight>
                      </wp14:sizeRelV>
                    </wp:anchor>
                  </w:drawing>
                </mc:Choice>
                <mc:Fallback>
                  <w:pict>
                    <v:line id="Straight Connector 16" o:spid="_x0000_s1026" style="position:absolute;flip:y;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pt,12.4pt" to="31.35pt,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">
                      <v:stroke dashstyle="dash" endarrow="open"/>
                    </v:line>
                  </w:pict>
                </mc:Fallback>
              </mc:AlternateContent>
            </w:r>
            <w:r w:rsidR="0005682B" w:rsidRPr="00551E61">
              <w:rPr>
                <w:rFonts w:ascii="Arial" w:hAnsi="Arial" w:cs="Arial"/>
                <w:lang w:val="es-ES_tradnl"/>
              </w:rPr>
              <w:t>Propuesta</w:t>
            </w:r>
            <w:r w:rsidR="00E00E2A" w:rsidRPr="00551E61">
              <w:rPr>
                <w:rFonts w:ascii="Arial" w:hAnsi="Arial" w:cs="Arial"/>
                <w:lang w:val="es-ES_tradnl"/>
              </w:rPr>
              <w:t xml:space="preserve"> de estructuras financieras </w:t>
            </w:r>
          </w:p>
          <w:p w:rsidR="00E00E2A" w:rsidRPr="00551E61" w:rsidRDefault="00E00E2A" w:rsidP="00E00E2A">
            <w:pPr>
              <w:ind w:left="708"/>
              <w:rPr>
                <w:rFonts w:ascii="Arial" w:hAnsi="Arial" w:cs="Arial"/>
                <w:lang w:val="es-ES_tradnl"/>
              </w:rPr>
            </w:pPr>
          </w:p>
          <w:p w:rsidR="00E00E2A" w:rsidRPr="00551E61" w:rsidRDefault="00E00E2A" w:rsidP="00E00E2A">
            <w:pPr>
              <w:ind w:left="708"/>
              <w:rPr>
                <w:rFonts w:ascii="Arial" w:hAnsi="Arial" w:cs="Arial"/>
                <w:lang w:val="es-ES_tradnl"/>
              </w:rPr>
            </w:pPr>
            <w:r w:rsidRPr="00551E61">
              <w:rPr>
                <w:rFonts w:ascii="Arial" w:hAnsi="Arial" w:cs="Arial"/>
                <w:lang w:val="es-ES_tradnl"/>
              </w:rPr>
              <w:t>Desarrollo de diseños arquitectónicos y ferias de constructores</w:t>
            </w:r>
          </w:p>
          <w:p w:rsidR="00E00E2A" w:rsidRPr="00551E61" w:rsidRDefault="00E00E2A" w:rsidP="00E00E2A">
            <w:pPr>
              <w:ind w:left="708"/>
              <w:rPr>
                <w:rFonts w:ascii="Arial" w:hAnsi="Arial" w:cs="Arial"/>
                <w:lang w:val="es-ES_tradnl"/>
              </w:rPr>
            </w:pPr>
          </w:p>
          <w:p w:rsidR="00E00E2A" w:rsidRPr="00551E61" w:rsidRDefault="00E00E2A" w:rsidP="00E00E2A">
            <w:pPr>
              <w:ind w:left="708"/>
              <w:rPr>
                <w:rFonts w:ascii="Arial" w:hAnsi="Arial" w:cs="Arial"/>
              </w:rPr>
            </w:pPr>
            <w:r w:rsidRPr="00551E61">
              <w:rPr>
                <w:rFonts w:ascii="Arial" w:hAnsi="Arial" w:cs="Arial"/>
                <w:lang w:val="es-ES_tradnl"/>
              </w:rPr>
              <w:t xml:space="preserve">Sistema georreferenciado de información de títulos </w:t>
            </w:r>
          </w:p>
        </w:tc>
      </w:tr>
      <w:tr w:rsidR="00B92081" w:rsidRPr="00551E61" w:rsidTr="00E00E2A">
        <w:tc>
          <w:tcPr>
            <w:tcW w:w="1980" w:type="dxa"/>
          </w:tcPr>
          <w:p w:rsidR="00B92081" w:rsidRPr="00551E61" w:rsidRDefault="00B92081" w:rsidP="008F796B">
            <w:pPr>
              <w:rPr>
                <w:rFonts w:ascii="Arial" w:hAnsi="Arial" w:cs="Arial"/>
              </w:rPr>
            </w:pPr>
            <w:r w:rsidRPr="00551E61">
              <w:rPr>
                <w:rFonts w:ascii="Arial" w:hAnsi="Arial" w:cs="Arial"/>
              </w:rPr>
              <w:t>Baja calidad de parte del stock</w:t>
            </w:r>
          </w:p>
        </w:tc>
        <w:tc>
          <w:tcPr>
            <w:tcW w:w="4140" w:type="dxa"/>
          </w:tcPr>
          <w:p w:rsidR="00B92081" w:rsidRPr="00551E61" w:rsidRDefault="00B92081" w:rsidP="008F796B">
            <w:pPr>
              <w:rPr>
                <w:rFonts w:ascii="Arial" w:hAnsi="Arial" w:cs="Arial"/>
              </w:rPr>
            </w:pPr>
            <w:r w:rsidRPr="00551E61">
              <w:rPr>
                <w:rFonts w:ascii="Arial" w:hAnsi="Arial" w:cs="Arial"/>
              </w:rPr>
              <w:t>Concentración en la zona norte de:</w:t>
            </w:r>
          </w:p>
          <w:p w:rsidR="00B92081" w:rsidRPr="00551E61" w:rsidRDefault="00B92081" w:rsidP="00B92081">
            <w:pPr>
              <w:pStyle w:val="ListParagraph"/>
              <w:ind w:left="360"/>
              <w:rPr>
                <w:rFonts w:ascii="Arial" w:hAnsi="Arial" w:cs="Arial"/>
              </w:rPr>
            </w:pPr>
          </w:p>
          <w:p w:rsidR="00B92081" w:rsidRPr="00551E61" w:rsidRDefault="00DD51D1" w:rsidP="00B92081">
            <w:pPr>
              <w:pStyle w:val="ListParagraph"/>
              <w:numPr>
                <w:ilvl w:val="0"/>
                <w:numId w:val="22"/>
              </w:numPr>
              <w:rPr>
                <w:rFonts w:ascii="Arial" w:hAnsi="Arial" w:cs="Arial"/>
              </w:rPr>
            </w:pPr>
            <w:r w:rsidRPr="00551E61">
              <w:rPr>
                <w:rFonts w:ascii="Arial" w:hAnsi="Arial" w:cs="Arial"/>
                <w:noProof/>
                <w:lang w:val="en-US"/>
              </w:rPr>
              <mc:AlternateContent>
                <mc:Choice Requires="wps">
                  <w:drawing>
                    <wp:anchor distT="0" distB="0" distL="114300" distR="114300" simplePos="0" relativeHeight="251678720" behindDoc="0" locked="0" layoutInCell="1" allowOverlap="1" wp14:anchorId="4564E4CF" wp14:editId="4AAAA939">
                      <wp:simplePos x="0" y="0"/>
                      <wp:positionH relativeFrom="column">
                        <wp:posOffset>1722120</wp:posOffset>
                      </wp:positionH>
                      <wp:positionV relativeFrom="paragraph">
                        <wp:posOffset>50800</wp:posOffset>
                      </wp:positionV>
                      <wp:extent cx="952500" cy="9525"/>
                      <wp:effectExtent l="0" t="0" r="19050" b="28575"/>
                      <wp:wrapNone/>
                      <wp:docPr id="19" name="Straight Connector 19"/>
                      <wp:cNvGraphicFramePr/>
                      <a:graphic xmlns:a="http://schemas.openxmlformats.org/drawingml/2006/main">
                        <a:graphicData uri="http://schemas.microsoft.com/office/word/2010/wordprocessingShape">
                          <wps:wsp>
                            <wps:cNvCnPr/>
                            <wps:spPr>
                              <a:xfrm flipV="1">
                                <a:off x="0" y="0"/>
                                <a:ext cx="952500" cy="952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anchor>
                  </w:drawing>
                </mc:Choice>
                <mc:Fallback>
                  <w:pict>
                    <v:line id="Straight Connector 19" o:spid="_x0000_s1026" style="position:absolute;flip:y;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135.6pt,4pt" to="210.6pt,4.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"/>
                  </w:pict>
                </mc:Fallback>
              </mc:AlternateContent>
            </w:r>
            <w:r w:rsidR="00B92081" w:rsidRPr="00551E61">
              <w:rPr>
                <w:rFonts w:ascii="Arial" w:hAnsi="Arial" w:cs="Arial"/>
              </w:rPr>
              <w:t>Familias de bajos ingresos</w:t>
            </w:r>
          </w:p>
          <w:p w:rsidR="00B92081" w:rsidRPr="00551E61" w:rsidRDefault="00B92081" w:rsidP="00B92081">
            <w:pPr>
              <w:pStyle w:val="ListParagraph"/>
              <w:ind w:left="360"/>
              <w:rPr>
                <w:rFonts w:ascii="Arial" w:hAnsi="Arial" w:cs="Arial"/>
              </w:rPr>
            </w:pPr>
          </w:p>
          <w:p w:rsidR="00B92081" w:rsidRPr="00551E61" w:rsidRDefault="00B92081" w:rsidP="00B92081">
            <w:pPr>
              <w:pStyle w:val="ListParagraph"/>
              <w:ind w:left="360"/>
              <w:rPr>
                <w:rFonts w:ascii="Arial" w:hAnsi="Arial" w:cs="Arial"/>
              </w:rPr>
            </w:pPr>
          </w:p>
          <w:p w:rsidR="00B92081" w:rsidRPr="00551E61" w:rsidRDefault="00DD51D1" w:rsidP="00B92081">
            <w:pPr>
              <w:pStyle w:val="ListParagraph"/>
              <w:numPr>
                <w:ilvl w:val="0"/>
                <w:numId w:val="22"/>
              </w:numPr>
              <w:rPr>
                <w:rFonts w:ascii="Arial" w:hAnsi="Arial" w:cs="Arial"/>
              </w:rPr>
            </w:pPr>
            <w:r w:rsidRPr="00551E61">
              <w:rPr>
                <w:rFonts w:ascii="Arial" w:hAnsi="Arial" w:cs="Arial"/>
                <w:noProof/>
                <w:lang w:val="en-US"/>
              </w:rPr>
              <mc:AlternateContent>
                <mc:Choice Requires="wps">
                  <w:drawing>
                    <wp:anchor distT="0" distB="0" distL="114300" distR="114300" simplePos="0" relativeHeight="251679744" behindDoc="0" locked="0" layoutInCell="1" allowOverlap="1" wp14:anchorId="102AC940" wp14:editId="5477520C">
                      <wp:simplePos x="0" y="0"/>
                      <wp:positionH relativeFrom="column">
                        <wp:posOffset>2350770</wp:posOffset>
                      </wp:positionH>
                      <wp:positionV relativeFrom="paragraph">
                        <wp:posOffset>102235</wp:posOffset>
                      </wp:positionV>
                      <wp:extent cx="323850" cy="0"/>
                      <wp:effectExtent l="0" t="0" r="19050" b="19050"/>
                      <wp:wrapNone/>
                      <wp:docPr id="20" name="Straight Connector 20"/>
                      <wp:cNvGraphicFramePr/>
                      <a:graphic xmlns:a="http://schemas.openxmlformats.org/drawingml/2006/main">
                        <a:graphicData uri="http://schemas.microsoft.com/office/word/2010/wordprocessingShape">
                          <wps:wsp>
                            <wps:cNvCnPr/>
                            <wps:spPr>
                              <a:xfrm>
                                <a:off x="0" y="0"/>
                                <a:ext cx="323850" cy="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20" o:spid="_x0000_s1026" style="position:absolute;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185.1pt,8.05pt" to="210.6pt,8.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"/>
                  </w:pict>
                </mc:Fallback>
              </mc:AlternateContent>
            </w:r>
            <w:r w:rsidRPr="00551E61">
              <w:rPr>
                <w:rFonts w:ascii="Arial" w:hAnsi="Arial" w:cs="Arial"/>
              </w:rPr>
              <w:t>I</w:t>
            </w:r>
            <w:r w:rsidR="00B92081" w:rsidRPr="00551E61">
              <w:rPr>
                <w:rFonts w:ascii="Arial" w:hAnsi="Arial" w:cs="Arial"/>
              </w:rPr>
              <w:t xml:space="preserve">nformalidad en el alquiler y el titulo </w:t>
            </w:r>
          </w:p>
          <w:p w:rsidR="00B92081" w:rsidRPr="00551E61" w:rsidRDefault="00B92081" w:rsidP="00B92081">
            <w:pPr>
              <w:rPr>
                <w:rFonts w:ascii="Arial" w:hAnsi="Arial" w:cs="Arial"/>
              </w:rPr>
            </w:pPr>
          </w:p>
        </w:tc>
        <w:tc>
          <w:tcPr>
            <w:tcW w:w="3780" w:type="dxa"/>
          </w:tcPr>
          <w:p w:rsidR="00B92081" w:rsidRPr="00551E61" w:rsidRDefault="00C059EC" w:rsidP="008F796B">
            <w:pPr>
              <w:rPr>
                <w:rFonts w:ascii="Arial" w:hAnsi="Arial" w:cs="Arial"/>
              </w:rPr>
            </w:pPr>
            <w:r w:rsidRPr="00551E61">
              <w:rPr>
                <w:rFonts w:ascii="Arial" w:hAnsi="Arial" w:cs="Arial"/>
              </w:rPr>
              <w:t xml:space="preserve">Estrategia de retención: </w:t>
            </w:r>
          </w:p>
          <w:p w:rsidR="00E00E2A" w:rsidRPr="00551E61" w:rsidRDefault="00E00E2A" w:rsidP="00E00E2A">
            <w:pPr>
              <w:ind w:left="708"/>
              <w:rPr>
                <w:rFonts w:ascii="Arial" w:hAnsi="Arial" w:cs="Arial"/>
              </w:rPr>
            </w:pPr>
          </w:p>
          <w:p w:rsidR="00DD51D1" w:rsidRPr="00551E61" w:rsidRDefault="00DD51D1" w:rsidP="00E00E2A">
            <w:pPr>
              <w:ind w:left="708"/>
              <w:rPr>
                <w:rFonts w:ascii="Arial" w:hAnsi="Arial" w:cs="Arial"/>
              </w:rPr>
            </w:pPr>
            <w:r w:rsidRPr="00551E61">
              <w:rPr>
                <w:rFonts w:ascii="Arial" w:hAnsi="Arial" w:cs="Arial"/>
                <w:noProof/>
                <w:lang w:val="en-US"/>
              </w:rPr>
              <mc:AlternateContent>
                <mc:Choice Requires="wps">
                  <w:drawing>
                    <wp:anchor distT="0" distB="0" distL="114300" distR="114300" simplePos="0" relativeHeight="251680768" behindDoc="0" locked="0" layoutInCell="1" allowOverlap="1" wp14:anchorId="0093803D" wp14:editId="35AB4A86">
                      <wp:simplePos x="0" y="0"/>
                      <wp:positionH relativeFrom="column">
                        <wp:posOffset>45720</wp:posOffset>
                      </wp:positionH>
                      <wp:positionV relativeFrom="paragraph">
                        <wp:posOffset>50800</wp:posOffset>
                      </wp:positionV>
                      <wp:extent cx="0" cy="571500"/>
                      <wp:effectExtent l="0" t="0" r="19050" b="19050"/>
                      <wp:wrapNone/>
                      <wp:docPr id="21" name="Straight Connector 21"/>
                      <wp:cNvGraphicFramePr/>
                      <a:graphic xmlns:a="http://schemas.openxmlformats.org/drawingml/2006/main">
                        <a:graphicData uri="http://schemas.microsoft.com/office/word/2010/wordprocessingShape">
                          <wps:wsp>
                            <wps:cNvCnPr/>
                            <wps:spPr>
                              <a:xfrm flipV="1">
                                <a:off x="0" y="0"/>
                                <a:ext cx="0" cy="571500"/>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id="Straight Connector 21" o:spid="_x0000_s1026" style="position:absolute;flip:y;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pt,4pt" to="3.6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"/>
                  </w:pict>
                </mc:Fallback>
              </mc:AlternateContent>
            </w:r>
          </w:p>
          <w:p w:rsidR="00E00E2A" w:rsidRPr="00551E61" w:rsidRDefault="00DD51D1" w:rsidP="00E00E2A">
            <w:pPr>
              <w:ind w:left="708"/>
              <w:rPr>
                <w:rFonts w:ascii="Arial" w:hAnsi="Arial" w:cs="Arial"/>
              </w:rPr>
            </w:pPr>
            <w:r w:rsidRPr="00551E61">
              <w:rPr>
                <w:rFonts w:ascii="Arial" w:hAnsi="Arial" w:cs="Arial"/>
                <w:noProof/>
                <w:lang w:val="en-US"/>
              </w:rPr>
              <mc:AlternateContent>
                <mc:Choice Requires="wps">
                  <w:drawing>
                    <wp:anchor distT="0" distB="0" distL="114300" distR="114300" simplePos="0" relativeHeight="251682816" behindDoc="0" locked="0" layoutInCell="1" allowOverlap="1" wp14:anchorId="0756D086" wp14:editId="288A5B74">
                      <wp:simplePos x="0" y="0"/>
                      <wp:positionH relativeFrom="column">
                        <wp:posOffset>45720</wp:posOffset>
                      </wp:positionH>
                      <wp:positionV relativeFrom="paragraph">
                        <wp:posOffset>106680</wp:posOffset>
                      </wp:positionV>
                      <wp:extent cx="352425" cy="0"/>
                      <wp:effectExtent l="0" t="76200" r="28575" b="114300"/>
                      <wp:wrapNone/>
                      <wp:docPr id="23" name="Straight Connector 23"/>
                      <wp:cNvGraphicFramePr/>
                      <a:graphic xmlns:a="http://schemas.openxmlformats.org/drawingml/2006/main">
                        <a:graphicData uri="http://schemas.microsoft.com/office/word/2010/wordprocessingShape">
                          <wps:wsp>
                            <wps:cNvCnPr/>
                            <wps:spPr>
                              <a:xfrm>
                                <a:off x="0" y="0"/>
                                <a:ext cx="352425" cy="0"/>
                              </a:xfrm>
                              <a:prstGeom prst="line">
                                <a:avLst/>
                              </a:prstGeom>
                              <a:noFill/>
                              <a:ln w="9525" cap="flat" cmpd="sng" algn="ctr">
                                <a:solidFill>
                                  <a:sysClr val="windowText" lastClr="000000">
                                    <a:shade val="95000"/>
                                    <a:satMod val="105000"/>
                                  </a:sysClr>
                                </a:solidFill>
                                <a:prstDash val="solid"/>
                                <a:tailEnd type="arrow"/>
                              </a:ln>
                              <a:effectLst/>
                            </wps:spPr>
                            <wps:bodyPr/>
                          </wps:wsp>
                        </a:graphicData>
                      </a:graphic>
                      <wp14:sizeRelH relativeFrom="margin">
                        <wp14:pctWidth>0</wp14:pctWidth>
                      </wp14:sizeRelH>
                      <wp14:sizeRelV relativeFrom="margin">
                        <wp14:pctHeight>0</wp14:pctHeight>
                      </wp14:sizeRelV>
                    </wp:anchor>
                  </w:drawing>
                </mc:Choice>
                <mc:Fallback>
                  <w:pict>
                    <v:line id="Straight Connector 23" o:spid="_x0000_s1026" style="position:absolute;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3.6pt,8.4pt" to="31.35pt,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">
                      <v:stroke endarrow="open"/>
                    </v:line>
                  </w:pict>
                </mc:Fallback>
              </mc:AlternateContent>
            </w:r>
            <w:r w:rsidR="00E00E2A" w:rsidRPr="00551E61">
              <w:rPr>
                <w:rFonts w:ascii="Arial" w:hAnsi="Arial" w:cs="Arial"/>
              </w:rPr>
              <w:t>Subsidios para mejoramiento de vivienda y titularidad con proceso participativo</w:t>
            </w:r>
          </w:p>
          <w:p w:rsidR="00E00E2A" w:rsidRPr="00551E61" w:rsidRDefault="00E00E2A" w:rsidP="008F796B">
            <w:pPr>
              <w:rPr>
                <w:rFonts w:ascii="Arial" w:hAnsi="Arial" w:cs="Arial"/>
              </w:rPr>
            </w:pPr>
          </w:p>
        </w:tc>
      </w:tr>
    </w:tbl>
    <w:p w:rsidR="008F796B" w:rsidRPr="00551E61" w:rsidRDefault="00C059EC" w:rsidP="008F796B">
      <w:pPr>
        <w:rPr>
          <w:rFonts w:ascii="Arial" w:hAnsi="Arial" w:cs="Arial"/>
          <w:lang w:val="es-ES_tradnl"/>
        </w:rPr>
      </w:pPr>
      <w:r w:rsidRPr="00551E61">
        <w:rPr>
          <w:rFonts w:ascii="Arial" w:hAnsi="Arial" w:cs="Arial"/>
          <w:lang w:val="es-ES_tradnl"/>
        </w:rPr>
        <w:t xml:space="preserve">Elaboración propia. Paréntesis significa que la intervención es parte de otro componente de la operación. Flecha punteada significa que la intervención apunta a la causa de manera indirecta.  </w:t>
      </w:r>
    </w:p>
    <w:p w:rsidR="00C059EC" w:rsidRPr="00551E61" w:rsidRDefault="00C059EC" w:rsidP="008F796B">
      <w:pPr>
        <w:rPr>
          <w:rFonts w:ascii="Arial" w:hAnsi="Arial" w:cs="Arial"/>
          <w:lang w:val="es-ES_tradnl"/>
        </w:rPr>
      </w:pPr>
    </w:p>
    <w:p w:rsidR="005270C3" w:rsidRPr="00551E61" w:rsidRDefault="00C059EC" w:rsidP="00D61AC0">
      <w:pPr>
        <w:pStyle w:val="Paragraph"/>
        <w:numPr>
          <w:ilvl w:val="1"/>
          <w:numId w:val="1"/>
        </w:numPr>
        <w:tabs>
          <w:tab w:val="clear" w:pos="2736"/>
          <w:tab w:val="num" w:pos="720"/>
        </w:tabs>
        <w:ind w:left="720" w:hanging="720"/>
        <w:rPr>
          <w:rFonts w:ascii="Arial" w:hAnsi="Arial" w:cs="Arial"/>
        </w:rPr>
      </w:pPr>
      <w:r w:rsidRPr="00551E61">
        <w:rPr>
          <w:rFonts w:ascii="Arial" w:hAnsi="Arial" w:cs="Arial"/>
          <w:sz w:val="22"/>
          <w:szCs w:val="22"/>
        </w:rPr>
        <w:t>El presupuesto de la</w:t>
      </w:r>
      <w:r w:rsidR="0005682B" w:rsidRPr="00551E61">
        <w:rPr>
          <w:rFonts w:ascii="Arial" w:hAnsi="Arial" w:cs="Arial"/>
          <w:sz w:val="22"/>
          <w:szCs w:val="22"/>
        </w:rPr>
        <w:t xml:space="preserve"> propue</w:t>
      </w:r>
      <w:r w:rsidR="00551E61">
        <w:rPr>
          <w:rFonts w:ascii="Arial" w:hAnsi="Arial" w:cs="Arial"/>
          <w:sz w:val="22"/>
          <w:szCs w:val="22"/>
        </w:rPr>
        <w:t>sta habitacional asciende a US$</w:t>
      </w:r>
      <w:r w:rsidR="0005682B" w:rsidRPr="00551E61">
        <w:rPr>
          <w:rFonts w:ascii="Arial" w:hAnsi="Arial" w:cs="Arial"/>
          <w:sz w:val="22"/>
          <w:szCs w:val="22"/>
        </w:rPr>
        <w:t xml:space="preserve">4.75 millones de los cuales </w:t>
      </w:r>
      <w:r w:rsidR="00401E7C" w:rsidRPr="00551E61">
        <w:rPr>
          <w:rFonts w:ascii="Arial" w:hAnsi="Arial" w:cs="Arial"/>
          <w:sz w:val="22"/>
          <w:szCs w:val="22"/>
        </w:rPr>
        <w:t>la estrategia de atracción ti</w:t>
      </w:r>
      <w:r w:rsidR="00551E61">
        <w:rPr>
          <w:rFonts w:ascii="Arial" w:hAnsi="Arial" w:cs="Arial"/>
          <w:sz w:val="22"/>
          <w:szCs w:val="22"/>
        </w:rPr>
        <w:t>ene un presupuesto total de US$</w:t>
      </w:r>
      <w:r w:rsidR="00401E7C" w:rsidRPr="00551E61">
        <w:rPr>
          <w:rFonts w:ascii="Arial" w:hAnsi="Arial" w:cs="Arial"/>
          <w:sz w:val="22"/>
          <w:szCs w:val="22"/>
        </w:rPr>
        <w:t>2.4 millones y la estrategia de retención de US$ 2.35 millones. La tabla 7 detalla las intervenciones, acciones, tipo de gasto y el costo total de cada estrategia.</w:t>
      </w:r>
    </w:p>
    <w:p w:rsidR="00D61AC0" w:rsidRPr="00551E61" w:rsidRDefault="00401E7C" w:rsidP="005270C3">
      <w:pPr>
        <w:pStyle w:val="Paragraph"/>
        <w:ind w:left="720"/>
        <w:rPr>
          <w:rFonts w:ascii="Arial" w:hAnsi="Arial" w:cs="Arial"/>
        </w:rPr>
      </w:pPr>
      <w:r w:rsidRPr="00551E61">
        <w:rPr>
          <w:rFonts w:ascii="Arial" w:hAnsi="Arial" w:cs="Arial"/>
          <w:sz w:val="22"/>
          <w:szCs w:val="22"/>
        </w:rPr>
        <w:t xml:space="preserve"> </w:t>
      </w:r>
    </w:p>
    <w:p w:rsidR="005270C3" w:rsidRPr="00551E61" w:rsidRDefault="005270C3" w:rsidP="005270C3">
      <w:pPr>
        <w:spacing w:after="0"/>
        <w:jc w:val="center"/>
        <w:rPr>
          <w:rFonts w:ascii="Arial" w:hAnsi="Arial" w:cs="Arial"/>
          <w:lang w:val="es-ES_tradnl"/>
        </w:rPr>
      </w:pPr>
      <w:r w:rsidRPr="00551E61">
        <w:rPr>
          <w:rFonts w:ascii="Arial" w:hAnsi="Arial" w:cs="Arial"/>
          <w:lang w:val="es-ES_tradnl"/>
        </w:rPr>
        <w:t>Tabla 7 Presupuesto de la Propuesta</w:t>
      </w:r>
    </w:p>
    <w:tbl>
      <w:tblPr>
        <w:tblStyle w:val="TableGrid"/>
        <w:tblW w:w="10530" w:type="dxa"/>
        <w:tblInd w:w="-612" w:type="dxa"/>
        <w:tblLook w:val="04A0" w:firstRow="1" w:lastRow="0" w:firstColumn="1" w:lastColumn="0" w:noHBand="0" w:noVBand="1"/>
      </w:tblPr>
      <w:tblGrid>
        <w:gridCol w:w="2512"/>
        <w:gridCol w:w="4508"/>
        <w:gridCol w:w="2202"/>
        <w:gridCol w:w="1308"/>
      </w:tblGrid>
      <w:tr w:rsidR="009B420B" w:rsidRPr="00551E61" w:rsidTr="0026407A">
        <w:tc>
          <w:tcPr>
            <w:tcW w:w="2512" w:type="dxa"/>
          </w:tcPr>
          <w:p w:rsidR="003168B2" w:rsidRPr="00551E61" w:rsidRDefault="00D61AC0" w:rsidP="00D61AC0">
            <w:pPr>
              <w:jc w:val="center"/>
              <w:rPr>
                <w:rFonts w:ascii="Arial" w:hAnsi="Arial" w:cs="Arial"/>
                <w:b/>
              </w:rPr>
            </w:pPr>
            <w:r w:rsidRPr="00551E61">
              <w:rPr>
                <w:rFonts w:ascii="Arial" w:hAnsi="Arial" w:cs="Arial"/>
                <w:b/>
              </w:rPr>
              <w:t>Intervención</w:t>
            </w:r>
          </w:p>
        </w:tc>
        <w:tc>
          <w:tcPr>
            <w:tcW w:w="4508" w:type="dxa"/>
          </w:tcPr>
          <w:p w:rsidR="003168B2" w:rsidRPr="00551E61" w:rsidRDefault="00D61AC0" w:rsidP="00D61AC0">
            <w:pPr>
              <w:jc w:val="center"/>
              <w:rPr>
                <w:rFonts w:ascii="Arial" w:hAnsi="Arial" w:cs="Arial"/>
                <w:b/>
              </w:rPr>
            </w:pPr>
            <w:r w:rsidRPr="00551E61">
              <w:rPr>
                <w:rFonts w:ascii="Arial" w:hAnsi="Arial" w:cs="Arial"/>
                <w:b/>
              </w:rPr>
              <w:t>Acciones</w:t>
            </w:r>
          </w:p>
        </w:tc>
        <w:tc>
          <w:tcPr>
            <w:tcW w:w="2202" w:type="dxa"/>
          </w:tcPr>
          <w:p w:rsidR="003168B2" w:rsidRPr="00551E61" w:rsidRDefault="00401E7C" w:rsidP="00D61AC0">
            <w:pPr>
              <w:jc w:val="center"/>
              <w:rPr>
                <w:rFonts w:ascii="Arial" w:hAnsi="Arial" w:cs="Arial"/>
                <w:b/>
              </w:rPr>
            </w:pPr>
            <w:r w:rsidRPr="00551E61">
              <w:rPr>
                <w:rFonts w:ascii="Arial" w:hAnsi="Arial" w:cs="Arial"/>
                <w:b/>
              </w:rPr>
              <w:t>Tipo</w:t>
            </w:r>
          </w:p>
        </w:tc>
        <w:tc>
          <w:tcPr>
            <w:tcW w:w="1308" w:type="dxa"/>
          </w:tcPr>
          <w:p w:rsidR="003168B2" w:rsidRPr="00551E61" w:rsidRDefault="00D61AC0" w:rsidP="00D61AC0">
            <w:pPr>
              <w:jc w:val="center"/>
              <w:rPr>
                <w:rFonts w:ascii="Arial" w:hAnsi="Arial" w:cs="Arial"/>
                <w:b/>
              </w:rPr>
            </w:pPr>
            <w:r w:rsidRPr="00551E61">
              <w:rPr>
                <w:rFonts w:ascii="Arial" w:hAnsi="Arial" w:cs="Arial"/>
                <w:b/>
              </w:rPr>
              <w:t>Costo</w:t>
            </w:r>
          </w:p>
        </w:tc>
      </w:tr>
      <w:tr w:rsidR="00D61AC0" w:rsidRPr="00551E61" w:rsidTr="00FE055E">
        <w:tc>
          <w:tcPr>
            <w:tcW w:w="10530" w:type="dxa"/>
            <w:gridSpan w:val="4"/>
          </w:tcPr>
          <w:p w:rsidR="00D61AC0" w:rsidRPr="00551E61" w:rsidRDefault="00D61AC0" w:rsidP="003168B2">
            <w:pPr>
              <w:rPr>
                <w:rFonts w:ascii="Arial" w:hAnsi="Arial" w:cs="Arial"/>
                <w:b/>
              </w:rPr>
            </w:pPr>
            <w:r w:rsidRPr="00551E61">
              <w:rPr>
                <w:rFonts w:ascii="Arial" w:hAnsi="Arial" w:cs="Arial"/>
                <w:b/>
              </w:rPr>
              <w:t>Estrategia de atracción</w:t>
            </w:r>
            <w:r w:rsidR="001D2B6F" w:rsidRPr="00551E61">
              <w:rPr>
                <w:rFonts w:ascii="Arial" w:hAnsi="Arial" w:cs="Arial"/>
                <w:b/>
              </w:rPr>
              <w:t>:                                                                                                                                              $ 2,400,000</w:t>
            </w:r>
          </w:p>
        </w:tc>
      </w:tr>
      <w:tr w:rsidR="009B420B" w:rsidRPr="00551E61" w:rsidTr="0026407A">
        <w:tc>
          <w:tcPr>
            <w:tcW w:w="2512" w:type="dxa"/>
          </w:tcPr>
          <w:p w:rsidR="003168B2" w:rsidRPr="00551E61" w:rsidRDefault="00D61AC0" w:rsidP="003168B2">
            <w:pPr>
              <w:rPr>
                <w:rFonts w:ascii="Arial" w:hAnsi="Arial" w:cs="Arial"/>
                <w:sz w:val="20"/>
                <w:szCs w:val="20"/>
              </w:rPr>
            </w:pPr>
            <w:r w:rsidRPr="00551E61">
              <w:rPr>
                <w:rFonts w:ascii="Arial" w:hAnsi="Arial" w:cs="Arial"/>
                <w:sz w:val="20"/>
                <w:szCs w:val="20"/>
              </w:rPr>
              <w:t>Elaboración de reglamento operativo del Programa de Embellecimiento de Fachadas</w:t>
            </w:r>
          </w:p>
        </w:tc>
        <w:tc>
          <w:tcPr>
            <w:tcW w:w="4508" w:type="dxa"/>
          </w:tcPr>
          <w:p w:rsidR="003168B2" w:rsidRPr="00551E61" w:rsidRDefault="00D61AC0" w:rsidP="00D61AC0">
            <w:pPr>
              <w:rPr>
                <w:rFonts w:ascii="Arial" w:hAnsi="Arial" w:cs="Arial"/>
                <w:sz w:val="20"/>
                <w:szCs w:val="20"/>
              </w:rPr>
            </w:pPr>
            <w:r w:rsidRPr="00551E61">
              <w:rPr>
                <w:rFonts w:ascii="Arial" w:hAnsi="Arial" w:cs="Arial"/>
                <w:sz w:val="20"/>
                <w:szCs w:val="20"/>
              </w:rPr>
              <w:t>Incluye definición de: a)  criterios de selección de beneficiarios; b) modelo financiero; c) esquemas de articulación con otros acciones de la operación;  d) mecanismos de ejecución y supervisión e) seguimiento y control.</w:t>
            </w:r>
          </w:p>
        </w:tc>
        <w:tc>
          <w:tcPr>
            <w:tcW w:w="2202" w:type="dxa"/>
          </w:tcPr>
          <w:p w:rsidR="003168B2" w:rsidRPr="00551E61" w:rsidRDefault="00D61AC0" w:rsidP="003168B2">
            <w:pPr>
              <w:rPr>
                <w:rFonts w:ascii="Arial" w:hAnsi="Arial" w:cs="Arial"/>
                <w:sz w:val="20"/>
                <w:szCs w:val="20"/>
              </w:rPr>
            </w:pPr>
            <w:r w:rsidRPr="00551E61">
              <w:rPr>
                <w:rFonts w:ascii="Arial" w:hAnsi="Arial" w:cs="Arial"/>
                <w:sz w:val="20"/>
                <w:szCs w:val="20"/>
              </w:rPr>
              <w:t xml:space="preserve">Consultoría </w:t>
            </w:r>
          </w:p>
        </w:tc>
        <w:tc>
          <w:tcPr>
            <w:tcW w:w="1308" w:type="dxa"/>
          </w:tcPr>
          <w:p w:rsidR="003168B2" w:rsidRPr="00551E61" w:rsidRDefault="00D61AC0" w:rsidP="003168B2">
            <w:pPr>
              <w:rPr>
                <w:rFonts w:ascii="Arial" w:hAnsi="Arial" w:cs="Arial"/>
                <w:sz w:val="20"/>
                <w:szCs w:val="20"/>
              </w:rPr>
            </w:pPr>
            <w:r w:rsidRPr="00551E61">
              <w:rPr>
                <w:rFonts w:ascii="Arial" w:hAnsi="Arial" w:cs="Arial"/>
                <w:sz w:val="20"/>
                <w:szCs w:val="20"/>
              </w:rPr>
              <w:t xml:space="preserve">$   </w:t>
            </w:r>
            <w:r w:rsidR="009B420B" w:rsidRPr="00551E61">
              <w:rPr>
                <w:rFonts w:ascii="Arial" w:hAnsi="Arial" w:cs="Arial"/>
                <w:sz w:val="20"/>
                <w:szCs w:val="20"/>
              </w:rPr>
              <w:t xml:space="preserve">  </w:t>
            </w:r>
            <w:r w:rsidR="00FE055E" w:rsidRPr="00551E61">
              <w:rPr>
                <w:rFonts w:ascii="Arial" w:hAnsi="Arial" w:cs="Arial"/>
                <w:sz w:val="20"/>
                <w:szCs w:val="20"/>
              </w:rPr>
              <w:t xml:space="preserve"> </w:t>
            </w:r>
            <w:r w:rsidR="00551E61">
              <w:rPr>
                <w:rFonts w:ascii="Arial" w:hAnsi="Arial" w:cs="Arial"/>
                <w:sz w:val="20"/>
                <w:szCs w:val="20"/>
              </w:rPr>
              <w:t>50.</w:t>
            </w:r>
            <w:r w:rsidRPr="00551E61">
              <w:rPr>
                <w:rFonts w:ascii="Arial" w:hAnsi="Arial" w:cs="Arial"/>
                <w:sz w:val="20"/>
                <w:szCs w:val="20"/>
              </w:rPr>
              <w:t>000</w:t>
            </w:r>
          </w:p>
        </w:tc>
      </w:tr>
      <w:tr w:rsidR="009B420B" w:rsidRPr="00551E61" w:rsidTr="0026407A">
        <w:tc>
          <w:tcPr>
            <w:tcW w:w="2512" w:type="dxa"/>
          </w:tcPr>
          <w:p w:rsidR="003168B2" w:rsidRPr="00551E61" w:rsidRDefault="009B420B" w:rsidP="003168B2">
            <w:pPr>
              <w:rPr>
                <w:rFonts w:ascii="Arial" w:hAnsi="Arial" w:cs="Arial"/>
                <w:sz w:val="20"/>
                <w:szCs w:val="20"/>
              </w:rPr>
            </w:pPr>
            <w:r w:rsidRPr="00551E61">
              <w:rPr>
                <w:rFonts w:ascii="Arial" w:hAnsi="Arial" w:cs="Arial"/>
                <w:sz w:val="20"/>
                <w:szCs w:val="20"/>
              </w:rPr>
              <w:lastRenderedPageBreak/>
              <w:t xml:space="preserve">Inversión en </w:t>
            </w:r>
            <w:r w:rsidR="00D61AC0" w:rsidRPr="00551E61">
              <w:rPr>
                <w:rFonts w:ascii="Arial" w:hAnsi="Arial" w:cs="Arial"/>
                <w:sz w:val="20"/>
                <w:szCs w:val="20"/>
              </w:rPr>
              <w:t>Embellecimiento de Fachadas</w:t>
            </w:r>
          </w:p>
        </w:tc>
        <w:tc>
          <w:tcPr>
            <w:tcW w:w="4508" w:type="dxa"/>
          </w:tcPr>
          <w:p w:rsidR="003168B2" w:rsidRPr="00551E61" w:rsidRDefault="009B420B" w:rsidP="003168B2">
            <w:pPr>
              <w:rPr>
                <w:rFonts w:ascii="Arial" w:hAnsi="Arial" w:cs="Arial"/>
                <w:sz w:val="20"/>
                <w:szCs w:val="20"/>
              </w:rPr>
            </w:pPr>
            <w:r w:rsidRPr="00551E61">
              <w:rPr>
                <w:rFonts w:ascii="Arial" w:hAnsi="Arial" w:cs="Arial"/>
                <w:sz w:val="20"/>
                <w:szCs w:val="20"/>
              </w:rPr>
              <w:t>Restauración y rehabilitación de fachadas de edificios de valor patrimonial categorías 1, 2 y 3 en toda la CCSD</w:t>
            </w:r>
          </w:p>
        </w:tc>
        <w:tc>
          <w:tcPr>
            <w:tcW w:w="2202" w:type="dxa"/>
          </w:tcPr>
          <w:p w:rsidR="003168B2" w:rsidRPr="00551E61" w:rsidRDefault="00D61AC0" w:rsidP="003168B2">
            <w:pPr>
              <w:rPr>
                <w:rFonts w:ascii="Arial" w:hAnsi="Arial" w:cs="Arial"/>
                <w:sz w:val="20"/>
                <w:szCs w:val="20"/>
              </w:rPr>
            </w:pPr>
            <w:r w:rsidRPr="00551E61">
              <w:rPr>
                <w:rFonts w:ascii="Arial" w:hAnsi="Arial" w:cs="Arial"/>
                <w:sz w:val="20"/>
                <w:szCs w:val="20"/>
              </w:rPr>
              <w:t>Inversión</w:t>
            </w:r>
            <w:r w:rsidR="009B420B" w:rsidRPr="00551E61">
              <w:rPr>
                <w:rFonts w:ascii="Arial" w:hAnsi="Arial" w:cs="Arial"/>
                <w:sz w:val="20"/>
                <w:szCs w:val="20"/>
              </w:rPr>
              <w:t xml:space="preserve">: </w:t>
            </w:r>
            <w:r w:rsidRPr="00551E61">
              <w:rPr>
                <w:rFonts w:ascii="Arial" w:hAnsi="Arial" w:cs="Arial"/>
                <w:sz w:val="20"/>
                <w:szCs w:val="20"/>
              </w:rPr>
              <w:t xml:space="preserve"> </w:t>
            </w:r>
          </w:p>
          <w:p w:rsidR="009B420B" w:rsidRPr="00551E61" w:rsidRDefault="009B420B" w:rsidP="00F3377F">
            <w:pPr>
              <w:rPr>
                <w:rFonts w:ascii="Arial" w:hAnsi="Arial" w:cs="Arial"/>
                <w:sz w:val="20"/>
                <w:szCs w:val="20"/>
              </w:rPr>
            </w:pPr>
            <w:r w:rsidRPr="00551E61">
              <w:rPr>
                <w:rFonts w:ascii="Arial" w:hAnsi="Arial" w:cs="Arial"/>
                <w:sz w:val="20"/>
                <w:szCs w:val="20"/>
              </w:rPr>
              <w:t>1</w:t>
            </w:r>
            <w:r w:rsidR="00F3377F" w:rsidRPr="00551E61">
              <w:rPr>
                <w:rFonts w:ascii="Arial" w:hAnsi="Arial" w:cs="Arial"/>
                <w:sz w:val="20"/>
                <w:szCs w:val="20"/>
              </w:rPr>
              <w:t xml:space="preserve">20 </w:t>
            </w:r>
            <w:r w:rsidRPr="00551E61">
              <w:rPr>
                <w:rFonts w:ascii="Arial" w:hAnsi="Arial" w:cs="Arial"/>
                <w:sz w:val="20"/>
                <w:szCs w:val="20"/>
              </w:rPr>
              <w:t>fa</w:t>
            </w:r>
            <w:r w:rsidR="00F3377F" w:rsidRPr="00551E61">
              <w:rPr>
                <w:rFonts w:ascii="Arial" w:hAnsi="Arial" w:cs="Arial"/>
                <w:sz w:val="20"/>
                <w:szCs w:val="20"/>
              </w:rPr>
              <w:t>chadas con monto promedio de $12,5</w:t>
            </w:r>
            <w:r w:rsidRPr="00551E61">
              <w:rPr>
                <w:rFonts w:ascii="Arial" w:hAnsi="Arial" w:cs="Arial"/>
                <w:sz w:val="20"/>
                <w:szCs w:val="20"/>
              </w:rPr>
              <w:t>00</w:t>
            </w:r>
          </w:p>
        </w:tc>
        <w:tc>
          <w:tcPr>
            <w:tcW w:w="1308" w:type="dxa"/>
          </w:tcPr>
          <w:p w:rsidR="003168B2" w:rsidRPr="00551E61" w:rsidRDefault="009B420B" w:rsidP="003168B2">
            <w:pPr>
              <w:rPr>
                <w:rFonts w:ascii="Arial" w:hAnsi="Arial" w:cs="Arial"/>
                <w:sz w:val="20"/>
                <w:szCs w:val="20"/>
              </w:rPr>
            </w:pPr>
            <w:r w:rsidRPr="00551E61">
              <w:rPr>
                <w:rFonts w:ascii="Arial" w:hAnsi="Arial" w:cs="Arial"/>
                <w:sz w:val="20"/>
                <w:szCs w:val="20"/>
              </w:rPr>
              <w:t>$</w:t>
            </w:r>
            <w:r w:rsidR="00551E61">
              <w:rPr>
                <w:rFonts w:ascii="Arial" w:hAnsi="Arial" w:cs="Arial"/>
                <w:sz w:val="20"/>
                <w:szCs w:val="20"/>
              </w:rPr>
              <w:t>1.500.</w:t>
            </w:r>
            <w:r w:rsidRPr="00551E61">
              <w:rPr>
                <w:rFonts w:ascii="Arial" w:hAnsi="Arial" w:cs="Arial"/>
                <w:sz w:val="20"/>
                <w:szCs w:val="20"/>
              </w:rPr>
              <w:t>000</w:t>
            </w:r>
          </w:p>
        </w:tc>
      </w:tr>
      <w:tr w:rsidR="009B420B" w:rsidRPr="00551E61" w:rsidTr="0026407A">
        <w:tc>
          <w:tcPr>
            <w:tcW w:w="2512" w:type="dxa"/>
          </w:tcPr>
          <w:p w:rsidR="003168B2" w:rsidRPr="00551E61" w:rsidRDefault="009B420B" w:rsidP="003168B2">
            <w:pPr>
              <w:rPr>
                <w:rFonts w:ascii="Arial" w:hAnsi="Arial" w:cs="Arial"/>
                <w:sz w:val="20"/>
                <w:szCs w:val="20"/>
              </w:rPr>
            </w:pPr>
            <w:r w:rsidRPr="00551E61">
              <w:rPr>
                <w:rFonts w:ascii="Arial" w:hAnsi="Arial" w:cs="Arial"/>
                <w:sz w:val="20"/>
                <w:szCs w:val="20"/>
              </w:rPr>
              <w:t>Gestión de Embellecimiento de Fachadas</w:t>
            </w:r>
          </w:p>
        </w:tc>
        <w:tc>
          <w:tcPr>
            <w:tcW w:w="4508" w:type="dxa"/>
          </w:tcPr>
          <w:p w:rsidR="003168B2" w:rsidRPr="00551E61" w:rsidRDefault="009B420B" w:rsidP="003168B2">
            <w:pPr>
              <w:rPr>
                <w:rFonts w:ascii="Arial" w:hAnsi="Arial" w:cs="Arial"/>
                <w:sz w:val="20"/>
                <w:szCs w:val="20"/>
              </w:rPr>
            </w:pPr>
            <w:r w:rsidRPr="00551E61">
              <w:rPr>
                <w:rFonts w:ascii="Arial" w:hAnsi="Arial" w:cs="Arial"/>
                <w:sz w:val="20"/>
                <w:szCs w:val="20"/>
              </w:rPr>
              <w:t>Organización de la demanda, contratación, seguimiento social y supervisión</w:t>
            </w:r>
          </w:p>
        </w:tc>
        <w:tc>
          <w:tcPr>
            <w:tcW w:w="2202" w:type="dxa"/>
          </w:tcPr>
          <w:p w:rsidR="003168B2" w:rsidRPr="00551E61" w:rsidRDefault="009B420B" w:rsidP="003168B2">
            <w:pPr>
              <w:rPr>
                <w:rFonts w:ascii="Arial" w:hAnsi="Arial" w:cs="Arial"/>
                <w:sz w:val="20"/>
                <w:szCs w:val="20"/>
              </w:rPr>
            </w:pPr>
            <w:r w:rsidRPr="00551E61">
              <w:rPr>
                <w:rFonts w:ascii="Arial" w:hAnsi="Arial" w:cs="Arial"/>
                <w:sz w:val="20"/>
                <w:szCs w:val="20"/>
              </w:rPr>
              <w:t>Personal técnico</w:t>
            </w:r>
            <w:r w:rsidR="00C86972" w:rsidRPr="00551E61">
              <w:rPr>
                <w:rFonts w:ascii="Arial" w:hAnsi="Arial" w:cs="Arial"/>
                <w:sz w:val="20"/>
                <w:szCs w:val="20"/>
              </w:rPr>
              <w:t>:</w:t>
            </w:r>
            <w:r w:rsidRPr="00551E61">
              <w:rPr>
                <w:rFonts w:ascii="Arial" w:hAnsi="Arial" w:cs="Arial"/>
                <w:sz w:val="20"/>
                <w:szCs w:val="20"/>
              </w:rPr>
              <w:t xml:space="preserve"> </w:t>
            </w:r>
            <w:r w:rsidR="00C86972" w:rsidRPr="00551E61">
              <w:rPr>
                <w:rFonts w:ascii="Arial" w:hAnsi="Arial" w:cs="Arial"/>
                <w:sz w:val="20"/>
                <w:szCs w:val="20"/>
              </w:rPr>
              <w:t xml:space="preserve">Profesional </w:t>
            </w:r>
            <w:r w:rsidRPr="00551E61">
              <w:rPr>
                <w:rFonts w:ascii="Arial" w:hAnsi="Arial" w:cs="Arial"/>
                <w:sz w:val="20"/>
                <w:szCs w:val="20"/>
              </w:rPr>
              <w:t xml:space="preserve">(arquitecto) por tiempo de ejecución de la operación </w:t>
            </w:r>
            <w:r w:rsidR="0026407A" w:rsidRPr="00551E61">
              <w:rPr>
                <w:rFonts w:ascii="Arial" w:hAnsi="Arial" w:cs="Arial"/>
                <w:sz w:val="20"/>
                <w:szCs w:val="20"/>
              </w:rPr>
              <w:t>~</w:t>
            </w:r>
            <w:r w:rsidR="00C61270" w:rsidRPr="00551E61">
              <w:rPr>
                <w:rFonts w:ascii="Arial" w:hAnsi="Arial" w:cs="Arial"/>
                <w:sz w:val="20"/>
                <w:szCs w:val="20"/>
              </w:rPr>
              <w:t>$3,500 * 72</w:t>
            </w:r>
          </w:p>
        </w:tc>
        <w:tc>
          <w:tcPr>
            <w:tcW w:w="1308" w:type="dxa"/>
          </w:tcPr>
          <w:p w:rsidR="003168B2" w:rsidRPr="00551E61" w:rsidRDefault="00551E61" w:rsidP="00551E61">
            <w:pPr>
              <w:rPr>
                <w:rFonts w:ascii="Arial" w:hAnsi="Arial" w:cs="Arial"/>
                <w:sz w:val="20"/>
                <w:szCs w:val="20"/>
              </w:rPr>
            </w:pPr>
            <w:r>
              <w:rPr>
                <w:rFonts w:ascii="Arial" w:hAnsi="Arial" w:cs="Arial"/>
                <w:sz w:val="20"/>
                <w:szCs w:val="20"/>
              </w:rPr>
              <w:t>$</w:t>
            </w:r>
            <w:r w:rsidR="00C61270" w:rsidRPr="00551E61">
              <w:rPr>
                <w:rFonts w:ascii="Arial" w:hAnsi="Arial" w:cs="Arial"/>
                <w:sz w:val="20"/>
                <w:szCs w:val="20"/>
              </w:rPr>
              <w:t>25</w:t>
            </w:r>
            <w:r w:rsidR="00401E7C" w:rsidRPr="00551E61">
              <w:rPr>
                <w:rFonts w:ascii="Arial" w:hAnsi="Arial" w:cs="Arial"/>
                <w:sz w:val="20"/>
                <w:szCs w:val="20"/>
              </w:rPr>
              <w:t>2</w:t>
            </w:r>
            <w:r>
              <w:rPr>
                <w:rFonts w:ascii="Arial" w:hAnsi="Arial" w:cs="Arial"/>
                <w:sz w:val="20"/>
                <w:szCs w:val="20"/>
              </w:rPr>
              <w:t>.</w:t>
            </w:r>
            <w:r w:rsidR="00C61270" w:rsidRPr="00551E61">
              <w:rPr>
                <w:rFonts w:ascii="Arial" w:hAnsi="Arial" w:cs="Arial"/>
                <w:sz w:val="20"/>
                <w:szCs w:val="20"/>
              </w:rPr>
              <w:t>000</w:t>
            </w:r>
          </w:p>
        </w:tc>
      </w:tr>
      <w:tr w:rsidR="009B420B" w:rsidRPr="00551E61" w:rsidTr="0026407A">
        <w:tc>
          <w:tcPr>
            <w:tcW w:w="2512" w:type="dxa"/>
          </w:tcPr>
          <w:p w:rsidR="003168B2" w:rsidRPr="00551E61" w:rsidRDefault="00FE055E" w:rsidP="003168B2">
            <w:pPr>
              <w:rPr>
                <w:rFonts w:ascii="Arial" w:hAnsi="Arial" w:cs="Arial"/>
                <w:sz w:val="20"/>
                <w:szCs w:val="20"/>
                <w:lang w:val="es-ES_tradnl"/>
              </w:rPr>
            </w:pPr>
            <w:r w:rsidRPr="00551E61">
              <w:rPr>
                <w:rFonts w:ascii="Arial" w:hAnsi="Arial" w:cs="Arial"/>
                <w:sz w:val="20"/>
                <w:szCs w:val="20"/>
                <w:lang w:val="es-ES_tradnl"/>
              </w:rPr>
              <w:t xml:space="preserve">Identificación de propiedades para vivienda asequible </w:t>
            </w:r>
          </w:p>
        </w:tc>
        <w:tc>
          <w:tcPr>
            <w:tcW w:w="4508" w:type="dxa"/>
          </w:tcPr>
          <w:p w:rsidR="003168B2" w:rsidRPr="00551E61" w:rsidRDefault="00FE055E" w:rsidP="003168B2">
            <w:pPr>
              <w:rPr>
                <w:rFonts w:ascii="Arial" w:hAnsi="Arial" w:cs="Arial"/>
                <w:sz w:val="20"/>
                <w:szCs w:val="20"/>
                <w:lang w:val="es-ES_tradnl"/>
              </w:rPr>
            </w:pPr>
            <w:r w:rsidRPr="00551E61">
              <w:rPr>
                <w:rFonts w:ascii="Arial" w:hAnsi="Arial" w:cs="Arial"/>
                <w:sz w:val="20"/>
                <w:szCs w:val="20"/>
                <w:lang w:val="es-ES_tradnl"/>
              </w:rPr>
              <w:t>Levantamiento de información georreferenciada de propiedades con potencial de desarrollo</w:t>
            </w:r>
          </w:p>
        </w:tc>
        <w:tc>
          <w:tcPr>
            <w:tcW w:w="2202" w:type="dxa"/>
          </w:tcPr>
          <w:p w:rsidR="003168B2" w:rsidRPr="00551E61" w:rsidRDefault="00FE055E" w:rsidP="003168B2">
            <w:pPr>
              <w:rPr>
                <w:rFonts w:ascii="Arial" w:hAnsi="Arial" w:cs="Arial"/>
                <w:sz w:val="20"/>
                <w:szCs w:val="20"/>
                <w:lang w:val="es-ES_tradnl"/>
              </w:rPr>
            </w:pPr>
            <w:r w:rsidRPr="00551E61">
              <w:rPr>
                <w:rFonts w:ascii="Arial" w:hAnsi="Arial" w:cs="Arial"/>
                <w:sz w:val="20"/>
                <w:szCs w:val="20"/>
                <w:lang w:val="es-ES_tradnl"/>
              </w:rPr>
              <w:t>Consultoría</w:t>
            </w:r>
          </w:p>
        </w:tc>
        <w:tc>
          <w:tcPr>
            <w:tcW w:w="1308" w:type="dxa"/>
          </w:tcPr>
          <w:p w:rsidR="003168B2" w:rsidRPr="00551E61" w:rsidRDefault="00551E61" w:rsidP="00551E61">
            <w:pPr>
              <w:rPr>
                <w:rFonts w:ascii="Arial" w:hAnsi="Arial" w:cs="Arial"/>
                <w:sz w:val="20"/>
                <w:szCs w:val="20"/>
              </w:rPr>
            </w:pPr>
            <w:r>
              <w:rPr>
                <w:rFonts w:ascii="Arial" w:hAnsi="Arial" w:cs="Arial"/>
                <w:sz w:val="20"/>
                <w:szCs w:val="20"/>
              </w:rPr>
              <w:t>$150.</w:t>
            </w:r>
            <w:r w:rsidR="00FE055E" w:rsidRPr="00551E61">
              <w:rPr>
                <w:rFonts w:ascii="Arial" w:hAnsi="Arial" w:cs="Arial"/>
                <w:sz w:val="20"/>
                <w:szCs w:val="20"/>
              </w:rPr>
              <w:t>000</w:t>
            </w:r>
          </w:p>
        </w:tc>
      </w:tr>
      <w:tr w:rsidR="009B420B" w:rsidRPr="00551E61" w:rsidTr="0026407A">
        <w:tc>
          <w:tcPr>
            <w:tcW w:w="2512" w:type="dxa"/>
          </w:tcPr>
          <w:p w:rsidR="003168B2" w:rsidRPr="00551E61" w:rsidRDefault="0005682B" w:rsidP="003168B2">
            <w:pPr>
              <w:rPr>
                <w:rFonts w:ascii="Arial" w:hAnsi="Arial" w:cs="Arial"/>
                <w:sz w:val="20"/>
                <w:szCs w:val="20"/>
              </w:rPr>
            </w:pPr>
            <w:r w:rsidRPr="00551E61">
              <w:rPr>
                <w:rFonts w:ascii="Arial" w:hAnsi="Arial" w:cs="Arial"/>
                <w:sz w:val="20"/>
                <w:szCs w:val="20"/>
              </w:rPr>
              <w:t>Propuesta</w:t>
            </w:r>
            <w:r w:rsidR="00FE055E" w:rsidRPr="00551E61">
              <w:rPr>
                <w:rFonts w:ascii="Arial" w:hAnsi="Arial" w:cs="Arial"/>
                <w:sz w:val="20"/>
                <w:szCs w:val="20"/>
              </w:rPr>
              <w:t xml:space="preserve"> de estructuras financieras</w:t>
            </w:r>
          </w:p>
        </w:tc>
        <w:tc>
          <w:tcPr>
            <w:tcW w:w="4508" w:type="dxa"/>
          </w:tcPr>
          <w:p w:rsidR="003168B2" w:rsidRPr="00551E61" w:rsidRDefault="00FE055E" w:rsidP="003168B2">
            <w:pPr>
              <w:rPr>
                <w:rFonts w:ascii="Arial" w:hAnsi="Arial" w:cs="Arial"/>
                <w:sz w:val="20"/>
                <w:szCs w:val="20"/>
              </w:rPr>
            </w:pPr>
            <w:r w:rsidRPr="00551E61">
              <w:rPr>
                <w:rFonts w:ascii="Arial" w:hAnsi="Arial" w:cs="Arial"/>
                <w:sz w:val="20"/>
                <w:szCs w:val="20"/>
              </w:rPr>
              <w:t>Estructuración de modelos de negocio rentables incluyendo mecanismos como: i) mezcla de usos para compensar rentabilidades, ii) vivienda de alquiler institucional, y iii) asociaciones público-privadas en propiedades del estado o la iglesia</w:t>
            </w:r>
          </w:p>
        </w:tc>
        <w:tc>
          <w:tcPr>
            <w:tcW w:w="2202" w:type="dxa"/>
          </w:tcPr>
          <w:p w:rsidR="003168B2" w:rsidRPr="00551E61" w:rsidRDefault="0026407A" w:rsidP="003168B2">
            <w:pPr>
              <w:rPr>
                <w:rFonts w:ascii="Arial" w:hAnsi="Arial" w:cs="Arial"/>
                <w:sz w:val="20"/>
                <w:szCs w:val="20"/>
              </w:rPr>
            </w:pPr>
            <w:r w:rsidRPr="00551E61">
              <w:rPr>
                <w:rFonts w:ascii="Arial" w:hAnsi="Arial" w:cs="Arial"/>
                <w:sz w:val="20"/>
                <w:szCs w:val="20"/>
              </w:rPr>
              <w:t>Consultoría</w:t>
            </w:r>
          </w:p>
        </w:tc>
        <w:tc>
          <w:tcPr>
            <w:tcW w:w="1308" w:type="dxa"/>
          </w:tcPr>
          <w:p w:rsidR="003168B2" w:rsidRPr="00551E61" w:rsidRDefault="00551E61" w:rsidP="00551E61">
            <w:pPr>
              <w:rPr>
                <w:rFonts w:ascii="Arial" w:hAnsi="Arial" w:cs="Arial"/>
                <w:sz w:val="20"/>
                <w:szCs w:val="20"/>
              </w:rPr>
            </w:pPr>
            <w:r>
              <w:rPr>
                <w:rFonts w:ascii="Arial" w:hAnsi="Arial" w:cs="Arial"/>
                <w:sz w:val="20"/>
                <w:szCs w:val="20"/>
              </w:rPr>
              <w:t>$</w:t>
            </w:r>
            <w:r w:rsidR="00401E7C" w:rsidRPr="00551E61">
              <w:rPr>
                <w:rFonts w:ascii="Arial" w:hAnsi="Arial" w:cs="Arial"/>
                <w:sz w:val="20"/>
                <w:szCs w:val="20"/>
              </w:rPr>
              <w:t>98</w:t>
            </w:r>
            <w:r>
              <w:rPr>
                <w:rFonts w:ascii="Arial" w:hAnsi="Arial" w:cs="Arial"/>
                <w:sz w:val="20"/>
                <w:szCs w:val="20"/>
              </w:rPr>
              <w:t>.</w:t>
            </w:r>
            <w:r w:rsidR="00FE055E" w:rsidRPr="00551E61">
              <w:rPr>
                <w:rFonts w:ascii="Arial" w:hAnsi="Arial" w:cs="Arial"/>
                <w:sz w:val="20"/>
                <w:szCs w:val="20"/>
              </w:rPr>
              <w:t>000</w:t>
            </w:r>
          </w:p>
        </w:tc>
      </w:tr>
      <w:tr w:rsidR="009B420B" w:rsidRPr="00551E61" w:rsidTr="0026407A">
        <w:tc>
          <w:tcPr>
            <w:tcW w:w="2512" w:type="dxa"/>
          </w:tcPr>
          <w:p w:rsidR="003168B2" w:rsidRPr="00551E61" w:rsidRDefault="00FE055E" w:rsidP="003168B2">
            <w:pPr>
              <w:rPr>
                <w:rFonts w:ascii="Arial" w:hAnsi="Arial" w:cs="Arial"/>
                <w:sz w:val="20"/>
                <w:szCs w:val="20"/>
              </w:rPr>
            </w:pPr>
            <w:r w:rsidRPr="00551E61">
              <w:rPr>
                <w:rFonts w:ascii="Arial" w:hAnsi="Arial" w:cs="Arial"/>
                <w:sz w:val="20"/>
                <w:szCs w:val="20"/>
              </w:rPr>
              <w:t>Desarrollo de diseños arquitectónicos y ferias de constructores</w:t>
            </w:r>
          </w:p>
        </w:tc>
        <w:tc>
          <w:tcPr>
            <w:tcW w:w="4508" w:type="dxa"/>
          </w:tcPr>
          <w:p w:rsidR="003168B2" w:rsidRPr="00551E61" w:rsidRDefault="00FE055E" w:rsidP="003168B2">
            <w:pPr>
              <w:rPr>
                <w:rFonts w:ascii="Arial" w:hAnsi="Arial" w:cs="Arial"/>
                <w:sz w:val="20"/>
                <w:szCs w:val="20"/>
              </w:rPr>
            </w:pPr>
            <w:r w:rsidRPr="00551E61">
              <w:rPr>
                <w:rFonts w:ascii="Arial" w:hAnsi="Arial" w:cs="Arial"/>
                <w:sz w:val="20"/>
                <w:szCs w:val="20"/>
              </w:rPr>
              <w:t xml:space="preserve">Con base en los dos anteriores para ciertas propiedades identificadas como de potencial desarrollo, proporcionar un </w:t>
            </w:r>
            <w:r w:rsidR="0026407A" w:rsidRPr="00551E61">
              <w:rPr>
                <w:rFonts w:ascii="Arial" w:hAnsi="Arial" w:cs="Arial"/>
                <w:sz w:val="20"/>
                <w:szCs w:val="20"/>
              </w:rPr>
              <w:t>diseño</w:t>
            </w:r>
            <w:r w:rsidRPr="00551E61">
              <w:rPr>
                <w:rFonts w:ascii="Arial" w:hAnsi="Arial" w:cs="Arial"/>
                <w:sz w:val="20"/>
                <w:szCs w:val="20"/>
              </w:rPr>
              <w:t xml:space="preserve"> arquitectónico que respete el carácter patrimonial pero que</w:t>
            </w:r>
            <w:r w:rsidR="0026407A" w:rsidRPr="00551E61">
              <w:rPr>
                <w:rFonts w:ascii="Arial" w:hAnsi="Arial" w:cs="Arial"/>
                <w:sz w:val="20"/>
                <w:szCs w:val="20"/>
              </w:rPr>
              <w:t xml:space="preserve"> permita la rentabilidad. Presentación en ferias para incentivar a los constructores</w:t>
            </w:r>
          </w:p>
        </w:tc>
        <w:tc>
          <w:tcPr>
            <w:tcW w:w="2202" w:type="dxa"/>
          </w:tcPr>
          <w:p w:rsidR="003168B2" w:rsidRPr="00551E61" w:rsidRDefault="0026407A" w:rsidP="003168B2">
            <w:pPr>
              <w:rPr>
                <w:rFonts w:ascii="Arial" w:hAnsi="Arial" w:cs="Arial"/>
                <w:sz w:val="20"/>
                <w:szCs w:val="20"/>
              </w:rPr>
            </w:pPr>
            <w:r w:rsidRPr="00551E61">
              <w:rPr>
                <w:rFonts w:ascii="Arial" w:hAnsi="Arial" w:cs="Arial"/>
                <w:sz w:val="20"/>
                <w:szCs w:val="20"/>
              </w:rPr>
              <w:t xml:space="preserve">Consultoría </w:t>
            </w:r>
          </w:p>
        </w:tc>
        <w:tc>
          <w:tcPr>
            <w:tcW w:w="1308" w:type="dxa"/>
          </w:tcPr>
          <w:p w:rsidR="003168B2" w:rsidRPr="00551E61" w:rsidRDefault="00551E61" w:rsidP="00551E61">
            <w:pPr>
              <w:rPr>
                <w:rFonts w:ascii="Arial" w:hAnsi="Arial" w:cs="Arial"/>
                <w:sz w:val="20"/>
                <w:szCs w:val="20"/>
              </w:rPr>
            </w:pPr>
            <w:r>
              <w:rPr>
                <w:rFonts w:ascii="Arial" w:hAnsi="Arial" w:cs="Arial"/>
                <w:sz w:val="20"/>
                <w:szCs w:val="20"/>
              </w:rPr>
              <w:t>$</w:t>
            </w:r>
            <w:r w:rsidR="0026407A" w:rsidRPr="00551E61">
              <w:rPr>
                <w:rFonts w:ascii="Arial" w:hAnsi="Arial" w:cs="Arial"/>
                <w:sz w:val="20"/>
                <w:szCs w:val="20"/>
              </w:rPr>
              <w:t>250</w:t>
            </w:r>
            <w:r>
              <w:rPr>
                <w:rFonts w:ascii="Arial" w:hAnsi="Arial" w:cs="Arial"/>
                <w:sz w:val="20"/>
                <w:szCs w:val="20"/>
              </w:rPr>
              <w:t>.</w:t>
            </w:r>
            <w:r w:rsidR="0026407A" w:rsidRPr="00551E61">
              <w:rPr>
                <w:rFonts w:ascii="Arial" w:hAnsi="Arial" w:cs="Arial"/>
                <w:sz w:val="20"/>
                <w:szCs w:val="20"/>
              </w:rPr>
              <w:t>000</w:t>
            </w:r>
          </w:p>
        </w:tc>
      </w:tr>
      <w:tr w:rsidR="0026407A" w:rsidRPr="00551E61" w:rsidTr="0026407A">
        <w:tc>
          <w:tcPr>
            <w:tcW w:w="2512" w:type="dxa"/>
          </w:tcPr>
          <w:p w:rsidR="0026407A" w:rsidRPr="00551E61" w:rsidRDefault="008354A9" w:rsidP="003168B2">
            <w:pPr>
              <w:rPr>
                <w:rFonts w:ascii="Arial" w:hAnsi="Arial" w:cs="Arial"/>
                <w:sz w:val="20"/>
                <w:szCs w:val="20"/>
              </w:rPr>
            </w:pPr>
            <w:r w:rsidRPr="00551E61">
              <w:rPr>
                <w:rFonts w:ascii="Arial" w:hAnsi="Arial" w:cs="Arial"/>
                <w:sz w:val="20"/>
                <w:szCs w:val="20"/>
                <w:lang w:val="es-ES_tradnl"/>
              </w:rPr>
              <w:t>Sistema georreferenciado de información de títulos</w:t>
            </w:r>
          </w:p>
        </w:tc>
        <w:tc>
          <w:tcPr>
            <w:tcW w:w="4508" w:type="dxa"/>
          </w:tcPr>
          <w:p w:rsidR="0026407A" w:rsidRPr="00551E61" w:rsidRDefault="008354A9" w:rsidP="008354A9">
            <w:pPr>
              <w:rPr>
                <w:rFonts w:ascii="Arial" w:hAnsi="Arial" w:cs="Arial"/>
                <w:sz w:val="20"/>
                <w:szCs w:val="20"/>
              </w:rPr>
            </w:pPr>
            <w:r w:rsidRPr="00551E61">
              <w:rPr>
                <w:rFonts w:ascii="Arial" w:hAnsi="Arial" w:cs="Arial"/>
                <w:sz w:val="20"/>
                <w:szCs w:val="20"/>
                <w:lang w:val="es-ES_tradnl"/>
              </w:rPr>
              <w:t>Desarrollo de un sistema de consulta ágil para conocer el estado del título y los pasos para sanearlo para cada propiedad a partir de información pública de la Sala de Consulta del Registro de Títulos del Distrito Nacional.</w:t>
            </w:r>
          </w:p>
        </w:tc>
        <w:tc>
          <w:tcPr>
            <w:tcW w:w="2202" w:type="dxa"/>
          </w:tcPr>
          <w:p w:rsidR="0026407A" w:rsidRPr="00551E61" w:rsidRDefault="008354A9" w:rsidP="003168B2">
            <w:pPr>
              <w:rPr>
                <w:rFonts w:ascii="Arial" w:hAnsi="Arial" w:cs="Arial"/>
                <w:sz w:val="20"/>
                <w:szCs w:val="20"/>
              </w:rPr>
            </w:pPr>
            <w:r w:rsidRPr="00551E61">
              <w:rPr>
                <w:rFonts w:ascii="Arial" w:hAnsi="Arial" w:cs="Arial"/>
                <w:sz w:val="20"/>
                <w:szCs w:val="20"/>
              </w:rPr>
              <w:t>Consultoría</w:t>
            </w:r>
          </w:p>
        </w:tc>
        <w:tc>
          <w:tcPr>
            <w:tcW w:w="1308" w:type="dxa"/>
          </w:tcPr>
          <w:p w:rsidR="0026407A" w:rsidRPr="00551E61" w:rsidRDefault="00551E61" w:rsidP="00551E61">
            <w:pPr>
              <w:rPr>
                <w:rFonts w:ascii="Arial" w:hAnsi="Arial" w:cs="Arial"/>
                <w:sz w:val="20"/>
                <w:szCs w:val="20"/>
              </w:rPr>
            </w:pPr>
            <w:r>
              <w:rPr>
                <w:rFonts w:ascii="Arial" w:hAnsi="Arial" w:cs="Arial"/>
                <w:sz w:val="20"/>
                <w:szCs w:val="20"/>
              </w:rPr>
              <w:t>$</w:t>
            </w:r>
            <w:r w:rsidR="008354A9" w:rsidRPr="00551E61">
              <w:rPr>
                <w:rFonts w:ascii="Arial" w:hAnsi="Arial" w:cs="Arial"/>
                <w:sz w:val="20"/>
                <w:szCs w:val="20"/>
              </w:rPr>
              <w:t>100</w:t>
            </w:r>
            <w:r>
              <w:rPr>
                <w:rFonts w:ascii="Arial" w:hAnsi="Arial" w:cs="Arial"/>
                <w:sz w:val="20"/>
                <w:szCs w:val="20"/>
              </w:rPr>
              <w:t>.</w:t>
            </w:r>
            <w:r w:rsidR="008354A9" w:rsidRPr="00551E61">
              <w:rPr>
                <w:rFonts w:ascii="Arial" w:hAnsi="Arial" w:cs="Arial"/>
                <w:sz w:val="20"/>
                <w:szCs w:val="20"/>
              </w:rPr>
              <w:t>000</w:t>
            </w:r>
          </w:p>
        </w:tc>
      </w:tr>
      <w:tr w:rsidR="008354A9" w:rsidRPr="00551E61" w:rsidTr="00A670D5">
        <w:tc>
          <w:tcPr>
            <w:tcW w:w="10530" w:type="dxa"/>
            <w:gridSpan w:val="4"/>
          </w:tcPr>
          <w:p w:rsidR="008354A9" w:rsidRPr="00551E61" w:rsidRDefault="008354A9" w:rsidP="003168B2">
            <w:pPr>
              <w:rPr>
                <w:rFonts w:ascii="Arial" w:hAnsi="Arial" w:cs="Arial"/>
                <w:b/>
              </w:rPr>
            </w:pPr>
            <w:r w:rsidRPr="00551E61">
              <w:rPr>
                <w:rFonts w:ascii="Arial" w:hAnsi="Arial" w:cs="Arial"/>
                <w:b/>
              </w:rPr>
              <w:t xml:space="preserve">Estrategia de retención </w:t>
            </w:r>
            <w:r w:rsidR="001D2B6F" w:rsidRPr="00551E61">
              <w:rPr>
                <w:rFonts w:ascii="Arial" w:hAnsi="Arial" w:cs="Arial"/>
                <w:b/>
              </w:rPr>
              <w:t xml:space="preserve">                                                                                                                                              $ 2,350,000</w:t>
            </w:r>
          </w:p>
        </w:tc>
      </w:tr>
      <w:tr w:rsidR="0026407A" w:rsidRPr="00551E61" w:rsidTr="00401E7C">
        <w:tc>
          <w:tcPr>
            <w:tcW w:w="2512" w:type="dxa"/>
          </w:tcPr>
          <w:p w:rsidR="0026407A" w:rsidRPr="00551E61" w:rsidRDefault="0005682B" w:rsidP="003168B2">
            <w:pPr>
              <w:rPr>
                <w:rFonts w:ascii="Arial" w:hAnsi="Arial" w:cs="Arial"/>
                <w:sz w:val="20"/>
                <w:szCs w:val="20"/>
              </w:rPr>
            </w:pPr>
            <w:r w:rsidRPr="00551E61">
              <w:rPr>
                <w:rFonts w:ascii="Arial" w:hAnsi="Arial" w:cs="Arial"/>
                <w:sz w:val="20"/>
                <w:szCs w:val="20"/>
              </w:rPr>
              <w:t xml:space="preserve">Elaboración reglamento operativo del programa de mejoramiento de vivienda y titulación </w:t>
            </w:r>
          </w:p>
        </w:tc>
        <w:tc>
          <w:tcPr>
            <w:tcW w:w="4508" w:type="dxa"/>
          </w:tcPr>
          <w:p w:rsidR="0026407A" w:rsidRPr="00551E61" w:rsidRDefault="0005682B" w:rsidP="0005682B">
            <w:pPr>
              <w:rPr>
                <w:rFonts w:ascii="Arial" w:hAnsi="Arial" w:cs="Arial"/>
                <w:sz w:val="20"/>
                <w:szCs w:val="20"/>
              </w:rPr>
            </w:pPr>
            <w:r w:rsidRPr="00551E61">
              <w:rPr>
                <w:rFonts w:ascii="Arial" w:hAnsi="Arial" w:cs="Arial"/>
                <w:sz w:val="20"/>
                <w:szCs w:val="20"/>
              </w:rPr>
              <w:t>Incluye: i</w:t>
            </w:r>
            <w:r w:rsidR="008354A9" w:rsidRPr="00551E61">
              <w:rPr>
                <w:rFonts w:ascii="Arial" w:hAnsi="Arial" w:cs="Arial"/>
                <w:sz w:val="20"/>
                <w:szCs w:val="20"/>
              </w:rPr>
              <w:t>) identificación de modelos y tipologías de intervención</w:t>
            </w:r>
            <w:r w:rsidRPr="00551E61">
              <w:rPr>
                <w:rFonts w:ascii="Arial" w:hAnsi="Arial" w:cs="Arial"/>
                <w:sz w:val="20"/>
                <w:szCs w:val="20"/>
              </w:rPr>
              <w:t>; ii</w:t>
            </w:r>
            <w:r w:rsidR="008354A9" w:rsidRPr="00551E61">
              <w:rPr>
                <w:rFonts w:ascii="Arial" w:hAnsi="Arial" w:cs="Arial"/>
                <w:sz w:val="20"/>
                <w:szCs w:val="20"/>
              </w:rPr>
              <w:t xml:space="preserve">) criterios </w:t>
            </w:r>
            <w:r w:rsidRPr="00551E61">
              <w:rPr>
                <w:rFonts w:ascii="Arial" w:hAnsi="Arial" w:cs="Arial"/>
                <w:sz w:val="20"/>
                <w:szCs w:val="20"/>
              </w:rPr>
              <w:t>de selección de beneficiarios; iii) criterios de definición de la intervención, iv</w:t>
            </w:r>
            <w:r w:rsidR="008354A9" w:rsidRPr="00551E61">
              <w:rPr>
                <w:rFonts w:ascii="Arial" w:hAnsi="Arial" w:cs="Arial"/>
                <w:sz w:val="20"/>
                <w:szCs w:val="20"/>
              </w:rPr>
              <w:t>)</w:t>
            </w:r>
            <w:r w:rsidRPr="00551E61">
              <w:rPr>
                <w:rFonts w:ascii="Arial" w:hAnsi="Arial" w:cs="Arial"/>
                <w:sz w:val="20"/>
                <w:szCs w:val="20"/>
              </w:rPr>
              <w:t xml:space="preserve"> definición de mecanismos de corresponsabilidad, v)</w:t>
            </w:r>
            <w:r w:rsidR="008354A9" w:rsidRPr="00551E61">
              <w:rPr>
                <w:rFonts w:ascii="Arial" w:hAnsi="Arial" w:cs="Arial"/>
                <w:sz w:val="20"/>
                <w:szCs w:val="20"/>
              </w:rPr>
              <w:t xml:space="preserve"> </w:t>
            </w:r>
            <w:r w:rsidRPr="00551E61">
              <w:rPr>
                <w:rFonts w:ascii="Arial" w:hAnsi="Arial" w:cs="Arial"/>
                <w:sz w:val="20"/>
                <w:szCs w:val="20"/>
              </w:rPr>
              <w:t>formas de</w:t>
            </w:r>
            <w:r w:rsidR="008354A9" w:rsidRPr="00551E61">
              <w:rPr>
                <w:rFonts w:ascii="Arial" w:hAnsi="Arial" w:cs="Arial"/>
                <w:sz w:val="20"/>
                <w:szCs w:val="20"/>
              </w:rPr>
              <w:t xml:space="preserve"> ejecución y supervisión e) e</w:t>
            </w:r>
            <w:r w:rsidRPr="00551E61">
              <w:rPr>
                <w:rFonts w:ascii="Arial" w:hAnsi="Arial" w:cs="Arial"/>
                <w:sz w:val="20"/>
                <w:szCs w:val="20"/>
              </w:rPr>
              <w:t>squema de acompañamiento social</w:t>
            </w:r>
            <w:r w:rsidR="008354A9" w:rsidRPr="00551E61">
              <w:rPr>
                <w:rFonts w:ascii="Arial" w:hAnsi="Arial" w:cs="Arial"/>
                <w:sz w:val="20"/>
                <w:szCs w:val="20"/>
              </w:rPr>
              <w:t>.</w:t>
            </w:r>
          </w:p>
        </w:tc>
        <w:tc>
          <w:tcPr>
            <w:tcW w:w="2202" w:type="dxa"/>
          </w:tcPr>
          <w:p w:rsidR="0026407A" w:rsidRPr="00551E61" w:rsidRDefault="0005682B" w:rsidP="003168B2">
            <w:pPr>
              <w:rPr>
                <w:rFonts w:ascii="Arial" w:hAnsi="Arial" w:cs="Arial"/>
                <w:sz w:val="20"/>
                <w:szCs w:val="20"/>
              </w:rPr>
            </w:pPr>
            <w:r w:rsidRPr="00551E61">
              <w:rPr>
                <w:rFonts w:ascii="Arial" w:hAnsi="Arial" w:cs="Arial"/>
                <w:sz w:val="20"/>
                <w:szCs w:val="20"/>
              </w:rPr>
              <w:t xml:space="preserve">Consultoría </w:t>
            </w:r>
          </w:p>
        </w:tc>
        <w:tc>
          <w:tcPr>
            <w:tcW w:w="1308" w:type="dxa"/>
          </w:tcPr>
          <w:p w:rsidR="0026407A" w:rsidRPr="00551E61" w:rsidRDefault="00551E61" w:rsidP="00551E61">
            <w:pPr>
              <w:rPr>
                <w:rFonts w:ascii="Arial" w:hAnsi="Arial" w:cs="Arial"/>
                <w:sz w:val="20"/>
                <w:szCs w:val="20"/>
              </w:rPr>
            </w:pPr>
            <w:r>
              <w:rPr>
                <w:rFonts w:ascii="Arial" w:hAnsi="Arial" w:cs="Arial"/>
                <w:sz w:val="20"/>
                <w:szCs w:val="20"/>
              </w:rPr>
              <w:t>$100.</w:t>
            </w:r>
            <w:r w:rsidR="0005682B" w:rsidRPr="00551E61">
              <w:rPr>
                <w:rFonts w:ascii="Arial" w:hAnsi="Arial" w:cs="Arial"/>
                <w:sz w:val="20"/>
                <w:szCs w:val="20"/>
              </w:rPr>
              <w:t>000</w:t>
            </w:r>
          </w:p>
        </w:tc>
      </w:tr>
      <w:tr w:rsidR="0026407A" w:rsidRPr="00551E61" w:rsidTr="00401E7C">
        <w:tc>
          <w:tcPr>
            <w:tcW w:w="2512" w:type="dxa"/>
          </w:tcPr>
          <w:p w:rsidR="0026407A" w:rsidRPr="00551E61" w:rsidRDefault="009552C4" w:rsidP="003168B2">
            <w:pPr>
              <w:rPr>
                <w:rFonts w:ascii="Arial" w:hAnsi="Arial" w:cs="Arial"/>
                <w:sz w:val="20"/>
                <w:szCs w:val="20"/>
              </w:rPr>
            </w:pPr>
            <w:r w:rsidRPr="00551E61">
              <w:rPr>
                <w:rFonts w:ascii="Arial" w:hAnsi="Arial" w:cs="Arial"/>
                <w:sz w:val="20"/>
                <w:szCs w:val="20"/>
              </w:rPr>
              <w:t>Ejecución de obras del p</w:t>
            </w:r>
            <w:r w:rsidR="0005682B" w:rsidRPr="00551E61">
              <w:rPr>
                <w:rFonts w:ascii="Arial" w:hAnsi="Arial" w:cs="Arial"/>
                <w:sz w:val="20"/>
                <w:szCs w:val="20"/>
              </w:rPr>
              <w:t xml:space="preserve">rograma de mejoramiento de vivienda y titulación </w:t>
            </w:r>
          </w:p>
        </w:tc>
        <w:tc>
          <w:tcPr>
            <w:tcW w:w="4508" w:type="dxa"/>
          </w:tcPr>
          <w:p w:rsidR="0026407A" w:rsidRPr="00551E61" w:rsidRDefault="0005682B" w:rsidP="003168B2">
            <w:pPr>
              <w:rPr>
                <w:rFonts w:ascii="Arial" w:hAnsi="Arial" w:cs="Arial"/>
                <w:sz w:val="20"/>
                <w:szCs w:val="20"/>
              </w:rPr>
            </w:pPr>
            <w:r w:rsidRPr="00551E61">
              <w:rPr>
                <w:rFonts w:ascii="Arial" w:hAnsi="Arial" w:cs="Arial"/>
                <w:sz w:val="20"/>
                <w:szCs w:val="20"/>
              </w:rPr>
              <w:t xml:space="preserve">Mejoramiento de vivienda y titulación </w:t>
            </w:r>
            <w:r w:rsidR="00752B8D" w:rsidRPr="00551E61">
              <w:rPr>
                <w:rFonts w:ascii="Arial" w:hAnsi="Arial" w:cs="Arial"/>
                <w:sz w:val="20"/>
                <w:szCs w:val="20"/>
              </w:rPr>
              <w:t xml:space="preserve">de acuerdo a tipologías de intervención e identificación de necesidades en levantamiento de información </w:t>
            </w:r>
          </w:p>
        </w:tc>
        <w:tc>
          <w:tcPr>
            <w:tcW w:w="2202" w:type="dxa"/>
          </w:tcPr>
          <w:p w:rsidR="0026407A" w:rsidRPr="00551E61" w:rsidRDefault="00752B8D" w:rsidP="003168B2">
            <w:pPr>
              <w:rPr>
                <w:rFonts w:ascii="Arial" w:hAnsi="Arial" w:cs="Arial"/>
                <w:sz w:val="20"/>
                <w:szCs w:val="20"/>
              </w:rPr>
            </w:pPr>
            <w:r w:rsidRPr="00551E61">
              <w:rPr>
                <w:rFonts w:ascii="Arial" w:hAnsi="Arial" w:cs="Arial"/>
                <w:sz w:val="20"/>
                <w:szCs w:val="20"/>
              </w:rPr>
              <w:t>Inversión: 200 mejoramientos con un monto promedio de $6,500 por vivienda</w:t>
            </w:r>
          </w:p>
        </w:tc>
        <w:tc>
          <w:tcPr>
            <w:tcW w:w="1308" w:type="dxa"/>
          </w:tcPr>
          <w:p w:rsidR="0026407A" w:rsidRPr="00551E61" w:rsidRDefault="00551E61" w:rsidP="00551E61">
            <w:pPr>
              <w:rPr>
                <w:rFonts w:ascii="Arial" w:hAnsi="Arial" w:cs="Arial"/>
                <w:sz w:val="20"/>
                <w:szCs w:val="20"/>
              </w:rPr>
            </w:pPr>
            <w:r>
              <w:rPr>
                <w:rFonts w:ascii="Arial" w:hAnsi="Arial" w:cs="Arial"/>
                <w:sz w:val="20"/>
                <w:szCs w:val="20"/>
              </w:rPr>
              <w:t>$1.</w:t>
            </w:r>
            <w:r w:rsidR="00752B8D" w:rsidRPr="00551E61">
              <w:rPr>
                <w:rFonts w:ascii="Arial" w:hAnsi="Arial" w:cs="Arial"/>
                <w:sz w:val="20"/>
                <w:szCs w:val="20"/>
              </w:rPr>
              <w:t>300</w:t>
            </w:r>
            <w:r>
              <w:rPr>
                <w:rFonts w:ascii="Arial" w:hAnsi="Arial" w:cs="Arial"/>
                <w:sz w:val="20"/>
                <w:szCs w:val="20"/>
              </w:rPr>
              <w:t>.</w:t>
            </w:r>
            <w:r w:rsidR="00752B8D" w:rsidRPr="00551E61">
              <w:rPr>
                <w:rFonts w:ascii="Arial" w:hAnsi="Arial" w:cs="Arial"/>
                <w:sz w:val="20"/>
                <w:szCs w:val="20"/>
              </w:rPr>
              <w:t>000</w:t>
            </w:r>
          </w:p>
        </w:tc>
      </w:tr>
      <w:tr w:rsidR="0026407A" w:rsidRPr="00551E61" w:rsidTr="00401E7C">
        <w:tc>
          <w:tcPr>
            <w:tcW w:w="2512" w:type="dxa"/>
          </w:tcPr>
          <w:p w:rsidR="0026407A" w:rsidRPr="00551E61" w:rsidRDefault="00C86972" w:rsidP="00A670D5">
            <w:pPr>
              <w:rPr>
                <w:rFonts w:ascii="Arial" w:hAnsi="Arial" w:cs="Arial"/>
                <w:sz w:val="20"/>
                <w:szCs w:val="20"/>
              </w:rPr>
            </w:pPr>
            <w:r w:rsidRPr="00551E61">
              <w:rPr>
                <w:rFonts w:ascii="Arial" w:hAnsi="Arial" w:cs="Arial"/>
                <w:sz w:val="20"/>
                <w:szCs w:val="20"/>
              </w:rPr>
              <w:t>Trabajo social para la s</w:t>
            </w:r>
            <w:r w:rsidR="00752B8D" w:rsidRPr="00551E61">
              <w:rPr>
                <w:rFonts w:ascii="Arial" w:hAnsi="Arial" w:cs="Arial"/>
                <w:sz w:val="20"/>
                <w:szCs w:val="20"/>
              </w:rPr>
              <w:t xml:space="preserve">elección de familias y levantamiento de información  </w:t>
            </w:r>
          </w:p>
        </w:tc>
        <w:tc>
          <w:tcPr>
            <w:tcW w:w="4508" w:type="dxa"/>
          </w:tcPr>
          <w:p w:rsidR="0026407A" w:rsidRPr="00551E61" w:rsidRDefault="00752B8D" w:rsidP="00752B8D">
            <w:pPr>
              <w:rPr>
                <w:rFonts w:ascii="Arial" w:hAnsi="Arial" w:cs="Arial"/>
                <w:sz w:val="20"/>
                <w:szCs w:val="20"/>
              </w:rPr>
            </w:pPr>
            <w:r w:rsidRPr="00551E61">
              <w:rPr>
                <w:rFonts w:ascii="Arial" w:hAnsi="Arial" w:cs="Arial"/>
                <w:sz w:val="20"/>
                <w:szCs w:val="20"/>
              </w:rPr>
              <w:t xml:space="preserve">Incluye: i) evaluar zonas de trabajo, ii) revisar estudios previos, iii) organizar reunión de presentación del proyecto a líderes comunitarios de la zona, iv) formar un comité con la comunidad encargado de la preselección de familias, v) preparar plan de acción para el levantamiento, vi) contacto inicial con las familias, vii) aplicar encuesta social, viii) realizar evaluación de la vivienda, ix) evaluar  capacidad financiera de las familias y la situación de tenencia, x) diseñar plan de mejora, xi) definir aporte familia, xii) socializar los resultados del proceso con toda la comunidad. El levantamiento técnico se realizará a 320 familias (las 200 que serán atendidas más un 60% de margen de familias que probablemente </w:t>
            </w:r>
            <w:r w:rsidRPr="00551E61">
              <w:rPr>
                <w:rFonts w:ascii="Arial" w:hAnsi="Arial" w:cs="Arial"/>
                <w:sz w:val="20"/>
                <w:szCs w:val="20"/>
              </w:rPr>
              <w:lastRenderedPageBreak/>
              <w:t>se retiran).</w:t>
            </w:r>
            <w:r w:rsidR="00B37ABB" w:rsidRPr="00551E61">
              <w:rPr>
                <w:rFonts w:ascii="Arial" w:hAnsi="Arial" w:cs="Arial"/>
                <w:sz w:val="20"/>
                <w:szCs w:val="20"/>
              </w:rPr>
              <w:t xml:space="preserve"> El levantamiento técnico se realizará a 320 familias (las 200 que serán atendidas más un 60% de margen).</w:t>
            </w:r>
          </w:p>
        </w:tc>
        <w:tc>
          <w:tcPr>
            <w:tcW w:w="2202" w:type="dxa"/>
          </w:tcPr>
          <w:p w:rsidR="0026407A" w:rsidRPr="00551E61" w:rsidRDefault="00C86972" w:rsidP="00752B8D">
            <w:pPr>
              <w:rPr>
                <w:rFonts w:ascii="Arial" w:hAnsi="Arial" w:cs="Arial"/>
                <w:sz w:val="20"/>
                <w:szCs w:val="20"/>
              </w:rPr>
            </w:pPr>
            <w:r w:rsidRPr="00551E61">
              <w:rPr>
                <w:rFonts w:ascii="Arial" w:hAnsi="Arial" w:cs="Arial"/>
                <w:sz w:val="20"/>
                <w:szCs w:val="20"/>
              </w:rPr>
              <w:lastRenderedPageBreak/>
              <w:t xml:space="preserve">Personal técnico por los primeros 3 años: </w:t>
            </w:r>
          </w:p>
          <w:p w:rsidR="00C86972" w:rsidRPr="00551E61" w:rsidRDefault="00C86972" w:rsidP="00752B8D">
            <w:pPr>
              <w:rPr>
                <w:rFonts w:ascii="Arial" w:hAnsi="Arial" w:cs="Arial"/>
                <w:sz w:val="20"/>
                <w:szCs w:val="20"/>
              </w:rPr>
            </w:pPr>
          </w:p>
          <w:p w:rsidR="00C86972" w:rsidRPr="00551E61" w:rsidRDefault="00C86972" w:rsidP="00752B8D">
            <w:pPr>
              <w:rPr>
                <w:rFonts w:ascii="Arial" w:hAnsi="Arial" w:cs="Arial"/>
                <w:sz w:val="20"/>
                <w:szCs w:val="20"/>
              </w:rPr>
            </w:pPr>
            <w:r w:rsidRPr="00551E61">
              <w:rPr>
                <w:rFonts w:ascii="Arial" w:hAnsi="Arial" w:cs="Arial"/>
                <w:sz w:val="20"/>
                <w:szCs w:val="20"/>
              </w:rPr>
              <w:t>Coordinador técnico (ingeniero, arquitecto) ~$3,500*36</w:t>
            </w:r>
          </w:p>
          <w:p w:rsidR="00C86972" w:rsidRPr="00551E61" w:rsidRDefault="00C86972" w:rsidP="00752B8D">
            <w:pPr>
              <w:rPr>
                <w:rFonts w:ascii="Arial" w:hAnsi="Arial" w:cs="Arial"/>
                <w:sz w:val="20"/>
                <w:szCs w:val="20"/>
              </w:rPr>
            </w:pPr>
          </w:p>
          <w:p w:rsidR="00C86972" w:rsidRPr="00551E61" w:rsidRDefault="00C86972" w:rsidP="00752B8D">
            <w:pPr>
              <w:rPr>
                <w:rFonts w:ascii="Arial" w:hAnsi="Arial" w:cs="Arial"/>
                <w:sz w:val="20"/>
                <w:szCs w:val="20"/>
              </w:rPr>
            </w:pPr>
            <w:r w:rsidRPr="00551E61">
              <w:rPr>
                <w:rFonts w:ascii="Arial" w:hAnsi="Arial" w:cs="Arial"/>
                <w:sz w:val="20"/>
                <w:szCs w:val="20"/>
              </w:rPr>
              <w:t>2 técnicos sociales (trabajadores sociales o afines) ~$3,000*36 c/u</w:t>
            </w:r>
          </w:p>
          <w:p w:rsidR="00C86972" w:rsidRPr="00551E61" w:rsidRDefault="00C86972" w:rsidP="00752B8D">
            <w:pPr>
              <w:rPr>
                <w:rFonts w:ascii="Arial" w:hAnsi="Arial" w:cs="Arial"/>
                <w:sz w:val="20"/>
                <w:szCs w:val="20"/>
              </w:rPr>
            </w:pPr>
          </w:p>
          <w:p w:rsidR="00C86972" w:rsidRPr="00551E61" w:rsidRDefault="00C86972" w:rsidP="00752B8D">
            <w:pPr>
              <w:rPr>
                <w:rFonts w:ascii="Arial" w:hAnsi="Arial" w:cs="Arial"/>
                <w:sz w:val="20"/>
                <w:szCs w:val="20"/>
              </w:rPr>
            </w:pPr>
            <w:r w:rsidRPr="00551E61">
              <w:rPr>
                <w:rFonts w:ascii="Arial" w:hAnsi="Arial" w:cs="Arial"/>
                <w:sz w:val="20"/>
                <w:szCs w:val="20"/>
              </w:rPr>
              <w:t>Asistente administrativo ~$2,000*36</w:t>
            </w:r>
          </w:p>
          <w:p w:rsidR="00C86972" w:rsidRPr="00551E61" w:rsidRDefault="00C86972" w:rsidP="00752B8D">
            <w:pPr>
              <w:rPr>
                <w:rFonts w:ascii="Arial" w:hAnsi="Arial" w:cs="Arial"/>
                <w:sz w:val="20"/>
                <w:szCs w:val="20"/>
              </w:rPr>
            </w:pPr>
          </w:p>
          <w:p w:rsidR="00C86972" w:rsidRPr="00551E61" w:rsidRDefault="00C86972" w:rsidP="00752B8D">
            <w:pPr>
              <w:rPr>
                <w:rFonts w:ascii="Arial" w:hAnsi="Arial" w:cs="Arial"/>
                <w:sz w:val="20"/>
                <w:szCs w:val="20"/>
              </w:rPr>
            </w:pPr>
            <w:r w:rsidRPr="00551E61">
              <w:rPr>
                <w:rFonts w:ascii="Arial" w:hAnsi="Arial" w:cs="Arial"/>
                <w:sz w:val="20"/>
                <w:szCs w:val="20"/>
              </w:rPr>
              <w:lastRenderedPageBreak/>
              <w:t xml:space="preserve">Materiales, logística, comunicación, equipos y otros servicios ~$30,000 por año </w:t>
            </w:r>
          </w:p>
        </w:tc>
        <w:tc>
          <w:tcPr>
            <w:tcW w:w="1308" w:type="dxa"/>
          </w:tcPr>
          <w:p w:rsidR="0026407A" w:rsidRPr="00551E61" w:rsidRDefault="00551E61" w:rsidP="00551E61">
            <w:pPr>
              <w:rPr>
                <w:rFonts w:ascii="Arial" w:hAnsi="Arial" w:cs="Arial"/>
                <w:sz w:val="20"/>
                <w:szCs w:val="20"/>
              </w:rPr>
            </w:pPr>
            <w:r>
              <w:rPr>
                <w:rFonts w:ascii="Arial" w:hAnsi="Arial" w:cs="Arial"/>
                <w:sz w:val="20"/>
                <w:szCs w:val="20"/>
              </w:rPr>
              <w:lastRenderedPageBreak/>
              <w:t>$504.</w:t>
            </w:r>
            <w:r w:rsidR="00C86972" w:rsidRPr="00551E61">
              <w:rPr>
                <w:rFonts w:ascii="Arial" w:hAnsi="Arial" w:cs="Arial"/>
                <w:sz w:val="20"/>
                <w:szCs w:val="20"/>
              </w:rPr>
              <w:t>000</w:t>
            </w:r>
          </w:p>
        </w:tc>
      </w:tr>
      <w:tr w:rsidR="0026407A" w:rsidRPr="00551E61" w:rsidTr="00401E7C">
        <w:tc>
          <w:tcPr>
            <w:tcW w:w="2512" w:type="dxa"/>
          </w:tcPr>
          <w:p w:rsidR="0026407A" w:rsidRPr="00551E61" w:rsidRDefault="00401E7C" w:rsidP="009552C4">
            <w:pPr>
              <w:rPr>
                <w:rFonts w:ascii="Arial" w:hAnsi="Arial" w:cs="Arial"/>
                <w:sz w:val="20"/>
                <w:szCs w:val="20"/>
              </w:rPr>
            </w:pPr>
            <w:r w:rsidRPr="00551E61">
              <w:rPr>
                <w:rFonts w:ascii="Arial" w:hAnsi="Arial" w:cs="Arial"/>
                <w:sz w:val="20"/>
                <w:szCs w:val="20"/>
              </w:rPr>
              <w:lastRenderedPageBreak/>
              <w:t xml:space="preserve">Gestión para la </w:t>
            </w:r>
            <w:r w:rsidR="009552C4" w:rsidRPr="00551E61">
              <w:rPr>
                <w:rFonts w:ascii="Arial" w:hAnsi="Arial" w:cs="Arial"/>
                <w:sz w:val="20"/>
                <w:szCs w:val="20"/>
              </w:rPr>
              <w:t xml:space="preserve">supervisión y acompañamiento social </w:t>
            </w:r>
            <w:r w:rsidRPr="00551E61">
              <w:rPr>
                <w:rFonts w:ascii="Arial" w:hAnsi="Arial" w:cs="Arial"/>
                <w:sz w:val="20"/>
                <w:szCs w:val="20"/>
              </w:rPr>
              <w:t xml:space="preserve">programa de mejoramiento de vivienda y titulación </w:t>
            </w:r>
          </w:p>
        </w:tc>
        <w:tc>
          <w:tcPr>
            <w:tcW w:w="4508" w:type="dxa"/>
          </w:tcPr>
          <w:p w:rsidR="0026407A" w:rsidRPr="00551E61" w:rsidRDefault="008F23AA" w:rsidP="004F0162">
            <w:pPr>
              <w:rPr>
                <w:rFonts w:ascii="Arial" w:hAnsi="Arial" w:cs="Arial"/>
                <w:sz w:val="20"/>
                <w:szCs w:val="20"/>
              </w:rPr>
            </w:pPr>
            <w:r w:rsidRPr="00551E61">
              <w:rPr>
                <w:rFonts w:ascii="Arial" w:hAnsi="Arial" w:cs="Arial"/>
                <w:sz w:val="20"/>
                <w:szCs w:val="20"/>
              </w:rPr>
              <w:t xml:space="preserve">Incluye: supervisión de los trabajos de la intervención constructiva y del proceso de titulación. </w:t>
            </w:r>
            <w:r w:rsidR="004F0162" w:rsidRPr="00551E61">
              <w:rPr>
                <w:rFonts w:ascii="Arial" w:hAnsi="Arial" w:cs="Arial"/>
                <w:sz w:val="20"/>
                <w:szCs w:val="20"/>
              </w:rPr>
              <w:t>Acompanamiento a la familia durante el proceso para asegurar su conformidad con la obra y sus resultados.</w:t>
            </w:r>
          </w:p>
        </w:tc>
        <w:tc>
          <w:tcPr>
            <w:tcW w:w="2202" w:type="dxa"/>
          </w:tcPr>
          <w:p w:rsidR="0026407A" w:rsidRPr="00551E61" w:rsidRDefault="00401E7C" w:rsidP="00A670D5">
            <w:pPr>
              <w:rPr>
                <w:rFonts w:ascii="Arial" w:hAnsi="Arial" w:cs="Arial"/>
                <w:sz w:val="20"/>
                <w:szCs w:val="20"/>
              </w:rPr>
            </w:pPr>
            <w:r w:rsidRPr="00551E61">
              <w:rPr>
                <w:rFonts w:ascii="Arial" w:hAnsi="Arial" w:cs="Arial"/>
                <w:sz w:val="20"/>
                <w:szCs w:val="20"/>
              </w:rPr>
              <w:t xml:space="preserve">Personal técnico por los siguientes 2 años. </w:t>
            </w:r>
          </w:p>
          <w:p w:rsidR="00401E7C" w:rsidRPr="00551E61" w:rsidRDefault="00401E7C" w:rsidP="00A670D5">
            <w:pPr>
              <w:rPr>
                <w:rFonts w:ascii="Arial" w:hAnsi="Arial" w:cs="Arial"/>
                <w:sz w:val="20"/>
                <w:szCs w:val="20"/>
              </w:rPr>
            </w:pPr>
          </w:p>
          <w:p w:rsidR="00401E7C" w:rsidRPr="00551E61" w:rsidRDefault="00401E7C" w:rsidP="00A670D5">
            <w:pPr>
              <w:rPr>
                <w:rFonts w:ascii="Arial" w:hAnsi="Arial" w:cs="Arial"/>
                <w:sz w:val="20"/>
                <w:szCs w:val="20"/>
              </w:rPr>
            </w:pPr>
            <w:r w:rsidRPr="00551E61">
              <w:rPr>
                <w:rFonts w:ascii="Arial" w:hAnsi="Arial" w:cs="Arial"/>
                <w:sz w:val="20"/>
                <w:szCs w:val="20"/>
              </w:rPr>
              <w:t>Se mantiene el mismo esquema pero reemplaza a un técnico social por uno administrativo</w:t>
            </w:r>
          </w:p>
        </w:tc>
        <w:tc>
          <w:tcPr>
            <w:tcW w:w="1308" w:type="dxa"/>
          </w:tcPr>
          <w:p w:rsidR="0026407A" w:rsidRPr="00551E61" w:rsidRDefault="00401E7C" w:rsidP="00A670D5">
            <w:pPr>
              <w:rPr>
                <w:rFonts w:ascii="Arial" w:hAnsi="Arial" w:cs="Arial"/>
                <w:sz w:val="20"/>
                <w:szCs w:val="20"/>
              </w:rPr>
            </w:pPr>
            <w:r w:rsidRPr="00551E61">
              <w:rPr>
                <w:rFonts w:ascii="Arial" w:hAnsi="Arial" w:cs="Arial"/>
                <w:sz w:val="20"/>
                <w:szCs w:val="20"/>
              </w:rPr>
              <w:t xml:space="preserve">$    </w:t>
            </w:r>
            <w:bookmarkStart w:id="0" w:name="_GoBack"/>
            <w:bookmarkEnd w:id="0"/>
            <w:r w:rsidRPr="00551E61">
              <w:rPr>
                <w:rFonts w:ascii="Arial" w:hAnsi="Arial" w:cs="Arial"/>
                <w:sz w:val="20"/>
                <w:szCs w:val="20"/>
              </w:rPr>
              <w:t xml:space="preserve">  336,000</w:t>
            </w:r>
          </w:p>
        </w:tc>
      </w:tr>
      <w:tr w:rsidR="0026407A" w:rsidRPr="00551E61" w:rsidTr="00401E7C">
        <w:tc>
          <w:tcPr>
            <w:tcW w:w="2512" w:type="dxa"/>
          </w:tcPr>
          <w:p w:rsidR="00F3377F" w:rsidRPr="00551E61" w:rsidRDefault="00401E7C" w:rsidP="00401E7C">
            <w:pPr>
              <w:rPr>
                <w:rFonts w:ascii="Arial" w:hAnsi="Arial" w:cs="Arial"/>
                <w:sz w:val="20"/>
                <w:szCs w:val="20"/>
              </w:rPr>
            </w:pPr>
            <w:r w:rsidRPr="00551E61">
              <w:rPr>
                <w:rFonts w:ascii="Arial" w:hAnsi="Arial" w:cs="Arial"/>
                <w:sz w:val="20"/>
                <w:szCs w:val="20"/>
              </w:rPr>
              <w:t xml:space="preserve">Capacitación a las familias </w:t>
            </w:r>
          </w:p>
          <w:p w:rsidR="0026407A" w:rsidRPr="00551E61" w:rsidRDefault="0026407A" w:rsidP="00F3377F">
            <w:pPr>
              <w:ind w:firstLine="708"/>
              <w:rPr>
                <w:rFonts w:ascii="Arial" w:hAnsi="Arial" w:cs="Arial"/>
                <w:sz w:val="20"/>
                <w:szCs w:val="20"/>
              </w:rPr>
            </w:pPr>
          </w:p>
        </w:tc>
        <w:tc>
          <w:tcPr>
            <w:tcW w:w="4508" w:type="dxa"/>
          </w:tcPr>
          <w:p w:rsidR="0026407A" w:rsidRPr="00551E61" w:rsidRDefault="00401E7C" w:rsidP="00F3377F">
            <w:pPr>
              <w:rPr>
                <w:rFonts w:ascii="Arial" w:hAnsi="Arial" w:cs="Arial"/>
                <w:sz w:val="20"/>
                <w:szCs w:val="20"/>
              </w:rPr>
            </w:pPr>
            <w:r w:rsidRPr="00551E61">
              <w:rPr>
                <w:rFonts w:ascii="Arial" w:hAnsi="Arial" w:cs="Arial"/>
                <w:sz w:val="20"/>
                <w:szCs w:val="20"/>
              </w:rPr>
              <w:t>Trabajo social para</w:t>
            </w:r>
            <w:r w:rsidR="00F3377F" w:rsidRPr="00551E61">
              <w:rPr>
                <w:rFonts w:ascii="Arial" w:hAnsi="Arial" w:cs="Arial"/>
                <w:sz w:val="20"/>
                <w:szCs w:val="20"/>
              </w:rPr>
              <w:t xml:space="preserve"> empoderar y </w:t>
            </w:r>
            <w:r w:rsidRPr="00551E61">
              <w:rPr>
                <w:rFonts w:ascii="Arial" w:hAnsi="Arial" w:cs="Arial"/>
                <w:sz w:val="20"/>
                <w:szCs w:val="20"/>
              </w:rPr>
              <w:t xml:space="preserve">capacitar a las familias en educación financiera y en construcción entre otros </w:t>
            </w:r>
          </w:p>
        </w:tc>
        <w:tc>
          <w:tcPr>
            <w:tcW w:w="2202" w:type="dxa"/>
          </w:tcPr>
          <w:p w:rsidR="0026407A" w:rsidRPr="00551E61" w:rsidRDefault="00401E7C" w:rsidP="00A670D5">
            <w:pPr>
              <w:rPr>
                <w:rFonts w:ascii="Arial" w:hAnsi="Arial" w:cs="Arial"/>
                <w:sz w:val="20"/>
                <w:szCs w:val="20"/>
              </w:rPr>
            </w:pPr>
            <w:r w:rsidRPr="00551E61">
              <w:rPr>
                <w:rFonts w:ascii="Arial" w:hAnsi="Arial" w:cs="Arial"/>
                <w:sz w:val="20"/>
                <w:szCs w:val="20"/>
              </w:rPr>
              <w:t xml:space="preserve">Consultoría </w:t>
            </w:r>
          </w:p>
        </w:tc>
        <w:tc>
          <w:tcPr>
            <w:tcW w:w="1308" w:type="dxa"/>
          </w:tcPr>
          <w:p w:rsidR="0026407A" w:rsidRPr="00551E61" w:rsidRDefault="00F3377F" w:rsidP="00A670D5">
            <w:pPr>
              <w:rPr>
                <w:rFonts w:ascii="Arial" w:hAnsi="Arial" w:cs="Arial"/>
                <w:sz w:val="20"/>
                <w:szCs w:val="20"/>
              </w:rPr>
            </w:pPr>
            <w:r w:rsidRPr="00551E61">
              <w:rPr>
                <w:rFonts w:ascii="Arial" w:hAnsi="Arial" w:cs="Arial"/>
                <w:sz w:val="20"/>
                <w:szCs w:val="20"/>
              </w:rPr>
              <w:t>$         6</w:t>
            </w:r>
            <w:r w:rsidR="00401E7C" w:rsidRPr="00551E61">
              <w:rPr>
                <w:rFonts w:ascii="Arial" w:hAnsi="Arial" w:cs="Arial"/>
                <w:sz w:val="20"/>
                <w:szCs w:val="20"/>
              </w:rPr>
              <w:t>0,000</w:t>
            </w:r>
          </w:p>
        </w:tc>
      </w:tr>
      <w:tr w:rsidR="00F3377F" w:rsidRPr="00551E61" w:rsidTr="00401E7C">
        <w:tc>
          <w:tcPr>
            <w:tcW w:w="2512" w:type="dxa"/>
          </w:tcPr>
          <w:p w:rsidR="00F3377F" w:rsidRPr="00551E61" w:rsidRDefault="00F3377F" w:rsidP="00401E7C">
            <w:pPr>
              <w:rPr>
                <w:rFonts w:ascii="Arial" w:hAnsi="Arial" w:cs="Arial"/>
                <w:sz w:val="20"/>
                <w:szCs w:val="20"/>
              </w:rPr>
            </w:pPr>
            <w:r w:rsidRPr="00551E61">
              <w:rPr>
                <w:rFonts w:ascii="Arial" w:hAnsi="Arial" w:cs="Arial"/>
                <w:sz w:val="20"/>
                <w:szCs w:val="20"/>
              </w:rPr>
              <w:t>Estudios arqueológicos previos</w:t>
            </w:r>
          </w:p>
        </w:tc>
        <w:tc>
          <w:tcPr>
            <w:tcW w:w="4508" w:type="dxa"/>
          </w:tcPr>
          <w:p w:rsidR="00F3377F" w:rsidRPr="00551E61" w:rsidRDefault="00F3377F" w:rsidP="00A670D5">
            <w:pPr>
              <w:rPr>
                <w:rFonts w:ascii="Arial" w:hAnsi="Arial" w:cs="Arial"/>
                <w:sz w:val="20"/>
                <w:szCs w:val="20"/>
              </w:rPr>
            </w:pPr>
            <w:r w:rsidRPr="00551E61">
              <w:rPr>
                <w:rFonts w:ascii="Arial" w:hAnsi="Arial" w:cs="Arial"/>
                <w:sz w:val="20"/>
                <w:szCs w:val="20"/>
              </w:rPr>
              <w:t>Incluye: estudio de la estructura original, evolución del inmueble, y estudio de las muestras de arqueología de color en laboratorio</w:t>
            </w:r>
          </w:p>
        </w:tc>
        <w:tc>
          <w:tcPr>
            <w:tcW w:w="2202" w:type="dxa"/>
          </w:tcPr>
          <w:p w:rsidR="00F3377F" w:rsidRPr="00551E61" w:rsidRDefault="00F3377F" w:rsidP="00A670D5">
            <w:pPr>
              <w:rPr>
                <w:rFonts w:ascii="Arial" w:hAnsi="Arial" w:cs="Arial"/>
                <w:sz w:val="20"/>
                <w:szCs w:val="20"/>
              </w:rPr>
            </w:pPr>
            <w:r w:rsidRPr="00551E61">
              <w:rPr>
                <w:rFonts w:ascii="Arial" w:hAnsi="Arial" w:cs="Arial"/>
                <w:sz w:val="20"/>
                <w:szCs w:val="20"/>
              </w:rPr>
              <w:t xml:space="preserve">Consultoría </w:t>
            </w:r>
          </w:p>
        </w:tc>
        <w:tc>
          <w:tcPr>
            <w:tcW w:w="1308" w:type="dxa"/>
          </w:tcPr>
          <w:p w:rsidR="00F3377F" w:rsidRPr="00551E61" w:rsidRDefault="00F3377F" w:rsidP="00A670D5">
            <w:pPr>
              <w:rPr>
                <w:rFonts w:ascii="Arial" w:hAnsi="Arial" w:cs="Arial"/>
                <w:sz w:val="20"/>
                <w:szCs w:val="20"/>
              </w:rPr>
            </w:pPr>
            <w:r w:rsidRPr="00551E61">
              <w:rPr>
                <w:rFonts w:ascii="Arial" w:hAnsi="Arial" w:cs="Arial"/>
                <w:sz w:val="20"/>
                <w:szCs w:val="20"/>
              </w:rPr>
              <w:t>$         50,000</w:t>
            </w:r>
          </w:p>
        </w:tc>
      </w:tr>
      <w:tr w:rsidR="001D2B6F" w:rsidRPr="00551E61" w:rsidTr="00A670D5">
        <w:tc>
          <w:tcPr>
            <w:tcW w:w="10530" w:type="dxa"/>
            <w:gridSpan w:val="4"/>
          </w:tcPr>
          <w:p w:rsidR="001D2B6F" w:rsidRPr="00551E61" w:rsidRDefault="001D2B6F" w:rsidP="00A670D5">
            <w:pPr>
              <w:rPr>
                <w:rFonts w:ascii="Arial" w:hAnsi="Arial" w:cs="Arial"/>
                <w:b/>
                <w:sz w:val="24"/>
                <w:szCs w:val="24"/>
              </w:rPr>
            </w:pPr>
            <w:r w:rsidRPr="00551E61">
              <w:rPr>
                <w:rFonts w:ascii="Arial" w:hAnsi="Arial" w:cs="Arial"/>
                <w:b/>
                <w:sz w:val="24"/>
                <w:szCs w:val="24"/>
              </w:rPr>
              <w:t>TOTAL                                                                                                                                                            $ 4,750,000</w:t>
            </w:r>
          </w:p>
        </w:tc>
      </w:tr>
    </w:tbl>
    <w:p w:rsidR="005270C3" w:rsidRPr="00551E61" w:rsidRDefault="005270C3" w:rsidP="005270C3">
      <w:pPr>
        <w:rPr>
          <w:rFonts w:ascii="Arial" w:hAnsi="Arial" w:cs="Arial"/>
          <w:lang w:val="es-ES_tradnl"/>
        </w:rPr>
      </w:pPr>
      <w:r w:rsidRPr="00551E61">
        <w:rPr>
          <w:rFonts w:ascii="Arial" w:hAnsi="Arial" w:cs="Arial"/>
          <w:lang w:val="es-ES_tradnl"/>
        </w:rPr>
        <w:t xml:space="preserve">Elaboración propia. Cifras en USD.  </w:t>
      </w:r>
    </w:p>
    <w:p w:rsidR="003168B2" w:rsidRPr="00551E61" w:rsidRDefault="003168B2" w:rsidP="003168B2">
      <w:pPr>
        <w:rPr>
          <w:rFonts w:ascii="Arial" w:hAnsi="Arial" w:cs="Arial"/>
          <w:lang w:val="es-ES_tradnl"/>
        </w:rPr>
      </w:pPr>
    </w:p>
    <w:p w:rsidR="005270C3" w:rsidRPr="00551E61" w:rsidRDefault="005270C3" w:rsidP="005270C3">
      <w:pPr>
        <w:pStyle w:val="Chapter"/>
        <w:numPr>
          <w:ilvl w:val="0"/>
          <w:numId w:val="4"/>
        </w:numPr>
        <w:jc w:val="left"/>
        <w:rPr>
          <w:rFonts w:ascii="Arial" w:hAnsi="Arial" w:cs="Arial"/>
          <w:sz w:val="22"/>
          <w:szCs w:val="22"/>
        </w:rPr>
      </w:pPr>
      <w:r w:rsidRPr="00551E61">
        <w:rPr>
          <w:rFonts w:ascii="Arial" w:hAnsi="Arial" w:cs="Arial"/>
          <w:sz w:val="22"/>
          <w:szCs w:val="22"/>
        </w:rPr>
        <w:t>REFERENCIAS</w:t>
      </w:r>
    </w:p>
    <w:p w:rsidR="005270C3" w:rsidRPr="00551E61" w:rsidRDefault="005270C3" w:rsidP="005270C3">
      <w:pPr>
        <w:rPr>
          <w:rFonts w:ascii="Arial" w:hAnsi="Arial" w:cs="Arial"/>
        </w:rPr>
      </w:pPr>
    </w:p>
    <w:p w:rsidR="00E66AC5" w:rsidRPr="00551E61" w:rsidRDefault="00E66AC5" w:rsidP="00EE7415">
      <w:pPr>
        <w:rPr>
          <w:rFonts w:ascii="Arial" w:hAnsi="Arial" w:cs="Arial"/>
        </w:rPr>
      </w:pPr>
      <w:r w:rsidRPr="00551E61">
        <w:rPr>
          <w:rFonts w:ascii="Arial" w:hAnsi="Arial" w:cs="Arial"/>
        </w:rPr>
        <w:t>AECID (2011)</w:t>
      </w:r>
      <w:r w:rsidR="00044D43" w:rsidRPr="00551E61">
        <w:rPr>
          <w:rFonts w:ascii="Arial" w:hAnsi="Arial" w:cs="Arial"/>
        </w:rPr>
        <w:t xml:space="preserve"> “</w:t>
      </w:r>
      <w:r w:rsidR="00EE7415" w:rsidRPr="00551E61">
        <w:rPr>
          <w:rFonts w:ascii="Arial" w:hAnsi="Arial" w:cs="Arial"/>
        </w:rPr>
        <w:t xml:space="preserve">Proyecto de Revitalización del Barrio de Santa Bárbara”. Presentación en PowerPoint. </w:t>
      </w:r>
    </w:p>
    <w:p w:rsidR="00E66AC5" w:rsidRPr="00551E61" w:rsidRDefault="00E66AC5" w:rsidP="00063478">
      <w:pPr>
        <w:rPr>
          <w:rFonts w:ascii="Arial" w:hAnsi="Arial" w:cs="Arial"/>
        </w:rPr>
      </w:pPr>
      <w:r w:rsidRPr="00551E61">
        <w:rPr>
          <w:rFonts w:ascii="Arial" w:hAnsi="Arial" w:cs="Arial"/>
        </w:rPr>
        <w:t>Banco Inter-Americano de Desarrollo (2015)</w:t>
      </w:r>
      <w:r w:rsidR="00063478" w:rsidRPr="00551E61">
        <w:rPr>
          <w:rFonts w:ascii="Arial" w:hAnsi="Arial" w:cs="Arial"/>
        </w:rPr>
        <w:t xml:space="preserve"> “Banco Ademi: Acceso a Financiamiento para Mejora de Viviendas en la Base de la Pirámide en la República Dominicana (Dr-L1060)” Propuesta de Préstamo.</w:t>
      </w:r>
    </w:p>
    <w:p w:rsidR="00E66AC5" w:rsidRPr="00551E61" w:rsidRDefault="00E66AC5" w:rsidP="005270C3">
      <w:pPr>
        <w:rPr>
          <w:rFonts w:ascii="Arial" w:hAnsi="Arial" w:cs="Arial"/>
        </w:rPr>
      </w:pPr>
      <w:r w:rsidRPr="00551E61">
        <w:rPr>
          <w:rFonts w:ascii="Arial" w:hAnsi="Arial" w:cs="Arial"/>
        </w:rPr>
        <w:t>Blanco, Andres; Vicente Fretes y Andres Munoz (2015)</w:t>
      </w:r>
      <w:r w:rsidR="00A670D5" w:rsidRPr="00551E61">
        <w:rPr>
          <w:rFonts w:ascii="Arial" w:hAnsi="Arial" w:cs="Arial"/>
        </w:rPr>
        <w:t xml:space="preserve"> “Busco Casa en Arriendo: Promover el Alquiler Tiene Sentido”. Banco Inter-Americano de Desarrollo.</w:t>
      </w:r>
    </w:p>
    <w:p w:rsidR="00E66AC5" w:rsidRPr="00551E61" w:rsidRDefault="00E66AC5" w:rsidP="005270C3">
      <w:pPr>
        <w:rPr>
          <w:rFonts w:ascii="Arial" w:hAnsi="Arial" w:cs="Arial"/>
        </w:rPr>
      </w:pPr>
      <w:r w:rsidRPr="00551E61">
        <w:rPr>
          <w:rFonts w:ascii="Arial" w:hAnsi="Arial" w:cs="Arial"/>
        </w:rPr>
        <w:t xml:space="preserve">Carrion, </w:t>
      </w:r>
      <w:r w:rsidR="0087298C" w:rsidRPr="00551E61">
        <w:rPr>
          <w:rFonts w:ascii="Arial" w:hAnsi="Arial" w:cs="Arial"/>
        </w:rPr>
        <w:t>Diego</w:t>
      </w:r>
      <w:r w:rsidRPr="00551E61">
        <w:rPr>
          <w:rFonts w:ascii="Arial" w:hAnsi="Arial" w:cs="Arial"/>
        </w:rPr>
        <w:t xml:space="preserve"> (2015)</w:t>
      </w:r>
      <w:r w:rsidR="00EE7415" w:rsidRPr="00551E61">
        <w:rPr>
          <w:rFonts w:ascii="Arial" w:hAnsi="Arial" w:cs="Arial"/>
        </w:rPr>
        <w:t xml:space="preserve"> “</w:t>
      </w:r>
      <w:r w:rsidR="0087298C" w:rsidRPr="00551E61">
        <w:rPr>
          <w:rFonts w:ascii="Arial" w:hAnsi="Arial" w:cs="Arial"/>
        </w:rPr>
        <w:t xml:space="preserve">Centro Histórico de Quito. Experiencias y Reflexiones”. Presentación en PowerPoint. Lima 14 y 15 de Septiembre de 2015. </w:t>
      </w:r>
      <w:r w:rsidR="00B70FA5" w:rsidRPr="00551E61">
        <w:rPr>
          <w:rFonts w:ascii="Arial" w:hAnsi="Arial" w:cs="Arial"/>
        </w:rPr>
        <w:t xml:space="preserve"> </w:t>
      </w:r>
    </w:p>
    <w:p w:rsidR="00110577" w:rsidRPr="00551E61" w:rsidRDefault="00110577" w:rsidP="005270C3">
      <w:pPr>
        <w:rPr>
          <w:rFonts w:ascii="Arial" w:hAnsi="Arial" w:cs="Arial"/>
        </w:rPr>
      </w:pPr>
      <w:r w:rsidRPr="00551E61">
        <w:rPr>
          <w:rFonts w:ascii="Arial" w:hAnsi="Arial" w:cs="Arial"/>
        </w:rPr>
        <w:t xml:space="preserve">CEMEX (2016) “Patrimonio Hoy: Un Compromiso de CEMEX”. Presentación en PowerPoint. </w:t>
      </w:r>
    </w:p>
    <w:p w:rsidR="00E66AC5" w:rsidRPr="00551E61" w:rsidRDefault="00E66AC5" w:rsidP="005270C3">
      <w:pPr>
        <w:rPr>
          <w:rFonts w:ascii="Arial" w:hAnsi="Arial" w:cs="Arial"/>
        </w:rPr>
      </w:pPr>
      <w:r w:rsidRPr="00551E61">
        <w:rPr>
          <w:rFonts w:ascii="Arial" w:hAnsi="Arial" w:cs="Arial"/>
        </w:rPr>
        <w:t>Censo CCSD (2015)</w:t>
      </w:r>
      <w:r w:rsidR="00B70FA5" w:rsidRPr="00551E61">
        <w:rPr>
          <w:rFonts w:ascii="Arial" w:hAnsi="Arial" w:cs="Arial"/>
        </w:rPr>
        <w:t xml:space="preserve"> “Censo de la Ciudad Colonial de Santo Domingo”. Ministerio de Turismo Republica Dominicana. Centro de Estudios Sociales y Demográficos CESDEM. </w:t>
      </w:r>
    </w:p>
    <w:p w:rsidR="00110577" w:rsidRPr="00551E61" w:rsidRDefault="00110577" w:rsidP="00110577">
      <w:pPr>
        <w:rPr>
          <w:rFonts w:ascii="Arial" w:hAnsi="Arial" w:cs="Arial"/>
        </w:rPr>
      </w:pPr>
      <w:r w:rsidRPr="00551E61">
        <w:rPr>
          <w:rFonts w:ascii="Arial" w:hAnsi="Arial" w:cs="Arial"/>
        </w:rPr>
        <w:t>El Universo (2012) “Las Peñas: un Barrio con Reminiscencia” http://www.eluniverso.com/2012/07/29/1/1380/las-penas-barrio-reminiscencia.html</w:t>
      </w:r>
    </w:p>
    <w:p w:rsidR="00E66AC5" w:rsidRPr="00551E61" w:rsidRDefault="00E66AC5" w:rsidP="005270C3">
      <w:pPr>
        <w:rPr>
          <w:rFonts w:ascii="Arial" w:hAnsi="Arial" w:cs="Arial"/>
        </w:rPr>
      </w:pPr>
      <w:r w:rsidRPr="00551E61">
        <w:rPr>
          <w:rFonts w:ascii="Arial" w:hAnsi="Arial" w:cs="Arial"/>
        </w:rPr>
        <w:t>Garrett, (2014)</w:t>
      </w:r>
      <w:r w:rsidR="00EE7415" w:rsidRPr="00551E61">
        <w:rPr>
          <w:rFonts w:ascii="Arial" w:hAnsi="Arial" w:cs="Arial"/>
        </w:rPr>
        <w:t xml:space="preserve"> “Reglamento Operativo del Fondo Concursable para el Embellecimiento de Fachadas de  Casas </w:t>
      </w:r>
      <w:r w:rsidR="001A1AB4" w:rsidRPr="00551E61">
        <w:rPr>
          <w:rFonts w:ascii="Arial" w:hAnsi="Arial" w:cs="Arial"/>
        </w:rPr>
        <w:t>Históricas</w:t>
      </w:r>
      <w:r w:rsidR="00EE7415" w:rsidRPr="00551E61">
        <w:rPr>
          <w:rFonts w:ascii="Arial" w:hAnsi="Arial" w:cs="Arial"/>
        </w:rPr>
        <w:t xml:space="preserve"> y </w:t>
      </w:r>
      <w:r w:rsidR="001A1AB4" w:rsidRPr="00551E61">
        <w:rPr>
          <w:rFonts w:ascii="Arial" w:hAnsi="Arial" w:cs="Arial"/>
        </w:rPr>
        <w:t>Adecuación</w:t>
      </w:r>
      <w:r w:rsidR="00EE7415" w:rsidRPr="00551E61">
        <w:rPr>
          <w:rFonts w:ascii="Arial" w:hAnsi="Arial" w:cs="Arial"/>
        </w:rPr>
        <w:t xml:space="preserve"> de Micronegocios en la Ciudad Colonial” Documento de Consultoría presentado al Banco Inter-Americano de Desarrollo y el Ministerio de Turismo de Republica Dominicana. </w:t>
      </w:r>
    </w:p>
    <w:p w:rsidR="00E66AC5" w:rsidRPr="00551E61" w:rsidRDefault="00E66AC5" w:rsidP="005270C3">
      <w:pPr>
        <w:rPr>
          <w:rFonts w:ascii="Arial" w:hAnsi="Arial" w:cs="Arial"/>
        </w:rPr>
      </w:pPr>
      <w:r w:rsidRPr="00551E61">
        <w:rPr>
          <w:rFonts w:ascii="Arial" w:hAnsi="Arial" w:cs="Arial"/>
        </w:rPr>
        <w:lastRenderedPageBreak/>
        <w:t>Gil, Margarita (2015)</w:t>
      </w:r>
      <w:r w:rsidR="00063478" w:rsidRPr="00551E61">
        <w:rPr>
          <w:rFonts w:ascii="Arial" w:hAnsi="Arial" w:cs="Arial"/>
        </w:rPr>
        <w:t xml:space="preserve"> “Diagnóstico de la Titularidad de Solares en la Ciudad Colonial y los Niveles de Compraventa”. Documento de Consultoría presentado al Banco Inter-Americano de Desarrollo.</w:t>
      </w:r>
    </w:p>
    <w:p w:rsidR="00110577" w:rsidRPr="00551E61" w:rsidRDefault="00110577" w:rsidP="00EE7415">
      <w:pPr>
        <w:rPr>
          <w:rFonts w:ascii="Arial" w:hAnsi="Arial" w:cs="Arial"/>
        </w:rPr>
      </w:pPr>
      <w:r w:rsidRPr="00551E61">
        <w:rPr>
          <w:rFonts w:ascii="Arial" w:hAnsi="Arial" w:cs="Arial"/>
        </w:rPr>
        <w:t>Hábitat para la Humanidad (2016) Comunicaciones y entrevistas con el autor.</w:t>
      </w:r>
    </w:p>
    <w:p w:rsidR="00E66AC5" w:rsidRPr="00551E61" w:rsidRDefault="00E66AC5" w:rsidP="00EE7415">
      <w:pPr>
        <w:rPr>
          <w:rFonts w:ascii="Arial" w:hAnsi="Arial" w:cs="Arial"/>
        </w:rPr>
      </w:pPr>
      <w:r w:rsidRPr="00551E61">
        <w:rPr>
          <w:rFonts w:ascii="Arial" w:hAnsi="Arial" w:cs="Arial"/>
        </w:rPr>
        <w:t>Morris, Felipe (2016)</w:t>
      </w:r>
      <w:r w:rsidR="00EE7415" w:rsidRPr="00551E61">
        <w:rPr>
          <w:rFonts w:ascii="Arial" w:hAnsi="Arial" w:cs="Arial"/>
        </w:rPr>
        <w:t xml:space="preserve"> Nota Conceptual sobre Sector Vivienda y Desarrollo Urbano en República Dominicana. Aportes para el Diálogo Sectorial”. Documento de Consultoría presentado al Banco Inter-Americano de Desarrollo. </w:t>
      </w:r>
    </w:p>
    <w:p w:rsidR="00E66AC5" w:rsidRPr="00551E61" w:rsidRDefault="00EE7415" w:rsidP="00EE7415">
      <w:pPr>
        <w:rPr>
          <w:rFonts w:ascii="Arial" w:hAnsi="Arial" w:cs="Arial"/>
        </w:rPr>
      </w:pPr>
      <w:r w:rsidRPr="00551E61">
        <w:rPr>
          <w:rFonts w:ascii="Arial" w:hAnsi="Arial" w:cs="Arial"/>
        </w:rPr>
        <w:t xml:space="preserve">Plan </w:t>
      </w:r>
      <w:r w:rsidR="00C62024" w:rsidRPr="00551E61">
        <w:rPr>
          <w:rFonts w:ascii="Arial" w:hAnsi="Arial" w:cs="Arial"/>
        </w:rPr>
        <w:t xml:space="preserve">Estratégico. </w:t>
      </w:r>
      <w:r w:rsidRPr="00551E61">
        <w:rPr>
          <w:rFonts w:ascii="Arial" w:hAnsi="Arial" w:cs="Arial"/>
        </w:rPr>
        <w:t>(200</w:t>
      </w:r>
      <w:r w:rsidR="000D5498" w:rsidRPr="00551E61">
        <w:rPr>
          <w:rFonts w:ascii="Arial" w:hAnsi="Arial" w:cs="Arial"/>
        </w:rPr>
        <w:t>6</w:t>
      </w:r>
      <w:r w:rsidR="00044D43" w:rsidRPr="00551E61">
        <w:rPr>
          <w:rFonts w:ascii="Arial" w:hAnsi="Arial" w:cs="Arial"/>
        </w:rPr>
        <w:t>)</w:t>
      </w:r>
      <w:r w:rsidRPr="00551E61">
        <w:rPr>
          <w:rFonts w:ascii="Arial" w:hAnsi="Arial" w:cs="Arial"/>
        </w:rPr>
        <w:t xml:space="preserve"> “Plan Estratégico de Revitalización Integral de la Ciudad Colonial de Santo Domingo”. Lombardi y Associati. Presentado al Banco Inter-Americano de Desarrollo.</w:t>
      </w:r>
    </w:p>
    <w:p w:rsidR="00044D43" w:rsidRPr="00551E61" w:rsidRDefault="00C62024" w:rsidP="005270C3">
      <w:pPr>
        <w:rPr>
          <w:rFonts w:ascii="Arial" w:hAnsi="Arial" w:cs="Arial"/>
        </w:rPr>
      </w:pPr>
      <w:r w:rsidRPr="00551E61">
        <w:rPr>
          <w:rFonts w:ascii="Arial" w:hAnsi="Arial" w:cs="Arial"/>
        </w:rPr>
        <w:t>Plan Estratégico</w:t>
      </w:r>
      <w:r w:rsidR="00063478" w:rsidRPr="00551E61">
        <w:rPr>
          <w:rFonts w:ascii="Arial" w:hAnsi="Arial" w:cs="Arial"/>
        </w:rPr>
        <w:t>. Documento de Diagnóstico</w:t>
      </w:r>
      <w:r w:rsidR="00EE7415" w:rsidRPr="00551E61">
        <w:rPr>
          <w:rFonts w:ascii="Arial" w:hAnsi="Arial" w:cs="Arial"/>
        </w:rPr>
        <w:t xml:space="preserve"> (200</w:t>
      </w:r>
      <w:r w:rsidR="00044D43" w:rsidRPr="00551E61">
        <w:rPr>
          <w:rFonts w:ascii="Arial" w:hAnsi="Arial" w:cs="Arial"/>
        </w:rPr>
        <w:t>4)</w:t>
      </w:r>
      <w:r w:rsidR="00EE7415" w:rsidRPr="00551E61">
        <w:rPr>
          <w:rFonts w:ascii="Arial" w:hAnsi="Arial" w:cs="Arial"/>
        </w:rPr>
        <w:t xml:space="preserve"> “Plan Estratégico de Revitalización Integral de la Ciudad Colonial de Santo Domingo: Informes 2 y 3 Diagnóstico”. Lombardi y Associati. Presentado al Banco Inter-Americano de Desarrollo.</w:t>
      </w:r>
    </w:p>
    <w:p w:rsidR="00044D43" w:rsidRPr="00551E61" w:rsidRDefault="007A2640" w:rsidP="005270C3">
      <w:pPr>
        <w:rPr>
          <w:rFonts w:ascii="Arial" w:hAnsi="Arial" w:cs="Arial"/>
        </w:rPr>
      </w:pPr>
      <w:r w:rsidRPr="00551E61">
        <w:rPr>
          <w:rFonts w:ascii="Arial" w:hAnsi="Arial" w:cs="Arial"/>
        </w:rPr>
        <w:t>Rolando, Guillermo (2016</w:t>
      </w:r>
      <w:r w:rsidR="00044D43" w:rsidRPr="00551E61">
        <w:rPr>
          <w:rFonts w:ascii="Arial" w:hAnsi="Arial" w:cs="Arial"/>
        </w:rPr>
        <w:t>)</w:t>
      </w:r>
      <w:r w:rsidRPr="00551E61">
        <w:rPr>
          <w:rFonts w:ascii="Arial" w:hAnsi="Arial" w:cs="Arial"/>
        </w:rPr>
        <w:t xml:space="preserve"> “Propuesta habitacional para la Ciudad Colonial de Santo Domingo”. Documento de </w:t>
      </w:r>
      <w:r w:rsidR="00063478" w:rsidRPr="00551E61">
        <w:rPr>
          <w:rFonts w:ascii="Arial" w:hAnsi="Arial" w:cs="Arial"/>
        </w:rPr>
        <w:t>Consultoría</w:t>
      </w:r>
      <w:r w:rsidRPr="00551E61">
        <w:rPr>
          <w:rFonts w:ascii="Arial" w:hAnsi="Arial" w:cs="Arial"/>
        </w:rPr>
        <w:t xml:space="preserve"> presentado al Banco Inter-Americano de Desarrollo.</w:t>
      </w:r>
    </w:p>
    <w:p w:rsidR="00044D43" w:rsidRPr="00551E61" w:rsidRDefault="00044D43" w:rsidP="00063478">
      <w:pPr>
        <w:rPr>
          <w:rFonts w:ascii="Arial" w:hAnsi="Arial" w:cs="Arial"/>
        </w:rPr>
      </w:pPr>
      <w:r w:rsidRPr="00551E61">
        <w:rPr>
          <w:rFonts w:ascii="Arial" w:hAnsi="Arial" w:cs="Arial"/>
          <w:lang w:val="pt-BR"/>
        </w:rPr>
        <w:t>Villaescusa, Eduardo (2015)</w:t>
      </w:r>
      <w:r w:rsidR="00063478" w:rsidRPr="00551E61">
        <w:rPr>
          <w:rFonts w:ascii="Arial" w:hAnsi="Arial" w:cs="Arial"/>
          <w:lang w:val="pt-BR"/>
        </w:rPr>
        <w:t xml:space="preserve"> “Santo Domingo. Rep. Dominicana. </w:t>
      </w:r>
      <w:r w:rsidR="00063478" w:rsidRPr="00551E61">
        <w:rPr>
          <w:rFonts w:ascii="Arial" w:hAnsi="Arial" w:cs="Arial"/>
        </w:rPr>
        <w:t>Programa AT. En Gestión Urbana de la Ciudad Colonial”. Documento de Consultoría presentado al Banco Inter-Americano de Desarrollo.</w:t>
      </w:r>
    </w:p>
    <w:p w:rsidR="005270C3" w:rsidRPr="00551E61" w:rsidRDefault="005270C3" w:rsidP="005270C3">
      <w:pPr>
        <w:rPr>
          <w:rFonts w:ascii="Arial" w:hAnsi="Arial" w:cs="Arial"/>
        </w:rPr>
      </w:pPr>
    </w:p>
    <w:p w:rsidR="003168B2" w:rsidRPr="00551E61" w:rsidRDefault="003168B2" w:rsidP="003168B2">
      <w:pPr>
        <w:rPr>
          <w:rFonts w:ascii="Arial" w:hAnsi="Arial" w:cs="Arial"/>
        </w:rPr>
      </w:pPr>
    </w:p>
    <w:sectPr w:rsidR="003168B2" w:rsidRPr="00551E61">
      <w:footerReference w:type="default" r:id="rId17"/>
      <w:pgSz w:w="11906" w:h="16838"/>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F724B8" w:rsidRDefault="00F724B8" w:rsidP="00DC7FE3">
      <w:pPr>
        <w:spacing w:after="0" w:line="240" w:lineRule="auto"/>
      </w:pPr>
      <w:r>
        <w:separator/>
      </w:r>
    </w:p>
  </w:endnote>
  <w:endnote w:type="continuationSeparator" w:id="0">
    <w:p w:rsidR="00F724B8" w:rsidRDefault="00F724B8" w:rsidP="00DC7FE3">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20002A87" w:usb1="00000000" w:usb2="00000000"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Gotham Book">
    <w:panose1 w:val="00000000000000000000"/>
    <w:charset w:val="00"/>
    <w:family w:val="modern"/>
    <w:notTrueType/>
    <w:pitch w:val="variable"/>
    <w:sig w:usb0="A10000FF" w:usb1="4000005B" w:usb2="00000000" w:usb3="00000000" w:csb0="0000009B"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20002A87" w:usb1="00000000" w:usb2="00000000"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42982608"/>
      <w:docPartObj>
        <w:docPartGallery w:val="Page Numbers (Bottom of Page)"/>
        <w:docPartUnique/>
      </w:docPartObj>
    </w:sdtPr>
    <w:sdtEndPr>
      <w:rPr>
        <w:noProof/>
      </w:rPr>
    </w:sdtEndPr>
    <w:sdtContent>
      <w:p w:rsidR="00F724B8" w:rsidRDefault="00F724B8">
        <w:pPr>
          <w:pStyle w:val="Footer"/>
          <w:jc w:val="center"/>
        </w:pPr>
        <w:r>
          <w:fldChar w:fldCharType="begin"/>
        </w:r>
        <w:r>
          <w:instrText xml:space="preserve"> PAGE   \* MERGEFORMAT </w:instrText>
        </w:r>
        <w:r>
          <w:fldChar w:fldCharType="separate"/>
        </w:r>
        <w:r w:rsidR="00551E61">
          <w:rPr>
            <w:noProof/>
          </w:rPr>
          <w:t>21</w:t>
        </w:r>
        <w:r>
          <w:rPr>
            <w:noProof/>
          </w:rPr>
          <w:fldChar w:fldCharType="end"/>
        </w:r>
      </w:p>
    </w:sdtContent>
  </w:sdt>
  <w:p w:rsidR="00F724B8" w:rsidRDefault="00F724B8">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F724B8" w:rsidRDefault="00F724B8" w:rsidP="00DC7FE3">
      <w:pPr>
        <w:spacing w:after="0" w:line="240" w:lineRule="auto"/>
      </w:pPr>
      <w:r>
        <w:separator/>
      </w:r>
    </w:p>
  </w:footnote>
  <w:footnote w:type="continuationSeparator" w:id="0">
    <w:p w:rsidR="00F724B8" w:rsidRDefault="00F724B8" w:rsidP="00DC7FE3">
      <w:pPr>
        <w:spacing w:after="0" w:line="240" w:lineRule="auto"/>
      </w:pPr>
      <w:r>
        <w:continuationSeparator/>
      </w:r>
    </w:p>
  </w:footnote>
  <w:footnote w:id="1">
    <w:p w:rsidR="00F724B8" w:rsidRPr="00551E61" w:rsidRDefault="00F724B8" w:rsidP="00551E61">
      <w:pPr>
        <w:pStyle w:val="FootnoteText"/>
        <w:ind w:left="180" w:hanging="180"/>
        <w:jc w:val="both"/>
        <w:rPr>
          <w:rFonts w:ascii="Arial" w:hAnsi="Arial" w:cs="Arial"/>
          <w:sz w:val="18"/>
          <w:szCs w:val="18"/>
        </w:rPr>
      </w:pPr>
      <w:r w:rsidRPr="00551E61">
        <w:rPr>
          <w:rStyle w:val="FootnoteReference"/>
          <w:rFonts w:ascii="Arial" w:hAnsi="Arial" w:cs="Arial"/>
          <w:sz w:val="18"/>
          <w:szCs w:val="18"/>
        </w:rPr>
        <w:footnoteRef/>
      </w:r>
      <w:r w:rsidRPr="00551E61">
        <w:rPr>
          <w:rFonts w:ascii="Arial" w:hAnsi="Arial" w:cs="Arial"/>
          <w:sz w:val="18"/>
          <w:szCs w:val="18"/>
        </w:rPr>
        <w:t xml:space="preserve"> Documento elaborado por Andres G Blanco B, Especialista Senior en Desarrollo Urbano y Vivienda del BID para su elaboración se hicieron 3 visitas de campo y entrevistas con ONG’s, entidades gubernamentales, empresarios del sector privado, Bancos, abogados expertos en titulación, corredores inmobiliarios, etc. </w:t>
      </w:r>
    </w:p>
  </w:footnote>
  <w:footnote w:id="2">
    <w:p w:rsidR="00F724B8" w:rsidRPr="00551E61" w:rsidRDefault="00F724B8" w:rsidP="00551E61">
      <w:pPr>
        <w:pStyle w:val="FootnoteText"/>
        <w:ind w:left="180" w:hanging="180"/>
        <w:contextualSpacing/>
        <w:jc w:val="both"/>
        <w:rPr>
          <w:rFonts w:ascii="Arial" w:hAnsi="Arial" w:cs="Arial"/>
          <w:sz w:val="18"/>
          <w:szCs w:val="18"/>
        </w:rPr>
      </w:pPr>
      <w:r w:rsidRPr="00551E61">
        <w:rPr>
          <w:rStyle w:val="FootnoteReference"/>
          <w:rFonts w:ascii="Arial" w:hAnsi="Arial" w:cs="Arial"/>
          <w:sz w:val="18"/>
          <w:szCs w:val="18"/>
        </w:rPr>
        <w:footnoteRef/>
      </w:r>
      <w:r w:rsidRPr="00551E61">
        <w:rPr>
          <w:rFonts w:ascii="Arial" w:hAnsi="Arial" w:cs="Arial"/>
          <w:sz w:val="18"/>
          <w:szCs w:val="18"/>
        </w:rPr>
        <w:t xml:space="preserve"> </w:t>
      </w:r>
      <w:r w:rsidRPr="00551E61">
        <w:rPr>
          <w:rFonts w:ascii="Arial" w:hAnsi="Arial" w:cs="Arial"/>
          <w:sz w:val="18"/>
          <w:szCs w:val="18"/>
        </w:rPr>
        <w:tab/>
        <w:t xml:space="preserve">La ley 492 del 27 de Octubre de 1969 la delimita al norte con la Avenida Mella, al Sur con el paseo Presidente Billini, al este con el Rio Ozama y al Oeste con la Calle Palo Hincado. </w:t>
      </w:r>
    </w:p>
  </w:footnote>
  <w:footnote w:id="3">
    <w:p w:rsidR="00F724B8" w:rsidRPr="00551E61" w:rsidRDefault="00F724B8" w:rsidP="00551E61">
      <w:pPr>
        <w:pStyle w:val="FootnoteText"/>
        <w:ind w:left="180" w:hanging="180"/>
        <w:contextualSpacing/>
        <w:jc w:val="both"/>
        <w:rPr>
          <w:rFonts w:ascii="Arial" w:hAnsi="Arial" w:cs="Arial"/>
          <w:sz w:val="18"/>
          <w:szCs w:val="18"/>
        </w:rPr>
      </w:pPr>
      <w:r w:rsidRPr="00551E61">
        <w:rPr>
          <w:rStyle w:val="FootnoteReference"/>
          <w:rFonts w:ascii="Arial" w:hAnsi="Arial" w:cs="Arial"/>
          <w:sz w:val="18"/>
          <w:szCs w:val="18"/>
        </w:rPr>
        <w:footnoteRef/>
      </w:r>
      <w:r w:rsidRPr="00551E61">
        <w:rPr>
          <w:rFonts w:ascii="Arial" w:hAnsi="Arial" w:cs="Arial"/>
          <w:sz w:val="18"/>
          <w:szCs w:val="18"/>
        </w:rPr>
        <w:t xml:space="preserve"> </w:t>
      </w:r>
      <w:r w:rsidRPr="00551E61">
        <w:rPr>
          <w:rFonts w:ascii="Arial" w:hAnsi="Arial" w:cs="Arial"/>
          <w:sz w:val="18"/>
          <w:szCs w:val="18"/>
        </w:rPr>
        <w:tab/>
        <w:t>Con densidades de 146.67 y 108.17 respectivamente.</w:t>
      </w:r>
    </w:p>
  </w:footnote>
  <w:footnote w:id="4">
    <w:p w:rsidR="00F724B8" w:rsidRPr="00551E61" w:rsidRDefault="00F724B8" w:rsidP="00551E61">
      <w:pPr>
        <w:pStyle w:val="FootnoteText"/>
        <w:ind w:left="180" w:hanging="180"/>
        <w:jc w:val="both"/>
        <w:rPr>
          <w:rFonts w:ascii="Arial" w:hAnsi="Arial" w:cs="Arial"/>
          <w:sz w:val="18"/>
          <w:szCs w:val="18"/>
        </w:rPr>
      </w:pPr>
      <w:r w:rsidRPr="00551E61">
        <w:rPr>
          <w:rStyle w:val="FootnoteReference"/>
          <w:rFonts w:ascii="Arial" w:hAnsi="Arial" w:cs="Arial"/>
          <w:sz w:val="18"/>
          <w:szCs w:val="18"/>
        </w:rPr>
        <w:footnoteRef/>
      </w:r>
      <w:r w:rsidRPr="00551E61">
        <w:rPr>
          <w:rFonts w:ascii="Arial" w:hAnsi="Arial" w:cs="Arial"/>
          <w:sz w:val="18"/>
          <w:szCs w:val="18"/>
        </w:rPr>
        <w:t xml:space="preserve"> Se realizaron 6 sesiones con 4 grupos focales con un promedio de 9 personas cada uno. Los grupos se dividieron por zona habitacional así: Santa Bárbara, San Lázaro-San Miguel, Entorno Regina Angelorum (Calles: Arzobispo Portes-Jose Gabriel García—19 de Marzo—Hostos), y Entorno Conde Peatonal (Calles: Salomé Ureña -Sánchez-Luperón-Duarte).</w:t>
      </w:r>
    </w:p>
  </w:footnote>
  <w:footnote w:id="5">
    <w:p w:rsidR="00F724B8" w:rsidRPr="00551E61" w:rsidRDefault="00F724B8" w:rsidP="00551E61">
      <w:pPr>
        <w:pStyle w:val="FootnoteText"/>
        <w:ind w:left="180" w:hanging="180"/>
        <w:jc w:val="both"/>
        <w:rPr>
          <w:rFonts w:ascii="Arial" w:hAnsi="Arial" w:cs="Arial"/>
          <w:sz w:val="18"/>
          <w:szCs w:val="18"/>
        </w:rPr>
      </w:pPr>
      <w:r w:rsidRPr="00551E61">
        <w:rPr>
          <w:rStyle w:val="FootnoteReference"/>
          <w:rFonts w:ascii="Arial" w:hAnsi="Arial" w:cs="Arial"/>
          <w:sz w:val="18"/>
          <w:szCs w:val="18"/>
        </w:rPr>
        <w:footnoteRef/>
      </w:r>
      <w:r w:rsidRPr="00551E61">
        <w:rPr>
          <w:rFonts w:ascii="Arial" w:hAnsi="Arial" w:cs="Arial"/>
          <w:sz w:val="18"/>
          <w:szCs w:val="18"/>
        </w:rPr>
        <w:t xml:space="preserve"> Es importante resaltar que 64% de los participantes lleva más de 30 años viviendo en la zona por lo que la perspectiva real de que el 54% abandone la zona en el corto plazo es baja. No obstante, las opiniones son indicativas de los factores identificados como fundamentales para retener población en la zona colonial. </w:t>
      </w:r>
    </w:p>
  </w:footnote>
  <w:footnote w:id="6">
    <w:p w:rsidR="00F724B8" w:rsidRPr="00551E61" w:rsidRDefault="00F724B8" w:rsidP="00551E61">
      <w:pPr>
        <w:pStyle w:val="FootnoteText"/>
        <w:ind w:left="180" w:hanging="180"/>
        <w:jc w:val="both"/>
        <w:rPr>
          <w:rFonts w:ascii="Arial" w:hAnsi="Arial" w:cs="Arial"/>
          <w:sz w:val="18"/>
          <w:szCs w:val="18"/>
        </w:rPr>
      </w:pPr>
      <w:r w:rsidRPr="00551E61">
        <w:rPr>
          <w:rFonts w:ascii="Arial" w:hAnsi="Arial" w:cs="Arial"/>
          <w:sz w:val="18"/>
          <w:szCs w:val="18"/>
          <w:vertAlign w:val="superscript"/>
        </w:rPr>
        <w:footnoteRef/>
      </w:r>
      <w:r w:rsidRPr="00551E61">
        <w:rPr>
          <w:rFonts w:ascii="Arial" w:hAnsi="Arial" w:cs="Arial"/>
          <w:sz w:val="18"/>
          <w:szCs w:val="18"/>
          <w:vertAlign w:val="superscript"/>
        </w:rPr>
        <w:t xml:space="preserve"> </w:t>
      </w:r>
      <w:r w:rsidRPr="00551E61">
        <w:rPr>
          <w:rFonts w:ascii="Arial" w:hAnsi="Arial" w:cs="Arial"/>
          <w:sz w:val="18"/>
          <w:szCs w:val="18"/>
        </w:rPr>
        <w:t>Utiliza la información de la Dirección General de Impuestos Internos (DGII), que  reporta todas las transacciones, incluyendo  hipotecas y transferencias por venta o por resolución (Gil, 2015)</w:t>
      </w:r>
    </w:p>
  </w:footnote>
  <w:footnote w:id="7">
    <w:p w:rsidR="00F724B8" w:rsidRPr="00551E61" w:rsidRDefault="00F724B8" w:rsidP="00551E61">
      <w:pPr>
        <w:pStyle w:val="FootnoteText"/>
        <w:ind w:left="180" w:hanging="180"/>
        <w:jc w:val="both"/>
        <w:rPr>
          <w:rFonts w:ascii="Arial" w:hAnsi="Arial" w:cs="Arial"/>
          <w:sz w:val="18"/>
          <w:szCs w:val="18"/>
        </w:rPr>
      </w:pPr>
      <w:r w:rsidRPr="00551E61">
        <w:rPr>
          <w:rStyle w:val="FootnoteReference"/>
          <w:rFonts w:ascii="Arial" w:hAnsi="Arial" w:cs="Arial"/>
          <w:sz w:val="18"/>
          <w:szCs w:val="18"/>
        </w:rPr>
        <w:footnoteRef/>
      </w:r>
      <w:r w:rsidRPr="00551E61">
        <w:rPr>
          <w:rFonts w:ascii="Arial" w:hAnsi="Arial" w:cs="Arial"/>
          <w:sz w:val="18"/>
          <w:szCs w:val="18"/>
        </w:rPr>
        <w:t xml:space="preserve"> Similar a la vigente aunque es importante resaltar que no existen tasas hipotecarias fijas en República Dominicana. </w:t>
      </w:r>
    </w:p>
  </w:footnote>
  <w:footnote w:id="8">
    <w:p w:rsidR="00F724B8" w:rsidRPr="00551E61" w:rsidRDefault="00F724B8" w:rsidP="00551E61">
      <w:pPr>
        <w:pStyle w:val="FootnoteText"/>
        <w:ind w:left="180" w:hanging="180"/>
        <w:jc w:val="both"/>
        <w:rPr>
          <w:rFonts w:ascii="Arial" w:hAnsi="Arial" w:cs="Arial"/>
          <w:sz w:val="18"/>
          <w:szCs w:val="18"/>
        </w:rPr>
      </w:pPr>
      <w:r w:rsidRPr="00551E61">
        <w:rPr>
          <w:rStyle w:val="FootnoteReference"/>
          <w:rFonts w:ascii="Arial" w:hAnsi="Arial" w:cs="Arial"/>
          <w:sz w:val="18"/>
          <w:szCs w:val="18"/>
        </w:rPr>
        <w:footnoteRef/>
      </w:r>
      <w:r w:rsidRPr="00551E61">
        <w:rPr>
          <w:rFonts w:ascii="Arial" w:hAnsi="Arial" w:cs="Arial"/>
          <w:sz w:val="18"/>
          <w:szCs w:val="18"/>
        </w:rPr>
        <w:t xml:space="preserve"> Lo que equivale a una renta de 0.6% del valor comercial al mes ubicándose en la cota baja del intervalo promedio para America Latina que esta entre 0.6% y 0.9% de acuerdo al mercado (Blanco et al., 2015).</w:t>
      </w:r>
    </w:p>
  </w:footnote>
  <w:footnote w:id="9">
    <w:p w:rsidR="00F724B8" w:rsidRPr="00551E61" w:rsidRDefault="00F724B8" w:rsidP="00551E61">
      <w:pPr>
        <w:pStyle w:val="FootnoteText"/>
        <w:ind w:left="180" w:hanging="180"/>
        <w:jc w:val="both"/>
        <w:rPr>
          <w:rFonts w:ascii="Arial" w:hAnsi="Arial" w:cs="Arial"/>
          <w:sz w:val="18"/>
          <w:szCs w:val="18"/>
        </w:rPr>
      </w:pPr>
      <w:r w:rsidRPr="00551E61">
        <w:rPr>
          <w:rStyle w:val="FootnoteReference"/>
          <w:rFonts w:ascii="Arial" w:hAnsi="Arial" w:cs="Arial"/>
          <w:sz w:val="18"/>
          <w:szCs w:val="18"/>
        </w:rPr>
        <w:footnoteRef/>
      </w:r>
      <w:r w:rsidRPr="00551E61">
        <w:rPr>
          <w:rFonts w:ascii="Arial" w:hAnsi="Arial" w:cs="Arial"/>
          <w:sz w:val="18"/>
          <w:szCs w:val="18"/>
        </w:rPr>
        <w:t xml:space="preserve"> A este respecto, en los grupos focales del Diagnóstico del Plan Estratégico de 2004 el 78% de los participantes creían que no se podría construir proyectos habitacionales para demanda media por la dificultad de aprobar modificaciones ante las oficinas encargadas de dar los permisos.  </w:t>
      </w:r>
    </w:p>
  </w:footnote>
  <w:footnote w:id="10">
    <w:p w:rsidR="00F724B8" w:rsidRPr="00551E61" w:rsidRDefault="00F724B8" w:rsidP="00551E61">
      <w:pPr>
        <w:pStyle w:val="FootnoteText"/>
        <w:ind w:left="180" w:hanging="180"/>
        <w:jc w:val="both"/>
        <w:rPr>
          <w:rFonts w:ascii="Arial" w:hAnsi="Arial" w:cs="Arial"/>
          <w:sz w:val="18"/>
          <w:szCs w:val="18"/>
        </w:rPr>
      </w:pPr>
      <w:r w:rsidRPr="00551E61">
        <w:rPr>
          <w:rStyle w:val="FootnoteReference"/>
          <w:rFonts w:ascii="Arial" w:hAnsi="Arial" w:cs="Arial"/>
          <w:sz w:val="18"/>
          <w:szCs w:val="18"/>
        </w:rPr>
        <w:footnoteRef/>
      </w:r>
      <w:r w:rsidRPr="00551E61">
        <w:rPr>
          <w:rFonts w:ascii="Arial" w:hAnsi="Arial" w:cs="Arial"/>
          <w:sz w:val="18"/>
          <w:szCs w:val="18"/>
        </w:rPr>
        <w:t xml:space="preserve"> Los otras categorizaciones son: </w:t>
      </w:r>
      <w:r w:rsidRPr="00551E61">
        <w:rPr>
          <w:rFonts w:ascii="Arial" w:hAnsi="Arial" w:cs="Arial"/>
          <w:sz w:val="18"/>
          <w:szCs w:val="18"/>
          <w:lang w:val="es-ES_tradnl"/>
        </w:rPr>
        <w:t>el 45.3% son estructuras nuevas compatibles con el contexto, el 3.7% son incompatibles, el 1.7% son lotes vacíos y 0.6 son estacionamientos.</w:t>
      </w:r>
    </w:p>
  </w:footnote>
  <w:footnote w:id="11">
    <w:p w:rsidR="00F724B8" w:rsidRPr="00551E61" w:rsidRDefault="00F724B8" w:rsidP="00551E61">
      <w:pPr>
        <w:pStyle w:val="FootnoteText"/>
        <w:ind w:left="180" w:hanging="180"/>
        <w:jc w:val="both"/>
        <w:rPr>
          <w:rFonts w:ascii="Arial" w:hAnsi="Arial" w:cs="Arial"/>
          <w:sz w:val="18"/>
          <w:szCs w:val="18"/>
        </w:rPr>
      </w:pPr>
      <w:r w:rsidRPr="00551E61">
        <w:rPr>
          <w:rStyle w:val="FootnoteReference"/>
          <w:rFonts w:ascii="Arial" w:hAnsi="Arial" w:cs="Arial"/>
          <w:sz w:val="18"/>
          <w:szCs w:val="18"/>
        </w:rPr>
        <w:footnoteRef/>
      </w:r>
      <w:r w:rsidRPr="00551E61">
        <w:rPr>
          <w:rFonts w:ascii="Arial" w:hAnsi="Arial" w:cs="Arial"/>
          <w:sz w:val="18"/>
          <w:szCs w:val="18"/>
        </w:rPr>
        <w:t xml:space="preserve"> Lo que no significaría necesariamente el mismo número de fachadas en tanto que 2,115 viviendas son categoría apartamento. </w:t>
      </w:r>
    </w:p>
  </w:footnote>
  <w:footnote w:id="12">
    <w:p w:rsidR="00F724B8" w:rsidRPr="00551E61" w:rsidRDefault="00F724B8" w:rsidP="00551E61">
      <w:pPr>
        <w:pStyle w:val="FootnoteText"/>
        <w:ind w:left="180" w:hanging="180"/>
        <w:jc w:val="both"/>
        <w:rPr>
          <w:rFonts w:ascii="Arial" w:hAnsi="Arial" w:cs="Arial"/>
          <w:i/>
          <w:sz w:val="18"/>
          <w:szCs w:val="18"/>
        </w:rPr>
      </w:pPr>
      <w:r w:rsidRPr="00551E61">
        <w:rPr>
          <w:rStyle w:val="FootnoteReference"/>
          <w:rFonts w:ascii="Arial" w:hAnsi="Arial" w:cs="Arial"/>
          <w:sz w:val="18"/>
          <w:szCs w:val="18"/>
        </w:rPr>
        <w:footnoteRef/>
      </w:r>
      <w:r w:rsidRPr="00551E61">
        <w:rPr>
          <w:rFonts w:ascii="Arial" w:hAnsi="Arial" w:cs="Arial"/>
          <w:sz w:val="18"/>
          <w:szCs w:val="18"/>
        </w:rPr>
        <w:t xml:space="preserve"> Incluyendo: “</w:t>
      </w:r>
      <w:r w:rsidRPr="00551E61">
        <w:rPr>
          <w:rFonts w:ascii="Arial" w:hAnsi="Arial" w:cs="Arial"/>
          <w:i/>
          <w:sz w:val="18"/>
          <w:szCs w:val="18"/>
        </w:rPr>
        <w:t>(i) Levantamiento de daños en la edificación incluyendo la corrección de grietas estructurales, fuentes de humedad y capilaridad en paredes, suelos y techos externos. (ii) Limpieza de suciedades y micosis.</w:t>
      </w:r>
    </w:p>
    <w:p w:rsidR="00F724B8" w:rsidRPr="00551E61" w:rsidRDefault="00F724B8" w:rsidP="00551E61">
      <w:pPr>
        <w:pStyle w:val="FootnoteText"/>
        <w:ind w:left="180" w:hanging="180"/>
        <w:jc w:val="both"/>
        <w:rPr>
          <w:rFonts w:ascii="Arial" w:hAnsi="Arial" w:cs="Arial"/>
          <w:sz w:val="18"/>
          <w:szCs w:val="18"/>
        </w:rPr>
      </w:pPr>
      <w:r w:rsidRPr="00551E61">
        <w:rPr>
          <w:rFonts w:ascii="Arial" w:hAnsi="Arial" w:cs="Arial"/>
          <w:i/>
          <w:sz w:val="18"/>
          <w:szCs w:val="18"/>
        </w:rPr>
        <w:t xml:space="preserve">(iii) Picado y desmantelamiento de capas anteriores. (iv) Impermeabilización de paredes y techos externos. (v) Renovación y/o reparación de salientes, voladizos, cornisas, balcones y balaustres. (vi) Eliminación de remanentes de pintura existente y aplicación de nuevas capas de pintura exterior y esmaltes. (vii) Mejora de los sistemas de recolección aguas de lluvia y desagües. (viii) Tratamiento o reemplazo de verjas metálicas y de madera. (ix) Aplicación de barnices anti-intemperie y otros. (x) Aplicación de enfoscados, fratasados y revoques. (xi) Reparación de puertas/portones de hierro y madera. (xii) Reparación de pañetes. (xiii) Reparación de vuelos de hormigón. (xiv) Eliminación de matas y vegetación invasiva”. </w:t>
      </w:r>
      <w:r w:rsidRPr="00551E61">
        <w:rPr>
          <w:rFonts w:ascii="Arial" w:hAnsi="Arial" w:cs="Arial"/>
          <w:sz w:val="18"/>
          <w:szCs w:val="18"/>
        </w:rPr>
        <w:t xml:space="preserve">(Garrett, 2014: Pág. 13) </w:t>
      </w:r>
    </w:p>
  </w:footnote>
  <w:footnote w:id="13">
    <w:p w:rsidR="00F724B8" w:rsidRPr="00551E61" w:rsidRDefault="00F724B8" w:rsidP="00551E61">
      <w:pPr>
        <w:pStyle w:val="FootnoteText"/>
        <w:ind w:left="180" w:hanging="180"/>
        <w:jc w:val="both"/>
        <w:rPr>
          <w:rFonts w:ascii="Arial" w:hAnsi="Arial" w:cs="Arial"/>
          <w:sz w:val="18"/>
          <w:szCs w:val="18"/>
        </w:rPr>
      </w:pPr>
      <w:r w:rsidRPr="00551E61">
        <w:rPr>
          <w:rStyle w:val="FootnoteReference"/>
          <w:rFonts w:ascii="Arial" w:hAnsi="Arial" w:cs="Arial"/>
          <w:sz w:val="18"/>
          <w:szCs w:val="18"/>
        </w:rPr>
        <w:footnoteRef/>
      </w:r>
      <w:r w:rsidRPr="00551E61">
        <w:rPr>
          <w:rFonts w:ascii="Arial" w:hAnsi="Arial" w:cs="Arial"/>
          <w:sz w:val="18"/>
          <w:szCs w:val="18"/>
        </w:rPr>
        <w:t xml:space="preserve"> Un profesional a tiempo completo de nivel especialista (arquitecto) o dos profesionales a tiempo parcial por el tiempo de ejecución de la operación.</w:t>
      </w:r>
    </w:p>
  </w:footnote>
  <w:footnote w:id="14">
    <w:p w:rsidR="00F724B8" w:rsidRPr="00551E61" w:rsidRDefault="00F724B8" w:rsidP="00551E61">
      <w:pPr>
        <w:pStyle w:val="FootnoteText"/>
        <w:ind w:left="180" w:hanging="180"/>
        <w:jc w:val="both"/>
        <w:rPr>
          <w:rFonts w:ascii="Arial" w:hAnsi="Arial" w:cs="Arial"/>
          <w:sz w:val="18"/>
          <w:szCs w:val="18"/>
        </w:rPr>
      </w:pPr>
      <w:r w:rsidRPr="00551E61">
        <w:rPr>
          <w:rStyle w:val="FootnoteReference"/>
          <w:rFonts w:ascii="Arial" w:hAnsi="Arial" w:cs="Arial"/>
          <w:sz w:val="18"/>
          <w:szCs w:val="18"/>
        </w:rPr>
        <w:footnoteRef/>
      </w:r>
      <w:r w:rsidRPr="00551E61">
        <w:rPr>
          <w:rFonts w:ascii="Arial" w:hAnsi="Arial" w:cs="Arial"/>
          <w:sz w:val="18"/>
          <w:szCs w:val="18"/>
        </w:rPr>
        <w:t xml:space="preserve"> Lo que daría un subsidio de US$ 9,000 a US$ 119,340 para una unidad de 90 metros cuadrados. </w:t>
      </w:r>
    </w:p>
  </w:footnote>
  <w:footnote w:id="15">
    <w:p w:rsidR="00F724B8" w:rsidRPr="00551E61" w:rsidRDefault="00F724B8" w:rsidP="00551E61">
      <w:pPr>
        <w:pStyle w:val="FootnoteText"/>
        <w:ind w:left="180" w:hanging="180"/>
        <w:jc w:val="both"/>
        <w:rPr>
          <w:rFonts w:ascii="Arial" w:hAnsi="Arial" w:cs="Arial"/>
          <w:sz w:val="18"/>
          <w:szCs w:val="18"/>
        </w:rPr>
      </w:pPr>
      <w:r w:rsidRPr="00551E61">
        <w:rPr>
          <w:rStyle w:val="FootnoteReference"/>
          <w:rFonts w:ascii="Arial" w:hAnsi="Arial" w:cs="Arial"/>
          <w:sz w:val="18"/>
          <w:szCs w:val="18"/>
        </w:rPr>
        <w:footnoteRef/>
      </w:r>
      <w:r w:rsidRPr="00551E61">
        <w:rPr>
          <w:rFonts w:ascii="Arial" w:hAnsi="Arial" w:cs="Arial"/>
          <w:sz w:val="18"/>
          <w:szCs w:val="18"/>
        </w:rPr>
        <w:t xml:space="preserve"> El Banco está manteniendo un dialogo con el gobierno nacional el cual ha solicitado apoyar la revisión de 5 elementos normativos en el marco del recién declarado ‘Año de la Vivienda’. Estos elementos son: la ley de alquileres, la ley de condominios, la ley del fideicomiso y el mercado hipotecario, la ley de creación del INVI y la propuesta de ley de ordenamiento territorial.</w:t>
      </w:r>
    </w:p>
  </w:footnote>
  <w:footnote w:id="16">
    <w:p w:rsidR="00F724B8" w:rsidRPr="00551E61" w:rsidRDefault="00F724B8" w:rsidP="00551E61">
      <w:pPr>
        <w:pStyle w:val="FootnoteText"/>
        <w:ind w:left="180" w:hanging="180"/>
        <w:jc w:val="both"/>
        <w:rPr>
          <w:rFonts w:ascii="Arial" w:hAnsi="Arial" w:cs="Arial"/>
          <w:sz w:val="18"/>
          <w:szCs w:val="18"/>
        </w:rPr>
      </w:pPr>
      <w:r w:rsidRPr="00551E61">
        <w:rPr>
          <w:rStyle w:val="FootnoteReference"/>
          <w:rFonts w:ascii="Arial" w:hAnsi="Arial" w:cs="Arial"/>
          <w:sz w:val="18"/>
          <w:szCs w:val="18"/>
        </w:rPr>
        <w:footnoteRef/>
      </w:r>
      <w:r w:rsidRPr="00551E61">
        <w:rPr>
          <w:rFonts w:ascii="Arial" w:hAnsi="Arial" w:cs="Arial"/>
          <w:sz w:val="18"/>
          <w:szCs w:val="18"/>
        </w:rPr>
        <w:t xml:space="preserve"> La propuesta se basa en reuniones con Hábitat para la Humanidad y materiales proporcionados por ellos. También incluye elementos de las acciones de Techo y de Patrimonio Hoy.  </w:t>
      </w:r>
    </w:p>
  </w:footnote>
  <w:footnote w:id="17">
    <w:p w:rsidR="00F724B8" w:rsidRPr="00551E61" w:rsidRDefault="00F724B8" w:rsidP="00551E61">
      <w:pPr>
        <w:pStyle w:val="FootnoteText"/>
        <w:ind w:left="180" w:hanging="180"/>
        <w:jc w:val="both"/>
        <w:rPr>
          <w:rFonts w:ascii="Arial" w:hAnsi="Arial" w:cs="Arial"/>
          <w:sz w:val="18"/>
          <w:szCs w:val="18"/>
        </w:rPr>
      </w:pPr>
      <w:r w:rsidRPr="00551E61">
        <w:rPr>
          <w:rStyle w:val="FootnoteReference"/>
          <w:rFonts w:ascii="Arial" w:hAnsi="Arial" w:cs="Arial"/>
          <w:sz w:val="18"/>
          <w:szCs w:val="18"/>
        </w:rPr>
        <w:footnoteRef/>
      </w:r>
      <w:r w:rsidRPr="00551E61">
        <w:rPr>
          <w:rFonts w:ascii="Arial" w:hAnsi="Arial" w:cs="Arial"/>
          <w:sz w:val="18"/>
          <w:szCs w:val="18"/>
        </w:rPr>
        <w:t xml:space="preserve"> La necesidad de capacitación en temas financieros fue un tema recurrente en varias de las entrevistas. Pues se comentaba que un programa adelantado por la Junta de Andalucía no tuvo los resultados esperados porque no tuvo acompañamiento para promocionar la utilidad del título y las mejoras. </w:t>
      </w:r>
    </w:p>
  </w:footnote>
  <w:footnote w:id="18">
    <w:p w:rsidR="00F724B8" w:rsidRPr="00551E61" w:rsidRDefault="00F724B8" w:rsidP="00551E61">
      <w:pPr>
        <w:pStyle w:val="FootnoteText"/>
        <w:ind w:left="180" w:hanging="180"/>
        <w:jc w:val="both"/>
        <w:rPr>
          <w:rFonts w:ascii="Arial" w:hAnsi="Arial" w:cs="Arial"/>
          <w:sz w:val="18"/>
          <w:szCs w:val="18"/>
        </w:rPr>
      </w:pPr>
      <w:r w:rsidRPr="00551E61">
        <w:rPr>
          <w:rStyle w:val="FootnoteReference"/>
          <w:rFonts w:ascii="Arial" w:hAnsi="Arial" w:cs="Arial"/>
          <w:sz w:val="18"/>
          <w:szCs w:val="18"/>
        </w:rPr>
        <w:footnoteRef/>
      </w:r>
      <w:r w:rsidRPr="00551E61">
        <w:rPr>
          <w:rFonts w:ascii="Arial" w:hAnsi="Arial" w:cs="Arial"/>
          <w:sz w:val="18"/>
          <w:szCs w:val="18"/>
        </w:rPr>
        <w:t xml:space="preserve"> La operación DR-L1060 ‘Banco Ademi: Acceso a Financiamiento para Mejora de Viviendas en la Base de la Pirámide en la República Dominicana’ admite como ‘prueba de validez jurídica de su condición de propietarios’ o ‘una verificación sustitutiva de la misma a través del testimonio de vecinos, documentos informales o documentos emitidos por las autoridades locales’. También se estudiarán otras alternativas incluyendo el ejemplo de Hábitat para la Humanidad que acepta como documento de propiedad las siguientes opciones: documento de certificación del alcalde pedáneo, carta de certificación emitida por las juntas de vecinos, declaración jurada de propiedad, cintillo catastral o un acto notarial de compra y venta. Otro ejemplo de requisitos validos pueden ser las condiciones exigidas por el programa de embellecimiento de fachadas (ver arriba).    </w:t>
      </w:r>
    </w:p>
  </w:footnote>
  <w:footnote w:id="19">
    <w:p w:rsidR="00F724B8" w:rsidRPr="00551E61" w:rsidRDefault="00F724B8" w:rsidP="00551E61">
      <w:pPr>
        <w:pStyle w:val="FootnoteText"/>
        <w:ind w:left="180" w:hanging="180"/>
        <w:jc w:val="both"/>
        <w:rPr>
          <w:rFonts w:ascii="Arial" w:hAnsi="Arial" w:cs="Arial"/>
          <w:sz w:val="18"/>
          <w:szCs w:val="18"/>
        </w:rPr>
      </w:pPr>
      <w:r w:rsidRPr="00551E61">
        <w:rPr>
          <w:rStyle w:val="FootnoteReference"/>
          <w:rFonts w:ascii="Arial" w:hAnsi="Arial" w:cs="Arial"/>
          <w:sz w:val="18"/>
          <w:szCs w:val="18"/>
        </w:rPr>
        <w:footnoteRef/>
      </w:r>
      <w:r w:rsidRPr="00551E61">
        <w:rPr>
          <w:rFonts w:ascii="Arial" w:hAnsi="Arial" w:cs="Arial"/>
          <w:sz w:val="18"/>
          <w:szCs w:val="18"/>
        </w:rPr>
        <w:t xml:space="preserve"> Basado en el menú de opciones de mejoramiento que ofrece Hábitat para la Humanidad en República Dominicana. </w:t>
      </w:r>
    </w:p>
  </w:footnote>
  <w:footnote w:id="20">
    <w:p w:rsidR="00F724B8" w:rsidRPr="00551E61" w:rsidRDefault="00F724B8" w:rsidP="00551E61">
      <w:pPr>
        <w:pStyle w:val="FootnoteText"/>
        <w:ind w:left="180" w:hanging="180"/>
        <w:jc w:val="both"/>
        <w:rPr>
          <w:rFonts w:ascii="Arial" w:hAnsi="Arial" w:cs="Arial"/>
          <w:sz w:val="18"/>
          <w:szCs w:val="18"/>
        </w:rPr>
      </w:pPr>
      <w:r w:rsidRPr="00551E61">
        <w:rPr>
          <w:rStyle w:val="FootnoteReference"/>
          <w:rFonts w:ascii="Arial" w:hAnsi="Arial" w:cs="Arial"/>
          <w:sz w:val="18"/>
          <w:szCs w:val="18"/>
        </w:rPr>
        <w:footnoteRef/>
      </w:r>
      <w:r w:rsidRPr="00551E61">
        <w:rPr>
          <w:rFonts w:ascii="Arial" w:hAnsi="Arial" w:cs="Arial"/>
          <w:sz w:val="18"/>
          <w:szCs w:val="18"/>
        </w:rPr>
        <w:t xml:space="preserve"> De hecho Hábitat para la Humanidad ejecuta la etapa de selección, levantamiento y supervisión en el mejoramiento de vivienda de la operación DR-L1060 del Banco Ademi.</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6117132"/>
    <w:multiLevelType w:val="hybridMultilevel"/>
    <w:tmpl w:val="D7686BFA"/>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1">
    <w:nsid w:val="06632E50"/>
    <w:multiLevelType w:val="multilevel"/>
    <w:tmpl w:val="37644BA6"/>
    <w:lvl w:ilvl="0">
      <w:start w:val="2"/>
      <w:numFmt w:val="decimal"/>
      <w:lvlText w:val="%1."/>
      <w:lvlJc w:val="left"/>
      <w:pPr>
        <w:ind w:left="360" w:hanging="360"/>
      </w:pPr>
      <w:rPr>
        <w:rFonts w:hint="default"/>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nsid w:val="0C8A467D"/>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3">
    <w:nsid w:val="266767D9"/>
    <w:multiLevelType w:val="multilevel"/>
    <w:tmpl w:val="54CC9530"/>
    <w:lvl w:ilvl="0">
      <w:start w:val="1"/>
      <w:numFmt w:val="upperRoman"/>
      <w:lvlRestart w:val="0"/>
      <w:lvlText w:val="%1."/>
      <w:lvlJc w:val="center"/>
      <w:pPr>
        <w:tabs>
          <w:tab w:val="num" w:pos="648"/>
        </w:tabs>
        <w:ind w:left="0" w:firstLine="288"/>
      </w:pPr>
      <w:rPr>
        <w:b/>
        <w:i w:val="0"/>
      </w:rPr>
    </w:lvl>
    <w:lvl w:ilvl="1">
      <w:start w:val="1"/>
      <w:numFmt w:val="decimal"/>
      <w:isLgl/>
      <w:lvlText w:val="%1.%2"/>
      <w:lvlJc w:val="left"/>
      <w:pPr>
        <w:tabs>
          <w:tab w:val="num" w:pos="1296"/>
        </w:tabs>
        <w:ind w:left="1296" w:hanging="1296"/>
      </w:pPr>
      <w:rPr>
        <w:b w:val="0"/>
        <w:sz w:val="22"/>
        <w:szCs w:val="22"/>
      </w:rPr>
    </w:lvl>
    <w:lvl w:ilvl="2">
      <w:start w:val="1"/>
      <w:numFmt w:val="decimal"/>
      <w:lvlText w:val="%3."/>
      <w:lvlJc w:val="left"/>
      <w:pPr>
        <w:tabs>
          <w:tab w:val="num" w:pos="1152"/>
        </w:tabs>
        <w:ind w:left="1152" w:hanging="432"/>
      </w:pPr>
    </w:lvl>
    <w:lvl w:ilvl="3">
      <w:start w:val="1"/>
      <w:numFmt w:val="lowerRoman"/>
      <w:lvlText w:val="%4."/>
      <w:lvlJc w:val="right"/>
      <w:pPr>
        <w:tabs>
          <w:tab w:val="num" w:pos="1584"/>
        </w:tabs>
        <w:ind w:left="1584" w:hanging="288"/>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
    <w:nsid w:val="33F90463"/>
    <w:multiLevelType w:val="multilevel"/>
    <w:tmpl w:val="E1E2563E"/>
    <w:lvl w:ilvl="0">
      <w:start w:val="1"/>
      <w:numFmt w:val="upperRoman"/>
      <w:lvlRestart w:val="0"/>
      <w:pStyle w:val="Chapter"/>
      <w:lvlText w:val="%1."/>
      <w:lvlJc w:val="center"/>
      <w:pPr>
        <w:tabs>
          <w:tab w:val="num" w:pos="2088"/>
        </w:tabs>
        <w:ind w:left="1440" w:firstLine="288"/>
      </w:pPr>
      <w:rPr>
        <w:b/>
        <w:i w:val="0"/>
      </w:rPr>
    </w:lvl>
    <w:lvl w:ilvl="1">
      <w:start w:val="1"/>
      <w:numFmt w:val="decimal"/>
      <w:isLgl/>
      <w:lvlText w:val="%1.%2"/>
      <w:lvlJc w:val="left"/>
      <w:pPr>
        <w:tabs>
          <w:tab w:val="num" w:pos="2736"/>
        </w:tabs>
        <w:ind w:left="2736" w:hanging="1296"/>
      </w:pPr>
      <w:rPr>
        <w:b w:val="0"/>
        <w:sz w:val="22"/>
        <w:szCs w:val="22"/>
        <w:lang w:val="es-ES"/>
      </w:rPr>
    </w:lvl>
    <w:lvl w:ilvl="2">
      <w:start w:val="1"/>
      <w:numFmt w:val="lowerLetter"/>
      <w:pStyle w:val="subpar"/>
      <w:lvlText w:val="%3."/>
      <w:lvlJc w:val="left"/>
      <w:pPr>
        <w:tabs>
          <w:tab w:val="num" w:pos="2592"/>
        </w:tabs>
        <w:ind w:left="2592" w:hanging="432"/>
      </w:pPr>
    </w:lvl>
    <w:lvl w:ilvl="3">
      <w:start w:val="1"/>
      <w:numFmt w:val="lowerRoman"/>
      <w:pStyle w:val="SubSubPar"/>
      <w:lvlText w:val="%4."/>
      <w:lvlJc w:val="right"/>
      <w:pPr>
        <w:tabs>
          <w:tab w:val="num" w:pos="3024"/>
        </w:tabs>
        <w:ind w:left="3024" w:hanging="288"/>
      </w:pPr>
    </w:lvl>
    <w:lvl w:ilvl="4">
      <w:start w:val="1"/>
      <w:numFmt w:val="decimal"/>
      <w:lvlText w:val="%1.%2.%3.%4.%5"/>
      <w:lvlJc w:val="left"/>
      <w:pPr>
        <w:ind w:left="2448" w:hanging="1008"/>
      </w:pPr>
    </w:lvl>
    <w:lvl w:ilvl="5">
      <w:start w:val="1"/>
      <w:numFmt w:val="decimal"/>
      <w:lvlText w:val="%1.%2.%3.%4.%5.%6"/>
      <w:lvlJc w:val="left"/>
      <w:pPr>
        <w:ind w:left="2592" w:hanging="1152"/>
      </w:pPr>
    </w:lvl>
    <w:lvl w:ilvl="6">
      <w:start w:val="1"/>
      <w:numFmt w:val="decimal"/>
      <w:lvlText w:val="%1.%2.%3.%4.%5.%6.%7"/>
      <w:lvlJc w:val="left"/>
      <w:pPr>
        <w:ind w:left="2736" w:hanging="1296"/>
      </w:pPr>
    </w:lvl>
    <w:lvl w:ilvl="7">
      <w:start w:val="1"/>
      <w:numFmt w:val="decimal"/>
      <w:lvlText w:val="%1.%2.%3.%4.%5.%6.%7.%8"/>
      <w:lvlJc w:val="left"/>
      <w:pPr>
        <w:ind w:left="2880" w:hanging="1440"/>
      </w:pPr>
    </w:lvl>
    <w:lvl w:ilvl="8">
      <w:start w:val="1"/>
      <w:numFmt w:val="decimal"/>
      <w:lvlText w:val="%1.%2.%3.%4.%5.%6.%7.%8.%9"/>
      <w:lvlJc w:val="left"/>
      <w:pPr>
        <w:ind w:left="3024" w:hanging="1584"/>
      </w:pPr>
    </w:lvl>
  </w:abstractNum>
  <w:abstractNum w:abstractNumId="5">
    <w:nsid w:val="35C20BD7"/>
    <w:multiLevelType w:val="hybridMultilevel"/>
    <w:tmpl w:val="ACF49ED4"/>
    <w:lvl w:ilvl="0" w:tplc="D8747374">
      <w:start w:val="1"/>
      <w:numFmt w:val="lowerRoman"/>
      <w:lvlText w:val="(%1)"/>
      <w:lvlJc w:val="left"/>
      <w:pPr>
        <w:ind w:left="1080" w:hanging="720"/>
      </w:pPr>
      <w:rPr>
        <w:rFonts w:hint="default"/>
      </w:rPr>
    </w:lvl>
    <w:lvl w:ilvl="1" w:tplc="0C0A0019" w:tentative="1">
      <w:start w:val="1"/>
      <w:numFmt w:val="lowerLetter"/>
      <w:lvlText w:val="%2."/>
      <w:lvlJc w:val="left"/>
      <w:pPr>
        <w:ind w:left="1440" w:hanging="360"/>
      </w:pPr>
    </w:lvl>
    <w:lvl w:ilvl="2" w:tplc="0C0A001B" w:tentative="1">
      <w:start w:val="1"/>
      <w:numFmt w:val="lowerRoman"/>
      <w:lvlText w:val="%3."/>
      <w:lvlJc w:val="right"/>
      <w:pPr>
        <w:ind w:left="2160" w:hanging="180"/>
      </w:pPr>
    </w:lvl>
    <w:lvl w:ilvl="3" w:tplc="0C0A000F" w:tentative="1">
      <w:start w:val="1"/>
      <w:numFmt w:val="decimal"/>
      <w:lvlText w:val="%4."/>
      <w:lvlJc w:val="left"/>
      <w:pPr>
        <w:ind w:left="2880" w:hanging="360"/>
      </w:pPr>
    </w:lvl>
    <w:lvl w:ilvl="4" w:tplc="0C0A0019" w:tentative="1">
      <w:start w:val="1"/>
      <w:numFmt w:val="lowerLetter"/>
      <w:lvlText w:val="%5."/>
      <w:lvlJc w:val="left"/>
      <w:pPr>
        <w:ind w:left="3600" w:hanging="360"/>
      </w:pPr>
    </w:lvl>
    <w:lvl w:ilvl="5" w:tplc="0C0A001B" w:tentative="1">
      <w:start w:val="1"/>
      <w:numFmt w:val="lowerRoman"/>
      <w:lvlText w:val="%6."/>
      <w:lvlJc w:val="right"/>
      <w:pPr>
        <w:ind w:left="4320" w:hanging="180"/>
      </w:pPr>
    </w:lvl>
    <w:lvl w:ilvl="6" w:tplc="0C0A000F" w:tentative="1">
      <w:start w:val="1"/>
      <w:numFmt w:val="decimal"/>
      <w:lvlText w:val="%7."/>
      <w:lvlJc w:val="left"/>
      <w:pPr>
        <w:ind w:left="5040" w:hanging="360"/>
      </w:pPr>
    </w:lvl>
    <w:lvl w:ilvl="7" w:tplc="0C0A0019" w:tentative="1">
      <w:start w:val="1"/>
      <w:numFmt w:val="lowerLetter"/>
      <w:lvlText w:val="%8."/>
      <w:lvlJc w:val="left"/>
      <w:pPr>
        <w:ind w:left="5760" w:hanging="360"/>
      </w:pPr>
    </w:lvl>
    <w:lvl w:ilvl="8" w:tplc="0C0A001B" w:tentative="1">
      <w:start w:val="1"/>
      <w:numFmt w:val="lowerRoman"/>
      <w:lvlText w:val="%9."/>
      <w:lvlJc w:val="right"/>
      <w:pPr>
        <w:ind w:left="6480" w:hanging="180"/>
      </w:pPr>
    </w:lvl>
  </w:abstractNum>
  <w:abstractNum w:abstractNumId="6">
    <w:nsid w:val="48813CFC"/>
    <w:multiLevelType w:val="hybridMultilevel"/>
    <w:tmpl w:val="C5F877DA"/>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abstractNum w:abstractNumId="7">
    <w:nsid w:val="5FAD27AE"/>
    <w:multiLevelType w:val="hybridMultilevel"/>
    <w:tmpl w:val="02BC355E"/>
    <w:lvl w:ilvl="0" w:tplc="0C0A000F">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8">
    <w:nsid w:val="6A947B45"/>
    <w:multiLevelType w:val="multilevel"/>
    <w:tmpl w:val="D71C0AE6"/>
    <w:lvl w:ilvl="0">
      <w:start w:val="1"/>
      <w:numFmt w:val="upperRoman"/>
      <w:lvlRestart w:val="0"/>
      <w:lvlText w:val="%1."/>
      <w:lvlJc w:val="center"/>
      <w:pPr>
        <w:tabs>
          <w:tab w:val="num" w:pos="2088"/>
        </w:tabs>
        <w:ind w:left="1440" w:firstLine="288"/>
      </w:pPr>
      <w:rPr>
        <w:b/>
        <w:i w:val="0"/>
      </w:rPr>
    </w:lvl>
    <w:lvl w:ilvl="1">
      <w:start w:val="1"/>
      <w:numFmt w:val="decimal"/>
      <w:isLgl/>
      <w:lvlText w:val="%1.%2"/>
      <w:lvlJc w:val="left"/>
      <w:pPr>
        <w:tabs>
          <w:tab w:val="num" w:pos="2736"/>
        </w:tabs>
        <w:ind w:left="2736" w:hanging="1296"/>
      </w:pPr>
      <w:rPr>
        <w:b w:val="0"/>
        <w:sz w:val="22"/>
        <w:szCs w:val="22"/>
      </w:rPr>
    </w:lvl>
    <w:lvl w:ilvl="2">
      <w:start w:val="1"/>
      <w:numFmt w:val="decimal"/>
      <w:lvlText w:val="%3."/>
      <w:lvlJc w:val="left"/>
      <w:pPr>
        <w:tabs>
          <w:tab w:val="num" w:pos="2592"/>
        </w:tabs>
        <w:ind w:left="2592" w:hanging="432"/>
      </w:pPr>
    </w:lvl>
    <w:lvl w:ilvl="3">
      <w:start w:val="1"/>
      <w:numFmt w:val="lowerRoman"/>
      <w:lvlText w:val="%4."/>
      <w:lvlJc w:val="right"/>
      <w:pPr>
        <w:tabs>
          <w:tab w:val="num" w:pos="3024"/>
        </w:tabs>
        <w:ind w:left="3024" w:hanging="288"/>
      </w:pPr>
    </w:lvl>
    <w:lvl w:ilvl="4">
      <w:start w:val="1"/>
      <w:numFmt w:val="decimal"/>
      <w:lvlText w:val="%1.%2.%3.%4.%5"/>
      <w:lvlJc w:val="left"/>
      <w:pPr>
        <w:ind w:left="2448" w:hanging="1008"/>
      </w:pPr>
    </w:lvl>
    <w:lvl w:ilvl="5">
      <w:start w:val="1"/>
      <w:numFmt w:val="decimal"/>
      <w:lvlText w:val="%1.%2.%3.%4.%5.%6"/>
      <w:lvlJc w:val="left"/>
      <w:pPr>
        <w:ind w:left="2592" w:hanging="1152"/>
      </w:pPr>
    </w:lvl>
    <w:lvl w:ilvl="6">
      <w:start w:val="1"/>
      <w:numFmt w:val="decimal"/>
      <w:lvlText w:val="%1.%2.%3.%4.%5.%6.%7"/>
      <w:lvlJc w:val="left"/>
      <w:pPr>
        <w:ind w:left="2736" w:hanging="1296"/>
      </w:pPr>
    </w:lvl>
    <w:lvl w:ilvl="7">
      <w:start w:val="1"/>
      <w:numFmt w:val="decimal"/>
      <w:lvlText w:val="%1.%2.%3.%4.%5.%6.%7.%8"/>
      <w:lvlJc w:val="left"/>
      <w:pPr>
        <w:ind w:left="2880" w:hanging="1440"/>
      </w:pPr>
    </w:lvl>
    <w:lvl w:ilvl="8">
      <w:start w:val="1"/>
      <w:numFmt w:val="decimal"/>
      <w:lvlText w:val="%1.%2.%3.%4.%5.%6.%7.%8.%9"/>
      <w:lvlJc w:val="left"/>
      <w:pPr>
        <w:ind w:left="3024" w:hanging="1584"/>
      </w:pPr>
    </w:lvl>
  </w:abstractNum>
  <w:abstractNum w:abstractNumId="9">
    <w:nsid w:val="6C5669BB"/>
    <w:multiLevelType w:val="hybridMultilevel"/>
    <w:tmpl w:val="E0D87842"/>
    <w:lvl w:ilvl="0" w:tplc="0409000F">
      <w:start w:val="1"/>
      <w:numFmt w:val="decimal"/>
      <w:lvlText w:val="%1."/>
      <w:lvlJc w:val="left"/>
      <w:pPr>
        <w:ind w:left="360" w:hanging="360"/>
      </w:pPr>
    </w:lvl>
    <w:lvl w:ilvl="1" w:tplc="0C0A0019" w:tentative="1">
      <w:start w:val="1"/>
      <w:numFmt w:val="lowerLetter"/>
      <w:lvlText w:val="%2."/>
      <w:lvlJc w:val="left"/>
      <w:pPr>
        <w:ind w:left="1080" w:hanging="360"/>
      </w:pPr>
    </w:lvl>
    <w:lvl w:ilvl="2" w:tplc="0C0A001B" w:tentative="1">
      <w:start w:val="1"/>
      <w:numFmt w:val="lowerRoman"/>
      <w:lvlText w:val="%3."/>
      <w:lvlJc w:val="right"/>
      <w:pPr>
        <w:ind w:left="1800" w:hanging="180"/>
      </w:pPr>
    </w:lvl>
    <w:lvl w:ilvl="3" w:tplc="0C0A000F" w:tentative="1">
      <w:start w:val="1"/>
      <w:numFmt w:val="decimal"/>
      <w:lvlText w:val="%4."/>
      <w:lvlJc w:val="left"/>
      <w:pPr>
        <w:ind w:left="2520" w:hanging="360"/>
      </w:pPr>
    </w:lvl>
    <w:lvl w:ilvl="4" w:tplc="0C0A0019" w:tentative="1">
      <w:start w:val="1"/>
      <w:numFmt w:val="lowerLetter"/>
      <w:lvlText w:val="%5."/>
      <w:lvlJc w:val="left"/>
      <w:pPr>
        <w:ind w:left="3240" w:hanging="360"/>
      </w:pPr>
    </w:lvl>
    <w:lvl w:ilvl="5" w:tplc="0C0A001B" w:tentative="1">
      <w:start w:val="1"/>
      <w:numFmt w:val="lowerRoman"/>
      <w:lvlText w:val="%6."/>
      <w:lvlJc w:val="right"/>
      <w:pPr>
        <w:ind w:left="3960" w:hanging="180"/>
      </w:pPr>
    </w:lvl>
    <w:lvl w:ilvl="6" w:tplc="0C0A000F" w:tentative="1">
      <w:start w:val="1"/>
      <w:numFmt w:val="decimal"/>
      <w:lvlText w:val="%7."/>
      <w:lvlJc w:val="left"/>
      <w:pPr>
        <w:ind w:left="4680" w:hanging="360"/>
      </w:pPr>
    </w:lvl>
    <w:lvl w:ilvl="7" w:tplc="0C0A0019" w:tentative="1">
      <w:start w:val="1"/>
      <w:numFmt w:val="lowerLetter"/>
      <w:lvlText w:val="%8."/>
      <w:lvlJc w:val="left"/>
      <w:pPr>
        <w:ind w:left="5400" w:hanging="360"/>
      </w:pPr>
    </w:lvl>
    <w:lvl w:ilvl="8" w:tplc="0C0A001B" w:tentative="1">
      <w:start w:val="1"/>
      <w:numFmt w:val="lowerRoman"/>
      <w:lvlText w:val="%9."/>
      <w:lvlJc w:val="right"/>
      <w:pPr>
        <w:ind w:left="6120" w:hanging="180"/>
      </w:pPr>
    </w:lvl>
  </w:abstractNum>
  <w:abstractNum w:abstractNumId="10">
    <w:nsid w:val="74177481"/>
    <w:multiLevelType w:val="hybridMultilevel"/>
    <w:tmpl w:val="6F6C1E72"/>
    <w:lvl w:ilvl="0" w:tplc="0C0A0001">
      <w:start w:val="1"/>
      <w:numFmt w:val="bullet"/>
      <w:lvlText w:val=""/>
      <w:lvlJc w:val="left"/>
      <w:pPr>
        <w:ind w:left="360" w:hanging="360"/>
      </w:pPr>
      <w:rPr>
        <w:rFonts w:ascii="Symbol" w:hAnsi="Symbol" w:hint="default"/>
      </w:rPr>
    </w:lvl>
    <w:lvl w:ilvl="1" w:tplc="0C0A0003" w:tentative="1">
      <w:start w:val="1"/>
      <w:numFmt w:val="bullet"/>
      <w:lvlText w:val="o"/>
      <w:lvlJc w:val="left"/>
      <w:pPr>
        <w:ind w:left="1080" w:hanging="360"/>
      </w:pPr>
      <w:rPr>
        <w:rFonts w:ascii="Courier New" w:hAnsi="Courier New" w:cs="Courier New" w:hint="default"/>
      </w:rPr>
    </w:lvl>
    <w:lvl w:ilvl="2" w:tplc="0C0A0005" w:tentative="1">
      <w:start w:val="1"/>
      <w:numFmt w:val="bullet"/>
      <w:lvlText w:val=""/>
      <w:lvlJc w:val="left"/>
      <w:pPr>
        <w:ind w:left="1800" w:hanging="360"/>
      </w:pPr>
      <w:rPr>
        <w:rFonts w:ascii="Wingdings" w:hAnsi="Wingdings" w:hint="default"/>
      </w:rPr>
    </w:lvl>
    <w:lvl w:ilvl="3" w:tplc="0C0A0001" w:tentative="1">
      <w:start w:val="1"/>
      <w:numFmt w:val="bullet"/>
      <w:lvlText w:val=""/>
      <w:lvlJc w:val="left"/>
      <w:pPr>
        <w:ind w:left="2520" w:hanging="360"/>
      </w:pPr>
      <w:rPr>
        <w:rFonts w:ascii="Symbol" w:hAnsi="Symbol" w:hint="default"/>
      </w:rPr>
    </w:lvl>
    <w:lvl w:ilvl="4" w:tplc="0C0A0003" w:tentative="1">
      <w:start w:val="1"/>
      <w:numFmt w:val="bullet"/>
      <w:lvlText w:val="o"/>
      <w:lvlJc w:val="left"/>
      <w:pPr>
        <w:ind w:left="3240" w:hanging="360"/>
      </w:pPr>
      <w:rPr>
        <w:rFonts w:ascii="Courier New" w:hAnsi="Courier New" w:cs="Courier New" w:hint="default"/>
      </w:rPr>
    </w:lvl>
    <w:lvl w:ilvl="5" w:tplc="0C0A0005" w:tentative="1">
      <w:start w:val="1"/>
      <w:numFmt w:val="bullet"/>
      <w:lvlText w:val=""/>
      <w:lvlJc w:val="left"/>
      <w:pPr>
        <w:ind w:left="3960" w:hanging="360"/>
      </w:pPr>
      <w:rPr>
        <w:rFonts w:ascii="Wingdings" w:hAnsi="Wingdings" w:hint="default"/>
      </w:rPr>
    </w:lvl>
    <w:lvl w:ilvl="6" w:tplc="0C0A0001" w:tentative="1">
      <w:start w:val="1"/>
      <w:numFmt w:val="bullet"/>
      <w:lvlText w:val=""/>
      <w:lvlJc w:val="left"/>
      <w:pPr>
        <w:ind w:left="4680" w:hanging="360"/>
      </w:pPr>
      <w:rPr>
        <w:rFonts w:ascii="Symbol" w:hAnsi="Symbol" w:hint="default"/>
      </w:rPr>
    </w:lvl>
    <w:lvl w:ilvl="7" w:tplc="0C0A0003" w:tentative="1">
      <w:start w:val="1"/>
      <w:numFmt w:val="bullet"/>
      <w:lvlText w:val="o"/>
      <w:lvlJc w:val="left"/>
      <w:pPr>
        <w:ind w:left="5400" w:hanging="360"/>
      </w:pPr>
      <w:rPr>
        <w:rFonts w:ascii="Courier New" w:hAnsi="Courier New" w:cs="Courier New" w:hint="default"/>
      </w:rPr>
    </w:lvl>
    <w:lvl w:ilvl="8" w:tplc="0C0A0005" w:tentative="1">
      <w:start w:val="1"/>
      <w:numFmt w:val="bullet"/>
      <w:lvlText w:val=""/>
      <w:lvlJc w:val="left"/>
      <w:pPr>
        <w:ind w:left="6120" w:hanging="360"/>
      </w:pPr>
      <w:rPr>
        <w:rFonts w:ascii="Wingdings" w:hAnsi="Wingdings" w:hint="default"/>
      </w:rPr>
    </w:lvl>
  </w:abstractNum>
  <w:num w:numId="1">
    <w:abstractNumId w:val="4"/>
  </w:num>
  <w:num w:numId="2">
    <w:abstractNumId w:val="7"/>
  </w:num>
  <w:num w:numId="3">
    <w:abstractNumId w:val="2"/>
  </w:num>
  <w:num w:numId="4">
    <w:abstractNumId w:val="1"/>
  </w:num>
  <w:num w:numId="5">
    <w:abstractNumId w:val="8"/>
  </w:num>
  <w:num w:numId="6">
    <w:abstractNumId w:val="3"/>
  </w:num>
  <w:num w:numId="7">
    <w:abstractNumId w:val="9"/>
  </w:num>
  <w:num w:numId="8">
    <w:abstractNumId w:val="4"/>
  </w:num>
  <w:num w:numId="9">
    <w:abstractNumId w:val="4"/>
  </w:num>
  <w:num w:numId="10">
    <w:abstractNumId w:val="4"/>
  </w:num>
  <w:num w:numId="11">
    <w:abstractNumId w:val="5"/>
  </w:num>
  <w:num w:numId="1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0"/>
  </w:num>
  <w:num w:numId="21">
    <w:abstractNumId w:val="10"/>
  </w:num>
  <w:num w:numId="2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hyphenationZone w:val="425"/>
  <w:characterSpacingControl w:val="doNotCompress"/>
  <w:hdrShapeDefaults>
    <o:shapedefaults v:ext="edit" spidmax="2252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C7FE3"/>
    <w:rsid w:val="000223F1"/>
    <w:rsid w:val="00032A1C"/>
    <w:rsid w:val="00040518"/>
    <w:rsid w:val="00042475"/>
    <w:rsid w:val="00044D43"/>
    <w:rsid w:val="0005682B"/>
    <w:rsid w:val="00063478"/>
    <w:rsid w:val="00063BCA"/>
    <w:rsid w:val="000735EC"/>
    <w:rsid w:val="000776EE"/>
    <w:rsid w:val="00083831"/>
    <w:rsid w:val="000A7583"/>
    <w:rsid w:val="000B2EDF"/>
    <w:rsid w:val="000D40B0"/>
    <w:rsid w:val="000D5498"/>
    <w:rsid w:val="000F1E01"/>
    <w:rsid w:val="00110577"/>
    <w:rsid w:val="00123A4F"/>
    <w:rsid w:val="00142009"/>
    <w:rsid w:val="00164177"/>
    <w:rsid w:val="001659CA"/>
    <w:rsid w:val="00167037"/>
    <w:rsid w:val="0018139F"/>
    <w:rsid w:val="001944B3"/>
    <w:rsid w:val="001A1AB4"/>
    <w:rsid w:val="001A467A"/>
    <w:rsid w:val="001C168F"/>
    <w:rsid w:val="001C2214"/>
    <w:rsid w:val="001C76F7"/>
    <w:rsid w:val="001D0463"/>
    <w:rsid w:val="001D2B6F"/>
    <w:rsid w:val="001F0AB8"/>
    <w:rsid w:val="00205BE9"/>
    <w:rsid w:val="002167E6"/>
    <w:rsid w:val="00232F74"/>
    <w:rsid w:val="002602A9"/>
    <w:rsid w:val="0026407A"/>
    <w:rsid w:val="00274AD1"/>
    <w:rsid w:val="00282C30"/>
    <w:rsid w:val="00292795"/>
    <w:rsid w:val="002C494F"/>
    <w:rsid w:val="002D2FC8"/>
    <w:rsid w:val="002D70E2"/>
    <w:rsid w:val="002E1263"/>
    <w:rsid w:val="002E3C18"/>
    <w:rsid w:val="002E78A1"/>
    <w:rsid w:val="002F40DA"/>
    <w:rsid w:val="002F51BE"/>
    <w:rsid w:val="0030301C"/>
    <w:rsid w:val="00306237"/>
    <w:rsid w:val="00310ABF"/>
    <w:rsid w:val="00311234"/>
    <w:rsid w:val="003168B2"/>
    <w:rsid w:val="0032466A"/>
    <w:rsid w:val="0032701E"/>
    <w:rsid w:val="00334E9B"/>
    <w:rsid w:val="003422B6"/>
    <w:rsid w:val="003477F2"/>
    <w:rsid w:val="00357E85"/>
    <w:rsid w:val="0037235D"/>
    <w:rsid w:val="003938A4"/>
    <w:rsid w:val="003B654F"/>
    <w:rsid w:val="003F5ABC"/>
    <w:rsid w:val="00401E7C"/>
    <w:rsid w:val="004201AE"/>
    <w:rsid w:val="00422447"/>
    <w:rsid w:val="00422D9B"/>
    <w:rsid w:val="00436475"/>
    <w:rsid w:val="0043688B"/>
    <w:rsid w:val="00446DFD"/>
    <w:rsid w:val="00460E10"/>
    <w:rsid w:val="0047461C"/>
    <w:rsid w:val="004B2610"/>
    <w:rsid w:val="004C4B95"/>
    <w:rsid w:val="004C7DB0"/>
    <w:rsid w:val="004D34EF"/>
    <w:rsid w:val="004D46E1"/>
    <w:rsid w:val="004D58BD"/>
    <w:rsid w:val="004F0162"/>
    <w:rsid w:val="004F3A8B"/>
    <w:rsid w:val="00507238"/>
    <w:rsid w:val="005150B9"/>
    <w:rsid w:val="00515734"/>
    <w:rsid w:val="005213EB"/>
    <w:rsid w:val="005270C3"/>
    <w:rsid w:val="005317E4"/>
    <w:rsid w:val="005337EF"/>
    <w:rsid w:val="00533B94"/>
    <w:rsid w:val="005457C2"/>
    <w:rsid w:val="00545CA5"/>
    <w:rsid w:val="00551E61"/>
    <w:rsid w:val="00564EE9"/>
    <w:rsid w:val="005672E8"/>
    <w:rsid w:val="005774B1"/>
    <w:rsid w:val="00581383"/>
    <w:rsid w:val="00586396"/>
    <w:rsid w:val="00593A2C"/>
    <w:rsid w:val="005B208A"/>
    <w:rsid w:val="005C171A"/>
    <w:rsid w:val="005D3BB2"/>
    <w:rsid w:val="005D6F41"/>
    <w:rsid w:val="005F7BC7"/>
    <w:rsid w:val="00610E56"/>
    <w:rsid w:val="006138E2"/>
    <w:rsid w:val="00617CE5"/>
    <w:rsid w:val="006255BB"/>
    <w:rsid w:val="00632383"/>
    <w:rsid w:val="006504F4"/>
    <w:rsid w:val="00653B59"/>
    <w:rsid w:val="00656CF0"/>
    <w:rsid w:val="006607FB"/>
    <w:rsid w:val="00660B64"/>
    <w:rsid w:val="006965AF"/>
    <w:rsid w:val="006A09AD"/>
    <w:rsid w:val="006A2860"/>
    <w:rsid w:val="006A57D8"/>
    <w:rsid w:val="006A6C44"/>
    <w:rsid w:val="006B21F3"/>
    <w:rsid w:val="006B6FB8"/>
    <w:rsid w:val="006B7B19"/>
    <w:rsid w:val="006C1FF9"/>
    <w:rsid w:val="006E2A16"/>
    <w:rsid w:val="007119EF"/>
    <w:rsid w:val="007467DB"/>
    <w:rsid w:val="00752B8D"/>
    <w:rsid w:val="00782C27"/>
    <w:rsid w:val="00787A2E"/>
    <w:rsid w:val="007A2640"/>
    <w:rsid w:val="007A4787"/>
    <w:rsid w:val="007A6741"/>
    <w:rsid w:val="007D32FC"/>
    <w:rsid w:val="007D6F6D"/>
    <w:rsid w:val="007F7EE3"/>
    <w:rsid w:val="008067B3"/>
    <w:rsid w:val="0081254C"/>
    <w:rsid w:val="00827830"/>
    <w:rsid w:val="008305A5"/>
    <w:rsid w:val="0083074D"/>
    <w:rsid w:val="00831C16"/>
    <w:rsid w:val="008354A9"/>
    <w:rsid w:val="00841E08"/>
    <w:rsid w:val="008432B0"/>
    <w:rsid w:val="008455CF"/>
    <w:rsid w:val="00846B0A"/>
    <w:rsid w:val="008560C0"/>
    <w:rsid w:val="0087298C"/>
    <w:rsid w:val="00872ED7"/>
    <w:rsid w:val="008776A1"/>
    <w:rsid w:val="00881604"/>
    <w:rsid w:val="008935D5"/>
    <w:rsid w:val="008966DB"/>
    <w:rsid w:val="00897440"/>
    <w:rsid w:val="008C507E"/>
    <w:rsid w:val="008E6A08"/>
    <w:rsid w:val="008E6BA3"/>
    <w:rsid w:val="008F23AA"/>
    <w:rsid w:val="008F23ED"/>
    <w:rsid w:val="008F796B"/>
    <w:rsid w:val="0092615E"/>
    <w:rsid w:val="0092758E"/>
    <w:rsid w:val="00936758"/>
    <w:rsid w:val="009510E7"/>
    <w:rsid w:val="0095287F"/>
    <w:rsid w:val="009552C4"/>
    <w:rsid w:val="009A585C"/>
    <w:rsid w:val="009B3537"/>
    <w:rsid w:val="009B420B"/>
    <w:rsid w:val="009C40A0"/>
    <w:rsid w:val="009D4E13"/>
    <w:rsid w:val="009E3AEF"/>
    <w:rsid w:val="009E3CC7"/>
    <w:rsid w:val="009E4FDA"/>
    <w:rsid w:val="00A30FA4"/>
    <w:rsid w:val="00A3761E"/>
    <w:rsid w:val="00A46336"/>
    <w:rsid w:val="00A464AA"/>
    <w:rsid w:val="00A670D5"/>
    <w:rsid w:val="00A84850"/>
    <w:rsid w:val="00A90C4C"/>
    <w:rsid w:val="00A91500"/>
    <w:rsid w:val="00A95AF5"/>
    <w:rsid w:val="00AA06FF"/>
    <w:rsid w:val="00AD3915"/>
    <w:rsid w:val="00AE1041"/>
    <w:rsid w:val="00AE7226"/>
    <w:rsid w:val="00B12944"/>
    <w:rsid w:val="00B31BF8"/>
    <w:rsid w:val="00B337EA"/>
    <w:rsid w:val="00B33EC6"/>
    <w:rsid w:val="00B37ABB"/>
    <w:rsid w:val="00B44E34"/>
    <w:rsid w:val="00B452D5"/>
    <w:rsid w:val="00B70FA5"/>
    <w:rsid w:val="00B73F0E"/>
    <w:rsid w:val="00B8735C"/>
    <w:rsid w:val="00B92081"/>
    <w:rsid w:val="00BA4865"/>
    <w:rsid w:val="00BA5500"/>
    <w:rsid w:val="00BA5B9C"/>
    <w:rsid w:val="00BC294F"/>
    <w:rsid w:val="00BE5420"/>
    <w:rsid w:val="00C01A82"/>
    <w:rsid w:val="00C059EC"/>
    <w:rsid w:val="00C2027A"/>
    <w:rsid w:val="00C41FEE"/>
    <w:rsid w:val="00C5382E"/>
    <w:rsid w:val="00C57711"/>
    <w:rsid w:val="00C61270"/>
    <w:rsid w:val="00C62024"/>
    <w:rsid w:val="00C72CEB"/>
    <w:rsid w:val="00C86972"/>
    <w:rsid w:val="00CB773B"/>
    <w:rsid w:val="00CD20DC"/>
    <w:rsid w:val="00CF44BD"/>
    <w:rsid w:val="00D043A4"/>
    <w:rsid w:val="00D30048"/>
    <w:rsid w:val="00D4713A"/>
    <w:rsid w:val="00D61AC0"/>
    <w:rsid w:val="00D77D01"/>
    <w:rsid w:val="00D85AD7"/>
    <w:rsid w:val="00D91806"/>
    <w:rsid w:val="00D94867"/>
    <w:rsid w:val="00D9521D"/>
    <w:rsid w:val="00DA232A"/>
    <w:rsid w:val="00DA3521"/>
    <w:rsid w:val="00DA5636"/>
    <w:rsid w:val="00DC28C5"/>
    <w:rsid w:val="00DC7FE3"/>
    <w:rsid w:val="00DD08ED"/>
    <w:rsid w:val="00DD40D3"/>
    <w:rsid w:val="00DD51D1"/>
    <w:rsid w:val="00DD51F6"/>
    <w:rsid w:val="00DD781C"/>
    <w:rsid w:val="00DF5B6B"/>
    <w:rsid w:val="00E00E2A"/>
    <w:rsid w:val="00E131F2"/>
    <w:rsid w:val="00E5136D"/>
    <w:rsid w:val="00E66AC5"/>
    <w:rsid w:val="00E71DFF"/>
    <w:rsid w:val="00E96D13"/>
    <w:rsid w:val="00EA11A2"/>
    <w:rsid w:val="00EA3CD8"/>
    <w:rsid w:val="00EB2C97"/>
    <w:rsid w:val="00EB3F6F"/>
    <w:rsid w:val="00ED7F4A"/>
    <w:rsid w:val="00EE7415"/>
    <w:rsid w:val="00EF2953"/>
    <w:rsid w:val="00F12F9C"/>
    <w:rsid w:val="00F278E4"/>
    <w:rsid w:val="00F27E93"/>
    <w:rsid w:val="00F3377F"/>
    <w:rsid w:val="00F36B1A"/>
    <w:rsid w:val="00F5686F"/>
    <w:rsid w:val="00F600C7"/>
    <w:rsid w:val="00F60B87"/>
    <w:rsid w:val="00F7034F"/>
    <w:rsid w:val="00F724B8"/>
    <w:rsid w:val="00F7418D"/>
    <w:rsid w:val="00F74662"/>
    <w:rsid w:val="00FB349A"/>
    <w:rsid w:val="00FB602A"/>
    <w:rsid w:val="00FC5873"/>
    <w:rsid w:val="00FC7237"/>
    <w:rsid w:val="00FC75D6"/>
    <w:rsid w:val="00FE055E"/>
    <w:rsid w:val="00FE6E75"/>
  </w:rsids>
  <m:mathPr>
    <m:mathFont m:val="Cambria Math"/>
    <m:brkBin m:val="before"/>
    <m:brkBinSub m:val="--"/>
    <m:smallFrac m:val="0"/>
    <m:dispDef/>
    <m:lMargin m:val="0"/>
    <m:rMargin m:val="0"/>
    <m:defJc m:val="centerGroup"/>
    <m:wrapIndent m:val="1440"/>
    <m:intLim m:val="subSup"/>
    <m:naryLim m:val="undOvr"/>
  </m:mathPr>
  <w:themeFontLang w:val="es-ES"/>
  <w:clrSchemeMapping w:bg1="light1" w:t1="dark1" w:bg2="light2" w:t2="dark2" w:accent1="accent1" w:accent2="accent2" w:accent3="accent3" w:accent4="accent4" w:accent5="accent5" w:accent6="accent6" w:hyperlink="hyperlink" w:followedHyperlink="followedHyperlink"/>
  <w:shapeDefaults>
    <o:shapedefaults v:ext="edit" spidmax="2252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caption" w:uiPriority="35" w:qFormat="1"/>
    <w:lsdException w:name="footnote reference"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270C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aliases w:val="fn,texto de nota al pie,Texto nota pie Car Car Car Car Car Car Car Car,Texto nota pie Car Car Car,Footnote Text Char Char Char Char Char Char,Texto nota pie Car Car Car Car Car,Texto nota pie Car1,Texto nota pie Car Car,F,f,ft"/>
    <w:basedOn w:val="Normal"/>
    <w:link w:val="FootnoteTextChar"/>
    <w:unhideWhenUsed/>
    <w:qFormat/>
    <w:rsid w:val="00DC7FE3"/>
    <w:pPr>
      <w:spacing w:after="0" w:line="240" w:lineRule="auto"/>
    </w:pPr>
    <w:rPr>
      <w:sz w:val="20"/>
      <w:szCs w:val="20"/>
    </w:rPr>
  </w:style>
  <w:style w:type="character" w:customStyle="1" w:styleId="FootnoteTextChar">
    <w:name w:val="Footnote Text Char"/>
    <w:aliases w:val="fn Char,texto de nota al pie Char,Texto nota pie Car Car Car Car Car Car Car Car Char,Texto nota pie Car Car Car Char,Footnote Text Char Char Char Char Char Char Char,Texto nota pie Car Car Car Car Car Char,Texto nota pie Car1 Char"/>
    <w:basedOn w:val="DefaultParagraphFont"/>
    <w:link w:val="FootnoteText"/>
    <w:rsid w:val="00DC7FE3"/>
    <w:rPr>
      <w:sz w:val="20"/>
      <w:szCs w:val="20"/>
    </w:rPr>
  </w:style>
  <w:style w:type="character" w:styleId="FootnoteReference">
    <w:name w:val="footnote reference"/>
    <w:aliases w:val="referencia nota al pie,Fußnotenzeichen DISS,16 Point,Superscript 6 Point,ftref,FC,Style 24,titulo 2,pie pddes,Ref,de nota al pie,Ref. de nota al pie.,Ref. de nota al pie EDEP,Footnote Reference Number,Footnote Reference_LVL6,fr"/>
    <w:basedOn w:val="DefaultParagraphFont"/>
    <w:unhideWhenUsed/>
    <w:qFormat/>
    <w:rsid w:val="00DC7FE3"/>
    <w:rPr>
      <w:vertAlign w:val="superscript"/>
    </w:rPr>
  </w:style>
  <w:style w:type="paragraph" w:customStyle="1" w:styleId="Chapter">
    <w:name w:val="Chapter"/>
    <w:basedOn w:val="Normal"/>
    <w:next w:val="Normal"/>
    <w:uiPriority w:val="99"/>
    <w:rsid w:val="00DC7FE3"/>
    <w:pPr>
      <w:keepNext/>
      <w:numPr>
        <w:numId w:val="1"/>
      </w:numPr>
      <w:tabs>
        <w:tab w:val="left" w:pos="1440"/>
      </w:tabs>
      <w:spacing w:before="240" w:after="240" w:line="240" w:lineRule="auto"/>
      <w:jc w:val="center"/>
    </w:pPr>
    <w:rPr>
      <w:rFonts w:ascii="Times New Roman" w:hAnsi="Times New Roman" w:cs="Times New Roman"/>
      <w:b/>
      <w:smallCaps/>
      <w:sz w:val="24"/>
      <w:szCs w:val="20"/>
    </w:rPr>
  </w:style>
  <w:style w:type="paragraph" w:customStyle="1" w:styleId="Paragraph">
    <w:name w:val="Paragraph"/>
    <w:aliases w:val="paragraph,p,PARAGRAPH,PG,pa,at"/>
    <w:basedOn w:val="BodyTextIndent"/>
    <w:link w:val="ParagraphChar"/>
    <w:qFormat/>
    <w:rsid w:val="00DC7FE3"/>
    <w:pPr>
      <w:spacing w:before="120" w:line="240" w:lineRule="auto"/>
      <w:ind w:left="0"/>
      <w:jc w:val="both"/>
      <w:outlineLvl w:val="1"/>
    </w:pPr>
    <w:rPr>
      <w:rFonts w:ascii="Times New Roman" w:hAnsi="Times New Roman" w:cs="Times New Roman"/>
      <w:sz w:val="24"/>
      <w:szCs w:val="20"/>
    </w:rPr>
  </w:style>
  <w:style w:type="paragraph" w:customStyle="1" w:styleId="subpar">
    <w:name w:val="subpar"/>
    <w:basedOn w:val="BodyTextIndent3"/>
    <w:uiPriority w:val="99"/>
    <w:rsid w:val="00DC7FE3"/>
    <w:pPr>
      <w:numPr>
        <w:ilvl w:val="2"/>
        <w:numId w:val="1"/>
      </w:numPr>
      <w:spacing w:before="120" w:line="240" w:lineRule="auto"/>
      <w:jc w:val="both"/>
      <w:outlineLvl w:val="2"/>
    </w:pPr>
    <w:rPr>
      <w:rFonts w:ascii="Times New Roman" w:hAnsi="Times New Roman" w:cs="Times New Roman"/>
      <w:sz w:val="24"/>
      <w:szCs w:val="20"/>
      <w:lang w:val="en-US"/>
    </w:rPr>
  </w:style>
  <w:style w:type="paragraph" w:customStyle="1" w:styleId="SubSubPar">
    <w:name w:val="SubSubPar"/>
    <w:basedOn w:val="subpar"/>
    <w:rsid w:val="00DC7FE3"/>
    <w:pPr>
      <w:numPr>
        <w:ilvl w:val="3"/>
      </w:numPr>
      <w:tabs>
        <w:tab w:val="clear" w:pos="3024"/>
        <w:tab w:val="left" w:pos="0"/>
        <w:tab w:val="num" w:pos="360"/>
        <w:tab w:val="num" w:pos="1296"/>
        <w:tab w:val="num" w:pos="2592"/>
      </w:tabs>
      <w:ind w:left="1296"/>
    </w:pPr>
  </w:style>
  <w:style w:type="character" w:customStyle="1" w:styleId="ParagraphChar">
    <w:name w:val="Paragraph Char"/>
    <w:aliases w:val="p Char,PARAGRAPH Char,PG Char,pa Char,at Char,paragraph Char"/>
    <w:basedOn w:val="DefaultParagraphFont"/>
    <w:link w:val="Paragraph"/>
    <w:rsid w:val="00DC7FE3"/>
    <w:rPr>
      <w:rFonts w:ascii="Times New Roman" w:hAnsi="Times New Roman" w:cs="Times New Roman"/>
      <w:sz w:val="24"/>
      <w:szCs w:val="20"/>
    </w:rPr>
  </w:style>
  <w:style w:type="character" w:styleId="CommentReference">
    <w:name w:val="annotation reference"/>
    <w:basedOn w:val="DefaultParagraphFont"/>
    <w:uiPriority w:val="99"/>
    <w:unhideWhenUsed/>
    <w:rsid w:val="00DC7FE3"/>
    <w:rPr>
      <w:sz w:val="16"/>
      <w:szCs w:val="16"/>
    </w:rPr>
  </w:style>
  <w:style w:type="paragraph" w:styleId="CommentText">
    <w:name w:val="annotation text"/>
    <w:basedOn w:val="Normal"/>
    <w:link w:val="CommentTextChar"/>
    <w:uiPriority w:val="99"/>
    <w:unhideWhenUsed/>
    <w:rsid w:val="00DC7FE3"/>
    <w:rPr>
      <w:rFonts w:ascii="Gotham Book" w:hAnsi="Gotham Book" w:cs="Times New Roman"/>
      <w:sz w:val="20"/>
      <w:szCs w:val="20"/>
      <w:lang w:val="en-US"/>
    </w:rPr>
  </w:style>
  <w:style w:type="character" w:customStyle="1" w:styleId="CommentTextChar">
    <w:name w:val="Comment Text Char"/>
    <w:basedOn w:val="DefaultParagraphFont"/>
    <w:link w:val="CommentText"/>
    <w:uiPriority w:val="99"/>
    <w:rsid w:val="00DC7FE3"/>
    <w:rPr>
      <w:rFonts w:ascii="Gotham Book" w:hAnsi="Gotham Book" w:cs="Times New Roman"/>
      <w:sz w:val="20"/>
      <w:szCs w:val="20"/>
      <w:lang w:val="en-US"/>
    </w:rPr>
  </w:style>
  <w:style w:type="paragraph" w:styleId="BodyTextIndent">
    <w:name w:val="Body Text Indent"/>
    <w:basedOn w:val="Normal"/>
    <w:link w:val="BodyTextIndentChar"/>
    <w:uiPriority w:val="99"/>
    <w:semiHidden/>
    <w:unhideWhenUsed/>
    <w:rsid w:val="00DC7FE3"/>
    <w:pPr>
      <w:spacing w:after="120"/>
      <w:ind w:left="360"/>
    </w:pPr>
  </w:style>
  <w:style w:type="character" w:customStyle="1" w:styleId="BodyTextIndentChar">
    <w:name w:val="Body Text Indent Char"/>
    <w:basedOn w:val="DefaultParagraphFont"/>
    <w:link w:val="BodyTextIndent"/>
    <w:uiPriority w:val="99"/>
    <w:semiHidden/>
    <w:rsid w:val="00DC7FE3"/>
  </w:style>
  <w:style w:type="paragraph" w:styleId="BodyTextIndent3">
    <w:name w:val="Body Text Indent 3"/>
    <w:basedOn w:val="Normal"/>
    <w:link w:val="BodyTextIndent3Char"/>
    <w:uiPriority w:val="99"/>
    <w:semiHidden/>
    <w:unhideWhenUsed/>
    <w:rsid w:val="00DC7FE3"/>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DC7FE3"/>
    <w:rPr>
      <w:sz w:val="16"/>
      <w:szCs w:val="16"/>
    </w:rPr>
  </w:style>
  <w:style w:type="paragraph" w:styleId="BalloonText">
    <w:name w:val="Balloon Text"/>
    <w:basedOn w:val="Normal"/>
    <w:link w:val="BalloonTextChar"/>
    <w:uiPriority w:val="99"/>
    <w:semiHidden/>
    <w:unhideWhenUsed/>
    <w:rsid w:val="00DC7FE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C7FE3"/>
    <w:rPr>
      <w:rFonts w:ascii="Tahoma" w:hAnsi="Tahoma" w:cs="Tahoma"/>
      <w:sz w:val="16"/>
      <w:szCs w:val="16"/>
    </w:rPr>
  </w:style>
  <w:style w:type="paragraph" w:styleId="ListParagraph">
    <w:name w:val="List Paragraph"/>
    <w:basedOn w:val="Normal"/>
    <w:uiPriority w:val="34"/>
    <w:qFormat/>
    <w:rsid w:val="00846B0A"/>
    <w:pPr>
      <w:ind w:left="720"/>
      <w:contextualSpacing/>
    </w:pPr>
  </w:style>
  <w:style w:type="table" w:styleId="TableGrid">
    <w:name w:val="Table Grid"/>
    <w:basedOn w:val="TableNormal"/>
    <w:uiPriority w:val="59"/>
    <w:rsid w:val="00872E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eNormal"/>
    <w:uiPriority w:val="59"/>
    <w:rsid w:val="00897440"/>
    <w:pPr>
      <w:spacing w:after="0" w:line="240" w:lineRule="auto"/>
    </w:pPr>
    <w:rPr>
      <w:rFonts w:ascii="Calibri" w:eastAsia="Calibri" w:hAnsi="Calibri" w:cs="Times New Roman"/>
      <w:lang w:val="es-P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881604"/>
    <w:pPr>
      <w:tabs>
        <w:tab w:val="center" w:pos="4513"/>
        <w:tab w:val="right" w:pos="9026"/>
      </w:tabs>
      <w:spacing w:after="0" w:line="240" w:lineRule="auto"/>
    </w:pPr>
  </w:style>
  <w:style w:type="character" w:customStyle="1" w:styleId="HeaderChar">
    <w:name w:val="Header Char"/>
    <w:basedOn w:val="DefaultParagraphFont"/>
    <w:link w:val="Header"/>
    <w:uiPriority w:val="99"/>
    <w:rsid w:val="00881604"/>
  </w:style>
  <w:style w:type="paragraph" w:styleId="Footer">
    <w:name w:val="footer"/>
    <w:basedOn w:val="Normal"/>
    <w:link w:val="FooterChar"/>
    <w:uiPriority w:val="99"/>
    <w:unhideWhenUsed/>
    <w:rsid w:val="00881604"/>
    <w:pPr>
      <w:tabs>
        <w:tab w:val="center" w:pos="4513"/>
        <w:tab w:val="right" w:pos="9026"/>
      </w:tabs>
      <w:spacing w:after="0" w:line="240" w:lineRule="auto"/>
    </w:pPr>
  </w:style>
  <w:style w:type="character" w:customStyle="1" w:styleId="FooterChar">
    <w:name w:val="Footer Char"/>
    <w:basedOn w:val="DefaultParagraphFont"/>
    <w:link w:val="Footer"/>
    <w:uiPriority w:val="99"/>
    <w:rsid w:val="00881604"/>
  </w:style>
  <w:style w:type="paragraph" w:customStyle="1" w:styleId="Default">
    <w:name w:val="Default"/>
    <w:rsid w:val="007A6741"/>
    <w:pPr>
      <w:autoSpaceDE w:val="0"/>
      <w:autoSpaceDN w:val="0"/>
      <w:adjustRightInd w:val="0"/>
      <w:spacing w:after="0" w:line="240" w:lineRule="auto"/>
    </w:pPr>
    <w:rPr>
      <w:rFonts w:ascii="Arial" w:hAnsi="Arial" w:cs="Arial"/>
      <w:color w:val="000000"/>
      <w:sz w:val="24"/>
      <w:szCs w:val="24"/>
    </w:rPr>
  </w:style>
  <w:style w:type="character" w:styleId="Hyperlink">
    <w:name w:val="Hyperlink"/>
    <w:basedOn w:val="DefaultParagraphFont"/>
    <w:uiPriority w:val="99"/>
    <w:unhideWhenUsed/>
    <w:rsid w:val="00110577"/>
    <w:rPr>
      <w:color w:val="0000FF" w:themeColor="hyperlink"/>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s-E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qFormat="1"/>
    <w:lsdException w:name="caption" w:uiPriority="35" w:qFormat="1"/>
    <w:lsdException w:name="footnote reference"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270C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aliases w:val="fn,texto de nota al pie,Texto nota pie Car Car Car Car Car Car Car Car,Texto nota pie Car Car Car,Footnote Text Char Char Char Char Char Char,Texto nota pie Car Car Car Car Car,Texto nota pie Car1,Texto nota pie Car Car,F,f,ft"/>
    <w:basedOn w:val="Normal"/>
    <w:link w:val="FootnoteTextChar"/>
    <w:unhideWhenUsed/>
    <w:qFormat/>
    <w:rsid w:val="00DC7FE3"/>
    <w:pPr>
      <w:spacing w:after="0" w:line="240" w:lineRule="auto"/>
    </w:pPr>
    <w:rPr>
      <w:sz w:val="20"/>
      <w:szCs w:val="20"/>
    </w:rPr>
  </w:style>
  <w:style w:type="character" w:customStyle="1" w:styleId="FootnoteTextChar">
    <w:name w:val="Footnote Text Char"/>
    <w:aliases w:val="fn Char,texto de nota al pie Char,Texto nota pie Car Car Car Car Car Car Car Car Char,Texto nota pie Car Car Car Char,Footnote Text Char Char Char Char Char Char Char,Texto nota pie Car Car Car Car Car Char,Texto nota pie Car1 Char"/>
    <w:basedOn w:val="DefaultParagraphFont"/>
    <w:link w:val="FootnoteText"/>
    <w:rsid w:val="00DC7FE3"/>
    <w:rPr>
      <w:sz w:val="20"/>
      <w:szCs w:val="20"/>
    </w:rPr>
  </w:style>
  <w:style w:type="character" w:styleId="FootnoteReference">
    <w:name w:val="footnote reference"/>
    <w:aliases w:val="referencia nota al pie,Fußnotenzeichen DISS,16 Point,Superscript 6 Point,ftref,FC,Style 24,titulo 2,pie pddes,Ref,de nota al pie,Ref. de nota al pie.,Ref. de nota al pie EDEP,Footnote Reference Number,Footnote Reference_LVL6,fr"/>
    <w:basedOn w:val="DefaultParagraphFont"/>
    <w:unhideWhenUsed/>
    <w:qFormat/>
    <w:rsid w:val="00DC7FE3"/>
    <w:rPr>
      <w:vertAlign w:val="superscript"/>
    </w:rPr>
  </w:style>
  <w:style w:type="paragraph" w:customStyle="1" w:styleId="Chapter">
    <w:name w:val="Chapter"/>
    <w:basedOn w:val="Normal"/>
    <w:next w:val="Normal"/>
    <w:uiPriority w:val="99"/>
    <w:rsid w:val="00DC7FE3"/>
    <w:pPr>
      <w:keepNext/>
      <w:numPr>
        <w:numId w:val="1"/>
      </w:numPr>
      <w:tabs>
        <w:tab w:val="left" w:pos="1440"/>
      </w:tabs>
      <w:spacing w:before="240" w:after="240" w:line="240" w:lineRule="auto"/>
      <w:jc w:val="center"/>
    </w:pPr>
    <w:rPr>
      <w:rFonts w:ascii="Times New Roman" w:hAnsi="Times New Roman" w:cs="Times New Roman"/>
      <w:b/>
      <w:smallCaps/>
      <w:sz w:val="24"/>
      <w:szCs w:val="20"/>
    </w:rPr>
  </w:style>
  <w:style w:type="paragraph" w:customStyle="1" w:styleId="Paragraph">
    <w:name w:val="Paragraph"/>
    <w:aliases w:val="paragraph,p,PARAGRAPH,PG,pa,at"/>
    <w:basedOn w:val="BodyTextIndent"/>
    <w:link w:val="ParagraphChar"/>
    <w:qFormat/>
    <w:rsid w:val="00DC7FE3"/>
    <w:pPr>
      <w:spacing w:before="120" w:line="240" w:lineRule="auto"/>
      <w:ind w:left="0"/>
      <w:jc w:val="both"/>
      <w:outlineLvl w:val="1"/>
    </w:pPr>
    <w:rPr>
      <w:rFonts w:ascii="Times New Roman" w:hAnsi="Times New Roman" w:cs="Times New Roman"/>
      <w:sz w:val="24"/>
      <w:szCs w:val="20"/>
    </w:rPr>
  </w:style>
  <w:style w:type="paragraph" w:customStyle="1" w:styleId="subpar">
    <w:name w:val="subpar"/>
    <w:basedOn w:val="BodyTextIndent3"/>
    <w:uiPriority w:val="99"/>
    <w:rsid w:val="00DC7FE3"/>
    <w:pPr>
      <w:numPr>
        <w:ilvl w:val="2"/>
        <w:numId w:val="1"/>
      </w:numPr>
      <w:spacing w:before="120" w:line="240" w:lineRule="auto"/>
      <w:jc w:val="both"/>
      <w:outlineLvl w:val="2"/>
    </w:pPr>
    <w:rPr>
      <w:rFonts w:ascii="Times New Roman" w:hAnsi="Times New Roman" w:cs="Times New Roman"/>
      <w:sz w:val="24"/>
      <w:szCs w:val="20"/>
      <w:lang w:val="en-US"/>
    </w:rPr>
  </w:style>
  <w:style w:type="paragraph" w:customStyle="1" w:styleId="SubSubPar">
    <w:name w:val="SubSubPar"/>
    <w:basedOn w:val="subpar"/>
    <w:rsid w:val="00DC7FE3"/>
    <w:pPr>
      <w:numPr>
        <w:ilvl w:val="3"/>
      </w:numPr>
      <w:tabs>
        <w:tab w:val="clear" w:pos="3024"/>
        <w:tab w:val="left" w:pos="0"/>
        <w:tab w:val="num" w:pos="360"/>
        <w:tab w:val="num" w:pos="1296"/>
        <w:tab w:val="num" w:pos="2592"/>
      </w:tabs>
      <w:ind w:left="1296"/>
    </w:pPr>
  </w:style>
  <w:style w:type="character" w:customStyle="1" w:styleId="ParagraphChar">
    <w:name w:val="Paragraph Char"/>
    <w:aliases w:val="p Char,PARAGRAPH Char,PG Char,pa Char,at Char,paragraph Char"/>
    <w:basedOn w:val="DefaultParagraphFont"/>
    <w:link w:val="Paragraph"/>
    <w:rsid w:val="00DC7FE3"/>
    <w:rPr>
      <w:rFonts w:ascii="Times New Roman" w:hAnsi="Times New Roman" w:cs="Times New Roman"/>
      <w:sz w:val="24"/>
      <w:szCs w:val="20"/>
    </w:rPr>
  </w:style>
  <w:style w:type="character" w:styleId="CommentReference">
    <w:name w:val="annotation reference"/>
    <w:basedOn w:val="DefaultParagraphFont"/>
    <w:uiPriority w:val="99"/>
    <w:unhideWhenUsed/>
    <w:rsid w:val="00DC7FE3"/>
    <w:rPr>
      <w:sz w:val="16"/>
      <w:szCs w:val="16"/>
    </w:rPr>
  </w:style>
  <w:style w:type="paragraph" w:styleId="CommentText">
    <w:name w:val="annotation text"/>
    <w:basedOn w:val="Normal"/>
    <w:link w:val="CommentTextChar"/>
    <w:uiPriority w:val="99"/>
    <w:unhideWhenUsed/>
    <w:rsid w:val="00DC7FE3"/>
    <w:rPr>
      <w:rFonts w:ascii="Gotham Book" w:hAnsi="Gotham Book" w:cs="Times New Roman"/>
      <w:sz w:val="20"/>
      <w:szCs w:val="20"/>
      <w:lang w:val="en-US"/>
    </w:rPr>
  </w:style>
  <w:style w:type="character" w:customStyle="1" w:styleId="CommentTextChar">
    <w:name w:val="Comment Text Char"/>
    <w:basedOn w:val="DefaultParagraphFont"/>
    <w:link w:val="CommentText"/>
    <w:uiPriority w:val="99"/>
    <w:rsid w:val="00DC7FE3"/>
    <w:rPr>
      <w:rFonts w:ascii="Gotham Book" w:hAnsi="Gotham Book" w:cs="Times New Roman"/>
      <w:sz w:val="20"/>
      <w:szCs w:val="20"/>
      <w:lang w:val="en-US"/>
    </w:rPr>
  </w:style>
  <w:style w:type="paragraph" w:styleId="BodyTextIndent">
    <w:name w:val="Body Text Indent"/>
    <w:basedOn w:val="Normal"/>
    <w:link w:val="BodyTextIndentChar"/>
    <w:uiPriority w:val="99"/>
    <w:semiHidden/>
    <w:unhideWhenUsed/>
    <w:rsid w:val="00DC7FE3"/>
    <w:pPr>
      <w:spacing w:after="120"/>
      <w:ind w:left="360"/>
    </w:pPr>
  </w:style>
  <w:style w:type="character" w:customStyle="1" w:styleId="BodyTextIndentChar">
    <w:name w:val="Body Text Indent Char"/>
    <w:basedOn w:val="DefaultParagraphFont"/>
    <w:link w:val="BodyTextIndent"/>
    <w:uiPriority w:val="99"/>
    <w:semiHidden/>
    <w:rsid w:val="00DC7FE3"/>
  </w:style>
  <w:style w:type="paragraph" w:styleId="BodyTextIndent3">
    <w:name w:val="Body Text Indent 3"/>
    <w:basedOn w:val="Normal"/>
    <w:link w:val="BodyTextIndent3Char"/>
    <w:uiPriority w:val="99"/>
    <w:semiHidden/>
    <w:unhideWhenUsed/>
    <w:rsid w:val="00DC7FE3"/>
    <w:pPr>
      <w:spacing w:after="120"/>
      <w:ind w:left="360"/>
    </w:pPr>
    <w:rPr>
      <w:sz w:val="16"/>
      <w:szCs w:val="16"/>
    </w:rPr>
  </w:style>
  <w:style w:type="character" w:customStyle="1" w:styleId="BodyTextIndent3Char">
    <w:name w:val="Body Text Indent 3 Char"/>
    <w:basedOn w:val="DefaultParagraphFont"/>
    <w:link w:val="BodyTextIndent3"/>
    <w:uiPriority w:val="99"/>
    <w:semiHidden/>
    <w:rsid w:val="00DC7FE3"/>
    <w:rPr>
      <w:sz w:val="16"/>
      <w:szCs w:val="16"/>
    </w:rPr>
  </w:style>
  <w:style w:type="paragraph" w:styleId="BalloonText">
    <w:name w:val="Balloon Text"/>
    <w:basedOn w:val="Normal"/>
    <w:link w:val="BalloonTextChar"/>
    <w:uiPriority w:val="99"/>
    <w:semiHidden/>
    <w:unhideWhenUsed/>
    <w:rsid w:val="00DC7FE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DC7FE3"/>
    <w:rPr>
      <w:rFonts w:ascii="Tahoma" w:hAnsi="Tahoma" w:cs="Tahoma"/>
      <w:sz w:val="16"/>
      <w:szCs w:val="16"/>
    </w:rPr>
  </w:style>
  <w:style w:type="paragraph" w:styleId="ListParagraph">
    <w:name w:val="List Paragraph"/>
    <w:basedOn w:val="Normal"/>
    <w:uiPriority w:val="34"/>
    <w:qFormat/>
    <w:rsid w:val="00846B0A"/>
    <w:pPr>
      <w:ind w:left="720"/>
      <w:contextualSpacing/>
    </w:pPr>
  </w:style>
  <w:style w:type="table" w:styleId="TableGrid">
    <w:name w:val="Table Grid"/>
    <w:basedOn w:val="TableNormal"/>
    <w:uiPriority w:val="59"/>
    <w:rsid w:val="00872ED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5">
    <w:name w:val="Tabla con cuadrícula5"/>
    <w:basedOn w:val="TableNormal"/>
    <w:uiPriority w:val="59"/>
    <w:rsid w:val="00897440"/>
    <w:pPr>
      <w:spacing w:after="0" w:line="240" w:lineRule="auto"/>
    </w:pPr>
    <w:rPr>
      <w:rFonts w:ascii="Calibri" w:eastAsia="Calibri" w:hAnsi="Calibri" w:cs="Times New Roman"/>
      <w:lang w:val="es-PE"/>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unhideWhenUsed/>
    <w:rsid w:val="00881604"/>
    <w:pPr>
      <w:tabs>
        <w:tab w:val="center" w:pos="4513"/>
        <w:tab w:val="right" w:pos="9026"/>
      </w:tabs>
      <w:spacing w:after="0" w:line="240" w:lineRule="auto"/>
    </w:pPr>
  </w:style>
  <w:style w:type="character" w:customStyle="1" w:styleId="HeaderChar">
    <w:name w:val="Header Char"/>
    <w:basedOn w:val="DefaultParagraphFont"/>
    <w:link w:val="Header"/>
    <w:uiPriority w:val="99"/>
    <w:rsid w:val="00881604"/>
  </w:style>
  <w:style w:type="paragraph" w:styleId="Footer">
    <w:name w:val="footer"/>
    <w:basedOn w:val="Normal"/>
    <w:link w:val="FooterChar"/>
    <w:uiPriority w:val="99"/>
    <w:unhideWhenUsed/>
    <w:rsid w:val="00881604"/>
    <w:pPr>
      <w:tabs>
        <w:tab w:val="center" w:pos="4513"/>
        <w:tab w:val="right" w:pos="9026"/>
      </w:tabs>
      <w:spacing w:after="0" w:line="240" w:lineRule="auto"/>
    </w:pPr>
  </w:style>
  <w:style w:type="character" w:customStyle="1" w:styleId="FooterChar">
    <w:name w:val="Footer Char"/>
    <w:basedOn w:val="DefaultParagraphFont"/>
    <w:link w:val="Footer"/>
    <w:uiPriority w:val="99"/>
    <w:rsid w:val="00881604"/>
  </w:style>
  <w:style w:type="paragraph" w:customStyle="1" w:styleId="Default">
    <w:name w:val="Default"/>
    <w:rsid w:val="007A6741"/>
    <w:pPr>
      <w:autoSpaceDE w:val="0"/>
      <w:autoSpaceDN w:val="0"/>
      <w:adjustRightInd w:val="0"/>
      <w:spacing w:after="0" w:line="240" w:lineRule="auto"/>
    </w:pPr>
    <w:rPr>
      <w:rFonts w:ascii="Arial" w:hAnsi="Arial" w:cs="Arial"/>
      <w:color w:val="000000"/>
      <w:sz w:val="24"/>
      <w:szCs w:val="24"/>
    </w:rPr>
  </w:style>
  <w:style w:type="character" w:styleId="Hyperlink">
    <w:name w:val="Hyperlink"/>
    <w:basedOn w:val="DefaultParagraphFont"/>
    <w:uiPriority w:val="99"/>
    <w:unhideWhenUsed/>
    <w:rsid w:val="00110577"/>
    <w:rPr>
      <w:color w:val="0000FF"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9645634">
      <w:bodyDiv w:val="1"/>
      <w:marLeft w:val="0"/>
      <w:marRight w:val="0"/>
      <w:marTop w:val="0"/>
      <w:marBottom w:val="0"/>
      <w:divBdr>
        <w:top w:val="none" w:sz="0" w:space="0" w:color="auto"/>
        <w:left w:val="none" w:sz="0" w:space="0" w:color="auto"/>
        <w:bottom w:val="none" w:sz="0" w:space="0" w:color="auto"/>
        <w:right w:val="none" w:sz="0" w:space="0" w:color="auto"/>
      </w:divBdr>
    </w:div>
    <w:div w:id="815344926">
      <w:bodyDiv w:val="1"/>
      <w:marLeft w:val="0"/>
      <w:marRight w:val="0"/>
      <w:marTop w:val="0"/>
      <w:marBottom w:val="0"/>
      <w:divBdr>
        <w:top w:val="none" w:sz="0" w:space="0" w:color="auto"/>
        <w:left w:val="none" w:sz="0" w:space="0" w:color="auto"/>
        <w:bottom w:val="none" w:sz="0" w:space="0" w:color="auto"/>
        <w:right w:val="none" w:sz="0" w:space="0" w:color="auto"/>
      </w:divBdr>
    </w:div>
    <w:div w:id="941189160">
      <w:bodyDiv w:val="1"/>
      <w:marLeft w:val="0"/>
      <w:marRight w:val="0"/>
      <w:marTop w:val="0"/>
      <w:marBottom w:val="0"/>
      <w:divBdr>
        <w:top w:val="none" w:sz="0" w:space="0" w:color="auto"/>
        <w:left w:val="none" w:sz="0" w:space="0" w:color="auto"/>
        <w:bottom w:val="none" w:sz="0" w:space="0" w:color="auto"/>
        <w:right w:val="none" w:sz="0" w:space="0" w:color="auto"/>
      </w:divBdr>
    </w:div>
    <w:div w:id="1104567975">
      <w:bodyDiv w:val="1"/>
      <w:marLeft w:val="0"/>
      <w:marRight w:val="0"/>
      <w:marTop w:val="0"/>
      <w:marBottom w:val="0"/>
      <w:divBdr>
        <w:top w:val="none" w:sz="0" w:space="0" w:color="auto"/>
        <w:left w:val="none" w:sz="0" w:space="0" w:color="auto"/>
        <w:bottom w:val="none" w:sz="0" w:space="0" w:color="auto"/>
        <w:right w:val="none" w:sz="0" w:space="0" w:color="auto"/>
      </w:divBdr>
    </w:div>
    <w:div w:id="1232277622">
      <w:bodyDiv w:val="1"/>
      <w:marLeft w:val="0"/>
      <w:marRight w:val="0"/>
      <w:marTop w:val="0"/>
      <w:marBottom w:val="0"/>
      <w:divBdr>
        <w:top w:val="none" w:sz="0" w:space="0" w:color="auto"/>
        <w:left w:val="none" w:sz="0" w:space="0" w:color="auto"/>
        <w:bottom w:val="none" w:sz="0" w:space="0" w:color="auto"/>
        <w:right w:val="none" w:sz="0" w:space="0" w:color="auto"/>
      </w:divBdr>
    </w:div>
    <w:div w:id="214323285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emf"/><Relationship Id="rId18" Type="http://schemas.openxmlformats.org/officeDocument/2006/relationships/fontTable" Target="fontTable.xml"/><Relationship Id="rId26" Type="http://schemas.openxmlformats.org/officeDocument/2006/relationships/customXml" Target="../customXml/item8.xml"/><Relationship Id="rId3" Type="http://schemas.openxmlformats.org/officeDocument/2006/relationships/styles" Target="styles.xml"/><Relationship Id="rId21" Type="http://schemas.openxmlformats.org/officeDocument/2006/relationships/customXml" Target="../customXml/item3.xml"/><Relationship Id="rId7" Type="http://schemas.openxmlformats.org/officeDocument/2006/relationships/footnotes" Target="footnotes.xml"/><Relationship Id="rId12" Type="http://schemas.openxmlformats.org/officeDocument/2006/relationships/image" Target="media/image4.emf"/><Relationship Id="rId17"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customXml" Target="../customXml/item2.xml"/><Relationship Id="rId24" Type="http://schemas.openxmlformats.org/officeDocument/2006/relationships/customXml" Target="../customXml/item6.xml"/><Relationship Id="rId6" Type="http://schemas.openxmlformats.org/officeDocument/2006/relationships/webSettings" Target="webSettings.xml"/><Relationship Id="rId11" Type="http://schemas.openxmlformats.org/officeDocument/2006/relationships/image" Target="media/image3.emf"/><Relationship Id="rId5" Type="http://schemas.openxmlformats.org/officeDocument/2006/relationships/settings" Target="settings.xml"/><Relationship Id="rId15" Type="http://schemas.openxmlformats.org/officeDocument/2006/relationships/image" Target="media/image7.emf"/><Relationship Id="rId23" Type="http://schemas.openxmlformats.org/officeDocument/2006/relationships/customXml" Target="../customXml/item5.xml"/><Relationship Id="rId10" Type="http://schemas.openxmlformats.org/officeDocument/2006/relationships/image" Target="media/image2.emf"/><Relationship Id="rId19"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emf"/><Relationship Id="rId22" Type="http://schemas.openxmlformats.org/officeDocument/2006/relationships/customXml" Target="../customXml/item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_rels/item7.xml.rels><?xml version="1.0" encoding="UTF-8" standalone="yes"?>
<Relationships xmlns="http://schemas.openxmlformats.org/package/2006/relationships"><Relationship Id="rId1" Type="http://schemas.openxmlformats.org/officeDocument/2006/relationships/customXmlProps" Target="itemProps7.xml"/></Relationships>
</file>

<file path=customXml/_rels/item8.xml.rels><?xml version="1.0" encoding="UTF-8" standalone="yes"?>
<Relationships xmlns="http://schemas.openxmlformats.org/package/2006/relationships"><Relationship Id="rId1" Type="http://schemas.openxmlformats.org/officeDocument/2006/relationships/customXmlProps" Target="itemProps8.xml"/></Relationships>
</file>

<file path=customXml/item1.xml><?xml version="1.0" encoding="utf-8"?>
<ct:contentTypeSchema xmlns:ct="http://schemas.microsoft.com/office/2006/metadata/contentType" xmlns:ma="http://schemas.microsoft.com/office/2006/metadata/properties/metaAttributes" ct:_="" ma:_="" ma:contentTypeName="ez-Operations" ma:contentTypeID="0x010100ACF722E9F6B0B149B0CD8BE2560A667200B01F46920648164C91010A5EC6381DAC" ma:contentTypeVersion="20" ma:contentTypeDescription="The base project type from which other project content types inherit their information." ma:contentTypeScope="" ma:versionID="565629ecd7f63b15178d0d08cc525d8b">
  <xsd:schema xmlns:xsd="http://www.w3.org/2001/XMLSchema" xmlns:xs="http://www.w3.org/2001/XMLSchema" xmlns:p="http://schemas.microsoft.com/office/2006/metadata/properties" xmlns:ns2="cdc7663a-08f0-4737-9e8c-148ce897a09c" targetNamespace="http://schemas.microsoft.com/office/2006/metadata/properties" ma:root="true" ma:fieldsID="9226591c17a5fd9591ac09c8f5aa6479" ns2:_="">
    <xsd:import namespace="cdc7663a-08f0-4737-9e8c-148ce897a09c"/>
    <xsd:element name="properties">
      <xsd:complexType>
        <xsd:sequence>
          <xsd:element name="documentManagement">
            <xsd:complexType>
              <xsd:all>
                <xsd:element ref="ns2:_dlc_DocId" minOccurs="0"/>
                <xsd:element ref="ns2:_dlc_DocIdUrl" minOccurs="0"/>
                <xsd:element ref="ns2:_dlc_DocIdPersistId" minOccurs="0"/>
                <xsd:element ref="ns2:b26cdb1da78c4bb4b1c1bac2f6ac5911" minOccurs="0"/>
                <xsd:element ref="ns2:TaxCatchAll" minOccurs="0"/>
                <xsd:element ref="ns2:TaxCatchAllLabel" minOccurs="0"/>
                <xsd:element ref="ns2:Project_x0020_Number"/>
                <xsd:element ref="ns2:Access_x0020_to_x0020_Information_x00a0_Policy"/>
                <xsd:element ref="ns2:Document_x0020_Author" minOccurs="0"/>
                <xsd:element ref="ns2:Other_x0020_Author" minOccurs="0"/>
                <xsd:element ref="ns2:Approval_x0020_Number" minOccurs="0"/>
                <xsd:element ref="ns2:g511464f9e53401d84b16fa9b379a574" minOccurs="0"/>
                <xsd:element ref="ns2:Division_x0020_or_x0020_Unit" minOccurs="0"/>
                <xsd:element ref="ns2:Document_x0020_Language_x0020_IDB" minOccurs="0"/>
                <xsd:element ref="ns2:From_x003a_" minOccurs="0"/>
                <xsd:element ref="ns2:To_x003a_" minOccurs="0"/>
                <xsd:element ref="ns2:Identifier" minOccurs="0"/>
                <xsd:element ref="ns2:Fiscal_x0020_Year_x0020_IDB" minOccurs="0"/>
                <xsd:element ref="ns2:ic46d7e087fd4a108fb86518ca413cc6" minOccurs="0"/>
                <xsd:element ref="ns2:nddeef1749674d76abdbe4b239a70bc6" minOccurs="0"/>
                <xsd:element ref="ns2:b2ec7cfb18674cb8803df6b262e8b107" minOccurs="0"/>
                <xsd:element ref="ns2:Phase" minOccurs="0"/>
                <xsd:element ref="ns2:Key_x0020_Document" minOccurs="0"/>
                <xsd:element ref="ns2:Business_x0020_Area" minOccurs="0"/>
                <xsd:element ref="ns2:Project_x0020_Document_x0020_Type" minOccurs="0"/>
                <xsd:element ref="ns2:Operation_x0020_Type" minOccurs="0"/>
                <xsd:element ref="ns2:Package_x0020_Code" minOccurs="0"/>
                <xsd:element ref="ns2:e46fe2894295491da65140ffd2369f49" minOccurs="0"/>
                <xsd:element ref="ns2:SISCOR_x0020_Number" minOccurs="0"/>
                <xsd:element ref="ns2:IDBDocs_x0020_Number" minOccurs="0"/>
                <xsd:element ref="ns2:Migration_x0020_Info" minOccurs="0"/>
                <xsd:element ref="ns2:Record_x0020_Numb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c7663a-08f0-4737-9e8c-148ce897a09c"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b26cdb1da78c4bb4b1c1bac2f6ac5911" ma:index="11" nillable="true" ma:taxonomy="true" ma:internalName="b26cdb1da78c4bb4b1c1bac2f6ac5911" ma:taxonomyFieldName="Series_x0020_Operations_x0020_IDB" ma:displayName="Series Operations IDB" ma:default="" ma:fieldId="{b26cdb1d-a78c-4bb4-b1c1-bac2f6ac5911}" ma:sspId="ae61f9b1-e23d-4f49-b3d7-56b991556c4b" ma:termSetId="aa8fb583-e935-416d-8a2e-4b97a8eb0684"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a21e8572-655e-4c0d-bfdb-c52ee7bb5839}" ma:internalName="TaxCatchAll" ma:showField="CatchAllData"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a21e8572-655e-4c0d-bfdb-c52ee7bb5839}" ma:internalName="TaxCatchAllLabel" ma:readOnly="true" ma:showField="CatchAllDataLabel"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Project_x0020_Number" ma:index="15" ma:displayName="Project Number" ma:internalName="Project_x0020_Number">
      <xsd:simpleType>
        <xsd:restriction base="dms:Text">
          <xsd:maxLength value="255"/>
        </xsd:restriction>
      </xsd:simpleType>
    </xsd:element>
    <xsd:element name="Access_x0020_to_x0020_Information_x00a0_Policy" ma:index="16" ma:displayName="Access to Information Policy" ma:default="Confidential" ma:format="Dropdown" ma:internalName="Access_x0020_to_x0020_Information_x00A0_Policy">
      <xsd:simpleType>
        <xsd:restriction base="dms:Choice">
          <xsd:enumeration value="Confidential"/>
          <xsd:enumeration value="Disclosed Over Time - 5 years"/>
          <xsd:enumeration value="Disclosed Over Time - 10 years"/>
          <xsd:enumeration value="Disclosed Over Time - 20 years"/>
          <xsd:enumeration value="Public"/>
          <xsd:enumeration value="Public - Simultaneous Disclosure"/>
        </xsd:restriction>
      </xsd:simpleType>
    </xsd:element>
    <xsd:element name="Document_x0020_Author" ma:index="17" nillable="true" ma:displayName="Document Author" ma:internalName="Document_x0020_Author">
      <xsd:simpleType>
        <xsd:restriction base="dms:Text">
          <xsd:maxLength value="255"/>
        </xsd:restriction>
      </xsd:simpleType>
    </xsd:element>
    <xsd:element name="Other_x0020_Author" ma:index="18" nillable="true" ma:displayName="Other Author" ma:internalName="Other_x0020_Author">
      <xsd:simpleType>
        <xsd:restriction base="dms:Text">
          <xsd:maxLength value="255"/>
        </xsd:restriction>
      </xsd:simpleType>
    </xsd:element>
    <xsd:element name="Approval_x0020_Number" ma:index="19" nillable="true" ma:displayName="Approval Number" ma:internalName="Approval_x0020_Number">
      <xsd:simpleType>
        <xsd:restriction base="dms:Text">
          <xsd:maxLength value="255"/>
        </xsd:restriction>
      </xsd:simpleType>
    </xsd:element>
    <xsd:element name="g511464f9e53401d84b16fa9b379a574" ma:index="20" nillable="true" ma:taxonomy="true" ma:internalName="g511464f9e53401d84b16fa9b379a574" ma:taxonomyFieldName="Fund_x0020_IDB" ma:displayName="Fund IDB" ma:default="" ma:fieldId="{0511464f-9e53-401d-84b1-6fa9b379a574}" ma:taxonomyMulti="true" ma:sspId="ae61f9b1-e23d-4f49-b3d7-56b991556c4b" ma:termSetId="69abb71a-f64f-4893-ac0e-66eb1be268a8" ma:anchorId="00000000-0000-0000-0000-000000000000" ma:open="false" ma:isKeyword="false">
      <xsd:complexType>
        <xsd:sequence>
          <xsd:element ref="pc:Terms" minOccurs="0" maxOccurs="1"/>
        </xsd:sequence>
      </xsd:complexType>
    </xsd:element>
    <xsd:element name="Division_x0020_or_x0020_Unit" ma:index="22" nillable="true" ma:displayName="Division or Unit" ma:internalName="Division_x0020_or_x0020_Unit">
      <xsd:simpleType>
        <xsd:restriction base="dms:Text">
          <xsd:maxLength value="255"/>
        </xsd:restriction>
      </xsd:simpleType>
    </xsd:element>
    <xsd:element name="Document_x0020_Language_x0020_IDB" ma:index="23" nillable="true" ma:displayName="Document Language IDB" ma:format="Dropdown" ma:internalName="Document_x0020_Language_x0020_IDB">
      <xsd:simpleType>
        <xsd:restriction base="dms:Choice">
          <xsd:enumeration value="English"/>
          <xsd:enumeration value="French"/>
          <xsd:enumeration value="Italian"/>
          <xsd:enumeration value="Japanese"/>
          <xsd:enumeration value="Korean"/>
          <xsd:enumeration value="Other"/>
          <xsd:enumeration value="Portuguese"/>
          <xsd:enumeration value="Spanish"/>
        </xsd:restriction>
      </xsd:simpleType>
    </xsd:element>
    <xsd:element name="From_x003a_" ma:index="24" nillable="true" ma:displayName="From:" ma:description="Sender name from email message" ma:internalName="From_x003A_">
      <xsd:simpleType>
        <xsd:restriction base="dms:Text">
          <xsd:maxLength value="255"/>
        </xsd:restriction>
      </xsd:simpleType>
    </xsd:element>
    <xsd:element name="To_x003a_" ma:index="25" nillable="true" ma:displayName="To:" ma:description="Addressee names from email message&#10;" ma:internalName="To_x003A_">
      <xsd:simpleType>
        <xsd:restriction base="dms:Text">
          <xsd:maxLength value="255"/>
        </xsd:restriction>
      </xsd:simpleType>
    </xsd:element>
    <xsd:element name="Identifier" ma:index="26" nillable="true" ma:displayName="Identifier" ma:internalName="Identifier">
      <xsd:simpleType>
        <xsd:restriction base="dms:Text">
          <xsd:maxLength value="255"/>
        </xsd:restriction>
      </xsd:simpleType>
    </xsd:element>
    <xsd:element name="Fiscal_x0020_Year_x0020_IDB" ma:index="27" nillable="true" ma:displayName="Fiscal Year IDB" ma:internalName="Fiscal_x0020_Year_x0020_IDB">
      <xsd:simpleType>
        <xsd:restriction base="dms:Text">
          <xsd:maxLength value="255"/>
        </xsd:restriction>
      </xsd:simpleType>
    </xsd:element>
    <xsd:element name="ic46d7e087fd4a108fb86518ca413cc6" ma:index="28" nillable="true" ma:taxonomy="true" ma:internalName="ic46d7e087fd4a108fb86518ca413cc6" ma:taxonomyFieldName="Country" ma:displayName="Country" ma:default="" ma:fieldId="{2c46d7e0-87fd-4a10-8fb8-6518ca413cc6}" ma:taxonomyMulti="true" ma:sspId="ae61f9b1-e23d-4f49-b3d7-56b991556c4b" ma:termSetId="e1cf2cf4-6e0f-476b-b38c-a4927f870e86" ma:anchorId="00000000-0000-0000-0000-000000000000" ma:open="false" ma:isKeyword="false">
      <xsd:complexType>
        <xsd:sequence>
          <xsd:element ref="pc:Terms" minOccurs="0" maxOccurs="1"/>
        </xsd:sequence>
      </xsd:complexType>
    </xsd:element>
    <xsd:element name="nddeef1749674d76abdbe4b239a70bc6" ma:index="30" nillable="true" ma:taxonomy="true" ma:internalName="nddeef1749674d76abdbe4b239a70bc6" ma:taxonomyFieldName="Sector_x0020_IDB" ma:displayName="Sector IDB" ma:default="" ma:fieldId="{7ddeef17-4967-4d76-abdb-e4b239a70bc6}" ma:taxonomyMulti="true" ma:sspId="ae61f9b1-e23d-4f49-b3d7-56b991556c4b" ma:termSetId="12408410-0417-4253-a5ed-d52c55de15dc" ma:anchorId="00000000-0000-0000-0000-000000000000" ma:open="true" ma:isKeyword="false">
      <xsd:complexType>
        <xsd:sequence>
          <xsd:element ref="pc:Terms" minOccurs="0" maxOccurs="1"/>
        </xsd:sequence>
      </xsd:complexType>
    </xsd:element>
    <xsd:element name="b2ec7cfb18674cb8803df6b262e8b107" ma:index="32" nillable="true" ma:taxonomy="true" ma:internalName="b2ec7cfb18674cb8803df6b262e8b107" ma:taxonomyFieldName="Sub_x002d_Sector" ma:displayName="Sub-Sector" ma:default="" ma:fieldId="{b2ec7cfb-1867-4cb8-803d-f6b262e8b107}" ma:taxonomyMulti="true" ma:sspId="ae61f9b1-e23d-4f49-b3d7-56b991556c4b" ma:termSetId="73c9b9c8-b29b-461e-b5a6-c7e93795fb05" ma:anchorId="00000000-0000-0000-0000-000000000000" ma:open="false" ma:isKeyword="false">
      <xsd:complexType>
        <xsd:sequence>
          <xsd:element ref="pc:Terms" minOccurs="0" maxOccurs="1"/>
        </xsd:sequence>
      </xsd:complexType>
    </xsd:element>
    <xsd:element name="Phase" ma:index="34" nillable="true" ma:displayName="Phase" ma:internalName="Phase">
      <xsd:simpleType>
        <xsd:restriction base="dms:Text">
          <xsd:maxLength value="255"/>
        </xsd:restriction>
      </xsd:simpleType>
    </xsd:element>
    <xsd:element name="Key_x0020_Document" ma:index="35" nillable="true" ma:displayName="Key Document" ma:default="0" ma:internalName="Key_x0020_Document">
      <xsd:simpleType>
        <xsd:restriction base="dms:Boolean"/>
      </xsd:simpleType>
    </xsd:element>
    <xsd:element name="Business_x0020_Area" ma:index="36" nillable="true" ma:displayName="Business Area" ma:internalName="Business_x0020_Area">
      <xsd:simpleType>
        <xsd:restriction base="dms:Text">
          <xsd:maxLength value="255"/>
        </xsd:restriction>
      </xsd:simpleType>
    </xsd:element>
    <xsd:element name="Project_x0020_Document_x0020_Type" ma:index="37" nillable="true" ma:displayName="Project Document Type" ma:internalName="Project_x0020_Document_x0020_Type">
      <xsd:simpleType>
        <xsd:restriction base="dms:Text">
          <xsd:maxLength value="255"/>
        </xsd:restriction>
      </xsd:simpleType>
    </xsd:element>
    <xsd:element name="Operation_x0020_Type" ma:index="38" nillable="true" ma:displayName="Operation Type" ma:internalName="Operation_x0020_Type">
      <xsd:simpleType>
        <xsd:restriction base="dms:Text">
          <xsd:maxLength value="255"/>
        </xsd:restriction>
      </xsd:simpleType>
    </xsd:element>
    <xsd:element name="Package_x0020_Code" ma:index="39" nillable="true" ma:displayName="Package Code" ma:internalName="Package_x0020_Code">
      <xsd:simpleType>
        <xsd:restriction base="dms:Text">
          <xsd:maxLength value="255"/>
        </xsd:restriction>
      </xsd:simpleType>
    </xsd:element>
    <xsd:element name="e46fe2894295491da65140ffd2369f49" ma:index="40" nillable="true" ma:taxonomy="true" ma:internalName="e46fe2894295491da65140ffd2369f49" ma:taxonomyFieldName="Function_x0020_Operations_x0020_IDB" ma:displayName="Function Operations IDB" ma:default="" ma:fieldId="{e46fe289-4295-491d-a651-40ffd2369f49}" ma:sspId="ae61f9b1-e23d-4f49-b3d7-56b991556c4b" ma:termSetId="90662247-c2d7-4c02-8f80-a99fdf3aec79" ma:anchorId="00000000-0000-0000-0000-000000000000" ma:open="false" ma:isKeyword="false">
      <xsd:complexType>
        <xsd:sequence>
          <xsd:element ref="pc:Terms" minOccurs="0" maxOccurs="1"/>
        </xsd:sequence>
      </xsd:complexType>
    </xsd:element>
    <xsd:element name="SISCOR_x0020_Number" ma:index="42" nillable="true" ma:displayName="SISCOR Number" ma:internalName="SISCOR_x0020_Number">
      <xsd:simpleType>
        <xsd:restriction base="dms:Text">
          <xsd:maxLength value="255"/>
        </xsd:restriction>
      </xsd:simpleType>
    </xsd:element>
    <xsd:element name="IDBDocs_x0020_Number" ma:index="43" nillable="true" ma:displayName="IDBDocs Number" ma:internalName="IDBDocs_x0020_Number">
      <xsd:simpleType>
        <xsd:restriction base="dms:Text">
          <xsd:maxLength value="255"/>
        </xsd:restriction>
      </xsd:simpleType>
    </xsd:element>
    <xsd:element name="Migration_x0020_Info" ma:index="44" nillable="true" ma:displayName="Migration Info" ma:internalName="Migration_x0020_Info">
      <xsd:simpleType>
        <xsd:restriction base="dms:Note"/>
      </xsd:simpleType>
    </xsd:element>
    <xsd:element name="Record_x0020_Number" ma:index="45" nillable="true" ma:displayName="Record Number" ma:internalName="Record_x0020_Number">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roject_x0020_Document_x0020_Type xmlns="cdc7663a-08f0-4737-9e8c-148ce897a09c" xsi:nil="true"/>
    <Business_x0020_Area xmlns="cdc7663a-08f0-4737-9e8c-148ce897a09c" xsi:nil="true"/>
    <IDBDocs_x0020_Number xmlns="cdc7663a-08f0-4737-9e8c-148ce897a09c">40310165</IDBDocs_x0020_Number>
    <TaxCatchAll xmlns="cdc7663a-08f0-4737-9e8c-148ce897a09c">
      <Value>11</Value>
      <Value>12</Value>
    </TaxCatchAll>
    <Phase xmlns="cdc7663a-08f0-4737-9e8c-148ce897a09c" xsi:nil="true"/>
    <SISCOR_x0020_Number xmlns="cdc7663a-08f0-4737-9e8c-148ce897a09c" xsi:nil="true"/>
    <Division_x0020_or_x0020_Unit xmlns="cdc7663a-08f0-4737-9e8c-148ce897a09c">CSD/HUD</Division_x0020_or_x0020_Unit>
    <Approval_x0020_Number xmlns="cdc7663a-08f0-4737-9e8c-148ce897a09c" xsi:nil="true"/>
    <Document_x0020_Author xmlns="cdc7663a-08f0-4737-9e8c-148ce897a09c">Perez Rincon, Belinda</Document_x0020_Author>
    <Fiscal_x0020_Year_x0020_IDB xmlns="cdc7663a-08f0-4737-9e8c-148ce897a09c">2016</Fiscal_x0020_Year_x0020_IDB>
    <Other_x0020_Author xmlns="cdc7663a-08f0-4737-9e8c-148ce897a09c">ABLANCO</Other_x0020_Author>
    <Project_x0020_Number xmlns="cdc7663a-08f0-4737-9e8c-148ce897a09c">DR-L1084</Project_x0020_Number>
    <Package_x0020_Code xmlns="cdc7663a-08f0-4737-9e8c-148ce897a09c" xsi:nil="true"/>
    <Key_x0020_Document xmlns="cdc7663a-08f0-4737-9e8c-148ce897a09c">false</Key_x0020_Document>
    <Migration_x0020_Info xmlns="cdc7663a-08f0-4737-9e8c-148ce897a09c">&lt;Data&gt;&lt;APPLICATION&gt;MS WORD&lt;/APPLICATION&gt;&lt;USER_STAGE&gt;Loan Proposal&lt;/USER_STAGE&gt;&lt;PD_OBJ_TYPE&gt;0&lt;/PD_OBJ_TYPE&gt;&lt;MAKERECORD&gt;N&lt;/MAKERECORD&gt;&lt;/Data&gt;</Migration_x0020_Info>
    <Operation_x0020_Type xmlns="cdc7663a-08f0-4737-9e8c-148ce897a09c" xsi:nil="true"/>
    <Document_x0020_Language_x0020_IDB xmlns="cdc7663a-08f0-4737-9e8c-148ce897a09c">Spanish</Document_x0020_Language_x0020_IDB>
    <Identifier xmlns="cdc7663a-08f0-4737-9e8c-148ce897a09c"> TECFILE</Identifier>
    <Access_x0020_to_x0020_Information_x00a0_Policy xmlns="cdc7663a-08f0-4737-9e8c-148ce897a09c">Public</Access_x0020_to_x0020_Information_x00a0_Policy>
    <b26cdb1da78c4bb4b1c1bac2f6ac5911 xmlns="cdc7663a-08f0-4737-9e8c-148ce897a09c">
      <Terms xmlns="http://schemas.microsoft.com/office/infopath/2007/PartnerControls">
        <TermInfo xmlns="http://schemas.microsoft.com/office/infopath/2007/PartnerControls">
          <TermName xmlns="http://schemas.microsoft.com/office/infopath/2007/PartnerControls">Unclassified</TermName>
          <TermId xmlns="http://schemas.microsoft.com/office/infopath/2007/PartnerControls">a6dff32e-d477-44cd-a56b-85efe9e0a56c</TermId>
        </TermInfo>
      </Terms>
    </b26cdb1da78c4bb4b1c1bac2f6ac5911>
    <ic46d7e087fd4a108fb86518ca413cc6 xmlns="cdc7663a-08f0-4737-9e8c-148ce897a09c">
      <Terms xmlns="http://schemas.microsoft.com/office/infopath/2007/PartnerControls"/>
    </ic46d7e087fd4a108fb86518ca413cc6>
    <From_x003a_ xmlns="cdc7663a-08f0-4737-9e8c-148ce897a09c">ABLANCO</From_x003a_>
    <e46fe2894295491da65140ffd2369f49 xmlns="cdc7663a-08f0-4737-9e8c-148ce897a09c">
      <Terms xmlns="http://schemas.microsoft.com/office/infopath/2007/PartnerControls">
        <TermInfo xmlns="http://schemas.microsoft.com/office/infopath/2007/PartnerControls">
          <TermName xmlns="http://schemas.microsoft.com/office/infopath/2007/PartnerControls">IDBDocs</TermName>
          <TermId xmlns="http://schemas.microsoft.com/office/infopath/2007/PartnerControls">cca77002-e150-4b2d-ab1f-1d7a7cdcae16</TermId>
        </TermInfo>
      </Terms>
    </e46fe2894295491da65140ffd2369f49>
    <b2ec7cfb18674cb8803df6b262e8b107 xmlns="cdc7663a-08f0-4737-9e8c-148ce897a09c">
      <Terms xmlns="http://schemas.microsoft.com/office/infopath/2007/PartnerControls"/>
    </b2ec7cfb18674cb8803df6b262e8b107>
    <g511464f9e53401d84b16fa9b379a574 xmlns="cdc7663a-08f0-4737-9e8c-148ce897a09c">
      <Terms xmlns="http://schemas.microsoft.com/office/infopath/2007/PartnerControls"/>
    </g511464f9e53401d84b16fa9b379a574>
    <To_x003a_ xmlns="cdc7663a-08f0-4737-9e8c-148ce897a09c" xsi:nil="true"/>
    <nddeef1749674d76abdbe4b239a70bc6 xmlns="cdc7663a-08f0-4737-9e8c-148ce897a09c">
      <Terms xmlns="http://schemas.microsoft.com/office/infopath/2007/PartnerControls"/>
    </nddeef1749674d76abdbe4b239a70bc6>
    <Record_x0020_Number xmlns="cdc7663a-08f0-4737-9e8c-148ce897a09c">R0000075276</Record_x0020_Number>
    <_dlc_DocId xmlns="cdc7663a-08f0-4737-9e8c-148ce897a09c">EZSHARE-803582241-18</_dlc_DocId>
    <_dlc_DocIdUrl xmlns="cdc7663a-08f0-4737-9e8c-148ce897a09c">
      <Url>https://idbg.sharepoint.com/teams/EZ-DR-LON/DR-L1084/_layouts/15/DocIdRedir.aspx?ID=EZSHARE-803582241-18</Url>
      <Description>EZSHARE-803582241-18</Description>
    </_dlc_DocIdUrl>
    <Related_x0020_SisCor_x0020_Number xmlns="cdc7663a-08f0-4737-9e8c-148ce897a09c" xsi:nil="true"/>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mso-contentType ?>
<spe:Receivers xmlns:spe="http://schemas.microsoft.com/sharepoint/events">
  <Receiver>
    <Name>Document ID Generator</Name>
    <Synchronization>Synchronous</Synchronization>
    <Type>10001</Type>
    <SequenceNumber>1000</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10002</Type>
    <SequenceNumber>1001</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10004</Type>
    <SequenceNumber>1002</SequenceNumber>
    <Url/>
    <Assembly>Microsoft.Office.DocumentManagement, Version=16.0.0.0, Culture=neutral, PublicKeyToken=71e9bce111e9429c</Assembly>
    <Class>Microsoft.Office.DocumentManagement.Internal.DocIdHandler</Class>
    <Data/>
    <Filter/>
  </Receiver>
  <Receiver>
    <Name>Document ID Generator</Name>
    <Synchronization>Synchronous</Synchronization>
    <Type>10006</Type>
    <SequenceNumber>1003</SequenceNumber>
    <Url/>
    <Assembly>Microsoft.Office.DocumentManagement, Version=16.0.0.0, Culture=neutral, PublicKeyToken=71e9bce111e9429c</Assembly>
    <Class>Microsoft.Office.DocumentManagement.Internal.DocIdHandler</Class>
    <Data/>
    <Filter/>
  </Receiver>
</spe:Receivers>
</file>

<file path=customXml/item5.xml><?xml version="1.0" encoding="utf-8"?>
<?mso-contentType ?>
<SharedContentType xmlns="Microsoft.SharePoint.Taxonomy.ContentTypeSync" SourceId="ae61f9b1-e23d-4f49-b3d7-56b991556c4b" ContentTypeId="0x010100ACF722E9F6B0B149B0CD8BE2560A6672" PreviousValue="false"/>
</file>

<file path=customXml/item6.xml><?xml version="1.0" encoding="utf-8"?>
<?mso-contentType ?>
<FormTemplates xmlns="http://schemas.microsoft.com/sharepoint/v3/contenttype/forms">
  <Display>DocumentLibraryForm</Display>
  <Edit>DocumentLibraryForm</Edit>
  <New>DocumentLibraryForm</New>
</FormTemplates>
</file>

<file path=customXml/item7.xml><?xml version="1.0" encoding="utf-8"?>
<ct:contentTypeSchema xmlns:ct="http://schemas.microsoft.com/office/2006/metadata/contentType" xmlns:ma="http://schemas.microsoft.com/office/2006/metadata/properties/metaAttributes" ct:_="" ma:_="" ma:contentTypeName="ez-Operations" ma:contentTypeID="0x010100ACF722E9F6B0B149B0CD8BE2560A667200B01F46920648164C91010A5EC6381DAC" ma:contentTypeVersion="121" ma:contentTypeDescription="The base project type from which other project content types inherit their information." ma:contentTypeScope="" ma:versionID="ec129cc416ef0cddb9deb511f0759ac3">
  <xsd:schema xmlns:xsd="http://www.w3.org/2001/XMLSchema" xmlns:xs="http://www.w3.org/2001/XMLSchema" xmlns:p="http://schemas.microsoft.com/office/2006/metadata/properties" xmlns:ns2="cdc7663a-08f0-4737-9e8c-148ce897a09c" targetNamespace="http://schemas.microsoft.com/office/2006/metadata/properties" ma:root="true" ma:fieldsID="8b38fc74101caf04352724c27764a66f" ns2:_="">
    <xsd:import namespace="cdc7663a-08f0-4737-9e8c-148ce897a09c"/>
    <xsd:element name="properties">
      <xsd:complexType>
        <xsd:sequence>
          <xsd:element name="documentManagement">
            <xsd:complexType>
              <xsd:all>
                <xsd:element ref="ns2:_dlc_DocId" minOccurs="0"/>
                <xsd:element ref="ns2:_dlc_DocIdUrl" minOccurs="0"/>
                <xsd:element ref="ns2:_dlc_DocIdPersistId" minOccurs="0"/>
                <xsd:element ref="ns2:b26cdb1da78c4bb4b1c1bac2f6ac5911" minOccurs="0"/>
                <xsd:element ref="ns2:TaxCatchAll" minOccurs="0"/>
                <xsd:element ref="ns2:TaxCatchAllLabel" minOccurs="0"/>
                <xsd:element ref="ns2:Project_x0020_Number"/>
                <xsd:element ref="ns2:Access_x0020_to_x0020_Information_x00a0_Policy"/>
                <xsd:element ref="ns2:Document_x0020_Author" minOccurs="0"/>
                <xsd:element ref="ns2:Other_x0020_Author" minOccurs="0"/>
                <xsd:element ref="ns2:Approval_x0020_Number" minOccurs="0"/>
                <xsd:element ref="ns2:g511464f9e53401d84b16fa9b379a574" minOccurs="0"/>
                <xsd:element ref="ns2:Division_x0020_or_x0020_Unit" minOccurs="0"/>
                <xsd:element ref="ns2:Document_x0020_Language_x0020_IDB" minOccurs="0"/>
                <xsd:element ref="ns2:From_x003a_" minOccurs="0"/>
                <xsd:element ref="ns2:To_x003a_" minOccurs="0"/>
                <xsd:element ref="ns2:Identifier" minOccurs="0"/>
                <xsd:element ref="ns2:Fiscal_x0020_Year_x0020_IDB" minOccurs="0"/>
                <xsd:element ref="ns2:ic46d7e087fd4a108fb86518ca413cc6" minOccurs="0"/>
                <xsd:element ref="ns2:nddeef1749674d76abdbe4b239a70bc6" minOccurs="0"/>
                <xsd:element ref="ns2:b2ec7cfb18674cb8803df6b262e8b107" minOccurs="0"/>
                <xsd:element ref="ns2:Phase" minOccurs="0"/>
                <xsd:element ref="ns2:Key_x0020_Document" minOccurs="0"/>
                <xsd:element ref="ns2:Business_x0020_Area" minOccurs="0"/>
                <xsd:element ref="ns2:Project_x0020_Document_x0020_Type" minOccurs="0"/>
                <xsd:element ref="ns2:Operation_x0020_Type" minOccurs="0"/>
                <xsd:element ref="ns2:Package_x0020_Code" minOccurs="0"/>
                <xsd:element ref="ns2:e46fe2894295491da65140ffd2369f49" minOccurs="0"/>
                <xsd:element ref="ns2:SISCOR_x0020_Number" minOccurs="0"/>
                <xsd:element ref="ns2:IDBDocs_x0020_Number" minOccurs="0"/>
                <xsd:element ref="ns2:Migration_x0020_Info" minOccurs="0"/>
                <xsd:element ref="ns2:Record_x0020_Number" minOccurs="0"/>
                <xsd:element ref="ns2:Related_x0020_SisCor_x0020_Numb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c7663a-08f0-4737-9e8c-148ce897a09c"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b26cdb1da78c4bb4b1c1bac2f6ac5911" ma:index="11" nillable="true" ma:taxonomy="true" ma:internalName="b26cdb1da78c4bb4b1c1bac2f6ac5911" ma:taxonomyFieldName="Series_x0020_Operations_x0020_IDB" ma:displayName="Series Operations IDB" ma:default="" ma:fieldId="{b26cdb1d-a78c-4bb4-b1c1-bac2f6ac5911}" ma:sspId="ae61f9b1-e23d-4f49-b3d7-56b991556c4b" ma:termSetId="aa8fb583-e935-416d-8a2e-4b97a8eb0684"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a21e8572-655e-4c0d-bfdb-c52ee7bb5839}" ma:internalName="TaxCatchAll" ma:showField="CatchAllData"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a21e8572-655e-4c0d-bfdb-c52ee7bb5839}" ma:internalName="TaxCatchAllLabel" ma:readOnly="true" ma:showField="CatchAllDataLabel"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Project_x0020_Number" ma:index="15" ma:displayName="Project Number" ma:default="DR-L1084" ma:internalName="Project_x0020_Number">
      <xsd:simpleType>
        <xsd:restriction base="dms:Text">
          <xsd:maxLength value="255"/>
        </xsd:restriction>
      </xsd:simpleType>
    </xsd:element>
    <xsd:element name="Access_x0020_to_x0020_Information_x00a0_Policy" ma:index="16" ma:displayName="Access to Information Policy" ma:default="Confidential" ma:format="Dropdown" ma:internalName="Access_x0020_to_x0020_Information_x00A0_Policy">
      <xsd:simpleType>
        <xsd:restriction base="dms:Choice">
          <xsd:enumeration value="Confidential"/>
          <xsd:enumeration value="Disclosed Over Time - 5 years"/>
          <xsd:enumeration value="Disclosed Over Time - 10 years"/>
          <xsd:enumeration value="Disclosed Over Time - 20 years"/>
          <xsd:enumeration value="Public"/>
          <xsd:enumeration value="Public - Simultaneous Disclosure"/>
        </xsd:restriction>
      </xsd:simpleType>
    </xsd:element>
    <xsd:element name="Document_x0020_Author" ma:index="17" nillable="true" ma:displayName="Document Author" ma:internalName="Document_x0020_Author">
      <xsd:simpleType>
        <xsd:restriction base="dms:Text">
          <xsd:maxLength value="255"/>
        </xsd:restriction>
      </xsd:simpleType>
    </xsd:element>
    <xsd:element name="Other_x0020_Author" ma:index="18" nillable="true" ma:displayName="Other Author" ma:internalName="Other_x0020_Author">
      <xsd:simpleType>
        <xsd:restriction base="dms:Text">
          <xsd:maxLength value="255"/>
        </xsd:restriction>
      </xsd:simpleType>
    </xsd:element>
    <xsd:element name="Approval_x0020_Number" ma:index="19" nillable="true" ma:displayName="Approval Number" ma:internalName="Approval_x0020_Number">
      <xsd:simpleType>
        <xsd:restriction base="dms:Text">
          <xsd:maxLength value="255"/>
        </xsd:restriction>
      </xsd:simpleType>
    </xsd:element>
    <xsd:element name="g511464f9e53401d84b16fa9b379a574" ma:index="20" nillable="true" ma:taxonomy="true" ma:internalName="g511464f9e53401d84b16fa9b379a574" ma:taxonomyFieldName="Fund_x0020_IDB" ma:displayName="Fund IDB" ma:default="" ma:fieldId="{0511464f-9e53-401d-84b1-6fa9b379a574}" ma:taxonomyMulti="true" ma:sspId="ae61f9b1-e23d-4f49-b3d7-56b991556c4b" ma:termSetId="69abb71a-f64f-4893-ac0e-66eb1be268a8" ma:anchorId="00000000-0000-0000-0000-000000000000" ma:open="false" ma:isKeyword="false">
      <xsd:complexType>
        <xsd:sequence>
          <xsd:element ref="pc:Terms" minOccurs="0" maxOccurs="1"/>
        </xsd:sequence>
      </xsd:complexType>
    </xsd:element>
    <xsd:element name="Division_x0020_or_x0020_Unit" ma:index="22" nillable="true" ma:displayName="Division or Unit" ma:internalName="Division_x0020_or_x0020_Unit">
      <xsd:simpleType>
        <xsd:restriction base="dms:Text">
          <xsd:maxLength value="255"/>
        </xsd:restriction>
      </xsd:simpleType>
    </xsd:element>
    <xsd:element name="Document_x0020_Language_x0020_IDB" ma:index="23" nillable="true" ma:displayName="Document Language IDB" ma:format="Dropdown" ma:internalName="Document_x0020_Language_x0020_IDB">
      <xsd:simpleType>
        <xsd:restriction base="dms:Choice">
          <xsd:enumeration value="English"/>
          <xsd:enumeration value="French"/>
          <xsd:enumeration value="Italian"/>
          <xsd:enumeration value="Japanese"/>
          <xsd:enumeration value="Korean"/>
          <xsd:enumeration value="Other"/>
          <xsd:enumeration value="Portuguese"/>
          <xsd:enumeration value="Spanish"/>
        </xsd:restriction>
      </xsd:simpleType>
    </xsd:element>
    <xsd:element name="From_x003a_" ma:index="24" nillable="true" ma:displayName="From:" ma:description="Sender name from email message" ma:internalName="From_x003A_">
      <xsd:simpleType>
        <xsd:restriction base="dms:Text">
          <xsd:maxLength value="255"/>
        </xsd:restriction>
      </xsd:simpleType>
    </xsd:element>
    <xsd:element name="To_x003a_" ma:index="25" nillable="true" ma:displayName="To:" ma:description="Addressee names from email message&#10;" ma:internalName="To_x003A_">
      <xsd:simpleType>
        <xsd:restriction base="dms:Text">
          <xsd:maxLength value="255"/>
        </xsd:restriction>
      </xsd:simpleType>
    </xsd:element>
    <xsd:element name="Identifier" ma:index="26" nillable="true" ma:displayName="Identifier" ma:internalName="Identifier">
      <xsd:simpleType>
        <xsd:restriction base="dms:Text">
          <xsd:maxLength value="255"/>
        </xsd:restriction>
      </xsd:simpleType>
    </xsd:element>
    <xsd:element name="Fiscal_x0020_Year_x0020_IDB" ma:index="27" nillable="true" ma:displayName="Fiscal Year IDB" ma:internalName="Fiscal_x0020_Year_x0020_IDB">
      <xsd:simpleType>
        <xsd:restriction base="dms:Text">
          <xsd:maxLength value="255"/>
        </xsd:restriction>
      </xsd:simpleType>
    </xsd:element>
    <xsd:element name="ic46d7e087fd4a108fb86518ca413cc6" ma:index="28" nillable="true" ma:taxonomy="true" ma:internalName="ic46d7e087fd4a108fb86518ca413cc6" ma:taxonomyFieldName="Country" ma:displayName="Country" ma:default="" ma:fieldId="{2c46d7e0-87fd-4a10-8fb8-6518ca413cc6}" ma:taxonomyMulti="true" ma:sspId="ae61f9b1-e23d-4f49-b3d7-56b991556c4b" ma:termSetId="e1cf2cf4-6e0f-476b-b38c-a4927f870e86" ma:anchorId="00000000-0000-0000-0000-000000000000" ma:open="false" ma:isKeyword="false">
      <xsd:complexType>
        <xsd:sequence>
          <xsd:element ref="pc:Terms" minOccurs="0" maxOccurs="1"/>
        </xsd:sequence>
      </xsd:complexType>
    </xsd:element>
    <xsd:element name="nddeef1749674d76abdbe4b239a70bc6" ma:index="30" nillable="true" ma:taxonomy="true" ma:internalName="nddeef1749674d76abdbe4b239a70bc6" ma:taxonomyFieldName="Sector_x0020_IDB" ma:displayName="Sector IDB" ma:default="" ma:fieldId="{7ddeef17-4967-4d76-abdb-e4b239a70bc6}" ma:taxonomyMulti="true" ma:sspId="ae61f9b1-e23d-4f49-b3d7-56b991556c4b" ma:termSetId="12408410-0417-4253-a5ed-d52c55de15dc" ma:anchorId="00000000-0000-0000-0000-000000000000" ma:open="true" ma:isKeyword="false">
      <xsd:complexType>
        <xsd:sequence>
          <xsd:element ref="pc:Terms" minOccurs="0" maxOccurs="1"/>
        </xsd:sequence>
      </xsd:complexType>
    </xsd:element>
    <xsd:element name="b2ec7cfb18674cb8803df6b262e8b107" ma:index="32" nillable="true" ma:taxonomy="true" ma:internalName="b2ec7cfb18674cb8803df6b262e8b107" ma:taxonomyFieldName="Sub_x002d_Sector" ma:displayName="Sub-Sector" ma:default="" ma:fieldId="{b2ec7cfb-1867-4cb8-803d-f6b262e8b107}" ma:taxonomyMulti="true" ma:sspId="ae61f9b1-e23d-4f49-b3d7-56b991556c4b" ma:termSetId="73c9b9c8-b29b-461e-b5a6-c7e93795fb05" ma:anchorId="00000000-0000-0000-0000-000000000000" ma:open="false" ma:isKeyword="false">
      <xsd:complexType>
        <xsd:sequence>
          <xsd:element ref="pc:Terms" minOccurs="0" maxOccurs="1"/>
        </xsd:sequence>
      </xsd:complexType>
    </xsd:element>
    <xsd:element name="Phase" ma:index="34" nillable="true" ma:displayName="Phase" ma:internalName="Phase">
      <xsd:simpleType>
        <xsd:restriction base="dms:Text">
          <xsd:maxLength value="255"/>
        </xsd:restriction>
      </xsd:simpleType>
    </xsd:element>
    <xsd:element name="Key_x0020_Document" ma:index="35" nillable="true" ma:displayName="Key Document" ma:default="0" ma:internalName="Key_x0020_Document">
      <xsd:simpleType>
        <xsd:restriction base="dms:Boolean"/>
      </xsd:simpleType>
    </xsd:element>
    <xsd:element name="Business_x0020_Area" ma:index="36" nillable="true" ma:displayName="Business Area" ma:internalName="Business_x0020_Area">
      <xsd:simpleType>
        <xsd:restriction base="dms:Text">
          <xsd:maxLength value="255"/>
        </xsd:restriction>
      </xsd:simpleType>
    </xsd:element>
    <xsd:element name="Project_x0020_Document_x0020_Type" ma:index="37" nillable="true" ma:displayName="Project Document Type" ma:internalName="Project_x0020_Document_x0020_Type">
      <xsd:simpleType>
        <xsd:restriction base="dms:Text">
          <xsd:maxLength value="255"/>
        </xsd:restriction>
      </xsd:simpleType>
    </xsd:element>
    <xsd:element name="Operation_x0020_Type" ma:index="38" nillable="true" ma:displayName="Operation Type" ma:internalName="Operation_x0020_Type">
      <xsd:simpleType>
        <xsd:restriction base="dms:Text">
          <xsd:maxLength value="255"/>
        </xsd:restriction>
      </xsd:simpleType>
    </xsd:element>
    <xsd:element name="Package_x0020_Code" ma:index="39" nillable="true" ma:displayName="Package Code" ma:internalName="Package_x0020_Code">
      <xsd:simpleType>
        <xsd:restriction base="dms:Text">
          <xsd:maxLength value="255"/>
        </xsd:restriction>
      </xsd:simpleType>
    </xsd:element>
    <xsd:element name="e46fe2894295491da65140ffd2369f49" ma:index="40" nillable="true" ma:taxonomy="true" ma:internalName="e46fe2894295491da65140ffd2369f49" ma:taxonomyFieldName="Function_x0020_Operations_x0020_IDB" ma:displayName="Function Operations IDB" ma:default="" ma:fieldId="{e46fe289-4295-491d-a651-40ffd2369f49}" ma:sspId="ae61f9b1-e23d-4f49-b3d7-56b991556c4b" ma:termSetId="90662247-c2d7-4c02-8f80-a99fdf3aec79" ma:anchorId="00000000-0000-0000-0000-000000000000" ma:open="false" ma:isKeyword="false">
      <xsd:complexType>
        <xsd:sequence>
          <xsd:element ref="pc:Terms" minOccurs="0" maxOccurs="1"/>
        </xsd:sequence>
      </xsd:complexType>
    </xsd:element>
    <xsd:element name="SISCOR_x0020_Number" ma:index="42" nillable="true" ma:displayName="SISCOR Number" ma:internalName="SISCOR_x0020_Number">
      <xsd:simpleType>
        <xsd:restriction base="dms:Text">
          <xsd:maxLength value="255"/>
        </xsd:restriction>
      </xsd:simpleType>
    </xsd:element>
    <xsd:element name="IDBDocs_x0020_Number" ma:index="43" nillable="true" ma:displayName="IDBDocs Number" ma:internalName="IDBDocs_x0020_Number">
      <xsd:simpleType>
        <xsd:restriction base="dms:Text">
          <xsd:maxLength value="255"/>
        </xsd:restriction>
      </xsd:simpleType>
    </xsd:element>
    <xsd:element name="Migration_x0020_Info" ma:index="44" nillable="true" ma:displayName="Migration Info" ma:internalName="Migration_x0020_Info">
      <xsd:simpleType>
        <xsd:restriction base="dms:Note"/>
      </xsd:simpleType>
    </xsd:element>
    <xsd:element name="Record_x0020_Number" ma:index="45" nillable="true" ma:displayName="Record Number" ma:internalName="Record_x0020_Number">
      <xsd:simpleType>
        <xsd:restriction base="dms:Text">
          <xsd:maxLength value="255"/>
        </xsd:restriction>
      </xsd:simpleType>
    </xsd:element>
    <xsd:element name="Related_x0020_SisCor_x0020_Number" ma:index="46" nillable="true" ma:displayName="Related SisCor Number" ma:internalName="Related_x0020_SisCor_x0020_Number">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8.xml><?xml version="1.0" encoding="utf-8"?>
<ct:contentTypeSchema xmlns:ct="http://schemas.microsoft.com/office/2006/metadata/contentType" xmlns:ma="http://schemas.microsoft.com/office/2006/metadata/properties/metaAttributes" ct:_="" ma:_="" ma:contentTypeName="ez-Operations" ma:contentTypeID="0x010100ACF722E9F6B0B149B0CD8BE2560A667200B01F46920648164C91010A5EC6381DAC" ma:contentTypeVersion="269" ma:contentTypeDescription="The base project type from which other project content types inherit their information." ma:contentTypeScope="" ma:versionID="0e40483e486e8c8cee0194215488d2bd">
  <xsd:schema xmlns:xsd="http://www.w3.org/2001/XMLSchema" xmlns:xs="http://www.w3.org/2001/XMLSchema" xmlns:p="http://schemas.microsoft.com/office/2006/metadata/properties" xmlns:ns2="cdc7663a-08f0-4737-9e8c-148ce897a09c" targetNamespace="http://schemas.microsoft.com/office/2006/metadata/properties" ma:root="true" ma:fieldsID="5e0d37d979a9494b47daa37a3d20efe7" ns2:_="">
    <xsd:import namespace="cdc7663a-08f0-4737-9e8c-148ce897a09c"/>
    <xsd:element name="properties">
      <xsd:complexType>
        <xsd:sequence>
          <xsd:element name="documentManagement">
            <xsd:complexType>
              <xsd:all>
                <xsd:element ref="ns2:_dlc_DocId" minOccurs="0"/>
                <xsd:element ref="ns2:_dlc_DocIdUrl" minOccurs="0"/>
                <xsd:element ref="ns2:_dlc_DocIdPersistId" minOccurs="0"/>
                <xsd:element ref="ns2:b26cdb1da78c4bb4b1c1bac2f6ac5911" minOccurs="0"/>
                <xsd:element ref="ns2:TaxCatchAll" minOccurs="0"/>
                <xsd:element ref="ns2:TaxCatchAllLabel" minOccurs="0"/>
                <xsd:element ref="ns2:Project_x0020_Number"/>
                <xsd:element ref="ns2:Access_x0020_to_x0020_Information_x00a0_Policy"/>
                <xsd:element ref="ns2:Document_x0020_Author" minOccurs="0"/>
                <xsd:element ref="ns2:Other_x0020_Author" minOccurs="0"/>
                <xsd:element ref="ns2:Approval_x0020_Number" minOccurs="0"/>
                <xsd:element ref="ns2:g511464f9e53401d84b16fa9b379a574" minOccurs="0"/>
                <xsd:element ref="ns2:Division_x0020_or_x0020_Unit" minOccurs="0"/>
                <xsd:element ref="ns2:Document_x0020_Language_x0020_IDB" minOccurs="0"/>
                <xsd:element ref="ns2:From_x003a_" minOccurs="0"/>
                <xsd:element ref="ns2:To_x003a_" minOccurs="0"/>
                <xsd:element ref="ns2:Identifier" minOccurs="0"/>
                <xsd:element ref="ns2:Fiscal_x0020_Year_x0020_IDB" minOccurs="0"/>
                <xsd:element ref="ns2:ic46d7e087fd4a108fb86518ca413cc6" minOccurs="0"/>
                <xsd:element ref="ns2:nddeef1749674d76abdbe4b239a70bc6" minOccurs="0"/>
                <xsd:element ref="ns2:b2ec7cfb18674cb8803df6b262e8b107" minOccurs="0"/>
                <xsd:element ref="ns2:Phase" minOccurs="0"/>
                <xsd:element ref="ns2:Key_x0020_Document" minOccurs="0"/>
                <xsd:element ref="ns2:Business_x0020_Area" minOccurs="0"/>
                <xsd:element ref="ns2:Project_x0020_Document_x0020_Type" minOccurs="0"/>
                <xsd:element ref="ns2:Operation_x0020_Type" minOccurs="0"/>
                <xsd:element ref="ns2:Package_x0020_Code" minOccurs="0"/>
                <xsd:element ref="ns2:e46fe2894295491da65140ffd2369f49" minOccurs="0"/>
                <xsd:element ref="ns2:SISCOR_x0020_Number" minOccurs="0"/>
                <xsd:element ref="ns2:IDBDocs_x0020_Number" minOccurs="0"/>
                <xsd:element ref="ns2:Migration_x0020_Info" minOccurs="0"/>
                <xsd:element ref="ns2:Record_x0020_Number" minOccurs="0"/>
                <xsd:element ref="ns2:Related_x0020_SisCor_x0020_Numbe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cdc7663a-08f0-4737-9e8c-148ce897a09c" elementFormDefault="qualified">
    <xsd:import namespace="http://schemas.microsoft.com/office/2006/documentManagement/types"/>
    <xsd:import namespace="http://schemas.microsoft.com/office/infopath/2007/PartnerControls"/>
    <xsd:element name="_dlc_DocId" ma:index="8" nillable="true" ma:displayName="Document ID Value" ma:description="The value of the document ID assigned to this item." ma:internalName="_dlc_DocId" ma:readOnly="true">
      <xsd:simpleType>
        <xsd:restriction base="dms:Text"/>
      </xsd:simpleType>
    </xsd:element>
    <xsd:element name="_dlc_DocIdUrl" ma:index="9" nillable="true" ma:displayName="Document ID" ma:description="Permanent link to this document." ma:hidden="true" ma:internalName="_dlc_DocIdUrl" ma:readOnly="true">
      <xsd:complexType>
        <xsd:complexContent>
          <xsd:extension base="dms:URL">
            <xsd:sequence>
              <xsd:element name="Url" type="dms:ValidUrl" minOccurs="0" nillable="true"/>
              <xsd:element name="Description" type="xsd:string" nillable="true"/>
            </xsd:sequence>
          </xsd:extension>
        </xsd:complexContent>
      </xsd:complexType>
    </xsd:element>
    <xsd:element name="_dlc_DocIdPersistId" ma:index="10" nillable="true" ma:displayName="Persist ID" ma:description="Keep ID on add." ma:hidden="true" ma:internalName="_dlc_DocIdPersistId" ma:readOnly="true">
      <xsd:simpleType>
        <xsd:restriction base="dms:Boolean"/>
      </xsd:simpleType>
    </xsd:element>
    <xsd:element name="b26cdb1da78c4bb4b1c1bac2f6ac5911" ma:index="11" nillable="true" ma:taxonomy="true" ma:internalName="b26cdb1da78c4bb4b1c1bac2f6ac5911" ma:taxonomyFieldName="Series_x0020_Operations_x0020_IDB" ma:displayName="Series Operations IDB" ma:default="" ma:fieldId="{b26cdb1d-a78c-4bb4-b1c1-bac2f6ac5911}" ma:sspId="ae61f9b1-e23d-4f49-b3d7-56b991556c4b" ma:termSetId="aa8fb583-e935-416d-8a2e-4b97a8eb0684" ma:anchorId="00000000-0000-0000-0000-000000000000" ma:open="false" ma:isKeyword="false">
      <xsd:complexType>
        <xsd:sequence>
          <xsd:element ref="pc:Terms" minOccurs="0" maxOccurs="1"/>
        </xsd:sequence>
      </xsd:complexType>
    </xsd:element>
    <xsd:element name="TaxCatchAll" ma:index="12" nillable="true" ma:displayName="Taxonomy Catch All Column" ma:hidden="true" ma:list="{a21e8572-655e-4c0d-bfdb-c52ee7bb5839}" ma:internalName="TaxCatchAll" ma:showField="CatchAllData"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TaxCatchAllLabel" ma:index="13" nillable="true" ma:displayName="Taxonomy Catch All Column1" ma:hidden="true" ma:list="{a21e8572-655e-4c0d-bfdb-c52ee7bb5839}" ma:internalName="TaxCatchAllLabel" ma:readOnly="true" ma:showField="CatchAllDataLabel" ma:web="0ae48fe9-e043-4151-95b7-4d4bdf090fb3">
      <xsd:complexType>
        <xsd:complexContent>
          <xsd:extension base="dms:MultiChoiceLookup">
            <xsd:sequence>
              <xsd:element name="Value" type="dms:Lookup" maxOccurs="unbounded" minOccurs="0" nillable="true"/>
            </xsd:sequence>
          </xsd:extension>
        </xsd:complexContent>
      </xsd:complexType>
    </xsd:element>
    <xsd:element name="Project_x0020_Number" ma:index="15" ma:displayName="Project Number" ma:default="DR-L1084" ma:internalName="Project_x0020_Number">
      <xsd:simpleType>
        <xsd:restriction base="dms:Text">
          <xsd:maxLength value="255"/>
        </xsd:restriction>
      </xsd:simpleType>
    </xsd:element>
    <xsd:element name="Access_x0020_to_x0020_Information_x00a0_Policy" ma:index="16" ma:displayName="Access to Information Policy" ma:default="Confidential" ma:format="Dropdown" ma:internalName="Access_x0020_to_x0020_Information_x00A0_Policy">
      <xsd:simpleType>
        <xsd:restriction base="dms:Choice">
          <xsd:enumeration value="Confidential"/>
          <xsd:enumeration value="Disclosed Over Time - 5 years"/>
          <xsd:enumeration value="Disclosed Over Time - 10 years"/>
          <xsd:enumeration value="Disclosed Over Time - 20 years"/>
          <xsd:enumeration value="Public"/>
          <xsd:enumeration value="Public - Simultaneous Disclosure"/>
        </xsd:restriction>
      </xsd:simpleType>
    </xsd:element>
    <xsd:element name="Document_x0020_Author" ma:index="17" nillable="true" ma:displayName="Document Author" ma:internalName="Document_x0020_Author">
      <xsd:simpleType>
        <xsd:restriction base="dms:Text">
          <xsd:maxLength value="255"/>
        </xsd:restriction>
      </xsd:simpleType>
    </xsd:element>
    <xsd:element name="Other_x0020_Author" ma:index="18" nillable="true" ma:displayName="Other Author" ma:internalName="Other_x0020_Author">
      <xsd:simpleType>
        <xsd:restriction base="dms:Text">
          <xsd:maxLength value="255"/>
        </xsd:restriction>
      </xsd:simpleType>
    </xsd:element>
    <xsd:element name="Approval_x0020_Number" ma:index="19" nillable="true" ma:displayName="Approval Number" ma:internalName="Approval_x0020_Number">
      <xsd:simpleType>
        <xsd:restriction base="dms:Text">
          <xsd:maxLength value="255"/>
        </xsd:restriction>
      </xsd:simpleType>
    </xsd:element>
    <xsd:element name="g511464f9e53401d84b16fa9b379a574" ma:index="20" nillable="true" ma:taxonomy="true" ma:internalName="g511464f9e53401d84b16fa9b379a574" ma:taxonomyFieldName="Fund_x0020_IDB" ma:displayName="Fund IDB" ma:default="" ma:fieldId="{0511464f-9e53-401d-84b1-6fa9b379a574}" ma:taxonomyMulti="true" ma:sspId="ae61f9b1-e23d-4f49-b3d7-56b991556c4b" ma:termSetId="69abb71a-f64f-4893-ac0e-66eb1be268a8" ma:anchorId="00000000-0000-0000-0000-000000000000" ma:open="false" ma:isKeyword="false">
      <xsd:complexType>
        <xsd:sequence>
          <xsd:element ref="pc:Terms" minOccurs="0" maxOccurs="1"/>
        </xsd:sequence>
      </xsd:complexType>
    </xsd:element>
    <xsd:element name="Division_x0020_or_x0020_Unit" ma:index="22" nillable="true" ma:displayName="Division or Unit" ma:internalName="Division_x0020_or_x0020_Unit">
      <xsd:simpleType>
        <xsd:restriction base="dms:Text">
          <xsd:maxLength value="255"/>
        </xsd:restriction>
      </xsd:simpleType>
    </xsd:element>
    <xsd:element name="Document_x0020_Language_x0020_IDB" ma:index="23" nillable="true" ma:displayName="Document Language IDB" ma:format="Dropdown" ma:internalName="Document_x0020_Language_x0020_IDB">
      <xsd:simpleType>
        <xsd:restriction base="dms:Choice">
          <xsd:enumeration value="English"/>
          <xsd:enumeration value="French"/>
          <xsd:enumeration value="Italian"/>
          <xsd:enumeration value="Japanese"/>
          <xsd:enumeration value="Korean"/>
          <xsd:enumeration value="Other"/>
          <xsd:enumeration value="Portuguese"/>
          <xsd:enumeration value="Spanish"/>
        </xsd:restriction>
      </xsd:simpleType>
    </xsd:element>
    <xsd:element name="From_x003a_" ma:index="24" nillable="true" ma:displayName="From:" ma:description="Sender name from email message" ma:internalName="From_x003A_">
      <xsd:simpleType>
        <xsd:restriction base="dms:Text">
          <xsd:maxLength value="255"/>
        </xsd:restriction>
      </xsd:simpleType>
    </xsd:element>
    <xsd:element name="To_x003a_" ma:index="25" nillable="true" ma:displayName="To:" ma:description="Addressee names from email message&#10;" ma:internalName="To_x003A_">
      <xsd:simpleType>
        <xsd:restriction base="dms:Text">
          <xsd:maxLength value="255"/>
        </xsd:restriction>
      </xsd:simpleType>
    </xsd:element>
    <xsd:element name="Identifier" ma:index="26" nillable="true" ma:displayName="Identifier" ma:internalName="Identifier">
      <xsd:simpleType>
        <xsd:restriction base="dms:Text">
          <xsd:maxLength value="255"/>
        </xsd:restriction>
      </xsd:simpleType>
    </xsd:element>
    <xsd:element name="Fiscal_x0020_Year_x0020_IDB" ma:index="27" nillable="true" ma:displayName="Fiscal Year IDB" ma:internalName="Fiscal_x0020_Year_x0020_IDB">
      <xsd:simpleType>
        <xsd:restriction base="dms:Text">
          <xsd:maxLength value="255"/>
        </xsd:restriction>
      </xsd:simpleType>
    </xsd:element>
    <xsd:element name="ic46d7e087fd4a108fb86518ca413cc6" ma:index="28" nillable="true" ma:taxonomy="true" ma:internalName="ic46d7e087fd4a108fb86518ca413cc6" ma:taxonomyFieldName="Country" ma:displayName="Country" ma:default="" ma:fieldId="{2c46d7e0-87fd-4a10-8fb8-6518ca413cc6}" ma:taxonomyMulti="true" ma:sspId="ae61f9b1-e23d-4f49-b3d7-56b991556c4b" ma:termSetId="e1cf2cf4-6e0f-476b-b38c-a4927f870e86" ma:anchorId="00000000-0000-0000-0000-000000000000" ma:open="false" ma:isKeyword="false">
      <xsd:complexType>
        <xsd:sequence>
          <xsd:element ref="pc:Terms" minOccurs="0" maxOccurs="1"/>
        </xsd:sequence>
      </xsd:complexType>
    </xsd:element>
    <xsd:element name="nddeef1749674d76abdbe4b239a70bc6" ma:index="30" nillable="true" ma:taxonomy="true" ma:internalName="nddeef1749674d76abdbe4b239a70bc6" ma:taxonomyFieldName="Sector_x0020_IDB" ma:displayName="Sector IDB" ma:default="" ma:fieldId="{7ddeef17-4967-4d76-abdb-e4b239a70bc6}" ma:taxonomyMulti="true" ma:sspId="ae61f9b1-e23d-4f49-b3d7-56b991556c4b" ma:termSetId="12408410-0417-4253-a5ed-d52c55de15dc" ma:anchorId="00000000-0000-0000-0000-000000000000" ma:open="true" ma:isKeyword="false">
      <xsd:complexType>
        <xsd:sequence>
          <xsd:element ref="pc:Terms" minOccurs="0" maxOccurs="1"/>
        </xsd:sequence>
      </xsd:complexType>
    </xsd:element>
    <xsd:element name="b2ec7cfb18674cb8803df6b262e8b107" ma:index="32" nillable="true" ma:taxonomy="true" ma:internalName="b2ec7cfb18674cb8803df6b262e8b107" ma:taxonomyFieldName="Sub_x002d_Sector" ma:displayName="Sub-Sector" ma:default="" ma:fieldId="{b2ec7cfb-1867-4cb8-803d-f6b262e8b107}" ma:taxonomyMulti="true" ma:sspId="ae61f9b1-e23d-4f49-b3d7-56b991556c4b" ma:termSetId="73c9b9c8-b29b-461e-b5a6-c7e93795fb05" ma:anchorId="00000000-0000-0000-0000-000000000000" ma:open="false" ma:isKeyword="false">
      <xsd:complexType>
        <xsd:sequence>
          <xsd:element ref="pc:Terms" minOccurs="0" maxOccurs="1"/>
        </xsd:sequence>
      </xsd:complexType>
    </xsd:element>
    <xsd:element name="Phase" ma:index="34" nillable="true" ma:displayName="Phase" ma:internalName="Phase">
      <xsd:simpleType>
        <xsd:restriction base="dms:Text">
          <xsd:maxLength value="255"/>
        </xsd:restriction>
      </xsd:simpleType>
    </xsd:element>
    <xsd:element name="Key_x0020_Document" ma:index="35" nillable="true" ma:displayName="Key Document" ma:default="0" ma:internalName="Key_x0020_Document">
      <xsd:simpleType>
        <xsd:restriction base="dms:Boolean"/>
      </xsd:simpleType>
    </xsd:element>
    <xsd:element name="Business_x0020_Area" ma:index="36" nillable="true" ma:displayName="Business Area" ma:internalName="Business_x0020_Area">
      <xsd:simpleType>
        <xsd:restriction base="dms:Text">
          <xsd:maxLength value="255"/>
        </xsd:restriction>
      </xsd:simpleType>
    </xsd:element>
    <xsd:element name="Project_x0020_Document_x0020_Type" ma:index="37" nillable="true" ma:displayName="Project Document Type" ma:internalName="Project_x0020_Document_x0020_Type">
      <xsd:simpleType>
        <xsd:restriction base="dms:Text">
          <xsd:maxLength value="255"/>
        </xsd:restriction>
      </xsd:simpleType>
    </xsd:element>
    <xsd:element name="Operation_x0020_Type" ma:index="38" nillable="true" ma:displayName="Operation Type" ma:internalName="Operation_x0020_Type">
      <xsd:simpleType>
        <xsd:restriction base="dms:Text">
          <xsd:maxLength value="255"/>
        </xsd:restriction>
      </xsd:simpleType>
    </xsd:element>
    <xsd:element name="Package_x0020_Code" ma:index="39" nillable="true" ma:displayName="Package Code" ma:internalName="Package_x0020_Code">
      <xsd:simpleType>
        <xsd:restriction base="dms:Text">
          <xsd:maxLength value="255"/>
        </xsd:restriction>
      </xsd:simpleType>
    </xsd:element>
    <xsd:element name="e46fe2894295491da65140ffd2369f49" ma:index="40" nillable="true" ma:taxonomy="true" ma:internalName="e46fe2894295491da65140ffd2369f49" ma:taxonomyFieldName="Function_x0020_Operations_x0020_IDB" ma:displayName="Function Operations IDB" ma:default="" ma:fieldId="{e46fe289-4295-491d-a651-40ffd2369f49}" ma:sspId="ae61f9b1-e23d-4f49-b3d7-56b991556c4b" ma:termSetId="90662247-c2d7-4c02-8f80-a99fdf3aec79" ma:anchorId="00000000-0000-0000-0000-000000000000" ma:open="false" ma:isKeyword="false">
      <xsd:complexType>
        <xsd:sequence>
          <xsd:element ref="pc:Terms" minOccurs="0" maxOccurs="1"/>
        </xsd:sequence>
      </xsd:complexType>
    </xsd:element>
    <xsd:element name="SISCOR_x0020_Number" ma:index="42" nillable="true" ma:displayName="SISCOR Number" ma:internalName="SISCOR_x0020_Number">
      <xsd:simpleType>
        <xsd:restriction base="dms:Text">
          <xsd:maxLength value="255"/>
        </xsd:restriction>
      </xsd:simpleType>
    </xsd:element>
    <xsd:element name="IDBDocs_x0020_Number" ma:index="43" nillable="true" ma:displayName="IDBDocs Number" ma:internalName="IDBDocs_x0020_Number">
      <xsd:simpleType>
        <xsd:restriction base="dms:Text">
          <xsd:maxLength value="255"/>
        </xsd:restriction>
      </xsd:simpleType>
    </xsd:element>
    <xsd:element name="Migration_x0020_Info" ma:index="44" nillable="true" ma:displayName="Migration Info" ma:internalName="Migration_x0020_Info">
      <xsd:simpleType>
        <xsd:restriction base="dms:Note"/>
      </xsd:simpleType>
    </xsd:element>
    <xsd:element name="Record_x0020_Number" ma:index="45" nillable="true" ma:displayName="Record Number" ma:internalName="Record_x0020_Number">
      <xsd:simpleType>
        <xsd:restriction base="dms:Text">
          <xsd:maxLength value="255"/>
        </xsd:restriction>
      </xsd:simpleType>
    </xsd:element>
    <xsd:element name="Related_x0020_SisCor_x0020_Number" ma:index="46" nillable="true" ma:displayName="Related SisCor Number" ma:internalName="Related_x0020_SisCor_x0020_Number">
      <xsd:simpleType>
        <xsd:restriction base="dms:Text">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4433B629-2EE7-4D82-A04D-CD185179BBF6}"/>
</file>

<file path=customXml/itemProps2.xml><?xml version="1.0" encoding="utf-8"?>
<ds:datastoreItem xmlns:ds="http://schemas.openxmlformats.org/officeDocument/2006/customXml" ds:itemID="{D745F223-97AA-4BA4-81B4-D7DF182EE15F}"/>
</file>

<file path=customXml/itemProps3.xml><?xml version="1.0" encoding="utf-8"?>
<ds:datastoreItem xmlns:ds="http://schemas.openxmlformats.org/officeDocument/2006/customXml" ds:itemID="{68089502-3EB6-480E-8288-16BF8516FE11}"/>
</file>

<file path=customXml/itemProps4.xml><?xml version="1.0" encoding="utf-8"?>
<ds:datastoreItem xmlns:ds="http://schemas.openxmlformats.org/officeDocument/2006/customXml" ds:itemID="{3391CCB2-8EC4-47EB-ACF3-5174AD71C713}"/>
</file>

<file path=customXml/itemProps5.xml><?xml version="1.0" encoding="utf-8"?>
<ds:datastoreItem xmlns:ds="http://schemas.openxmlformats.org/officeDocument/2006/customXml" ds:itemID="{7D4C846E-DFBD-4F82-A30D-93FC930C89CD}"/>
</file>

<file path=customXml/itemProps6.xml><?xml version="1.0" encoding="utf-8"?>
<ds:datastoreItem xmlns:ds="http://schemas.openxmlformats.org/officeDocument/2006/customXml" ds:itemID="{BB2FD122-3780-43B7-A71F-9FA89314EA89}"/>
</file>

<file path=customXml/itemProps7.xml><?xml version="1.0" encoding="utf-8"?>
<ds:datastoreItem xmlns:ds="http://schemas.openxmlformats.org/officeDocument/2006/customXml" ds:itemID="{46C5CAB6-2E1A-4780-BB84-4B21F64DF648}"/>
</file>

<file path=customXml/itemProps8.xml><?xml version="1.0" encoding="utf-8"?>
<ds:datastoreItem xmlns:ds="http://schemas.openxmlformats.org/officeDocument/2006/customXml" ds:itemID="{1075E360-558F-4F0F-80D0-740C81EE5BC0}"/>
</file>

<file path=docProps/app.xml><?xml version="1.0" encoding="utf-8"?>
<Properties xmlns="http://schemas.openxmlformats.org/officeDocument/2006/extended-properties" xmlns:vt="http://schemas.openxmlformats.org/officeDocument/2006/docPropsVTypes">
  <Template>Normal.dotm</Template>
  <TotalTime>5</TotalTime>
  <Pages>23</Pages>
  <Words>9448</Words>
  <Characters>53859</Characters>
  <Application>Microsoft Office Word</Application>
  <DocSecurity>0</DocSecurity>
  <Lines>448</Lines>
  <Paragraphs>126</Paragraphs>
  <ScaleCrop>false</ScaleCrop>
  <HeadingPairs>
    <vt:vector size="2" baseType="variant">
      <vt:variant>
        <vt:lpstr>Title</vt:lpstr>
      </vt:variant>
      <vt:variant>
        <vt:i4>1</vt:i4>
      </vt:variant>
    </vt:vector>
  </HeadingPairs>
  <TitlesOfParts>
    <vt:vector size="1" baseType="lpstr">
      <vt:lpstr/>
    </vt:vector>
  </TitlesOfParts>
  <Company>Inter-American Development Bank</Company>
  <LinksUpToDate>false</LinksUpToDate>
  <CharactersWithSpaces>63181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Propuesta de intervención en vivienda</dc:title>
  <dc:creator>Inter-American Development Bank</dc:creator>
  <cp:lastModifiedBy>Test</cp:lastModifiedBy>
  <cp:revision>3</cp:revision>
  <dcterms:created xsi:type="dcterms:W3CDTF">2016-05-11T15:40:00Z</dcterms:created>
  <dcterms:modified xsi:type="dcterms:W3CDTF">2016-11-28T15:01:00Z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0x010100ACF722E9F6B0B149B0CD8BE2560A667200B01F46920648164C91010A5EC6381DAC</vt:lpwstr>
  </property>
  <property fmtid="{D5CDD505-2E9C-101B-9397-08002B2CF9AE}" pid="3" name="TaxKeyword">
    <vt:lpwstr/>
  </property>
  <property fmtid="{D5CDD505-2E9C-101B-9397-08002B2CF9AE}" pid="4" name="Function Operations IDB">
    <vt:lpwstr>-1;#IDBDocs|cca77002-e150-4b2d-ab1f-1d7a7cdcae16</vt:lpwstr>
  </property>
  <property fmtid="{D5CDD505-2E9C-101B-9397-08002B2CF9AE}" pid="5" name="Sub_x002d_Sector">
    <vt:lpwstr/>
  </property>
  <property fmtid="{D5CDD505-2E9C-101B-9397-08002B2CF9AE}" pid="6" name="TaxKeywordTaxHTField">
    <vt:lpwstr/>
  </property>
  <property fmtid="{D5CDD505-2E9C-101B-9397-08002B2CF9AE}" pid="7" name="Series Operations IDB">
    <vt:lpwstr>-1;#Unclassified|a6dff32e-d477-44cd-a56b-85efe9e0a56c</vt:lpwstr>
  </property>
  <property fmtid="{D5CDD505-2E9C-101B-9397-08002B2CF9AE}" pid="9" name="Country">
    <vt:lpwstr/>
  </property>
  <property fmtid="{D5CDD505-2E9C-101B-9397-08002B2CF9AE}" pid="10" name="Fund IDB">
    <vt:lpwstr/>
  </property>
  <property fmtid="{D5CDD505-2E9C-101B-9397-08002B2CF9AE}" pid="11" name="Series_x0020_Operations_x0020_IDB">
    <vt:lpwstr>-1;#Unclassified|a6dff32e-d477-44cd-a56b-85efe9e0a56c</vt:lpwstr>
  </property>
  <property fmtid="{D5CDD505-2E9C-101B-9397-08002B2CF9AE}" pid="12" name="To:">
    <vt:lpwstr/>
  </property>
  <property fmtid="{D5CDD505-2E9C-101B-9397-08002B2CF9AE}" pid="13" name="From:">
    <vt:lpwstr>ABLANCO</vt:lpwstr>
  </property>
  <property fmtid="{D5CDD505-2E9C-101B-9397-08002B2CF9AE}" pid="14" name="Sector IDB">
    <vt:lpwstr/>
  </property>
  <property fmtid="{D5CDD505-2E9C-101B-9397-08002B2CF9AE}" pid="15" name="Sub-Sector">
    <vt:lpwstr/>
  </property>
  <property fmtid="{D5CDD505-2E9C-101B-9397-08002B2CF9AE}" pid="16" name="Issue_x0020_Date">
    <vt:lpwstr/>
  </property>
  <property fmtid="{D5CDD505-2E9C-101B-9397-08002B2CF9AE}" pid="17" name="Publication_x0020_Type">
    <vt:lpwstr/>
  </property>
  <property fmtid="{D5CDD505-2E9C-101B-9397-08002B2CF9AE}" pid="18" name="Publishing_x0020_House">
    <vt:lpwstr/>
  </property>
  <property fmtid="{D5CDD505-2E9C-101B-9397-08002B2CF9AE}" pid="19" name="Abstract">
    <vt:lpwstr/>
  </property>
  <property fmtid="{D5CDD505-2E9C-101B-9397-08002B2CF9AE}" pid="20" name="Disclosure Activity">
    <vt:lpwstr>Loan Proposal</vt:lpwstr>
  </property>
  <property fmtid="{D5CDD505-2E9C-101B-9397-08002B2CF9AE}" pid="21" name="Function_x0020_Operations_x0020_IDB">
    <vt:lpwstr>-1;#IDBDocs|cca77002-e150-4b2d-ab1f-1d7a7cdcae16</vt:lpwstr>
  </property>
  <property fmtid="{D5CDD505-2E9C-101B-9397-08002B2CF9AE}" pid="22" name="Region">
    <vt:lpwstr/>
  </property>
  <property fmtid="{D5CDD505-2E9C-101B-9397-08002B2CF9AE}" pid="23" name="Disclosure_x0020_Activity">
    <vt:lpwstr>Loan Proposal</vt:lpwstr>
  </property>
  <property fmtid="{D5CDD505-2E9C-101B-9397-08002B2CF9AE}" pid="24" name="Fund_x0020_IDB">
    <vt:lpwstr/>
  </property>
  <property fmtid="{D5CDD505-2E9C-101B-9397-08002B2CF9AE}" pid="25" name="_dlc_DocIdItemGuid">
    <vt:lpwstr>ecb37898-bfcb-4914-9d47-8ceff28db0c2</vt:lpwstr>
  </property>
  <property fmtid="{D5CDD505-2E9C-101B-9397-08002B2CF9AE}" pid="26" name="Webtopic">
    <vt:lpwstr>DS-MOV</vt:lpwstr>
  </property>
  <property fmtid="{D5CDD505-2E9C-101B-9397-08002B2CF9AE}" pid="27" name="Publishing House">
    <vt:lpwstr/>
  </property>
  <property fmtid="{D5CDD505-2E9C-101B-9397-08002B2CF9AE}" pid="28" name="Disclosed">
    <vt:bool>true</vt:bool>
  </property>
  <property fmtid="{D5CDD505-2E9C-101B-9397-08002B2CF9AE}" pid="29" name="KP Topics">
    <vt:lpwstr/>
  </property>
  <property fmtid="{D5CDD505-2E9C-101B-9397-08002B2CF9AE}" pid="30" name="KP_x0020_Topics">
    <vt:lpwstr/>
  </property>
  <property fmtid="{D5CDD505-2E9C-101B-9397-08002B2CF9AE}" pid="31" name="Editor1">
    <vt:lpwstr/>
  </property>
  <property fmtid="{D5CDD505-2E9C-101B-9397-08002B2CF9AE}" pid="32" name="Sector_x0020_IDB">
    <vt:lpwstr/>
  </property>
  <property fmtid="{D5CDD505-2E9C-101B-9397-08002B2CF9AE}" pid="33" name="Publication Type">
    <vt:lpwstr/>
  </property>
  <property fmtid="{D5CDD505-2E9C-101B-9397-08002B2CF9AE}" pid="34" name="Issue Date">
    <vt:lpwstr/>
  </property>
</Properties>
</file>