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AE" w:rsidRPr="00F167AE" w:rsidRDefault="00F167AE" w:rsidP="00F167AE">
      <w:pPr>
        <w:jc w:val="center"/>
        <w:rPr>
          <w:b/>
          <w:kern w:val="1"/>
          <w:szCs w:val="20"/>
          <w:lang w:val="es-ES_tradnl"/>
        </w:rPr>
      </w:pPr>
      <w:bookmarkStart w:id="0" w:name="_GoBack"/>
      <w:bookmarkEnd w:id="0"/>
      <w:r w:rsidRPr="00F167AE">
        <w:rPr>
          <w:b/>
          <w:kern w:val="1"/>
          <w:szCs w:val="20"/>
          <w:lang w:val="es-ES_tradnl"/>
        </w:rPr>
        <w:t>Propuesta de indicadores para el marco de desempeño</w:t>
      </w:r>
    </w:p>
    <w:p w:rsidR="00BB2D7F" w:rsidRDefault="00BB2D7F" w:rsidP="00BB2D7F">
      <w:pPr>
        <w:jc w:val="both"/>
        <w:rPr>
          <w:kern w:val="1"/>
          <w:szCs w:val="20"/>
          <w:lang w:val="es-ES_tradnl"/>
        </w:rPr>
      </w:pPr>
      <w:r w:rsidRPr="00BB2D7F">
        <w:rPr>
          <w:kern w:val="1"/>
          <w:szCs w:val="20"/>
          <w:lang w:val="es-ES_tradnl"/>
        </w:rPr>
        <w:t xml:space="preserve">La </w:t>
      </w:r>
      <w:r>
        <w:rPr>
          <w:kern w:val="1"/>
          <w:szCs w:val="20"/>
          <w:lang w:val="es-ES_tradnl"/>
        </w:rPr>
        <w:t>Secretaria de S</w:t>
      </w:r>
      <w:r w:rsidRPr="00BB2D7F">
        <w:rPr>
          <w:kern w:val="1"/>
          <w:szCs w:val="20"/>
          <w:lang w:val="es-ES_tradnl"/>
        </w:rPr>
        <w:t>alud, elaborara</w:t>
      </w:r>
      <w:r>
        <w:rPr>
          <w:rFonts w:asciiTheme="majorHAnsi" w:hAnsiTheme="majorHAnsi" w:cs="Times New Roman"/>
          <w:sz w:val="24"/>
          <w:szCs w:val="24"/>
        </w:rPr>
        <w:t xml:space="preserve"> </w:t>
      </w:r>
      <w:r>
        <w:rPr>
          <w:kern w:val="1"/>
          <w:szCs w:val="20"/>
          <w:lang w:val="es-ES_tradnl"/>
        </w:rPr>
        <w:t>un manual de indicadores</w:t>
      </w:r>
      <w:r w:rsidRPr="002345EE">
        <w:rPr>
          <w:kern w:val="1"/>
          <w:szCs w:val="20"/>
          <w:lang w:val="es-ES_tradnl"/>
        </w:rPr>
        <w:t xml:space="preserve"> incluidos en el Marco General del</w:t>
      </w:r>
      <w:r>
        <w:rPr>
          <w:kern w:val="1"/>
          <w:szCs w:val="20"/>
          <w:lang w:val="es-ES_tradnl"/>
        </w:rPr>
        <w:t xml:space="preserve"> convenio, </w:t>
      </w:r>
      <w:r w:rsidRPr="002345EE">
        <w:rPr>
          <w:kern w:val="1"/>
          <w:szCs w:val="20"/>
          <w:lang w:val="es-ES_tradnl"/>
        </w:rPr>
        <w:t xml:space="preserve">el Marco de Desempeño </w:t>
      </w:r>
      <w:r>
        <w:rPr>
          <w:kern w:val="1"/>
          <w:szCs w:val="20"/>
          <w:lang w:val="es-ES_tradnl"/>
        </w:rPr>
        <w:t xml:space="preserve">anual </w:t>
      </w:r>
      <w:r w:rsidRPr="002345EE">
        <w:rPr>
          <w:kern w:val="1"/>
          <w:szCs w:val="20"/>
          <w:lang w:val="es-ES_tradnl"/>
        </w:rPr>
        <w:t>y del Plan de Monitoreo de</w:t>
      </w:r>
      <w:r>
        <w:rPr>
          <w:kern w:val="1"/>
          <w:szCs w:val="20"/>
          <w:lang w:val="es-ES_tradnl"/>
        </w:rPr>
        <w:t>l programa para los 0, 12 y 2</w:t>
      </w:r>
      <w:r w:rsidRPr="002345EE">
        <w:rPr>
          <w:kern w:val="1"/>
          <w:szCs w:val="20"/>
          <w:lang w:val="es-ES_tradnl"/>
        </w:rPr>
        <w:t>4 meses de operación.</w:t>
      </w:r>
    </w:p>
    <w:p w:rsidR="00C16F38" w:rsidRDefault="00BB2D7F" w:rsidP="00BB2D7F">
      <w:pPr>
        <w:jc w:val="both"/>
        <w:rPr>
          <w:kern w:val="1"/>
          <w:szCs w:val="20"/>
          <w:lang w:val="es-ES_tradnl"/>
        </w:rPr>
      </w:pPr>
      <w:r w:rsidRPr="002345EE">
        <w:rPr>
          <w:kern w:val="1"/>
          <w:szCs w:val="20"/>
          <w:lang w:val="es-ES_tradnl"/>
        </w:rPr>
        <w:t xml:space="preserve">Los indicadores </w:t>
      </w:r>
      <w:r>
        <w:rPr>
          <w:kern w:val="1"/>
          <w:szCs w:val="20"/>
          <w:lang w:val="es-ES_tradnl"/>
        </w:rPr>
        <w:t xml:space="preserve">serán </w:t>
      </w:r>
      <w:r w:rsidRPr="002345EE">
        <w:rPr>
          <w:kern w:val="1"/>
          <w:szCs w:val="20"/>
          <w:lang w:val="es-ES_tradnl"/>
        </w:rPr>
        <w:t xml:space="preserve">medidos a través de encuestas externas independientes </w:t>
      </w:r>
      <w:r w:rsidR="00967392">
        <w:rPr>
          <w:kern w:val="1"/>
          <w:szCs w:val="20"/>
          <w:lang w:val="es-ES_tradnl"/>
        </w:rPr>
        <w:t xml:space="preserve">y aplicadas </w:t>
      </w:r>
      <w:r w:rsidRPr="002345EE">
        <w:rPr>
          <w:kern w:val="1"/>
          <w:szCs w:val="20"/>
          <w:lang w:val="es-ES_tradnl"/>
        </w:rPr>
        <w:t xml:space="preserve">en </w:t>
      </w:r>
      <w:r>
        <w:rPr>
          <w:kern w:val="1"/>
          <w:szCs w:val="20"/>
          <w:lang w:val="es-ES_tradnl"/>
        </w:rPr>
        <w:t xml:space="preserve">la Unidad de </w:t>
      </w:r>
      <w:r w:rsidR="00C16F38">
        <w:rPr>
          <w:kern w:val="1"/>
          <w:szCs w:val="20"/>
          <w:lang w:val="es-ES_tradnl"/>
        </w:rPr>
        <w:t>Gestión</w:t>
      </w:r>
      <w:r>
        <w:rPr>
          <w:kern w:val="1"/>
          <w:szCs w:val="20"/>
          <w:lang w:val="es-ES_tradnl"/>
        </w:rPr>
        <w:t xml:space="preserve"> descentralizada, </w:t>
      </w:r>
      <w:r w:rsidR="00C16F38">
        <w:rPr>
          <w:kern w:val="1"/>
          <w:szCs w:val="20"/>
          <w:lang w:val="es-ES_tradnl"/>
        </w:rPr>
        <w:t>Regiones de Salud Departamentales, sedes de los gestores y</w:t>
      </w:r>
      <w:r w:rsidR="00C16F38" w:rsidRPr="002345EE">
        <w:rPr>
          <w:kern w:val="1"/>
          <w:szCs w:val="20"/>
          <w:lang w:val="es-ES_tradnl"/>
        </w:rPr>
        <w:t xml:space="preserve"> establecimientos de salud</w:t>
      </w:r>
      <w:r w:rsidR="00C16F38">
        <w:rPr>
          <w:kern w:val="1"/>
          <w:szCs w:val="20"/>
          <w:lang w:val="es-ES_tradnl"/>
        </w:rPr>
        <w:t xml:space="preserve"> de  primer y segundo nivel</w:t>
      </w:r>
      <w:r w:rsidRPr="002345EE">
        <w:rPr>
          <w:kern w:val="1"/>
          <w:szCs w:val="20"/>
          <w:lang w:val="es-ES_tradnl"/>
        </w:rPr>
        <w:t xml:space="preserve">. </w:t>
      </w:r>
    </w:p>
    <w:p w:rsidR="00BB2D7F" w:rsidRDefault="00BB2D7F" w:rsidP="00BB2D7F">
      <w:pPr>
        <w:jc w:val="both"/>
        <w:rPr>
          <w:kern w:val="1"/>
          <w:szCs w:val="20"/>
          <w:lang w:val="es-ES_tradnl"/>
        </w:rPr>
      </w:pPr>
      <w:r w:rsidRPr="002345EE">
        <w:rPr>
          <w:kern w:val="1"/>
          <w:szCs w:val="20"/>
          <w:lang w:val="es-ES_tradnl"/>
        </w:rPr>
        <w:t xml:space="preserve">Estas encuestas serán </w:t>
      </w:r>
      <w:r w:rsidR="00967392">
        <w:rPr>
          <w:kern w:val="1"/>
          <w:szCs w:val="20"/>
          <w:lang w:val="es-ES_tradnl"/>
        </w:rPr>
        <w:t xml:space="preserve">diseñadas y aplicadas </w:t>
      </w:r>
      <w:r w:rsidRPr="002345EE">
        <w:rPr>
          <w:kern w:val="1"/>
          <w:szCs w:val="20"/>
          <w:lang w:val="es-ES_tradnl"/>
        </w:rPr>
        <w:t xml:space="preserve">por </w:t>
      </w:r>
      <w:r w:rsidR="00967392">
        <w:rPr>
          <w:kern w:val="1"/>
          <w:szCs w:val="20"/>
          <w:lang w:val="es-ES_tradnl"/>
        </w:rPr>
        <w:t xml:space="preserve">un ente designado por el </w:t>
      </w:r>
      <w:r w:rsidR="00C16F38">
        <w:rPr>
          <w:kern w:val="1"/>
          <w:szCs w:val="20"/>
          <w:lang w:val="es-ES_tradnl"/>
        </w:rPr>
        <w:t>Banco e</w:t>
      </w:r>
      <w:r w:rsidRPr="002345EE">
        <w:rPr>
          <w:kern w:val="1"/>
          <w:szCs w:val="20"/>
          <w:lang w:val="es-ES_tradnl"/>
        </w:rPr>
        <w:t xml:space="preserve"> incluye la realización de trabajo de campo, recolección, captura y análisis de datos</w:t>
      </w:r>
      <w:r w:rsidR="00545F82">
        <w:rPr>
          <w:kern w:val="1"/>
          <w:szCs w:val="20"/>
          <w:lang w:val="es-ES_tradnl"/>
        </w:rPr>
        <w:t xml:space="preserve"> en el marco de las auditorias técnicas concurrentes</w:t>
      </w:r>
      <w:r w:rsidRPr="002345EE">
        <w:rPr>
          <w:kern w:val="1"/>
          <w:szCs w:val="20"/>
          <w:lang w:val="es-ES_tradnl"/>
        </w:rPr>
        <w:t xml:space="preserve">. Las definiciones y criterios de cumplimiento de los indicadores que se verificarán en estas encuestas </w:t>
      </w:r>
      <w:r w:rsidR="00C16F38" w:rsidRPr="002345EE">
        <w:rPr>
          <w:kern w:val="1"/>
          <w:szCs w:val="20"/>
          <w:lang w:val="es-ES_tradnl"/>
        </w:rPr>
        <w:t>esta</w:t>
      </w:r>
      <w:r w:rsidR="00C16F38">
        <w:rPr>
          <w:kern w:val="1"/>
          <w:szCs w:val="20"/>
          <w:lang w:val="es-ES_tradnl"/>
        </w:rPr>
        <w:t>rá</w:t>
      </w:r>
      <w:r w:rsidR="00C16F38" w:rsidRPr="002345EE">
        <w:rPr>
          <w:kern w:val="1"/>
          <w:szCs w:val="20"/>
          <w:lang w:val="es-ES_tradnl"/>
        </w:rPr>
        <w:t>n</w:t>
      </w:r>
      <w:r w:rsidRPr="002345EE">
        <w:rPr>
          <w:kern w:val="1"/>
          <w:szCs w:val="20"/>
          <w:lang w:val="es-ES_tradnl"/>
        </w:rPr>
        <w:t xml:space="preserve"> definidas en </w:t>
      </w:r>
      <w:r w:rsidR="00C16F38">
        <w:rPr>
          <w:kern w:val="1"/>
          <w:szCs w:val="20"/>
          <w:lang w:val="es-ES_tradnl"/>
        </w:rPr>
        <w:t>un</w:t>
      </w:r>
      <w:r w:rsidRPr="002345EE">
        <w:rPr>
          <w:kern w:val="1"/>
          <w:szCs w:val="20"/>
          <w:lang w:val="es-ES_tradnl"/>
        </w:rPr>
        <w:t xml:space="preserve"> documento</w:t>
      </w:r>
      <w:r w:rsidR="00967392" w:rsidRPr="00967392">
        <w:rPr>
          <w:kern w:val="1"/>
          <w:szCs w:val="20"/>
          <w:lang w:val="es-ES_tradnl"/>
        </w:rPr>
        <w:t xml:space="preserve"> </w:t>
      </w:r>
      <w:r w:rsidR="00967392">
        <w:rPr>
          <w:kern w:val="1"/>
          <w:szCs w:val="20"/>
          <w:lang w:val="es-ES_tradnl"/>
        </w:rPr>
        <w:t>que</w:t>
      </w:r>
      <w:r w:rsidR="00967392" w:rsidRPr="002345EE">
        <w:rPr>
          <w:kern w:val="1"/>
          <w:szCs w:val="20"/>
          <w:lang w:val="es-ES_tradnl"/>
        </w:rPr>
        <w:t xml:space="preserve"> incluye la fórmula que se utilizara para la construcción del indicador de acuerdo a cada uno de los niveles tres niveles</w:t>
      </w:r>
      <w:r w:rsidR="00967392">
        <w:rPr>
          <w:kern w:val="1"/>
          <w:szCs w:val="20"/>
          <w:lang w:val="es-ES_tradnl"/>
        </w:rPr>
        <w:t xml:space="preserve"> donde serán aplicados</w:t>
      </w:r>
      <w:r w:rsidRPr="002345EE">
        <w:rPr>
          <w:kern w:val="1"/>
          <w:szCs w:val="20"/>
          <w:lang w:val="es-ES_tradnl"/>
        </w:rPr>
        <w:t xml:space="preserve">. </w:t>
      </w:r>
    </w:p>
    <w:p w:rsidR="00E24DBC" w:rsidRPr="00E24DBC" w:rsidRDefault="00967392" w:rsidP="00E24DBC">
      <w:pPr>
        <w:jc w:val="both"/>
        <w:rPr>
          <w:kern w:val="1"/>
          <w:szCs w:val="20"/>
        </w:rPr>
      </w:pPr>
      <w:r>
        <w:rPr>
          <w:kern w:val="1"/>
          <w:szCs w:val="20"/>
          <w:lang w:val="es-ES_tradnl"/>
        </w:rPr>
        <w:t xml:space="preserve">Los resultados de la evaluación serán utilizados para determinar </w:t>
      </w:r>
      <w:r w:rsidR="004E4A82">
        <w:rPr>
          <w:kern w:val="1"/>
          <w:szCs w:val="20"/>
          <w:lang w:val="es-ES_tradnl"/>
        </w:rPr>
        <w:t xml:space="preserve">si los participantes </w:t>
      </w:r>
      <w:r w:rsidR="004E4A82" w:rsidRPr="004E4A82">
        <w:rPr>
          <w:kern w:val="1"/>
          <w:szCs w:val="20"/>
        </w:rPr>
        <w:t>ha</w:t>
      </w:r>
      <w:r w:rsidR="004E4A82">
        <w:rPr>
          <w:kern w:val="1"/>
          <w:szCs w:val="20"/>
        </w:rPr>
        <w:t>n</w:t>
      </w:r>
      <w:r w:rsidR="004E4A82" w:rsidRPr="004E4A82">
        <w:rPr>
          <w:kern w:val="1"/>
          <w:szCs w:val="20"/>
        </w:rPr>
        <w:t xml:space="preserve"> cumplido con las condiciones definidas para el desembolso de</w:t>
      </w:r>
      <w:r w:rsidR="004E4A82">
        <w:rPr>
          <w:kern w:val="1"/>
          <w:szCs w:val="20"/>
        </w:rPr>
        <w:t xml:space="preserve"> </w:t>
      </w:r>
      <w:r w:rsidR="004E4A82" w:rsidRPr="004E4A82">
        <w:rPr>
          <w:kern w:val="1"/>
          <w:szCs w:val="20"/>
        </w:rPr>
        <w:t>l</w:t>
      </w:r>
      <w:r w:rsidR="004E4A82">
        <w:rPr>
          <w:kern w:val="1"/>
          <w:szCs w:val="20"/>
        </w:rPr>
        <w:t>a siguiente operación individual</w:t>
      </w:r>
      <w:r w:rsidR="00E24DBC">
        <w:rPr>
          <w:kern w:val="1"/>
          <w:szCs w:val="20"/>
        </w:rPr>
        <w:t>, ya que s</w:t>
      </w:r>
      <w:r w:rsidR="00E24DBC" w:rsidRPr="00E24DBC">
        <w:rPr>
          <w:kern w:val="1"/>
          <w:szCs w:val="20"/>
        </w:rPr>
        <w:t xml:space="preserve">i no se alcanzan las Metas de la correspondiente Operación Individual y el cumplimiento de dichas Metas es calificado con un puntaje inferior al mínimo </w:t>
      </w:r>
      <w:r w:rsidR="00E24DBC">
        <w:rPr>
          <w:kern w:val="1"/>
          <w:szCs w:val="20"/>
        </w:rPr>
        <w:t>definido</w:t>
      </w:r>
      <w:r w:rsidR="00E24DBC" w:rsidRPr="00E24DBC">
        <w:rPr>
          <w:kern w:val="1"/>
          <w:szCs w:val="20"/>
        </w:rPr>
        <w:t xml:space="preserve">, el </w:t>
      </w:r>
      <w:r w:rsidR="00E24DBC">
        <w:rPr>
          <w:kern w:val="1"/>
          <w:szCs w:val="20"/>
        </w:rPr>
        <w:t xml:space="preserve">fondo correspondiente </w:t>
      </w:r>
      <w:r w:rsidR="00E24DBC" w:rsidRPr="00E24DBC">
        <w:rPr>
          <w:kern w:val="1"/>
          <w:szCs w:val="20"/>
        </w:rPr>
        <w:t>no será desembolsado y los recursos correspondientes al mismo se cancelarán, de acuerdo con lo dispuesto en las Normas Generales.</w:t>
      </w:r>
    </w:p>
    <w:p w:rsidR="00432FB8" w:rsidRDefault="00BB2D7F" w:rsidP="00432FB8">
      <w:pPr>
        <w:jc w:val="both"/>
        <w:rPr>
          <w:rFonts w:asciiTheme="majorHAnsi" w:hAnsiTheme="majorHAnsi" w:cs="Times New Roman"/>
          <w:sz w:val="24"/>
          <w:szCs w:val="24"/>
        </w:rPr>
      </w:pPr>
      <w:r w:rsidRPr="002345EE">
        <w:rPr>
          <w:kern w:val="1"/>
          <w:szCs w:val="20"/>
          <w:lang w:val="es-ES_tradnl"/>
        </w:rPr>
        <w:t>A continuación se describe</w:t>
      </w:r>
      <w:r w:rsidR="004E4A82">
        <w:rPr>
          <w:kern w:val="1"/>
          <w:szCs w:val="20"/>
          <w:lang w:val="es-ES_tradnl"/>
        </w:rPr>
        <w:t xml:space="preserve"> </w:t>
      </w:r>
      <w:r w:rsidRPr="002345EE">
        <w:rPr>
          <w:kern w:val="1"/>
          <w:szCs w:val="20"/>
          <w:lang w:val="es-ES_tradnl"/>
        </w:rPr>
        <w:t xml:space="preserve"> la</w:t>
      </w:r>
      <w:r w:rsidR="004E4A82">
        <w:rPr>
          <w:kern w:val="1"/>
          <w:szCs w:val="20"/>
          <w:lang w:val="es-ES_tradnl"/>
        </w:rPr>
        <w:t xml:space="preserve"> matriz de indicadores </w:t>
      </w:r>
      <w:r w:rsidR="00E24DBC">
        <w:rPr>
          <w:kern w:val="1"/>
          <w:szCs w:val="20"/>
          <w:lang w:val="es-ES_tradnl"/>
        </w:rPr>
        <w:t xml:space="preserve">y metas </w:t>
      </w:r>
      <w:r w:rsidR="004E4A82">
        <w:rPr>
          <w:kern w:val="1"/>
          <w:szCs w:val="20"/>
          <w:lang w:val="es-ES_tradnl"/>
        </w:rPr>
        <w:t xml:space="preserve">a ser medidos </w:t>
      </w:r>
      <w:r w:rsidRPr="002345EE">
        <w:rPr>
          <w:kern w:val="1"/>
          <w:szCs w:val="20"/>
          <w:lang w:val="es-ES_tradnl"/>
        </w:rPr>
        <w:t xml:space="preserve"> </w:t>
      </w:r>
      <w:r w:rsidR="00E24DBC">
        <w:rPr>
          <w:kern w:val="1"/>
          <w:szCs w:val="20"/>
          <w:lang w:val="es-ES_tradnl"/>
        </w:rPr>
        <w:t xml:space="preserve">en los diferentes momentos del programa: </w:t>
      </w:r>
    </w:p>
    <w:p w:rsidR="00432FB8" w:rsidRDefault="00432FB8" w:rsidP="00DE6116">
      <w:pPr>
        <w:autoSpaceDE w:val="0"/>
        <w:autoSpaceDN w:val="0"/>
        <w:adjustRightInd w:val="0"/>
        <w:spacing w:after="0" w:line="240" w:lineRule="auto"/>
        <w:jc w:val="both"/>
        <w:rPr>
          <w:rFonts w:asciiTheme="majorHAnsi" w:hAnsiTheme="majorHAnsi" w:cs="Times New Roman"/>
          <w:sz w:val="24"/>
          <w:szCs w:val="24"/>
        </w:rPr>
        <w:sectPr w:rsidR="00432FB8">
          <w:pgSz w:w="12240" w:h="15840"/>
          <w:pgMar w:top="1417" w:right="1701" w:bottom="1417" w:left="1701" w:header="708" w:footer="708" w:gutter="0"/>
          <w:cols w:space="708"/>
          <w:docGrid w:linePitch="360"/>
        </w:sectPr>
      </w:pPr>
    </w:p>
    <w:tbl>
      <w:tblPr>
        <w:tblStyle w:val="TableGrid"/>
        <w:tblpPr w:leftFromText="141" w:rightFromText="141" w:horzAnchor="margin" w:tblpY="496"/>
        <w:tblW w:w="12015" w:type="dxa"/>
        <w:tblLayout w:type="fixed"/>
        <w:tblLook w:val="04A0" w:firstRow="1" w:lastRow="0" w:firstColumn="1" w:lastColumn="0" w:noHBand="0" w:noVBand="1"/>
      </w:tblPr>
      <w:tblGrid>
        <w:gridCol w:w="4608"/>
        <w:gridCol w:w="1440"/>
        <w:gridCol w:w="1857"/>
        <w:gridCol w:w="1701"/>
        <w:gridCol w:w="2409"/>
      </w:tblGrid>
      <w:tr w:rsidR="00082F86" w:rsidRPr="00044788" w:rsidTr="00F167AE">
        <w:trPr>
          <w:cantSplit/>
          <w:tblHeader/>
        </w:trPr>
        <w:tc>
          <w:tcPr>
            <w:tcW w:w="4608" w:type="dxa"/>
            <w:vMerge w:val="restart"/>
            <w:shd w:val="clear" w:color="auto" w:fill="DBE5F1" w:themeFill="accent1" w:themeFillTint="33"/>
            <w:vAlign w:val="center"/>
          </w:tcPr>
          <w:p w:rsidR="00082F86" w:rsidRPr="00044788" w:rsidRDefault="00082F86" w:rsidP="00432FB8">
            <w:pPr>
              <w:jc w:val="center"/>
              <w:rPr>
                <w:b/>
                <w:lang w:val="es-MX"/>
              </w:rPr>
            </w:pPr>
            <w:r w:rsidRPr="00044788">
              <w:rPr>
                <w:b/>
                <w:lang w:val="es-MX"/>
              </w:rPr>
              <w:lastRenderedPageBreak/>
              <w:t>Indicador</w:t>
            </w:r>
          </w:p>
        </w:tc>
        <w:tc>
          <w:tcPr>
            <w:tcW w:w="1440" w:type="dxa"/>
            <w:vMerge w:val="restart"/>
            <w:shd w:val="clear" w:color="auto" w:fill="DBE5F1" w:themeFill="accent1" w:themeFillTint="33"/>
            <w:vAlign w:val="center"/>
          </w:tcPr>
          <w:p w:rsidR="00082F86" w:rsidRPr="00044788" w:rsidRDefault="00082F86" w:rsidP="00432FB8">
            <w:pPr>
              <w:jc w:val="center"/>
              <w:rPr>
                <w:b/>
                <w:lang w:val="es-MX"/>
              </w:rPr>
            </w:pPr>
            <w:r w:rsidRPr="00044788">
              <w:rPr>
                <w:b/>
                <w:lang w:val="es-MX"/>
              </w:rPr>
              <w:t>Unidad de medida</w:t>
            </w:r>
          </w:p>
        </w:tc>
        <w:tc>
          <w:tcPr>
            <w:tcW w:w="5967" w:type="dxa"/>
            <w:gridSpan w:val="3"/>
            <w:shd w:val="clear" w:color="auto" w:fill="DBE5F1" w:themeFill="accent1" w:themeFillTint="33"/>
            <w:vAlign w:val="center"/>
          </w:tcPr>
          <w:p w:rsidR="00082F86" w:rsidRPr="00044788" w:rsidRDefault="00082F86" w:rsidP="00432FB8">
            <w:pPr>
              <w:jc w:val="center"/>
              <w:rPr>
                <w:b/>
                <w:lang w:val="es-MX"/>
              </w:rPr>
            </w:pPr>
            <w:r w:rsidRPr="005D4F55">
              <w:rPr>
                <w:b/>
                <w:sz w:val="22"/>
                <w:lang w:val="es-MX"/>
              </w:rPr>
              <w:t>Meta</w:t>
            </w:r>
          </w:p>
        </w:tc>
      </w:tr>
      <w:tr w:rsidR="00082F86" w:rsidRPr="00044788" w:rsidTr="00F167AE">
        <w:trPr>
          <w:cantSplit/>
          <w:tblHeader/>
        </w:trPr>
        <w:tc>
          <w:tcPr>
            <w:tcW w:w="4608" w:type="dxa"/>
            <w:vMerge/>
            <w:shd w:val="clear" w:color="auto" w:fill="DBE5F1" w:themeFill="accent1" w:themeFillTint="33"/>
            <w:vAlign w:val="center"/>
          </w:tcPr>
          <w:p w:rsidR="00082F86" w:rsidRPr="00044788" w:rsidRDefault="00082F86" w:rsidP="00432FB8">
            <w:pPr>
              <w:jc w:val="center"/>
              <w:rPr>
                <w:b/>
                <w:lang w:val="es-MX"/>
              </w:rPr>
            </w:pPr>
          </w:p>
        </w:tc>
        <w:tc>
          <w:tcPr>
            <w:tcW w:w="1440" w:type="dxa"/>
            <w:vMerge/>
            <w:shd w:val="clear" w:color="auto" w:fill="DBE5F1" w:themeFill="accent1" w:themeFillTint="33"/>
            <w:vAlign w:val="center"/>
          </w:tcPr>
          <w:p w:rsidR="00082F86" w:rsidRPr="00044788" w:rsidRDefault="00082F86" w:rsidP="00432FB8">
            <w:pPr>
              <w:jc w:val="center"/>
              <w:rPr>
                <w:b/>
                <w:lang w:val="es-MX"/>
              </w:rPr>
            </w:pPr>
          </w:p>
        </w:tc>
        <w:tc>
          <w:tcPr>
            <w:tcW w:w="1857" w:type="dxa"/>
            <w:shd w:val="clear" w:color="auto" w:fill="DBE5F1" w:themeFill="accent1" w:themeFillTint="33"/>
            <w:vAlign w:val="center"/>
          </w:tcPr>
          <w:p w:rsidR="00082F86" w:rsidRPr="00044788" w:rsidRDefault="00082F86" w:rsidP="005D4F55">
            <w:pPr>
              <w:jc w:val="center"/>
              <w:rPr>
                <w:b/>
                <w:lang w:val="es-MX"/>
              </w:rPr>
            </w:pPr>
            <w:r w:rsidRPr="00044788">
              <w:rPr>
                <w:b/>
                <w:lang w:val="es-MX"/>
              </w:rPr>
              <w:t>Línea de base</w:t>
            </w:r>
          </w:p>
          <w:p w:rsidR="00082F86" w:rsidRPr="00044788" w:rsidRDefault="00082F86" w:rsidP="00432FB8">
            <w:pPr>
              <w:jc w:val="center"/>
              <w:rPr>
                <w:b/>
                <w:lang w:val="es-MX"/>
              </w:rPr>
            </w:pPr>
          </w:p>
        </w:tc>
        <w:tc>
          <w:tcPr>
            <w:tcW w:w="1701" w:type="dxa"/>
            <w:shd w:val="clear" w:color="auto" w:fill="DBE5F1" w:themeFill="accent1" w:themeFillTint="33"/>
            <w:vAlign w:val="center"/>
          </w:tcPr>
          <w:p w:rsidR="00082F86" w:rsidRPr="00044788" w:rsidRDefault="00082F86" w:rsidP="00432FB8">
            <w:pPr>
              <w:jc w:val="center"/>
              <w:rPr>
                <w:b/>
                <w:lang w:val="es-MX"/>
              </w:rPr>
            </w:pPr>
            <w:r>
              <w:rPr>
                <w:b/>
                <w:lang w:val="es-MX"/>
              </w:rPr>
              <w:t xml:space="preserve">Meta intermedia 1er año </w:t>
            </w:r>
          </w:p>
        </w:tc>
        <w:tc>
          <w:tcPr>
            <w:tcW w:w="2409" w:type="dxa"/>
            <w:shd w:val="clear" w:color="auto" w:fill="DBE5F1" w:themeFill="accent1" w:themeFillTint="33"/>
            <w:vAlign w:val="center"/>
          </w:tcPr>
          <w:p w:rsidR="00082F86" w:rsidRPr="00044788" w:rsidRDefault="00082F86" w:rsidP="00432FB8">
            <w:pPr>
              <w:jc w:val="center"/>
              <w:rPr>
                <w:b/>
                <w:lang w:val="es-MX"/>
              </w:rPr>
            </w:pPr>
            <w:r>
              <w:rPr>
                <w:b/>
                <w:lang w:val="es-MX"/>
              </w:rPr>
              <w:t xml:space="preserve">Meta al final del programa </w:t>
            </w:r>
          </w:p>
        </w:tc>
      </w:tr>
      <w:tr w:rsidR="00082F86" w:rsidRPr="00044788" w:rsidTr="00EC5B67">
        <w:trPr>
          <w:cantSplit/>
          <w:tblHeader/>
        </w:trPr>
        <w:tc>
          <w:tcPr>
            <w:tcW w:w="12015" w:type="dxa"/>
            <w:gridSpan w:val="5"/>
            <w:shd w:val="clear" w:color="auto" w:fill="DBE5F1" w:themeFill="accent1" w:themeFillTint="33"/>
            <w:vAlign w:val="center"/>
          </w:tcPr>
          <w:p w:rsidR="00082F86" w:rsidRDefault="00082F86" w:rsidP="00082F86">
            <w:pPr>
              <w:rPr>
                <w:b/>
                <w:lang w:val="es-MX"/>
              </w:rPr>
            </w:pPr>
            <w:r>
              <w:rPr>
                <w:b/>
                <w:lang w:val="es-MX"/>
              </w:rPr>
              <w:t>Fortalecimiento de la Unidad de compra de la SESAL</w:t>
            </w:r>
          </w:p>
        </w:tc>
      </w:tr>
      <w:tr w:rsidR="00432FB8" w:rsidRPr="00044788" w:rsidTr="00F167AE">
        <w:trPr>
          <w:cantSplit/>
          <w:trHeight w:val="692"/>
        </w:trPr>
        <w:tc>
          <w:tcPr>
            <w:tcW w:w="4608" w:type="dxa"/>
            <w:vAlign w:val="center"/>
          </w:tcPr>
          <w:p w:rsidR="00432FB8" w:rsidRPr="00B45E27" w:rsidRDefault="00432FB8" w:rsidP="00432FB8">
            <w:pPr>
              <w:jc w:val="both"/>
              <w:rPr>
                <w:rFonts w:asciiTheme="minorHAnsi" w:hAnsiTheme="minorHAnsi"/>
                <w:lang w:val="es-ES_tradnl"/>
              </w:rPr>
            </w:pPr>
            <w:r w:rsidRPr="00B45E27">
              <w:rPr>
                <w:rFonts w:asciiTheme="minorHAnsi" w:hAnsiTheme="minorHAnsi"/>
                <w:lang w:val="es-ES_tradnl"/>
              </w:rPr>
              <w:t xml:space="preserve">Modelo para la certificación de gestores </w:t>
            </w:r>
            <w:r w:rsidR="003044B0">
              <w:rPr>
                <w:rFonts w:asciiTheme="minorHAnsi" w:hAnsiTheme="minorHAnsi"/>
                <w:lang w:val="es-ES_tradnl"/>
              </w:rPr>
              <w:t xml:space="preserve">para primer y segundo nivel </w:t>
            </w:r>
            <w:r w:rsidRPr="00B45E27">
              <w:rPr>
                <w:rFonts w:asciiTheme="minorHAnsi" w:hAnsiTheme="minorHAnsi"/>
                <w:lang w:val="es-ES_tradnl"/>
              </w:rPr>
              <w:t xml:space="preserve">diseñado y aprobado </w:t>
            </w:r>
          </w:p>
        </w:tc>
        <w:tc>
          <w:tcPr>
            <w:tcW w:w="1440" w:type="dxa"/>
            <w:vAlign w:val="center"/>
          </w:tcPr>
          <w:p w:rsidR="00432FB8" w:rsidRPr="00B45E27" w:rsidRDefault="00432FB8" w:rsidP="00432FB8">
            <w:pPr>
              <w:jc w:val="center"/>
              <w:rPr>
                <w:rFonts w:asciiTheme="minorHAnsi" w:hAnsiTheme="minorHAnsi"/>
                <w:lang w:val="es-MX"/>
              </w:rPr>
            </w:pPr>
            <w:r w:rsidRPr="00B45E27">
              <w:rPr>
                <w:rFonts w:asciiTheme="minorHAnsi" w:hAnsiTheme="minorHAnsi"/>
                <w:lang w:val="es-MX"/>
              </w:rPr>
              <w:t xml:space="preserve">Numero </w:t>
            </w:r>
          </w:p>
        </w:tc>
        <w:tc>
          <w:tcPr>
            <w:tcW w:w="1857" w:type="dxa"/>
            <w:vAlign w:val="center"/>
          </w:tcPr>
          <w:p w:rsidR="00432FB8" w:rsidRPr="00B45E27" w:rsidRDefault="005D4F55" w:rsidP="00432FB8">
            <w:pPr>
              <w:jc w:val="center"/>
              <w:rPr>
                <w:rFonts w:asciiTheme="minorHAnsi" w:hAnsiTheme="minorHAnsi"/>
                <w:lang w:val="es-MX"/>
              </w:rPr>
            </w:pPr>
            <w:r w:rsidRPr="00B45E27">
              <w:rPr>
                <w:rFonts w:asciiTheme="minorHAnsi" w:hAnsiTheme="minorHAnsi"/>
                <w:lang w:val="es-MX"/>
              </w:rPr>
              <w:t>1</w:t>
            </w:r>
          </w:p>
        </w:tc>
        <w:tc>
          <w:tcPr>
            <w:tcW w:w="1701" w:type="dxa"/>
            <w:vAlign w:val="center"/>
          </w:tcPr>
          <w:p w:rsidR="00432FB8" w:rsidRPr="00B45E27" w:rsidRDefault="005D4F55" w:rsidP="00432FB8">
            <w:pPr>
              <w:jc w:val="center"/>
              <w:rPr>
                <w:rFonts w:asciiTheme="minorHAnsi" w:hAnsiTheme="minorHAnsi"/>
                <w:lang w:val="es-MX"/>
              </w:rPr>
            </w:pPr>
            <w:r w:rsidRPr="00B45E27">
              <w:rPr>
                <w:rFonts w:asciiTheme="minorHAnsi" w:hAnsiTheme="minorHAnsi"/>
                <w:lang w:val="es-MX"/>
              </w:rPr>
              <w:t>1</w:t>
            </w:r>
          </w:p>
        </w:tc>
        <w:tc>
          <w:tcPr>
            <w:tcW w:w="2409" w:type="dxa"/>
            <w:vAlign w:val="center"/>
          </w:tcPr>
          <w:p w:rsidR="00432FB8" w:rsidRPr="00B45E27" w:rsidRDefault="00432FB8" w:rsidP="00432FB8">
            <w:pPr>
              <w:jc w:val="center"/>
              <w:rPr>
                <w:rFonts w:asciiTheme="minorHAnsi" w:hAnsiTheme="minorHAnsi"/>
                <w:lang w:val="es-MX"/>
              </w:rPr>
            </w:pPr>
            <w:r w:rsidRPr="00B45E27">
              <w:rPr>
                <w:rFonts w:asciiTheme="minorHAnsi" w:hAnsiTheme="minorHAnsi"/>
                <w:lang w:val="es-MX"/>
              </w:rPr>
              <w:t>Modelo de certificación de gestores aprobado</w:t>
            </w:r>
          </w:p>
        </w:tc>
      </w:tr>
      <w:tr w:rsidR="00432FB8" w:rsidRPr="00044788" w:rsidTr="00F167AE">
        <w:trPr>
          <w:cantSplit/>
          <w:trHeight w:val="620"/>
        </w:trPr>
        <w:tc>
          <w:tcPr>
            <w:tcW w:w="4608" w:type="dxa"/>
            <w:vAlign w:val="center"/>
          </w:tcPr>
          <w:p w:rsidR="00432FB8" w:rsidRPr="00B45E27" w:rsidRDefault="005D4F55" w:rsidP="00432FB8">
            <w:pPr>
              <w:jc w:val="both"/>
              <w:rPr>
                <w:rFonts w:asciiTheme="minorHAnsi" w:hAnsiTheme="minorHAnsi"/>
                <w:lang w:val="pt-BR"/>
              </w:rPr>
            </w:pPr>
            <w:r w:rsidRPr="00B45E27">
              <w:rPr>
                <w:rFonts w:asciiTheme="minorHAnsi" w:hAnsiTheme="minorHAnsi"/>
                <w:lang w:val="pt-BR"/>
              </w:rPr>
              <w:t>Sistema de informacion fortalecido</w:t>
            </w:r>
          </w:p>
        </w:tc>
        <w:tc>
          <w:tcPr>
            <w:tcW w:w="1440" w:type="dxa"/>
            <w:vAlign w:val="center"/>
          </w:tcPr>
          <w:p w:rsidR="00432FB8" w:rsidRPr="00B45E27" w:rsidRDefault="005D4F55" w:rsidP="00432FB8">
            <w:pPr>
              <w:jc w:val="center"/>
              <w:rPr>
                <w:rFonts w:asciiTheme="minorHAnsi" w:hAnsiTheme="minorHAnsi"/>
                <w:lang w:val="es-MX"/>
              </w:rPr>
            </w:pPr>
            <w:r w:rsidRPr="00B45E27">
              <w:rPr>
                <w:rFonts w:asciiTheme="minorHAnsi" w:hAnsiTheme="minorHAnsi"/>
                <w:lang w:val="es-MX"/>
              </w:rPr>
              <w:t>Cuadro de mando gerencial funcionando</w:t>
            </w:r>
          </w:p>
        </w:tc>
        <w:tc>
          <w:tcPr>
            <w:tcW w:w="1857" w:type="dxa"/>
            <w:vAlign w:val="center"/>
          </w:tcPr>
          <w:p w:rsidR="00432FB8" w:rsidRPr="00B45E27" w:rsidRDefault="005D4F55" w:rsidP="00432FB8">
            <w:pPr>
              <w:jc w:val="center"/>
              <w:rPr>
                <w:rFonts w:asciiTheme="minorHAnsi" w:hAnsiTheme="minorHAnsi"/>
                <w:lang w:val="es-MX"/>
              </w:rPr>
            </w:pPr>
            <w:r w:rsidRPr="00B45E27">
              <w:rPr>
                <w:rFonts w:asciiTheme="minorHAnsi" w:hAnsiTheme="minorHAnsi"/>
                <w:lang w:val="es-MX"/>
              </w:rPr>
              <w:t>0</w:t>
            </w:r>
          </w:p>
        </w:tc>
        <w:tc>
          <w:tcPr>
            <w:tcW w:w="1701" w:type="dxa"/>
            <w:vAlign w:val="center"/>
          </w:tcPr>
          <w:p w:rsidR="00432FB8" w:rsidRPr="00B45E27" w:rsidRDefault="005D4F55" w:rsidP="005D4F55">
            <w:pPr>
              <w:jc w:val="center"/>
              <w:rPr>
                <w:rFonts w:asciiTheme="minorHAnsi" w:hAnsiTheme="minorHAnsi"/>
                <w:lang w:val="es-MX"/>
              </w:rPr>
            </w:pPr>
            <w:r w:rsidRPr="00B45E27">
              <w:rPr>
                <w:rFonts w:asciiTheme="minorHAnsi" w:hAnsiTheme="minorHAnsi"/>
                <w:lang w:val="es-MX"/>
              </w:rPr>
              <w:t>1</w:t>
            </w:r>
          </w:p>
        </w:tc>
        <w:tc>
          <w:tcPr>
            <w:tcW w:w="2409" w:type="dxa"/>
            <w:vAlign w:val="center"/>
          </w:tcPr>
          <w:p w:rsidR="00432FB8" w:rsidRPr="00B45E27" w:rsidRDefault="005D4F55" w:rsidP="005D4F55">
            <w:pPr>
              <w:jc w:val="center"/>
              <w:rPr>
                <w:rFonts w:asciiTheme="minorHAnsi" w:hAnsiTheme="minorHAnsi"/>
                <w:lang w:val="es-ES_tradnl"/>
              </w:rPr>
            </w:pPr>
            <w:r w:rsidRPr="00B45E27">
              <w:rPr>
                <w:rFonts w:asciiTheme="minorHAnsi" w:hAnsiTheme="minorHAnsi"/>
                <w:lang w:val="es-ES_tradnl"/>
              </w:rPr>
              <w:t>1</w:t>
            </w:r>
          </w:p>
        </w:tc>
      </w:tr>
      <w:tr w:rsidR="00432FB8" w:rsidRPr="0030563F" w:rsidTr="00F167AE">
        <w:trPr>
          <w:cantSplit/>
          <w:trHeight w:val="605"/>
        </w:trPr>
        <w:tc>
          <w:tcPr>
            <w:tcW w:w="4608" w:type="dxa"/>
            <w:vAlign w:val="center"/>
          </w:tcPr>
          <w:p w:rsidR="00432FB8" w:rsidRPr="00B45E27" w:rsidRDefault="00B207A4" w:rsidP="00B207A4">
            <w:pPr>
              <w:jc w:val="both"/>
              <w:rPr>
                <w:rFonts w:asciiTheme="minorHAnsi" w:hAnsiTheme="minorHAnsi"/>
                <w:lang w:val="es-HN"/>
              </w:rPr>
            </w:pPr>
            <w:r w:rsidRPr="00B45E27">
              <w:rPr>
                <w:rFonts w:asciiTheme="minorHAnsi" w:hAnsiTheme="minorHAnsi"/>
                <w:lang w:val="es-HN"/>
              </w:rPr>
              <w:t xml:space="preserve">Regiones Departamentales de salud capacitadas en las </w:t>
            </w:r>
            <w:r w:rsidRPr="00B45E27">
              <w:rPr>
                <w:rFonts w:asciiTheme="minorHAnsi" w:hAnsiTheme="minorHAnsi" w:cs="Arial"/>
                <w:lang w:val="es-ES_tradnl"/>
              </w:rPr>
              <w:t xml:space="preserve"> </w:t>
            </w:r>
            <w:r w:rsidRPr="00B45E27">
              <w:rPr>
                <w:rFonts w:asciiTheme="minorHAnsi" w:hAnsiTheme="minorHAnsi"/>
                <w:lang w:val="es-ES_tradnl"/>
              </w:rPr>
              <w:t>funciones de planificación y  contratación de servicios de salud, seguimiento y evaluación de los convenios.</w:t>
            </w:r>
          </w:p>
        </w:tc>
        <w:tc>
          <w:tcPr>
            <w:tcW w:w="1440" w:type="dxa"/>
            <w:vAlign w:val="center"/>
          </w:tcPr>
          <w:p w:rsidR="00432FB8" w:rsidRPr="00B45E27" w:rsidRDefault="00B207A4" w:rsidP="00432FB8">
            <w:pPr>
              <w:jc w:val="center"/>
              <w:rPr>
                <w:rFonts w:asciiTheme="minorHAnsi" w:hAnsiTheme="minorHAnsi"/>
                <w:lang w:val="es-HN"/>
              </w:rPr>
            </w:pPr>
            <w:r w:rsidRPr="00B45E27">
              <w:rPr>
                <w:rFonts w:asciiTheme="minorHAnsi" w:hAnsiTheme="minorHAnsi"/>
                <w:lang w:val="es-HN"/>
              </w:rPr>
              <w:t>Recursos capacitados</w:t>
            </w:r>
          </w:p>
        </w:tc>
        <w:tc>
          <w:tcPr>
            <w:tcW w:w="1857" w:type="dxa"/>
            <w:vAlign w:val="center"/>
          </w:tcPr>
          <w:p w:rsidR="00432FB8" w:rsidRPr="00B45E27" w:rsidRDefault="00B207A4" w:rsidP="00432FB8">
            <w:pPr>
              <w:jc w:val="center"/>
              <w:rPr>
                <w:rFonts w:asciiTheme="minorHAnsi" w:hAnsiTheme="minorHAnsi"/>
                <w:lang w:val="es-MX"/>
              </w:rPr>
            </w:pPr>
            <w:r w:rsidRPr="00B45E27">
              <w:rPr>
                <w:rFonts w:asciiTheme="minorHAnsi" w:hAnsiTheme="minorHAnsi"/>
                <w:lang w:val="es-MX"/>
              </w:rPr>
              <w:t>0</w:t>
            </w:r>
          </w:p>
        </w:tc>
        <w:tc>
          <w:tcPr>
            <w:tcW w:w="1701" w:type="dxa"/>
            <w:vAlign w:val="center"/>
          </w:tcPr>
          <w:p w:rsidR="00432FB8" w:rsidRPr="00B45E27" w:rsidRDefault="00B207A4" w:rsidP="00432FB8">
            <w:pPr>
              <w:jc w:val="center"/>
              <w:rPr>
                <w:rFonts w:asciiTheme="minorHAnsi" w:hAnsiTheme="minorHAnsi"/>
                <w:lang w:val="es-MX"/>
              </w:rPr>
            </w:pPr>
            <w:r w:rsidRPr="00B45E27">
              <w:rPr>
                <w:rFonts w:asciiTheme="minorHAnsi" w:hAnsiTheme="minorHAnsi"/>
                <w:lang w:val="es-MX"/>
              </w:rPr>
              <w:t>100</w:t>
            </w:r>
          </w:p>
        </w:tc>
        <w:tc>
          <w:tcPr>
            <w:tcW w:w="2409" w:type="dxa"/>
            <w:vAlign w:val="center"/>
          </w:tcPr>
          <w:p w:rsidR="00432FB8" w:rsidRPr="00B45E27" w:rsidRDefault="00B207A4" w:rsidP="00B207A4">
            <w:pPr>
              <w:jc w:val="center"/>
              <w:rPr>
                <w:rFonts w:asciiTheme="minorHAnsi" w:hAnsiTheme="minorHAnsi"/>
                <w:lang w:val="es-ES_tradnl"/>
              </w:rPr>
            </w:pPr>
            <w:r w:rsidRPr="00B45E27">
              <w:rPr>
                <w:rFonts w:asciiTheme="minorHAnsi" w:hAnsiTheme="minorHAnsi"/>
                <w:lang w:val="es-ES_tradnl"/>
              </w:rPr>
              <w:t>100</w:t>
            </w:r>
          </w:p>
        </w:tc>
      </w:tr>
      <w:tr w:rsidR="00082F86" w:rsidRPr="0030563F" w:rsidTr="00E60EF9">
        <w:trPr>
          <w:cantSplit/>
          <w:trHeight w:val="585"/>
        </w:trPr>
        <w:tc>
          <w:tcPr>
            <w:tcW w:w="12015" w:type="dxa"/>
            <w:gridSpan w:val="5"/>
            <w:shd w:val="clear" w:color="auto" w:fill="DBE5F1" w:themeFill="accent1" w:themeFillTint="33"/>
            <w:vAlign w:val="center"/>
          </w:tcPr>
          <w:p w:rsidR="00082F86" w:rsidRPr="00B45E27" w:rsidRDefault="00082F86" w:rsidP="00432FB8">
            <w:pPr>
              <w:rPr>
                <w:rFonts w:asciiTheme="minorHAnsi" w:hAnsiTheme="minorHAnsi"/>
                <w:lang w:val="es-ES_tradnl"/>
              </w:rPr>
            </w:pPr>
            <w:r w:rsidRPr="00B45E27">
              <w:rPr>
                <w:rFonts w:asciiTheme="minorHAnsi" w:hAnsiTheme="minorHAnsi"/>
                <w:b/>
                <w:lang w:val="es-MX"/>
              </w:rPr>
              <w:t>Modelo de Gestión Descentralizada de Servicios de Salud de primer nivel fortalecida</w:t>
            </w:r>
          </w:p>
        </w:tc>
      </w:tr>
      <w:tr w:rsidR="00432FB8" w:rsidRPr="0030563F" w:rsidTr="00F167AE">
        <w:trPr>
          <w:cantSplit/>
        </w:trPr>
        <w:tc>
          <w:tcPr>
            <w:tcW w:w="4608" w:type="dxa"/>
            <w:vAlign w:val="center"/>
          </w:tcPr>
          <w:p w:rsidR="00432FB8" w:rsidRPr="00B45E27" w:rsidRDefault="00B207A4" w:rsidP="00432FB8">
            <w:pPr>
              <w:jc w:val="both"/>
              <w:rPr>
                <w:rFonts w:asciiTheme="minorHAnsi" w:hAnsiTheme="minorHAnsi"/>
                <w:lang w:val="es-HN"/>
              </w:rPr>
            </w:pPr>
            <w:r w:rsidRPr="00B45E27">
              <w:rPr>
                <w:rFonts w:asciiTheme="minorHAnsi" w:hAnsiTheme="minorHAnsi"/>
                <w:lang w:val="es-HN"/>
              </w:rPr>
              <w:t xml:space="preserve">Gestores descentralizados certificados para el manejo de Redes Integradas de servicios de salud </w:t>
            </w:r>
          </w:p>
          <w:p w:rsidR="0015241D" w:rsidRPr="00B45E27" w:rsidRDefault="0015241D" w:rsidP="00432FB8">
            <w:pPr>
              <w:jc w:val="both"/>
              <w:rPr>
                <w:rFonts w:asciiTheme="minorHAnsi" w:hAnsiTheme="minorHAnsi"/>
                <w:lang w:val="es-HN"/>
              </w:rPr>
            </w:pPr>
          </w:p>
        </w:tc>
        <w:tc>
          <w:tcPr>
            <w:tcW w:w="1440" w:type="dxa"/>
            <w:vAlign w:val="center"/>
          </w:tcPr>
          <w:p w:rsidR="00432FB8" w:rsidRPr="00B45E27" w:rsidRDefault="003044B0" w:rsidP="00432FB8">
            <w:pPr>
              <w:jc w:val="center"/>
              <w:rPr>
                <w:rFonts w:asciiTheme="minorHAnsi" w:hAnsiTheme="minorHAnsi"/>
                <w:lang w:val="es-HN"/>
              </w:rPr>
            </w:pPr>
            <w:r>
              <w:rPr>
                <w:rFonts w:asciiTheme="minorHAnsi" w:hAnsiTheme="minorHAnsi"/>
                <w:lang w:val="es-HN"/>
              </w:rPr>
              <w:t>numero</w:t>
            </w:r>
            <w:r w:rsidR="00B207A4" w:rsidRPr="00B45E27">
              <w:rPr>
                <w:rFonts w:asciiTheme="minorHAnsi" w:hAnsiTheme="minorHAnsi"/>
                <w:lang w:val="es-HN"/>
              </w:rPr>
              <w:t xml:space="preserve"> de Gestores que cumplen con los criterios de certificación</w:t>
            </w:r>
          </w:p>
        </w:tc>
        <w:tc>
          <w:tcPr>
            <w:tcW w:w="1857" w:type="dxa"/>
            <w:vAlign w:val="center"/>
          </w:tcPr>
          <w:p w:rsidR="00432FB8" w:rsidRPr="00B45E27" w:rsidRDefault="00B207A4" w:rsidP="00B207A4">
            <w:pPr>
              <w:jc w:val="center"/>
              <w:rPr>
                <w:rFonts w:asciiTheme="minorHAnsi" w:hAnsiTheme="minorHAnsi"/>
                <w:lang w:val="es-MX"/>
              </w:rPr>
            </w:pPr>
            <w:r w:rsidRPr="00B45E27">
              <w:rPr>
                <w:rFonts w:asciiTheme="minorHAnsi" w:hAnsiTheme="minorHAnsi"/>
                <w:lang w:val="es-MX"/>
              </w:rPr>
              <w:t>0</w:t>
            </w:r>
          </w:p>
        </w:tc>
        <w:tc>
          <w:tcPr>
            <w:tcW w:w="1701" w:type="dxa"/>
            <w:vAlign w:val="center"/>
          </w:tcPr>
          <w:p w:rsidR="00432FB8" w:rsidRPr="00B45E27" w:rsidRDefault="003044B0" w:rsidP="00B207A4">
            <w:pPr>
              <w:jc w:val="center"/>
              <w:rPr>
                <w:rFonts w:asciiTheme="minorHAnsi" w:hAnsiTheme="minorHAnsi"/>
                <w:lang w:val="es-MX"/>
              </w:rPr>
            </w:pPr>
            <w:r>
              <w:rPr>
                <w:rFonts w:asciiTheme="minorHAnsi" w:hAnsiTheme="minorHAnsi"/>
                <w:lang w:val="es-MX"/>
              </w:rPr>
              <w:t>3</w:t>
            </w:r>
          </w:p>
        </w:tc>
        <w:tc>
          <w:tcPr>
            <w:tcW w:w="2409" w:type="dxa"/>
            <w:vAlign w:val="center"/>
          </w:tcPr>
          <w:p w:rsidR="00432FB8" w:rsidRPr="00B45E27" w:rsidRDefault="003044B0" w:rsidP="00B207A4">
            <w:pPr>
              <w:jc w:val="center"/>
              <w:rPr>
                <w:rFonts w:asciiTheme="minorHAnsi" w:hAnsiTheme="minorHAnsi"/>
                <w:lang w:val="es-ES_tradnl"/>
              </w:rPr>
            </w:pPr>
            <w:r>
              <w:rPr>
                <w:rFonts w:asciiTheme="minorHAnsi" w:hAnsiTheme="minorHAnsi"/>
                <w:lang w:val="es-ES_tradnl"/>
              </w:rPr>
              <w:t>5</w:t>
            </w:r>
          </w:p>
        </w:tc>
      </w:tr>
      <w:tr w:rsidR="0015241D" w:rsidRPr="0030563F" w:rsidTr="00F167AE">
        <w:trPr>
          <w:cantSplit/>
        </w:trPr>
        <w:tc>
          <w:tcPr>
            <w:tcW w:w="4608" w:type="dxa"/>
            <w:vAlign w:val="center"/>
          </w:tcPr>
          <w:p w:rsidR="0015241D" w:rsidRPr="00B45E27" w:rsidRDefault="0015241D" w:rsidP="00EC5154">
            <w:pPr>
              <w:spacing w:after="40"/>
              <w:jc w:val="both"/>
              <w:rPr>
                <w:rFonts w:asciiTheme="minorHAnsi" w:hAnsiTheme="minorHAnsi" w:cs="Arial"/>
                <w:color w:val="000000"/>
                <w:highlight w:val="yellow"/>
                <w:lang w:val="es-ES_tradnl" w:eastAsia="es-ES"/>
              </w:rPr>
            </w:pPr>
            <w:r w:rsidRPr="00B45E27">
              <w:rPr>
                <w:rFonts w:asciiTheme="minorHAnsi" w:hAnsiTheme="minorHAnsi"/>
                <w:lang w:val="es-HN"/>
              </w:rPr>
              <w:t>% de cobertura en atención prenatal nueva en las primeras  12 SG.</w:t>
            </w:r>
          </w:p>
        </w:tc>
        <w:tc>
          <w:tcPr>
            <w:tcW w:w="1440" w:type="dxa"/>
            <w:vAlign w:val="center"/>
          </w:tcPr>
          <w:p w:rsidR="0015241D" w:rsidRPr="00B45E27" w:rsidRDefault="0015241D" w:rsidP="00EC5154">
            <w:pPr>
              <w:spacing w:after="40"/>
              <w:jc w:val="center"/>
              <w:rPr>
                <w:rFonts w:asciiTheme="minorHAnsi" w:hAnsiTheme="minorHAnsi" w:cs="Arial"/>
                <w:color w:val="000000"/>
                <w:lang w:val="es-ES_tradnl" w:eastAsia="es-ES"/>
              </w:rPr>
            </w:pPr>
            <w:r w:rsidRPr="00B45E27">
              <w:rPr>
                <w:rFonts w:asciiTheme="minorHAnsi" w:hAnsiTheme="minorHAnsi" w:cs="Arial"/>
                <w:iCs/>
                <w:color w:val="000000"/>
                <w:lang w:val="es-ES_tradnl" w:eastAsia="es-ES"/>
              </w:rPr>
              <w:t>%</w:t>
            </w:r>
          </w:p>
        </w:tc>
        <w:tc>
          <w:tcPr>
            <w:tcW w:w="1857" w:type="dxa"/>
            <w:vAlign w:val="center"/>
          </w:tcPr>
          <w:p w:rsidR="0015241D" w:rsidRPr="00B45E27" w:rsidRDefault="0015241D" w:rsidP="00EC5154">
            <w:pPr>
              <w:spacing w:after="40"/>
              <w:jc w:val="center"/>
              <w:rPr>
                <w:rFonts w:asciiTheme="minorHAnsi" w:hAnsiTheme="minorHAnsi" w:cs="Arial"/>
                <w:color w:val="000000"/>
                <w:lang w:val="es-ES_tradnl" w:eastAsia="es-ES"/>
              </w:rPr>
            </w:pPr>
            <w:r w:rsidRPr="00B45E27">
              <w:rPr>
                <w:rFonts w:asciiTheme="minorHAnsi" w:hAnsiTheme="minorHAnsi" w:cs="Arial"/>
                <w:color w:val="000000"/>
                <w:lang w:val="es-ES_tradnl" w:eastAsia="es-ES"/>
              </w:rPr>
              <w:t xml:space="preserve">44.3 % </w:t>
            </w:r>
            <w:r w:rsidRPr="00B45E27">
              <w:rPr>
                <w:rStyle w:val="FootnoteReference"/>
                <w:rFonts w:asciiTheme="minorHAnsi" w:hAnsiTheme="minorHAnsi" w:cs="Arial"/>
                <w:color w:val="000000"/>
                <w:lang w:val="es-ES_tradnl" w:eastAsia="es-ES"/>
              </w:rPr>
              <w:footnoteReference w:id="1"/>
            </w:r>
          </w:p>
        </w:tc>
        <w:tc>
          <w:tcPr>
            <w:tcW w:w="1701" w:type="dxa"/>
            <w:vAlign w:val="center"/>
          </w:tcPr>
          <w:p w:rsidR="0015241D" w:rsidRPr="00B45E27" w:rsidRDefault="0015241D" w:rsidP="00EC5154">
            <w:pPr>
              <w:spacing w:after="40"/>
              <w:jc w:val="center"/>
              <w:rPr>
                <w:rFonts w:asciiTheme="minorHAnsi" w:hAnsiTheme="minorHAnsi" w:cs="Arial"/>
                <w:color w:val="000000"/>
                <w:lang w:val="es-ES_tradnl" w:eastAsia="es-ES"/>
              </w:rPr>
            </w:pPr>
            <w:r w:rsidRPr="00B45E27">
              <w:rPr>
                <w:rFonts w:asciiTheme="minorHAnsi" w:hAnsiTheme="minorHAnsi" w:cs="Arial"/>
                <w:color w:val="000000"/>
                <w:lang w:val="es-ES_tradnl" w:eastAsia="es-ES"/>
              </w:rPr>
              <w:t>46%</w:t>
            </w:r>
          </w:p>
        </w:tc>
        <w:tc>
          <w:tcPr>
            <w:tcW w:w="2409" w:type="dxa"/>
            <w:vAlign w:val="center"/>
          </w:tcPr>
          <w:p w:rsidR="0015241D" w:rsidRPr="00B45E27" w:rsidRDefault="0015241D" w:rsidP="00B207A4">
            <w:pPr>
              <w:jc w:val="center"/>
              <w:rPr>
                <w:rFonts w:asciiTheme="minorHAnsi" w:hAnsiTheme="minorHAnsi" w:cs="Arial"/>
                <w:color w:val="000000"/>
                <w:lang w:val="es-ES_tradnl" w:eastAsia="es-ES"/>
              </w:rPr>
            </w:pPr>
            <w:r w:rsidRPr="00B45E27">
              <w:rPr>
                <w:rFonts w:asciiTheme="minorHAnsi" w:hAnsiTheme="minorHAnsi" w:cs="Arial"/>
                <w:color w:val="000000"/>
                <w:lang w:val="es-ES_tradnl" w:eastAsia="es-ES"/>
              </w:rPr>
              <w:t>49 %</w:t>
            </w:r>
          </w:p>
        </w:tc>
      </w:tr>
      <w:tr w:rsidR="0015241D" w:rsidRPr="0030563F" w:rsidTr="00F167AE">
        <w:trPr>
          <w:cantSplit/>
        </w:trPr>
        <w:tc>
          <w:tcPr>
            <w:tcW w:w="4608" w:type="dxa"/>
            <w:vAlign w:val="center"/>
          </w:tcPr>
          <w:p w:rsidR="0015241D" w:rsidRPr="00B45E27" w:rsidRDefault="0015241D" w:rsidP="00432FB8">
            <w:pPr>
              <w:jc w:val="both"/>
              <w:rPr>
                <w:rFonts w:asciiTheme="minorHAnsi" w:hAnsiTheme="minorHAnsi"/>
                <w:lang w:val="es-ES_tradnl"/>
              </w:rPr>
            </w:pPr>
            <w:r w:rsidRPr="00B45E27">
              <w:rPr>
                <w:rFonts w:asciiTheme="minorHAnsi" w:hAnsiTheme="minorHAnsi"/>
                <w:lang w:val="es-ES_tradnl"/>
              </w:rPr>
              <w:lastRenderedPageBreak/>
              <w:t xml:space="preserve">CMI con disponibilidad permanente de medicamentos e insumos necesarios para la atención de emergencia obstétrica y  neonatal </w:t>
            </w:r>
          </w:p>
        </w:tc>
        <w:tc>
          <w:tcPr>
            <w:tcW w:w="1440" w:type="dxa"/>
            <w:vAlign w:val="center"/>
          </w:tcPr>
          <w:p w:rsidR="0015241D" w:rsidRPr="00B45E27" w:rsidRDefault="0015241D" w:rsidP="00432FB8">
            <w:pPr>
              <w:jc w:val="center"/>
              <w:rPr>
                <w:rFonts w:asciiTheme="minorHAnsi" w:hAnsiTheme="minorHAnsi"/>
                <w:lang w:val="es-MX"/>
              </w:rPr>
            </w:pPr>
            <w:r w:rsidRPr="00B45E27">
              <w:rPr>
                <w:rFonts w:asciiTheme="minorHAnsi" w:hAnsiTheme="minorHAnsi"/>
                <w:lang w:val="es-MX"/>
              </w:rPr>
              <w:t>%</w:t>
            </w:r>
          </w:p>
        </w:tc>
        <w:tc>
          <w:tcPr>
            <w:tcW w:w="1857" w:type="dxa"/>
            <w:vAlign w:val="center"/>
          </w:tcPr>
          <w:p w:rsidR="0015241D" w:rsidRPr="00B45E27" w:rsidRDefault="0015241D" w:rsidP="00432FB8">
            <w:pPr>
              <w:jc w:val="center"/>
              <w:rPr>
                <w:rFonts w:asciiTheme="minorHAnsi" w:hAnsiTheme="minorHAnsi"/>
              </w:rPr>
            </w:pPr>
            <w:r w:rsidRPr="00B45E27">
              <w:rPr>
                <w:rFonts w:asciiTheme="minorHAnsi" w:hAnsiTheme="minorHAnsi"/>
              </w:rPr>
              <w:t>85 %</w:t>
            </w:r>
            <w:r w:rsidRPr="00B45E27">
              <w:rPr>
                <w:rStyle w:val="FootnoteReference"/>
                <w:rFonts w:asciiTheme="minorHAnsi" w:hAnsiTheme="minorHAnsi"/>
              </w:rPr>
              <w:footnoteReference w:id="2"/>
            </w:r>
          </w:p>
        </w:tc>
        <w:tc>
          <w:tcPr>
            <w:tcW w:w="1701" w:type="dxa"/>
            <w:vAlign w:val="center"/>
          </w:tcPr>
          <w:p w:rsidR="0015241D" w:rsidRPr="00B45E27" w:rsidRDefault="001157F3" w:rsidP="00432FB8">
            <w:pPr>
              <w:jc w:val="center"/>
              <w:rPr>
                <w:rFonts w:asciiTheme="minorHAnsi" w:hAnsiTheme="minorHAnsi"/>
                <w:lang w:val="es-MX"/>
              </w:rPr>
            </w:pPr>
            <w:r w:rsidRPr="00B45E27">
              <w:rPr>
                <w:rFonts w:asciiTheme="minorHAnsi" w:hAnsiTheme="minorHAnsi"/>
                <w:lang w:val="es-MX"/>
              </w:rPr>
              <w:t>88%</w:t>
            </w:r>
          </w:p>
        </w:tc>
        <w:tc>
          <w:tcPr>
            <w:tcW w:w="2409" w:type="dxa"/>
            <w:vAlign w:val="center"/>
          </w:tcPr>
          <w:p w:rsidR="0015241D" w:rsidRPr="00B45E27" w:rsidRDefault="001157F3" w:rsidP="001157F3">
            <w:pPr>
              <w:jc w:val="center"/>
              <w:rPr>
                <w:rFonts w:asciiTheme="minorHAnsi" w:hAnsiTheme="minorHAnsi"/>
                <w:lang w:val="es-ES_tradnl"/>
              </w:rPr>
            </w:pPr>
            <w:r w:rsidRPr="00B45E27">
              <w:rPr>
                <w:rFonts w:asciiTheme="minorHAnsi" w:hAnsiTheme="minorHAnsi"/>
                <w:lang w:val="es-ES_tradnl"/>
              </w:rPr>
              <w:t>90</w:t>
            </w:r>
          </w:p>
        </w:tc>
      </w:tr>
      <w:tr w:rsidR="001157F3" w:rsidRPr="0030563F" w:rsidTr="00F167AE">
        <w:trPr>
          <w:cantSplit/>
        </w:trPr>
        <w:tc>
          <w:tcPr>
            <w:tcW w:w="4608" w:type="dxa"/>
            <w:vAlign w:val="center"/>
          </w:tcPr>
          <w:p w:rsidR="001157F3" w:rsidRPr="00B45E27" w:rsidRDefault="001157F3" w:rsidP="001157F3">
            <w:pPr>
              <w:jc w:val="both"/>
              <w:rPr>
                <w:rFonts w:asciiTheme="minorHAnsi" w:hAnsiTheme="minorHAnsi"/>
                <w:lang w:val="es-ES_tradnl"/>
              </w:rPr>
            </w:pPr>
            <w:r w:rsidRPr="00B45E27">
              <w:rPr>
                <w:rFonts w:asciiTheme="minorHAnsi" w:hAnsiTheme="minorHAnsi"/>
                <w:lang w:val="es-ES_tradnl"/>
              </w:rPr>
              <w:t>Establecimientos de primer nivel con disponibilidad permanente de micronutrientes en polvo para la suplementación en el hogar</w:t>
            </w:r>
          </w:p>
        </w:tc>
        <w:tc>
          <w:tcPr>
            <w:tcW w:w="1440" w:type="dxa"/>
            <w:vAlign w:val="center"/>
          </w:tcPr>
          <w:p w:rsidR="001157F3" w:rsidRPr="00B45E27" w:rsidRDefault="001157F3" w:rsidP="001157F3">
            <w:pPr>
              <w:jc w:val="center"/>
              <w:rPr>
                <w:rFonts w:asciiTheme="minorHAnsi" w:hAnsiTheme="minorHAnsi"/>
                <w:lang w:val="es-MX"/>
              </w:rPr>
            </w:pPr>
            <w:r w:rsidRPr="00B45E27">
              <w:rPr>
                <w:rFonts w:asciiTheme="minorHAnsi" w:hAnsiTheme="minorHAnsi"/>
                <w:lang w:val="es-MX"/>
              </w:rPr>
              <w:t>%</w:t>
            </w:r>
          </w:p>
        </w:tc>
        <w:tc>
          <w:tcPr>
            <w:tcW w:w="1857" w:type="dxa"/>
            <w:vAlign w:val="center"/>
          </w:tcPr>
          <w:p w:rsidR="001157F3" w:rsidRPr="00082F86" w:rsidRDefault="00082F86" w:rsidP="001157F3">
            <w:pPr>
              <w:jc w:val="center"/>
              <w:rPr>
                <w:rFonts w:asciiTheme="minorHAnsi" w:hAnsiTheme="minorHAnsi"/>
              </w:rPr>
            </w:pPr>
            <w:r w:rsidRPr="00082F86">
              <w:rPr>
                <w:rFonts w:asciiTheme="minorHAnsi" w:hAnsiTheme="minorHAnsi"/>
              </w:rPr>
              <w:t>75%</w:t>
            </w:r>
          </w:p>
        </w:tc>
        <w:tc>
          <w:tcPr>
            <w:tcW w:w="1701" w:type="dxa"/>
            <w:vAlign w:val="center"/>
          </w:tcPr>
          <w:p w:rsidR="001157F3" w:rsidRPr="00082F86" w:rsidRDefault="00082F86" w:rsidP="00082F86">
            <w:pPr>
              <w:jc w:val="center"/>
              <w:rPr>
                <w:rFonts w:asciiTheme="minorHAnsi" w:hAnsiTheme="minorHAnsi"/>
                <w:lang w:val="es-MX"/>
              </w:rPr>
            </w:pPr>
            <w:r w:rsidRPr="00082F86">
              <w:rPr>
                <w:rFonts w:asciiTheme="minorHAnsi" w:hAnsiTheme="minorHAnsi"/>
              </w:rPr>
              <w:t>75%</w:t>
            </w:r>
          </w:p>
        </w:tc>
        <w:tc>
          <w:tcPr>
            <w:tcW w:w="2409" w:type="dxa"/>
            <w:vAlign w:val="center"/>
          </w:tcPr>
          <w:p w:rsidR="001157F3" w:rsidRPr="00082F86" w:rsidRDefault="00082F86" w:rsidP="00082F86">
            <w:pPr>
              <w:jc w:val="center"/>
              <w:rPr>
                <w:rFonts w:asciiTheme="minorHAnsi" w:hAnsiTheme="minorHAnsi"/>
                <w:lang w:val="es-ES_tradnl"/>
              </w:rPr>
            </w:pPr>
            <w:r w:rsidRPr="00082F86">
              <w:rPr>
                <w:rFonts w:asciiTheme="minorHAnsi" w:hAnsiTheme="minorHAnsi"/>
              </w:rPr>
              <w:t>75%</w:t>
            </w:r>
          </w:p>
        </w:tc>
      </w:tr>
      <w:tr w:rsidR="00B45E27" w:rsidRPr="0030563F" w:rsidTr="00F167AE">
        <w:trPr>
          <w:cantSplit/>
        </w:trPr>
        <w:tc>
          <w:tcPr>
            <w:tcW w:w="4608" w:type="dxa"/>
            <w:vAlign w:val="center"/>
          </w:tcPr>
          <w:p w:rsidR="00B45E27" w:rsidRPr="00B45E27" w:rsidRDefault="00B45E27" w:rsidP="001157F3">
            <w:pPr>
              <w:jc w:val="both"/>
              <w:rPr>
                <w:lang w:val="es-ES_tradnl"/>
              </w:rPr>
            </w:pPr>
            <w:r w:rsidRPr="00F167AE">
              <w:rPr>
                <w:rFonts w:asciiTheme="minorHAnsi" w:hAnsiTheme="minorHAnsi"/>
                <w:lang w:val="es-ES_tradnl"/>
              </w:rPr>
              <w:t>% de familias que cumplen con la certificación de corresponsabilidad del BVM en salud</w:t>
            </w:r>
          </w:p>
        </w:tc>
        <w:tc>
          <w:tcPr>
            <w:tcW w:w="1440" w:type="dxa"/>
            <w:vAlign w:val="center"/>
          </w:tcPr>
          <w:p w:rsidR="00B45E27" w:rsidRPr="00B45E27" w:rsidRDefault="00F167AE" w:rsidP="001157F3">
            <w:pPr>
              <w:jc w:val="center"/>
              <w:rPr>
                <w:lang w:val="es-MX"/>
              </w:rPr>
            </w:pPr>
            <w:r>
              <w:rPr>
                <w:lang w:val="es-MX"/>
              </w:rPr>
              <w:t>%</w:t>
            </w:r>
          </w:p>
        </w:tc>
        <w:tc>
          <w:tcPr>
            <w:tcW w:w="1857" w:type="dxa"/>
            <w:vAlign w:val="center"/>
          </w:tcPr>
          <w:p w:rsidR="00B45E27" w:rsidRPr="00F167AE" w:rsidRDefault="00F167AE" w:rsidP="001157F3">
            <w:pPr>
              <w:jc w:val="center"/>
              <w:rPr>
                <w:lang w:val="es-HN"/>
              </w:rPr>
            </w:pPr>
            <w:r w:rsidRPr="00F167AE">
              <w:rPr>
                <w:lang w:val="es-HN"/>
              </w:rPr>
              <w:t>0</w:t>
            </w:r>
            <w:r>
              <w:rPr>
                <w:lang w:val="es-HN"/>
              </w:rPr>
              <w:t>%</w:t>
            </w:r>
          </w:p>
        </w:tc>
        <w:tc>
          <w:tcPr>
            <w:tcW w:w="1701" w:type="dxa"/>
            <w:vAlign w:val="center"/>
          </w:tcPr>
          <w:p w:rsidR="00B45E27" w:rsidRPr="00F167AE" w:rsidRDefault="00F167AE" w:rsidP="001157F3">
            <w:pPr>
              <w:jc w:val="center"/>
              <w:rPr>
                <w:lang w:val="es-MX"/>
              </w:rPr>
            </w:pPr>
            <w:r w:rsidRPr="00F167AE">
              <w:rPr>
                <w:lang w:val="es-MX"/>
              </w:rPr>
              <w:t>60%</w:t>
            </w:r>
          </w:p>
        </w:tc>
        <w:tc>
          <w:tcPr>
            <w:tcW w:w="2409" w:type="dxa"/>
            <w:vAlign w:val="center"/>
          </w:tcPr>
          <w:p w:rsidR="00B45E27" w:rsidRPr="00F167AE" w:rsidRDefault="00F167AE" w:rsidP="001157F3">
            <w:pPr>
              <w:jc w:val="center"/>
              <w:rPr>
                <w:lang w:val="es-MX"/>
              </w:rPr>
            </w:pPr>
            <w:r w:rsidRPr="00F167AE">
              <w:rPr>
                <w:lang w:val="es-MX"/>
              </w:rPr>
              <w:t>80%</w:t>
            </w:r>
          </w:p>
        </w:tc>
      </w:tr>
      <w:tr w:rsidR="00B45E27" w:rsidRPr="0030563F" w:rsidTr="00F167AE">
        <w:trPr>
          <w:cantSplit/>
        </w:trPr>
        <w:tc>
          <w:tcPr>
            <w:tcW w:w="4608" w:type="dxa"/>
            <w:vAlign w:val="center"/>
          </w:tcPr>
          <w:p w:rsidR="00B45E27" w:rsidRPr="00B45E27" w:rsidRDefault="00B45E27" w:rsidP="00B45E27">
            <w:pPr>
              <w:spacing w:after="40"/>
              <w:jc w:val="both"/>
              <w:rPr>
                <w:rFonts w:asciiTheme="minorHAnsi" w:hAnsiTheme="minorHAnsi" w:cs="Arial"/>
                <w:color w:val="000000"/>
                <w:lang w:val="es-ES_tradnl" w:eastAsia="es-ES"/>
              </w:rPr>
            </w:pPr>
            <w:r w:rsidRPr="00B45E27">
              <w:rPr>
                <w:rFonts w:asciiTheme="minorHAnsi" w:hAnsiTheme="minorHAnsi" w:cs="Arial"/>
                <w:color w:val="000000"/>
                <w:lang w:val="es-ES_tradnl" w:eastAsia="es-ES"/>
              </w:rPr>
              <w:t>% de atención neonatal en los primeros 3 días de nacido</w:t>
            </w:r>
          </w:p>
        </w:tc>
        <w:tc>
          <w:tcPr>
            <w:tcW w:w="1440" w:type="dxa"/>
            <w:vAlign w:val="center"/>
          </w:tcPr>
          <w:p w:rsidR="00B45E27" w:rsidRPr="00B45E27" w:rsidRDefault="00B45E27" w:rsidP="00EC5154">
            <w:pPr>
              <w:spacing w:after="40"/>
              <w:jc w:val="center"/>
              <w:rPr>
                <w:rFonts w:asciiTheme="minorHAnsi" w:hAnsiTheme="minorHAnsi" w:cs="Arial"/>
                <w:color w:val="000000"/>
                <w:lang w:val="es-ES_tradnl" w:eastAsia="es-ES"/>
              </w:rPr>
            </w:pPr>
            <w:r w:rsidRPr="00B45E27">
              <w:rPr>
                <w:rFonts w:asciiTheme="minorHAnsi" w:hAnsiTheme="minorHAnsi" w:cs="Arial"/>
                <w:iCs/>
                <w:color w:val="000000"/>
                <w:lang w:val="es-ES_tradnl" w:eastAsia="es-ES"/>
              </w:rPr>
              <w:t>%</w:t>
            </w:r>
          </w:p>
        </w:tc>
        <w:tc>
          <w:tcPr>
            <w:tcW w:w="1857" w:type="dxa"/>
            <w:vAlign w:val="center"/>
          </w:tcPr>
          <w:p w:rsidR="00B45E27" w:rsidRPr="00B45E27" w:rsidRDefault="00B45E27" w:rsidP="00EC5154">
            <w:pPr>
              <w:spacing w:after="40"/>
              <w:jc w:val="center"/>
              <w:rPr>
                <w:rFonts w:asciiTheme="minorHAnsi" w:hAnsiTheme="minorHAnsi" w:cs="Arial"/>
                <w:color w:val="000000"/>
                <w:lang w:val="es-ES_tradnl" w:eastAsia="es-ES"/>
              </w:rPr>
            </w:pPr>
            <w:r w:rsidRPr="00B45E27">
              <w:rPr>
                <w:rFonts w:asciiTheme="minorHAnsi" w:hAnsiTheme="minorHAnsi" w:cs="Arial"/>
                <w:color w:val="000000"/>
                <w:lang w:val="es-ES_tradnl" w:eastAsia="es-ES"/>
              </w:rPr>
              <w:t xml:space="preserve">No hay registro  </w:t>
            </w:r>
          </w:p>
        </w:tc>
        <w:tc>
          <w:tcPr>
            <w:tcW w:w="1701" w:type="dxa"/>
          </w:tcPr>
          <w:p w:rsidR="00B45E27" w:rsidRPr="00B45E27" w:rsidRDefault="00B45E27" w:rsidP="00B45E27">
            <w:pPr>
              <w:jc w:val="center"/>
              <w:rPr>
                <w:rFonts w:asciiTheme="minorHAnsi" w:hAnsiTheme="minorHAnsi"/>
              </w:rPr>
            </w:pPr>
            <w:r w:rsidRPr="00B45E27">
              <w:rPr>
                <w:rFonts w:asciiTheme="minorHAnsi" w:hAnsiTheme="minorHAnsi"/>
              </w:rPr>
              <w:t>40%</w:t>
            </w:r>
          </w:p>
        </w:tc>
        <w:tc>
          <w:tcPr>
            <w:tcW w:w="2409" w:type="dxa"/>
            <w:vAlign w:val="center"/>
          </w:tcPr>
          <w:p w:rsidR="00B45E27" w:rsidRPr="00B45E27" w:rsidRDefault="00B45E27" w:rsidP="00EC5154">
            <w:pPr>
              <w:spacing w:after="40"/>
              <w:jc w:val="center"/>
              <w:rPr>
                <w:rFonts w:asciiTheme="minorHAnsi" w:hAnsiTheme="minorHAnsi" w:cs="Arial"/>
                <w:color w:val="000000"/>
                <w:lang w:val="es-ES_tradnl" w:eastAsia="es-ES"/>
              </w:rPr>
            </w:pPr>
            <w:r w:rsidRPr="00B45E27">
              <w:rPr>
                <w:rFonts w:asciiTheme="minorHAnsi" w:hAnsiTheme="minorHAnsi" w:cs="Arial"/>
                <w:color w:val="000000"/>
                <w:lang w:val="es-ES_tradnl" w:eastAsia="es-ES"/>
              </w:rPr>
              <w:t>52%</w:t>
            </w:r>
          </w:p>
        </w:tc>
      </w:tr>
      <w:tr w:rsidR="00082F86" w:rsidRPr="0030563F" w:rsidTr="00D03FD6">
        <w:trPr>
          <w:cantSplit/>
        </w:trPr>
        <w:tc>
          <w:tcPr>
            <w:tcW w:w="12015" w:type="dxa"/>
            <w:gridSpan w:val="5"/>
            <w:shd w:val="clear" w:color="auto" w:fill="DBE5F1" w:themeFill="accent1" w:themeFillTint="33"/>
            <w:vAlign w:val="center"/>
          </w:tcPr>
          <w:p w:rsidR="00082F86" w:rsidRPr="00B45E27" w:rsidRDefault="00082F86" w:rsidP="00082F86">
            <w:pPr>
              <w:spacing w:after="40"/>
              <w:rPr>
                <w:rFonts w:cs="Arial"/>
                <w:color w:val="000000"/>
                <w:lang w:val="es-ES_tradnl" w:eastAsia="es-ES"/>
              </w:rPr>
            </w:pPr>
            <w:r w:rsidRPr="00B45E27">
              <w:rPr>
                <w:rFonts w:asciiTheme="minorHAnsi" w:hAnsiTheme="minorHAnsi"/>
                <w:b/>
                <w:lang w:val="es-MX"/>
              </w:rPr>
              <w:t xml:space="preserve">Modelo de Gestión Descentralizada de Servicios de Salud de </w:t>
            </w:r>
            <w:r>
              <w:rPr>
                <w:rFonts w:asciiTheme="minorHAnsi" w:hAnsiTheme="minorHAnsi"/>
                <w:b/>
                <w:lang w:val="es-MX"/>
              </w:rPr>
              <w:t>segundo</w:t>
            </w:r>
            <w:r w:rsidRPr="00B45E27">
              <w:rPr>
                <w:rFonts w:asciiTheme="minorHAnsi" w:hAnsiTheme="minorHAnsi"/>
                <w:b/>
                <w:lang w:val="es-MX"/>
              </w:rPr>
              <w:t xml:space="preserve"> nivel fortalecida</w:t>
            </w:r>
          </w:p>
        </w:tc>
      </w:tr>
      <w:tr w:rsidR="00974AB3" w:rsidRPr="0030563F" w:rsidTr="00F167AE">
        <w:trPr>
          <w:cantSplit/>
        </w:trPr>
        <w:tc>
          <w:tcPr>
            <w:tcW w:w="4608" w:type="dxa"/>
            <w:vAlign w:val="center"/>
          </w:tcPr>
          <w:p w:rsidR="00974AB3" w:rsidRPr="00B45E27" w:rsidRDefault="00974AB3" w:rsidP="00B45E27">
            <w:pPr>
              <w:jc w:val="both"/>
              <w:rPr>
                <w:lang w:val="es-ES_tradnl"/>
              </w:rPr>
            </w:pPr>
            <w:r w:rsidRPr="00B45E27">
              <w:rPr>
                <w:rFonts w:asciiTheme="minorHAnsi" w:hAnsiTheme="minorHAnsi"/>
                <w:lang w:val="es-HN"/>
              </w:rPr>
              <w:t>Gestores descentralizados certi</w:t>
            </w:r>
            <w:r>
              <w:rPr>
                <w:rFonts w:asciiTheme="minorHAnsi" w:hAnsiTheme="minorHAnsi"/>
                <w:lang w:val="es-HN"/>
              </w:rPr>
              <w:t>ficados para el manejo de la atención hospitalaria</w:t>
            </w:r>
          </w:p>
        </w:tc>
        <w:tc>
          <w:tcPr>
            <w:tcW w:w="1440" w:type="dxa"/>
            <w:vAlign w:val="center"/>
          </w:tcPr>
          <w:p w:rsidR="00974AB3" w:rsidRPr="00974AB3" w:rsidRDefault="00974AB3" w:rsidP="00B45E27">
            <w:pPr>
              <w:jc w:val="center"/>
              <w:rPr>
                <w:lang w:val="es-ES_tradnl"/>
              </w:rPr>
            </w:pPr>
            <w:r>
              <w:rPr>
                <w:rFonts w:asciiTheme="minorHAnsi" w:hAnsiTheme="minorHAnsi"/>
                <w:lang w:val="es-HN"/>
              </w:rPr>
              <w:t>numero</w:t>
            </w:r>
            <w:r w:rsidRPr="00B45E27">
              <w:rPr>
                <w:rFonts w:asciiTheme="minorHAnsi" w:hAnsiTheme="minorHAnsi"/>
                <w:lang w:val="es-HN"/>
              </w:rPr>
              <w:t xml:space="preserve"> de Gestores que cumplen con los criterios de certificación</w:t>
            </w:r>
          </w:p>
        </w:tc>
        <w:tc>
          <w:tcPr>
            <w:tcW w:w="1857" w:type="dxa"/>
            <w:vAlign w:val="center"/>
          </w:tcPr>
          <w:p w:rsidR="00974AB3" w:rsidRPr="00974AB3" w:rsidRDefault="00974AB3" w:rsidP="00B45E27">
            <w:pPr>
              <w:jc w:val="center"/>
              <w:rPr>
                <w:lang w:val="es-HN"/>
              </w:rPr>
            </w:pPr>
            <w:r>
              <w:rPr>
                <w:lang w:val="es-HN"/>
              </w:rPr>
              <w:t>0</w:t>
            </w:r>
          </w:p>
        </w:tc>
        <w:tc>
          <w:tcPr>
            <w:tcW w:w="1701" w:type="dxa"/>
            <w:vAlign w:val="center"/>
          </w:tcPr>
          <w:p w:rsidR="00974AB3" w:rsidRPr="00B45E27" w:rsidRDefault="00974AB3" w:rsidP="00B45E27">
            <w:pPr>
              <w:jc w:val="center"/>
              <w:rPr>
                <w:lang w:val="es-MX"/>
              </w:rPr>
            </w:pPr>
            <w:r>
              <w:rPr>
                <w:lang w:val="es-MX"/>
              </w:rPr>
              <w:t>3</w:t>
            </w:r>
          </w:p>
        </w:tc>
        <w:tc>
          <w:tcPr>
            <w:tcW w:w="2409" w:type="dxa"/>
            <w:vAlign w:val="center"/>
          </w:tcPr>
          <w:p w:rsidR="00974AB3" w:rsidRPr="00B45E27" w:rsidRDefault="00974AB3" w:rsidP="00B45E27">
            <w:pPr>
              <w:jc w:val="center"/>
              <w:rPr>
                <w:lang w:val="es-ES_tradnl"/>
              </w:rPr>
            </w:pPr>
            <w:r>
              <w:rPr>
                <w:lang w:val="es-ES_tradnl"/>
              </w:rPr>
              <w:t>4</w:t>
            </w:r>
          </w:p>
        </w:tc>
      </w:tr>
      <w:tr w:rsidR="00B45E27" w:rsidRPr="0030563F" w:rsidTr="00F167AE">
        <w:trPr>
          <w:cantSplit/>
        </w:trPr>
        <w:tc>
          <w:tcPr>
            <w:tcW w:w="4608" w:type="dxa"/>
            <w:vAlign w:val="center"/>
          </w:tcPr>
          <w:p w:rsidR="00B45E27" w:rsidRPr="00B45E27" w:rsidRDefault="00B45E27" w:rsidP="00B45E27">
            <w:pPr>
              <w:jc w:val="both"/>
              <w:rPr>
                <w:rFonts w:asciiTheme="minorHAnsi" w:hAnsiTheme="minorHAnsi"/>
                <w:lang w:val="es-ES_tradnl"/>
              </w:rPr>
            </w:pPr>
            <w:r w:rsidRPr="00B45E27">
              <w:rPr>
                <w:rFonts w:asciiTheme="minorHAnsi" w:hAnsiTheme="minorHAnsi"/>
                <w:lang w:val="es-ES_tradnl"/>
              </w:rPr>
              <w:t>Unidades de Salud de Segundo Nivel con disponibilidad permanente de medicamentos e insumos y equipos necesarios para la at</w:t>
            </w:r>
            <w:r w:rsidR="00974AB3">
              <w:rPr>
                <w:rFonts w:asciiTheme="minorHAnsi" w:hAnsiTheme="minorHAnsi"/>
                <w:lang w:val="es-ES_tradnl"/>
              </w:rPr>
              <w:t>ención de emergencia obstétrica.</w:t>
            </w:r>
          </w:p>
        </w:tc>
        <w:tc>
          <w:tcPr>
            <w:tcW w:w="1440" w:type="dxa"/>
            <w:vAlign w:val="center"/>
          </w:tcPr>
          <w:p w:rsidR="00B45E27" w:rsidRPr="00B45E27" w:rsidRDefault="00B45E27" w:rsidP="00B45E27">
            <w:pPr>
              <w:jc w:val="center"/>
              <w:rPr>
                <w:rFonts w:asciiTheme="minorHAnsi" w:hAnsiTheme="minorHAnsi"/>
                <w:lang w:val="es-MX"/>
              </w:rPr>
            </w:pPr>
            <w:r w:rsidRPr="00B45E27">
              <w:rPr>
                <w:rFonts w:asciiTheme="minorHAnsi" w:hAnsiTheme="minorHAnsi"/>
                <w:lang w:val="es-MX"/>
              </w:rPr>
              <w:t>%</w:t>
            </w:r>
          </w:p>
        </w:tc>
        <w:tc>
          <w:tcPr>
            <w:tcW w:w="1857" w:type="dxa"/>
            <w:vAlign w:val="center"/>
          </w:tcPr>
          <w:p w:rsidR="00B45E27" w:rsidRPr="00B45E27" w:rsidRDefault="00B45E27" w:rsidP="00B45E27">
            <w:pPr>
              <w:jc w:val="center"/>
              <w:rPr>
                <w:rFonts w:asciiTheme="minorHAnsi" w:hAnsiTheme="minorHAnsi"/>
              </w:rPr>
            </w:pPr>
            <w:r w:rsidRPr="00B45E27">
              <w:rPr>
                <w:rFonts w:asciiTheme="minorHAnsi" w:hAnsiTheme="minorHAnsi"/>
              </w:rPr>
              <w:t>48%</w:t>
            </w:r>
          </w:p>
        </w:tc>
        <w:tc>
          <w:tcPr>
            <w:tcW w:w="1701" w:type="dxa"/>
            <w:vAlign w:val="center"/>
          </w:tcPr>
          <w:p w:rsidR="00B45E27" w:rsidRPr="00B45E27" w:rsidRDefault="00B45E27" w:rsidP="00B45E27">
            <w:pPr>
              <w:jc w:val="center"/>
              <w:rPr>
                <w:rFonts w:asciiTheme="minorHAnsi" w:hAnsiTheme="minorHAnsi"/>
                <w:lang w:val="es-MX"/>
              </w:rPr>
            </w:pPr>
            <w:r w:rsidRPr="00B45E27">
              <w:rPr>
                <w:rFonts w:asciiTheme="minorHAnsi" w:hAnsiTheme="minorHAnsi"/>
                <w:lang w:val="es-MX"/>
              </w:rPr>
              <w:t>70%</w:t>
            </w:r>
          </w:p>
        </w:tc>
        <w:tc>
          <w:tcPr>
            <w:tcW w:w="2409" w:type="dxa"/>
            <w:vAlign w:val="center"/>
          </w:tcPr>
          <w:p w:rsidR="00B45E27" w:rsidRPr="00B45E27" w:rsidRDefault="00B45E27" w:rsidP="00B45E27">
            <w:pPr>
              <w:jc w:val="center"/>
              <w:rPr>
                <w:rFonts w:asciiTheme="minorHAnsi" w:hAnsiTheme="minorHAnsi"/>
                <w:lang w:val="es-ES_tradnl"/>
              </w:rPr>
            </w:pPr>
            <w:r w:rsidRPr="00B45E27">
              <w:rPr>
                <w:rFonts w:asciiTheme="minorHAnsi" w:hAnsiTheme="minorHAnsi"/>
                <w:lang w:val="es-ES_tradnl"/>
              </w:rPr>
              <w:t>80%</w:t>
            </w:r>
          </w:p>
        </w:tc>
      </w:tr>
      <w:tr w:rsidR="00B45E27" w:rsidRPr="0030563F" w:rsidTr="00F167AE">
        <w:trPr>
          <w:cantSplit/>
        </w:trPr>
        <w:tc>
          <w:tcPr>
            <w:tcW w:w="4608" w:type="dxa"/>
            <w:vAlign w:val="center"/>
          </w:tcPr>
          <w:p w:rsidR="00B45E27" w:rsidRPr="00B45E27" w:rsidRDefault="00B45E27" w:rsidP="00B45E27">
            <w:pPr>
              <w:jc w:val="both"/>
              <w:rPr>
                <w:rFonts w:asciiTheme="minorHAnsi" w:hAnsiTheme="minorHAnsi"/>
                <w:lang w:val="es-ES_tradnl"/>
              </w:rPr>
            </w:pPr>
            <w:r w:rsidRPr="00B45E27">
              <w:rPr>
                <w:rFonts w:asciiTheme="minorHAnsi" w:hAnsiTheme="minorHAnsi"/>
                <w:lang w:val="es-ES_tradnl"/>
              </w:rPr>
              <w:t>Unidades de Salud de Segundo Nivel con disponibilidad permanente de medicamentos e insumos y equipos necesarios para la atención de emergencia  neonatal</w:t>
            </w:r>
          </w:p>
        </w:tc>
        <w:tc>
          <w:tcPr>
            <w:tcW w:w="1440" w:type="dxa"/>
            <w:vAlign w:val="center"/>
          </w:tcPr>
          <w:p w:rsidR="00B45E27" w:rsidRPr="00B45E27" w:rsidRDefault="00B45E27" w:rsidP="00B45E27">
            <w:pPr>
              <w:spacing w:line="360" w:lineRule="auto"/>
              <w:jc w:val="center"/>
              <w:rPr>
                <w:rFonts w:asciiTheme="minorHAnsi" w:hAnsiTheme="minorHAnsi"/>
                <w:lang w:val="es-MX"/>
              </w:rPr>
            </w:pPr>
            <w:r>
              <w:rPr>
                <w:rFonts w:asciiTheme="minorHAnsi" w:hAnsiTheme="minorHAnsi"/>
                <w:lang w:val="es-MX"/>
              </w:rPr>
              <w:t>%</w:t>
            </w:r>
          </w:p>
        </w:tc>
        <w:tc>
          <w:tcPr>
            <w:tcW w:w="1857" w:type="dxa"/>
            <w:vAlign w:val="center"/>
          </w:tcPr>
          <w:p w:rsidR="00B45E27" w:rsidRPr="00B45E27" w:rsidRDefault="00B45E27" w:rsidP="00B45E27">
            <w:pPr>
              <w:jc w:val="center"/>
              <w:rPr>
                <w:rFonts w:asciiTheme="minorHAnsi" w:hAnsiTheme="minorHAnsi"/>
              </w:rPr>
            </w:pPr>
            <w:r w:rsidRPr="00B45E27">
              <w:rPr>
                <w:rFonts w:asciiTheme="minorHAnsi" w:hAnsiTheme="minorHAnsi"/>
              </w:rPr>
              <w:t>48%</w:t>
            </w:r>
          </w:p>
        </w:tc>
        <w:tc>
          <w:tcPr>
            <w:tcW w:w="1701" w:type="dxa"/>
            <w:vAlign w:val="center"/>
          </w:tcPr>
          <w:p w:rsidR="00B45E27" w:rsidRPr="00B45E27" w:rsidRDefault="00B45E27" w:rsidP="00B45E27">
            <w:pPr>
              <w:jc w:val="center"/>
              <w:rPr>
                <w:rFonts w:asciiTheme="minorHAnsi" w:hAnsiTheme="minorHAnsi"/>
                <w:lang w:val="es-MX"/>
              </w:rPr>
            </w:pPr>
            <w:r w:rsidRPr="00B45E27">
              <w:rPr>
                <w:rFonts w:asciiTheme="minorHAnsi" w:hAnsiTheme="minorHAnsi"/>
                <w:lang w:val="es-MX"/>
              </w:rPr>
              <w:t>70%</w:t>
            </w:r>
          </w:p>
        </w:tc>
        <w:tc>
          <w:tcPr>
            <w:tcW w:w="2409" w:type="dxa"/>
            <w:vAlign w:val="center"/>
          </w:tcPr>
          <w:p w:rsidR="00B45E27" w:rsidRPr="00B45E27" w:rsidRDefault="00B45E27" w:rsidP="00B45E27">
            <w:pPr>
              <w:jc w:val="center"/>
              <w:rPr>
                <w:rFonts w:asciiTheme="minorHAnsi" w:hAnsiTheme="minorHAnsi"/>
                <w:lang w:val="es-ES_tradnl"/>
              </w:rPr>
            </w:pPr>
            <w:r w:rsidRPr="00B45E27">
              <w:rPr>
                <w:rFonts w:asciiTheme="minorHAnsi" w:hAnsiTheme="minorHAnsi"/>
                <w:lang w:val="es-ES_tradnl"/>
              </w:rPr>
              <w:t>80%</w:t>
            </w:r>
          </w:p>
        </w:tc>
      </w:tr>
      <w:tr w:rsidR="00B45E27" w:rsidRPr="0030563F" w:rsidTr="00F167AE">
        <w:trPr>
          <w:cantSplit/>
        </w:trPr>
        <w:tc>
          <w:tcPr>
            <w:tcW w:w="4608" w:type="dxa"/>
            <w:vAlign w:val="center"/>
          </w:tcPr>
          <w:p w:rsidR="00B45E27" w:rsidRPr="004B3C30" w:rsidRDefault="00B45E27" w:rsidP="00B45E27">
            <w:pPr>
              <w:spacing w:after="40"/>
              <w:jc w:val="both"/>
              <w:rPr>
                <w:rFonts w:ascii="Arial" w:hAnsi="Arial" w:cs="Arial"/>
                <w:color w:val="000000"/>
                <w:lang w:val="es-ES_tradnl" w:eastAsia="es-ES"/>
              </w:rPr>
            </w:pPr>
            <w:r w:rsidRPr="00F167AE">
              <w:rPr>
                <w:rFonts w:asciiTheme="minorHAnsi" w:hAnsiTheme="minorHAnsi"/>
                <w:lang w:val="es-ES_tradnl"/>
              </w:rPr>
              <w:t>Disponibilidad de Ginecoobstetras de turno hospitalario 24 horas de día  / 7 días de la semana</w:t>
            </w:r>
            <w:r>
              <w:rPr>
                <w:rFonts w:ascii="Arial" w:hAnsi="Arial" w:cs="Arial"/>
                <w:color w:val="000000"/>
                <w:lang w:val="es-ES_tradnl" w:eastAsia="es-ES"/>
              </w:rPr>
              <w:t xml:space="preserve">  </w:t>
            </w:r>
          </w:p>
        </w:tc>
        <w:tc>
          <w:tcPr>
            <w:tcW w:w="1440" w:type="dxa"/>
            <w:vAlign w:val="center"/>
          </w:tcPr>
          <w:p w:rsidR="00B45E27" w:rsidRPr="00240941" w:rsidRDefault="00B45E27" w:rsidP="00B45E27">
            <w:pPr>
              <w:spacing w:after="40"/>
              <w:jc w:val="center"/>
              <w:rPr>
                <w:rFonts w:ascii="Arial" w:hAnsi="Arial" w:cs="Arial"/>
                <w:iCs/>
                <w:color w:val="000000"/>
                <w:lang w:val="es-ES_tradnl" w:eastAsia="es-ES"/>
              </w:rPr>
            </w:pPr>
            <w:r>
              <w:rPr>
                <w:rFonts w:ascii="Arial" w:hAnsi="Arial" w:cs="Arial"/>
                <w:iCs/>
                <w:color w:val="000000"/>
                <w:lang w:val="es-ES_tradnl" w:eastAsia="es-ES"/>
              </w:rPr>
              <w:t>%</w:t>
            </w:r>
          </w:p>
        </w:tc>
        <w:tc>
          <w:tcPr>
            <w:tcW w:w="1857" w:type="dxa"/>
            <w:vAlign w:val="center"/>
          </w:tcPr>
          <w:p w:rsidR="00B45E27" w:rsidRDefault="00B45E27" w:rsidP="00B45E27">
            <w:pPr>
              <w:spacing w:after="40"/>
              <w:jc w:val="center"/>
              <w:rPr>
                <w:rFonts w:ascii="Arial" w:hAnsi="Arial" w:cs="Arial"/>
                <w:color w:val="000000"/>
                <w:lang w:val="es-ES_tradnl" w:eastAsia="es-ES"/>
              </w:rPr>
            </w:pPr>
            <w:r>
              <w:rPr>
                <w:rFonts w:ascii="Arial" w:hAnsi="Arial" w:cs="Arial"/>
                <w:color w:val="000000"/>
                <w:lang w:val="es-ES_tradnl" w:eastAsia="es-ES"/>
              </w:rPr>
              <w:t xml:space="preserve">70% </w:t>
            </w:r>
          </w:p>
        </w:tc>
        <w:tc>
          <w:tcPr>
            <w:tcW w:w="1701" w:type="dxa"/>
          </w:tcPr>
          <w:p w:rsidR="00B45E27" w:rsidRPr="00F63FE3" w:rsidRDefault="00B45E27" w:rsidP="00B45E27">
            <w:pPr>
              <w:jc w:val="center"/>
              <w:rPr>
                <w:rFonts w:ascii="Arial" w:hAnsi="Arial" w:cs="Arial"/>
                <w:color w:val="000000"/>
                <w:lang w:val="es-ES_tradnl" w:eastAsia="es-ES"/>
              </w:rPr>
            </w:pPr>
            <w:r>
              <w:rPr>
                <w:rFonts w:ascii="Arial" w:hAnsi="Arial" w:cs="Arial"/>
                <w:color w:val="000000"/>
                <w:lang w:val="es-ES_tradnl" w:eastAsia="es-ES"/>
              </w:rPr>
              <w:t>80%</w:t>
            </w:r>
          </w:p>
        </w:tc>
        <w:tc>
          <w:tcPr>
            <w:tcW w:w="2409" w:type="dxa"/>
            <w:vAlign w:val="center"/>
          </w:tcPr>
          <w:p w:rsidR="00B45E27" w:rsidRDefault="00B45E27" w:rsidP="00B45E27">
            <w:pPr>
              <w:spacing w:after="40"/>
              <w:jc w:val="center"/>
              <w:rPr>
                <w:rFonts w:ascii="Arial" w:hAnsi="Arial" w:cs="Arial"/>
                <w:color w:val="000000"/>
                <w:lang w:val="es-ES_tradnl" w:eastAsia="es-ES"/>
              </w:rPr>
            </w:pPr>
            <w:r>
              <w:rPr>
                <w:rFonts w:ascii="Arial" w:hAnsi="Arial" w:cs="Arial"/>
                <w:color w:val="000000"/>
                <w:lang w:val="es-ES_tradnl" w:eastAsia="es-ES"/>
              </w:rPr>
              <w:t>80%</w:t>
            </w:r>
          </w:p>
        </w:tc>
      </w:tr>
    </w:tbl>
    <w:p w:rsidR="00E24DBC" w:rsidRDefault="00E24DBC" w:rsidP="00DE6116">
      <w:pPr>
        <w:autoSpaceDE w:val="0"/>
        <w:autoSpaceDN w:val="0"/>
        <w:adjustRightInd w:val="0"/>
        <w:spacing w:after="0" w:line="240" w:lineRule="auto"/>
        <w:jc w:val="both"/>
        <w:rPr>
          <w:rFonts w:asciiTheme="majorHAnsi" w:hAnsiTheme="majorHAnsi" w:cs="Times New Roman"/>
          <w:sz w:val="24"/>
          <w:szCs w:val="24"/>
        </w:rPr>
        <w:sectPr w:rsidR="00E24DBC" w:rsidSect="00E24DBC">
          <w:pgSz w:w="15840" w:h="12240" w:orient="landscape"/>
          <w:pgMar w:top="1701" w:right="1418" w:bottom="1701" w:left="1418" w:header="708" w:footer="708" w:gutter="0"/>
          <w:cols w:space="708"/>
          <w:docGrid w:linePitch="360"/>
        </w:sectPr>
      </w:pPr>
    </w:p>
    <w:p w:rsidR="00DE6116" w:rsidRDefault="00DE6116" w:rsidP="00DE6116">
      <w:pPr>
        <w:autoSpaceDE w:val="0"/>
        <w:autoSpaceDN w:val="0"/>
        <w:adjustRightInd w:val="0"/>
        <w:spacing w:after="0" w:line="240" w:lineRule="auto"/>
        <w:jc w:val="both"/>
        <w:rPr>
          <w:rFonts w:asciiTheme="majorHAnsi" w:hAnsiTheme="majorHAnsi" w:cs="Times New Roman"/>
          <w:sz w:val="24"/>
          <w:szCs w:val="24"/>
        </w:rPr>
      </w:pPr>
    </w:p>
    <w:p w:rsidR="00974AB3" w:rsidRPr="00700A4C" w:rsidRDefault="00700A4C" w:rsidP="00974AB3">
      <w:pPr>
        <w:jc w:val="both"/>
        <w:rPr>
          <w:rFonts w:ascii="Arial" w:hAnsi="Arial" w:cs="Arial"/>
          <w:b/>
          <w:color w:val="000000"/>
          <w:sz w:val="18"/>
          <w:szCs w:val="18"/>
          <w:lang w:val="es-ES"/>
        </w:rPr>
      </w:pPr>
      <w:r w:rsidRPr="00700A4C">
        <w:rPr>
          <w:rFonts w:ascii="Arial" w:hAnsi="Arial" w:cs="Arial"/>
          <w:b/>
          <w:color w:val="000000"/>
          <w:sz w:val="18"/>
          <w:szCs w:val="18"/>
          <w:lang w:val="es-ES"/>
        </w:rPr>
        <w:t>Aspecto que se tienen que considerar para la elaboración del modelo de certificación de Gestores.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981"/>
      </w:tblGrid>
      <w:tr w:rsidR="00974AB3" w:rsidRPr="00CB6163" w:rsidTr="00974AB3">
        <w:trPr>
          <w:trHeight w:val="443"/>
          <w:jc w:val="center"/>
        </w:trPr>
        <w:tc>
          <w:tcPr>
            <w:tcW w:w="2466" w:type="dxa"/>
            <w:shd w:val="clear" w:color="auto" w:fill="FDE9D9" w:themeFill="accent6" w:themeFillTint="33"/>
            <w:vAlign w:val="center"/>
          </w:tcPr>
          <w:p w:rsidR="00974AB3" w:rsidRPr="00CB6163" w:rsidRDefault="00974AB3" w:rsidP="003F66A5">
            <w:pPr>
              <w:tabs>
                <w:tab w:val="num" w:pos="480"/>
              </w:tabs>
              <w:spacing w:after="0" w:line="240" w:lineRule="auto"/>
              <w:jc w:val="center"/>
              <w:rPr>
                <w:rFonts w:ascii="Arial Narrow" w:hAnsi="Arial Narrow"/>
                <w:b/>
                <w:szCs w:val="24"/>
                <w:lang w:val="es-ES"/>
              </w:rPr>
            </w:pPr>
            <w:r w:rsidRPr="00CB6163">
              <w:rPr>
                <w:rFonts w:ascii="Arial Narrow" w:hAnsi="Arial Narrow"/>
                <w:b/>
                <w:szCs w:val="24"/>
                <w:lang w:val="es-ES"/>
              </w:rPr>
              <w:t>ÁMBITOS</w:t>
            </w:r>
          </w:p>
        </w:tc>
        <w:tc>
          <w:tcPr>
            <w:tcW w:w="7981" w:type="dxa"/>
            <w:shd w:val="clear" w:color="auto" w:fill="FDE9D9" w:themeFill="accent6" w:themeFillTint="33"/>
            <w:vAlign w:val="center"/>
          </w:tcPr>
          <w:p w:rsidR="00974AB3" w:rsidRPr="00CB6163" w:rsidRDefault="00974AB3" w:rsidP="003F66A5">
            <w:pPr>
              <w:tabs>
                <w:tab w:val="num" w:pos="480"/>
              </w:tabs>
              <w:spacing w:after="0" w:line="240" w:lineRule="auto"/>
              <w:jc w:val="center"/>
              <w:rPr>
                <w:rFonts w:ascii="Arial Narrow" w:hAnsi="Arial Narrow"/>
                <w:b/>
                <w:szCs w:val="24"/>
                <w:lang w:val="es-ES"/>
              </w:rPr>
            </w:pPr>
            <w:r w:rsidRPr="00CB6163">
              <w:rPr>
                <w:rFonts w:ascii="Arial Narrow" w:hAnsi="Arial Narrow"/>
                <w:b/>
                <w:szCs w:val="24"/>
                <w:lang w:val="es-ES"/>
              </w:rPr>
              <w:t>ELEMENTOS A TOMAR EN CUENTA</w:t>
            </w:r>
          </w:p>
        </w:tc>
      </w:tr>
      <w:tr w:rsidR="00974AB3" w:rsidRPr="00CB6163" w:rsidTr="00974AB3">
        <w:trPr>
          <w:jc w:val="center"/>
        </w:trPr>
        <w:tc>
          <w:tcPr>
            <w:tcW w:w="2466" w:type="dxa"/>
          </w:tcPr>
          <w:p w:rsidR="00974AB3" w:rsidRPr="00CB6163" w:rsidRDefault="00974AB3" w:rsidP="00974AB3">
            <w:pPr>
              <w:numPr>
                <w:ilvl w:val="0"/>
                <w:numId w:val="3"/>
              </w:numPr>
              <w:tabs>
                <w:tab w:val="clear" w:pos="720"/>
                <w:tab w:val="num" w:pos="361"/>
              </w:tabs>
              <w:spacing w:after="0" w:line="240" w:lineRule="auto"/>
              <w:ind w:left="357" w:hanging="357"/>
              <w:rPr>
                <w:rFonts w:ascii="Arial Narrow" w:hAnsi="Arial Narrow"/>
                <w:szCs w:val="24"/>
                <w:lang w:val="es-ES"/>
              </w:rPr>
            </w:pPr>
            <w:r w:rsidRPr="00CB6163">
              <w:rPr>
                <w:rFonts w:ascii="Arial Narrow" w:hAnsi="Arial Narrow"/>
                <w:szCs w:val="24"/>
                <w:lang w:val="es-ES"/>
              </w:rPr>
              <w:t>Gestión</w:t>
            </w:r>
            <w:r w:rsidRPr="00CB6163">
              <w:rPr>
                <w:rFonts w:ascii="Arial Narrow" w:hAnsi="Arial Narrow"/>
                <w:szCs w:val="24"/>
                <w:lang w:val="es-ES"/>
              </w:rPr>
              <w:br/>
            </w:r>
          </w:p>
        </w:tc>
        <w:tc>
          <w:tcPr>
            <w:tcW w:w="7981" w:type="dxa"/>
          </w:tcPr>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Administración Hospitalaria</w:t>
            </w:r>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Sistema de información Gerencial y Estadístico</w:t>
            </w:r>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Planeación estratégica y operativa</w:t>
            </w:r>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Control de Gestión: Monitoreo, Seguimiento y Evaluación.</w:t>
            </w:r>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Mejora continua de la calidad de procesos fiduciarios y técnico asistenciales.</w:t>
            </w:r>
          </w:p>
        </w:tc>
      </w:tr>
      <w:tr w:rsidR="00974AB3" w:rsidRPr="00CB6163" w:rsidTr="00974AB3">
        <w:trPr>
          <w:trHeight w:val="374"/>
          <w:jc w:val="center"/>
        </w:trPr>
        <w:tc>
          <w:tcPr>
            <w:tcW w:w="2466" w:type="dxa"/>
          </w:tcPr>
          <w:p w:rsidR="00974AB3" w:rsidRPr="00CB6163" w:rsidRDefault="00974AB3" w:rsidP="00974AB3">
            <w:pPr>
              <w:numPr>
                <w:ilvl w:val="0"/>
                <w:numId w:val="3"/>
              </w:numPr>
              <w:tabs>
                <w:tab w:val="clear" w:pos="720"/>
                <w:tab w:val="num" w:pos="361"/>
              </w:tabs>
              <w:spacing w:after="0" w:line="240" w:lineRule="auto"/>
              <w:ind w:left="357" w:hanging="357"/>
              <w:rPr>
                <w:rFonts w:ascii="Arial Narrow" w:hAnsi="Arial Narrow"/>
                <w:szCs w:val="24"/>
                <w:lang w:val="es-ES"/>
              </w:rPr>
            </w:pPr>
            <w:r w:rsidRPr="00CB6163">
              <w:rPr>
                <w:rFonts w:ascii="Arial Narrow" w:hAnsi="Arial Narrow"/>
                <w:szCs w:val="24"/>
                <w:lang w:val="es-ES"/>
              </w:rPr>
              <w:t>Técnica asistencial</w:t>
            </w:r>
          </w:p>
        </w:tc>
        <w:tc>
          <w:tcPr>
            <w:tcW w:w="7981" w:type="dxa"/>
          </w:tcPr>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Experiencia en la provisión de servicios de salud.</w:t>
            </w:r>
          </w:p>
        </w:tc>
      </w:tr>
      <w:tr w:rsidR="00974AB3" w:rsidRPr="00CB6163" w:rsidTr="00974AB3">
        <w:trPr>
          <w:jc w:val="center"/>
        </w:trPr>
        <w:tc>
          <w:tcPr>
            <w:tcW w:w="2466" w:type="dxa"/>
          </w:tcPr>
          <w:p w:rsidR="00974AB3" w:rsidRPr="00CB6163" w:rsidRDefault="00974AB3" w:rsidP="00974AB3">
            <w:pPr>
              <w:numPr>
                <w:ilvl w:val="0"/>
                <w:numId w:val="3"/>
              </w:numPr>
              <w:tabs>
                <w:tab w:val="clear" w:pos="720"/>
                <w:tab w:val="num" w:pos="361"/>
              </w:tabs>
              <w:spacing w:after="0" w:line="240" w:lineRule="auto"/>
              <w:ind w:left="357" w:hanging="357"/>
              <w:rPr>
                <w:rFonts w:ascii="Arial Narrow" w:hAnsi="Arial Narrow"/>
                <w:szCs w:val="24"/>
                <w:lang w:val="es-ES"/>
              </w:rPr>
            </w:pPr>
            <w:r w:rsidRPr="00CB6163">
              <w:rPr>
                <w:rFonts w:ascii="Arial Narrow" w:hAnsi="Arial Narrow"/>
                <w:szCs w:val="24"/>
                <w:lang w:val="es-ES"/>
              </w:rPr>
              <w:t>Financiera</w:t>
            </w:r>
            <w:r w:rsidRPr="00CB6163">
              <w:rPr>
                <w:rFonts w:ascii="Arial Narrow" w:hAnsi="Arial Narrow"/>
                <w:szCs w:val="24"/>
                <w:lang w:val="es-ES"/>
              </w:rPr>
              <w:br/>
            </w:r>
          </w:p>
        </w:tc>
        <w:tc>
          <w:tcPr>
            <w:tcW w:w="7981" w:type="dxa"/>
          </w:tcPr>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Contabilidad Financiera</w:t>
            </w:r>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Contabilidad de Costos</w:t>
            </w:r>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Sistema de Presupuesto</w:t>
            </w:r>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Sistema de Facturación</w:t>
            </w:r>
          </w:p>
        </w:tc>
      </w:tr>
      <w:tr w:rsidR="00974AB3" w:rsidRPr="00CB6163" w:rsidTr="00974AB3">
        <w:trPr>
          <w:jc w:val="center"/>
        </w:trPr>
        <w:tc>
          <w:tcPr>
            <w:tcW w:w="2466" w:type="dxa"/>
          </w:tcPr>
          <w:p w:rsidR="00974AB3" w:rsidRPr="00CB6163" w:rsidRDefault="00974AB3" w:rsidP="00974AB3">
            <w:pPr>
              <w:numPr>
                <w:ilvl w:val="0"/>
                <w:numId w:val="3"/>
              </w:numPr>
              <w:tabs>
                <w:tab w:val="clear" w:pos="720"/>
                <w:tab w:val="num" w:pos="361"/>
              </w:tabs>
              <w:spacing w:after="0" w:line="240" w:lineRule="auto"/>
              <w:ind w:left="357" w:hanging="357"/>
              <w:rPr>
                <w:rFonts w:ascii="Arial Narrow" w:hAnsi="Arial Narrow"/>
                <w:szCs w:val="24"/>
                <w:lang w:val="es-ES"/>
              </w:rPr>
            </w:pPr>
            <w:r w:rsidRPr="00CB6163">
              <w:rPr>
                <w:rFonts w:ascii="Arial Narrow" w:hAnsi="Arial Narrow"/>
                <w:szCs w:val="24"/>
                <w:lang w:val="es-ES"/>
              </w:rPr>
              <w:t>Recurso humano e infraestructura</w:t>
            </w:r>
            <w:r w:rsidRPr="00CB6163">
              <w:rPr>
                <w:rFonts w:ascii="Arial Narrow" w:hAnsi="Arial Narrow"/>
                <w:szCs w:val="24"/>
                <w:lang w:val="es-ES"/>
              </w:rPr>
              <w:br/>
            </w:r>
          </w:p>
        </w:tc>
        <w:tc>
          <w:tcPr>
            <w:tcW w:w="7981" w:type="dxa"/>
          </w:tcPr>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 xml:space="preserve">Planteamiento de </w:t>
            </w:r>
            <w:hyperlink r:id="rId9" w:history="1">
              <w:r w:rsidRPr="00CB6163">
                <w:rPr>
                  <w:rFonts w:ascii="Arial Narrow" w:hAnsi="Arial Narrow"/>
                  <w:szCs w:val="24"/>
                  <w:lang w:val="es-ES"/>
                </w:rPr>
                <w:t>políticas</w:t>
              </w:r>
            </w:hyperlink>
            <w:r w:rsidRPr="00CB6163">
              <w:rPr>
                <w:rFonts w:ascii="Arial Narrow" w:hAnsi="Arial Narrow"/>
                <w:szCs w:val="24"/>
                <w:lang w:val="es-ES"/>
              </w:rPr>
              <w:t xml:space="preserve"> y </w:t>
            </w:r>
            <w:hyperlink r:id="rId10" w:history="1">
              <w:r w:rsidRPr="00CB6163">
                <w:rPr>
                  <w:rFonts w:ascii="Arial Narrow" w:hAnsi="Arial Narrow"/>
                  <w:szCs w:val="24"/>
                  <w:lang w:val="es-ES"/>
                </w:rPr>
                <w:t>estrategias</w:t>
              </w:r>
            </w:hyperlink>
            <w:r w:rsidRPr="00CB6163">
              <w:rPr>
                <w:rFonts w:ascii="Arial Narrow" w:hAnsi="Arial Narrow"/>
                <w:szCs w:val="24"/>
                <w:lang w:val="es-ES"/>
              </w:rPr>
              <w:t xml:space="preserve"> de </w:t>
            </w:r>
            <w:hyperlink r:id="rId11" w:history="1">
              <w:r w:rsidRPr="00CB6163">
                <w:rPr>
                  <w:rFonts w:ascii="Arial Narrow" w:hAnsi="Arial Narrow"/>
                  <w:szCs w:val="24"/>
                  <w:lang w:val="es-ES"/>
                </w:rPr>
                <w:t>administración de recursos humanos</w:t>
              </w:r>
            </w:hyperlink>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Reglamento Interno de trabajo aprobado y socializado</w:t>
            </w:r>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Procesos definidos y ejecutados de selección, reclutamiento, contratación e inducción de personal</w:t>
            </w:r>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Planes de capacitación y certificación de personal</w:t>
            </w:r>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Planes de Docencia e Investigación</w:t>
            </w:r>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Recursos humanos: Dotación y suficiencia</w:t>
            </w:r>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Infraestructura empresarial</w:t>
            </w:r>
          </w:p>
        </w:tc>
      </w:tr>
      <w:tr w:rsidR="00974AB3" w:rsidRPr="00CB6163" w:rsidTr="00974AB3">
        <w:trPr>
          <w:jc w:val="center"/>
        </w:trPr>
        <w:tc>
          <w:tcPr>
            <w:tcW w:w="2466" w:type="dxa"/>
          </w:tcPr>
          <w:p w:rsidR="00974AB3" w:rsidRPr="00CB6163" w:rsidRDefault="00974AB3" w:rsidP="00974AB3">
            <w:pPr>
              <w:numPr>
                <w:ilvl w:val="0"/>
                <w:numId w:val="3"/>
              </w:numPr>
              <w:tabs>
                <w:tab w:val="clear" w:pos="720"/>
                <w:tab w:val="num" w:pos="361"/>
              </w:tabs>
              <w:spacing w:after="0" w:line="240" w:lineRule="auto"/>
              <w:ind w:left="357" w:hanging="357"/>
              <w:rPr>
                <w:rFonts w:ascii="Arial Narrow" w:hAnsi="Arial Narrow"/>
                <w:szCs w:val="24"/>
                <w:lang w:val="es-ES"/>
              </w:rPr>
            </w:pPr>
            <w:r w:rsidRPr="00CB6163">
              <w:rPr>
                <w:rFonts w:ascii="Arial Narrow" w:hAnsi="Arial Narrow"/>
                <w:szCs w:val="24"/>
                <w:lang w:val="es-ES"/>
              </w:rPr>
              <w:t>Gestión de los servicios de salud</w:t>
            </w:r>
            <w:r w:rsidRPr="00CB6163">
              <w:rPr>
                <w:rFonts w:ascii="Arial Narrow" w:hAnsi="Arial Narrow"/>
                <w:szCs w:val="24"/>
                <w:lang w:val="es-ES"/>
              </w:rPr>
              <w:br/>
            </w:r>
          </w:p>
        </w:tc>
        <w:tc>
          <w:tcPr>
            <w:tcW w:w="7981" w:type="dxa"/>
          </w:tcPr>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Organización y funcionamiento general</w:t>
            </w:r>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Gestión de la información y los registros de salud</w:t>
            </w:r>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Planeación de la atención en salud</w:t>
            </w:r>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Evaluación y seguimiento de la atención en salud</w:t>
            </w:r>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Mejora continua de la calidad de la atención en salud</w:t>
            </w:r>
          </w:p>
          <w:p w:rsidR="00974AB3" w:rsidRPr="00CB6163" w:rsidRDefault="00974AB3" w:rsidP="00974AB3">
            <w:pPr>
              <w:numPr>
                <w:ilvl w:val="0"/>
                <w:numId w:val="4"/>
              </w:numPr>
              <w:tabs>
                <w:tab w:val="clear" w:pos="170"/>
                <w:tab w:val="num" w:pos="308"/>
              </w:tabs>
              <w:spacing w:after="0" w:line="240" w:lineRule="auto"/>
              <w:ind w:left="308" w:hanging="308"/>
              <w:jc w:val="both"/>
              <w:rPr>
                <w:rFonts w:ascii="Arial Narrow" w:hAnsi="Arial Narrow"/>
                <w:szCs w:val="24"/>
                <w:lang w:val="es-ES"/>
              </w:rPr>
            </w:pPr>
            <w:r w:rsidRPr="00CB6163">
              <w:rPr>
                <w:rFonts w:ascii="Arial Narrow" w:hAnsi="Arial Narrow"/>
                <w:szCs w:val="24"/>
                <w:lang w:val="es-ES"/>
              </w:rPr>
              <w:t>Atención integral en salud</w:t>
            </w:r>
          </w:p>
        </w:tc>
      </w:tr>
    </w:tbl>
    <w:p w:rsidR="00974AB3" w:rsidRPr="00AC0F45" w:rsidRDefault="00974AB3" w:rsidP="00974AB3"/>
    <w:p w:rsidR="00700A4C" w:rsidRDefault="00700A4C">
      <w:pPr>
        <w:rPr>
          <w:rFonts w:asciiTheme="majorHAnsi" w:hAnsiTheme="majorHAnsi" w:cs="Times New Roman"/>
          <w:sz w:val="24"/>
          <w:szCs w:val="24"/>
        </w:rPr>
      </w:pPr>
      <w:r>
        <w:rPr>
          <w:rFonts w:asciiTheme="majorHAnsi" w:hAnsiTheme="majorHAnsi" w:cs="Times New Roman"/>
          <w:sz w:val="24"/>
          <w:szCs w:val="24"/>
        </w:rPr>
        <w:br w:type="page"/>
      </w:r>
    </w:p>
    <w:p w:rsidR="00332DC9" w:rsidRPr="00545F82" w:rsidRDefault="00332DC9" w:rsidP="00700A4C">
      <w:pPr>
        <w:spacing w:before="80" w:after="40"/>
        <w:rPr>
          <w:rFonts w:ascii="Arial" w:hAnsi="Arial" w:cs="Arial"/>
          <w:b/>
          <w:sz w:val="18"/>
          <w:szCs w:val="18"/>
          <w:lang w:val="es-ES"/>
        </w:rPr>
      </w:pPr>
      <w:r w:rsidRPr="00545F82">
        <w:rPr>
          <w:rFonts w:ascii="Arial" w:hAnsi="Arial" w:cs="Arial"/>
          <w:b/>
          <w:sz w:val="18"/>
          <w:szCs w:val="18"/>
          <w:lang w:val="es-ES"/>
        </w:rPr>
        <w:lastRenderedPageBreak/>
        <w:t>Lo descrito en el POD, evaluar si se podría incorporar en el Proyecto.</w:t>
      </w:r>
    </w:p>
    <w:p w:rsidR="00700A4C" w:rsidRPr="00545F82" w:rsidRDefault="00700A4C" w:rsidP="00700A4C">
      <w:pPr>
        <w:spacing w:before="80" w:after="40"/>
        <w:rPr>
          <w:rFonts w:ascii="Arial" w:hAnsi="Arial" w:cs="Arial"/>
          <w:b/>
          <w:sz w:val="18"/>
          <w:szCs w:val="18"/>
          <w:lang w:val="es-ES"/>
        </w:rPr>
      </w:pPr>
      <w:r w:rsidRPr="00545F82">
        <w:rPr>
          <w:rFonts w:ascii="Arial" w:hAnsi="Arial" w:cs="Arial"/>
          <w:b/>
          <w:sz w:val="18"/>
          <w:szCs w:val="18"/>
          <w:lang w:val="es-ES"/>
        </w:rPr>
        <w:t xml:space="preserve">Esquema del proyecto </w:t>
      </w:r>
    </w:p>
    <w:p w:rsidR="00700A4C" w:rsidRPr="00545F82" w:rsidRDefault="00700A4C" w:rsidP="00700A4C">
      <w:pPr>
        <w:spacing w:before="80" w:after="40"/>
        <w:jc w:val="both"/>
        <w:rPr>
          <w:rFonts w:ascii="Arial" w:hAnsi="Arial" w:cs="Arial"/>
          <w:b/>
          <w:sz w:val="18"/>
          <w:szCs w:val="18"/>
          <w:lang w:val="es-ES"/>
        </w:rPr>
      </w:pPr>
      <w:r w:rsidRPr="00545F82">
        <w:rPr>
          <w:rFonts w:ascii="Arial" w:hAnsi="Arial" w:cs="Arial"/>
          <w:b/>
          <w:sz w:val="18"/>
          <w:szCs w:val="18"/>
          <w:lang w:val="es-ES"/>
        </w:rPr>
        <w:t>Condiciones contractuales especiales previas al primer desembolso del financiamiento:</w:t>
      </w:r>
    </w:p>
    <w:p w:rsidR="00700A4C" w:rsidRPr="00545F82" w:rsidRDefault="00700A4C" w:rsidP="00700A4C">
      <w:pPr>
        <w:spacing w:before="40" w:after="40"/>
        <w:jc w:val="both"/>
        <w:rPr>
          <w:rFonts w:ascii="Arial" w:hAnsi="Arial" w:cs="Arial"/>
          <w:spacing w:val="-3"/>
          <w:sz w:val="18"/>
          <w:szCs w:val="18"/>
          <w:lang w:val="es-ES"/>
        </w:rPr>
      </w:pPr>
      <w:r w:rsidRPr="00545F82">
        <w:rPr>
          <w:rFonts w:ascii="Arial" w:hAnsi="Arial" w:cs="Arial"/>
          <w:color w:val="000000"/>
          <w:sz w:val="18"/>
          <w:szCs w:val="18"/>
          <w:lang w:val="es-ES"/>
        </w:rPr>
        <w:t xml:space="preserve">(i) Que se haya aprobado el Manual de Procedimientos Administrativos y Financieros del Programa Bono Vida mejor correspondiente al componente 1 de la presente operación, </w:t>
      </w:r>
      <w:r w:rsidRPr="00545F82">
        <w:rPr>
          <w:rFonts w:ascii="Arial" w:hAnsi="Arial" w:cs="Arial"/>
          <w:color w:val="000000"/>
          <w:sz w:val="18"/>
          <w:szCs w:val="18"/>
          <w:lang w:val="es-ES_tradnl"/>
        </w:rPr>
        <w:t xml:space="preserve">(ii) que se haya aprobado el </w:t>
      </w:r>
      <w:r w:rsidRPr="00545F82">
        <w:rPr>
          <w:rFonts w:ascii="Arial" w:hAnsi="Arial" w:cs="Arial"/>
          <w:color w:val="000000"/>
          <w:sz w:val="18"/>
          <w:szCs w:val="18"/>
        </w:rPr>
        <w:t xml:space="preserve">Manual Operativo en la SESAL correspondiente al componente 2 de la presente operación </w:t>
      </w:r>
      <w:r w:rsidRPr="00545F82">
        <w:rPr>
          <w:rFonts w:ascii="Arial" w:hAnsi="Arial" w:cs="Arial"/>
          <w:color w:val="000000"/>
          <w:sz w:val="18"/>
          <w:szCs w:val="18"/>
          <w:lang w:val="es-ES"/>
        </w:rPr>
        <w:t xml:space="preserve">según lo acordado con el Banco (ver </w:t>
      </w:r>
      <w:r w:rsidRPr="00545F82">
        <w:rPr>
          <w:rFonts w:ascii="Arial" w:hAnsi="Arial" w:cs="Arial"/>
          <w:color w:val="000000"/>
          <w:sz w:val="18"/>
          <w:szCs w:val="18"/>
          <w:lang w:val="es-ES"/>
        </w:rPr>
        <w:fldChar w:fldCharType="begin"/>
      </w:r>
      <w:r w:rsidRPr="00545F82">
        <w:rPr>
          <w:rFonts w:ascii="Arial" w:hAnsi="Arial" w:cs="Arial"/>
          <w:color w:val="000000"/>
          <w:sz w:val="18"/>
          <w:szCs w:val="18"/>
          <w:lang w:val="es-ES"/>
        </w:rPr>
        <w:instrText xml:space="preserve"> REF _Ref322599313 \r \h  \* MERGEFORMAT </w:instrText>
      </w:r>
      <w:r w:rsidRPr="00545F82">
        <w:rPr>
          <w:rFonts w:ascii="Arial" w:hAnsi="Arial" w:cs="Arial"/>
          <w:color w:val="000000"/>
          <w:sz w:val="18"/>
          <w:szCs w:val="18"/>
          <w:lang w:val="es-ES"/>
        </w:rPr>
      </w:r>
      <w:r w:rsidRPr="00545F82">
        <w:rPr>
          <w:rFonts w:ascii="Arial" w:hAnsi="Arial" w:cs="Arial"/>
          <w:color w:val="000000"/>
          <w:sz w:val="18"/>
          <w:szCs w:val="18"/>
          <w:lang w:val="es-ES"/>
        </w:rPr>
        <w:fldChar w:fldCharType="separate"/>
      </w:r>
      <w:r w:rsidRPr="00545F82">
        <w:rPr>
          <w:rFonts w:ascii="Arial" w:hAnsi="Arial" w:cs="Arial"/>
          <w:color w:val="000000"/>
          <w:sz w:val="18"/>
          <w:szCs w:val="18"/>
          <w:lang w:val="es-ES"/>
        </w:rPr>
        <w:t>3.4</w:t>
      </w:r>
      <w:r w:rsidRPr="00545F82">
        <w:rPr>
          <w:rFonts w:ascii="Arial" w:hAnsi="Arial" w:cs="Arial"/>
          <w:color w:val="000000"/>
          <w:sz w:val="18"/>
          <w:szCs w:val="18"/>
          <w:lang w:val="es-ES"/>
        </w:rPr>
        <w:fldChar w:fldCharType="end"/>
      </w:r>
      <w:r w:rsidRPr="00545F82">
        <w:rPr>
          <w:rFonts w:ascii="Arial" w:hAnsi="Arial" w:cs="Arial"/>
          <w:color w:val="000000"/>
          <w:sz w:val="18"/>
          <w:szCs w:val="18"/>
          <w:lang w:val="es-ES"/>
        </w:rPr>
        <w:t>.) y (iii) que se haya aprobado el manual de certificación de gestores de primer y segundo nivel por la SESAL, en términos aceptables por el Banco.</w:t>
      </w:r>
    </w:p>
    <w:p w:rsidR="00700A4C" w:rsidRPr="00545F82" w:rsidRDefault="00700A4C" w:rsidP="00700A4C">
      <w:pPr>
        <w:spacing w:before="40" w:after="40"/>
        <w:jc w:val="both"/>
        <w:rPr>
          <w:rFonts w:ascii="Arial" w:hAnsi="Arial" w:cs="Arial"/>
          <w:b/>
          <w:sz w:val="18"/>
          <w:szCs w:val="18"/>
          <w:lang w:val="es-ES"/>
        </w:rPr>
      </w:pPr>
      <w:r w:rsidRPr="00545F82">
        <w:rPr>
          <w:rFonts w:ascii="Arial" w:hAnsi="Arial" w:cs="Arial"/>
          <w:b/>
          <w:sz w:val="18"/>
          <w:szCs w:val="18"/>
          <w:lang w:val="es-ES"/>
        </w:rPr>
        <w:t>Condiciones contractuales especiales de ejecución:</w:t>
      </w:r>
    </w:p>
    <w:p w:rsidR="00700A4C" w:rsidRDefault="00700A4C" w:rsidP="00700A4C">
      <w:pPr>
        <w:jc w:val="both"/>
        <w:rPr>
          <w:rFonts w:ascii="Arial" w:hAnsi="Arial" w:cs="Arial"/>
          <w:color w:val="000000"/>
          <w:sz w:val="18"/>
          <w:szCs w:val="18"/>
          <w:lang w:val="es-ES"/>
        </w:rPr>
      </w:pPr>
      <w:r w:rsidRPr="00545F82">
        <w:rPr>
          <w:rFonts w:ascii="Arial" w:hAnsi="Arial" w:cs="Arial"/>
          <w:color w:val="000000"/>
          <w:sz w:val="18"/>
          <w:szCs w:val="18"/>
          <w:lang w:val="es-ES"/>
        </w:rPr>
        <w:t>Será requisito previo para los desembolsos del segundo año de operación del proyecto la entrega de un informe de revisión técnica verificando el cumplimiento de las metas  de cobertura acordadas con el Banco, según el manual de indicadores que la SESAL haya desarrollado para esta operación y que al menos 3 Gestores de Primer y Segundo se hayan certificado de acuerdo al manual de certificación de gestores.</w:t>
      </w:r>
    </w:p>
    <w:p w:rsidR="00700A4C" w:rsidRDefault="00700A4C" w:rsidP="00700A4C">
      <w:pPr>
        <w:jc w:val="both"/>
        <w:rPr>
          <w:rFonts w:ascii="Arial" w:hAnsi="Arial" w:cs="Arial"/>
          <w:color w:val="000000"/>
          <w:sz w:val="18"/>
          <w:szCs w:val="18"/>
          <w:lang w:val="es-ES"/>
        </w:rPr>
      </w:pPr>
    </w:p>
    <w:p w:rsidR="00700A4C" w:rsidRDefault="00700A4C" w:rsidP="00700A4C">
      <w:pPr>
        <w:jc w:val="both"/>
        <w:rPr>
          <w:rFonts w:ascii="Arial" w:hAnsi="Arial" w:cs="Arial"/>
          <w:color w:val="000000"/>
          <w:sz w:val="18"/>
          <w:szCs w:val="18"/>
          <w:lang w:val="es-ES"/>
        </w:rPr>
      </w:pPr>
    </w:p>
    <w:p w:rsidR="00974AB3" w:rsidRDefault="00974AB3" w:rsidP="00DE6116">
      <w:pPr>
        <w:autoSpaceDE w:val="0"/>
        <w:autoSpaceDN w:val="0"/>
        <w:adjustRightInd w:val="0"/>
        <w:spacing w:after="0" w:line="240" w:lineRule="auto"/>
        <w:jc w:val="both"/>
        <w:rPr>
          <w:rFonts w:asciiTheme="majorHAnsi" w:hAnsiTheme="majorHAnsi" w:cs="Times New Roman"/>
          <w:sz w:val="24"/>
          <w:szCs w:val="24"/>
          <w:lang w:val="es-ES"/>
        </w:rPr>
      </w:pPr>
    </w:p>
    <w:p w:rsidR="00700A4C" w:rsidRPr="00700A4C" w:rsidRDefault="00700A4C" w:rsidP="00DE6116">
      <w:pPr>
        <w:autoSpaceDE w:val="0"/>
        <w:autoSpaceDN w:val="0"/>
        <w:adjustRightInd w:val="0"/>
        <w:spacing w:after="0" w:line="240" w:lineRule="auto"/>
        <w:jc w:val="both"/>
        <w:rPr>
          <w:rFonts w:asciiTheme="majorHAnsi" w:hAnsiTheme="majorHAnsi" w:cs="Times New Roman"/>
          <w:sz w:val="24"/>
          <w:szCs w:val="24"/>
          <w:lang w:val="es-ES"/>
        </w:rPr>
      </w:pPr>
    </w:p>
    <w:sectPr w:rsidR="00700A4C" w:rsidRPr="00700A4C" w:rsidSect="00E24DBC">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B0" w:rsidRDefault="005D22B0" w:rsidP="003258E5">
      <w:pPr>
        <w:spacing w:after="0" w:line="240" w:lineRule="auto"/>
      </w:pPr>
      <w:r>
        <w:separator/>
      </w:r>
    </w:p>
  </w:endnote>
  <w:endnote w:type="continuationSeparator" w:id="0">
    <w:p w:rsidR="005D22B0" w:rsidRDefault="005D22B0" w:rsidP="0032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B0" w:rsidRDefault="005D22B0" w:rsidP="003258E5">
      <w:pPr>
        <w:spacing w:after="0" w:line="240" w:lineRule="auto"/>
      </w:pPr>
      <w:r>
        <w:separator/>
      </w:r>
    </w:p>
  </w:footnote>
  <w:footnote w:type="continuationSeparator" w:id="0">
    <w:p w:rsidR="005D22B0" w:rsidRDefault="005D22B0" w:rsidP="003258E5">
      <w:pPr>
        <w:spacing w:after="0" w:line="240" w:lineRule="auto"/>
      </w:pPr>
      <w:r>
        <w:continuationSeparator/>
      </w:r>
    </w:p>
  </w:footnote>
  <w:footnote w:id="1">
    <w:p w:rsidR="0015241D" w:rsidRDefault="0015241D" w:rsidP="00830786">
      <w:pPr>
        <w:pStyle w:val="FootnoteText"/>
        <w:rPr>
          <w:lang w:val="es-HN"/>
        </w:rPr>
      </w:pPr>
      <w:r>
        <w:rPr>
          <w:rStyle w:val="FootnoteReference"/>
        </w:rPr>
        <w:footnoteRef/>
      </w:r>
      <w:r w:rsidRPr="008D01CD">
        <w:rPr>
          <w:lang w:val="es-HN"/>
        </w:rPr>
        <w:t xml:space="preserve"> </w:t>
      </w:r>
      <w:r w:rsidRPr="0015241D">
        <w:rPr>
          <w:sz w:val="16"/>
          <w:lang w:val="es-HN"/>
        </w:rPr>
        <w:t>Datos de inicio del programa, tomados de encuesta de línea base del Programa salud Mesoamérica en el año 2013 en el occidente del país para los indicadores de: atención prenatal, parto institucional y atención puerperal</w:t>
      </w:r>
      <w:r>
        <w:rPr>
          <w:lang w:val="es-HN"/>
        </w:rPr>
        <w:t>.</w:t>
      </w:r>
    </w:p>
    <w:p w:rsidR="0015241D" w:rsidRPr="008D01CD" w:rsidRDefault="0015241D" w:rsidP="00830786">
      <w:pPr>
        <w:pStyle w:val="FootnoteText"/>
        <w:rPr>
          <w:lang w:val="es-HN"/>
        </w:rPr>
      </w:pPr>
      <w:r>
        <w:rPr>
          <w:lang w:val="es-HN"/>
        </w:rPr>
        <w:t xml:space="preserve"> </w:t>
      </w:r>
    </w:p>
  </w:footnote>
  <w:footnote w:id="2">
    <w:p w:rsidR="0015241D" w:rsidRPr="00B45E27" w:rsidRDefault="0015241D">
      <w:pPr>
        <w:pStyle w:val="FootnoteText"/>
        <w:rPr>
          <w:sz w:val="16"/>
          <w:lang w:val="es-HN"/>
        </w:rPr>
      </w:pPr>
      <w:r>
        <w:rPr>
          <w:rStyle w:val="FootnoteReference"/>
        </w:rPr>
        <w:footnoteRef/>
      </w:r>
      <w:r w:rsidRPr="0015241D">
        <w:rPr>
          <w:lang w:val="es-HN"/>
        </w:rPr>
        <w:t xml:space="preserve"> </w:t>
      </w:r>
      <w:r w:rsidRPr="00B45E27">
        <w:rPr>
          <w:sz w:val="16"/>
          <w:lang w:val="es-HN"/>
        </w:rPr>
        <w:t xml:space="preserve">Datos de </w:t>
      </w:r>
      <w:r w:rsidR="00B45E27" w:rsidRPr="00B45E27">
        <w:rPr>
          <w:sz w:val="16"/>
          <w:lang w:val="es-HN"/>
        </w:rPr>
        <w:t>medición</w:t>
      </w:r>
      <w:r w:rsidRPr="00B45E27">
        <w:rPr>
          <w:sz w:val="16"/>
          <w:lang w:val="es-HN"/>
        </w:rPr>
        <w:t xml:space="preserve"> de la primera </w:t>
      </w:r>
      <w:r w:rsidR="00B45E27" w:rsidRPr="00B45E27">
        <w:rPr>
          <w:sz w:val="16"/>
          <w:lang w:val="es-HN"/>
        </w:rPr>
        <w:t>operación</w:t>
      </w:r>
      <w:r w:rsidRPr="00B45E27">
        <w:rPr>
          <w:sz w:val="16"/>
          <w:lang w:val="es-HN"/>
        </w:rPr>
        <w:t xml:space="preserve"> de SM2015  a los 18 meses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208B"/>
    <w:multiLevelType w:val="hybridMultilevel"/>
    <w:tmpl w:val="F34C75D0"/>
    <w:lvl w:ilvl="0" w:tplc="89D2A73E">
      <w:start w:val="1"/>
      <w:numFmt w:val="decimal"/>
      <w:lvlText w:val="%1."/>
      <w:lvlJc w:val="left"/>
      <w:pPr>
        <w:tabs>
          <w:tab w:val="num" w:pos="720"/>
        </w:tabs>
        <w:ind w:left="720" w:hanging="360"/>
      </w:pPr>
    </w:lvl>
    <w:lvl w:ilvl="1" w:tplc="8AD0F042">
      <w:numFmt w:val="none"/>
      <w:lvlText w:val=""/>
      <w:lvlJc w:val="left"/>
      <w:pPr>
        <w:tabs>
          <w:tab w:val="num" w:pos="360"/>
        </w:tabs>
      </w:pPr>
    </w:lvl>
    <w:lvl w:ilvl="2" w:tplc="A1C23352">
      <w:numFmt w:val="none"/>
      <w:lvlText w:val=""/>
      <w:lvlJc w:val="left"/>
      <w:pPr>
        <w:tabs>
          <w:tab w:val="num" w:pos="360"/>
        </w:tabs>
      </w:pPr>
    </w:lvl>
    <w:lvl w:ilvl="3" w:tplc="31026B62">
      <w:numFmt w:val="none"/>
      <w:lvlText w:val=""/>
      <w:lvlJc w:val="left"/>
      <w:pPr>
        <w:tabs>
          <w:tab w:val="num" w:pos="360"/>
        </w:tabs>
      </w:pPr>
    </w:lvl>
    <w:lvl w:ilvl="4" w:tplc="ED243048">
      <w:numFmt w:val="none"/>
      <w:lvlText w:val=""/>
      <w:lvlJc w:val="left"/>
      <w:pPr>
        <w:tabs>
          <w:tab w:val="num" w:pos="360"/>
        </w:tabs>
      </w:pPr>
    </w:lvl>
    <w:lvl w:ilvl="5" w:tplc="7F2AF824">
      <w:numFmt w:val="none"/>
      <w:lvlText w:val=""/>
      <w:lvlJc w:val="left"/>
      <w:pPr>
        <w:tabs>
          <w:tab w:val="num" w:pos="360"/>
        </w:tabs>
      </w:pPr>
    </w:lvl>
    <w:lvl w:ilvl="6" w:tplc="154E974A">
      <w:numFmt w:val="none"/>
      <w:lvlText w:val=""/>
      <w:lvlJc w:val="left"/>
      <w:pPr>
        <w:tabs>
          <w:tab w:val="num" w:pos="360"/>
        </w:tabs>
      </w:pPr>
    </w:lvl>
    <w:lvl w:ilvl="7" w:tplc="8848D3D0">
      <w:numFmt w:val="none"/>
      <w:lvlText w:val=""/>
      <w:lvlJc w:val="left"/>
      <w:pPr>
        <w:tabs>
          <w:tab w:val="num" w:pos="360"/>
        </w:tabs>
      </w:pPr>
    </w:lvl>
    <w:lvl w:ilvl="8" w:tplc="64BA9120">
      <w:numFmt w:val="none"/>
      <w:lvlText w:val=""/>
      <w:lvlJc w:val="left"/>
      <w:pPr>
        <w:tabs>
          <w:tab w:val="num" w:pos="360"/>
        </w:tabs>
      </w:pPr>
    </w:lvl>
  </w:abstractNum>
  <w:abstractNum w:abstractNumId="1">
    <w:nsid w:val="359B4991"/>
    <w:multiLevelType w:val="multilevel"/>
    <w:tmpl w:val="A4F4C8E6"/>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
    <w:nsid w:val="42A15450"/>
    <w:multiLevelType w:val="multilevel"/>
    <w:tmpl w:val="0C4C110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3">
    <w:nsid w:val="43527169"/>
    <w:multiLevelType w:val="hybridMultilevel"/>
    <w:tmpl w:val="143CA674"/>
    <w:lvl w:ilvl="0" w:tplc="CB4C9DAE">
      <w:start w:val="1"/>
      <w:numFmt w:val="bullet"/>
      <w:lvlText w:val=""/>
      <w:lvlJc w:val="left"/>
      <w:pPr>
        <w:tabs>
          <w:tab w:val="num" w:pos="170"/>
        </w:tabs>
        <w:ind w:left="170" w:hanging="170"/>
      </w:pPr>
      <w:rPr>
        <w:rFonts w:ascii="Wingdings" w:hAnsi="Wingdings" w:hint="default"/>
      </w:rPr>
    </w:lvl>
    <w:lvl w:ilvl="1" w:tplc="480A0019" w:tentative="1">
      <w:start w:val="1"/>
      <w:numFmt w:val="bullet"/>
      <w:lvlText w:val="o"/>
      <w:lvlJc w:val="left"/>
      <w:pPr>
        <w:tabs>
          <w:tab w:val="num" w:pos="1440"/>
        </w:tabs>
        <w:ind w:left="1440" w:hanging="360"/>
      </w:pPr>
      <w:rPr>
        <w:rFonts w:ascii="Courier New" w:hAnsi="Courier New" w:cs="Courier New" w:hint="default"/>
      </w:rPr>
    </w:lvl>
    <w:lvl w:ilvl="2" w:tplc="480A001B" w:tentative="1">
      <w:start w:val="1"/>
      <w:numFmt w:val="bullet"/>
      <w:lvlText w:val=""/>
      <w:lvlJc w:val="left"/>
      <w:pPr>
        <w:tabs>
          <w:tab w:val="num" w:pos="2160"/>
        </w:tabs>
        <w:ind w:left="2160" w:hanging="360"/>
      </w:pPr>
      <w:rPr>
        <w:rFonts w:ascii="Wingdings" w:hAnsi="Wingdings" w:hint="default"/>
      </w:rPr>
    </w:lvl>
    <w:lvl w:ilvl="3" w:tplc="480A000F" w:tentative="1">
      <w:start w:val="1"/>
      <w:numFmt w:val="bullet"/>
      <w:lvlText w:val=""/>
      <w:lvlJc w:val="left"/>
      <w:pPr>
        <w:tabs>
          <w:tab w:val="num" w:pos="2880"/>
        </w:tabs>
        <w:ind w:left="2880" w:hanging="360"/>
      </w:pPr>
      <w:rPr>
        <w:rFonts w:ascii="Symbol" w:hAnsi="Symbol" w:hint="default"/>
      </w:rPr>
    </w:lvl>
    <w:lvl w:ilvl="4" w:tplc="480A0019" w:tentative="1">
      <w:start w:val="1"/>
      <w:numFmt w:val="bullet"/>
      <w:lvlText w:val="o"/>
      <w:lvlJc w:val="left"/>
      <w:pPr>
        <w:tabs>
          <w:tab w:val="num" w:pos="3600"/>
        </w:tabs>
        <w:ind w:left="3600" w:hanging="360"/>
      </w:pPr>
      <w:rPr>
        <w:rFonts w:ascii="Courier New" w:hAnsi="Courier New" w:cs="Courier New" w:hint="default"/>
      </w:rPr>
    </w:lvl>
    <w:lvl w:ilvl="5" w:tplc="480A001B" w:tentative="1">
      <w:start w:val="1"/>
      <w:numFmt w:val="bullet"/>
      <w:lvlText w:val=""/>
      <w:lvlJc w:val="left"/>
      <w:pPr>
        <w:tabs>
          <w:tab w:val="num" w:pos="4320"/>
        </w:tabs>
        <w:ind w:left="4320" w:hanging="360"/>
      </w:pPr>
      <w:rPr>
        <w:rFonts w:ascii="Wingdings" w:hAnsi="Wingdings" w:hint="default"/>
      </w:rPr>
    </w:lvl>
    <w:lvl w:ilvl="6" w:tplc="480A000F" w:tentative="1">
      <w:start w:val="1"/>
      <w:numFmt w:val="bullet"/>
      <w:lvlText w:val=""/>
      <w:lvlJc w:val="left"/>
      <w:pPr>
        <w:tabs>
          <w:tab w:val="num" w:pos="5040"/>
        </w:tabs>
        <w:ind w:left="5040" w:hanging="360"/>
      </w:pPr>
      <w:rPr>
        <w:rFonts w:ascii="Symbol" w:hAnsi="Symbol" w:hint="default"/>
      </w:rPr>
    </w:lvl>
    <w:lvl w:ilvl="7" w:tplc="480A0019" w:tentative="1">
      <w:start w:val="1"/>
      <w:numFmt w:val="bullet"/>
      <w:lvlText w:val="o"/>
      <w:lvlJc w:val="left"/>
      <w:pPr>
        <w:tabs>
          <w:tab w:val="num" w:pos="5760"/>
        </w:tabs>
        <w:ind w:left="5760" w:hanging="360"/>
      </w:pPr>
      <w:rPr>
        <w:rFonts w:ascii="Courier New" w:hAnsi="Courier New" w:cs="Courier New" w:hint="default"/>
      </w:rPr>
    </w:lvl>
    <w:lvl w:ilvl="8" w:tplc="480A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16"/>
    <w:rsid w:val="00082F86"/>
    <w:rsid w:val="001157F3"/>
    <w:rsid w:val="0015241D"/>
    <w:rsid w:val="00291090"/>
    <w:rsid w:val="003044B0"/>
    <w:rsid w:val="003258E5"/>
    <w:rsid w:val="00332DC9"/>
    <w:rsid w:val="00432FB8"/>
    <w:rsid w:val="0043349E"/>
    <w:rsid w:val="004674B4"/>
    <w:rsid w:val="004E4A82"/>
    <w:rsid w:val="00545F82"/>
    <w:rsid w:val="005D22B0"/>
    <w:rsid w:val="005D4F55"/>
    <w:rsid w:val="00700A4C"/>
    <w:rsid w:val="00967392"/>
    <w:rsid w:val="00974AB3"/>
    <w:rsid w:val="00B207A4"/>
    <w:rsid w:val="00B45E27"/>
    <w:rsid w:val="00B5004E"/>
    <w:rsid w:val="00B947AA"/>
    <w:rsid w:val="00BB2D7F"/>
    <w:rsid w:val="00C16F38"/>
    <w:rsid w:val="00CA13A6"/>
    <w:rsid w:val="00DE6116"/>
    <w:rsid w:val="00E24DBC"/>
    <w:rsid w:val="00E60EF9"/>
    <w:rsid w:val="00E77109"/>
    <w:rsid w:val="00F167A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BB2D7F"/>
    <w:pPr>
      <w:keepNext/>
      <w:numPr>
        <w:numId w:val="1"/>
      </w:numPr>
      <w:tabs>
        <w:tab w:val="left" w:pos="1440"/>
      </w:tabs>
      <w:spacing w:before="240"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
    <w:basedOn w:val="BodyTextIndent"/>
    <w:link w:val="ParagraphChar"/>
    <w:qFormat/>
    <w:rsid w:val="00BB2D7F"/>
    <w:pPr>
      <w:numPr>
        <w:ilvl w:val="1"/>
        <w:numId w:val="1"/>
      </w:numPr>
      <w:spacing w:before="120" w:line="240" w:lineRule="auto"/>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BB2D7F"/>
    <w:pPr>
      <w:numPr>
        <w:ilvl w:val="2"/>
        <w:numId w:val="1"/>
      </w:numPr>
      <w:tabs>
        <w:tab w:val="clear" w:pos="2304"/>
        <w:tab w:val="num" w:pos="360"/>
        <w:tab w:val="num" w:pos="1152"/>
      </w:tabs>
      <w:spacing w:before="120" w:line="240" w:lineRule="auto"/>
      <w:ind w:left="1152"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uiPriority w:val="99"/>
    <w:rsid w:val="00BB2D7F"/>
    <w:pPr>
      <w:numPr>
        <w:ilvl w:val="3"/>
      </w:numPr>
      <w:tabs>
        <w:tab w:val="clear" w:pos="2736"/>
        <w:tab w:val="left" w:pos="0"/>
        <w:tab w:val="num" w:pos="360"/>
        <w:tab w:val="num" w:pos="1152"/>
        <w:tab w:val="num" w:pos="1296"/>
      </w:tabs>
      <w:ind w:left="1296"/>
    </w:pPr>
  </w:style>
  <w:style w:type="character" w:customStyle="1" w:styleId="ParagraphChar">
    <w:name w:val="Paragraph Char"/>
    <w:link w:val="Paragraph"/>
    <w:rsid w:val="00BB2D7F"/>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BB2D7F"/>
    <w:pPr>
      <w:spacing w:after="120"/>
      <w:ind w:left="283"/>
    </w:pPr>
  </w:style>
  <w:style w:type="character" w:customStyle="1" w:styleId="BodyTextIndentChar">
    <w:name w:val="Body Text Indent Char"/>
    <w:basedOn w:val="DefaultParagraphFont"/>
    <w:link w:val="BodyTextIndent"/>
    <w:uiPriority w:val="99"/>
    <w:semiHidden/>
    <w:rsid w:val="00BB2D7F"/>
  </w:style>
  <w:style w:type="paragraph" w:styleId="BodyTextIndent3">
    <w:name w:val="Body Text Indent 3"/>
    <w:basedOn w:val="Normal"/>
    <w:link w:val="BodyTextIndent3Char"/>
    <w:uiPriority w:val="99"/>
    <w:semiHidden/>
    <w:unhideWhenUsed/>
    <w:rsid w:val="00BB2D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2D7F"/>
    <w:rPr>
      <w:sz w:val="16"/>
      <w:szCs w:val="16"/>
    </w:rPr>
  </w:style>
  <w:style w:type="table" w:styleId="TableGrid">
    <w:name w:val="Table Grid"/>
    <w:basedOn w:val="TableNormal"/>
    <w:uiPriority w:val="59"/>
    <w:rsid w:val="003258E5"/>
    <w:pPr>
      <w:spacing w:after="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single space,FOOTNOTES,Char Char,Footnote Text Char2,Footnote Text Char1 Char1,Footnote Text Char Char Char,Footnote Text Char1 Char Char Char,Footnote Text Char Char Char Char Char,Footnote Text Char1 Char Char Char Char Char"/>
    <w:basedOn w:val="Normal"/>
    <w:link w:val="FootnoteTextChar"/>
    <w:uiPriority w:val="99"/>
    <w:rsid w:val="003258E5"/>
    <w:pPr>
      <w:keepNext/>
      <w:keepLines/>
      <w:spacing w:after="120" w:line="240" w:lineRule="auto"/>
      <w:ind w:left="288" w:hanging="288"/>
      <w:jc w:val="both"/>
    </w:pPr>
    <w:rPr>
      <w:rFonts w:ascii="Times New Roman" w:eastAsia="Times New Roman" w:hAnsi="Times New Roman" w:cs="Times New Roman"/>
      <w:spacing w:val="-3"/>
      <w:sz w:val="20"/>
      <w:szCs w:val="20"/>
      <w:lang w:val="en-US"/>
    </w:rPr>
  </w:style>
  <w:style w:type="character" w:customStyle="1" w:styleId="FootnoteTextChar">
    <w:name w:val="Footnote Text Char"/>
    <w:aliases w:val="fn Char,footnote Char,single space Char,FOOTNOTES Char,Char Char Char,Footnote Text Char2 Char,Footnote Text Char1 Char1 Char,Footnote Text Char Char Char Char,Footnote Text Char1 Char Char Char Char"/>
    <w:basedOn w:val="DefaultParagraphFont"/>
    <w:link w:val="FootnoteText"/>
    <w:uiPriority w:val="99"/>
    <w:rsid w:val="003258E5"/>
    <w:rPr>
      <w:rFonts w:ascii="Times New Roman" w:eastAsia="Times New Roman" w:hAnsi="Times New Roman" w:cs="Times New Roman"/>
      <w:spacing w:val="-3"/>
      <w:sz w:val="20"/>
      <w:szCs w:val="20"/>
      <w:lang w:val="en-US"/>
    </w:rPr>
  </w:style>
  <w:style w:type="character" w:styleId="FootnoteReference">
    <w:name w:val="footnote reference"/>
    <w:aliases w:val="FC,titulo 2,referencia nota al pie,16 Point,Superscript 6 Point,ftref,Ref,de nota al pie,Ref. de nota al pie.,Style 24,pie pddes,Fußnotenzeichen DISS,Footnote Referencefra,BVI fnr,Знак сноски 1"/>
    <w:basedOn w:val="DefaultParagraphFont"/>
    <w:uiPriority w:val="99"/>
    <w:qFormat/>
    <w:rsid w:val="003258E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BB2D7F"/>
    <w:pPr>
      <w:keepNext/>
      <w:numPr>
        <w:numId w:val="1"/>
      </w:numPr>
      <w:tabs>
        <w:tab w:val="left" w:pos="1440"/>
      </w:tabs>
      <w:spacing w:before="240"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
    <w:basedOn w:val="BodyTextIndent"/>
    <w:link w:val="ParagraphChar"/>
    <w:qFormat/>
    <w:rsid w:val="00BB2D7F"/>
    <w:pPr>
      <w:numPr>
        <w:ilvl w:val="1"/>
        <w:numId w:val="1"/>
      </w:numPr>
      <w:spacing w:before="120" w:line="240" w:lineRule="auto"/>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BB2D7F"/>
    <w:pPr>
      <w:numPr>
        <w:ilvl w:val="2"/>
        <w:numId w:val="1"/>
      </w:numPr>
      <w:tabs>
        <w:tab w:val="clear" w:pos="2304"/>
        <w:tab w:val="num" w:pos="360"/>
        <w:tab w:val="num" w:pos="1152"/>
      </w:tabs>
      <w:spacing w:before="120" w:line="240" w:lineRule="auto"/>
      <w:ind w:left="1152"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uiPriority w:val="99"/>
    <w:rsid w:val="00BB2D7F"/>
    <w:pPr>
      <w:numPr>
        <w:ilvl w:val="3"/>
      </w:numPr>
      <w:tabs>
        <w:tab w:val="clear" w:pos="2736"/>
        <w:tab w:val="left" w:pos="0"/>
        <w:tab w:val="num" w:pos="360"/>
        <w:tab w:val="num" w:pos="1152"/>
        <w:tab w:val="num" w:pos="1296"/>
      </w:tabs>
      <w:ind w:left="1296"/>
    </w:pPr>
  </w:style>
  <w:style w:type="character" w:customStyle="1" w:styleId="ParagraphChar">
    <w:name w:val="Paragraph Char"/>
    <w:link w:val="Paragraph"/>
    <w:rsid w:val="00BB2D7F"/>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BB2D7F"/>
    <w:pPr>
      <w:spacing w:after="120"/>
      <w:ind w:left="283"/>
    </w:pPr>
  </w:style>
  <w:style w:type="character" w:customStyle="1" w:styleId="BodyTextIndentChar">
    <w:name w:val="Body Text Indent Char"/>
    <w:basedOn w:val="DefaultParagraphFont"/>
    <w:link w:val="BodyTextIndent"/>
    <w:uiPriority w:val="99"/>
    <w:semiHidden/>
    <w:rsid w:val="00BB2D7F"/>
  </w:style>
  <w:style w:type="paragraph" w:styleId="BodyTextIndent3">
    <w:name w:val="Body Text Indent 3"/>
    <w:basedOn w:val="Normal"/>
    <w:link w:val="BodyTextIndent3Char"/>
    <w:uiPriority w:val="99"/>
    <w:semiHidden/>
    <w:unhideWhenUsed/>
    <w:rsid w:val="00BB2D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2D7F"/>
    <w:rPr>
      <w:sz w:val="16"/>
      <w:szCs w:val="16"/>
    </w:rPr>
  </w:style>
  <w:style w:type="table" w:styleId="TableGrid">
    <w:name w:val="Table Grid"/>
    <w:basedOn w:val="TableNormal"/>
    <w:uiPriority w:val="59"/>
    <w:rsid w:val="003258E5"/>
    <w:pPr>
      <w:spacing w:after="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single space,FOOTNOTES,Char Char,Footnote Text Char2,Footnote Text Char1 Char1,Footnote Text Char Char Char,Footnote Text Char1 Char Char Char,Footnote Text Char Char Char Char Char,Footnote Text Char1 Char Char Char Char Char"/>
    <w:basedOn w:val="Normal"/>
    <w:link w:val="FootnoteTextChar"/>
    <w:uiPriority w:val="99"/>
    <w:rsid w:val="003258E5"/>
    <w:pPr>
      <w:keepNext/>
      <w:keepLines/>
      <w:spacing w:after="120" w:line="240" w:lineRule="auto"/>
      <w:ind w:left="288" w:hanging="288"/>
      <w:jc w:val="both"/>
    </w:pPr>
    <w:rPr>
      <w:rFonts w:ascii="Times New Roman" w:eastAsia="Times New Roman" w:hAnsi="Times New Roman" w:cs="Times New Roman"/>
      <w:spacing w:val="-3"/>
      <w:sz w:val="20"/>
      <w:szCs w:val="20"/>
      <w:lang w:val="en-US"/>
    </w:rPr>
  </w:style>
  <w:style w:type="character" w:customStyle="1" w:styleId="FootnoteTextChar">
    <w:name w:val="Footnote Text Char"/>
    <w:aliases w:val="fn Char,footnote Char,single space Char,FOOTNOTES Char,Char Char Char,Footnote Text Char2 Char,Footnote Text Char1 Char1 Char,Footnote Text Char Char Char Char,Footnote Text Char1 Char Char Char Char"/>
    <w:basedOn w:val="DefaultParagraphFont"/>
    <w:link w:val="FootnoteText"/>
    <w:uiPriority w:val="99"/>
    <w:rsid w:val="003258E5"/>
    <w:rPr>
      <w:rFonts w:ascii="Times New Roman" w:eastAsia="Times New Roman" w:hAnsi="Times New Roman" w:cs="Times New Roman"/>
      <w:spacing w:val="-3"/>
      <w:sz w:val="20"/>
      <w:szCs w:val="20"/>
      <w:lang w:val="en-US"/>
    </w:rPr>
  </w:style>
  <w:style w:type="character" w:styleId="FootnoteReference">
    <w:name w:val="footnote reference"/>
    <w:aliases w:val="FC,titulo 2,referencia nota al pie,16 Point,Superscript 6 Point,ftref,Ref,de nota al pie,Ref. de nota al pie.,Style 24,pie pddes,Fußnotenzeichen DISS,Footnote Referencefra,BVI fnr,Знак сноски 1"/>
    <w:basedOn w:val="DefaultParagraphFont"/>
    <w:uiPriority w:val="99"/>
    <w:qFormat/>
    <w:rsid w:val="003258E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Administracion_y_Finanzas/Recursos_Humanos/"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monografias.com/trabajos11/henrym/henrym.shtml" TargetMode="External"/><Relationship Id="rId4" Type="http://schemas.microsoft.com/office/2007/relationships/stylesWithEffects" Target="stylesWithEffects.xml"/><Relationship Id="rId9" Type="http://schemas.openxmlformats.org/officeDocument/2006/relationships/hyperlink" Target="http://www.monografias.com/trabajos10/poli/poli.shtml"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22815AE354FCFA468D52301C118528C4" ma:contentTypeVersion="0" ma:contentTypeDescription="A content type to manage public (operations) IDB documents" ma:contentTypeScope="" ma:versionID="323dc80aa54ad81f04cb70ce55d23484">
  <xsd:schema xmlns:xsd="http://www.w3.org/2001/XMLSchema" xmlns:xs="http://www.w3.org/2001/XMLSchema" xmlns:p="http://schemas.microsoft.com/office/2006/metadata/properties" xmlns:ns2="9c571b2f-e523-4ab2-ba2e-09e151a03ef4" targetNamespace="http://schemas.microsoft.com/office/2006/metadata/properties" ma:root="true" ma:fieldsID="4f32c5dd488d5d8caf8715745ccb806d"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b7b6cc8-aa77-492b-a3d9-e2df0bc5e2b3}" ma:internalName="TaxCatchAll" ma:showField="CatchAllData"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b7b6cc8-aa77-492b-a3d9-e2df0bc5e2b3}" ma:internalName="TaxCatchAllLabel" ma:readOnly="true" ma:showField="CatchAllDataLabel"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40235008</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SCL/SPH</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Tejerina, Luis R.</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HO-L1105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IS-INS</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094E666E-6FE7-4136-AC78-39514D5E524A}"/>
</file>

<file path=customXml/itemProps2.xml><?xml version="1.0" encoding="utf-8"?>
<ds:datastoreItem xmlns:ds="http://schemas.openxmlformats.org/officeDocument/2006/customXml" ds:itemID="{7D707752-2F00-432D-9F56-C5B487BD874C}"/>
</file>

<file path=customXml/itemProps3.xml><?xml version="1.0" encoding="utf-8"?>
<ds:datastoreItem xmlns:ds="http://schemas.openxmlformats.org/officeDocument/2006/customXml" ds:itemID="{07487749-AEEB-4974-96EB-3958460C0D51}"/>
</file>

<file path=customXml/itemProps4.xml><?xml version="1.0" encoding="utf-8"?>
<ds:datastoreItem xmlns:ds="http://schemas.openxmlformats.org/officeDocument/2006/customXml" ds:itemID="{3A1FF8D5-8B6B-47F4-9019-A527D0B8385B}"/>
</file>

<file path=customXml/itemProps5.xml><?xml version="1.0" encoding="utf-8"?>
<ds:datastoreItem xmlns:ds="http://schemas.openxmlformats.org/officeDocument/2006/customXml" ds:itemID="{713ECA96-B24B-4C75-8372-FE24DA8B6876}"/>
</file>

<file path=customXml/itemProps6.xml><?xml version="1.0" encoding="utf-8"?>
<ds:datastoreItem xmlns:ds="http://schemas.openxmlformats.org/officeDocument/2006/customXml" ds:itemID="{559AFC47-087D-4948-92C4-A9F8CBB5E7B7}"/>
</file>

<file path=docProps/app.xml><?xml version="1.0" encoding="utf-8"?>
<Properties xmlns="http://schemas.openxmlformats.org/officeDocument/2006/extended-properties" xmlns:vt="http://schemas.openxmlformats.org/officeDocument/2006/docPropsVTypes">
  <Template>Normal.dotm</Template>
  <TotalTime>2</TotalTime>
  <Pages>5</Pages>
  <Words>954</Words>
  <Characters>5440</Characters>
  <Application>Microsoft Office Word</Application>
  <DocSecurity>4</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_Propuesta de indicadores para el marco de desempelo_</dc:title>
  <dc:creator>Artuto Gutierrez</dc:creator>
  <cp:lastModifiedBy>Test</cp:lastModifiedBy>
  <cp:revision>2</cp:revision>
  <dcterms:created xsi:type="dcterms:W3CDTF">2016-04-11T13:00:00Z</dcterms:created>
  <dcterms:modified xsi:type="dcterms:W3CDTF">2016-04-11T13:00:00Z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0x01010046CF21643EE8D14686A648AA6DAD08920022815AE354FCFA468D52301C118528C4</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