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56" w:rsidRPr="005529A2" w:rsidRDefault="00237756" w:rsidP="00237756">
      <w:pPr>
        <w:pStyle w:val="Heading1"/>
        <w:numPr>
          <w:ilvl w:val="0"/>
          <w:numId w:val="0"/>
        </w:numPr>
        <w:ind w:left="576" w:hanging="576"/>
      </w:pPr>
      <w:bookmarkStart w:id="0" w:name="_GoBack"/>
      <w:bookmarkEnd w:id="0"/>
      <w:r w:rsidRPr="005529A2">
        <w:t xml:space="preserve">Annual </w:t>
      </w:r>
      <w:r w:rsidRPr="00FD7B7E">
        <w:t>Procurement</w:t>
      </w:r>
      <w:r w:rsidRPr="005529A2">
        <w:t xml:space="preserve"> Plan </w:t>
      </w:r>
    </w:p>
    <w:p w:rsidR="00237756" w:rsidRPr="00E222C6" w:rsidRDefault="00237756" w:rsidP="007B300F">
      <w:pPr>
        <w:pStyle w:val="Exhibit"/>
      </w:pPr>
      <w:r>
        <w:t>Procurement Plan for the Period J</w:t>
      </w:r>
      <w:r w:rsidR="0092185B">
        <w:t>uly</w:t>
      </w:r>
      <w:r>
        <w:t xml:space="preserve"> 1, 2015 through </w:t>
      </w:r>
      <w:r w:rsidR="0092185B">
        <w:t>December</w:t>
      </w:r>
      <w:r>
        <w:t xml:space="preserve"> 3</w:t>
      </w:r>
      <w:r w:rsidR="0092185B">
        <w:t>1</w:t>
      </w:r>
      <w:r>
        <w:t>, 2016</w:t>
      </w:r>
    </w:p>
    <w:p w:rsidR="00237756" w:rsidRPr="002974EE" w:rsidRDefault="00237756" w:rsidP="007B300F">
      <w:pPr>
        <w:pStyle w:val="TypeBodytext"/>
        <w:rPr>
          <w:b/>
          <w:bCs/>
          <w:sz w:val="20"/>
          <w:szCs w:val="20"/>
        </w:rPr>
      </w:pPr>
      <w:r>
        <w:rPr>
          <w:b/>
          <w:bCs/>
          <w:sz w:val="20"/>
          <w:szCs w:val="20"/>
        </w:rPr>
        <w:t xml:space="preserve">Project: </w:t>
      </w:r>
      <w:r>
        <w:rPr>
          <w:sz w:val="20"/>
          <w:szCs w:val="20"/>
        </w:rPr>
        <w:t>Coastal Risk Assessment and Management Program</w:t>
      </w:r>
    </w:p>
    <w:p w:rsidR="00237756" w:rsidRPr="00E27FDC" w:rsidRDefault="00237756" w:rsidP="00237756">
      <w:pPr>
        <w:pStyle w:val="TypeBodytext"/>
        <w:rPr>
          <w:b/>
          <w:bCs/>
          <w:sz w:val="20"/>
          <w:szCs w:val="20"/>
        </w:rPr>
      </w:pPr>
      <w:r w:rsidRPr="002974EE">
        <w:rPr>
          <w:b/>
          <w:bCs/>
          <w:sz w:val="20"/>
          <w:szCs w:val="20"/>
        </w:rPr>
        <w:t xml:space="preserve">Project number: </w:t>
      </w:r>
      <w:r>
        <w:rPr>
          <w:rFonts w:cs="Arial"/>
          <w:color w:val="000000"/>
          <w:szCs w:val="20"/>
        </w:rPr>
        <w:t>BA-L1014</w:t>
      </w:r>
      <w:r w:rsidRPr="002974EE">
        <w:rPr>
          <w:b/>
          <w:bCs/>
          <w:sz w:val="20"/>
          <w:szCs w:val="20"/>
        </w:rPr>
        <w:t xml:space="preserve"> and Loan Contract number:  </w:t>
      </w:r>
      <w:r>
        <w:rPr>
          <w:rFonts w:cs="Arial"/>
          <w:color w:val="000000"/>
          <w:szCs w:val="20"/>
        </w:rPr>
        <w:t>2463/OC-BA</w:t>
      </w:r>
      <w:r w:rsidRPr="002974EE">
        <w:rPr>
          <w:sz w:val="20"/>
          <w:szCs w:val="20"/>
        </w:rPr>
        <w:t xml:space="preserve"> </w:t>
      </w:r>
    </w:p>
    <w:tbl>
      <w:tblPr>
        <w:tblW w:w="5000" w:type="pct"/>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787"/>
        <w:gridCol w:w="2369"/>
        <w:gridCol w:w="1126"/>
        <w:gridCol w:w="1218"/>
        <w:gridCol w:w="1097"/>
        <w:gridCol w:w="730"/>
        <w:gridCol w:w="866"/>
        <w:gridCol w:w="866"/>
        <w:gridCol w:w="1302"/>
        <w:gridCol w:w="967"/>
        <w:gridCol w:w="889"/>
        <w:gridCol w:w="1102"/>
        <w:gridCol w:w="1111"/>
      </w:tblGrid>
      <w:tr w:rsidR="00237756" w:rsidRPr="00C66667" w:rsidTr="007B300F">
        <w:trPr>
          <w:trHeight w:val="1118"/>
          <w:tblHeader/>
        </w:trPr>
        <w:tc>
          <w:tcPr>
            <w:tcW w:w="273"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51432F" w:rsidP="007B300F">
            <w:pPr>
              <w:rPr>
                <w:rFonts w:eastAsia="Times New Roman" w:cs="Arial"/>
                <w:sz w:val="18"/>
                <w:szCs w:val="20"/>
              </w:rPr>
            </w:pPr>
            <w:r>
              <w:rPr>
                <w:rFonts w:eastAsia="Times New Roman" w:cs="Arial"/>
                <w:color w:val="363636"/>
                <w:sz w:val="18"/>
                <w:szCs w:val="20"/>
                <w:shd w:val="clear" w:color="auto" w:fill="DFE3E8"/>
              </w:rPr>
              <w:t>Ref</w:t>
            </w:r>
            <w:r w:rsidR="002F347D">
              <w:rPr>
                <w:rStyle w:val="EndnoteReference"/>
                <w:rFonts w:eastAsia="Times New Roman" w:cs="Arial"/>
                <w:color w:val="363636"/>
                <w:sz w:val="18"/>
                <w:szCs w:val="20"/>
                <w:shd w:val="clear" w:color="auto" w:fill="DFE3E8"/>
              </w:rPr>
              <w:endnoteReference w:id="1"/>
            </w:r>
            <w:r w:rsidR="00237756" w:rsidRPr="005A1C3D">
              <w:rPr>
                <w:rFonts w:eastAsia="Times New Roman" w:cs="Arial"/>
                <w:color w:val="363636"/>
                <w:sz w:val="18"/>
                <w:szCs w:val="20"/>
                <w:shd w:val="clear" w:color="auto" w:fill="DFE3E8"/>
              </w:rPr>
              <w:t>#</w:t>
            </w:r>
          </w:p>
        </w:tc>
        <w:tc>
          <w:tcPr>
            <w:tcW w:w="821"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Procurement Description</w:t>
            </w:r>
          </w:p>
        </w:tc>
        <w:tc>
          <w:tcPr>
            <w:tcW w:w="390"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Procurement Type</w:t>
            </w:r>
          </w:p>
        </w:tc>
        <w:tc>
          <w:tcPr>
            <w:tcW w:w="422"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Estimated Contract Cost</w:t>
            </w:r>
          </w:p>
        </w:tc>
        <w:tc>
          <w:tcPr>
            <w:tcW w:w="380"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Procurement method</w:t>
            </w:r>
            <w:r w:rsidR="002F347D">
              <w:rPr>
                <w:rStyle w:val="EndnoteReference"/>
                <w:rFonts w:eastAsia="Times New Roman" w:cs="Arial"/>
                <w:color w:val="363636"/>
                <w:sz w:val="18"/>
                <w:szCs w:val="20"/>
                <w:shd w:val="clear" w:color="auto" w:fill="DFE3E8"/>
              </w:rPr>
              <w:endnoteReference w:id="2"/>
            </w:r>
          </w:p>
        </w:tc>
        <w:tc>
          <w:tcPr>
            <w:tcW w:w="253"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Review Type</w:t>
            </w:r>
          </w:p>
        </w:tc>
        <w:tc>
          <w:tcPr>
            <w:tcW w:w="300"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Financing Source (IDB %)</w:t>
            </w:r>
          </w:p>
        </w:tc>
        <w:tc>
          <w:tcPr>
            <w:tcW w:w="300"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Financing Source (GOB %)</w:t>
            </w:r>
          </w:p>
        </w:tc>
        <w:tc>
          <w:tcPr>
            <w:tcW w:w="451"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Prequalification (Y/N)</w:t>
            </w:r>
            <w:r w:rsidR="005B5521">
              <w:rPr>
                <w:rStyle w:val="EndnoteReference"/>
                <w:rFonts w:eastAsia="Times New Roman" w:cs="Arial"/>
                <w:color w:val="363636"/>
                <w:sz w:val="18"/>
                <w:szCs w:val="20"/>
                <w:shd w:val="clear" w:color="auto" w:fill="DFE3E8"/>
              </w:rPr>
              <w:endnoteReference w:id="3"/>
            </w:r>
          </w:p>
        </w:tc>
        <w:tc>
          <w:tcPr>
            <w:tcW w:w="335"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Publication of SPN</w:t>
            </w:r>
          </w:p>
        </w:tc>
        <w:tc>
          <w:tcPr>
            <w:tcW w:w="308"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Est. Contract Signature Date</w:t>
            </w:r>
          </w:p>
        </w:tc>
        <w:tc>
          <w:tcPr>
            <w:tcW w:w="382"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Procurement Status</w:t>
            </w:r>
            <w:r w:rsidR="005B5521">
              <w:rPr>
                <w:rStyle w:val="EndnoteReference"/>
                <w:rFonts w:eastAsia="Times New Roman" w:cs="Arial"/>
                <w:color w:val="363636"/>
                <w:sz w:val="18"/>
                <w:szCs w:val="20"/>
                <w:shd w:val="clear" w:color="auto" w:fill="DFE3E8"/>
              </w:rPr>
              <w:endnoteReference w:id="4"/>
            </w:r>
          </w:p>
        </w:tc>
        <w:tc>
          <w:tcPr>
            <w:tcW w:w="385" w:type="pct"/>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237756" w:rsidRPr="005A1C3D" w:rsidRDefault="00237756" w:rsidP="007B300F">
            <w:pPr>
              <w:jc w:val="center"/>
              <w:rPr>
                <w:rFonts w:eastAsia="Times New Roman" w:cs="Arial"/>
                <w:sz w:val="18"/>
                <w:szCs w:val="20"/>
              </w:rPr>
            </w:pPr>
            <w:r w:rsidRPr="005A1C3D">
              <w:rPr>
                <w:rFonts w:eastAsia="Times New Roman" w:cs="Arial"/>
                <w:color w:val="363636"/>
                <w:sz w:val="18"/>
                <w:szCs w:val="20"/>
                <w:shd w:val="clear" w:color="auto" w:fill="DFE3E8"/>
              </w:rPr>
              <w:t>Comments</w:t>
            </w:r>
          </w:p>
        </w:tc>
      </w:tr>
      <w:tr w:rsidR="00237756" w:rsidRPr="00DF7BD6" w:rsidTr="007B300F">
        <w:trPr>
          <w:trHeight w:val="245"/>
        </w:trPr>
        <w:tc>
          <w:tcPr>
            <w:tcW w:w="5000" w:type="pct"/>
            <w:gridSpan w:val="13"/>
            <w:tcBorders>
              <w:top w:val="single" w:sz="4" w:space="0" w:color="B1BBCC"/>
              <w:left w:val="single" w:sz="4" w:space="0" w:color="B1BBCC"/>
              <w:bottom w:val="single" w:sz="4" w:space="0" w:color="B1BBCC"/>
              <w:right w:val="single" w:sz="4" w:space="0" w:color="B1BBCC"/>
            </w:tcBorders>
            <w:shd w:val="clear" w:color="auto" w:fill="8DB3E2" w:themeFill="text2" w:themeFillTint="66"/>
          </w:tcPr>
          <w:p w:rsidR="00237756" w:rsidRPr="002575FB" w:rsidRDefault="00237756" w:rsidP="007B300F">
            <w:pPr>
              <w:jc w:val="left"/>
              <w:rPr>
                <w:rFonts w:eastAsia="Times New Roman" w:cs="Arial"/>
                <w:b/>
                <w:color w:val="auto"/>
                <w:sz w:val="18"/>
                <w:szCs w:val="18"/>
              </w:rPr>
            </w:pPr>
            <w:r>
              <w:rPr>
                <w:rFonts w:eastAsia="Times New Roman" w:cs="Arial"/>
                <w:b/>
                <w:color w:val="auto"/>
                <w:sz w:val="18"/>
                <w:szCs w:val="18"/>
              </w:rPr>
              <w:t xml:space="preserve">               GOODS</w:t>
            </w:r>
          </w:p>
        </w:tc>
      </w:tr>
      <w:tr w:rsidR="00237756" w:rsidRPr="00C66667" w:rsidTr="0068188E">
        <w:trPr>
          <w:trHeight w:val="1136"/>
        </w:trPr>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0216D0" w:rsidRDefault="00237756" w:rsidP="007B300F">
            <w:pPr>
              <w:jc w:val="center"/>
              <w:rPr>
                <w:rFonts w:eastAsia="Times New Roman" w:cs="Arial"/>
                <w:bCs/>
                <w:color w:val="000000"/>
                <w:sz w:val="16"/>
                <w:szCs w:val="16"/>
              </w:rPr>
            </w:pPr>
            <w:r w:rsidRPr="000216D0">
              <w:rPr>
                <w:rFonts w:eastAsia="Times New Roman" w:cs="Arial"/>
                <w:bCs/>
                <w:color w:val="000000"/>
                <w:sz w:val="16"/>
                <w:szCs w:val="16"/>
              </w:rPr>
              <w:t>1.1.1.4</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left"/>
              <w:rPr>
                <w:rFonts w:eastAsia="Times New Roman" w:cs="Arial"/>
                <w:color w:val="000000"/>
                <w:sz w:val="18"/>
                <w:szCs w:val="18"/>
              </w:rPr>
            </w:pPr>
            <w:r>
              <w:rPr>
                <w:rFonts w:eastAsia="Times New Roman" w:cs="Arial"/>
                <w:color w:val="000000"/>
                <w:sz w:val="18"/>
                <w:szCs w:val="18"/>
              </w:rPr>
              <w:t>Oceanographic Equipment for NWS</w:t>
            </w:r>
          </w:p>
          <w:p w:rsidR="00237756" w:rsidRPr="00015D44" w:rsidRDefault="00237756" w:rsidP="007B300F">
            <w:pPr>
              <w:jc w:val="left"/>
              <w:rPr>
                <w:rFonts w:eastAsia="Times New Roman" w:cs="Arial"/>
                <w:color w:val="000000"/>
                <w:sz w:val="18"/>
                <w:szCs w:val="18"/>
              </w:rPr>
            </w:pP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b/>
                <w:bCs/>
                <w:color w:val="000000"/>
                <w:sz w:val="16"/>
                <w:szCs w:val="16"/>
                <w:shd w:val="clear" w:color="auto" w:fill="F2F2F2"/>
              </w:rPr>
            </w:pPr>
            <w:r>
              <w:rPr>
                <w:rFonts w:eastAsia="Times New Roman" w:cs="Arial"/>
                <w:b/>
                <w:bCs/>
                <w:color w:val="000000"/>
                <w:sz w:val="16"/>
                <w:szCs w:val="16"/>
                <w:shd w:val="clear" w:color="auto" w:fill="F2F2F2"/>
              </w:rPr>
              <w:t>Goods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936,538</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ICB</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502958" w:rsidRDefault="00237756" w:rsidP="007B300F">
            <w:pPr>
              <w:jc w:val="center"/>
              <w:rPr>
                <w:rFonts w:eastAsia="Times New Roman" w:cs="Arial"/>
                <w:bCs/>
                <w:color w:val="000000"/>
                <w:sz w:val="18"/>
                <w:szCs w:val="18"/>
                <w:shd w:val="clear" w:color="auto" w:fill="F2F2F2"/>
              </w:rPr>
            </w:pPr>
            <w:r w:rsidRPr="00502958">
              <w:rPr>
                <w:rFonts w:eastAsia="Times New Roman" w:cs="Arial"/>
                <w:bCs/>
                <w:color w:val="000000"/>
                <w:sz w:val="18"/>
                <w:szCs w:val="18"/>
                <w:shd w:val="clear" w:color="auto" w:fill="F2F2F2"/>
              </w:rPr>
              <w:t>Ex-Ante</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102135" w:rsidRDefault="00237756" w:rsidP="007B300F">
            <w:pPr>
              <w:jc w:val="center"/>
              <w:rPr>
                <w:rFonts w:eastAsia="Times New Roman" w:cs="Arial"/>
                <w:bCs/>
                <w:color w:val="000000"/>
                <w:sz w:val="18"/>
                <w:szCs w:val="18"/>
                <w:shd w:val="clear" w:color="auto" w:fill="F2F2F2"/>
              </w:rPr>
            </w:pPr>
            <w:r w:rsidRPr="00102135">
              <w:rPr>
                <w:rFonts w:eastAsia="Times New Roman" w:cs="Arial"/>
                <w:bCs/>
                <w:color w:val="000000"/>
                <w:sz w:val="18"/>
                <w:szCs w:val="18"/>
                <w:shd w:val="clear" w:color="auto" w:fill="F2F2F2"/>
              </w:rPr>
              <w:t>96</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102135" w:rsidRDefault="00237756" w:rsidP="007B300F">
            <w:pPr>
              <w:jc w:val="center"/>
              <w:rPr>
                <w:rFonts w:eastAsia="Times New Roman" w:cs="Arial"/>
                <w:bCs/>
                <w:color w:val="000000"/>
                <w:sz w:val="18"/>
                <w:szCs w:val="18"/>
                <w:shd w:val="clear" w:color="auto" w:fill="F2F2F2"/>
              </w:rPr>
            </w:pPr>
            <w:r w:rsidRPr="00102135">
              <w:rPr>
                <w:rFonts w:eastAsia="Times New Roman" w:cs="Arial"/>
                <w:bCs/>
                <w:color w:val="000000"/>
                <w:sz w:val="18"/>
                <w:szCs w:val="18"/>
                <w:shd w:val="clear" w:color="auto" w:fill="F2F2F2"/>
              </w:rPr>
              <w:t>4</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0B481A" w:rsidRDefault="00237756" w:rsidP="007B300F">
            <w:pPr>
              <w:rPr>
                <w:rFonts w:eastAsia="Times New Roman" w:cs="Arial"/>
                <w:bCs/>
                <w:sz w:val="18"/>
                <w:szCs w:val="18"/>
                <w:shd w:val="clear" w:color="auto" w:fill="F2F2F2"/>
              </w:rPr>
            </w:pPr>
            <w:r w:rsidRPr="000B481A">
              <w:rPr>
                <w:rFonts w:eastAsia="Times New Roman" w:cs="Arial"/>
                <w:bCs/>
                <w:sz w:val="18"/>
                <w:szCs w:val="18"/>
                <w:shd w:val="clear" w:color="auto" w:fill="F2F2F2"/>
              </w:rPr>
              <w:t>Q</w:t>
            </w:r>
            <w:r>
              <w:rPr>
                <w:rFonts w:eastAsia="Times New Roman" w:cs="Arial"/>
                <w:bCs/>
                <w:sz w:val="18"/>
                <w:szCs w:val="18"/>
                <w:shd w:val="clear" w:color="auto" w:fill="F2F2F2"/>
              </w:rPr>
              <w:t>1 2015</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0B481A" w:rsidRDefault="00237756" w:rsidP="007B300F">
            <w:pPr>
              <w:rPr>
                <w:rFonts w:eastAsia="Times New Roman" w:cs="Arial"/>
                <w:sz w:val="18"/>
                <w:szCs w:val="18"/>
              </w:rPr>
            </w:pPr>
            <w:r w:rsidRPr="000B481A">
              <w:rPr>
                <w:rFonts w:eastAsia="Times New Roman" w:cs="Arial"/>
                <w:sz w:val="18"/>
                <w:szCs w:val="18"/>
              </w:rPr>
              <w:t>Q</w:t>
            </w:r>
            <w:r>
              <w:rPr>
                <w:rFonts w:eastAsia="Times New Roman" w:cs="Arial"/>
                <w:sz w:val="18"/>
                <w:szCs w:val="18"/>
              </w:rPr>
              <w:t>3</w:t>
            </w:r>
            <w:r w:rsidRPr="000B481A">
              <w:rPr>
                <w:rFonts w:eastAsia="Times New Roman" w:cs="Arial"/>
                <w:sz w:val="18"/>
                <w:szCs w:val="18"/>
              </w:rPr>
              <w:t xml:space="preserve">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In Process</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p>
        </w:tc>
      </w:tr>
      <w:tr w:rsidR="00237756" w:rsidRPr="00C66667"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0216D0" w:rsidRDefault="00237756" w:rsidP="007B300F">
            <w:pPr>
              <w:jc w:val="center"/>
              <w:rPr>
                <w:rFonts w:eastAsia="Times New Roman" w:cs="Arial"/>
                <w:sz w:val="16"/>
                <w:szCs w:val="16"/>
              </w:rPr>
            </w:pPr>
            <w:r>
              <w:rPr>
                <w:rFonts w:eastAsia="Times New Roman" w:cs="Arial"/>
                <w:sz w:val="16"/>
                <w:szCs w:val="16"/>
              </w:rPr>
              <w:t>5.4.1.1</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4F2BED" w:rsidRDefault="00237756" w:rsidP="007B300F">
            <w:pPr>
              <w:jc w:val="left"/>
              <w:rPr>
                <w:rFonts w:eastAsia="Times New Roman" w:cs="Arial"/>
                <w:sz w:val="18"/>
                <w:szCs w:val="18"/>
              </w:rPr>
            </w:pPr>
            <w:r>
              <w:rPr>
                <w:rFonts w:eastAsia="Times New Roman" w:cs="Arial"/>
                <w:sz w:val="18"/>
                <w:szCs w:val="18"/>
              </w:rPr>
              <w:t>Project Vehicle: SUV</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rPr>
                <w:rFonts w:eastAsia="Times New Roman" w:cs="Arial"/>
                <w:b/>
                <w:bCs/>
                <w:color w:val="000000"/>
                <w:sz w:val="16"/>
                <w:szCs w:val="16"/>
                <w:shd w:val="clear" w:color="auto" w:fill="F2F2F2"/>
              </w:rPr>
            </w:pPr>
            <w:r>
              <w:rPr>
                <w:rFonts w:eastAsia="Times New Roman" w:cs="Arial"/>
                <w:b/>
                <w:bCs/>
                <w:color w:val="000000"/>
                <w:sz w:val="16"/>
                <w:szCs w:val="16"/>
                <w:shd w:val="clear" w:color="auto" w:fill="F2F2F2"/>
              </w:rPr>
              <w:t>Goods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35,000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PC</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Ex-Post</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Q2 2015</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Q3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In Process</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p>
        </w:tc>
      </w:tr>
      <w:tr w:rsidR="00237756" w:rsidRPr="00C66667"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Default="00237756" w:rsidP="007B300F">
            <w:pPr>
              <w:jc w:val="center"/>
              <w:rPr>
                <w:rFonts w:eastAsia="Times New Roman" w:cs="Arial"/>
                <w:sz w:val="16"/>
                <w:szCs w:val="16"/>
              </w:rPr>
            </w:pPr>
            <w:r>
              <w:rPr>
                <w:rFonts w:eastAsia="Times New Roman" w:cs="Arial"/>
                <w:sz w:val="16"/>
                <w:szCs w:val="16"/>
              </w:rPr>
              <w:t>5.4.1.2</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4F2BED" w:rsidRDefault="00237756" w:rsidP="007B300F">
            <w:pPr>
              <w:jc w:val="left"/>
              <w:rPr>
                <w:rFonts w:eastAsia="Times New Roman" w:cs="Arial"/>
                <w:sz w:val="18"/>
                <w:szCs w:val="18"/>
              </w:rPr>
            </w:pPr>
            <w:r>
              <w:rPr>
                <w:rFonts w:eastAsia="Times New Roman" w:cs="Arial"/>
                <w:sz w:val="18"/>
                <w:szCs w:val="18"/>
              </w:rPr>
              <w:t>Project Vehicle: Truck</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b/>
                <w:bCs/>
                <w:color w:val="000000"/>
                <w:sz w:val="16"/>
                <w:szCs w:val="16"/>
                <w:shd w:val="clear" w:color="auto" w:fill="F2F2F2"/>
              </w:rPr>
            </w:pPr>
            <w:r>
              <w:rPr>
                <w:rFonts w:eastAsia="Times New Roman" w:cs="Arial"/>
                <w:b/>
                <w:bCs/>
                <w:color w:val="000000"/>
                <w:sz w:val="16"/>
                <w:szCs w:val="16"/>
                <w:shd w:val="clear" w:color="auto" w:fill="F2F2F2"/>
              </w:rPr>
              <w:t>Goods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35,000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PC</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Ex-Post</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Q2 2015</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Q3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In Process</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p>
        </w:tc>
      </w:tr>
      <w:tr w:rsidR="00237756" w:rsidRPr="00DF7BD6" w:rsidTr="007B300F">
        <w:trPr>
          <w:trHeight w:val="245"/>
        </w:trPr>
        <w:tc>
          <w:tcPr>
            <w:tcW w:w="5000" w:type="pct"/>
            <w:gridSpan w:val="13"/>
            <w:tcBorders>
              <w:top w:val="single" w:sz="4" w:space="0" w:color="B1BBCC"/>
              <w:left w:val="single" w:sz="4" w:space="0" w:color="B1BBCC"/>
              <w:bottom w:val="single" w:sz="4" w:space="0" w:color="B1BBCC"/>
              <w:right w:val="single" w:sz="4" w:space="0" w:color="B1BBCC"/>
            </w:tcBorders>
            <w:shd w:val="clear" w:color="auto" w:fill="8DB3E2" w:themeFill="text2" w:themeFillTint="66"/>
          </w:tcPr>
          <w:p w:rsidR="00237756" w:rsidRPr="002575FB" w:rsidRDefault="00237756" w:rsidP="007B300F">
            <w:pPr>
              <w:jc w:val="left"/>
              <w:rPr>
                <w:rFonts w:eastAsia="Times New Roman" w:cs="Arial"/>
                <w:b/>
                <w:color w:val="auto"/>
                <w:sz w:val="18"/>
                <w:szCs w:val="18"/>
              </w:rPr>
            </w:pPr>
            <w:r>
              <w:rPr>
                <w:rFonts w:eastAsia="Times New Roman" w:cs="Arial"/>
                <w:b/>
                <w:color w:val="auto"/>
                <w:sz w:val="18"/>
                <w:szCs w:val="18"/>
              </w:rPr>
              <w:t xml:space="preserve">               </w:t>
            </w:r>
            <w:r w:rsidRPr="002575FB">
              <w:rPr>
                <w:rFonts w:eastAsia="Times New Roman" w:cs="Arial"/>
                <w:b/>
                <w:color w:val="auto"/>
                <w:sz w:val="18"/>
                <w:szCs w:val="18"/>
              </w:rPr>
              <w:t>NON CONSULTING SERVICES</w:t>
            </w:r>
          </w:p>
        </w:tc>
      </w:tr>
      <w:tr w:rsidR="00237756" w:rsidRPr="00DF7BD6"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300C94" w:rsidRDefault="00237756" w:rsidP="007B300F">
            <w:pPr>
              <w:jc w:val="center"/>
              <w:rPr>
                <w:rFonts w:eastAsia="Times New Roman" w:cs="Arial"/>
                <w:sz w:val="16"/>
                <w:szCs w:val="16"/>
              </w:rPr>
            </w:pPr>
            <w:r w:rsidRPr="00300C94">
              <w:rPr>
                <w:rFonts w:eastAsia="Times New Roman" w:cs="Arial"/>
                <w:sz w:val="16"/>
                <w:szCs w:val="16"/>
              </w:rPr>
              <w:t>3.2.1.3.2.4</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0E0440" w:rsidRDefault="00237756" w:rsidP="007B300F">
            <w:pPr>
              <w:jc w:val="left"/>
              <w:rPr>
                <w:rFonts w:eastAsia="Times New Roman" w:cs="Arial"/>
                <w:color w:val="000000"/>
                <w:sz w:val="18"/>
                <w:szCs w:val="18"/>
              </w:rPr>
            </w:pPr>
            <w:r>
              <w:rPr>
                <w:rFonts w:eastAsia="Times New Roman" w:cs="Arial"/>
                <w:color w:val="000000"/>
                <w:sz w:val="18"/>
                <w:szCs w:val="18"/>
              </w:rPr>
              <w:t>Conference: Disaster Risk Reduction</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b/>
                <w:bCs/>
                <w:color w:val="000000"/>
                <w:sz w:val="16"/>
                <w:szCs w:val="16"/>
                <w:shd w:val="clear" w:color="auto" w:fill="F2F2F2"/>
              </w:rPr>
            </w:pPr>
            <w:r>
              <w:rPr>
                <w:rFonts w:eastAsia="Times New Roman" w:cs="Arial"/>
                <w:b/>
                <w:bCs/>
                <w:color w:val="000000"/>
                <w:sz w:val="16"/>
                <w:szCs w:val="16"/>
                <w:shd w:val="clear" w:color="auto" w:fill="F2F2F2"/>
              </w:rPr>
              <w:t>Non-Consulting 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502958" w:rsidRDefault="00237756" w:rsidP="007B300F">
            <w:pPr>
              <w:rPr>
                <w:rFonts w:eastAsia="Times New Roman" w:cs="Arial"/>
                <w:sz w:val="18"/>
                <w:szCs w:val="18"/>
              </w:rPr>
            </w:pPr>
            <w:r>
              <w:rPr>
                <w:rFonts w:eastAsia="Times New Roman" w:cs="Arial"/>
                <w:sz w:val="18"/>
                <w:szCs w:val="18"/>
              </w:rPr>
              <w:t>6,000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DC</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Ex-Post</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N/A</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Q3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Pending</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p>
        </w:tc>
      </w:tr>
      <w:tr w:rsidR="00237756" w:rsidRPr="00DF7BD6"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0216D0" w:rsidRDefault="00237756" w:rsidP="007B300F">
            <w:pPr>
              <w:jc w:val="center"/>
              <w:rPr>
                <w:rFonts w:eastAsia="Times New Roman" w:cs="Arial"/>
                <w:bCs/>
                <w:color w:val="000000"/>
                <w:sz w:val="16"/>
                <w:szCs w:val="16"/>
              </w:rPr>
            </w:pPr>
            <w:r w:rsidRPr="000216D0">
              <w:rPr>
                <w:rFonts w:eastAsia="Times New Roman" w:cs="Arial"/>
                <w:sz w:val="16"/>
                <w:szCs w:val="16"/>
              </w:rPr>
              <w:t>3.2.1.3.2.</w:t>
            </w:r>
            <w:r>
              <w:rPr>
                <w:rFonts w:eastAsia="Times New Roman" w:cs="Arial"/>
                <w:sz w:val="16"/>
                <w:szCs w:val="16"/>
              </w:rPr>
              <w:t>5</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left"/>
              <w:rPr>
                <w:rFonts w:eastAsia="Times New Roman" w:cs="Arial"/>
                <w:color w:val="000000"/>
                <w:sz w:val="18"/>
                <w:szCs w:val="18"/>
              </w:rPr>
            </w:pPr>
            <w:r>
              <w:rPr>
                <w:rFonts w:eastAsia="Times New Roman" w:cs="Arial"/>
                <w:color w:val="000000"/>
                <w:sz w:val="18"/>
                <w:szCs w:val="18"/>
              </w:rPr>
              <w:t>Conference: Natural Capital Project</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b/>
                <w:bCs/>
                <w:color w:val="000000"/>
                <w:sz w:val="16"/>
                <w:szCs w:val="16"/>
                <w:shd w:val="clear" w:color="auto" w:fill="F2F2F2"/>
              </w:rPr>
            </w:pPr>
            <w:r>
              <w:rPr>
                <w:rFonts w:eastAsia="Times New Roman" w:cs="Arial"/>
                <w:b/>
                <w:bCs/>
                <w:color w:val="000000"/>
                <w:sz w:val="16"/>
                <w:szCs w:val="16"/>
                <w:shd w:val="clear" w:color="auto" w:fill="F2F2F2"/>
              </w:rPr>
              <w:t>Non-Consulting 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4,500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DC</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502958" w:rsidRDefault="00237756" w:rsidP="007B300F">
            <w:pPr>
              <w:jc w:val="center"/>
              <w:rPr>
                <w:rFonts w:eastAsia="Times New Roman" w:cs="Arial"/>
                <w:bCs/>
                <w:color w:val="000000"/>
                <w:sz w:val="18"/>
                <w:szCs w:val="18"/>
                <w:shd w:val="clear" w:color="auto" w:fill="F2F2F2"/>
              </w:rPr>
            </w:pPr>
            <w:r>
              <w:rPr>
                <w:rFonts w:eastAsia="Times New Roman" w:cs="Arial"/>
                <w:sz w:val="18"/>
                <w:szCs w:val="18"/>
              </w:rPr>
              <w:t>Ex-Post</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102135" w:rsidRDefault="00237756" w:rsidP="007B300F">
            <w:pPr>
              <w:jc w:val="center"/>
              <w:rPr>
                <w:rFonts w:eastAsia="Times New Roman" w:cs="Arial"/>
                <w:bCs/>
                <w:color w:val="000000"/>
                <w:sz w:val="18"/>
                <w:szCs w:val="18"/>
                <w:shd w:val="clear" w:color="auto" w:fill="F2F2F2"/>
              </w:rPr>
            </w:pPr>
            <w:r>
              <w:rPr>
                <w:rFonts w:eastAsia="Times New Roman" w:cs="Arial"/>
                <w:bCs/>
                <w:color w:val="000000"/>
                <w:sz w:val="18"/>
                <w:szCs w:val="18"/>
                <w:shd w:val="clear" w:color="auto" w:fill="F2F2F2"/>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102135" w:rsidRDefault="00237756" w:rsidP="007B300F">
            <w:pPr>
              <w:jc w:val="center"/>
              <w:rPr>
                <w:rFonts w:eastAsia="Times New Roman" w:cs="Arial"/>
                <w:bCs/>
                <w:color w:val="000000"/>
                <w:sz w:val="18"/>
                <w:szCs w:val="18"/>
                <w:shd w:val="clear" w:color="auto" w:fill="F2F2F2"/>
              </w:rPr>
            </w:pPr>
            <w:r>
              <w:rPr>
                <w:rFonts w:eastAsia="Times New Roman" w:cs="Arial"/>
                <w:bCs/>
                <w:color w:val="000000"/>
                <w:sz w:val="18"/>
                <w:szCs w:val="18"/>
                <w:shd w:val="clear" w:color="auto" w:fill="F2F2F2"/>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0B481A" w:rsidRDefault="00237756" w:rsidP="007B300F">
            <w:pPr>
              <w:rPr>
                <w:rFonts w:eastAsia="Times New Roman" w:cs="Arial"/>
                <w:bCs/>
                <w:sz w:val="18"/>
                <w:szCs w:val="18"/>
                <w:shd w:val="clear" w:color="auto" w:fill="F2F2F2"/>
              </w:rPr>
            </w:pPr>
            <w:r>
              <w:rPr>
                <w:rFonts w:eastAsia="Times New Roman" w:cs="Arial"/>
                <w:bCs/>
                <w:sz w:val="18"/>
                <w:szCs w:val="18"/>
                <w:shd w:val="clear" w:color="auto" w:fill="F2F2F2"/>
              </w:rPr>
              <w:t>N/A</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0B481A" w:rsidRDefault="00237756" w:rsidP="007B300F">
            <w:pPr>
              <w:rPr>
                <w:rFonts w:eastAsia="Times New Roman" w:cs="Arial"/>
                <w:sz w:val="18"/>
                <w:szCs w:val="18"/>
              </w:rPr>
            </w:pPr>
            <w:r>
              <w:rPr>
                <w:rFonts w:eastAsia="Times New Roman" w:cs="Arial"/>
                <w:sz w:val="18"/>
                <w:szCs w:val="18"/>
              </w:rPr>
              <w:t>Q3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Pending</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p>
        </w:tc>
      </w:tr>
      <w:tr w:rsidR="00237756" w:rsidRPr="00DF7BD6"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0216D0" w:rsidRDefault="00237756" w:rsidP="007B300F">
            <w:pPr>
              <w:jc w:val="center"/>
              <w:rPr>
                <w:rFonts w:eastAsia="Times New Roman" w:cs="Arial"/>
                <w:bCs/>
                <w:color w:val="000000"/>
                <w:sz w:val="16"/>
                <w:szCs w:val="16"/>
              </w:rPr>
            </w:pPr>
            <w:r>
              <w:rPr>
                <w:rFonts w:eastAsia="Times New Roman" w:cs="Arial"/>
                <w:bCs/>
                <w:color w:val="000000"/>
                <w:sz w:val="16"/>
                <w:szCs w:val="16"/>
              </w:rPr>
              <w:t>3.2.1.3.2.6</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left"/>
              <w:rPr>
                <w:rFonts w:eastAsia="Times New Roman" w:cs="Arial"/>
                <w:color w:val="000000"/>
                <w:sz w:val="18"/>
                <w:szCs w:val="18"/>
              </w:rPr>
            </w:pPr>
            <w:r>
              <w:rPr>
                <w:rFonts w:eastAsia="Times New Roman" w:cs="Arial"/>
                <w:color w:val="000000"/>
                <w:sz w:val="18"/>
                <w:szCs w:val="18"/>
              </w:rPr>
              <w:t>Site visits to observe modelling process</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b/>
                <w:bCs/>
                <w:color w:val="000000"/>
                <w:sz w:val="16"/>
                <w:szCs w:val="16"/>
                <w:shd w:val="clear" w:color="auto" w:fill="F2F2F2"/>
              </w:rPr>
            </w:pPr>
            <w:r>
              <w:rPr>
                <w:rFonts w:eastAsia="Times New Roman" w:cs="Arial"/>
                <w:b/>
                <w:bCs/>
                <w:color w:val="000000"/>
                <w:sz w:val="16"/>
                <w:szCs w:val="16"/>
                <w:shd w:val="clear" w:color="auto" w:fill="F2F2F2"/>
              </w:rPr>
              <w:t>Non-Consulting 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6,000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DC</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502958" w:rsidRDefault="00237756" w:rsidP="007B300F">
            <w:pPr>
              <w:jc w:val="center"/>
              <w:rPr>
                <w:rFonts w:eastAsia="Times New Roman" w:cs="Arial"/>
                <w:bCs/>
                <w:color w:val="000000"/>
                <w:sz w:val="18"/>
                <w:szCs w:val="18"/>
                <w:shd w:val="clear" w:color="auto" w:fill="F2F2F2"/>
              </w:rPr>
            </w:pPr>
            <w:r>
              <w:rPr>
                <w:rFonts w:eastAsia="Times New Roman" w:cs="Arial"/>
                <w:bCs/>
                <w:color w:val="000000"/>
                <w:sz w:val="18"/>
                <w:szCs w:val="18"/>
                <w:shd w:val="clear" w:color="auto" w:fill="F2F2F2"/>
              </w:rPr>
              <w:t>Ex-Post</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102135" w:rsidRDefault="00237756" w:rsidP="007B300F">
            <w:pPr>
              <w:jc w:val="center"/>
              <w:rPr>
                <w:rFonts w:eastAsia="Times New Roman" w:cs="Arial"/>
                <w:bCs/>
                <w:color w:val="000000"/>
                <w:sz w:val="18"/>
                <w:szCs w:val="18"/>
                <w:shd w:val="clear" w:color="auto" w:fill="F2F2F2"/>
              </w:rPr>
            </w:pPr>
            <w:r>
              <w:rPr>
                <w:rFonts w:eastAsia="Times New Roman" w:cs="Arial"/>
                <w:bCs/>
                <w:color w:val="000000"/>
                <w:sz w:val="18"/>
                <w:szCs w:val="18"/>
                <w:shd w:val="clear" w:color="auto" w:fill="F2F2F2"/>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102135" w:rsidRDefault="00237756" w:rsidP="007B300F">
            <w:pPr>
              <w:jc w:val="center"/>
              <w:rPr>
                <w:rFonts w:eastAsia="Times New Roman" w:cs="Arial"/>
                <w:bCs/>
                <w:color w:val="000000"/>
                <w:sz w:val="18"/>
                <w:szCs w:val="18"/>
                <w:shd w:val="clear" w:color="auto" w:fill="F2F2F2"/>
              </w:rPr>
            </w:pPr>
            <w:r>
              <w:rPr>
                <w:rFonts w:eastAsia="Times New Roman" w:cs="Arial"/>
                <w:bCs/>
                <w:color w:val="000000"/>
                <w:sz w:val="18"/>
                <w:szCs w:val="18"/>
                <w:shd w:val="clear" w:color="auto" w:fill="F2F2F2"/>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0B481A" w:rsidRDefault="00237756" w:rsidP="007B300F">
            <w:pPr>
              <w:rPr>
                <w:rFonts w:eastAsia="Times New Roman" w:cs="Arial"/>
                <w:bCs/>
                <w:sz w:val="18"/>
                <w:szCs w:val="18"/>
                <w:shd w:val="clear" w:color="auto" w:fill="F2F2F2"/>
              </w:rPr>
            </w:pPr>
            <w:r>
              <w:rPr>
                <w:rFonts w:eastAsia="Times New Roman" w:cs="Arial"/>
                <w:bCs/>
                <w:sz w:val="18"/>
                <w:szCs w:val="18"/>
                <w:shd w:val="clear" w:color="auto" w:fill="F2F2F2"/>
              </w:rPr>
              <w:t>N/A</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0B481A" w:rsidRDefault="00237756" w:rsidP="007B300F">
            <w:pPr>
              <w:rPr>
                <w:rFonts w:eastAsia="Times New Roman" w:cs="Arial"/>
                <w:sz w:val="18"/>
                <w:szCs w:val="18"/>
              </w:rPr>
            </w:pPr>
            <w:r>
              <w:rPr>
                <w:rFonts w:eastAsia="Times New Roman" w:cs="Arial"/>
                <w:sz w:val="18"/>
                <w:szCs w:val="18"/>
              </w:rPr>
              <w:t>Q3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Pending</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p>
        </w:tc>
      </w:tr>
      <w:tr w:rsidR="00237756" w:rsidRPr="00DF7BD6" w:rsidTr="007B300F">
        <w:trPr>
          <w:trHeight w:val="245"/>
        </w:trPr>
        <w:tc>
          <w:tcPr>
            <w:tcW w:w="5000" w:type="pct"/>
            <w:gridSpan w:val="13"/>
            <w:tcBorders>
              <w:top w:val="single" w:sz="4" w:space="0" w:color="B1BBCC"/>
              <w:left w:val="single" w:sz="4" w:space="0" w:color="B1BBCC"/>
              <w:bottom w:val="single" w:sz="4" w:space="0" w:color="B1BBCC"/>
              <w:right w:val="single" w:sz="4" w:space="0" w:color="B1BBCC"/>
            </w:tcBorders>
            <w:shd w:val="clear" w:color="auto" w:fill="8DB3E2" w:themeFill="text2" w:themeFillTint="66"/>
          </w:tcPr>
          <w:p w:rsidR="00237756" w:rsidRPr="002575FB" w:rsidRDefault="00237756" w:rsidP="007B300F">
            <w:pPr>
              <w:jc w:val="left"/>
              <w:rPr>
                <w:rFonts w:eastAsia="Times New Roman" w:cs="Arial"/>
                <w:b/>
                <w:color w:val="auto"/>
                <w:sz w:val="18"/>
                <w:szCs w:val="18"/>
              </w:rPr>
            </w:pPr>
            <w:r>
              <w:rPr>
                <w:rFonts w:eastAsia="Times New Roman" w:cs="Arial"/>
                <w:b/>
                <w:color w:val="auto"/>
                <w:sz w:val="18"/>
                <w:szCs w:val="18"/>
              </w:rPr>
              <w:t xml:space="preserve">               </w:t>
            </w:r>
            <w:r w:rsidRPr="002575FB">
              <w:rPr>
                <w:rFonts w:eastAsia="Times New Roman" w:cs="Arial"/>
                <w:b/>
                <w:color w:val="auto"/>
                <w:sz w:val="18"/>
                <w:szCs w:val="18"/>
              </w:rPr>
              <w:t>CONSULTING SERVICES</w:t>
            </w:r>
          </w:p>
        </w:tc>
      </w:tr>
      <w:tr w:rsidR="00237756" w:rsidRPr="00C66667" w:rsidTr="007B300F">
        <w:trPr>
          <w:trHeight w:val="1622"/>
        </w:trPr>
        <w:tc>
          <w:tcPr>
            <w:tcW w:w="273" w:type="pct"/>
            <w:tcBorders>
              <w:top w:val="single" w:sz="4" w:space="0" w:color="B1BBCC"/>
              <w:left w:val="single" w:sz="4" w:space="0" w:color="B1BBCC"/>
              <w:bottom w:val="single" w:sz="4" w:space="0" w:color="B1BBCC"/>
              <w:right w:val="single" w:sz="4" w:space="0" w:color="B1BBCC"/>
            </w:tcBorders>
            <w:shd w:val="clear" w:color="auto" w:fill="FFFFFF"/>
            <w:hideMark/>
          </w:tcPr>
          <w:p w:rsidR="00237756" w:rsidRPr="000216D0" w:rsidRDefault="00237756" w:rsidP="007B300F">
            <w:pPr>
              <w:jc w:val="center"/>
              <w:rPr>
                <w:rFonts w:eastAsia="Times New Roman" w:cs="Arial"/>
                <w:color w:val="000000"/>
                <w:sz w:val="16"/>
                <w:szCs w:val="16"/>
              </w:rPr>
            </w:pPr>
            <w:r w:rsidRPr="000216D0">
              <w:rPr>
                <w:rFonts w:eastAsia="Times New Roman" w:cs="Arial"/>
                <w:color w:val="000000"/>
                <w:sz w:val="16"/>
                <w:szCs w:val="16"/>
              </w:rPr>
              <w:t>1.2.1</w:t>
            </w:r>
          </w:p>
          <w:p w:rsidR="00237756" w:rsidRPr="000216D0" w:rsidRDefault="00237756" w:rsidP="007B300F">
            <w:pPr>
              <w:jc w:val="center"/>
              <w:rPr>
                <w:rFonts w:eastAsia="Times New Roman" w:cs="Arial"/>
                <w:color w:val="000000"/>
                <w:sz w:val="16"/>
                <w:szCs w:val="16"/>
              </w:rPr>
            </w:pPr>
            <w:r w:rsidRPr="000216D0">
              <w:rPr>
                <w:rFonts w:eastAsia="Times New Roman" w:cs="Arial"/>
                <w:color w:val="000000"/>
                <w:sz w:val="16"/>
                <w:szCs w:val="16"/>
              </w:rPr>
              <w:t>1.4.1</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hideMark/>
          </w:tcPr>
          <w:p w:rsidR="00237756" w:rsidRPr="000D1D16" w:rsidRDefault="00237756" w:rsidP="007B300F">
            <w:pPr>
              <w:jc w:val="left"/>
              <w:rPr>
                <w:rFonts w:eastAsia="Times New Roman" w:cs="Arial"/>
                <w:color w:val="000000"/>
                <w:sz w:val="18"/>
                <w:szCs w:val="18"/>
              </w:rPr>
            </w:pPr>
            <w:r w:rsidRPr="000D1D16">
              <w:rPr>
                <w:rFonts w:eastAsia="Times New Roman" w:cs="Arial"/>
                <w:color w:val="000000"/>
                <w:sz w:val="18"/>
                <w:szCs w:val="18"/>
              </w:rPr>
              <w:t>COMPONENT 1: Risk Assessments and Risk Platform</w:t>
            </w:r>
          </w:p>
          <w:p w:rsidR="00237756" w:rsidRPr="000D1D16" w:rsidRDefault="00237756" w:rsidP="007B300F">
            <w:pPr>
              <w:jc w:val="left"/>
              <w:rPr>
                <w:rFonts w:cs="Arial"/>
                <w:color w:val="000000"/>
                <w:sz w:val="18"/>
                <w:szCs w:val="18"/>
              </w:rPr>
            </w:pPr>
            <w:r w:rsidRPr="000D1D16">
              <w:rPr>
                <w:rFonts w:cs="Arial"/>
                <w:b/>
                <w:color w:val="000000"/>
                <w:sz w:val="18"/>
                <w:szCs w:val="18"/>
              </w:rPr>
              <w:t>1.2</w:t>
            </w:r>
            <w:r w:rsidRPr="000D1D16">
              <w:rPr>
                <w:rFonts w:cs="Arial"/>
                <w:color w:val="000000"/>
                <w:sz w:val="18"/>
                <w:szCs w:val="18"/>
              </w:rPr>
              <w:t xml:space="preserve"> Comprehensive Risk Evaluation $2,367,263.70</w:t>
            </w:r>
          </w:p>
          <w:p w:rsidR="00237756" w:rsidRPr="00C66667" w:rsidRDefault="00237756" w:rsidP="007B300F">
            <w:pPr>
              <w:jc w:val="left"/>
              <w:rPr>
                <w:rFonts w:eastAsia="Times New Roman" w:cs="Arial"/>
                <w:sz w:val="20"/>
                <w:szCs w:val="20"/>
              </w:rPr>
            </w:pPr>
            <w:r w:rsidRPr="000D1D16">
              <w:rPr>
                <w:rFonts w:cs="Arial"/>
                <w:b/>
                <w:color w:val="000000"/>
                <w:sz w:val="18"/>
                <w:szCs w:val="18"/>
              </w:rPr>
              <w:t>1.4</w:t>
            </w:r>
            <w:r w:rsidRPr="000D1D16">
              <w:rPr>
                <w:rFonts w:cs="Arial"/>
                <w:color w:val="000000"/>
                <w:sz w:val="18"/>
                <w:szCs w:val="18"/>
              </w:rPr>
              <w:t xml:space="preserve"> </w:t>
            </w:r>
            <w:r w:rsidRPr="000D1D16">
              <w:rPr>
                <w:rFonts w:cs="Arial"/>
                <w:color w:val="000000"/>
                <w:sz w:val="18"/>
                <w:szCs w:val="18"/>
              </w:rPr>
              <w:br/>
            </w:r>
            <w:r w:rsidRPr="000D1D16">
              <w:rPr>
                <w:rFonts w:cs="Arial"/>
                <w:color w:val="000000"/>
                <w:sz w:val="18"/>
                <w:szCs w:val="18"/>
              </w:rPr>
              <w:lastRenderedPageBreak/>
              <w:t>Design and Implementation of NCRIPP $714,541.60</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hideMark/>
          </w:tcPr>
          <w:p w:rsidR="00237756" w:rsidRPr="00C66667" w:rsidRDefault="00237756" w:rsidP="007B300F">
            <w:pPr>
              <w:rPr>
                <w:rFonts w:eastAsia="Times New Roman" w:cs="Arial"/>
                <w:sz w:val="16"/>
                <w:szCs w:val="16"/>
              </w:rPr>
            </w:pPr>
            <w:r>
              <w:rPr>
                <w:rFonts w:eastAsia="Times New Roman" w:cs="Arial"/>
                <w:b/>
                <w:bCs/>
                <w:color w:val="000000"/>
                <w:sz w:val="16"/>
                <w:szCs w:val="16"/>
                <w:shd w:val="clear" w:color="auto" w:fill="F2F2F2"/>
              </w:rPr>
              <w:lastRenderedPageBreak/>
              <w:t>Consulting 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rPr>
                <w:rFonts w:eastAsia="Times New Roman" w:cs="Arial"/>
                <w:sz w:val="18"/>
                <w:szCs w:val="18"/>
              </w:rPr>
            </w:pPr>
            <w:r>
              <w:rPr>
                <w:rFonts w:eastAsia="Times New Roman" w:cs="Arial"/>
                <w:sz w:val="18"/>
                <w:szCs w:val="18"/>
              </w:rPr>
              <w:t>3,081,805.30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QBS</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Ex-Ante</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72</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28</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rPr>
                <w:rFonts w:eastAsia="Times New Roman" w:cs="Arial"/>
                <w:sz w:val="18"/>
                <w:szCs w:val="18"/>
              </w:rPr>
            </w:pPr>
            <w:r>
              <w:rPr>
                <w:rFonts w:eastAsia="Times New Roman" w:cs="Arial"/>
                <w:sz w:val="18"/>
                <w:szCs w:val="18"/>
              </w:rPr>
              <w:t>Q4 2013</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3F53D8" w:rsidP="003F53D8">
            <w:pPr>
              <w:rPr>
                <w:rFonts w:eastAsia="Times New Roman" w:cs="Arial"/>
                <w:sz w:val="18"/>
                <w:szCs w:val="18"/>
              </w:rPr>
            </w:pPr>
            <w:r>
              <w:rPr>
                <w:rFonts w:eastAsia="Times New Roman" w:cs="Arial"/>
                <w:sz w:val="18"/>
                <w:szCs w:val="18"/>
              </w:rPr>
              <w:t>Q3</w:t>
            </w:r>
            <w:r w:rsidR="00010F79">
              <w:rPr>
                <w:rFonts w:eastAsia="Times New Roman" w:cs="Arial"/>
                <w:sz w:val="18"/>
                <w:szCs w:val="18"/>
              </w:rPr>
              <w:t xml:space="preserve"> </w:t>
            </w:r>
            <w:r w:rsidR="00237756">
              <w:rPr>
                <w:rFonts w:eastAsia="Times New Roman" w:cs="Arial"/>
                <w:sz w:val="18"/>
                <w:szCs w:val="18"/>
              </w:rPr>
              <w:t>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In Process</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Default="00237756" w:rsidP="007B300F">
            <w:pPr>
              <w:jc w:val="left"/>
              <w:rPr>
                <w:rFonts w:eastAsia="Times New Roman" w:cs="Arial"/>
                <w:sz w:val="18"/>
                <w:szCs w:val="18"/>
              </w:rPr>
            </w:pPr>
          </w:p>
          <w:p w:rsidR="00237756" w:rsidRDefault="00237756" w:rsidP="007B300F">
            <w:pPr>
              <w:jc w:val="left"/>
              <w:rPr>
                <w:rFonts w:eastAsia="Times New Roman" w:cs="Arial"/>
                <w:sz w:val="18"/>
                <w:szCs w:val="18"/>
              </w:rPr>
            </w:pPr>
          </w:p>
          <w:p w:rsidR="00237756" w:rsidRDefault="00237756" w:rsidP="007B300F">
            <w:pPr>
              <w:jc w:val="left"/>
              <w:rPr>
                <w:rFonts w:eastAsia="Times New Roman" w:cs="Arial"/>
                <w:sz w:val="18"/>
                <w:szCs w:val="18"/>
              </w:rPr>
            </w:pPr>
          </w:p>
          <w:p w:rsidR="00237756" w:rsidRDefault="00237756" w:rsidP="007B300F">
            <w:pPr>
              <w:jc w:val="left"/>
              <w:rPr>
                <w:rFonts w:eastAsia="Times New Roman" w:cs="Arial"/>
                <w:sz w:val="18"/>
                <w:szCs w:val="18"/>
              </w:rPr>
            </w:pPr>
          </w:p>
          <w:p w:rsidR="00237756" w:rsidRDefault="00237756" w:rsidP="007B300F">
            <w:pPr>
              <w:jc w:val="left"/>
              <w:rPr>
                <w:rFonts w:eastAsia="Times New Roman" w:cs="Arial"/>
                <w:sz w:val="18"/>
                <w:szCs w:val="18"/>
              </w:rPr>
            </w:pPr>
          </w:p>
          <w:p w:rsidR="00237756" w:rsidRDefault="00237756" w:rsidP="007B300F">
            <w:pPr>
              <w:jc w:val="left"/>
              <w:rPr>
                <w:rFonts w:eastAsia="Times New Roman" w:cs="Arial"/>
                <w:sz w:val="18"/>
                <w:szCs w:val="18"/>
              </w:rPr>
            </w:pPr>
          </w:p>
          <w:p w:rsidR="00237756" w:rsidRDefault="00237756" w:rsidP="007B300F">
            <w:pPr>
              <w:jc w:val="left"/>
              <w:rPr>
                <w:rFonts w:eastAsia="Times New Roman" w:cs="Arial"/>
                <w:sz w:val="18"/>
                <w:szCs w:val="18"/>
              </w:rPr>
            </w:pPr>
          </w:p>
          <w:p w:rsidR="00237756" w:rsidRPr="00C66667" w:rsidRDefault="00237756" w:rsidP="007B300F">
            <w:pPr>
              <w:jc w:val="left"/>
              <w:rPr>
                <w:rFonts w:eastAsia="Times New Roman" w:cs="Arial"/>
                <w:sz w:val="18"/>
                <w:szCs w:val="18"/>
              </w:rPr>
            </w:pPr>
          </w:p>
        </w:tc>
      </w:tr>
      <w:tr w:rsidR="00237756" w:rsidRPr="00DF7BD6" w:rsidTr="007B300F">
        <w:trPr>
          <w:trHeight w:val="398"/>
        </w:trPr>
        <w:tc>
          <w:tcPr>
            <w:tcW w:w="273" w:type="pct"/>
            <w:tcBorders>
              <w:top w:val="single" w:sz="4" w:space="0" w:color="B1BBCC"/>
              <w:left w:val="single" w:sz="4" w:space="0" w:color="B1BBCC"/>
              <w:bottom w:val="single" w:sz="4" w:space="0" w:color="B1BBCC"/>
              <w:right w:val="single" w:sz="4" w:space="0" w:color="B1BBCC"/>
            </w:tcBorders>
            <w:shd w:val="clear" w:color="auto" w:fill="FFFFFF"/>
          </w:tcPr>
          <w:p w:rsidR="00237756" w:rsidRPr="00DF7BD6" w:rsidRDefault="00237756" w:rsidP="007B300F">
            <w:pPr>
              <w:jc w:val="center"/>
              <w:rPr>
                <w:rFonts w:eastAsia="Times New Roman" w:cs="Arial"/>
                <w:color w:val="auto"/>
                <w:sz w:val="16"/>
                <w:szCs w:val="16"/>
              </w:rPr>
            </w:pPr>
            <w:r w:rsidRPr="00DF7BD6">
              <w:rPr>
                <w:rFonts w:eastAsia="Times New Roman" w:cs="Arial"/>
                <w:color w:val="auto"/>
                <w:sz w:val="16"/>
                <w:szCs w:val="16"/>
              </w:rPr>
              <w:lastRenderedPageBreak/>
              <w:t>1.5.1</w:t>
            </w:r>
          </w:p>
        </w:tc>
        <w:tc>
          <w:tcPr>
            <w:tcW w:w="821" w:type="pct"/>
            <w:tcBorders>
              <w:top w:val="single" w:sz="4" w:space="0" w:color="B1BBCC"/>
              <w:left w:val="single" w:sz="4" w:space="0" w:color="B1BBCC"/>
              <w:bottom w:val="single" w:sz="4" w:space="0" w:color="B1BBCC"/>
              <w:right w:val="single" w:sz="4" w:space="0" w:color="B1BBCC"/>
            </w:tcBorders>
            <w:shd w:val="clear" w:color="auto" w:fill="F2F2F2"/>
          </w:tcPr>
          <w:p w:rsidR="00237756" w:rsidRPr="00DF7BD6" w:rsidRDefault="00237756" w:rsidP="007B300F">
            <w:pPr>
              <w:jc w:val="left"/>
              <w:rPr>
                <w:rFonts w:eastAsia="Times New Roman" w:cs="Arial"/>
                <w:color w:val="auto"/>
                <w:sz w:val="18"/>
                <w:szCs w:val="18"/>
              </w:rPr>
            </w:pPr>
            <w:r w:rsidRPr="00DF7BD6">
              <w:rPr>
                <w:rFonts w:eastAsia="Times New Roman" w:cs="Arial"/>
                <w:color w:val="auto"/>
                <w:sz w:val="18"/>
                <w:szCs w:val="18"/>
              </w:rPr>
              <w:t>Procurement Specialist Consultant</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b/>
                <w:bCs/>
                <w:color w:val="auto"/>
                <w:sz w:val="16"/>
                <w:szCs w:val="16"/>
                <w:shd w:val="clear" w:color="auto" w:fill="F2F2F2"/>
              </w:rPr>
            </w:pPr>
            <w:r w:rsidRPr="00DF7BD6">
              <w:rPr>
                <w:rFonts w:eastAsia="Times New Roman" w:cs="Arial"/>
                <w:b/>
                <w:bCs/>
                <w:color w:val="auto"/>
                <w:sz w:val="16"/>
                <w:szCs w:val="16"/>
                <w:shd w:val="clear" w:color="auto" w:fill="F2F2F2"/>
              </w:rPr>
              <w:t>Consulting 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3F53D8" w:rsidP="003F53D8">
            <w:pPr>
              <w:rPr>
                <w:rFonts w:eastAsia="Times New Roman" w:cs="Arial"/>
                <w:color w:val="auto"/>
                <w:sz w:val="18"/>
                <w:szCs w:val="18"/>
              </w:rPr>
            </w:pPr>
            <w:r>
              <w:rPr>
                <w:rFonts w:eastAsia="Times New Roman" w:cs="Arial"/>
                <w:color w:val="auto"/>
                <w:sz w:val="18"/>
                <w:szCs w:val="18"/>
              </w:rPr>
              <w:t>11,200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3F53D8" w:rsidP="007B300F">
            <w:pPr>
              <w:jc w:val="center"/>
              <w:rPr>
                <w:rFonts w:eastAsia="Times New Roman" w:cs="Arial"/>
                <w:color w:val="auto"/>
                <w:sz w:val="18"/>
                <w:szCs w:val="18"/>
              </w:rPr>
            </w:pPr>
            <w:r>
              <w:rPr>
                <w:rFonts w:eastAsia="Times New Roman" w:cs="Arial"/>
                <w:color w:val="auto"/>
                <w:sz w:val="18"/>
                <w:szCs w:val="18"/>
              </w:rPr>
              <w:t>SSS</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Ex Ante</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8070E2" w:rsidP="007B300F">
            <w:pPr>
              <w:rPr>
                <w:rFonts w:eastAsia="Times New Roman" w:cs="Arial"/>
                <w:color w:val="auto"/>
                <w:sz w:val="18"/>
                <w:szCs w:val="18"/>
              </w:rPr>
            </w:pPr>
            <w:r>
              <w:rPr>
                <w:rFonts w:eastAsia="Times New Roman" w:cs="Arial"/>
                <w:color w:val="auto"/>
                <w:sz w:val="18"/>
                <w:szCs w:val="18"/>
              </w:rPr>
              <w:t>N/A</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010F79" w:rsidP="00010F79">
            <w:pPr>
              <w:rPr>
                <w:rFonts w:eastAsia="Times New Roman" w:cs="Arial"/>
                <w:color w:val="auto"/>
                <w:sz w:val="18"/>
                <w:szCs w:val="18"/>
              </w:rPr>
            </w:pPr>
            <w:r w:rsidRPr="00DF7BD6">
              <w:rPr>
                <w:rFonts w:eastAsia="Times New Roman" w:cs="Arial"/>
                <w:color w:val="auto"/>
                <w:sz w:val="18"/>
                <w:szCs w:val="18"/>
              </w:rPr>
              <w:t>Q</w:t>
            </w:r>
            <w:r>
              <w:rPr>
                <w:rFonts w:eastAsia="Times New Roman" w:cs="Arial"/>
                <w:color w:val="auto"/>
                <w:sz w:val="18"/>
                <w:szCs w:val="18"/>
              </w:rPr>
              <w:t>3</w:t>
            </w:r>
            <w:r w:rsidRPr="00DF7BD6">
              <w:rPr>
                <w:rFonts w:eastAsia="Times New Roman" w:cs="Arial"/>
                <w:color w:val="auto"/>
                <w:sz w:val="18"/>
                <w:szCs w:val="18"/>
              </w:rPr>
              <w:t xml:space="preserve"> </w:t>
            </w:r>
            <w:r w:rsidR="00237756" w:rsidRPr="00DF7BD6">
              <w:rPr>
                <w:rFonts w:eastAsia="Times New Roman" w:cs="Arial"/>
                <w:color w:val="auto"/>
                <w:sz w:val="18"/>
                <w:szCs w:val="18"/>
              </w:rPr>
              <w:t>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In process</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DF7BD6" w:rsidRDefault="00237756" w:rsidP="007B300F">
            <w:pPr>
              <w:jc w:val="left"/>
              <w:rPr>
                <w:rFonts w:eastAsia="Times New Roman" w:cs="Arial"/>
                <w:color w:val="auto"/>
                <w:sz w:val="18"/>
                <w:szCs w:val="18"/>
              </w:rPr>
            </w:pPr>
          </w:p>
        </w:tc>
      </w:tr>
      <w:tr w:rsidR="00237756" w:rsidRPr="00C66667" w:rsidTr="007B300F">
        <w:trPr>
          <w:trHeight w:val="1262"/>
        </w:trPr>
        <w:tc>
          <w:tcPr>
            <w:tcW w:w="273" w:type="pct"/>
            <w:tcBorders>
              <w:top w:val="single" w:sz="4" w:space="0" w:color="B1BBCC"/>
              <w:left w:val="single" w:sz="4" w:space="0" w:color="B1BBCC"/>
              <w:bottom w:val="single" w:sz="4" w:space="0" w:color="B1BBCC"/>
              <w:right w:val="single" w:sz="4" w:space="0" w:color="B1BBCC"/>
            </w:tcBorders>
            <w:shd w:val="clear" w:color="auto" w:fill="FFFFFF"/>
            <w:hideMark/>
          </w:tcPr>
          <w:p w:rsidR="00237756" w:rsidRPr="000216D0" w:rsidRDefault="00237756" w:rsidP="007B300F">
            <w:pPr>
              <w:jc w:val="center"/>
              <w:rPr>
                <w:rFonts w:eastAsia="Times New Roman" w:cs="Arial"/>
                <w:color w:val="000000"/>
                <w:sz w:val="16"/>
                <w:szCs w:val="16"/>
              </w:rPr>
            </w:pPr>
            <w:r w:rsidRPr="000216D0">
              <w:rPr>
                <w:rFonts w:eastAsia="Times New Roman" w:cs="Arial"/>
                <w:color w:val="000000"/>
                <w:sz w:val="16"/>
                <w:szCs w:val="16"/>
              </w:rPr>
              <w:t>3.1.1- 3.9.1</w:t>
            </w:r>
          </w:p>
        </w:tc>
        <w:tc>
          <w:tcPr>
            <w:tcW w:w="821" w:type="pct"/>
            <w:tcBorders>
              <w:top w:val="single" w:sz="4" w:space="0" w:color="B1BBCC"/>
              <w:left w:val="single" w:sz="4" w:space="0" w:color="B1BBCC"/>
              <w:bottom w:val="single" w:sz="4" w:space="0" w:color="B1BBCC"/>
              <w:right w:val="single" w:sz="4" w:space="0" w:color="B1BBCC"/>
            </w:tcBorders>
            <w:shd w:val="clear" w:color="auto" w:fill="F2F2F2"/>
            <w:hideMark/>
          </w:tcPr>
          <w:p w:rsidR="00237756" w:rsidRPr="00C802A4" w:rsidRDefault="00237756" w:rsidP="007B300F">
            <w:pPr>
              <w:jc w:val="left"/>
              <w:rPr>
                <w:rFonts w:eastAsia="Times New Roman" w:cs="Arial"/>
                <w:color w:val="000000"/>
                <w:sz w:val="18"/>
                <w:szCs w:val="18"/>
              </w:rPr>
            </w:pPr>
            <w:r w:rsidRPr="00015D44">
              <w:rPr>
                <w:rFonts w:eastAsia="Times New Roman" w:cs="Arial"/>
                <w:color w:val="000000"/>
                <w:sz w:val="18"/>
                <w:szCs w:val="18"/>
              </w:rPr>
              <w:t>COMPONENT 3: Institutional Sustainability for Integrated</w:t>
            </w:r>
            <w:r>
              <w:rPr>
                <w:rFonts w:eastAsia="Times New Roman" w:cs="Arial"/>
                <w:color w:val="000000"/>
                <w:sz w:val="18"/>
                <w:szCs w:val="18"/>
              </w:rPr>
              <w:t xml:space="preserve"> Coastal Risk Management (ICRM)</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hideMark/>
          </w:tcPr>
          <w:p w:rsidR="00237756" w:rsidRDefault="00237756" w:rsidP="007B300F">
            <w:pPr>
              <w:rPr>
                <w:rFonts w:eastAsia="Times New Roman" w:cs="Arial"/>
                <w:b/>
                <w:bCs/>
                <w:color w:val="000000"/>
                <w:sz w:val="16"/>
                <w:szCs w:val="16"/>
                <w:shd w:val="clear" w:color="auto" w:fill="F2F2F2"/>
              </w:rPr>
            </w:pPr>
            <w:r>
              <w:rPr>
                <w:rFonts w:eastAsia="Times New Roman" w:cs="Arial"/>
                <w:b/>
                <w:bCs/>
                <w:color w:val="000000"/>
                <w:sz w:val="16"/>
                <w:szCs w:val="16"/>
                <w:shd w:val="clear" w:color="auto" w:fill="F2F2F2"/>
              </w:rPr>
              <w:t>Consulting Services</w:t>
            </w:r>
          </w:p>
          <w:p w:rsidR="00237756" w:rsidRPr="00C66667" w:rsidRDefault="00237756" w:rsidP="007B300F">
            <w:pPr>
              <w:rPr>
                <w:rFonts w:eastAsia="Times New Roman" w:cs="Arial"/>
                <w:sz w:val="16"/>
                <w:szCs w:val="16"/>
              </w:rPr>
            </w:pP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3,546,156</w:t>
            </w:r>
          </w:p>
          <w:p w:rsidR="00237756" w:rsidRPr="00C66667" w:rsidRDefault="00237756" w:rsidP="007B300F">
            <w:pPr>
              <w:rPr>
                <w:rFonts w:eastAsia="Times New Roman" w:cs="Arial"/>
                <w:sz w:val="18"/>
                <w:szCs w:val="18"/>
              </w:rPr>
            </w:pP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QBS</w:t>
            </w:r>
          </w:p>
          <w:p w:rsidR="00237756" w:rsidRPr="00C66667" w:rsidRDefault="00237756" w:rsidP="007B300F">
            <w:pPr>
              <w:rPr>
                <w:rFonts w:eastAsia="Times New Roman" w:cs="Arial"/>
                <w:sz w:val="18"/>
                <w:szCs w:val="18"/>
              </w:rPr>
            </w:pP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Ex-Ante</w:t>
            </w:r>
          </w:p>
          <w:p w:rsidR="00237756" w:rsidRPr="00C66667" w:rsidRDefault="00237756" w:rsidP="007B300F">
            <w:pPr>
              <w:rPr>
                <w:rFonts w:eastAsia="Times New Roman" w:cs="Arial"/>
                <w:sz w:val="18"/>
                <w:szCs w:val="18"/>
              </w:rPr>
            </w:pP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82</w:t>
            </w:r>
          </w:p>
          <w:p w:rsidR="00237756" w:rsidRPr="00C66667" w:rsidRDefault="00237756" w:rsidP="007B300F">
            <w:pPr>
              <w:rPr>
                <w:rFonts w:eastAsia="Times New Roman" w:cs="Arial"/>
                <w:sz w:val="18"/>
                <w:szCs w:val="18"/>
              </w:rPr>
            </w:pP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18</w:t>
            </w:r>
          </w:p>
          <w:p w:rsidR="00237756" w:rsidRPr="00C66667" w:rsidRDefault="00237756" w:rsidP="007B300F">
            <w:pPr>
              <w:rPr>
                <w:rFonts w:eastAsia="Times New Roman" w:cs="Arial"/>
                <w:sz w:val="18"/>
                <w:szCs w:val="18"/>
              </w:rPr>
            </w:pP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Q4 2013</w:t>
            </w:r>
          </w:p>
          <w:p w:rsidR="00237756" w:rsidRPr="00C66667" w:rsidRDefault="00237756" w:rsidP="007B300F">
            <w:pPr>
              <w:rPr>
                <w:rFonts w:eastAsia="Times New Roman" w:cs="Arial"/>
                <w:sz w:val="18"/>
                <w:szCs w:val="18"/>
              </w:rPr>
            </w:pP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Q3 2015</w:t>
            </w:r>
          </w:p>
          <w:p w:rsidR="00237756" w:rsidRPr="00C66667" w:rsidRDefault="00237756" w:rsidP="007B300F">
            <w:pPr>
              <w:rPr>
                <w:rFonts w:eastAsia="Times New Roman" w:cs="Arial"/>
                <w:sz w:val="18"/>
                <w:szCs w:val="18"/>
              </w:rPr>
            </w:pP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In Process</w:t>
            </w:r>
          </w:p>
          <w:p w:rsidR="00237756" w:rsidRPr="00C66667" w:rsidRDefault="00237756" w:rsidP="007B300F">
            <w:pPr>
              <w:rPr>
                <w:rFonts w:eastAsia="Times New Roman" w:cs="Arial"/>
                <w:sz w:val="18"/>
                <w:szCs w:val="18"/>
              </w:rPr>
            </w:pP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p>
        </w:tc>
      </w:tr>
      <w:tr w:rsidR="00237756" w:rsidRPr="00DF7BD6"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DF7BD6" w:rsidRDefault="00237756" w:rsidP="007B300F">
            <w:pPr>
              <w:jc w:val="center"/>
              <w:rPr>
                <w:rFonts w:eastAsia="Times New Roman" w:cs="Arial"/>
                <w:color w:val="auto"/>
                <w:sz w:val="16"/>
                <w:szCs w:val="16"/>
              </w:rPr>
            </w:pPr>
            <w:r w:rsidRPr="00DF7BD6">
              <w:rPr>
                <w:rFonts w:eastAsia="Times New Roman" w:cs="Arial"/>
                <w:color w:val="auto"/>
                <w:sz w:val="16"/>
                <w:szCs w:val="16"/>
              </w:rPr>
              <w:t>3.2.1.3.2.1</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left"/>
              <w:rPr>
                <w:rFonts w:eastAsia="Times New Roman" w:cs="Arial"/>
                <w:color w:val="auto"/>
                <w:sz w:val="18"/>
                <w:szCs w:val="18"/>
              </w:rPr>
            </w:pPr>
            <w:r w:rsidRPr="00DF7BD6">
              <w:rPr>
                <w:rFonts w:eastAsia="Times New Roman" w:cs="Arial"/>
                <w:color w:val="auto"/>
                <w:sz w:val="18"/>
                <w:szCs w:val="18"/>
              </w:rPr>
              <w:t xml:space="preserve">Local: </w:t>
            </w:r>
            <w:r>
              <w:rPr>
                <w:rFonts w:eastAsia="Times New Roman" w:cs="Arial"/>
                <w:color w:val="auto"/>
                <w:sz w:val="18"/>
                <w:szCs w:val="18"/>
              </w:rPr>
              <w:t xml:space="preserve">Coastal Enforcement  </w:t>
            </w:r>
            <w:r w:rsidRPr="00DF7BD6">
              <w:rPr>
                <w:rFonts w:eastAsia="Times New Roman" w:cs="Arial"/>
                <w:color w:val="auto"/>
                <w:sz w:val="18"/>
                <w:szCs w:val="18"/>
              </w:rPr>
              <w:t>Training Workshop</w:t>
            </w:r>
          </w:p>
          <w:p w:rsidR="00237756" w:rsidRPr="00DF7BD6" w:rsidRDefault="00237756" w:rsidP="007B300F">
            <w:pPr>
              <w:jc w:val="left"/>
              <w:rPr>
                <w:rFonts w:eastAsia="Times New Roman" w:cs="Arial"/>
                <w:color w:val="auto"/>
                <w:sz w:val="18"/>
                <w:szCs w:val="18"/>
              </w:rPr>
            </w:pP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b/>
                <w:bCs/>
                <w:color w:val="auto"/>
                <w:sz w:val="16"/>
                <w:szCs w:val="16"/>
                <w:shd w:val="clear" w:color="auto" w:fill="F2F2F2"/>
              </w:rPr>
            </w:pPr>
            <w:r w:rsidRPr="00DF7BD6">
              <w:rPr>
                <w:rFonts w:eastAsia="Times New Roman" w:cs="Arial"/>
                <w:b/>
                <w:bCs/>
                <w:color w:val="auto"/>
                <w:sz w:val="16"/>
                <w:szCs w:val="16"/>
                <w:shd w:val="clear" w:color="auto" w:fill="F2F2F2"/>
              </w:rPr>
              <w:t>Consulting 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color w:val="auto"/>
                <w:sz w:val="18"/>
                <w:szCs w:val="18"/>
              </w:rPr>
            </w:pPr>
            <w:r w:rsidRPr="00DF7BD6">
              <w:rPr>
                <w:rFonts w:eastAsia="Times New Roman" w:cs="Arial"/>
                <w:color w:val="auto"/>
                <w:sz w:val="18"/>
                <w:szCs w:val="18"/>
              </w:rPr>
              <w:t>40,000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SSS</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Ex-Ante</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color w:val="auto"/>
                <w:sz w:val="18"/>
                <w:szCs w:val="18"/>
              </w:rPr>
            </w:pPr>
            <w:r w:rsidRPr="00DF7BD6">
              <w:rPr>
                <w:rFonts w:eastAsia="Times New Roman" w:cs="Arial"/>
                <w:color w:val="auto"/>
                <w:sz w:val="18"/>
                <w:szCs w:val="18"/>
              </w:rPr>
              <w:t>N/A</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color w:val="auto"/>
                <w:sz w:val="18"/>
                <w:szCs w:val="18"/>
              </w:rPr>
            </w:pPr>
            <w:r w:rsidRPr="00DF7BD6">
              <w:rPr>
                <w:rFonts w:eastAsia="Times New Roman" w:cs="Arial"/>
                <w:color w:val="auto"/>
                <w:sz w:val="18"/>
                <w:szCs w:val="18"/>
              </w:rPr>
              <w:t>Q3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Pending</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DF7BD6" w:rsidRDefault="00237756" w:rsidP="007B300F">
            <w:pPr>
              <w:jc w:val="left"/>
              <w:rPr>
                <w:rFonts w:eastAsia="Times New Roman" w:cs="Arial"/>
                <w:color w:val="auto"/>
                <w:sz w:val="18"/>
                <w:szCs w:val="18"/>
              </w:rPr>
            </w:pPr>
            <w:r w:rsidRPr="00DF7BD6">
              <w:rPr>
                <w:rFonts w:eastAsia="Times New Roman" w:cs="Arial"/>
                <w:color w:val="auto"/>
                <w:sz w:val="18"/>
                <w:szCs w:val="18"/>
              </w:rPr>
              <w:t>25 staff and strategic partners</w:t>
            </w:r>
          </w:p>
        </w:tc>
      </w:tr>
      <w:tr w:rsidR="00237756" w:rsidRPr="00C66667"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237756" w:rsidRPr="000216D0" w:rsidRDefault="00237756" w:rsidP="007B300F">
            <w:pPr>
              <w:jc w:val="center"/>
              <w:rPr>
                <w:rFonts w:eastAsia="Times New Roman" w:cs="Arial"/>
                <w:sz w:val="16"/>
                <w:szCs w:val="16"/>
              </w:rPr>
            </w:pPr>
            <w:r w:rsidRPr="000216D0">
              <w:rPr>
                <w:rFonts w:eastAsia="Times New Roman" w:cs="Arial"/>
                <w:sz w:val="16"/>
                <w:szCs w:val="16"/>
              </w:rPr>
              <w:t>3.2.1.3.2.</w:t>
            </w:r>
            <w:r>
              <w:rPr>
                <w:rFonts w:eastAsia="Times New Roman" w:cs="Arial"/>
                <w:sz w:val="16"/>
                <w:szCs w:val="16"/>
              </w:rPr>
              <w:t>3</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4F2BED" w:rsidRDefault="00237756" w:rsidP="007B300F">
            <w:pPr>
              <w:jc w:val="left"/>
              <w:rPr>
                <w:rFonts w:eastAsia="Times New Roman" w:cs="Arial"/>
                <w:sz w:val="18"/>
                <w:szCs w:val="18"/>
              </w:rPr>
            </w:pPr>
            <w:r>
              <w:rPr>
                <w:rFonts w:eastAsia="Times New Roman" w:cs="Arial"/>
                <w:color w:val="000000"/>
                <w:sz w:val="18"/>
                <w:szCs w:val="18"/>
              </w:rPr>
              <w:t>Local: DRM workshop (Intermediate)</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hideMark/>
          </w:tcPr>
          <w:p w:rsidR="00237756" w:rsidRPr="00C66667" w:rsidRDefault="00237756" w:rsidP="007B300F">
            <w:pPr>
              <w:rPr>
                <w:rFonts w:eastAsia="Times New Roman" w:cs="Arial"/>
                <w:sz w:val="16"/>
                <w:szCs w:val="16"/>
              </w:rPr>
            </w:pPr>
            <w:r>
              <w:rPr>
                <w:rFonts w:eastAsia="Times New Roman" w:cs="Arial"/>
                <w:b/>
                <w:bCs/>
                <w:color w:val="000000"/>
                <w:sz w:val="16"/>
                <w:szCs w:val="16"/>
                <w:shd w:val="clear" w:color="auto" w:fill="F2F2F2"/>
              </w:rPr>
              <w:t>Consulting 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rPr>
                <w:rFonts w:eastAsia="Times New Roman" w:cs="Arial"/>
                <w:sz w:val="18"/>
                <w:szCs w:val="18"/>
              </w:rPr>
            </w:pPr>
            <w:r>
              <w:rPr>
                <w:rFonts w:eastAsia="Times New Roman" w:cs="Arial"/>
                <w:sz w:val="18"/>
                <w:szCs w:val="18"/>
              </w:rPr>
              <w:t>35,000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sidRPr="00D611D0">
              <w:rPr>
                <w:rFonts w:eastAsia="Times New Roman" w:cs="Arial"/>
                <w:sz w:val="18"/>
                <w:szCs w:val="18"/>
              </w:rPr>
              <w:t>IICC</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Ex-Post</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010F79" w:rsidP="007B300F">
            <w:pPr>
              <w:rPr>
                <w:rFonts w:eastAsia="Times New Roman" w:cs="Arial"/>
                <w:sz w:val="18"/>
                <w:szCs w:val="18"/>
              </w:rPr>
            </w:pPr>
            <w:r w:rsidRPr="00EA1E55">
              <w:rPr>
                <w:rFonts w:eastAsia="Times New Roman" w:cs="Arial"/>
                <w:sz w:val="18"/>
                <w:szCs w:val="18"/>
              </w:rPr>
              <w:t>Q</w:t>
            </w:r>
            <w:r>
              <w:rPr>
                <w:rFonts w:eastAsia="Times New Roman" w:cs="Arial"/>
                <w:sz w:val="18"/>
                <w:szCs w:val="18"/>
              </w:rPr>
              <w:t>3</w:t>
            </w:r>
            <w:r w:rsidRPr="00EA1E55">
              <w:rPr>
                <w:rFonts w:eastAsia="Times New Roman" w:cs="Arial"/>
                <w:sz w:val="18"/>
                <w:szCs w:val="18"/>
              </w:rPr>
              <w:t xml:space="preserve"> 2015</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rPr>
                <w:rFonts w:eastAsia="Times New Roman" w:cs="Arial"/>
                <w:sz w:val="18"/>
                <w:szCs w:val="18"/>
              </w:rPr>
            </w:pPr>
            <w:r>
              <w:rPr>
                <w:rFonts w:eastAsia="Times New Roman" w:cs="Arial"/>
                <w:sz w:val="18"/>
                <w:szCs w:val="18"/>
              </w:rPr>
              <w:t>Q</w:t>
            </w:r>
            <w:r w:rsidR="00D3338D">
              <w:rPr>
                <w:rFonts w:eastAsia="Times New Roman" w:cs="Arial"/>
                <w:sz w:val="18"/>
                <w:szCs w:val="18"/>
              </w:rPr>
              <w:t>4</w:t>
            </w:r>
            <w:r>
              <w:rPr>
                <w:rFonts w:eastAsia="Times New Roman" w:cs="Arial"/>
                <w:sz w:val="18"/>
                <w:szCs w:val="18"/>
              </w:rPr>
              <w:t xml:space="preserve">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jc w:val="center"/>
              <w:rPr>
                <w:rFonts w:eastAsia="Times New Roman" w:cs="Arial"/>
                <w:sz w:val="18"/>
                <w:szCs w:val="18"/>
              </w:rPr>
            </w:pPr>
            <w:r>
              <w:rPr>
                <w:rFonts w:eastAsia="Times New Roman" w:cs="Arial"/>
                <w:sz w:val="18"/>
                <w:szCs w:val="18"/>
              </w:rPr>
              <w:t>Pending</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r w:rsidRPr="00896551">
              <w:rPr>
                <w:rFonts w:eastAsia="Times New Roman" w:cs="Arial"/>
                <w:sz w:val="18"/>
                <w:szCs w:val="18"/>
              </w:rPr>
              <w:t>25 staff and strategic partners</w:t>
            </w:r>
          </w:p>
        </w:tc>
      </w:tr>
      <w:tr w:rsidR="00237756" w:rsidRPr="00DF7BD6"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DF7BD6" w:rsidRDefault="00237756" w:rsidP="007B300F">
            <w:pPr>
              <w:jc w:val="center"/>
              <w:rPr>
                <w:rFonts w:eastAsia="Times New Roman" w:cs="Arial"/>
                <w:color w:val="auto"/>
                <w:sz w:val="16"/>
                <w:szCs w:val="16"/>
              </w:rPr>
            </w:pPr>
            <w:r w:rsidRPr="00DF7BD6">
              <w:rPr>
                <w:rFonts w:eastAsia="Times New Roman" w:cs="Arial"/>
                <w:color w:val="auto"/>
                <w:sz w:val="16"/>
                <w:szCs w:val="16"/>
              </w:rPr>
              <w:t>4.1.1</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left"/>
              <w:rPr>
                <w:rFonts w:eastAsia="Times New Roman" w:cs="Arial"/>
                <w:color w:val="auto"/>
                <w:sz w:val="18"/>
                <w:szCs w:val="18"/>
              </w:rPr>
            </w:pPr>
            <w:r w:rsidRPr="00DF7BD6">
              <w:rPr>
                <w:rFonts w:eastAsia="Times New Roman" w:cs="Arial"/>
                <w:color w:val="auto"/>
                <w:sz w:val="18"/>
                <w:szCs w:val="18"/>
              </w:rPr>
              <w:t>Quality Assurance/Quality Control</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b/>
                <w:bCs/>
                <w:color w:val="auto"/>
                <w:sz w:val="16"/>
                <w:szCs w:val="16"/>
                <w:shd w:val="clear" w:color="auto" w:fill="F2F2F2"/>
              </w:rPr>
            </w:pPr>
            <w:r w:rsidRPr="00DF7BD6">
              <w:rPr>
                <w:rFonts w:eastAsia="Times New Roman" w:cs="Arial"/>
                <w:b/>
                <w:bCs/>
                <w:color w:val="auto"/>
                <w:sz w:val="16"/>
                <w:szCs w:val="16"/>
                <w:shd w:val="clear" w:color="auto" w:fill="F2F2F2"/>
              </w:rPr>
              <w:t>Consulting 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color w:val="auto"/>
                <w:sz w:val="18"/>
                <w:szCs w:val="18"/>
              </w:rPr>
            </w:pPr>
            <w:r w:rsidRPr="00DF7BD6">
              <w:rPr>
                <w:rFonts w:eastAsia="Times New Roman" w:cs="Arial"/>
                <w:color w:val="auto"/>
                <w:sz w:val="18"/>
                <w:szCs w:val="18"/>
              </w:rPr>
              <w:t>1,513,320.00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3F53D8" w:rsidP="007B300F">
            <w:pPr>
              <w:jc w:val="center"/>
              <w:rPr>
                <w:rFonts w:eastAsia="Times New Roman" w:cs="Arial"/>
                <w:color w:val="auto"/>
                <w:sz w:val="18"/>
                <w:szCs w:val="18"/>
              </w:rPr>
            </w:pPr>
            <w:r>
              <w:rPr>
                <w:rFonts w:eastAsia="Times New Roman" w:cs="Arial"/>
                <w:color w:val="auto"/>
                <w:sz w:val="18"/>
                <w:szCs w:val="18"/>
              </w:rPr>
              <w:t>QBS</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Ex-Ante</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Pr>
                <w:rFonts w:eastAsia="Times New Roman" w:cs="Arial"/>
                <w:color w:val="auto"/>
                <w:sz w:val="18"/>
                <w:szCs w:val="18"/>
              </w:rPr>
              <w:t>99</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Pr>
                <w:rFonts w:eastAsia="Times New Roman" w:cs="Arial"/>
                <w:color w:val="auto"/>
                <w:sz w:val="18"/>
                <w:szCs w:val="18"/>
              </w:rPr>
              <w:t>1</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010F79" w:rsidP="007B300F">
            <w:pPr>
              <w:jc w:val="center"/>
              <w:rPr>
                <w:rFonts w:eastAsia="Times New Roman" w:cs="Arial"/>
                <w:color w:val="auto"/>
                <w:sz w:val="18"/>
                <w:szCs w:val="18"/>
              </w:rPr>
            </w:pPr>
            <w:r>
              <w:rPr>
                <w:rFonts w:eastAsia="Times New Roman" w:cs="Arial"/>
                <w:color w:val="auto"/>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color w:val="auto"/>
                <w:sz w:val="18"/>
                <w:szCs w:val="18"/>
              </w:rPr>
            </w:pPr>
            <w:r w:rsidRPr="00DF7BD6">
              <w:rPr>
                <w:rFonts w:eastAsia="Times New Roman" w:cs="Arial"/>
                <w:color w:val="auto"/>
                <w:sz w:val="18"/>
                <w:szCs w:val="18"/>
              </w:rPr>
              <w:t>Q1 2012</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color w:val="auto"/>
                <w:sz w:val="18"/>
                <w:szCs w:val="18"/>
              </w:rPr>
            </w:pPr>
            <w:r w:rsidRPr="00DF7BD6">
              <w:rPr>
                <w:rFonts w:eastAsia="Times New Roman" w:cs="Arial"/>
                <w:color w:val="auto"/>
                <w:sz w:val="18"/>
                <w:szCs w:val="18"/>
              </w:rPr>
              <w:t>Q3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010F79" w:rsidRDefault="00010F79" w:rsidP="00010F79">
            <w:pPr>
              <w:jc w:val="center"/>
              <w:rPr>
                <w:rFonts w:eastAsia="Times New Roman" w:cs="Arial"/>
                <w:sz w:val="18"/>
                <w:szCs w:val="18"/>
              </w:rPr>
            </w:pPr>
            <w:r>
              <w:rPr>
                <w:rFonts w:eastAsia="Times New Roman" w:cs="Arial"/>
                <w:sz w:val="18"/>
                <w:szCs w:val="18"/>
              </w:rPr>
              <w:t>In Process</w:t>
            </w:r>
          </w:p>
          <w:p w:rsidR="00237756" w:rsidRPr="00DF7BD6" w:rsidRDefault="00237756" w:rsidP="007B300F">
            <w:pPr>
              <w:jc w:val="center"/>
              <w:rPr>
                <w:rFonts w:eastAsia="Times New Roman" w:cs="Arial"/>
                <w:color w:val="auto"/>
                <w:sz w:val="18"/>
                <w:szCs w:val="18"/>
              </w:rPr>
            </w:pP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DF7BD6" w:rsidRDefault="00237756" w:rsidP="007B300F">
            <w:pPr>
              <w:jc w:val="left"/>
              <w:rPr>
                <w:rFonts w:eastAsia="Times New Roman" w:cs="Arial"/>
                <w:color w:val="auto"/>
                <w:sz w:val="18"/>
                <w:szCs w:val="18"/>
              </w:rPr>
            </w:pPr>
          </w:p>
        </w:tc>
      </w:tr>
      <w:tr w:rsidR="00237756" w:rsidRPr="00DF7BD6"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237756" w:rsidRPr="00DF7BD6" w:rsidRDefault="00237756" w:rsidP="007B300F">
            <w:pPr>
              <w:jc w:val="center"/>
              <w:rPr>
                <w:rFonts w:eastAsia="Times New Roman" w:cs="Arial"/>
                <w:color w:val="auto"/>
                <w:sz w:val="16"/>
                <w:szCs w:val="16"/>
              </w:rPr>
            </w:pPr>
            <w:r w:rsidRPr="00DF7BD6">
              <w:rPr>
                <w:rFonts w:eastAsia="Times New Roman" w:cs="Arial"/>
                <w:color w:val="auto"/>
                <w:sz w:val="16"/>
                <w:szCs w:val="16"/>
              </w:rPr>
              <w:t>4.1.3</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left"/>
              <w:rPr>
                <w:rFonts w:eastAsia="Times New Roman" w:cs="Arial"/>
                <w:color w:val="auto"/>
                <w:sz w:val="18"/>
                <w:szCs w:val="18"/>
              </w:rPr>
            </w:pPr>
            <w:r w:rsidRPr="00DF7BD6">
              <w:rPr>
                <w:rFonts w:eastAsia="Times New Roman" w:cs="Arial"/>
                <w:color w:val="auto"/>
                <w:sz w:val="18"/>
                <w:szCs w:val="18"/>
              </w:rPr>
              <w:t>Mid-Term Evaluation</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hideMark/>
          </w:tcPr>
          <w:p w:rsidR="00237756" w:rsidRPr="00DF7BD6" w:rsidRDefault="00237756" w:rsidP="007B300F">
            <w:pPr>
              <w:rPr>
                <w:rFonts w:eastAsia="Times New Roman" w:cs="Arial"/>
                <w:color w:val="auto"/>
                <w:sz w:val="16"/>
                <w:szCs w:val="16"/>
              </w:rPr>
            </w:pPr>
            <w:r w:rsidRPr="00DF7BD6">
              <w:rPr>
                <w:rFonts w:eastAsia="Times New Roman" w:cs="Arial"/>
                <w:b/>
                <w:bCs/>
                <w:color w:val="auto"/>
                <w:sz w:val="16"/>
                <w:szCs w:val="16"/>
                <w:shd w:val="clear" w:color="auto" w:fill="F2F2F2"/>
              </w:rPr>
              <w:t>Consulting 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color w:val="auto"/>
                <w:sz w:val="18"/>
                <w:szCs w:val="18"/>
              </w:rPr>
            </w:pPr>
            <w:r w:rsidRPr="00DF7BD6">
              <w:rPr>
                <w:rFonts w:eastAsia="Times New Roman" w:cs="Arial"/>
                <w:color w:val="auto"/>
                <w:sz w:val="18"/>
                <w:szCs w:val="18"/>
              </w:rPr>
              <w:t>31,400</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hideMark/>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IICC</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Ex-Ante</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jc w:val="center"/>
              <w:rPr>
                <w:rFonts w:eastAsia="Times New Roman" w:cs="Arial"/>
                <w:color w:val="auto"/>
                <w:sz w:val="18"/>
                <w:szCs w:val="18"/>
              </w:rPr>
            </w:pPr>
            <w:r w:rsidRPr="00DF7BD6">
              <w:rPr>
                <w:rFonts w:eastAsia="Times New Roman" w:cs="Arial"/>
                <w:color w:val="auto"/>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color w:val="auto"/>
                <w:sz w:val="18"/>
                <w:szCs w:val="18"/>
              </w:rPr>
            </w:pPr>
            <w:r w:rsidRPr="00DF7BD6">
              <w:rPr>
                <w:rFonts w:eastAsia="Times New Roman" w:cs="Arial"/>
                <w:color w:val="auto"/>
                <w:sz w:val="18"/>
                <w:szCs w:val="18"/>
              </w:rPr>
              <w:t>Q2 2015</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DF7BD6" w:rsidRDefault="00237756" w:rsidP="007B300F">
            <w:pPr>
              <w:rPr>
                <w:rFonts w:eastAsia="Times New Roman" w:cs="Arial"/>
                <w:color w:val="auto"/>
                <w:sz w:val="18"/>
                <w:szCs w:val="18"/>
              </w:rPr>
            </w:pPr>
            <w:r w:rsidRPr="00DF7BD6">
              <w:rPr>
                <w:rFonts w:eastAsia="Times New Roman" w:cs="Arial"/>
                <w:color w:val="auto"/>
                <w:sz w:val="18"/>
                <w:szCs w:val="18"/>
              </w:rPr>
              <w:t>Q3 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010F79" w:rsidRDefault="00010F79" w:rsidP="00010F79">
            <w:pPr>
              <w:jc w:val="center"/>
              <w:rPr>
                <w:rFonts w:eastAsia="Times New Roman" w:cs="Arial"/>
                <w:sz w:val="18"/>
                <w:szCs w:val="18"/>
              </w:rPr>
            </w:pPr>
            <w:r>
              <w:rPr>
                <w:rFonts w:eastAsia="Times New Roman" w:cs="Arial"/>
                <w:sz w:val="18"/>
                <w:szCs w:val="18"/>
              </w:rPr>
              <w:t>In Process</w:t>
            </w:r>
          </w:p>
          <w:p w:rsidR="00237756" w:rsidRPr="00DF7BD6" w:rsidRDefault="00237756" w:rsidP="007B300F">
            <w:pPr>
              <w:jc w:val="center"/>
              <w:rPr>
                <w:rFonts w:eastAsia="Times New Roman" w:cs="Arial"/>
                <w:color w:val="auto"/>
                <w:sz w:val="18"/>
                <w:szCs w:val="18"/>
              </w:rPr>
            </w:pP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DF7BD6" w:rsidRDefault="00237756" w:rsidP="007B300F">
            <w:pPr>
              <w:jc w:val="left"/>
              <w:rPr>
                <w:rFonts w:eastAsia="Times New Roman" w:cs="Arial"/>
                <w:color w:val="auto"/>
                <w:sz w:val="18"/>
                <w:szCs w:val="18"/>
              </w:rPr>
            </w:pPr>
          </w:p>
        </w:tc>
      </w:tr>
      <w:tr w:rsidR="00237756" w:rsidRPr="00C66667"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0216D0" w:rsidRDefault="00237756" w:rsidP="007B300F">
            <w:pPr>
              <w:jc w:val="center"/>
              <w:rPr>
                <w:rFonts w:eastAsia="Times New Roman" w:cs="Arial"/>
                <w:sz w:val="16"/>
                <w:szCs w:val="16"/>
              </w:rPr>
            </w:pPr>
            <w:r w:rsidRPr="000216D0">
              <w:rPr>
                <w:rFonts w:eastAsia="Times New Roman" w:cs="Arial"/>
                <w:sz w:val="16"/>
                <w:szCs w:val="16"/>
              </w:rPr>
              <w:t>5.2.1</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4F2BED" w:rsidRDefault="00237756" w:rsidP="007B300F">
            <w:pPr>
              <w:jc w:val="left"/>
              <w:rPr>
                <w:rFonts w:eastAsia="Times New Roman" w:cs="Arial"/>
                <w:sz w:val="18"/>
                <w:szCs w:val="18"/>
              </w:rPr>
            </w:pPr>
            <w:r w:rsidRPr="004F2BED">
              <w:rPr>
                <w:rFonts w:eastAsia="Times New Roman" w:cs="Arial"/>
                <w:sz w:val="18"/>
                <w:szCs w:val="18"/>
              </w:rPr>
              <w:t>Project Management Consultant</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b/>
                <w:bCs/>
                <w:color w:val="000000"/>
                <w:sz w:val="16"/>
                <w:szCs w:val="16"/>
                <w:shd w:val="clear" w:color="auto" w:fill="F2F2F2"/>
              </w:rPr>
            </w:pPr>
            <w:r w:rsidRPr="00C66667">
              <w:rPr>
                <w:rFonts w:eastAsia="Times New Roman" w:cs="Arial"/>
                <w:b/>
                <w:bCs/>
                <w:color w:val="000000"/>
                <w:sz w:val="16"/>
                <w:szCs w:val="16"/>
                <w:shd w:val="clear" w:color="auto" w:fill="F2F2F2"/>
              </w:rPr>
              <w:t xml:space="preserve">Consulting </w:t>
            </w:r>
            <w:r>
              <w:rPr>
                <w:rFonts w:eastAsia="Times New Roman" w:cs="Arial"/>
                <w:b/>
                <w:bCs/>
                <w:color w:val="000000"/>
                <w:sz w:val="16"/>
                <w:szCs w:val="16"/>
                <w:shd w:val="clear" w:color="auto" w:fill="F2F2F2"/>
              </w:rPr>
              <w:t>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155,464</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sidRPr="00D611D0">
              <w:rPr>
                <w:rFonts w:eastAsia="Times New Roman" w:cs="Arial"/>
                <w:sz w:val="18"/>
                <w:szCs w:val="18"/>
              </w:rPr>
              <w:t>IICC</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Ex-Ante</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010F79"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EA1E55" w:rsidRDefault="00010F79" w:rsidP="00010F79">
            <w:pPr>
              <w:rPr>
                <w:rFonts w:eastAsia="Times New Roman" w:cs="Arial"/>
                <w:sz w:val="18"/>
                <w:szCs w:val="18"/>
              </w:rPr>
            </w:pPr>
            <w:r w:rsidRPr="00EA1E55">
              <w:rPr>
                <w:rFonts w:eastAsia="Times New Roman" w:cs="Arial"/>
                <w:sz w:val="18"/>
                <w:szCs w:val="18"/>
              </w:rPr>
              <w:t>Q</w:t>
            </w:r>
            <w:r>
              <w:rPr>
                <w:rFonts w:eastAsia="Times New Roman" w:cs="Arial"/>
                <w:sz w:val="18"/>
                <w:szCs w:val="18"/>
              </w:rPr>
              <w:t>3</w:t>
            </w:r>
            <w:r w:rsidRPr="00EA1E55">
              <w:rPr>
                <w:rFonts w:eastAsia="Times New Roman" w:cs="Arial"/>
                <w:sz w:val="18"/>
                <w:szCs w:val="18"/>
              </w:rPr>
              <w:t xml:space="preserve"> </w:t>
            </w:r>
            <w:r w:rsidR="00237756" w:rsidRPr="00EA1E55">
              <w:rPr>
                <w:rFonts w:eastAsia="Times New Roman" w:cs="Arial"/>
                <w:sz w:val="18"/>
                <w:szCs w:val="18"/>
              </w:rPr>
              <w:t>2015</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010F79" w:rsidP="00010F79">
            <w:pPr>
              <w:rPr>
                <w:rFonts w:eastAsia="Times New Roman" w:cs="Arial"/>
                <w:sz w:val="18"/>
                <w:szCs w:val="18"/>
              </w:rPr>
            </w:pPr>
            <w:r>
              <w:rPr>
                <w:rFonts w:eastAsia="Times New Roman" w:cs="Arial"/>
                <w:sz w:val="18"/>
                <w:szCs w:val="18"/>
              </w:rPr>
              <w:t xml:space="preserve">Q4 </w:t>
            </w:r>
            <w:r w:rsidR="00237756">
              <w:rPr>
                <w:rFonts w:eastAsia="Times New Roman" w:cs="Arial"/>
                <w:sz w:val="18"/>
                <w:szCs w:val="18"/>
              </w:rPr>
              <w:t>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Pending</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p>
        </w:tc>
      </w:tr>
      <w:tr w:rsidR="00237756" w:rsidRPr="00C66667" w:rsidTr="007B300F">
        <w:tc>
          <w:tcPr>
            <w:tcW w:w="273"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0216D0" w:rsidRDefault="00237756" w:rsidP="007B300F">
            <w:pPr>
              <w:jc w:val="center"/>
              <w:rPr>
                <w:rFonts w:eastAsia="Times New Roman" w:cs="Arial"/>
                <w:sz w:val="16"/>
                <w:szCs w:val="16"/>
              </w:rPr>
            </w:pPr>
            <w:r w:rsidRPr="000216D0">
              <w:rPr>
                <w:rFonts w:eastAsia="Times New Roman" w:cs="Arial"/>
                <w:sz w:val="16"/>
                <w:szCs w:val="16"/>
              </w:rPr>
              <w:t>5.2.2</w:t>
            </w:r>
          </w:p>
        </w:tc>
        <w:tc>
          <w:tcPr>
            <w:tcW w:w="82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4F2BED" w:rsidRDefault="00237756" w:rsidP="007B300F">
            <w:pPr>
              <w:jc w:val="left"/>
              <w:rPr>
                <w:rFonts w:eastAsia="Times New Roman" w:cs="Arial"/>
                <w:sz w:val="18"/>
                <w:szCs w:val="18"/>
              </w:rPr>
            </w:pPr>
            <w:r w:rsidRPr="004F2BED">
              <w:rPr>
                <w:rFonts w:eastAsia="Times New Roman" w:cs="Arial"/>
                <w:sz w:val="18"/>
                <w:szCs w:val="18"/>
              </w:rPr>
              <w:t xml:space="preserve">Contracts </w:t>
            </w:r>
            <w:r>
              <w:rPr>
                <w:rFonts w:eastAsia="Times New Roman" w:cs="Arial"/>
                <w:sz w:val="18"/>
                <w:szCs w:val="18"/>
              </w:rPr>
              <w:t>Administrator Consultant</w:t>
            </w:r>
          </w:p>
        </w:tc>
        <w:tc>
          <w:tcPr>
            <w:tcW w:w="39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C66667" w:rsidRDefault="00237756" w:rsidP="007B300F">
            <w:pPr>
              <w:rPr>
                <w:rFonts w:eastAsia="Times New Roman" w:cs="Arial"/>
                <w:b/>
                <w:bCs/>
                <w:color w:val="000000"/>
                <w:sz w:val="16"/>
                <w:szCs w:val="16"/>
                <w:shd w:val="clear" w:color="auto" w:fill="F2F2F2"/>
              </w:rPr>
            </w:pPr>
            <w:r w:rsidRPr="00C66667">
              <w:rPr>
                <w:rFonts w:eastAsia="Times New Roman" w:cs="Arial"/>
                <w:b/>
                <w:bCs/>
                <w:color w:val="000000"/>
                <w:sz w:val="16"/>
                <w:szCs w:val="16"/>
                <w:shd w:val="clear" w:color="auto" w:fill="F2F2F2"/>
              </w:rPr>
              <w:t xml:space="preserve">Consulting </w:t>
            </w:r>
            <w:r>
              <w:rPr>
                <w:rFonts w:eastAsia="Times New Roman" w:cs="Arial"/>
                <w:b/>
                <w:bCs/>
                <w:color w:val="000000"/>
                <w:sz w:val="16"/>
                <w:szCs w:val="16"/>
                <w:shd w:val="clear" w:color="auto" w:fill="F2F2F2"/>
              </w:rPr>
              <w:t>Services</w:t>
            </w:r>
          </w:p>
        </w:tc>
        <w:tc>
          <w:tcPr>
            <w:tcW w:w="42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rPr>
                <w:rFonts w:eastAsia="Times New Roman" w:cs="Arial"/>
                <w:sz w:val="18"/>
                <w:szCs w:val="18"/>
              </w:rPr>
            </w:pPr>
            <w:r>
              <w:rPr>
                <w:rFonts w:eastAsia="Times New Roman" w:cs="Arial"/>
                <w:sz w:val="18"/>
                <w:szCs w:val="18"/>
              </w:rPr>
              <w:t>131,464</w:t>
            </w:r>
          </w:p>
        </w:tc>
        <w:tc>
          <w:tcPr>
            <w:tcW w:w="38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sidRPr="00D611D0">
              <w:rPr>
                <w:rFonts w:eastAsia="Times New Roman" w:cs="Arial"/>
                <w:sz w:val="18"/>
                <w:szCs w:val="18"/>
              </w:rPr>
              <w:t>IICC</w:t>
            </w:r>
          </w:p>
        </w:tc>
        <w:tc>
          <w:tcPr>
            <w:tcW w:w="253"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Ex-Ante</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100</w:t>
            </w:r>
          </w:p>
        </w:tc>
        <w:tc>
          <w:tcPr>
            <w:tcW w:w="300"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0</w:t>
            </w:r>
          </w:p>
        </w:tc>
        <w:tc>
          <w:tcPr>
            <w:tcW w:w="451"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010F79" w:rsidP="007B300F">
            <w:pPr>
              <w:jc w:val="center"/>
              <w:rPr>
                <w:rFonts w:eastAsia="Times New Roman" w:cs="Arial"/>
                <w:sz w:val="18"/>
                <w:szCs w:val="18"/>
              </w:rPr>
            </w:pPr>
            <w:r>
              <w:rPr>
                <w:rFonts w:eastAsia="Times New Roman" w:cs="Arial"/>
                <w:sz w:val="18"/>
                <w:szCs w:val="18"/>
              </w:rPr>
              <w:t>N</w:t>
            </w:r>
          </w:p>
        </w:tc>
        <w:tc>
          <w:tcPr>
            <w:tcW w:w="335"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Pr="00EA1E55" w:rsidRDefault="00010F79" w:rsidP="00010F79">
            <w:pPr>
              <w:rPr>
                <w:rFonts w:eastAsia="Times New Roman" w:cs="Arial"/>
                <w:sz w:val="18"/>
                <w:szCs w:val="18"/>
              </w:rPr>
            </w:pPr>
            <w:r w:rsidRPr="00EA1E55">
              <w:rPr>
                <w:rFonts w:eastAsia="Times New Roman" w:cs="Arial"/>
                <w:sz w:val="18"/>
                <w:szCs w:val="18"/>
              </w:rPr>
              <w:t>Q</w:t>
            </w:r>
            <w:r>
              <w:rPr>
                <w:rFonts w:eastAsia="Times New Roman" w:cs="Arial"/>
                <w:sz w:val="18"/>
                <w:szCs w:val="18"/>
              </w:rPr>
              <w:t xml:space="preserve">3 </w:t>
            </w:r>
            <w:r w:rsidR="00237756" w:rsidRPr="00EA1E55">
              <w:rPr>
                <w:rFonts w:eastAsia="Times New Roman" w:cs="Arial"/>
                <w:sz w:val="18"/>
                <w:szCs w:val="18"/>
              </w:rPr>
              <w:t>2015</w:t>
            </w:r>
          </w:p>
        </w:tc>
        <w:tc>
          <w:tcPr>
            <w:tcW w:w="308"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010F79" w:rsidP="00010F79">
            <w:pPr>
              <w:rPr>
                <w:rFonts w:eastAsia="Times New Roman" w:cs="Arial"/>
                <w:sz w:val="18"/>
                <w:szCs w:val="18"/>
              </w:rPr>
            </w:pPr>
            <w:r>
              <w:rPr>
                <w:rFonts w:eastAsia="Times New Roman" w:cs="Arial"/>
                <w:sz w:val="18"/>
                <w:szCs w:val="18"/>
              </w:rPr>
              <w:t xml:space="preserve">Q4 </w:t>
            </w:r>
            <w:r w:rsidR="00237756">
              <w:rPr>
                <w:rFonts w:eastAsia="Times New Roman" w:cs="Arial"/>
                <w:sz w:val="18"/>
                <w:szCs w:val="18"/>
              </w:rPr>
              <w:t>2015</w:t>
            </w:r>
          </w:p>
        </w:tc>
        <w:tc>
          <w:tcPr>
            <w:tcW w:w="382" w:type="pct"/>
            <w:tcBorders>
              <w:top w:val="single" w:sz="4" w:space="0" w:color="B1BBCC"/>
              <w:left w:val="single" w:sz="4" w:space="0" w:color="B1BBCC"/>
              <w:bottom w:val="single" w:sz="4" w:space="0" w:color="B1BBCC"/>
              <w:right w:val="single" w:sz="4" w:space="0" w:color="B1BBCC"/>
            </w:tcBorders>
            <w:shd w:val="clear" w:color="auto" w:fill="F2F2F2"/>
            <w:vAlign w:val="center"/>
          </w:tcPr>
          <w:p w:rsidR="00237756" w:rsidRDefault="00237756" w:rsidP="007B300F">
            <w:pPr>
              <w:jc w:val="center"/>
              <w:rPr>
                <w:rFonts w:eastAsia="Times New Roman" w:cs="Arial"/>
                <w:sz w:val="18"/>
                <w:szCs w:val="18"/>
              </w:rPr>
            </w:pPr>
            <w:r>
              <w:rPr>
                <w:rFonts w:eastAsia="Times New Roman" w:cs="Arial"/>
                <w:sz w:val="18"/>
                <w:szCs w:val="18"/>
              </w:rPr>
              <w:t>Pending</w:t>
            </w:r>
          </w:p>
        </w:tc>
        <w:tc>
          <w:tcPr>
            <w:tcW w:w="385" w:type="pct"/>
            <w:tcBorders>
              <w:top w:val="single" w:sz="4" w:space="0" w:color="B1BBCC"/>
              <w:left w:val="single" w:sz="4" w:space="0" w:color="B1BBCC"/>
              <w:bottom w:val="single" w:sz="4" w:space="0" w:color="B1BBCC"/>
              <w:right w:val="single" w:sz="4" w:space="0" w:color="B1BBCC"/>
            </w:tcBorders>
            <w:shd w:val="clear" w:color="auto" w:fill="FFFFFF"/>
            <w:vAlign w:val="center"/>
          </w:tcPr>
          <w:p w:rsidR="00237756" w:rsidRPr="00C66667" w:rsidRDefault="00237756" w:rsidP="007B300F">
            <w:pPr>
              <w:jc w:val="left"/>
              <w:rPr>
                <w:rFonts w:eastAsia="Times New Roman" w:cs="Arial"/>
                <w:sz w:val="18"/>
                <w:szCs w:val="18"/>
              </w:rPr>
            </w:pPr>
          </w:p>
        </w:tc>
      </w:tr>
    </w:tbl>
    <w:p w:rsidR="00237756" w:rsidRDefault="00237756" w:rsidP="005B5521">
      <w:pPr>
        <w:ind w:left="-540"/>
      </w:pPr>
    </w:p>
    <w:sectPr w:rsidR="00237756" w:rsidSect="00F158C8">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77" w:rsidRDefault="00CB6D77" w:rsidP="00B74D3F">
      <w:pPr>
        <w:spacing w:after="0" w:line="240" w:lineRule="auto"/>
      </w:pPr>
      <w:r>
        <w:separator/>
      </w:r>
    </w:p>
  </w:endnote>
  <w:endnote w:type="continuationSeparator" w:id="0">
    <w:p w:rsidR="00CB6D77" w:rsidRDefault="00CB6D77" w:rsidP="00B74D3F">
      <w:pPr>
        <w:spacing w:after="0" w:line="240" w:lineRule="auto"/>
      </w:pPr>
      <w:r>
        <w:continuationSeparator/>
      </w:r>
    </w:p>
  </w:endnote>
  <w:endnote w:id="1">
    <w:p w:rsidR="002F347D" w:rsidRPr="005B5521" w:rsidRDefault="002F347D" w:rsidP="002F347D">
      <w:pPr>
        <w:pStyle w:val="FootnoteText"/>
        <w:spacing w:before="60" w:after="60"/>
        <w:ind w:left="357" w:hanging="357"/>
        <w:rPr>
          <w:sz w:val="16"/>
          <w:szCs w:val="16"/>
        </w:rPr>
      </w:pPr>
      <w:r>
        <w:rPr>
          <w:rStyle w:val="EndnoteReference"/>
        </w:rPr>
        <w:t>i</w:t>
      </w:r>
      <w:r w:rsidRPr="002F347D">
        <w:t xml:space="preserve"> </w:t>
      </w:r>
      <w:r>
        <w:tab/>
      </w:r>
      <w:r w:rsidRPr="005B5521">
        <w:rPr>
          <w:sz w:val="16"/>
          <w:szCs w:val="16"/>
        </w:rPr>
        <w:t>If a number of similar individual contracts were to be executed in different places or at different times, these can be grouped together under a single heading, with an explanation in the comments column indicating the average individual contract amount and the period during which they would be executed. For example, an education project that includes school construction might include an item “school construction” for a total of US$20 million, and an explanation in the comments column such as: “This encompasses some 200 contracts for school construction averaging US$100,000 each, to be awarded individually by participating municipal governments over a three-year period between January 2006 and December 2008.”</w:t>
      </w:r>
    </w:p>
    <w:p w:rsidR="002F347D" w:rsidRPr="005B5521" w:rsidRDefault="002F347D">
      <w:pPr>
        <w:pStyle w:val="EndnoteText"/>
        <w:rPr>
          <w:sz w:val="16"/>
          <w:szCs w:val="16"/>
        </w:rPr>
      </w:pPr>
    </w:p>
  </w:endnote>
  <w:endnote w:id="2">
    <w:p w:rsidR="002F347D" w:rsidRPr="005B5521" w:rsidRDefault="002F347D" w:rsidP="002F347D">
      <w:pPr>
        <w:pStyle w:val="EndnoteText"/>
        <w:ind w:left="360" w:hanging="360"/>
        <w:rPr>
          <w:sz w:val="16"/>
          <w:szCs w:val="16"/>
        </w:rPr>
      </w:pPr>
      <w:r w:rsidRPr="005B5521">
        <w:rPr>
          <w:rStyle w:val="EndnoteReference"/>
          <w:sz w:val="16"/>
          <w:szCs w:val="16"/>
        </w:rPr>
        <w:endnoteRef/>
      </w:r>
      <w:r w:rsidRPr="005B5521">
        <w:rPr>
          <w:sz w:val="16"/>
          <w:szCs w:val="16"/>
        </w:rPr>
        <w:t xml:space="preserve">     </w:t>
      </w:r>
      <w:r w:rsidRPr="005B5521">
        <w:rPr>
          <w:bCs/>
          <w:sz w:val="16"/>
          <w:szCs w:val="16"/>
          <w:u w:val="single"/>
        </w:rPr>
        <w:t>Goods and Works</w:t>
      </w:r>
      <w:r w:rsidRPr="005B5521">
        <w:rPr>
          <w:sz w:val="16"/>
          <w:szCs w:val="16"/>
        </w:rPr>
        <w:t xml:space="preserve">: </w:t>
      </w:r>
      <w:r w:rsidRPr="005B5521">
        <w:rPr>
          <w:bCs/>
          <w:sz w:val="16"/>
          <w:szCs w:val="16"/>
        </w:rPr>
        <w:t>ICB</w:t>
      </w:r>
      <w:r w:rsidRPr="005B5521">
        <w:rPr>
          <w:sz w:val="16"/>
          <w:szCs w:val="16"/>
        </w:rPr>
        <w:t xml:space="preserve">: International competitive bidding; </w:t>
      </w:r>
      <w:r w:rsidRPr="005B5521">
        <w:rPr>
          <w:bCs/>
          <w:sz w:val="16"/>
          <w:szCs w:val="16"/>
        </w:rPr>
        <w:t>LIB</w:t>
      </w:r>
      <w:r w:rsidRPr="005B5521">
        <w:rPr>
          <w:sz w:val="16"/>
          <w:szCs w:val="16"/>
        </w:rPr>
        <w:t xml:space="preserve">: limited international bidding; </w:t>
      </w:r>
      <w:r w:rsidRPr="005B5521">
        <w:rPr>
          <w:bCs/>
          <w:sz w:val="16"/>
          <w:szCs w:val="16"/>
        </w:rPr>
        <w:t>NCB</w:t>
      </w:r>
      <w:r w:rsidRPr="005B5521">
        <w:rPr>
          <w:sz w:val="16"/>
          <w:szCs w:val="16"/>
        </w:rPr>
        <w:t xml:space="preserve">: national competitive bidding; </w:t>
      </w:r>
      <w:r w:rsidRPr="005B5521">
        <w:rPr>
          <w:bCs/>
          <w:sz w:val="16"/>
          <w:szCs w:val="16"/>
        </w:rPr>
        <w:t>PC</w:t>
      </w:r>
      <w:r w:rsidRPr="005B5521">
        <w:rPr>
          <w:sz w:val="16"/>
          <w:szCs w:val="16"/>
        </w:rPr>
        <w:t xml:space="preserve">: price comparison;   </w:t>
      </w:r>
      <w:r w:rsidRPr="005B5521">
        <w:rPr>
          <w:bCs/>
          <w:sz w:val="16"/>
          <w:szCs w:val="16"/>
        </w:rPr>
        <w:t>DC</w:t>
      </w:r>
      <w:r w:rsidRPr="005B5521">
        <w:rPr>
          <w:sz w:val="16"/>
          <w:szCs w:val="16"/>
        </w:rPr>
        <w:t xml:space="preserve">: direct contracting; </w:t>
      </w:r>
      <w:r w:rsidRPr="005B5521">
        <w:rPr>
          <w:bCs/>
          <w:sz w:val="16"/>
          <w:szCs w:val="16"/>
        </w:rPr>
        <w:t>FA</w:t>
      </w:r>
      <w:r w:rsidRPr="005B5521">
        <w:rPr>
          <w:sz w:val="16"/>
          <w:szCs w:val="16"/>
        </w:rPr>
        <w:t xml:space="preserve">: force account;   </w:t>
      </w:r>
      <w:r w:rsidRPr="005B5521">
        <w:rPr>
          <w:bCs/>
          <w:sz w:val="16"/>
          <w:szCs w:val="16"/>
        </w:rPr>
        <w:t>PSA</w:t>
      </w:r>
      <w:r w:rsidRPr="005B5521">
        <w:rPr>
          <w:sz w:val="16"/>
          <w:szCs w:val="16"/>
        </w:rPr>
        <w:t xml:space="preserve">: Procurement through Specialized Agencies; </w:t>
      </w:r>
      <w:r w:rsidRPr="005B5521">
        <w:rPr>
          <w:bCs/>
          <w:sz w:val="16"/>
          <w:szCs w:val="16"/>
        </w:rPr>
        <w:t>PA:</w:t>
      </w:r>
      <w:r w:rsidRPr="005B5521">
        <w:rPr>
          <w:sz w:val="16"/>
          <w:szCs w:val="16"/>
        </w:rPr>
        <w:t xml:space="preserve"> Procurement Agents; </w:t>
      </w:r>
      <w:r w:rsidRPr="005B5521">
        <w:rPr>
          <w:bCs/>
          <w:sz w:val="16"/>
          <w:szCs w:val="16"/>
        </w:rPr>
        <w:t>IA:</w:t>
      </w:r>
      <w:r w:rsidRPr="005B5521">
        <w:rPr>
          <w:sz w:val="16"/>
          <w:szCs w:val="16"/>
        </w:rPr>
        <w:t xml:space="preserve"> Inspection Agents; </w:t>
      </w:r>
      <w:r w:rsidRPr="005B5521">
        <w:rPr>
          <w:bCs/>
          <w:sz w:val="16"/>
          <w:szCs w:val="16"/>
        </w:rPr>
        <w:t>PLFI</w:t>
      </w:r>
      <w:r w:rsidRPr="005B5521">
        <w:rPr>
          <w:sz w:val="16"/>
          <w:szCs w:val="16"/>
        </w:rPr>
        <w:t xml:space="preserve">: Procurement in Loans to Financial Intermediaries; </w:t>
      </w:r>
      <w:r w:rsidRPr="005B5521">
        <w:rPr>
          <w:bCs/>
          <w:sz w:val="16"/>
          <w:szCs w:val="16"/>
        </w:rPr>
        <w:t>BOO/BOT/BOOT:</w:t>
      </w:r>
      <w:r w:rsidRPr="005B5521">
        <w:rPr>
          <w:sz w:val="16"/>
          <w:szCs w:val="16"/>
        </w:rPr>
        <w:t xml:space="preserve"> Build, Own, Operate/Build, Operate, Transfer/Build, Own, Operate, Transfer; </w:t>
      </w:r>
      <w:r w:rsidRPr="005B5521">
        <w:rPr>
          <w:bCs/>
          <w:sz w:val="16"/>
          <w:szCs w:val="16"/>
        </w:rPr>
        <w:t>PBP</w:t>
      </w:r>
      <w:r w:rsidRPr="005B5521">
        <w:rPr>
          <w:sz w:val="16"/>
          <w:szCs w:val="16"/>
        </w:rPr>
        <w:t xml:space="preserve">: Performance-Based Procurement; </w:t>
      </w:r>
      <w:r w:rsidRPr="005B5521">
        <w:rPr>
          <w:bCs/>
          <w:sz w:val="16"/>
          <w:szCs w:val="16"/>
        </w:rPr>
        <w:t>PLGB: </w:t>
      </w:r>
      <w:r w:rsidRPr="005B5521">
        <w:rPr>
          <w:sz w:val="16"/>
          <w:szCs w:val="16"/>
        </w:rPr>
        <w:t xml:space="preserve">Procurement under Loans Guaranteed by the Bank; </w:t>
      </w:r>
      <w:r w:rsidRPr="005B5521">
        <w:rPr>
          <w:bCs/>
          <w:sz w:val="16"/>
          <w:szCs w:val="16"/>
        </w:rPr>
        <w:t>PCP</w:t>
      </w:r>
      <w:r w:rsidRPr="005B5521">
        <w:rPr>
          <w:sz w:val="16"/>
          <w:szCs w:val="16"/>
        </w:rPr>
        <w:t xml:space="preserve">: Community participation procurement.  </w:t>
      </w:r>
      <w:r w:rsidRPr="005B5521">
        <w:rPr>
          <w:bCs/>
          <w:sz w:val="16"/>
          <w:szCs w:val="16"/>
          <w:u w:val="single"/>
        </w:rPr>
        <w:t>Consulting Firms</w:t>
      </w:r>
      <w:r w:rsidRPr="005B5521">
        <w:rPr>
          <w:sz w:val="16"/>
          <w:szCs w:val="16"/>
          <w:u w:val="single"/>
        </w:rPr>
        <w:t>:</w:t>
      </w:r>
      <w:r w:rsidRPr="005B5521">
        <w:rPr>
          <w:sz w:val="16"/>
          <w:szCs w:val="16"/>
        </w:rPr>
        <w:t xml:space="preserve"> </w:t>
      </w:r>
      <w:r w:rsidRPr="005B5521">
        <w:rPr>
          <w:bCs/>
          <w:sz w:val="16"/>
          <w:szCs w:val="16"/>
        </w:rPr>
        <w:t>QCBS</w:t>
      </w:r>
      <w:r w:rsidRPr="005B5521">
        <w:rPr>
          <w:sz w:val="16"/>
          <w:szCs w:val="16"/>
        </w:rPr>
        <w:t xml:space="preserve">: Quality- and Cost-Based Selection </w:t>
      </w:r>
      <w:r w:rsidRPr="005B5521">
        <w:rPr>
          <w:bCs/>
          <w:sz w:val="16"/>
          <w:szCs w:val="16"/>
        </w:rPr>
        <w:t>QBS</w:t>
      </w:r>
      <w:r w:rsidRPr="005B5521">
        <w:rPr>
          <w:sz w:val="16"/>
          <w:szCs w:val="16"/>
        </w:rPr>
        <w:t xml:space="preserve">: Quality-Based Selection </w:t>
      </w:r>
      <w:r w:rsidRPr="005B5521">
        <w:rPr>
          <w:bCs/>
          <w:sz w:val="16"/>
          <w:szCs w:val="16"/>
        </w:rPr>
        <w:t>FBS</w:t>
      </w:r>
      <w:r w:rsidRPr="005B5521">
        <w:rPr>
          <w:sz w:val="16"/>
          <w:szCs w:val="16"/>
        </w:rPr>
        <w:t xml:space="preserve">: Selection under a Fixed Budget; </w:t>
      </w:r>
      <w:r w:rsidRPr="005B5521">
        <w:rPr>
          <w:bCs/>
          <w:sz w:val="16"/>
          <w:szCs w:val="16"/>
        </w:rPr>
        <w:t>LCS</w:t>
      </w:r>
      <w:r w:rsidRPr="005B5521">
        <w:rPr>
          <w:sz w:val="16"/>
          <w:szCs w:val="16"/>
        </w:rPr>
        <w:t xml:space="preserve">: Least-Cost Selection; </w:t>
      </w:r>
      <w:r w:rsidRPr="005B5521">
        <w:rPr>
          <w:bCs/>
          <w:sz w:val="16"/>
          <w:szCs w:val="16"/>
        </w:rPr>
        <w:t>CQS</w:t>
      </w:r>
      <w:r w:rsidRPr="005B5521">
        <w:rPr>
          <w:sz w:val="16"/>
          <w:szCs w:val="16"/>
        </w:rPr>
        <w:t xml:space="preserve">: Selection based on the Consultants’ Qualifications; </w:t>
      </w:r>
      <w:r w:rsidRPr="005B5521">
        <w:rPr>
          <w:bCs/>
          <w:sz w:val="16"/>
          <w:szCs w:val="16"/>
        </w:rPr>
        <w:t>SSS:</w:t>
      </w:r>
      <w:r w:rsidRPr="005B5521">
        <w:rPr>
          <w:sz w:val="16"/>
          <w:szCs w:val="16"/>
        </w:rPr>
        <w:t xml:space="preserve"> Single-Source Selection.  </w:t>
      </w:r>
      <w:r w:rsidRPr="005B5521">
        <w:rPr>
          <w:bCs/>
          <w:sz w:val="16"/>
          <w:szCs w:val="16"/>
          <w:u w:val="single"/>
        </w:rPr>
        <w:t>Individual Consultants</w:t>
      </w:r>
      <w:r w:rsidRPr="005B5521">
        <w:rPr>
          <w:sz w:val="16"/>
          <w:szCs w:val="16"/>
        </w:rPr>
        <w:t xml:space="preserve">: </w:t>
      </w:r>
      <w:r w:rsidRPr="005B5521">
        <w:rPr>
          <w:bCs/>
          <w:sz w:val="16"/>
          <w:szCs w:val="16"/>
        </w:rPr>
        <w:t>NICQ</w:t>
      </w:r>
      <w:r w:rsidRPr="005B5521">
        <w:rPr>
          <w:sz w:val="16"/>
          <w:szCs w:val="16"/>
        </w:rPr>
        <w:t xml:space="preserve">: National Individual Consultant selection based on Qualifications; </w:t>
      </w:r>
      <w:r w:rsidRPr="005B5521">
        <w:rPr>
          <w:bCs/>
          <w:sz w:val="16"/>
          <w:szCs w:val="16"/>
        </w:rPr>
        <w:t>IICC</w:t>
      </w:r>
      <w:r w:rsidRPr="005B5521">
        <w:rPr>
          <w:sz w:val="16"/>
          <w:szCs w:val="16"/>
        </w:rPr>
        <w:t>: International Individual Consultant selection based on Qualifications</w:t>
      </w:r>
    </w:p>
    <w:p w:rsidR="005B5521" w:rsidRPr="005B5521" w:rsidRDefault="005B5521" w:rsidP="002F347D">
      <w:pPr>
        <w:pStyle w:val="EndnoteText"/>
        <w:ind w:left="360" w:hanging="360"/>
        <w:rPr>
          <w:sz w:val="16"/>
          <w:szCs w:val="16"/>
        </w:rPr>
      </w:pPr>
    </w:p>
  </w:endnote>
  <w:endnote w:id="3">
    <w:p w:rsidR="005B5521" w:rsidRPr="005B5521" w:rsidRDefault="005B5521">
      <w:pPr>
        <w:pStyle w:val="EndnoteText"/>
        <w:rPr>
          <w:sz w:val="16"/>
          <w:szCs w:val="16"/>
        </w:rPr>
      </w:pPr>
      <w:r w:rsidRPr="005B5521">
        <w:rPr>
          <w:rStyle w:val="EndnoteReference"/>
          <w:sz w:val="16"/>
          <w:szCs w:val="16"/>
        </w:rPr>
        <w:endnoteRef/>
      </w:r>
      <w:r w:rsidRPr="005B5521">
        <w:rPr>
          <w:sz w:val="16"/>
          <w:szCs w:val="16"/>
        </w:rPr>
        <w:t xml:space="preserve">    Applicable only to Goods and Works in case the new Policy applies. In the case of previous Policies, it is applicable to Goods, Works and Consulting Services.</w:t>
      </w:r>
    </w:p>
    <w:p w:rsidR="005B5521" w:rsidRPr="005B5521" w:rsidRDefault="005B5521">
      <w:pPr>
        <w:pStyle w:val="EndnoteText"/>
        <w:rPr>
          <w:sz w:val="16"/>
          <w:szCs w:val="16"/>
        </w:rPr>
      </w:pPr>
    </w:p>
  </w:endnote>
  <w:endnote w:id="4">
    <w:p w:rsidR="005B5521" w:rsidRPr="005B5521" w:rsidRDefault="005B5521">
      <w:pPr>
        <w:pStyle w:val="EndnoteText"/>
        <w:rPr>
          <w:sz w:val="16"/>
          <w:szCs w:val="16"/>
        </w:rPr>
      </w:pPr>
      <w:r w:rsidRPr="005B5521">
        <w:rPr>
          <w:rStyle w:val="EndnoteReference"/>
          <w:sz w:val="16"/>
          <w:szCs w:val="16"/>
        </w:rPr>
        <w:endnoteRef/>
      </w:r>
      <w:r w:rsidRPr="005B5521">
        <w:rPr>
          <w:sz w:val="16"/>
          <w:szCs w:val="16"/>
        </w:rPr>
        <w:t xml:space="preserve">    This column “Status” should be used for retroactive procurement and for procurement plan updates.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2E" w:rsidRDefault="00617682">
    <w:pPr>
      <w:pStyle w:val="Footer"/>
    </w:pPr>
    <w:r>
      <w:t xml:space="preserve"> July</w:t>
    </w:r>
    <w:r w:rsidR="009C5A2E">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77" w:rsidRDefault="00CB6D77" w:rsidP="00B74D3F">
      <w:pPr>
        <w:spacing w:after="0" w:line="240" w:lineRule="auto"/>
      </w:pPr>
      <w:r>
        <w:separator/>
      </w:r>
    </w:p>
  </w:footnote>
  <w:footnote w:type="continuationSeparator" w:id="0">
    <w:p w:rsidR="00CB6D77" w:rsidRDefault="00CB6D77" w:rsidP="00B7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3F" w:rsidRDefault="00C74A27" w:rsidP="00C74A27">
    <w:pPr>
      <w:pStyle w:val="TypeHeaderText"/>
    </w:pPr>
    <w:bookmarkStart w:id="1" w:name="_Toc194303927"/>
    <w:bookmarkStart w:id="2" w:name="_Toc380585236"/>
    <w:r>
      <w:t>Coastal Risk Assessment and Management Program 2463/OC-BA</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203"/>
    <w:multiLevelType w:val="multilevel"/>
    <w:tmpl w:val="A2FE7FE8"/>
    <w:lvl w:ilvl="0">
      <w:start w:val="1"/>
      <w:numFmt w:val="decimal"/>
      <w:pStyle w:val="Heading1"/>
      <w:lvlText w:val="%1"/>
      <w:lvlJc w:val="left"/>
      <w:pPr>
        <w:ind w:left="576" w:hanging="576"/>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576" w:hanging="576"/>
      </w:pPr>
      <w:rPr>
        <w:rFonts w:hint="default"/>
      </w:rPr>
    </w:lvl>
    <w:lvl w:ilvl="3">
      <w:start w:val="1"/>
      <w:numFmt w:val="decimal"/>
      <w:pStyle w:val="Heading4"/>
      <w:lvlText w:val="%1.%2.%3.%4"/>
      <w:lvlJc w:val="left"/>
      <w:pPr>
        <w:ind w:left="576" w:hanging="576"/>
      </w:pPr>
      <w:rPr>
        <w:rFonts w:hint="default"/>
      </w:rPr>
    </w:lvl>
    <w:lvl w:ilvl="4">
      <w:start w:val="1"/>
      <w:numFmt w:val="decimal"/>
      <w:pStyle w:val="Heading5"/>
      <w:lvlText w:val="%1.%2.%3.%4.%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C8"/>
    <w:rsid w:val="00010F79"/>
    <w:rsid w:val="000727A1"/>
    <w:rsid w:val="000A366C"/>
    <w:rsid w:val="000D1BB6"/>
    <w:rsid w:val="00154AB0"/>
    <w:rsid w:val="001C6348"/>
    <w:rsid w:val="00213BE7"/>
    <w:rsid w:val="002367D4"/>
    <w:rsid w:val="00237756"/>
    <w:rsid w:val="002575FB"/>
    <w:rsid w:val="002A530E"/>
    <w:rsid w:val="002F347D"/>
    <w:rsid w:val="00331E55"/>
    <w:rsid w:val="003566D4"/>
    <w:rsid w:val="00365F1B"/>
    <w:rsid w:val="00385205"/>
    <w:rsid w:val="003A7F2B"/>
    <w:rsid w:val="003F53D8"/>
    <w:rsid w:val="00427D4B"/>
    <w:rsid w:val="00486F17"/>
    <w:rsid w:val="004C6376"/>
    <w:rsid w:val="004E6C6D"/>
    <w:rsid w:val="0051432F"/>
    <w:rsid w:val="0054169C"/>
    <w:rsid w:val="00542A20"/>
    <w:rsid w:val="005A1A28"/>
    <w:rsid w:val="005A7822"/>
    <w:rsid w:val="005B5521"/>
    <w:rsid w:val="005C6ACD"/>
    <w:rsid w:val="00604D70"/>
    <w:rsid w:val="00617682"/>
    <w:rsid w:val="006512E8"/>
    <w:rsid w:val="0068188E"/>
    <w:rsid w:val="006A1F06"/>
    <w:rsid w:val="00703DFF"/>
    <w:rsid w:val="00734D83"/>
    <w:rsid w:val="00742146"/>
    <w:rsid w:val="0078148E"/>
    <w:rsid w:val="007F28A3"/>
    <w:rsid w:val="008070E2"/>
    <w:rsid w:val="008C069B"/>
    <w:rsid w:val="008D345C"/>
    <w:rsid w:val="0092185B"/>
    <w:rsid w:val="009373C3"/>
    <w:rsid w:val="009A6184"/>
    <w:rsid w:val="009C5A2E"/>
    <w:rsid w:val="00A45028"/>
    <w:rsid w:val="00A86E0D"/>
    <w:rsid w:val="00AA21E1"/>
    <w:rsid w:val="00B11C09"/>
    <w:rsid w:val="00B1614B"/>
    <w:rsid w:val="00B74D3F"/>
    <w:rsid w:val="00BC2D2B"/>
    <w:rsid w:val="00C03A7B"/>
    <w:rsid w:val="00C7322E"/>
    <w:rsid w:val="00C74A27"/>
    <w:rsid w:val="00C96231"/>
    <w:rsid w:val="00CB6D77"/>
    <w:rsid w:val="00CB7A18"/>
    <w:rsid w:val="00CF11D1"/>
    <w:rsid w:val="00D3338D"/>
    <w:rsid w:val="00D366E0"/>
    <w:rsid w:val="00D54620"/>
    <w:rsid w:val="00D65351"/>
    <w:rsid w:val="00DC2336"/>
    <w:rsid w:val="00DF21F9"/>
    <w:rsid w:val="00DF7BD6"/>
    <w:rsid w:val="00F01663"/>
    <w:rsid w:val="00F158C8"/>
    <w:rsid w:val="00F171FC"/>
    <w:rsid w:val="00F461E5"/>
    <w:rsid w:val="00F9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5C"/>
    <w:pPr>
      <w:spacing w:after="120" w:line="252" w:lineRule="auto"/>
      <w:jc w:val="both"/>
    </w:pPr>
    <w:rPr>
      <w:rFonts w:ascii="Arial" w:hAnsi="Arial"/>
      <w:color w:val="262626" w:themeColor="text1" w:themeTint="D9"/>
      <w:szCs w:val="19"/>
    </w:rPr>
  </w:style>
  <w:style w:type="paragraph" w:styleId="Heading1">
    <w:name w:val="heading 1"/>
    <w:aliases w:val="Don't Use"/>
    <w:basedOn w:val="Normal"/>
    <w:next w:val="Normal"/>
    <w:link w:val="Heading1Char"/>
    <w:qFormat/>
    <w:rsid w:val="00237756"/>
    <w:pPr>
      <w:keepNext/>
      <w:keepLines/>
      <w:pageBreakBefore/>
      <w:numPr>
        <w:numId w:val="1"/>
      </w:numPr>
      <w:spacing w:after="360"/>
      <w:outlineLvl w:val="0"/>
    </w:pPr>
    <w:rPr>
      <w:rFonts w:eastAsiaTheme="majorEastAsia" w:cstheme="majorBidi"/>
      <w:b/>
      <w:bCs/>
      <w:color w:val="4F81BD" w:themeColor="accent1"/>
      <w:sz w:val="40"/>
      <w:szCs w:val="28"/>
    </w:rPr>
  </w:style>
  <w:style w:type="paragraph" w:styleId="Heading2">
    <w:name w:val="heading 2"/>
    <w:basedOn w:val="Normal"/>
    <w:next w:val="Normal"/>
    <w:link w:val="Heading2Char"/>
    <w:uiPriority w:val="9"/>
    <w:qFormat/>
    <w:rsid w:val="00237756"/>
    <w:pPr>
      <w:keepNext/>
      <w:keepLines/>
      <w:numPr>
        <w:ilvl w:val="1"/>
        <w:numId w:val="1"/>
      </w:numPr>
      <w:spacing w:before="160" w:after="80"/>
      <w:ind w:left="720" w:hanging="720"/>
      <w:outlineLvl w:val="1"/>
    </w:pPr>
    <w:rPr>
      <w:rFonts w:eastAsiaTheme="majorEastAsia" w:cstheme="majorBidi"/>
      <w:b/>
      <w:bCs/>
      <w:color w:val="C0504D" w:themeColor="accent2"/>
      <w:sz w:val="32"/>
      <w:szCs w:val="26"/>
    </w:rPr>
  </w:style>
  <w:style w:type="paragraph" w:styleId="Heading3">
    <w:name w:val="heading 3"/>
    <w:basedOn w:val="Normal"/>
    <w:next w:val="Normal"/>
    <w:link w:val="Heading3Char"/>
    <w:uiPriority w:val="9"/>
    <w:qFormat/>
    <w:rsid w:val="00237756"/>
    <w:pPr>
      <w:keepNext/>
      <w:keepLines/>
      <w:numPr>
        <w:ilvl w:val="2"/>
        <w:numId w:val="1"/>
      </w:numPr>
      <w:spacing w:before="160" w:after="80" w:line="288" w:lineRule="auto"/>
      <w:ind w:left="864" w:hanging="864"/>
      <w:outlineLvl w:val="2"/>
    </w:pPr>
    <w:rPr>
      <w:rFonts w:eastAsiaTheme="majorEastAsia" w:cstheme="majorBidi"/>
      <w:b/>
      <w:bCs/>
      <w:sz w:val="24"/>
    </w:rPr>
  </w:style>
  <w:style w:type="paragraph" w:styleId="Heading4">
    <w:name w:val="heading 4"/>
    <w:basedOn w:val="Normal"/>
    <w:next w:val="Normal"/>
    <w:link w:val="Heading4Char"/>
    <w:unhideWhenUsed/>
    <w:qFormat/>
    <w:rsid w:val="00237756"/>
    <w:pPr>
      <w:keepNext/>
      <w:keepLines/>
      <w:numPr>
        <w:ilvl w:val="3"/>
        <w:numId w:val="1"/>
      </w:numPr>
      <w:spacing w:before="200" w:after="40"/>
      <w:ind w:left="1008" w:hanging="1008"/>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23775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775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775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775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3775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3F"/>
    <w:rPr>
      <w:rFonts w:ascii="Arial" w:hAnsi="Arial"/>
      <w:color w:val="262626" w:themeColor="text1" w:themeTint="D9"/>
      <w:szCs w:val="19"/>
    </w:rPr>
  </w:style>
  <w:style w:type="paragraph" w:styleId="Footer">
    <w:name w:val="footer"/>
    <w:basedOn w:val="Normal"/>
    <w:link w:val="FooterChar"/>
    <w:uiPriority w:val="99"/>
    <w:unhideWhenUsed/>
    <w:rsid w:val="00B7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3F"/>
    <w:rPr>
      <w:rFonts w:ascii="Arial" w:hAnsi="Arial"/>
      <w:color w:val="262626" w:themeColor="text1" w:themeTint="D9"/>
      <w:szCs w:val="19"/>
    </w:rPr>
  </w:style>
  <w:style w:type="paragraph" w:styleId="BalloonText">
    <w:name w:val="Balloon Text"/>
    <w:basedOn w:val="Normal"/>
    <w:link w:val="BalloonTextChar"/>
    <w:uiPriority w:val="99"/>
    <w:semiHidden/>
    <w:unhideWhenUsed/>
    <w:rsid w:val="00B7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3F"/>
    <w:rPr>
      <w:rFonts w:ascii="Tahoma" w:hAnsi="Tahoma" w:cs="Tahoma"/>
      <w:color w:val="262626" w:themeColor="text1" w:themeTint="D9"/>
      <w:sz w:val="16"/>
      <w:szCs w:val="16"/>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
    <w:basedOn w:val="Normal"/>
    <w:link w:val="FootnoteTextChar"/>
    <w:uiPriority w:val="99"/>
    <w:unhideWhenUsed/>
    <w:rsid w:val="000A366C"/>
    <w:pPr>
      <w:spacing w:after="0" w:line="240" w:lineRule="auto"/>
    </w:pPr>
    <w:rPr>
      <w:sz w:val="20"/>
      <w:szCs w:val="20"/>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
    <w:basedOn w:val="DefaultParagraphFont"/>
    <w:link w:val="FootnoteText"/>
    <w:uiPriority w:val="99"/>
    <w:rsid w:val="000A366C"/>
    <w:rPr>
      <w:rFonts w:ascii="Arial" w:hAnsi="Arial"/>
      <w:color w:val="262626" w:themeColor="text1" w:themeTint="D9"/>
      <w:sz w:val="20"/>
      <w:szCs w:val="20"/>
    </w:rPr>
  </w:style>
  <w:style w:type="character" w:styleId="FootnoteReference">
    <w:name w:val="footnote reference"/>
    <w:basedOn w:val="DefaultParagraphFont"/>
    <w:uiPriority w:val="99"/>
    <w:semiHidden/>
    <w:unhideWhenUsed/>
    <w:rsid w:val="000A366C"/>
    <w:rPr>
      <w:vertAlign w:val="superscript"/>
    </w:rPr>
  </w:style>
  <w:style w:type="paragraph" w:customStyle="1" w:styleId="TypeHeaderText">
    <w:name w:val="Type Header Text"/>
    <w:basedOn w:val="Normal"/>
    <w:qFormat/>
    <w:rsid w:val="00C74A27"/>
    <w:rPr>
      <w:rFonts w:eastAsiaTheme="majorEastAsia" w:cstheme="majorBidi"/>
      <w:b/>
      <w:bCs/>
      <w:sz w:val="28"/>
      <w:szCs w:val="26"/>
    </w:rPr>
  </w:style>
  <w:style w:type="character" w:customStyle="1" w:styleId="Heading1Char">
    <w:name w:val="Heading 1 Char"/>
    <w:aliases w:val="Don't Use Char"/>
    <w:basedOn w:val="DefaultParagraphFont"/>
    <w:link w:val="Heading1"/>
    <w:rsid w:val="00237756"/>
    <w:rPr>
      <w:rFonts w:ascii="Arial" w:eastAsiaTheme="majorEastAsia" w:hAnsi="Arial" w:cstheme="majorBidi"/>
      <w:b/>
      <w:bCs/>
      <w:color w:val="4F81BD" w:themeColor="accent1"/>
      <w:sz w:val="40"/>
      <w:szCs w:val="28"/>
    </w:rPr>
  </w:style>
  <w:style w:type="character" w:customStyle="1" w:styleId="Heading2Char">
    <w:name w:val="Heading 2 Char"/>
    <w:basedOn w:val="DefaultParagraphFont"/>
    <w:link w:val="Heading2"/>
    <w:uiPriority w:val="9"/>
    <w:rsid w:val="00237756"/>
    <w:rPr>
      <w:rFonts w:ascii="Arial" w:eastAsiaTheme="majorEastAsia" w:hAnsi="Arial" w:cstheme="majorBidi"/>
      <w:b/>
      <w:bCs/>
      <w:color w:val="C0504D" w:themeColor="accent2"/>
      <w:sz w:val="32"/>
      <w:szCs w:val="26"/>
    </w:rPr>
  </w:style>
  <w:style w:type="character" w:customStyle="1" w:styleId="Heading3Char">
    <w:name w:val="Heading 3 Char"/>
    <w:basedOn w:val="DefaultParagraphFont"/>
    <w:link w:val="Heading3"/>
    <w:uiPriority w:val="9"/>
    <w:rsid w:val="00237756"/>
    <w:rPr>
      <w:rFonts w:ascii="Arial" w:eastAsiaTheme="majorEastAsia" w:hAnsi="Arial" w:cstheme="majorBidi"/>
      <w:b/>
      <w:bCs/>
      <w:color w:val="262626" w:themeColor="text1" w:themeTint="D9"/>
      <w:sz w:val="24"/>
      <w:szCs w:val="19"/>
    </w:rPr>
  </w:style>
  <w:style w:type="character" w:customStyle="1" w:styleId="Heading4Char">
    <w:name w:val="Heading 4 Char"/>
    <w:basedOn w:val="DefaultParagraphFont"/>
    <w:link w:val="Heading4"/>
    <w:rsid w:val="00237756"/>
    <w:rPr>
      <w:rFonts w:ascii="Arial" w:eastAsiaTheme="majorEastAsia" w:hAnsi="Arial" w:cstheme="majorBidi"/>
      <w:b/>
      <w:bCs/>
      <w:iCs/>
      <w:color w:val="262626" w:themeColor="text1" w:themeTint="D9"/>
      <w:szCs w:val="19"/>
    </w:rPr>
  </w:style>
  <w:style w:type="character" w:customStyle="1" w:styleId="Heading5Char">
    <w:name w:val="Heading 5 Char"/>
    <w:basedOn w:val="DefaultParagraphFont"/>
    <w:link w:val="Heading5"/>
    <w:uiPriority w:val="9"/>
    <w:rsid w:val="00237756"/>
    <w:rPr>
      <w:rFonts w:asciiTheme="majorHAnsi" w:eastAsiaTheme="majorEastAsia" w:hAnsiTheme="majorHAnsi" w:cstheme="majorBidi"/>
      <w:color w:val="243F60" w:themeColor="accent1" w:themeShade="7F"/>
      <w:szCs w:val="19"/>
    </w:rPr>
  </w:style>
  <w:style w:type="character" w:customStyle="1" w:styleId="Heading6Char">
    <w:name w:val="Heading 6 Char"/>
    <w:basedOn w:val="DefaultParagraphFont"/>
    <w:link w:val="Heading6"/>
    <w:uiPriority w:val="9"/>
    <w:semiHidden/>
    <w:rsid w:val="00237756"/>
    <w:rPr>
      <w:rFonts w:asciiTheme="majorHAnsi" w:eastAsiaTheme="majorEastAsia" w:hAnsiTheme="majorHAnsi" w:cstheme="majorBidi"/>
      <w:i/>
      <w:iCs/>
      <w:color w:val="243F60" w:themeColor="accent1" w:themeShade="7F"/>
      <w:szCs w:val="19"/>
    </w:rPr>
  </w:style>
  <w:style w:type="character" w:customStyle="1" w:styleId="Heading7Char">
    <w:name w:val="Heading 7 Char"/>
    <w:basedOn w:val="DefaultParagraphFont"/>
    <w:link w:val="Heading7"/>
    <w:uiPriority w:val="9"/>
    <w:semiHidden/>
    <w:rsid w:val="00237756"/>
    <w:rPr>
      <w:rFonts w:asciiTheme="majorHAnsi" w:eastAsiaTheme="majorEastAsia" w:hAnsiTheme="majorHAnsi" w:cstheme="majorBidi"/>
      <w:i/>
      <w:iCs/>
      <w:color w:val="404040" w:themeColor="text1" w:themeTint="BF"/>
      <w:szCs w:val="19"/>
    </w:rPr>
  </w:style>
  <w:style w:type="character" w:customStyle="1" w:styleId="Heading8Char">
    <w:name w:val="Heading 8 Char"/>
    <w:basedOn w:val="DefaultParagraphFont"/>
    <w:link w:val="Heading8"/>
    <w:uiPriority w:val="9"/>
    <w:semiHidden/>
    <w:rsid w:val="00237756"/>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237756"/>
    <w:rPr>
      <w:rFonts w:asciiTheme="majorHAnsi" w:eastAsiaTheme="majorEastAsia" w:hAnsiTheme="majorHAnsi" w:cstheme="majorBidi"/>
      <w:i/>
      <w:iCs/>
      <w:color w:val="404040" w:themeColor="text1" w:themeTint="BF"/>
      <w:szCs w:val="20"/>
    </w:rPr>
  </w:style>
  <w:style w:type="paragraph" w:customStyle="1" w:styleId="TypeBodytext">
    <w:name w:val="Type Body text"/>
    <w:basedOn w:val="Normal"/>
    <w:qFormat/>
    <w:rsid w:val="00237756"/>
    <w:rPr>
      <w:szCs w:val="16"/>
    </w:rPr>
  </w:style>
  <w:style w:type="paragraph" w:customStyle="1" w:styleId="Exhibit">
    <w:name w:val="Exhibit"/>
    <w:basedOn w:val="Normal"/>
    <w:qFormat/>
    <w:rsid w:val="00237756"/>
    <w:pPr>
      <w:spacing w:before="120" w:after="40"/>
    </w:pPr>
    <w:rPr>
      <w:b/>
      <w:szCs w:val="16"/>
    </w:rPr>
  </w:style>
  <w:style w:type="paragraph" w:styleId="EndnoteText">
    <w:name w:val="endnote text"/>
    <w:basedOn w:val="Normal"/>
    <w:link w:val="EndnoteTextChar"/>
    <w:uiPriority w:val="99"/>
    <w:semiHidden/>
    <w:unhideWhenUsed/>
    <w:rsid w:val="005143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432F"/>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5143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5C"/>
    <w:pPr>
      <w:spacing w:after="120" w:line="252" w:lineRule="auto"/>
      <w:jc w:val="both"/>
    </w:pPr>
    <w:rPr>
      <w:rFonts w:ascii="Arial" w:hAnsi="Arial"/>
      <w:color w:val="262626" w:themeColor="text1" w:themeTint="D9"/>
      <w:szCs w:val="19"/>
    </w:rPr>
  </w:style>
  <w:style w:type="paragraph" w:styleId="Heading1">
    <w:name w:val="heading 1"/>
    <w:aliases w:val="Don't Use"/>
    <w:basedOn w:val="Normal"/>
    <w:next w:val="Normal"/>
    <w:link w:val="Heading1Char"/>
    <w:qFormat/>
    <w:rsid w:val="00237756"/>
    <w:pPr>
      <w:keepNext/>
      <w:keepLines/>
      <w:pageBreakBefore/>
      <w:numPr>
        <w:numId w:val="1"/>
      </w:numPr>
      <w:spacing w:after="360"/>
      <w:outlineLvl w:val="0"/>
    </w:pPr>
    <w:rPr>
      <w:rFonts w:eastAsiaTheme="majorEastAsia" w:cstheme="majorBidi"/>
      <w:b/>
      <w:bCs/>
      <w:color w:val="4F81BD" w:themeColor="accent1"/>
      <w:sz w:val="40"/>
      <w:szCs w:val="28"/>
    </w:rPr>
  </w:style>
  <w:style w:type="paragraph" w:styleId="Heading2">
    <w:name w:val="heading 2"/>
    <w:basedOn w:val="Normal"/>
    <w:next w:val="Normal"/>
    <w:link w:val="Heading2Char"/>
    <w:uiPriority w:val="9"/>
    <w:qFormat/>
    <w:rsid w:val="00237756"/>
    <w:pPr>
      <w:keepNext/>
      <w:keepLines/>
      <w:numPr>
        <w:ilvl w:val="1"/>
        <w:numId w:val="1"/>
      </w:numPr>
      <w:spacing w:before="160" w:after="80"/>
      <w:ind w:left="720" w:hanging="720"/>
      <w:outlineLvl w:val="1"/>
    </w:pPr>
    <w:rPr>
      <w:rFonts w:eastAsiaTheme="majorEastAsia" w:cstheme="majorBidi"/>
      <w:b/>
      <w:bCs/>
      <w:color w:val="C0504D" w:themeColor="accent2"/>
      <w:sz w:val="32"/>
      <w:szCs w:val="26"/>
    </w:rPr>
  </w:style>
  <w:style w:type="paragraph" w:styleId="Heading3">
    <w:name w:val="heading 3"/>
    <w:basedOn w:val="Normal"/>
    <w:next w:val="Normal"/>
    <w:link w:val="Heading3Char"/>
    <w:uiPriority w:val="9"/>
    <w:qFormat/>
    <w:rsid w:val="00237756"/>
    <w:pPr>
      <w:keepNext/>
      <w:keepLines/>
      <w:numPr>
        <w:ilvl w:val="2"/>
        <w:numId w:val="1"/>
      </w:numPr>
      <w:spacing w:before="160" w:after="80" w:line="288" w:lineRule="auto"/>
      <w:ind w:left="864" w:hanging="864"/>
      <w:outlineLvl w:val="2"/>
    </w:pPr>
    <w:rPr>
      <w:rFonts w:eastAsiaTheme="majorEastAsia" w:cstheme="majorBidi"/>
      <w:b/>
      <w:bCs/>
      <w:sz w:val="24"/>
    </w:rPr>
  </w:style>
  <w:style w:type="paragraph" w:styleId="Heading4">
    <w:name w:val="heading 4"/>
    <w:basedOn w:val="Normal"/>
    <w:next w:val="Normal"/>
    <w:link w:val="Heading4Char"/>
    <w:unhideWhenUsed/>
    <w:qFormat/>
    <w:rsid w:val="00237756"/>
    <w:pPr>
      <w:keepNext/>
      <w:keepLines/>
      <w:numPr>
        <w:ilvl w:val="3"/>
        <w:numId w:val="1"/>
      </w:numPr>
      <w:spacing w:before="200" w:after="40"/>
      <w:ind w:left="1008" w:hanging="1008"/>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23775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775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775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775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3775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3F"/>
    <w:rPr>
      <w:rFonts w:ascii="Arial" w:hAnsi="Arial"/>
      <w:color w:val="262626" w:themeColor="text1" w:themeTint="D9"/>
      <w:szCs w:val="19"/>
    </w:rPr>
  </w:style>
  <w:style w:type="paragraph" w:styleId="Footer">
    <w:name w:val="footer"/>
    <w:basedOn w:val="Normal"/>
    <w:link w:val="FooterChar"/>
    <w:uiPriority w:val="99"/>
    <w:unhideWhenUsed/>
    <w:rsid w:val="00B7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3F"/>
    <w:rPr>
      <w:rFonts w:ascii="Arial" w:hAnsi="Arial"/>
      <w:color w:val="262626" w:themeColor="text1" w:themeTint="D9"/>
      <w:szCs w:val="19"/>
    </w:rPr>
  </w:style>
  <w:style w:type="paragraph" w:styleId="BalloonText">
    <w:name w:val="Balloon Text"/>
    <w:basedOn w:val="Normal"/>
    <w:link w:val="BalloonTextChar"/>
    <w:uiPriority w:val="99"/>
    <w:semiHidden/>
    <w:unhideWhenUsed/>
    <w:rsid w:val="00B7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3F"/>
    <w:rPr>
      <w:rFonts w:ascii="Tahoma" w:hAnsi="Tahoma" w:cs="Tahoma"/>
      <w:color w:val="262626" w:themeColor="text1" w:themeTint="D9"/>
      <w:sz w:val="16"/>
      <w:szCs w:val="16"/>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
    <w:basedOn w:val="Normal"/>
    <w:link w:val="FootnoteTextChar"/>
    <w:uiPriority w:val="99"/>
    <w:unhideWhenUsed/>
    <w:rsid w:val="000A366C"/>
    <w:pPr>
      <w:spacing w:after="0" w:line="240" w:lineRule="auto"/>
    </w:pPr>
    <w:rPr>
      <w:sz w:val="20"/>
      <w:szCs w:val="20"/>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
    <w:basedOn w:val="DefaultParagraphFont"/>
    <w:link w:val="FootnoteText"/>
    <w:uiPriority w:val="99"/>
    <w:rsid w:val="000A366C"/>
    <w:rPr>
      <w:rFonts w:ascii="Arial" w:hAnsi="Arial"/>
      <w:color w:val="262626" w:themeColor="text1" w:themeTint="D9"/>
      <w:sz w:val="20"/>
      <w:szCs w:val="20"/>
    </w:rPr>
  </w:style>
  <w:style w:type="character" w:styleId="FootnoteReference">
    <w:name w:val="footnote reference"/>
    <w:basedOn w:val="DefaultParagraphFont"/>
    <w:uiPriority w:val="99"/>
    <w:semiHidden/>
    <w:unhideWhenUsed/>
    <w:rsid w:val="000A366C"/>
    <w:rPr>
      <w:vertAlign w:val="superscript"/>
    </w:rPr>
  </w:style>
  <w:style w:type="paragraph" w:customStyle="1" w:styleId="TypeHeaderText">
    <w:name w:val="Type Header Text"/>
    <w:basedOn w:val="Normal"/>
    <w:qFormat/>
    <w:rsid w:val="00C74A27"/>
    <w:rPr>
      <w:rFonts w:eastAsiaTheme="majorEastAsia" w:cstheme="majorBidi"/>
      <w:b/>
      <w:bCs/>
      <w:sz w:val="28"/>
      <w:szCs w:val="26"/>
    </w:rPr>
  </w:style>
  <w:style w:type="character" w:customStyle="1" w:styleId="Heading1Char">
    <w:name w:val="Heading 1 Char"/>
    <w:aliases w:val="Don't Use Char"/>
    <w:basedOn w:val="DefaultParagraphFont"/>
    <w:link w:val="Heading1"/>
    <w:rsid w:val="00237756"/>
    <w:rPr>
      <w:rFonts w:ascii="Arial" w:eastAsiaTheme="majorEastAsia" w:hAnsi="Arial" w:cstheme="majorBidi"/>
      <w:b/>
      <w:bCs/>
      <w:color w:val="4F81BD" w:themeColor="accent1"/>
      <w:sz w:val="40"/>
      <w:szCs w:val="28"/>
    </w:rPr>
  </w:style>
  <w:style w:type="character" w:customStyle="1" w:styleId="Heading2Char">
    <w:name w:val="Heading 2 Char"/>
    <w:basedOn w:val="DefaultParagraphFont"/>
    <w:link w:val="Heading2"/>
    <w:uiPriority w:val="9"/>
    <w:rsid w:val="00237756"/>
    <w:rPr>
      <w:rFonts w:ascii="Arial" w:eastAsiaTheme="majorEastAsia" w:hAnsi="Arial" w:cstheme="majorBidi"/>
      <w:b/>
      <w:bCs/>
      <w:color w:val="C0504D" w:themeColor="accent2"/>
      <w:sz w:val="32"/>
      <w:szCs w:val="26"/>
    </w:rPr>
  </w:style>
  <w:style w:type="character" w:customStyle="1" w:styleId="Heading3Char">
    <w:name w:val="Heading 3 Char"/>
    <w:basedOn w:val="DefaultParagraphFont"/>
    <w:link w:val="Heading3"/>
    <w:uiPriority w:val="9"/>
    <w:rsid w:val="00237756"/>
    <w:rPr>
      <w:rFonts w:ascii="Arial" w:eastAsiaTheme="majorEastAsia" w:hAnsi="Arial" w:cstheme="majorBidi"/>
      <w:b/>
      <w:bCs/>
      <w:color w:val="262626" w:themeColor="text1" w:themeTint="D9"/>
      <w:sz w:val="24"/>
      <w:szCs w:val="19"/>
    </w:rPr>
  </w:style>
  <w:style w:type="character" w:customStyle="1" w:styleId="Heading4Char">
    <w:name w:val="Heading 4 Char"/>
    <w:basedOn w:val="DefaultParagraphFont"/>
    <w:link w:val="Heading4"/>
    <w:rsid w:val="00237756"/>
    <w:rPr>
      <w:rFonts w:ascii="Arial" w:eastAsiaTheme="majorEastAsia" w:hAnsi="Arial" w:cstheme="majorBidi"/>
      <w:b/>
      <w:bCs/>
      <w:iCs/>
      <w:color w:val="262626" w:themeColor="text1" w:themeTint="D9"/>
      <w:szCs w:val="19"/>
    </w:rPr>
  </w:style>
  <w:style w:type="character" w:customStyle="1" w:styleId="Heading5Char">
    <w:name w:val="Heading 5 Char"/>
    <w:basedOn w:val="DefaultParagraphFont"/>
    <w:link w:val="Heading5"/>
    <w:uiPriority w:val="9"/>
    <w:rsid w:val="00237756"/>
    <w:rPr>
      <w:rFonts w:asciiTheme="majorHAnsi" w:eastAsiaTheme="majorEastAsia" w:hAnsiTheme="majorHAnsi" w:cstheme="majorBidi"/>
      <w:color w:val="243F60" w:themeColor="accent1" w:themeShade="7F"/>
      <w:szCs w:val="19"/>
    </w:rPr>
  </w:style>
  <w:style w:type="character" w:customStyle="1" w:styleId="Heading6Char">
    <w:name w:val="Heading 6 Char"/>
    <w:basedOn w:val="DefaultParagraphFont"/>
    <w:link w:val="Heading6"/>
    <w:uiPriority w:val="9"/>
    <w:semiHidden/>
    <w:rsid w:val="00237756"/>
    <w:rPr>
      <w:rFonts w:asciiTheme="majorHAnsi" w:eastAsiaTheme="majorEastAsia" w:hAnsiTheme="majorHAnsi" w:cstheme="majorBidi"/>
      <w:i/>
      <w:iCs/>
      <w:color w:val="243F60" w:themeColor="accent1" w:themeShade="7F"/>
      <w:szCs w:val="19"/>
    </w:rPr>
  </w:style>
  <w:style w:type="character" w:customStyle="1" w:styleId="Heading7Char">
    <w:name w:val="Heading 7 Char"/>
    <w:basedOn w:val="DefaultParagraphFont"/>
    <w:link w:val="Heading7"/>
    <w:uiPriority w:val="9"/>
    <w:semiHidden/>
    <w:rsid w:val="00237756"/>
    <w:rPr>
      <w:rFonts w:asciiTheme="majorHAnsi" w:eastAsiaTheme="majorEastAsia" w:hAnsiTheme="majorHAnsi" w:cstheme="majorBidi"/>
      <w:i/>
      <w:iCs/>
      <w:color w:val="404040" w:themeColor="text1" w:themeTint="BF"/>
      <w:szCs w:val="19"/>
    </w:rPr>
  </w:style>
  <w:style w:type="character" w:customStyle="1" w:styleId="Heading8Char">
    <w:name w:val="Heading 8 Char"/>
    <w:basedOn w:val="DefaultParagraphFont"/>
    <w:link w:val="Heading8"/>
    <w:uiPriority w:val="9"/>
    <w:semiHidden/>
    <w:rsid w:val="00237756"/>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237756"/>
    <w:rPr>
      <w:rFonts w:asciiTheme="majorHAnsi" w:eastAsiaTheme="majorEastAsia" w:hAnsiTheme="majorHAnsi" w:cstheme="majorBidi"/>
      <w:i/>
      <w:iCs/>
      <w:color w:val="404040" w:themeColor="text1" w:themeTint="BF"/>
      <w:szCs w:val="20"/>
    </w:rPr>
  </w:style>
  <w:style w:type="paragraph" w:customStyle="1" w:styleId="TypeBodytext">
    <w:name w:val="Type Body text"/>
    <w:basedOn w:val="Normal"/>
    <w:qFormat/>
    <w:rsid w:val="00237756"/>
    <w:rPr>
      <w:szCs w:val="16"/>
    </w:rPr>
  </w:style>
  <w:style w:type="paragraph" w:customStyle="1" w:styleId="Exhibit">
    <w:name w:val="Exhibit"/>
    <w:basedOn w:val="Normal"/>
    <w:qFormat/>
    <w:rsid w:val="00237756"/>
    <w:pPr>
      <w:spacing w:before="120" w:after="40"/>
    </w:pPr>
    <w:rPr>
      <w:b/>
      <w:szCs w:val="16"/>
    </w:rPr>
  </w:style>
  <w:style w:type="paragraph" w:styleId="EndnoteText">
    <w:name w:val="endnote text"/>
    <w:basedOn w:val="Normal"/>
    <w:link w:val="EndnoteTextChar"/>
    <w:uiPriority w:val="99"/>
    <w:semiHidden/>
    <w:unhideWhenUsed/>
    <w:rsid w:val="005143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432F"/>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514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526D891FF07004D9E395FBDED37321A" ma:contentTypeVersion="0" ma:contentTypeDescription="A content type to manage public (operations) IDB documents" ma:contentTypeScope="" ma:versionID="e5c65860502cd05c86cc88652cf55538">
  <xsd:schema xmlns:xsd="http://www.w3.org/2001/XMLSchema" xmlns:xs="http://www.w3.org/2001/XMLSchema" xmlns:p="http://schemas.microsoft.com/office/2006/metadata/properties" xmlns:ns2="9c571b2f-e523-4ab2-ba2e-09e151a03ef4" targetNamespace="http://schemas.microsoft.com/office/2006/metadata/properties" ma:root="true" ma:fieldsID="eac78227aa40ebe0634e64f1b07ec9c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10f793-ca0a-45d3-aa23-15b9e4b1309c}" ma:internalName="TaxCatchAll" ma:showField="CatchAllData"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0f793-ca0a-45d3-aa23-15b9e4b1309c}" ma:internalName="TaxCatchAllLabel" ma:readOnly="true" ma:showField="CatchAllDataLabel"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CLAUSE DOCUMENT</Project_x0020_Document_x0020_Type>
    <Business_x0020_Area xmlns="9c571b2f-e523-4ab2-ba2e-09e151a03ef4">a</Business_x0020_Area>
    <IDBDocs_x0020_Number xmlns="9c571b2f-e523-4ab2-ba2e-09e151a03ef4">39733917</IDBDocs_x0020_Number>
    <TaxCatchAll xmlns="9c571b2f-e523-4ab2-ba2e-09e151a03ef4">
      <Value>5</Value>
    </TaxCatchAll>
    <Phase xmlns="9c571b2f-e523-4ab2-ba2e-09e151a03ef4" xsi:nil="true"/>
    <SISCOR_x0020_Number xmlns="9c571b2f-e523-4ab2-ba2e-09e151a03ef4" xsi:nil="true"/>
    <Division_x0020_or_x0020_Unit xmlns="9c571b2f-e523-4ab2-ba2e-09e151a03ef4">CCB/CBA</Division_x0020_or_x0020_Unit>
    <o5138a91267540169645e33d09c9ddc6 xmlns="9c571b2f-e523-4ab2-ba2e-09e151a03ef4">
      <Terms xmlns="http://schemas.microsoft.com/office/infopath/2007/PartnerControls"/>
    </o5138a91267540169645e33d09c9ddc6>
    <Approval_x0020_Number xmlns="9c571b2f-e523-4ab2-ba2e-09e151a03ef4">2463/OC-BA</Approval_x0020_Number>
    <Document_x0020_Author xmlns="9c571b2f-e523-4ab2-ba2e-09e151a03ef4">CBA-SISCOR-USR</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Ms. Allison L. Wiggins</Other_x0020_Author>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4a833e0c-b04e-4136-8e27-6c06cac1e274</TermId>
        </TermInfo>
      </Terms>
    </fd0e48b6a66848a9885f717e5bbf40c4>
    <Project_x0020_Number xmlns="9c571b2f-e523-4ab2-ba2e-09e151a03ef4">BA-L1014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WORD&lt;/APPLICATION&gt;&lt;USER_STAGE&gt;Procurement Plan&lt;/USER_STAGE&gt;&lt;PD_OBJ_TYPE&gt;0&lt;/PD_OBJ_TYPE&gt;&lt;MAKERECORD&gt;Y&lt;/MAKERECORD&gt;&lt;PD_FILEPT_NO&gt;PO-BA-L1014-GS&lt;/PD_FILEPT_NO&gt;&lt;/Data&gt;</Migration_x0020_Info>
    <Operation_x0020_Type xmlns="9c571b2f-e523-4ab2-ba2e-09e151a03ef4" xsi:nil="true"/>
    <Document_x0020_Language_x0020_IDB xmlns="9c571b2f-e523-4ab2-ba2e-09e151a03ef4">English</Document_x0020_Language_x0020_IDB>
    <Identifier xmlns="9c571b2f-e523-4ab2-ba2e-09e151a03ef4">Procurement Plan PLAN</Identifier>
    <Disclosure_x0020_Activity xmlns="9c571b2f-e523-4ab2-ba2e-09e151a03ef4">Procurement Plan</Disclosure_x0020_Activity>
    <Webtopic xmlns="9c571b2f-e523-4ab2-ba2e-09e151a03ef4">PA-PRE</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ADC9CC96-41DF-4D56-A9FE-A09007B6456C}"/>
</file>

<file path=customXml/itemProps2.xml><?xml version="1.0" encoding="utf-8"?>
<ds:datastoreItem xmlns:ds="http://schemas.openxmlformats.org/officeDocument/2006/customXml" ds:itemID="{DBFEAD52-F379-4F09-9D4C-664F0D37F099}"/>
</file>

<file path=customXml/itemProps3.xml><?xml version="1.0" encoding="utf-8"?>
<ds:datastoreItem xmlns:ds="http://schemas.openxmlformats.org/officeDocument/2006/customXml" ds:itemID="{4BD8C9F2-0AF8-4E0D-A07F-281566C3BBFB}"/>
</file>

<file path=customXml/itemProps4.xml><?xml version="1.0" encoding="utf-8"?>
<ds:datastoreItem xmlns:ds="http://schemas.openxmlformats.org/officeDocument/2006/customXml" ds:itemID="{5FFBCAF6-DDC2-4184-8604-FB233EC905A3}"/>
</file>

<file path=customXml/itemProps5.xml><?xml version="1.0" encoding="utf-8"?>
<ds:datastoreItem xmlns:ds="http://schemas.openxmlformats.org/officeDocument/2006/customXml" ds:itemID="{1A408547-B7D8-4788-9291-32378FD1702F}"/>
</file>

<file path=customXml/itemProps6.xml><?xml version="1.0" encoding="utf-8"?>
<ds:datastoreItem xmlns:ds="http://schemas.openxmlformats.org/officeDocument/2006/customXml" ds:itemID="{E0AEB499-1BD5-4F01-B161-874E0B8F6B75}"/>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Procurement Plan for the Period July 1, 2015 through December 31, 2016 Project: Coastal Risk Assessment and Management Program                          Project number: BA-L1014 and Loan Contract number:  2463/OC-BA</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2463_OC-BA - Procurement Plan for the Period July 1, 2015 through December 31, 2016</dc:title>
  <dc:creator>Ramon Roach</dc:creator>
  <cp:lastModifiedBy>Allison Wiggins</cp:lastModifiedBy>
  <cp:revision>2</cp:revision>
  <cp:lastPrinted>2015-07-10T18:51:00Z</cp:lastPrinted>
  <dcterms:created xsi:type="dcterms:W3CDTF">2015-07-16T13:02:00Z</dcterms:created>
  <dcterms:modified xsi:type="dcterms:W3CDTF">2015-07-16T13:02:00Z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0x01010046CF21643EE8D14686A648AA6DAD0892003526D891FF07004D9E395FBDED37321A</vt:lpwstr>
  </property>
  <property fmtid="{D5CDD505-2E9C-101B-9397-08002B2CF9AE}" pid="3" name="TaxKeyword">
    <vt:lpwstr/>
  </property>
  <property fmtid="{D5CDD505-2E9C-101B-9397-08002B2CF9AE}" pid="4" name="Function Operations IDB">
    <vt:lpwstr>5;#Legal|4a833e0c-b04e-4136-8e27-6c06cac1e274</vt:lpwstr>
  </property>
  <property fmtid="{D5CDD505-2E9C-101B-9397-08002B2CF9AE}" pid="5" name="Sub_x002d_Sector">
    <vt:lpwstr/>
  </property>
  <property fmtid="{D5CDD505-2E9C-101B-9397-08002B2CF9AE}" pid="6" name="TaxKeywordTaxHTField">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
  </property>
  <property fmtid="{D5CDD505-2E9C-101B-9397-08002B2CF9AE}" pid="12" name="To:">
    <vt:lpwstr/>
  </property>
  <property fmtid="{D5CDD505-2E9C-101B-9397-08002B2CF9AE}" pid="13" name="From:">
    <vt:lpwstr>Ms. Allison L. Wiggins</vt:lpwstr>
  </property>
  <property fmtid="{D5CDD505-2E9C-101B-9397-08002B2CF9AE}" pid="14" name="Sector IDB">
    <vt:lpwstr/>
  </property>
  <property fmtid="{D5CDD505-2E9C-101B-9397-08002B2CF9AE}" pid="15" name="Series Operations IDB">
    <vt:lpwstr/>
  </property>
  <property fmtid="{D5CDD505-2E9C-101B-9397-08002B2CF9AE}" pid="16" name="Sub-Sector">
    <vt:lpwstr/>
  </property>
</Properties>
</file>