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D8" w:rsidRPr="00070172" w:rsidRDefault="00C90BD8" w:rsidP="008A476D">
      <w:pPr>
        <w:shd w:val="clear" w:color="auto" w:fill="D9D9D9" w:themeFill="background1" w:themeFillShade="D9"/>
        <w:jc w:val="center"/>
        <w:rPr>
          <w:rFonts w:ascii="Garamond" w:hAnsi="Garamond"/>
          <w:sz w:val="28"/>
          <w:szCs w:val="28"/>
        </w:rPr>
      </w:pPr>
      <w:r w:rsidRPr="00070172">
        <w:rPr>
          <w:rFonts w:ascii="Garamond" w:hAnsi="Garamond"/>
          <w:sz w:val="28"/>
          <w:szCs w:val="28"/>
          <w:lang w:val="pt-BR"/>
        </w:rPr>
        <w:t xml:space="preserve">SOLICITAÇÃO DE FINANCIAMENTO NO AMBITO DO PROGRAMA DO </w:t>
      </w:r>
      <w:r w:rsidRPr="00070172">
        <w:rPr>
          <w:rFonts w:ascii="Garamond" w:hAnsi="Garamond"/>
          <w:sz w:val="28"/>
          <w:szCs w:val="28"/>
        </w:rPr>
        <w:t>HOSPITAL REGIONAL METROPOLITANO DO CEARÁ (HRM)</w:t>
      </w:r>
      <w:r w:rsidR="0036240C" w:rsidRPr="00070172">
        <w:rPr>
          <w:rFonts w:ascii="Garamond" w:hAnsi="Garamond"/>
          <w:sz w:val="28"/>
          <w:szCs w:val="28"/>
        </w:rPr>
        <w:t xml:space="preserve">, CONTRATADO POR MEIO DO REGIME DE PARCERIA PÚBLICO-PRIVADA - </w:t>
      </w:r>
      <w:proofErr w:type="gramStart"/>
      <w:r w:rsidR="0036240C" w:rsidRPr="00070172">
        <w:rPr>
          <w:rFonts w:ascii="Garamond" w:hAnsi="Garamond"/>
          <w:sz w:val="28"/>
          <w:szCs w:val="28"/>
        </w:rPr>
        <w:t>PPP</w:t>
      </w:r>
      <w:proofErr w:type="gramEnd"/>
    </w:p>
    <w:p w:rsidR="0036240C" w:rsidRPr="00070172" w:rsidRDefault="0036240C" w:rsidP="00070172">
      <w:pPr>
        <w:jc w:val="center"/>
        <w:rPr>
          <w:rFonts w:ascii="Garamond" w:hAnsi="Garamond"/>
          <w:sz w:val="28"/>
          <w:szCs w:val="28"/>
          <w:lang w:val="pt-BR"/>
        </w:rPr>
      </w:pPr>
    </w:p>
    <w:p w:rsidR="0036240C" w:rsidRPr="007B3D3E" w:rsidRDefault="0036240C" w:rsidP="0036240C">
      <w:pPr>
        <w:pStyle w:val="ListParagraph"/>
        <w:numPr>
          <w:ilvl w:val="0"/>
          <w:numId w:val="1"/>
        </w:numPr>
        <w:jc w:val="center"/>
        <w:rPr>
          <w:rFonts w:ascii="Garamond" w:hAnsi="Garamond" w:cs="Garamond"/>
          <w:b/>
          <w:bCs/>
          <w:sz w:val="24"/>
          <w:szCs w:val="24"/>
        </w:rPr>
      </w:pPr>
      <w:r w:rsidRPr="007B3D3E">
        <w:rPr>
          <w:rFonts w:ascii="Garamond" w:hAnsi="Garamond" w:cs="Garamond"/>
          <w:b/>
          <w:bCs/>
          <w:sz w:val="24"/>
          <w:szCs w:val="24"/>
        </w:rPr>
        <w:t xml:space="preserve">Dados </w:t>
      </w:r>
      <w:r w:rsidR="008A476D" w:rsidRPr="007B3D3E">
        <w:rPr>
          <w:rFonts w:ascii="Garamond" w:hAnsi="Garamond" w:cs="Garamond"/>
          <w:b/>
          <w:bCs/>
          <w:sz w:val="24"/>
          <w:szCs w:val="24"/>
        </w:rPr>
        <w:t xml:space="preserve">do </w:t>
      </w:r>
      <w:proofErr w:type="spellStart"/>
      <w:r w:rsidR="008A476D" w:rsidRPr="007B3D3E">
        <w:rPr>
          <w:rFonts w:ascii="Garamond" w:hAnsi="Garamond" w:cs="Garamond"/>
          <w:b/>
          <w:bCs/>
          <w:sz w:val="24"/>
          <w:szCs w:val="24"/>
        </w:rPr>
        <w:t>Projeto</w:t>
      </w:r>
      <w:proofErr w:type="spellEnd"/>
    </w:p>
    <w:tbl>
      <w:tblPr>
        <w:tblW w:w="97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579"/>
        <w:gridCol w:w="7121"/>
      </w:tblGrid>
      <w:tr w:rsidR="00C90BD8" w:rsidRPr="007B3D3E" w:rsidTr="0036240C">
        <w:tc>
          <w:tcPr>
            <w:tcW w:w="2522" w:type="dxa"/>
            <w:tcBorders>
              <w:top w:val="dotted" w:sz="4" w:space="0" w:color="auto"/>
              <w:left w:val="dotted" w:sz="4" w:space="0" w:color="auto"/>
              <w:bottom w:val="dotted" w:sz="4" w:space="0" w:color="auto"/>
              <w:right w:val="dotted" w:sz="4" w:space="0" w:color="auto"/>
            </w:tcBorders>
            <w:vAlign w:val="center"/>
          </w:tcPr>
          <w:p w:rsidR="00C90BD8" w:rsidRPr="007B3D3E" w:rsidRDefault="0036240C" w:rsidP="00362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Garamond" w:hAnsi="Garamond" w:cs="Garamond"/>
                <w:b/>
                <w:bCs/>
                <w:sz w:val="24"/>
                <w:szCs w:val="24"/>
              </w:rPr>
            </w:pPr>
            <w:r w:rsidRPr="007B3D3E">
              <w:rPr>
                <w:rFonts w:ascii="Garamond" w:hAnsi="Garamond" w:cs="Garamond"/>
                <w:b/>
                <w:bCs/>
                <w:sz w:val="24"/>
                <w:szCs w:val="24"/>
              </w:rPr>
              <w:t>Programa</w:t>
            </w:r>
            <w:r w:rsidR="00C90BD8" w:rsidRPr="007B3D3E">
              <w:rPr>
                <w:rFonts w:ascii="Garamond" w:hAnsi="Garamond" w:cs="Garamond"/>
                <w:b/>
                <w:bCs/>
                <w:sz w:val="24"/>
                <w:szCs w:val="24"/>
              </w:rPr>
              <w:t>:</w:t>
            </w:r>
          </w:p>
        </w:tc>
        <w:tc>
          <w:tcPr>
            <w:tcW w:w="7178" w:type="dxa"/>
            <w:tcBorders>
              <w:top w:val="dotted" w:sz="4" w:space="0" w:color="auto"/>
              <w:left w:val="dotted" w:sz="4" w:space="0" w:color="auto"/>
              <w:bottom w:val="dotted" w:sz="4" w:space="0" w:color="auto"/>
              <w:right w:val="dotted"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6981"/>
            </w:tblGrid>
            <w:tr w:rsidR="0036240C" w:rsidRPr="007B3D3E">
              <w:trPr>
                <w:trHeight w:val="295"/>
              </w:trPr>
              <w:tc>
                <w:tcPr>
                  <w:tcW w:w="0" w:type="auto"/>
                </w:tcPr>
                <w:p w:rsidR="0036240C" w:rsidRPr="007B3D3E" w:rsidRDefault="008A476D" w:rsidP="008A476D">
                  <w:pPr>
                    <w:autoSpaceDE w:val="0"/>
                    <w:autoSpaceDN w:val="0"/>
                    <w:adjustRightInd w:val="0"/>
                    <w:rPr>
                      <w:rFonts w:ascii="Garamond" w:eastAsiaTheme="minorHAnsi" w:hAnsi="Garamond"/>
                      <w:color w:val="000000"/>
                      <w:sz w:val="24"/>
                      <w:szCs w:val="24"/>
                      <w:lang w:val="pt-BR"/>
                    </w:rPr>
                  </w:pPr>
                  <w:r w:rsidRPr="007B3D3E">
                    <w:rPr>
                      <w:rFonts w:ascii="Garamond" w:eastAsiaTheme="minorHAnsi" w:hAnsi="Garamond"/>
                      <w:color w:val="000000"/>
                      <w:sz w:val="24"/>
                      <w:szCs w:val="24"/>
                      <w:lang w:val="pt-BR"/>
                    </w:rPr>
                    <w:t xml:space="preserve">Programa de Expansão e Melhoria da Assistência Especializada a Saúde </w:t>
                  </w:r>
                  <w:r w:rsidRPr="007B3D3E">
                    <w:rPr>
                      <w:rFonts w:ascii="Garamond" w:eastAsiaTheme="minorHAnsi" w:hAnsi="Garamond"/>
                      <w:b/>
                      <w:color w:val="000000"/>
                      <w:sz w:val="24"/>
                      <w:szCs w:val="24"/>
                      <w:lang w:val="pt-BR"/>
                    </w:rPr>
                    <w:t>PROEXMAES II</w:t>
                  </w:r>
                </w:p>
              </w:tc>
            </w:tr>
          </w:tbl>
          <w:p w:rsidR="00C90BD8" w:rsidRPr="007B3D3E" w:rsidRDefault="00C90BD8" w:rsidP="00BD45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Garamond" w:hAnsi="Garamond" w:cs="Garamond"/>
                <w:b/>
                <w:bCs/>
                <w:sz w:val="24"/>
                <w:szCs w:val="24"/>
                <w:lang w:val="pt-BR"/>
              </w:rPr>
            </w:pPr>
          </w:p>
        </w:tc>
      </w:tr>
      <w:tr w:rsidR="00C90BD8" w:rsidRPr="007B3D3E" w:rsidTr="0036240C">
        <w:trPr>
          <w:trHeight w:val="457"/>
        </w:trPr>
        <w:tc>
          <w:tcPr>
            <w:tcW w:w="2522" w:type="dxa"/>
            <w:tcBorders>
              <w:top w:val="dotted" w:sz="4" w:space="0" w:color="auto"/>
              <w:left w:val="dotted" w:sz="4" w:space="0" w:color="auto"/>
              <w:bottom w:val="dotted" w:sz="4" w:space="0" w:color="auto"/>
              <w:right w:val="dotted" w:sz="4" w:space="0" w:color="auto"/>
            </w:tcBorders>
            <w:vAlign w:val="center"/>
          </w:tcPr>
          <w:p w:rsidR="00C90BD8" w:rsidRPr="007B3D3E" w:rsidRDefault="008A476D" w:rsidP="008A4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Garamond" w:hAnsi="Garamond" w:cs="Garamond"/>
                <w:b/>
                <w:bCs/>
                <w:sz w:val="24"/>
                <w:szCs w:val="24"/>
              </w:rPr>
            </w:pPr>
            <w:r w:rsidRPr="007B3D3E">
              <w:rPr>
                <w:rFonts w:ascii="Garamond" w:hAnsi="Garamond" w:cs="Garamond"/>
                <w:b/>
                <w:bCs/>
                <w:sz w:val="24"/>
                <w:szCs w:val="24"/>
              </w:rPr>
              <w:t xml:space="preserve">Nº do </w:t>
            </w:r>
            <w:proofErr w:type="spellStart"/>
            <w:r w:rsidRPr="007B3D3E">
              <w:rPr>
                <w:rFonts w:ascii="Garamond" w:hAnsi="Garamond" w:cs="Garamond"/>
                <w:b/>
                <w:bCs/>
                <w:sz w:val="24"/>
                <w:szCs w:val="24"/>
              </w:rPr>
              <w:t>Proj</w:t>
            </w:r>
            <w:r w:rsidR="00C90BD8" w:rsidRPr="007B3D3E">
              <w:rPr>
                <w:rFonts w:ascii="Garamond" w:hAnsi="Garamond" w:cs="Garamond"/>
                <w:b/>
                <w:bCs/>
                <w:sz w:val="24"/>
                <w:szCs w:val="24"/>
              </w:rPr>
              <w:t>e</w:t>
            </w:r>
            <w:r w:rsidRPr="007B3D3E">
              <w:rPr>
                <w:rFonts w:ascii="Garamond" w:hAnsi="Garamond" w:cs="Garamond"/>
                <w:b/>
                <w:bCs/>
                <w:sz w:val="24"/>
                <w:szCs w:val="24"/>
              </w:rPr>
              <w:t>t</w:t>
            </w:r>
            <w:r w:rsidR="00C90BD8" w:rsidRPr="007B3D3E">
              <w:rPr>
                <w:rFonts w:ascii="Garamond" w:hAnsi="Garamond" w:cs="Garamond"/>
                <w:b/>
                <w:bCs/>
                <w:sz w:val="24"/>
                <w:szCs w:val="24"/>
              </w:rPr>
              <w:t>o</w:t>
            </w:r>
            <w:proofErr w:type="spellEnd"/>
            <w:r w:rsidR="00C90BD8" w:rsidRPr="007B3D3E">
              <w:rPr>
                <w:rFonts w:ascii="Garamond" w:hAnsi="Garamond" w:cs="Garamond"/>
                <w:b/>
                <w:bCs/>
                <w:sz w:val="24"/>
                <w:szCs w:val="24"/>
              </w:rPr>
              <w:t>:</w:t>
            </w:r>
          </w:p>
        </w:tc>
        <w:tc>
          <w:tcPr>
            <w:tcW w:w="7178" w:type="dxa"/>
            <w:tcBorders>
              <w:top w:val="dotted" w:sz="4" w:space="0" w:color="auto"/>
              <w:left w:val="dotted" w:sz="4" w:space="0" w:color="auto"/>
              <w:bottom w:val="dotted" w:sz="4" w:space="0" w:color="auto"/>
              <w:right w:val="dotted"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176"/>
            </w:tblGrid>
            <w:tr w:rsidR="0036240C" w:rsidRPr="007B3D3E">
              <w:trPr>
                <w:trHeight w:val="157"/>
              </w:trPr>
              <w:tc>
                <w:tcPr>
                  <w:tcW w:w="0" w:type="auto"/>
                </w:tcPr>
                <w:p w:rsidR="0036240C" w:rsidRPr="007B3D3E" w:rsidRDefault="0036240C" w:rsidP="0036240C">
                  <w:pPr>
                    <w:autoSpaceDE w:val="0"/>
                    <w:autoSpaceDN w:val="0"/>
                    <w:adjustRightInd w:val="0"/>
                    <w:rPr>
                      <w:rFonts w:ascii="Garamond" w:eastAsiaTheme="minorHAnsi" w:hAnsi="Garamond"/>
                      <w:color w:val="000000"/>
                      <w:sz w:val="24"/>
                      <w:szCs w:val="24"/>
                      <w:lang w:val="en-US"/>
                    </w:rPr>
                  </w:pPr>
                  <w:r w:rsidRPr="007B3D3E">
                    <w:rPr>
                      <w:rFonts w:ascii="Garamond" w:eastAsiaTheme="minorHAnsi" w:hAnsi="Garamond"/>
                      <w:color w:val="000000"/>
                      <w:sz w:val="24"/>
                      <w:szCs w:val="24"/>
                      <w:lang w:val="en-US"/>
                    </w:rPr>
                    <w:t xml:space="preserve">BR-L1408 </w:t>
                  </w:r>
                </w:p>
              </w:tc>
            </w:tr>
          </w:tbl>
          <w:p w:rsidR="00C90BD8" w:rsidRPr="007B3D3E" w:rsidRDefault="00C90BD8" w:rsidP="00BD45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Garamond" w:hAnsi="Garamond" w:cs="Garamond"/>
                <w:b/>
                <w:bCs/>
                <w:sz w:val="24"/>
                <w:szCs w:val="24"/>
              </w:rPr>
            </w:pPr>
          </w:p>
        </w:tc>
      </w:tr>
      <w:tr w:rsidR="00C90BD8" w:rsidRPr="007B3D3E" w:rsidTr="0036240C">
        <w:trPr>
          <w:trHeight w:val="420"/>
        </w:trPr>
        <w:tc>
          <w:tcPr>
            <w:tcW w:w="2522" w:type="dxa"/>
            <w:tcBorders>
              <w:top w:val="dotted" w:sz="4" w:space="0" w:color="auto"/>
              <w:left w:val="dotted" w:sz="4" w:space="0" w:color="auto"/>
              <w:bottom w:val="dotted" w:sz="4" w:space="0" w:color="auto"/>
              <w:right w:val="dotted"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439"/>
            </w:tblGrid>
            <w:tr w:rsidR="0036240C" w:rsidRPr="005963F8">
              <w:trPr>
                <w:trHeight w:val="159"/>
              </w:trPr>
              <w:tc>
                <w:tcPr>
                  <w:tcW w:w="0" w:type="auto"/>
                </w:tcPr>
                <w:p w:rsidR="0036240C" w:rsidRPr="007B3D3E" w:rsidRDefault="0036240C" w:rsidP="005963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Garamond" w:hAnsi="Garamond" w:cs="Garamond"/>
                      <w:b/>
                      <w:bCs/>
                      <w:sz w:val="24"/>
                      <w:szCs w:val="24"/>
                    </w:rPr>
                  </w:pPr>
                  <w:proofErr w:type="spellStart"/>
                  <w:r w:rsidRPr="007B3D3E">
                    <w:rPr>
                      <w:rFonts w:ascii="Garamond" w:hAnsi="Garamond" w:cs="Garamond"/>
                      <w:b/>
                      <w:bCs/>
                      <w:sz w:val="24"/>
                      <w:szCs w:val="24"/>
                    </w:rPr>
                    <w:t>Prestatario</w:t>
                  </w:r>
                  <w:proofErr w:type="spellEnd"/>
                  <w:r w:rsidR="008A476D" w:rsidRPr="007B3D3E">
                    <w:rPr>
                      <w:rFonts w:ascii="Garamond" w:hAnsi="Garamond" w:cs="Garamond"/>
                      <w:b/>
                      <w:bCs/>
                      <w:sz w:val="24"/>
                      <w:szCs w:val="24"/>
                    </w:rPr>
                    <w:t>/Ex</w:t>
                  </w:r>
                  <w:r w:rsidRPr="007B3D3E">
                    <w:rPr>
                      <w:rFonts w:ascii="Garamond" w:hAnsi="Garamond" w:cs="Garamond"/>
                      <w:b/>
                      <w:bCs/>
                      <w:sz w:val="24"/>
                      <w:szCs w:val="24"/>
                    </w:rPr>
                    <w:t xml:space="preserve">ecutor: </w:t>
                  </w:r>
                </w:p>
              </w:tc>
            </w:tr>
          </w:tbl>
          <w:p w:rsidR="00C90BD8" w:rsidRPr="007B3D3E" w:rsidRDefault="00C90BD8" w:rsidP="00BD45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Garamond" w:hAnsi="Garamond" w:cs="Garamond"/>
                <w:b/>
                <w:bCs/>
                <w:sz w:val="24"/>
                <w:szCs w:val="24"/>
              </w:rPr>
            </w:pPr>
          </w:p>
        </w:tc>
        <w:tc>
          <w:tcPr>
            <w:tcW w:w="7178" w:type="dxa"/>
            <w:tcBorders>
              <w:top w:val="dotted" w:sz="4" w:space="0" w:color="auto"/>
              <w:left w:val="dotted" w:sz="4" w:space="0" w:color="auto"/>
              <w:bottom w:val="dotted" w:sz="4" w:space="0" w:color="auto"/>
              <w:right w:val="dotted"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4261"/>
            </w:tblGrid>
            <w:tr w:rsidR="0036240C" w:rsidRPr="007B3D3E">
              <w:trPr>
                <w:trHeight w:val="157"/>
              </w:trPr>
              <w:tc>
                <w:tcPr>
                  <w:tcW w:w="0" w:type="auto"/>
                </w:tcPr>
                <w:p w:rsidR="0036240C" w:rsidRPr="007B3D3E" w:rsidRDefault="008A476D" w:rsidP="00362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Garamond" w:hAnsi="Garamond" w:cs="Garamond"/>
                      <w:bCs/>
                      <w:sz w:val="24"/>
                      <w:szCs w:val="24"/>
                    </w:rPr>
                  </w:pPr>
                  <w:r w:rsidRPr="007B3D3E">
                    <w:rPr>
                      <w:rFonts w:ascii="Garamond" w:hAnsi="Garamond" w:cs="Garamond"/>
                      <w:bCs/>
                      <w:sz w:val="24"/>
                      <w:szCs w:val="24"/>
                    </w:rPr>
                    <w:t xml:space="preserve">Estado do </w:t>
                  </w:r>
                  <w:r w:rsidR="0036240C" w:rsidRPr="007B3D3E">
                    <w:rPr>
                      <w:rFonts w:ascii="Garamond" w:hAnsi="Garamond" w:cs="Garamond"/>
                      <w:bCs/>
                      <w:sz w:val="24"/>
                      <w:szCs w:val="24"/>
                    </w:rPr>
                    <w:t xml:space="preserve">Ceará </w:t>
                  </w:r>
                </w:p>
              </w:tc>
            </w:tr>
            <w:tr w:rsidR="0036240C" w:rsidRPr="007B3D3E">
              <w:trPr>
                <w:trHeight w:val="157"/>
              </w:trPr>
              <w:tc>
                <w:tcPr>
                  <w:tcW w:w="0" w:type="auto"/>
                </w:tcPr>
                <w:p w:rsidR="0036240C" w:rsidRPr="007B3D3E" w:rsidRDefault="008A476D" w:rsidP="008A4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Garamond" w:hAnsi="Garamond" w:cs="Garamond"/>
                      <w:bCs/>
                      <w:sz w:val="24"/>
                      <w:szCs w:val="24"/>
                      <w:lang w:val="es-ES"/>
                    </w:rPr>
                  </w:pPr>
                  <w:r w:rsidRPr="007B3D3E">
                    <w:rPr>
                      <w:rFonts w:ascii="Garamond" w:hAnsi="Garamond" w:cs="Garamond"/>
                      <w:bCs/>
                      <w:sz w:val="24"/>
                      <w:szCs w:val="24"/>
                      <w:lang w:val="es-ES"/>
                    </w:rPr>
                    <w:t xml:space="preserve">Secretaría Estadual de </w:t>
                  </w:r>
                  <w:proofErr w:type="spellStart"/>
                  <w:r w:rsidRPr="007B3D3E">
                    <w:rPr>
                      <w:rFonts w:ascii="Garamond" w:hAnsi="Garamond" w:cs="Garamond"/>
                      <w:bCs/>
                      <w:sz w:val="24"/>
                      <w:szCs w:val="24"/>
                      <w:lang w:val="es-ES"/>
                    </w:rPr>
                    <w:t>Saúde</w:t>
                  </w:r>
                  <w:proofErr w:type="spellEnd"/>
                  <w:r w:rsidR="0036240C" w:rsidRPr="007B3D3E">
                    <w:rPr>
                      <w:rFonts w:ascii="Garamond" w:hAnsi="Garamond" w:cs="Garamond"/>
                      <w:bCs/>
                      <w:sz w:val="24"/>
                      <w:szCs w:val="24"/>
                      <w:lang w:val="es-ES"/>
                    </w:rPr>
                    <w:t xml:space="preserve"> (SESA</w:t>
                  </w:r>
                  <w:r w:rsidRPr="007B3D3E">
                    <w:rPr>
                      <w:rFonts w:ascii="Garamond" w:hAnsi="Garamond" w:cs="Garamond"/>
                      <w:bCs/>
                      <w:sz w:val="24"/>
                      <w:szCs w:val="24"/>
                      <w:lang w:val="es-ES"/>
                    </w:rPr>
                    <w:t>/</w:t>
                  </w:r>
                  <w:r w:rsidR="0036240C" w:rsidRPr="007B3D3E">
                    <w:rPr>
                      <w:rFonts w:ascii="Garamond" w:hAnsi="Garamond" w:cs="Garamond"/>
                      <w:bCs/>
                      <w:sz w:val="24"/>
                      <w:szCs w:val="24"/>
                      <w:lang w:val="es-ES"/>
                    </w:rPr>
                    <w:t xml:space="preserve">Ceará) </w:t>
                  </w:r>
                </w:p>
              </w:tc>
            </w:tr>
          </w:tbl>
          <w:p w:rsidR="00C90BD8" w:rsidRPr="007B3D3E" w:rsidRDefault="00C90BD8" w:rsidP="00BD45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Garamond" w:hAnsi="Garamond" w:cs="Garamond"/>
                <w:b/>
                <w:bCs/>
                <w:sz w:val="24"/>
                <w:szCs w:val="24"/>
                <w:lang w:val="es-ES"/>
              </w:rPr>
            </w:pPr>
          </w:p>
        </w:tc>
      </w:tr>
      <w:tr w:rsidR="00C90BD8" w:rsidRPr="007B3D3E" w:rsidTr="0036240C">
        <w:trPr>
          <w:trHeight w:val="413"/>
        </w:trPr>
        <w:tc>
          <w:tcPr>
            <w:tcW w:w="2522" w:type="dxa"/>
            <w:tcBorders>
              <w:top w:val="dotted" w:sz="4" w:space="0" w:color="auto"/>
              <w:left w:val="dotted" w:sz="4" w:space="0" w:color="auto"/>
              <w:bottom w:val="dotted" w:sz="4" w:space="0" w:color="auto"/>
              <w:right w:val="dotted" w:sz="4" w:space="0" w:color="auto"/>
            </w:tcBorders>
            <w:vAlign w:val="center"/>
          </w:tcPr>
          <w:p w:rsidR="00C90BD8" w:rsidRPr="007B3D3E" w:rsidRDefault="008A476D" w:rsidP="00BD45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Garamond" w:hAnsi="Garamond" w:cs="Garamond"/>
                <w:b/>
                <w:bCs/>
                <w:sz w:val="24"/>
                <w:szCs w:val="24"/>
              </w:rPr>
            </w:pPr>
            <w:r w:rsidRPr="007B3D3E">
              <w:rPr>
                <w:rFonts w:ascii="Garamond" w:hAnsi="Garamond" w:cs="Garamond"/>
                <w:b/>
                <w:bCs/>
                <w:sz w:val="24"/>
                <w:szCs w:val="24"/>
              </w:rPr>
              <w:t>Valor</w:t>
            </w:r>
            <w:r w:rsidR="0036240C" w:rsidRPr="007B3D3E">
              <w:rPr>
                <w:rFonts w:ascii="Garamond" w:hAnsi="Garamond" w:cs="Garamond"/>
                <w:b/>
                <w:bCs/>
                <w:sz w:val="24"/>
                <w:szCs w:val="24"/>
              </w:rPr>
              <w:t>:</w:t>
            </w:r>
          </w:p>
        </w:tc>
        <w:tc>
          <w:tcPr>
            <w:tcW w:w="7178" w:type="dxa"/>
            <w:tcBorders>
              <w:top w:val="dotted" w:sz="4" w:space="0" w:color="auto"/>
              <w:left w:val="dotted" w:sz="4" w:space="0" w:color="auto"/>
              <w:bottom w:val="dotted" w:sz="4" w:space="0" w:color="auto"/>
              <w:right w:val="dotted"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539"/>
            </w:tblGrid>
            <w:tr w:rsidR="0036240C" w:rsidRPr="007B3D3E">
              <w:trPr>
                <w:trHeight w:val="157"/>
              </w:trPr>
              <w:tc>
                <w:tcPr>
                  <w:tcW w:w="0" w:type="auto"/>
                </w:tcPr>
                <w:p w:rsidR="0036240C" w:rsidRPr="007B3D3E" w:rsidRDefault="0036240C" w:rsidP="0036240C">
                  <w:pPr>
                    <w:autoSpaceDE w:val="0"/>
                    <w:autoSpaceDN w:val="0"/>
                    <w:adjustRightInd w:val="0"/>
                    <w:rPr>
                      <w:rFonts w:ascii="Garamond" w:eastAsiaTheme="minorHAnsi" w:hAnsi="Garamond"/>
                      <w:color w:val="000000"/>
                      <w:sz w:val="24"/>
                      <w:szCs w:val="24"/>
                      <w:lang w:val="es-ES"/>
                    </w:rPr>
                  </w:pPr>
                  <w:r w:rsidRPr="007B3D3E">
                    <w:rPr>
                      <w:rFonts w:ascii="Garamond" w:eastAsiaTheme="minorHAnsi" w:hAnsi="Garamond"/>
                      <w:color w:val="000000"/>
                      <w:sz w:val="24"/>
                      <w:szCs w:val="24"/>
                      <w:lang w:val="es-ES"/>
                    </w:rPr>
                    <w:t xml:space="preserve">BID: </w:t>
                  </w:r>
                  <w:r w:rsidR="00070172" w:rsidRPr="007B3D3E">
                    <w:rPr>
                      <w:rFonts w:ascii="Garamond" w:eastAsiaTheme="minorHAnsi" w:hAnsi="Garamond"/>
                      <w:color w:val="000000"/>
                      <w:sz w:val="24"/>
                      <w:szCs w:val="24"/>
                      <w:lang w:val="es-ES"/>
                    </w:rPr>
                    <w:t xml:space="preserve">  </w:t>
                  </w:r>
                  <w:r w:rsidRPr="007B3D3E">
                    <w:rPr>
                      <w:rFonts w:ascii="Garamond" w:eastAsiaTheme="minorHAnsi" w:hAnsi="Garamond"/>
                      <w:color w:val="000000"/>
                      <w:sz w:val="24"/>
                      <w:szCs w:val="24"/>
                      <w:lang w:val="es-ES"/>
                    </w:rPr>
                    <w:t>US$</w:t>
                  </w:r>
                  <w:r w:rsidR="00070172" w:rsidRPr="007B3D3E">
                    <w:rPr>
                      <w:rFonts w:ascii="Garamond" w:eastAsiaTheme="minorHAnsi" w:hAnsi="Garamond"/>
                      <w:color w:val="000000"/>
                      <w:sz w:val="24"/>
                      <w:szCs w:val="24"/>
                      <w:lang w:val="es-ES"/>
                    </w:rPr>
                    <w:t xml:space="preserve"> </w:t>
                  </w:r>
                  <w:r w:rsidRPr="007B3D3E">
                    <w:rPr>
                      <w:rFonts w:ascii="Garamond" w:eastAsiaTheme="minorHAnsi" w:hAnsi="Garamond"/>
                      <w:color w:val="000000"/>
                      <w:sz w:val="24"/>
                      <w:szCs w:val="24"/>
                      <w:lang w:val="es-ES"/>
                    </w:rPr>
                    <w:t xml:space="preserve">123.000.000 </w:t>
                  </w:r>
                </w:p>
              </w:tc>
            </w:tr>
            <w:tr w:rsidR="0036240C" w:rsidRPr="007B3D3E">
              <w:trPr>
                <w:trHeight w:val="157"/>
              </w:trPr>
              <w:tc>
                <w:tcPr>
                  <w:tcW w:w="0" w:type="auto"/>
                </w:tcPr>
                <w:p w:rsidR="00070172" w:rsidRPr="007B3D3E" w:rsidRDefault="0036240C" w:rsidP="0036240C">
                  <w:pPr>
                    <w:autoSpaceDE w:val="0"/>
                    <w:autoSpaceDN w:val="0"/>
                    <w:adjustRightInd w:val="0"/>
                    <w:rPr>
                      <w:rFonts w:ascii="Garamond" w:eastAsiaTheme="minorHAnsi" w:hAnsi="Garamond"/>
                      <w:color w:val="000000"/>
                      <w:sz w:val="24"/>
                      <w:szCs w:val="24"/>
                      <w:lang w:val="es-ES"/>
                    </w:rPr>
                  </w:pPr>
                  <w:r w:rsidRPr="007B3D3E">
                    <w:rPr>
                      <w:rFonts w:ascii="Garamond" w:eastAsiaTheme="minorHAnsi" w:hAnsi="Garamond"/>
                      <w:color w:val="000000"/>
                      <w:sz w:val="24"/>
                      <w:szCs w:val="24"/>
                      <w:lang w:val="es-ES"/>
                    </w:rPr>
                    <w:t xml:space="preserve">Local: US$ </w:t>
                  </w:r>
                  <w:r w:rsidR="00070172" w:rsidRPr="007B3D3E">
                    <w:rPr>
                      <w:rFonts w:ascii="Garamond" w:eastAsiaTheme="minorHAnsi" w:hAnsi="Garamond"/>
                      <w:color w:val="000000"/>
                      <w:sz w:val="24"/>
                      <w:szCs w:val="24"/>
                      <w:lang w:val="es-ES"/>
                    </w:rPr>
                    <w:t xml:space="preserve"> </w:t>
                  </w:r>
                  <w:r w:rsidRPr="007B3D3E">
                    <w:rPr>
                      <w:rFonts w:ascii="Garamond" w:eastAsiaTheme="minorHAnsi" w:hAnsi="Garamond"/>
                      <w:color w:val="000000"/>
                      <w:sz w:val="24"/>
                      <w:szCs w:val="24"/>
                      <w:lang w:val="es-ES"/>
                    </w:rPr>
                    <w:t>55.000.000</w:t>
                  </w:r>
                </w:p>
                <w:p w:rsidR="0036240C" w:rsidRPr="007B3D3E" w:rsidRDefault="00070172" w:rsidP="0036240C">
                  <w:pPr>
                    <w:autoSpaceDE w:val="0"/>
                    <w:autoSpaceDN w:val="0"/>
                    <w:adjustRightInd w:val="0"/>
                    <w:rPr>
                      <w:rFonts w:ascii="Garamond" w:eastAsiaTheme="minorHAnsi" w:hAnsi="Garamond"/>
                      <w:b/>
                      <w:color w:val="000000"/>
                      <w:sz w:val="24"/>
                      <w:szCs w:val="24"/>
                      <w:lang w:val="es-ES"/>
                    </w:rPr>
                  </w:pPr>
                  <w:r w:rsidRPr="007B3D3E">
                    <w:rPr>
                      <w:rFonts w:ascii="Garamond" w:eastAsiaTheme="minorHAnsi" w:hAnsi="Garamond"/>
                      <w:b/>
                      <w:color w:val="000000"/>
                      <w:sz w:val="24"/>
                      <w:szCs w:val="24"/>
                      <w:lang w:val="es-ES"/>
                    </w:rPr>
                    <w:t>Total:  US$ 178.000.000</w:t>
                  </w:r>
                  <w:r w:rsidR="0036240C" w:rsidRPr="007B3D3E">
                    <w:rPr>
                      <w:rFonts w:ascii="Garamond" w:eastAsiaTheme="minorHAnsi" w:hAnsi="Garamond"/>
                      <w:b/>
                      <w:color w:val="000000"/>
                      <w:sz w:val="24"/>
                      <w:szCs w:val="24"/>
                      <w:lang w:val="es-ES"/>
                    </w:rPr>
                    <w:t xml:space="preserve"> </w:t>
                  </w:r>
                </w:p>
              </w:tc>
            </w:tr>
          </w:tbl>
          <w:p w:rsidR="00C90BD8" w:rsidRPr="007B3D3E" w:rsidRDefault="00C90BD8" w:rsidP="00362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Garamond" w:eastAsiaTheme="minorHAnsi" w:hAnsi="Garamond"/>
                <w:color w:val="000000"/>
                <w:sz w:val="24"/>
                <w:szCs w:val="24"/>
                <w:lang w:val="es-ES"/>
              </w:rPr>
            </w:pPr>
          </w:p>
        </w:tc>
      </w:tr>
    </w:tbl>
    <w:p w:rsidR="0036240C" w:rsidRPr="007B3D3E" w:rsidRDefault="0036240C" w:rsidP="0036240C">
      <w:pPr>
        <w:pStyle w:val="ListParagraph"/>
        <w:ind w:left="1080"/>
        <w:rPr>
          <w:rFonts w:ascii="Garamond" w:hAnsi="Garamond" w:cs="Garamond"/>
          <w:b/>
          <w:bCs/>
          <w:sz w:val="24"/>
          <w:szCs w:val="24"/>
        </w:rPr>
      </w:pPr>
    </w:p>
    <w:p w:rsidR="00070172" w:rsidRPr="007B3D3E" w:rsidRDefault="008A476D" w:rsidP="00070172">
      <w:pPr>
        <w:pStyle w:val="ListParagraph"/>
        <w:numPr>
          <w:ilvl w:val="0"/>
          <w:numId w:val="1"/>
        </w:numPr>
        <w:jc w:val="center"/>
        <w:rPr>
          <w:rFonts w:ascii="Garamond" w:hAnsi="Garamond" w:cs="Garamond"/>
          <w:b/>
          <w:bCs/>
          <w:sz w:val="24"/>
          <w:szCs w:val="24"/>
        </w:rPr>
      </w:pPr>
      <w:r w:rsidRPr="007B3D3E">
        <w:rPr>
          <w:rFonts w:ascii="Garamond" w:hAnsi="Garamond" w:cs="Garamond"/>
          <w:b/>
          <w:bCs/>
          <w:sz w:val="24"/>
          <w:szCs w:val="24"/>
        </w:rPr>
        <w:t>Solicitação</w:t>
      </w:r>
    </w:p>
    <w:p w:rsidR="00070172" w:rsidRPr="007B3D3E" w:rsidRDefault="008A476D" w:rsidP="00E112E9">
      <w:pPr>
        <w:pStyle w:val="Default"/>
        <w:jc w:val="both"/>
        <w:rPr>
          <w:rFonts w:ascii="Garamond" w:hAnsi="Garamond"/>
          <w:lang w:val="pt-BR"/>
        </w:rPr>
      </w:pPr>
      <w:r w:rsidRPr="007B3D3E">
        <w:rPr>
          <w:rFonts w:ascii="Garamond" w:hAnsi="Garamond"/>
          <w:lang w:val="pt-BR"/>
        </w:rPr>
        <w:t>2.1. Reconhecimento, por parte do Banco, do</w:t>
      </w:r>
      <w:r w:rsidR="00070172" w:rsidRPr="007B3D3E">
        <w:rPr>
          <w:rFonts w:ascii="Garamond" w:hAnsi="Garamond"/>
          <w:lang w:val="pt-BR"/>
        </w:rPr>
        <w:t xml:space="preserve"> </w:t>
      </w:r>
      <w:r w:rsidRPr="007B3D3E">
        <w:rPr>
          <w:rFonts w:ascii="Garamond" w:hAnsi="Garamond"/>
          <w:lang w:val="pt-BR"/>
        </w:rPr>
        <w:t>processo</w:t>
      </w:r>
      <w:r w:rsidR="00070172" w:rsidRPr="007B3D3E">
        <w:rPr>
          <w:rFonts w:ascii="Garamond" w:hAnsi="Garamond"/>
          <w:lang w:val="pt-BR"/>
        </w:rPr>
        <w:t xml:space="preserve"> de Contratação de Serviços </w:t>
      </w:r>
      <w:r w:rsidRPr="007B3D3E">
        <w:rPr>
          <w:rFonts w:ascii="Garamond" w:hAnsi="Garamond"/>
          <w:lang w:val="pt-BR"/>
        </w:rPr>
        <w:t xml:space="preserve">de Concessão Administrativa </w:t>
      </w:r>
      <w:r w:rsidR="00070172" w:rsidRPr="007B3D3E">
        <w:rPr>
          <w:rFonts w:ascii="Garamond" w:hAnsi="Garamond"/>
          <w:lang w:val="pt-BR"/>
        </w:rPr>
        <w:t xml:space="preserve">para </w:t>
      </w:r>
      <w:r w:rsidRPr="007B3D3E">
        <w:rPr>
          <w:rFonts w:ascii="Garamond" w:hAnsi="Garamond"/>
          <w:lang w:val="pt-BR"/>
        </w:rPr>
        <w:t>C</w:t>
      </w:r>
      <w:r w:rsidR="00070172" w:rsidRPr="007B3D3E">
        <w:rPr>
          <w:rFonts w:ascii="Garamond" w:hAnsi="Garamond"/>
          <w:lang w:val="pt-BR"/>
        </w:rPr>
        <w:t xml:space="preserve">onstrução, </w:t>
      </w:r>
      <w:r w:rsidRPr="007B3D3E">
        <w:rPr>
          <w:rFonts w:ascii="Garamond" w:hAnsi="Garamond"/>
          <w:lang w:val="pt-BR"/>
        </w:rPr>
        <w:t>fornecimento de Equipamentos, Manutenção e Gestão dos</w:t>
      </w:r>
      <w:r w:rsidR="00E112E9" w:rsidRPr="007B3D3E">
        <w:rPr>
          <w:rFonts w:ascii="Garamond" w:hAnsi="Garamond"/>
          <w:lang w:val="pt-BR"/>
        </w:rPr>
        <w:t xml:space="preserve"> </w:t>
      </w:r>
      <w:r w:rsidR="00070172" w:rsidRPr="007B3D3E">
        <w:rPr>
          <w:rFonts w:ascii="Garamond" w:hAnsi="Garamond"/>
          <w:lang w:val="pt-BR"/>
        </w:rPr>
        <w:t xml:space="preserve">serviços não assistenciais do Hospital Regional Metropolitano do Ceará (HRM), </w:t>
      </w:r>
      <w:r w:rsidRPr="007B3D3E">
        <w:rPr>
          <w:rFonts w:ascii="Garamond" w:hAnsi="Garamond"/>
          <w:lang w:val="pt-BR"/>
        </w:rPr>
        <w:t xml:space="preserve">realizado por meio do </w:t>
      </w:r>
      <w:r w:rsidR="005459DC" w:rsidRPr="007B3D3E">
        <w:rPr>
          <w:rFonts w:ascii="Garamond" w:hAnsi="Garamond"/>
          <w:lang w:val="pt-BR"/>
        </w:rPr>
        <w:t xml:space="preserve">previsto na Lei nº 11.079/2004 – </w:t>
      </w:r>
      <w:r w:rsidR="005963F8">
        <w:rPr>
          <w:rFonts w:ascii="Garamond" w:hAnsi="Garamond"/>
          <w:lang w:val="pt-BR"/>
        </w:rPr>
        <w:t>que i</w:t>
      </w:r>
      <w:r w:rsidR="005963F8" w:rsidRPr="005963F8">
        <w:rPr>
          <w:rFonts w:ascii="Garamond" w:hAnsi="Garamond"/>
          <w:lang w:val="pt-BR"/>
        </w:rPr>
        <w:t xml:space="preserve">nstitui normas gerais para licitação e contratação de </w:t>
      </w:r>
      <w:r w:rsidR="005963F8">
        <w:rPr>
          <w:rFonts w:ascii="Garamond" w:hAnsi="Garamond"/>
          <w:lang w:val="pt-BR"/>
        </w:rPr>
        <w:t>P</w:t>
      </w:r>
      <w:r w:rsidR="005963F8" w:rsidRPr="005963F8">
        <w:rPr>
          <w:rFonts w:ascii="Garamond" w:hAnsi="Garamond"/>
          <w:lang w:val="pt-BR"/>
        </w:rPr>
        <w:t xml:space="preserve">arceria </w:t>
      </w:r>
      <w:r w:rsidR="005963F8">
        <w:rPr>
          <w:rFonts w:ascii="Garamond" w:hAnsi="Garamond"/>
          <w:lang w:val="pt-BR"/>
        </w:rPr>
        <w:t>P</w:t>
      </w:r>
      <w:r w:rsidR="005963F8" w:rsidRPr="005963F8">
        <w:rPr>
          <w:rFonts w:ascii="Garamond" w:hAnsi="Garamond"/>
          <w:lang w:val="pt-BR"/>
        </w:rPr>
        <w:t>úblico-</w:t>
      </w:r>
      <w:r w:rsidR="005963F8">
        <w:rPr>
          <w:rFonts w:ascii="Garamond" w:hAnsi="Garamond"/>
          <w:lang w:val="pt-BR"/>
        </w:rPr>
        <w:t>P</w:t>
      </w:r>
      <w:r w:rsidR="005963F8" w:rsidRPr="005963F8">
        <w:rPr>
          <w:rFonts w:ascii="Garamond" w:hAnsi="Garamond"/>
          <w:lang w:val="pt-BR"/>
        </w:rPr>
        <w:t>rivada no âmbito da administração pública</w:t>
      </w:r>
      <w:r w:rsidR="005963F8" w:rsidRPr="007B3D3E">
        <w:rPr>
          <w:rFonts w:ascii="Garamond" w:hAnsi="Garamond"/>
          <w:lang w:val="pt-BR"/>
        </w:rPr>
        <w:t xml:space="preserve"> </w:t>
      </w:r>
      <w:r w:rsidR="005963F8">
        <w:rPr>
          <w:rFonts w:ascii="Garamond" w:hAnsi="Garamond"/>
          <w:lang w:val="pt-BR"/>
        </w:rPr>
        <w:t>brasileira</w:t>
      </w:r>
      <w:r w:rsidR="00070172" w:rsidRPr="007B3D3E">
        <w:rPr>
          <w:rFonts w:ascii="Garamond" w:hAnsi="Garamond"/>
          <w:lang w:val="pt-BR"/>
        </w:rPr>
        <w:t>.</w:t>
      </w:r>
    </w:p>
    <w:p w:rsidR="00E112E9" w:rsidRPr="007B3D3E" w:rsidRDefault="00E112E9" w:rsidP="00E112E9">
      <w:pPr>
        <w:pStyle w:val="Default"/>
        <w:jc w:val="both"/>
        <w:rPr>
          <w:rFonts w:ascii="Garamond" w:hAnsi="Garamond"/>
          <w:lang w:val="pt-BR"/>
        </w:rPr>
      </w:pPr>
    </w:p>
    <w:p w:rsidR="00E112E9" w:rsidRPr="007B3D3E" w:rsidRDefault="00E112E9" w:rsidP="00E112E9">
      <w:pPr>
        <w:pStyle w:val="Default"/>
        <w:jc w:val="both"/>
        <w:rPr>
          <w:rFonts w:ascii="Garamond" w:hAnsi="Garamond"/>
          <w:lang w:val="pt-BR"/>
        </w:rPr>
      </w:pPr>
      <w:r w:rsidRPr="007B3D3E">
        <w:rPr>
          <w:rFonts w:ascii="Garamond" w:hAnsi="Garamond"/>
          <w:lang w:val="pt-BR"/>
        </w:rPr>
        <w:t xml:space="preserve">2.2. Caso o Banco reconheça o processo como válido, </w:t>
      </w:r>
      <w:r w:rsidR="00031769">
        <w:rPr>
          <w:rFonts w:ascii="Garamond" w:hAnsi="Garamond"/>
          <w:lang w:val="pt-BR"/>
        </w:rPr>
        <w:t>seria elegível para</w:t>
      </w:r>
      <w:r w:rsidRPr="007B3D3E">
        <w:rPr>
          <w:rFonts w:ascii="Garamond" w:hAnsi="Garamond"/>
          <w:lang w:val="pt-BR"/>
        </w:rPr>
        <w:t xml:space="preserve"> financiamento</w:t>
      </w:r>
      <w:r w:rsidR="00031769">
        <w:rPr>
          <w:rFonts w:ascii="Garamond" w:hAnsi="Garamond"/>
          <w:lang w:val="pt-BR"/>
        </w:rPr>
        <w:t xml:space="preserve"> o valor de</w:t>
      </w:r>
      <w:r w:rsidR="005963F8">
        <w:rPr>
          <w:rFonts w:ascii="Garamond" w:hAnsi="Garamond"/>
          <w:lang w:val="pt-BR"/>
        </w:rPr>
        <w:t xml:space="preserve"> </w:t>
      </w:r>
      <w:r w:rsidR="00031769">
        <w:rPr>
          <w:rFonts w:ascii="Garamond" w:hAnsi="Garamond"/>
          <w:lang w:val="pt-BR"/>
        </w:rPr>
        <w:t xml:space="preserve">US$ </w:t>
      </w:r>
      <w:proofErr w:type="gramStart"/>
      <w:r w:rsidR="00031769">
        <w:rPr>
          <w:rFonts w:ascii="Garamond" w:hAnsi="Garamond"/>
          <w:lang w:val="pt-BR"/>
        </w:rPr>
        <w:t>6,</w:t>
      </w:r>
      <w:proofErr w:type="gramEnd"/>
      <w:r w:rsidR="00031769">
        <w:rPr>
          <w:rFonts w:ascii="Garamond" w:hAnsi="Garamond"/>
          <w:lang w:val="pt-BR"/>
        </w:rPr>
        <w:t>095,130</w:t>
      </w:r>
      <w:r w:rsidR="005963F8">
        <w:rPr>
          <w:rFonts w:ascii="Garamond" w:hAnsi="Garamond"/>
          <w:lang w:val="pt-BR"/>
        </w:rPr>
        <w:t xml:space="preserve"> referente </w:t>
      </w:r>
      <w:r w:rsidR="007F4326">
        <w:rPr>
          <w:rFonts w:ascii="Garamond" w:hAnsi="Garamond"/>
          <w:lang w:val="pt-BR"/>
        </w:rPr>
        <w:t>à</w:t>
      </w:r>
      <w:r w:rsidR="005963F8">
        <w:rPr>
          <w:rFonts w:ascii="Garamond" w:hAnsi="Garamond"/>
          <w:lang w:val="pt-BR"/>
        </w:rPr>
        <w:t xml:space="preserve"> Etapa 2 </w:t>
      </w:r>
      <w:r w:rsidR="007F4326">
        <w:rPr>
          <w:rFonts w:ascii="Garamond" w:hAnsi="Garamond"/>
          <w:lang w:val="pt-BR"/>
        </w:rPr>
        <w:t>(</w:t>
      </w:r>
      <w:r w:rsidR="007F4326" w:rsidRPr="007B3D3E">
        <w:rPr>
          <w:rFonts w:ascii="Garamond" w:hAnsi="Garamond"/>
          <w:lang w:val="pt-BR"/>
        </w:rPr>
        <w:t>serviços de limpeza do terreno e terraplenagem</w:t>
      </w:r>
      <w:r w:rsidR="007F4326">
        <w:rPr>
          <w:rFonts w:ascii="Garamond" w:hAnsi="Garamond"/>
          <w:lang w:val="pt-BR"/>
        </w:rPr>
        <w:t xml:space="preserve">) </w:t>
      </w:r>
      <w:r w:rsidRPr="007B3D3E">
        <w:rPr>
          <w:rFonts w:ascii="Garamond" w:hAnsi="Garamond"/>
          <w:lang w:val="pt-BR"/>
        </w:rPr>
        <w:t xml:space="preserve">e </w:t>
      </w:r>
      <w:r w:rsidR="00031769">
        <w:rPr>
          <w:rFonts w:ascii="Garamond" w:hAnsi="Garamond"/>
          <w:lang w:val="pt-BR"/>
        </w:rPr>
        <w:t xml:space="preserve">a </w:t>
      </w:r>
      <w:r w:rsidRPr="007B3D3E">
        <w:rPr>
          <w:rFonts w:ascii="Garamond" w:hAnsi="Garamond"/>
          <w:lang w:val="pt-BR"/>
        </w:rPr>
        <w:t xml:space="preserve"> contrapartida d</w:t>
      </w:r>
      <w:r w:rsidR="007F4326">
        <w:rPr>
          <w:rFonts w:ascii="Garamond" w:hAnsi="Garamond"/>
          <w:lang w:val="pt-BR"/>
        </w:rPr>
        <w:t xml:space="preserve">os </w:t>
      </w:r>
      <w:r w:rsidR="00031769">
        <w:rPr>
          <w:rFonts w:ascii="Garamond" w:hAnsi="Garamond"/>
          <w:lang w:val="pt-BR"/>
        </w:rPr>
        <w:t>US$</w:t>
      </w:r>
      <w:r w:rsidR="007F4326">
        <w:rPr>
          <w:rFonts w:ascii="Garamond" w:hAnsi="Garamond"/>
          <w:lang w:val="pt-BR"/>
        </w:rPr>
        <w:t xml:space="preserve"> </w:t>
      </w:r>
      <w:proofErr w:type="gramStart"/>
      <w:r w:rsidR="007F4326">
        <w:rPr>
          <w:rFonts w:ascii="Garamond" w:hAnsi="Garamond"/>
          <w:lang w:val="pt-BR"/>
        </w:rPr>
        <w:t>55</w:t>
      </w:r>
      <w:r w:rsidR="00031769">
        <w:rPr>
          <w:rFonts w:ascii="Garamond" w:hAnsi="Garamond"/>
          <w:lang w:val="pt-BR"/>
        </w:rPr>
        <w:t>,</w:t>
      </w:r>
      <w:proofErr w:type="gramEnd"/>
      <w:r w:rsidR="00031769">
        <w:rPr>
          <w:rFonts w:ascii="Garamond" w:hAnsi="Garamond"/>
          <w:lang w:val="pt-BR"/>
        </w:rPr>
        <w:t>000,000</w:t>
      </w:r>
      <w:r w:rsidR="007F4326">
        <w:rPr>
          <w:rFonts w:ascii="Garamond" w:hAnsi="Garamond"/>
          <w:lang w:val="pt-BR"/>
        </w:rPr>
        <w:t xml:space="preserve"> previstos </w:t>
      </w:r>
      <w:r w:rsidR="00031769">
        <w:rPr>
          <w:rFonts w:ascii="Garamond" w:hAnsi="Garamond"/>
          <w:lang w:val="pt-BR"/>
        </w:rPr>
        <w:t>como</w:t>
      </w:r>
      <w:r w:rsidR="007F4326">
        <w:rPr>
          <w:rFonts w:ascii="Garamond" w:hAnsi="Garamond"/>
          <w:lang w:val="pt-BR"/>
        </w:rPr>
        <w:t xml:space="preserve"> aporte do Estado</w:t>
      </w:r>
      <w:r w:rsidR="00031769">
        <w:rPr>
          <w:rFonts w:ascii="Garamond" w:hAnsi="Garamond"/>
          <w:lang w:val="pt-BR"/>
        </w:rPr>
        <w:t xml:space="preserve"> no projeto.</w:t>
      </w:r>
      <w:r w:rsidR="007F4326">
        <w:rPr>
          <w:rFonts w:ascii="Garamond" w:hAnsi="Garamond"/>
          <w:lang w:val="pt-BR"/>
        </w:rPr>
        <w:t xml:space="preserve"> Esses dois</w:t>
      </w:r>
      <w:r w:rsidR="005963F8">
        <w:rPr>
          <w:rFonts w:ascii="Garamond" w:hAnsi="Garamond"/>
          <w:lang w:val="pt-BR"/>
        </w:rPr>
        <w:t xml:space="preserve"> valores são parte do CAPEX (</w:t>
      </w:r>
      <w:r w:rsidR="005963F8" w:rsidRPr="005963F8">
        <w:rPr>
          <w:rFonts w:ascii="Garamond" w:hAnsi="Garamond"/>
          <w:i/>
          <w:lang w:val="pt-BR"/>
        </w:rPr>
        <w:t xml:space="preserve">capital </w:t>
      </w:r>
      <w:proofErr w:type="spellStart"/>
      <w:r w:rsidR="005963F8" w:rsidRPr="005963F8">
        <w:rPr>
          <w:rFonts w:ascii="Garamond" w:hAnsi="Garamond"/>
          <w:i/>
          <w:lang w:val="pt-BR"/>
        </w:rPr>
        <w:t>expenditure</w:t>
      </w:r>
      <w:proofErr w:type="spellEnd"/>
      <w:r w:rsidR="005963F8" w:rsidRPr="007B3D3E">
        <w:rPr>
          <w:rFonts w:ascii="Garamond" w:hAnsi="Garamond"/>
          <w:lang w:val="pt-BR"/>
        </w:rPr>
        <w:t xml:space="preserve"> </w:t>
      </w:r>
      <w:r w:rsidR="005963F8">
        <w:rPr>
          <w:rFonts w:ascii="Garamond" w:hAnsi="Garamond"/>
          <w:lang w:val="pt-BR"/>
        </w:rPr>
        <w:t>-</w:t>
      </w:r>
      <w:r w:rsidR="005963F8" w:rsidRPr="009F5433">
        <w:rPr>
          <w:rFonts w:ascii="Garamond" w:hAnsi="Garamond"/>
          <w:lang w:val="pt-BR"/>
        </w:rPr>
        <w:t xml:space="preserve"> montante de investimentos realizados em equipamentos e instalações </w:t>
      </w:r>
      <w:r w:rsidR="005963F8">
        <w:rPr>
          <w:rFonts w:ascii="Garamond" w:hAnsi="Garamond"/>
          <w:lang w:val="pt-BR"/>
        </w:rPr>
        <w:t>do HRM</w:t>
      </w:r>
      <w:r w:rsidR="00B63CC9">
        <w:rPr>
          <w:rFonts w:ascii="Garamond" w:hAnsi="Garamond"/>
          <w:lang w:val="pt-BR"/>
        </w:rPr>
        <w:t>) da PPP</w:t>
      </w:r>
      <w:r w:rsidRPr="007B3D3E">
        <w:rPr>
          <w:rFonts w:ascii="Garamond" w:hAnsi="Garamond"/>
          <w:lang w:val="pt-BR"/>
        </w:rPr>
        <w:t>.</w:t>
      </w:r>
    </w:p>
    <w:p w:rsidR="00E112E9" w:rsidRPr="007B3D3E" w:rsidRDefault="00E112E9" w:rsidP="00E112E9">
      <w:pPr>
        <w:pStyle w:val="Default"/>
        <w:jc w:val="both"/>
        <w:rPr>
          <w:rFonts w:ascii="Garamond" w:hAnsi="Garamond"/>
          <w:lang w:val="pt-BR"/>
        </w:rPr>
      </w:pPr>
    </w:p>
    <w:p w:rsidR="006F6FCF" w:rsidRPr="007B3D3E" w:rsidRDefault="00E112E9" w:rsidP="006F6FCF">
      <w:pPr>
        <w:pStyle w:val="ListParagraph"/>
        <w:numPr>
          <w:ilvl w:val="0"/>
          <w:numId w:val="1"/>
        </w:numPr>
        <w:jc w:val="center"/>
        <w:rPr>
          <w:rFonts w:ascii="Garamond" w:hAnsi="Garamond" w:cs="Garamond"/>
          <w:b/>
          <w:bCs/>
          <w:sz w:val="24"/>
          <w:szCs w:val="24"/>
        </w:rPr>
      </w:pPr>
      <w:r w:rsidRPr="007B3D3E">
        <w:rPr>
          <w:rFonts w:ascii="Garamond" w:hAnsi="Garamond" w:cs="Garamond"/>
          <w:b/>
          <w:bCs/>
          <w:sz w:val="24"/>
          <w:szCs w:val="24"/>
        </w:rPr>
        <w:t xml:space="preserve">O </w:t>
      </w:r>
      <w:r w:rsidR="006F6FCF" w:rsidRPr="007B3D3E">
        <w:rPr>
          <w:rFonts w:ascii="Garamond" w:hAnsi="Garamond" w:cs="Garamond"/>
          <w:b/>
          <w:bCs/>
          <w:sz w:val="24"/>
          <w:szCs w:val="24"/>
        </w:rPr>
        <w:t>Proce</w:t>
      </w:r>
      <w:r w:rsidRPr="007B3D3E">
        <w:rPr>
          <w:rFonts w:ascii="Garamond" w:hAnsi="Garamond" w:cs="Garamond"/>
          <w:b/>
          <w:bCs/>
          <w:sz w:val="24"/>
          <w:szCs w:val="24"/>
        </w:rPr>
        <w:t>s</w:t>
      </w:r>
      <w:r w:rsidR="006F6FCF" w:rsidRPr="007B3D3E">
        <w:rPr>
          <w:rFonts w:ascii="Garamond" w:hAnsi="Garamond" w:cs="Garamond"/>
          <w:b/>
          <w:bCs/>
          <w:sz w:val="24"/>
          <w:szCs w:val="24"/>
        </w:rPr>
        <w:t>so de Contrata</w:t>
      </w:r>
      <w:r w:rsidRPr="007B3D3E">
        <w:rPr>
          <w:rFonts w:ascii="Garamond" w:hAnsi="Garamond" w:cs="Garamond"/>
          <w:b/>
          <w:bCs/>
          <w:sz w:val="24"/>
          <w:szCs w:val="24"/>
        </w:rPr>
        <w:t>ção</w:t>
      </w:r>
      <w:r w:rsidR="006F6FCF" w:rsidRPr="007B3D3E">
        <w:rPr>
          <w:rFonts w:ascii="Garamond" w:hAnsi="Garamond" w:cs="Garamond"/>
          <w:b/>
          <w:bCs/>
          <w:sz w:val="24"/>
          <w:szCs w:val="24"/>
        </w:rPr>
        <w:t xml:space="preserve"> </w:t>
      </w:r>
    </w:p>
    <w:p w:rsidR="00E112E9" w:rsidRPr="007B3D3E" w:rsidRDefault="00E112E9" w:rsidP="001D3B24">
      <w:pPr>
        <w:spacing w:before="100" w:beforeAutospacing="1" w:after="100" w:afterAutospacing="1"/>
        <w:jc w:val="both"/>
        <w:rPr>
          <w:rFonts w:ascii="Garamond" w:eastAsiaTheme="minorHAnsi" w:hAnsi="Garamond"/>
          <w:sz w:val="24"/>
          <w:szCs w:val="24"/>
          <w:lang w:val="pt-BR"/>
        </w:rPr>
      </w:pPr>
      <w:r w:rsidRPr="007B3D3E">
        <w:rPr>
          <w:rFonts w:ascii="Garamond" w:eastAsiaTheme="minorHAnsi" w:hAnsi="Garamond"/>
          <w:color w:val="000000"/>
          <w:sz w:val="24"/>
          <w:szCs w:val="24"/>
          <w:lang w:val="pt-BR"/>
        </w:rPr>
        <w:t xml:space="preserve">3.1. O processo foi realizado com base na Lei </w:t>
      </w:r>
      <w:r w:rsidRPr="007B3D3E">
        <w:rPr>
          <w:rFonts w:ascii="Garamond" w:eastAsiaTheme="minorHAnsi" w:hAnsi="Garamond"/>
          <w:sz w:val="24"/>
          <w:szCs w:val="24"/>
          <w:lang w:val="pt-BR"/>
        </w:rPr>
        <w:t>nº 11.079, de 30 de dezembro de 2004. O processo contempla as seguintes fases:</w:t>
      </w:r>
    </w:p>
    <w:p w:rsidR="007B3102" w:rsidRPr="007B3D3E" w:rsidRDefault="00E112E9" w:rsidP="007B3D3E">
      <w:pPr>
        <w:pStyle w:val="Default"/>
        <w:ind w:left="360"/>
        <w:jc w:val="both"/>
        <w:rPr>
          <w:rFonts w:ascii="Garamond" w:hAnsi="Garamond"/>
          <w:lang w:val="pt-BR"/>
        </w:rPr>
      </w:pPr>
      <w:r w:rsidRPr="007B3D3E">
        <w:rPr>
          <w:rFonts w:ascii="Garamond" w:hAnsi="Garamond"/>
          <w:lang w:val="pt-BR"/>
        </w:rPr>
        <w:t xml:space="preserve">1. O Governo do Estado do Ceará publicou em 30 de setembro de 2011 chamamento público (Aviso) para apresentação de Manifestação de Interesse pelo </w:t>
      </w:r>
      <w:r w:rsidR="00E652C4">
        <w:rPr>
          <w:rFonts w:ascii="Garamond" w:hAnsi="Garamond"/>
          <w:lang w:val="pt-BR"/>
        </w:rPr>
        <w:t>empreendimento</w:t>
      </w:r>
      <w:r w:rsidRPr="007B3D3E">
        <w:rPr>
          <w:rFonts w:ascii="Garamond" w:hAnsi="Garamond"/>
          <w:lang w:val="pt-BR"/>
        </w:rPr>
        <w:t xml:space="preserve"> (Procedimento de Manifestação de Interesse - PMI). O valor máximo </w:t>
      </w:r>
      <w:r w:rsidRPr="007B3D3E">
        <w:rPr>
          <w:rFonts w:ascii="Garamond" w:hAnsi="Garamond"/>
          <w:color w:val="auto"/>
          <w:lang w:val="pt-BR"/>
        </w:rPr>
        <w:t>de ressarcimento dos estudos definido no edital de PMI foi de R$ 1.000.000,00</w:t>
      </w:r>
      <w:r w:rsidR="001D3B24" w:rsidRPr="007B3D3E">
        <w:rPr>
          <w:rFonts w:ascii="Garamond" w:hAnsi="Garamond"/>
          <w:lang w:val="pt-BR"/>
        </w:rPr>
        <w:t>;</w:t>
      </w:r>
      <w:r w:rsidR="007B3102" w:rsidRPr="007B3D3E">
        <w:rPr>
          <w:rFonts w:ascii="Garamond" w:hAnsi="Garamond"/>
          <w:lang w:val="pt-BR"/>
        </w:rPr>
        <w:t xml:space="preserve"> </w:t>
      </w:r>
    </w:p>
    <w:p w:rsidR="007B3102" w:rsidRPr="007B3D3E" w:rsidRDefault="007B3102" w:rsidP="001C46A2">
      <w:pPr>
        <w:pStyle w:val="ListParagraph"/>
        <w:numPr>
          <w:ilvl w:val="0"/>
          <w:numId w:val="5"/>
        </w:numPr>
        <w:autoSpaceDE w:val="0"/>
        <w:autoSpaceDN w:val="0"/>
        <w:adjustRightInd w:val="0"/>
        <w:jc w:val="both"/>
        <w:rPr>
          <w:rFonts w:ascii="Garamond" w:eastAsiaTheme="minorHAnsi" w:hAnsi="Garamond"/>
          <w:color w:val="000000"/>
          <w:sz w:val="24"/>
          <w:szCs w:val="24"/>
          <w:lang w:val="pt-BR"/>
        </w:rPr>
      </w:pPr>
      <w:r w:rsidRPr="007B3D3E">
        <w:rPr>
          <w:rFonts w:ascii="Garamond" w:eastAsiaTheme="minorHAnsi" w:hAnsi="Garamond"/>
          <w:color w:val="000000"/>
          <w:sz w:val="24"/>
          <w:szCs w:val="24"/>
          <w:lang w:val="pt-BR"/>
        </w:rPr>
        <w:t xml:space="preserve">PMI - Mecanismo no qual o particular apresenta ao Estado estudos de viabilidade sobre </w:t>
      </w:r>
      <w:r w:rsidR="00E652C4">
        <w:rPr>
          <w:rFonts w:ascii="Garamond" w:eastAsiaTheme="minorHAnsi" w:hAnsi="Garamond"/>
          <w:color w:val="000000"/>
          <w:sz w:val="24"/>
          <w:szCs w:val="24"/>
          <w:lang w:val="pt-BR"/>
        </w:rPr>
        <w:t xml:space="preserve">empreendimentos </w:t>
      </w:r>
      <w:r w:rsidRPr="007B3D3E">
        <w:rPr>
          <w:rFonts w:ascii="Garamond" w:eastAsiaTheme="minorHAnsi" w:hAnsi="Garamond"/>
          <w:color w:val="000000"/>
          <w:sz w:val="24"/>
          <w:szCs w:val="24"/>
          <w:lang w:val="pt-BR"/>
        </w:rPr>
        <w:t xml:space="preserve">de infraestrutura que possam interessá-lo, de forma a moldar a eventual parceria futura. </w:t>
      </w:r>
    </w:p>
    <w:p w:rsidR="007B3102" w:rsidRPr="007B3D3E" w:rsidRDefault="007B3102" w:rsidP="001C46A2">
      <w:pPr>
        <w:pStyle w:val="ListParagraph"/>
        <w:numPr>
          <w:ilvl w:val="0"/>
          <w:numId w:val="5"/>
        </w:numPr>
        <w:autoSpaceDE w:val="0"/>
        <w:autoSpaceDN w:val="0"/>
        <w:adjustRightInd w:val="0"/>
        <w:jc w:val="both"/>
        <w:rPr>
          <w:rFonts w:ascii="Garamond" w:eastAsiaTheme="minorHAnsi" w:hAnsi="Garamond"/>
          <w:color w:val="000000"/>
          <w:sz w:val="24"/>
          <w:szCs w:val="24"/>
          <w:lang w:val="pt-BR"/>
        </w:rPr>
      </w:pPr>
      <w:r w:rsidRPr="007B3D3E">
        <w:rPr>
          <w:rFonts w:ascii="Garamond" w:eastAsiaTheme="minorHAnsi" w:hAnsi="Garamond"/>
          <w:color w:val="000000"/>
          <w:sz w:val="24"/>
          <w:szCs w:val="24"/>
          <w:lang w:val="pt-BR"/>
        </w:rPr>
        <w:t xml:space="preserve">PMI acontece na etapa prévia </w:t>
      </w:r>
      <w:r w:rsidR="00964650">
        <w:rPr>
          <w:rFonts w:ascii="Garamond" w:eastAsiaTheme="minorHAnsi" w:hAnsi="Garamond"/>
          <w:color w:val="000000"/>
          <w:sz w:val="24"/>
          <w:szCs w:val="24"/>
          <w:lang w:val="pt-BR"/>
        </w:rPr>
        <w:t>ao processo de</w:t>
      </w:r>
      <w:proofErr w:type="gramStart"/>
      <w:r w:rsidR="00964650">
        <w:rPr>
          <w:rFonts w:ascii="Garamond" w:eastAsiaTheme="minorHAnsi" w:hAnsi="Garamond"/>
          <w:color w:val="000000"/>
          <w:sz w:val="24"/>
          <w:szCs w:val="24"/>
          <w:lang w:val="pt-BR"/>
        </w:rPr>
        <w:t xml:space="preserve"> </w:t>
      </w:r>
      <w:r w:rsidRPr="007B3D3E">
        <w:rPr>
          <w:rFonts w:ascii="Garamond" w:eastAsiaTheme="minorHAnsi" w:hAnsi="Garamond"/>
          <w:color w:val="000000"/>
          <w:sz w:val="24"/>
          <w:szCs w:val="24"/>
          <w:lang w:val="pt-BR"/>
        </w:rPr>
        <w:t xml:space="preserve"> </w:t>
      </w:r>
      <w:proofErr w:type="gramEnd"/>
      <w:r w:rsidRPr="007B3D3E">
        <w:rPr>
          <w:rFonts w:ascii="Garamond" w:eastAsiaTheme="minorHAnsi" w:hAnsi="Garamond"/>
          <w:color w:val="000000"/>
          <w:sz w:val="24"/>
          <w:szCs w:val="24"/>
          <w:lang w:val="pt-BR"/>
        </w:rPr>
        <w:t>licitação</w:t>
      </w:r>
      <w:r w:rsidR="00964650">
        <w:rPr>
          <w:rFonts w:ascii="Garamond" w:eastAsiaTheme="minorHAnsi" w:hAnsi="Garamond"/>
          <w:color w:val="000000"/>
          <w:sz w:val="24"/>
          <w:szCs w:val="24"/>
          <w:lang w:val="pt-BR"/>
        </w:rPr>
        <w:t>/concorrência para a celebração da</w:t>
      </w:r>
      <w:r w:rsidRPr="007B3D3E">
        <w:rPr>
          <w:rFonts w:ascii="Garamond" w:eastAsiaTheme="minorHAnsi" w:hAnsi="Garamond"/>
          <w:color w:val="000000"/>
          <w:sz w:val="24"/>
          <w:szCs w:val="24"/>
          <w:lang w:val="pt-BR"/>
        </w:rPr>
        <w:t xml:space="preserve"> PPP, antes da elaboração do edital e contrato.</w:t>
      </w:r>
    </w:p>
    <w:p w:rsidR="007B3102" w:rsidRPr="007B3D3E" w:rsidRDefault="007B3102" w:rsidP="001C46A2">
      <w:pPr>
        <w:pStyle w:val="ListParagraph"/>
        <w:numPr>
          <w:ilvl w:val="0"/>
          <w:numId w:val="5"/>
        </w:numPr>
        <w:autoSpaceDE w:val="0"/>
        <w:autoSpaceDN w:val="0"/>
        <w:adjustRightInd w:val="0"/>
        <w:jc w:val="both"/>
        <w:rPr>
          <w:rFonts w:ascii="Garamond" w:eastAsiaTheme="minorHAnsi" w:hAnsi="Garamond"/>
          <w:color w:val="000000"/>
          <w:sz w:val="24"/>
          <w:szCs w:val="24"/>
          <w:lang w:val="pt-BR"/>
        </w:rPr>
      </w:pPr>
      <w:r w:rsidRPr="007B3D3E">
        <w:rPr>
          <w:rFonts w:ascii="Garamond" w:eastAsiaTheme="minorHAnsi" w:hAnsi="Garamond"/>
          <w:color w:val="000000"/>
          <w:sz w:val="24"/>
          <w:szCs w:val="24"/>
          <w:lang w:val="pt-BR"/>
        </w:rPr>
        <w:t xml:space="preserve">Através do PMI, o </w:t>
      </w:r>
      <w:r w:rsidR="00964650">
        <w:rPr>
          <w:rFonts w:ascii="Garamond" w:eastAsiaTheme="minorHAnsi" w:hAnsi="Garamond"/>
          <w:color w:val="000000"/>
          <w:sz w:val="24"/>
          <w:szCs w:val="24"/>
          <w:lang w:val="pt-BR"/>
        </w:rPr>
        <w:t xml:space="preserve">Governo recebe propostas de </w:t>
      </w:r>
      <w:r w:rsidR="00957C34">
        <w:rPr>
          <w:rFonts w:ascii="Garamond" w:eastAsiaTheme="minorHAnsi" w:hAnsi="Garamond"/>
          <w:color w:val="000000"/>
          <w:sz w:val="24"/>
          <w:szCs w:val="24"/>
          <w:lang w:val="pt-BR"/>
        </w:rPr>
        <w:t>pré-projetos</w:t>
      </w:r>
      <w:r w:rsidR="00964650">
        <w:rPr>
          <w:rFonts w:ascii="Garamond" w:eastAsiaTheme="minorHAnsi" w:hAnsi="Garamond"/>
          <w:color w:val="000000"/>
          <w:sz w:val="24"/>
          <w:szCs w:val="24"/>
          <w:lang w:val="pt-BR"/>
        </w:rPr>
        <w:t xml:space="preserve"> e estudos para o empreendimento, sem custos. Após o recebimento analisa os mesmos e seleciona o considerado mais adequado. Na fase subsequente – </w:t>
      </w:r>
      <w:r w:rsidR="00957C34">
        <w:rPr>
          <w:rFonts w:ascii="Garamond" w:eastAsiaTheme="minorHAnsi" w:hAnsi="Garamond"/>
          <w:color w:val="000000"/>
          <w:sz w:val="24"/>
          <w:szCs w:val="24"/>
          <w:lang w:val="pt-BR"/>
        </w:rPr>
        <w:t>concorrência</w:t>
      </w:r>
      <w:r w:rsidR="00964650">
        <w:rPr>
          <w:rFonts w:ascii="Garamond" w:eastAsiaTheme="minorHAnsi" w:hAnsi="Garamond"/>
          <w:color w:val="000000"/>
          <w:sz w:val="24"/>
          <w:szCs w:val="24"/>
          <w:lang w:val="pt-BR"/>
        </w:rPr>
        <w:t xml:space="preserve"> aberta, estes projetos e estudos são disponibilizados a todos os licitantes.</w:t>
      </w:r>
    </w:p>
    <w:p w:rsidR="00E112E9" w:rsidRPr="007B3D3E" w:rsidRDefault="007B3102" w:rsidP="001C46A2">
      <w:pPr>
        <w:pStyle w:val="ListParagraph"/>
        <w:numPr>
          <w:ilvl w:val="0"/>
          <w:numId w:val="5"/>
        </w:numPr>
        <w:autoSpaceDE w:val="0"/>
        <w:autoSpaceDN w:val="0"/>
        <w:adjustRightInd w:val="0"/>
        <w:jc w:val="both"/>
        <w:rPr>
          <w:rFonts w:ascii="Garamond" w:eastAsiaTheme="minorHAnsi" w:hAnsi="Garamond"/>
          <w:color w:val="000000"/>
          <w:sz w:val="24"/>
          <w:szCs w:val="24"/>
          <w:lang w:val="pt-BR"/>
        </w:rPr>
      </w:pPr>
      <w:r w:rsidRPr="007B3D3E">
        <w:rPr>
          <w:rFonts w:ascii="Garamond" w:eastAsiaTheme="minorHAnsi" w:hAnsi="Garamond"/>
          <w:color w:val="000000"/>
          <w:sz w:val="24"/>
          <w:szCs w:val="24"/>
          <w:lang w:val="pt-BR"/>
        </w:rPr>
        <w:t xml:space="preserve">Até o ano de 2014, </w:t>
      </w:r>
      <w:r w:rsidR="00964650">
        <w:rPr>
          <w:rFonts w:ascii="Garamond" w:eastAsiaTheme="minorHAnsi" w:hAnsi="Garamond"/>
          <w:color w:val="000000"/>
          <w:sz w:val="24"/>
          <w:szCs w:val="24"/>
          <w:lang w:val="pt-BR"/>
        </w:rPr>
        <w:t>no Brasil, to</w:t>
      </w:r>
      <w:r w:rsidRPr="007B3D3E">
        <w:rPr>
          <w:rFonts w:ascii="Garamond" w:eastAsiaTheme="minorHAnsi" w:hAnsi="Garamond"/>
          <w:color w:val="000000"/>
          <w:sz w:val="24"/>
          <w:szCs w:val="24"/>
          <w:lang w:val="pt-BR"/>
        </w:rPr>
        <w:t xml:space="preserve">dos </w:t>
      </w:r>
      <w:r w:rsidR="00964650">
        <w:rPr>
          <w:rFonts w:ascii="Garamond" w:eastAsiaTheme="minorHAnsi" w:hAnsi="Garamond"/>
          <w:color w:val="000000"/>
          <w:sz w:val="24"/>
          <w:szCs w:val="24"/>
          <w:lang w:val="pt-BR"/>
        </w:rPr>
        <w:t xml:space="preserve">os </w:t>
      </w:r>
      <w:r w:rsidRPr="007B3D3E">
        <w:rPr>
          <w:rFonts w:ascii="Garamond" w:eastAsiaTheme="minorHAnsi" w:hAnsi="Garamond"/>
          <w:color w:val="000000"/>
          <w:sz w:val="24"/>
          <w:szCs w:val="24"/>
          <w:lang w:val="pt-BR"/>
        </w:rPr>
        <w:t>contratos de PPP assinados foram precedidos de PMI.</w:t>
      </w:r>
    </w:p>
    <w:p w:rsidR="001D3B24" w:rsidRPr="007B3D3E" w:rsidRDefault="001D3B24" w:rsidP="007B3D3E">
      <w:pPr>
        <w:spacing w:before="100" w:beforeAutospacing="1" w:after="240"/>
        <w:ind w:left="720"/>
        <w:jc w:val="both"/>
        <w:rPr>
          <w:rFonts w:ascii="Garamond" w:eastAsiaTheme="minorHAnsi" w:hAnsi="Garamond"/>
          <w:sz w:val="24"/>
          <w:szCs w:val="24"/>
          <w:lang w:val="pt-BR"/>
        </w:rPr>
      </w:pPr>
      <w:r w:rsidRPr="00AA31E7">
        <w:rPr>
          <w:rFonts w:ascii="Garamond" w:eastAsiaTheme="minorHAnsi" w:hAnsi="Garamond"/>
          <w:sz w:val="24"/>
          <w:szCs w:val="24"/>
          <w:lang w:val="pt-BR"/>
        </w:rPr>
        <w:lastRenderedPageBreak/>
        <w:t xml:space="preserve">2. Em </w:t>
      </w:r>
      <w:r w:rsidR="00AA31E7" w:rsidRPr="00AA31E7">
        <w:rPr>
          <w:rFonts w:ascii="Garamond" w:eastAsiaTheme="minorHAnsi" w:hAnsi="Garamond"/>
          <w:sz w:val="24"/>
          <w:szCs w:val="24"/>
          <w:lang w:val="pt-BR"/>
        </w:rPr>
        <w:t>10</w:t>
      </w:r>
      <w:r w:rsidRPr="00AA31E7">
        <w:rPr>
          <w:rFonts w:ascii="Garamond" w:eastAsiaTheme="minorHAnsi" w:hAnsi="Garamond"/>
          <w:sz w:val="24"/>
          <w:szCs w:val="24"/>
          <w:lang w:val="pt-BR"/>
        </w:rPr>
        <w:t xml:space="preserve"> de </w:t>
      </w:r>
      <w:r w:rsidR="00AA31E7" w:rsidRPr="00AA31E7">
        <w:rPr>
          <w:rFonts w:ascii="Garamond" w:eastAsiaTheme="minorHAnsi" w:hAnsi="Garamond"/>
          <w:sz w:val="24"/>
          <w:szCs w:val="24"/>
          <w:lang w:val="pt-BR"/>
        </w:rPr>
        <w:t xml:space="preserve">novembro </w:t>
      </w:r>
      <w:r w:rsidRPr="00AA31E7">
        <w:rPr>
          <w:rFonts w:ascii="Garamond" w:eastAsiaTheme="minorHAnsi" w:hAnsi="Garamond"/>
          <w:sz w:val="24"/>
          <w:szCs w:val="24"/>
          <w:lang w:val="pt-BR"/>
        </w:rPr>
        <w:t xml:space="preserve">de 2011 foi recebida </w:t>
      </w:r>
      <w:r w:rsidR="00AA31E7">
        <w:rPr>
          <w:rFonts w:ascii="Garamond" w:eastAsiaTheme="minorHAnsi" w:hAnsi="Garamond"/>
          <w:sz w:val="24"/>
          <w:szCs w:val="24"/>
          <w:lang w:val="pt-BR"/>
        </w:rPr>
        <w:t>uma</w:t>
      </w:r>
      <w:r w:rsidRPr="00AA31E7">
        <w:rPr>
          <w:rFonts w:ascii="Garamond" w:eastAsiaTheme="minorHAnsi" w:hAnsi="Garamond"/>
          <w:sz w:val="24"/>
          <w:szCs w:val="24"/>
          <w:lang w:val="pt-BR"/>
        </w:rPr>
        <w:t xml:space="preserve"> Manifestação </w:t>
      </w:r>
      <w:r w:rsidR="00672631" w:rsidRPr="00AA31E7">
        <w:rPr>
          <w:rFonts w:ascii="Garamond" w:eastAsiaTheme="minorHAnsi" w:hAnsi="Garamond"/>
          <w:sz w:val="24"/>
          <w:szCs w:val="24"/>
          <w:lang w:val="pt-BR"/>
        </w:rPr>
        <w:t xml:space="preserve">do Consórcio </w:t>
      </w:r>
      <w:r w:rsidR="002A253E" w:rsidRPr="00AA31E7">
        <w:rPr>
          <w:rFonts w:ascii="Garamond" w:eastAsiaTheme="minorHAnsi" w:hAnsi="Garamond"/>
          <w:sz w:val="24"/>
          <w:szCs w:val="24"/>
          <w:lang w:val="pt-BR"/>
        </w:rPr>
        <w:t>Marquise</w:t>
      </w:r>
      <w:r w:rsidR="00672631" w:rsidRPr="00AA31E7">
        <w:rPr>
          <w:rFonts w:ascii="Garamond" w:eastAsiaTheme="minorHAnsi" w:hAnsi="Garamond"/>
          <w:sz w:val="24"/>
          <w:szCs w:val="24"/>
          <w:lang w:val="pt-BR"/>
        </w:rPr>
        <w:t xml:space="preserve">, </w:t>
      </w:r>
      <w:r w:rsidR="00964650">
        <w:rPr>
          <w:rFonts w:ascii="Garamond" w:eastAsiaTheme="minorHAnsi" w:hAnsi="Garamond"/>
          <w:sz w:val="24"/>
          <w:szCs w:val="24"/>
          <w:lang w:val="pt-BR"/>
        </w:rPr>
        <w:t xml:space="preserve">em resposta a Manifestação publicada em setembro de 2011, a </w:t>
      </w:r>
      <w:r w:rsidR="00672631" w:rsidRPr="00AA31E7">
        <w:rPr>
          <w:rFonts w:ascii="Garamond" w:eastAsiaTheme="minorHAnsi" w:hAnsi="Garamond"/>
          <w:sz w:val="24"/>
          <w:szCs w:val="24"/>
          <w:lang w:val="pt-BR"/>
        </w:rPr>
        <w:t xml:space="preserve">qual foi </w:t>
      </w:r>
      <w:r w:rsidR="00964650">
        <w:rPr>
          <w:rFonts w:ascii="Garamond" w:eastAsiaTheme="minorHAnsi" w:hAnsi="Garamond"/>
          <w:sz w:val="24"/>
          <w:szCs w:val="24"/>
          <w:lang w:val="pt-BR"/>
        </w:rPr>
        <w:t xml:space="preserve">analisada, considerada de interesse pelo Governo do Estado do Ceará e </w:t>
      </w:r>
      <w:r w:rsidR="00672631" w:rsidRPr="00AA31E7">
        <w:rPr>
          <w:rFonts w:ascii="Garamond" w:eastAsiaTheme="minorHAnsi" w:hAnsi="Garamond"/>
          <w:sz w:val="24"/>
          <w:szCs w:val="24"/>
          <w:lang w:val="pt-BR"/>
        </w:rPr>
        <w:t>autorizado em janeiro de 2012</w:t>
      </w:r>
      <w:r w:rsidRPr="00AA31E7">
        <w:rPr>
          <w:rFonts w:ascii="Garamond" w:eastAsiaTheme="minorHAnsi" w:hAnsi="Garamond"/>
          <w:sz w:val="24"/>
          <w:szCs w:val="24"/>
          <w:lang w:val="pt-BR"/>
        </w:rPr>
        <w:t>;</w:t>
      </w:r>
    </w:p>
    <w:p w:rsidR="00E112E9" w:rsidRPr="00BC69E4" w:rsidRDefault="002A253E" w:rsidP="007B3D3E">
      <w:pPr>
        <w:spacing w:before="100" w:beforeAutospacing="1"/>
        <w:ind w:left="720"/>
        <w:jc w:val="both"/>
        <w:rPr>
          <w:rFonts w:ascii="Garamond" w:eastAsiaTheme="minorHAnsi" w:hAnsi="Garamond"/>
          <w:b/>
          <w:sz w:val="24"/>
          <w:szCs w:val="24"/>
          <w:lang w:val="pt-BR"/>
        </w:rPr>
      </w:pPr>
      <w:r w:rsidRPr="007B3D3E">
        <w:rPr>
          <w:rFonts w:ascii="Garamond" w:eastAsiaTheme="minorHAnsi" w:hAnsi="Garamond"/>
          <w:sz w:val="24"/>
          <w:szCs w:val="24"/>
          <w:lang w:val="pt-BR"/>
        </w:rPr>
        <w:t>3. As entregas dos Estu</w:t>
      </w:r>
      <w:r w:rsidR="001D3B24" w:rsidRPr="007B3D3E">
        <w:rPr>
          <w:rFonts w:ascii="Garamond" w:eastAsiaTheme="minorHAnsi" w:hAnsi="Garamond"/>
          <w:sz w:val="24"/>
          <w:szCs w:val="24"/>
          <w:lang w:val="pt-BR"/>
        </w:rPr>
        <w:t xml:space="preserve">dos iniciaram em setembro de 2012 e finalizaram em outubro de 2013. Os estudos foram sendo entregues por etapa e conforme solicitação do Estado. O valor </w:t>
      </w:r>
      <w:r w:rsidR="00BC69E4">
        <w:rPr>
          <w:rFonts w:ascii="Garamond" w:eastAsiaTheme="minorHAnsi" w:hAnsi="Garamond"/>
          <w:sz w:val="24"/>
          <w:szCs w:val="24"/>
          <w:lang w:val="pt-BR"/>
        </w:rPr>
        <w:t xml:space="preserve">total </w:t>
      </w:r>
      <w:r w:rsidR="001D3B24" w:rsidRPr="007B3D3E">
        <w:rPr>
          <w:rFonts w:ascii="Garamond" w:eastAsiaTheme="minorHAnsi" w:hAnsi="Garamond"/>
          <w:sz w:val="24"/>
          <w:szCs w:val="24"/>
          <w:lang w:val="pt-BR"/>
        </w:rPr>
        <w:t>de ressarcimento dos estudos foi de R$ 954.764,71</w:t>
      </w:r>
      <w:r w:rsidRPr="007B3D3E">
        <w:rPr>
          <w:rFonts w:ascii="Garamond" w:eastAsiaTheme="minorHAnsi" w:hAnsi="Garamond"/>
          <w:sz w:val="24"/>
          <w:szCs w:val="24"/>
          <w:lang w:val="pt-BR"/>
        </w:rPr>
        <w:t xml:space="preserve">, os quais </w:t>
      </w:r>
      <w:r w:rsidRPr="00BC69E4">
        <w:rPr>
          <w:rFonts w:ascii="Garamond" w:eastAsiaTheme="minorHAnsi" w:hAnsi="Garamond"/>
          <w:b/>
          <w:sz w:val="24"/>
          <w:szCs w:val="24"/>
          <w:lang w:val="pt-BR"/>
        </w:rPr>
        <w:t>não foram pagos</w:t>
      </w:r>
      <w:r w:rsidR="00A22D55">
        <w:rPr>
          <w:rFonts w:ascii="Garamond" w:eastAsiaTheme="minorHAnsi" w:hAnsi="Garamond"/>
          <w:b/>
          <w:sz w:val="24"/>
          <w:szCs w:val="24"/>
          <w:lang w:val="pt-BR"/>
        </w:rPr>
        <w:t xml:space="preserve"> ao Consórcio Marquise,</w:t>
      </w:r>
      <w:r w:rsidRPr="00BC69E4">
        <w:rPr>
          <w:rFonts w:ascii="Garamond" w:eastAsiaTheme="minorHAnsi" w:hAnsi="Garamond"/>
          <w:b/>
          <w:sz w:val="24"/>
          <w:szCs w:val="24"/>
          <w:lang w:val="pt-BR"/>
        </w:rPr>
        <w:t xml:space="preserve"> uma vez que </w:t>
      </w:r>
      <w:r w:rsidR="00B63CC9" w:rsidRPr="00BC69E4">
        <w:rPr>
          <w:rFonts w:ascii="Garamond" w:eastAsiaTheme="minorHAnsi" w:hAnsi="Garamond"/>
          <w:b/>
          <w:sz w:val="24"/>
          <w:szCs w:val="24"/>
          <w:lang w:val="pt-BR"/>
        </w:rPr>
        <w:t>a lei estabelece que caso o ganhador da Concorrência seja o mesmo proponente do PMI selecionado, o mesmo não será ressarcido dos custos relacionados a estudos e projetos</w:t>
      </w:r>
      <w:r w:rsidRPr="00BC69E4">
        <w:rPr>
          <w:rFonts w:ascii="Garamond" w:eastAsiaTheme="minorHAnsi" w:hAnsi="Garamond"/>
          <w:b/>
          <w:sz w:val="24"/>
          <w:szCs w:val="24"/>
          <w:lang w:val="pt-BR"/>
        </w:rPr>
        <w:t>.</w:t>
      </w:r>
    </w:p>
    <w:p w:rsidR="001D3B24" w:rsidRPr="007B3D3E" w:rsidRDefault="001D3B24" w:rsidP="007B3D3E">
      <w:pPr>
        <w:spacing w:before="100" w:beforeAutospacing="1"/>
        <w:ind w:left="720"/>
        <w:jc w:val="both"/>
        <w:rPr>
          <w:rFonts w:ascii="Garamond" w:eastAsiaTheme="minorHAnsi" w:hAnsi="Garamond"/>
          <w:sz w:val="24"/>
          <w:szCs w:val="24"/>
          <w:lang w:val="pt-BR"/>
        </w:rPr>
      </w:pPr>
      <w:r w:rsidRPr="007B3D3E">
        <w:rPr>
          <w:rFonts w:ascii="Garamond" w:eastAsiaTheme="minorHAnsi" w:hAnsi="Garamond"/>
          <w:sz w:val="24"/>
          <w:szCs w:val="24"/>
          <w:lang w:val="pt-BR"/>
        </w:rPr>
        <w:t xml:space="preserve">4. </w:t>
      </w:r>
      <w:r w:rsidR="004F3F6A">
        <w:rPr>
          <w:rFonts w:ascii="Garamond" w:eastAsiaTheme="minorHAnsi" w:hAnsi="Garamond"/>
          <w:sz w:val="24"/>
          <w:szCs w:val="24"/>
          <w:lang w:val="pt-BR"/>
        </w:rPr>
        <w:t>Com base nos estudos apresentados</w:t>
      </w:r>
      <w:r w:rsidR="00A474AC">
        <w:rPr>
          <w:rFonts w:ascii="Garamond" w:eastAsiaTheme="minorHAnsi" w:hAnsi="Garamond"/>
          <w:sz w:val="24"/>
          <w:szCs w:val="24"/>
          <w:lang w:val="pt-BR"/>
        </w:rPr>
        <w:t xml:space="preserve"> e validados pelo </w:t>
      </w:r>
      <w:r w:rsidR="00A22D55">
        <w:rPr>
          <w:rFonts w:ascii="Garamond" w:eastAsiaTheme="minorHAnsi" w:hAnsi="Garamond"/>
          <w:sz w:val="24"/>
          <w:szCs w:val="24"/>
          <w:lang w:val="pt-BR"/>
        </w:rPr>
        <w:t xml:space="preserve">Governo do </w:t>
      </w:r>
      <w:r w:rsidR="00A474AC">
        <w:rPr>
          <w:rFonts w:ascii="Garamond" w:eastAsiaTheme="minorHAnsi" w:hAnsi="Garamond"/>
          <w:sz w:val="24"/>
          <w:szCs w:val="24"/>
          <w:lang w:val="pt-BR"/>
        </w:rPr>
        <w:t>Estado</w:t>
      </w:r>
      <w:r w:rsidR="00A22D55">
        <w:rPr>
          <w:rFonts w:ascii="Garamond" w:eastAsiaTheme="minorHAnsi" w:hAnsi="Garamond"/>
          <w:sz w:val="24"/>
          <w:szCs w:val="24"/>
          <w:lang w:val="pt-BR"/>
        </w:rPr>
        <w:t xml:space="preserve"> e em seguimento a próxima fase do processo de acordo com o previsto na </w:t>
      </w:r>
      <w:r w:rsidR="00A22D55" w:rsidRPr="007B3D3E">
        <w:rPr>
          <w:rFonts w:ascii="Garamond" w:eastAsiaTheme="minorHAnsi" w:hAnsi="Garamond"/>
          <w:color w:val="000000"/>
          <w:sz w:val="24"/>
          <w:szCs w:val="24"/>
          <w:lang w:val="pt-BR"/>
        </w:rPr>
        <w:t xml:space="preserve">Lei </w:t>
      </w:r>
      <w:r w:rsidR="00A22D55" w:rsidRPr="007B3D3E">
        <w:rPr>
          <w:rFonts w:ascii="Garamond" w:eastAsiaTheme="minorHAnsi" w:hAnsi="Garamond"/>
          <w:sz w:val="24"/>
          <w:szCs w:val="24"/>
          <w:lang w:val="pt-BR"/>
        </w:rPr>
        <w:t>nº 11.079</w:t>
      </w:r>
      <w:r w:rsidR="004F3F6A">
        <w:rPr>
          <w:rFonts w:ascii="Garamond" w:eastAsiaTheme="minorHAnsi" w:hAnsi="Garamond"/>
          <w:sz w:val="24"/>
          <w:szCs w:val="24"/>
          <w:lang w:val="pt-BR"/>
        </w:rPr>
        <w:t>, e</w:t>
      </w:r>
      <w:r w:rsidR="007B3102" w:rsidRPr="007B3D3E">
        <w:rPr>
          <w:rFonts w:ascii="Garamond" w:eastAsiaTheme="minorHAnsi" w:hAnsi="Garamond"/>
          <w:sz w:val="24"/>
          <w:szCs w:val="24"/>
          <w:lang w:val="pt-BR"/>
        </w:rPr>
        <w:t xml:space="preserve">m 10 de Fevereiro de 2014 foi publicado o Edital de CONCORRÊNCIA INTERNACIONAL </w:t>
      </w:r>
      <w:proofErr w:type="gramStart"/>
      <w:r w:rsidR="007B3102" w:rsidRPr="007B3D3E">
        <w:rPr>
          <w:rFonts w:ascii="Garamond" w:eastAsiaTheme="minorHAnsi" w:hAnsi="Garamond"/>
          <w:sz w:val="24"/>
          <w:szCs w:val="24"/>
          <w:lang w:val="pt-BR"/>
        </w:rPr>
        <w:t>No 20130004</w:t>
      </w:r>
      <w:proofErr w:type="gramEnd"/>
      <w:r w:rsidR="007B3102" w:rsidRPr="007B3D3E">
        <w:rPr>
          <w:rFonts w:ascii="Garamond" w:eastAsiaTheme="minorHAnsi" w:hAnsi="Garamond"/>
          <w:sz w:val="24"/>
          <w:szCs w:val="24"/>
          <w:lang w:val="pt-BR"/>
        </w:rPr>
        <w:t xml:space="preserve">. O critério de avaliação </w:t>
      </w:r>
      <w:r w:rsidR="00A22D55">
        <w:rPr>
          <w:rFonts w:ascii="Garamond" w:eastAsiaTheme="minorHAnsi" w:hAnsi="Garamond"/>
          <w:sz w:val="24"/>
          <w:szCs w:val="24"/>
          <w:lang w:val="pt-BR"/>
        </w:rPr>
        <w:t xml:space="preserve">do processo </w:t>
      </w:r>
      <w:r w:rsidR="007B3102" w:rsidRPr="007B3D3E">
        <w:rPr>
          <w:rFonts w:ascii="Garamond" w:eastAsiaTheme="minorHAnsi" w:hAnsi="Garamond"/>
          <w:sz w:val="24"/>
          <w:szCs w:val="24"/>
          <w:lang w:val="pt-BR"/>
        </w:rPr>
        <w:t>foi o de Menor Preço</w:t>
      </w:r>
      <w:r w:rsidR="00A22D55">
        <w:rPr>
          <w:rFonts w:ascii="Garamond" w:eastAsiaTheme="minorHAnsi" w:hAnsi="Garamond"/>
          <w:sz w:val="24"/>
          <w:szCs w:val="24"/>
          <w:lang w:val="pt-BR"/>
        </w:rPr>
        <w:t xml:space="preserve"> avaliado</w:t>
      </w:r>
      <w:r w:rsidR="007B3102" w:rsidRPr="007B3D3E">
        <w:rPr>
          <w:rFonts w:ascii="Garamond" w:eastAsiaTheme="minorHAnsi" w:hAnsi="Garamond"/>
          <w:sz w:val="24"/>
          <w:szCs w:val="24"/>
          <w:lang w:val="pt-BR"/>
        </w:rPr>
        <w:t>.</w:t>
      </w:r>
    </w:p>
    <w:p w:rsidR="001C46A2" w:rsidRPr="007B3D3E" w:rsidRDefault="001C46A2" w:rsidP="007B3D3E">
      <w:pPr>
        <w:spacing w:before="100" w:beforeAutospacing="1"/>
        <w:ind w:left="720"/>
        <w:jc w:val="both"/>
        <w:rPr>
          <w:rFonts w:ascii="Garamond" w:eastAsiaTheme="minorHAnsi" w:hAnsi="Garamond"/>
          <w:sz w:val="24"/>
          <w:szCs w:val="24"/>
          <w:lang w:val="pt-BR"/>
        </w:rPr>
      </w:pPr>
      <w:r w:rsidRPr="007B3D3E">
        <w:rPr>
          <w:rFonts w:ascii="Garamond" w:eastAsiaTheme="minorHAnsi" w:hAnsi="Garamond"/>
          <w:sz w:val="24"/>
          <w:szCs w:val="24"/>
          <w:lang w:val="pt-BR"/>
        </w:rPr>
        <w:t xml:space="preserve">5. Em resposta, em 10 de Abril de 2014 foi recebida proposta do </w:t>
      </w:r>
      <w:r w:rsidRPr="00AA31E7">
        <w:rPr>
          <w:rFonts w:ascii="Garamond" w:eastAsiaTheme="minorHAnsi" w:hAnsi="Garamond"/>
          <w:b/>
          <w:sz w:val="24"/>
          <w:szCs w:val="24"/>
          <w:lang w:val="pt-BR"/>
        </w:rPr>
        <w:t xml:space="preserve">Consórcio </w:t>
      </w:r>
      <w:r w:rsidR="002A253E" w:rsidRPr="00AA31E7">
        <w:rPr>
          <w:rFonts w:ascii="Garamond" w:eastAsiaTheme="minorHAnsi" w:hAnsi="Garamond"/>
          <w:b/>
          <w:sz w:val="24"/>
          <w:szCs w:val="24"/>
          <w:lang w:val="pt-BR"/>
        </w:rPr>
        <w:t>Ceará Saúde</w:t>
      </w:r>
      <w:r w:rsidR="00AA31E7">
        <w:rPr>
          <w:rFonts w:ascii="Garamond" w:eastAsiaTheme="minorHAnsi" w:hAnsi="Garamond"/>
          <w:sz w:val="24"/>
          <w:szCs w:val="24"/>
          <w:lang w:val="pt-BR"/>
        </w:rPr>
        <w:t xml:space="preserve"> – composto por: C</w:t>
      </w:r>
      <w:r w:rsidRPr="007B3D3E">
        <w:rPr>
          <w:rFonts w:ascii="Garamond" w:eastAsiaTheme="minorHAnsi" w:hAnsi="Garamond"/>
          <w:sz w:val="24"/>
          <w:szCs w:val="24"/>
          <w:lang w:val="pt-BR"/>
        </w:rPr>
        <w:t xml:space="preserve">onstrutora Marquise (70%), Construtora PB (20%) e </w:t>
      </w:r>
      <w:proofErr w:type="spellStart"/>
      <w:r w:rsidRPr="007B3D3E">
        <w:rPr>
          <w:rFonts w:ascii="Garamond" w:eastAsiaTheme="minorHAnsi" w:hAnsi="Garamond"/>
          <w:sz w:val="24"/>
          <w:szCs w:val="24"/>
          <w:lang w:val="pt-BR"/>
        </w:rPr>
        <w:t>Vivante</w:t>
      </w:r>
      <w:proofErr w:type="spellEnd"/>
      <w:r w:rsidRPr="007B3D3E">
        <w:rPr>
          <w:rFonts w:ascii="Garamond" w:eastAsiaTheme="minorHAnsi" w:hAnsi="Garamond"/>
          <w:sz w:val="24"/>
          <w:szCs w:val="24"/>
          <w:lang w:val="pt-BR"/>
        </w:rPr>
        <w:t xml:space="preserve"> (10%). Em </w:t>
      </w:r>
      <w:r w:rsidR="00AA31E7">
        <w:rPr>
          <w:rFonts w:ascii="Garamond" w:eastAsiaTheme="minorHAnsi" w:hAnsi="Garamond"/>
          <w:b/>
          <w:sz w:val="24"/>
          <w:szCs w:val="24"/>
          <w:lang w:val="pt-BR"/>
        </w:rPr>
        <w:t>Setembro de 2014 foi celebrado C</w:t>
      </w:r>
      <w:r w:rsidRPr="007B3D3E">
        <w:rPr>
          <w:rFonts w:ascii="Garamond" w:eastAsiaTheme="minorHAnsi" w:hAnsi="Garamond"/>
          <w:b/>
          <w:sz w:val="24"/>
          <w:szCs w:val="24"/>
          <w:lang w:val="pt-BR"/>
        </w:rPr>
        <w:t xml:space="preserve">ontrato </w:t>
      </w:r>
      <w:r w:rsidR="00AA31E7" w:rsidRPr="00AA31E7">
        <w:rPr>
          <w:rFonts w:ascii="Garamond" w:eastAsiaTheme="minorHAnsi" w:hAnsi="Garamond"/>
          <w:b/>
          <w:sz w:val="24"/>
          <w:szCs w:val="24"/>
          <w:lang w:val="pt-BR"/>
        </w:rPr>
        <w:t>No</w:t>
      </w:r>
      <w:r w:rsidR="00AA31E7">
        <w:rPr>
          <w:rFonts w:ascii="Garamond" w:eastAsiaTheme="minorHAnsi" w:hAnsi="Garamond"/>
          <w:b/>
          <w:sz w:val="24"/>
          <w:szCs w:val="24"/>
          <w:lang w:val="pt-BR"/>
        </w:rPr>
        <w:t xml:space="preserve"> 01/2014 </w:t>
      </w:r>
      <w:r w:rsidRPr="007B3D3E">
        <w:rPr>
          <w:rFonts w:ascii="Garamond" w:eastAsiaTheme="minorHAnsi" w:hAnsi="Garamond"/>
          <w:b/>
          <w:sz w:val="24"/>
          <w:szCs w:val="24"/>
          <w:lang w:val="pt-BR"/>
        </w:rPr>
        <w:t>com o consórcio em referencia</w:t>
      </w:r>
      <w:r w:rsidRPr="007B3D3E">
        <w:rPr>
          <w:rFonts w:ascii="Garamond" w:eastAsiaTheme="minorHAnsi" w:hAnsi="Garamond"/>
          <w:sz w:val="24"/>
          <w:szCs w:val="24"/>
          <w:lang w:val="pt-BR"/>
        </w:rPr>
        <w:t>.</w:t>
      </w:r>
    </w:p>
    <w:p w:rsidR="001C46A2" w:rsidRPr="007B3D3E" w:rsidRDefault="001C46A2" w:rsidP="001C46A2">
      <w:pPr>
        <w:pStyle w:val="ListParagraph"/>
        <w:ind w:left="1080"/>
        <w:rPr>
          <w:rFonts w:ascii="Garamond" w:hAnsi="Garamond" w:cs="Garamond"/>
          <w:b/>
          <w:bCs/>
          <w:sz w:val="24"/>
          <w:szCs w:val="24"/>
        </w:rPr>
      </w:pPr>
    </w:p>
    <w:p w:rsidR="001C46A2" w:rsidRPr="007B3D3E" w:rsidRDefault="001C46A2" w:rsidP="001C46A2">
      <w:pPr>
        <w:pStyle w:val="ListParagraph"/>
        <w:numPr>
          <w:ilvl w:val="0"/>
          <w:numId w:val="1"/>
        </w:numPr>
        <w:jc w:val="center"/>
        <w:rPr>
          <w:rFonts w:ascii="Garamond" w:hAnsi="Garamond" w:cs="Garamond"/>
          <w:b/>
          <w:bCs/>
          <w:sz w:val="24"/>
          <w:szCs w:val="24"/>
        </w:rPr>
      </w:pPr>
      <w:r w:rsidRPr="007B3D3E">
        <w:rPr>
          <w:rFonts w:ascii="Garamond" w:hAnsi="Garamond" w:cs="Garamond"/>
          <w:b/>
          <w:bCs/>
          <w:sz w:val="24"/>
          <w:szCs w:val="24"/>
        </w:rPr>
        <w:t xml:space="preserve">Dados do Contrato </w:t>
      </w:r>
    </w:p>
    <w:p w:rsidR="00E14054" w:rsidRDefault="00E14054" w:rsidP="00E14054">
      <w:pPr>
        <w:spacing w:before="100" w:beforeAutospacing="1" w:after="100" w:afterAutospacing="1"/>
        <w:jc w:val="both"/>
        <w:rPr>
          <w:rFonts w:ascii="Garamond" w:eastAsiaTheme="minorHAnsi" w:hAnsi="Garamond"/>
          <w:sz w:val="24"/>
          <w:szCs w:val="24"/>
          <w:lang w:val="pt-BR"/>
        </w:rPr>
      </w:pPr>
      <w:r w:rsidRPr="007B3D3E">
        <w:rPr>
          <w:rFonts w:ascii="Garamond" w:eastAsiaTheme="minorHAnsi" w:hAnsi="Garamond"/>
          <w:sz w:val="24"/>
          <w:szCs w:val="24"/>
          <w:lang w:val="pt-BR"/>
        </w:rPr>
        <w:t>4.1</w:t>
      </w:r>
      <w:r w:rsidRPr="007B3D3E">
        <w:rPr>
          <w:rFonts w:ascii="Garamond" w:eastAsiaTheme="minorHAnsi" w:hAnsi="Garamond"/>
          <w:b/>
          <w:sz w:val="24"/>
          <w:szCs w:val="24"/>
          <w:lang w:val="pt-BR"/>
        </w:rPr>
        <w:t>. Objeto:</w:t>
      </w:r>
      <w:r w:rsidRPr="007B3D3E">
        <w:rPr>
          <w:rFonts w:ascii="Garamond" w:eastAsiaTheme="minorHAnsi" w:hAnsi="Garamond"/>
          <w:sz w:val="24"/>
          <w:szCs w:val="24"/>
          <w:lang w:val="pt-BR"/>
        </w:rPr>
        <w:t xml:space="preserve"> </w:t>
      </w:r>
      <w:r w:rsidR="00795039" w:rsidRPr="007B3D3E">
        <w:rPr>
          <w:rFonts w:ascii="Garamond" w:eastAsiaTheme="minorHAnsi" w:hAnsi="Garamond"/>
          <w:sz w:val="24"/>
          <w:szCs w:val="24"/>
          <w:lang w:val="pt-BR"/>
        </w:rPr>
        <w:t xml:space="preserve">Concessão </w:t>
      </w:r>
      <w:r w:rsidRPr="007B3D3E">
        <w:rPr>
          <w:rFonts w:ascii="Garamond" w:eastAsiaTheme="minorHAnsi" w:hAnsi="Garamond"/>
          <w:sz w:val="24"/>
          <w:szCs w:val="24"/>
          <w:lang w:val="pt-BR"/>
        </w:rPr>
        <w:t xml:space="preserve">Administrativa </w:t>
      </w:r>
      <w:r w:rsidR="00795039" w:rsidRPr="007B3D3E">
        <w:rPr>
          <w:rFonts w:ascii="Garamond" w:eastAsiaTheme="minorHAnsi" w:hAnsi="Garamond"/>
          <w:sz w:val="24"/>
          <w:szCs w:val="24"/>
          <w:lang w:val="pt-BR"/>
        </w:rPr>
        <w:t>de 25 anos</w:t>
      </w:r>
      <w:r w:rsidRPr="007B3D3E">
        <w:rPr>
          <w:rFonts w:ascii="Garamond" w:eastAsiaTheme="minorHAnsi" w:hAnsi="Garamond"/>
          <w:sz w:val="24"/>
          <w:szCs w:val="24"/>
          <w:lang w:val="pt-BR"/>
        </w:rPr>
        <w:t xml:space="preserve"> para Construção, fornecimento de Equipamentos (2,5 anos), Manutenção e Gestão dos serviços não assistenciais (22,5 anos) do Hospital Regional Metropolitano do Ceará (HRM - Unidade de alta complexidade, com atendimento de urgência e emergência. Área total construída com 37,3 mil m², com 13 pavimentos). </w:t>
      </w:r>
    </w:p>
    <w:p w:rsidR="00B63CC9" w:rsidRPr="00B63CC9" w:rsidRDefault="00B63CC9" w:rsidP="00E14054">
      <w:pPr>
        <w:spacing w:before="100" w:beforeAutospacing="1" w:after="100" w:afterAutospacing="1"/>
        <w:jc w:val="both"/>
        <w:rPr>
          <w:rFonts w:ascii="Garamond" w:hAnsi="Garamond" w:cs="Arial"/>
          <w:sz w:val="24"/>
          <w:szCs w:val="24"/>
          <w:lang w:val="pt-BR"/>
        </w:rPr>
      </w:pPr>
      <w:r>
        <w:rPr>
          <w:rFonts w:ascii="Garamond" w:eastAsiaTheme="minorHAnsi" w:hAnsi="Garamond"/>
          <w:sz w:val="24"/>
          <w:szCs w:val="24"/>
          <w:lang w:val="pt-BR"/>
        </w:rPr>
        <w:t xml:space="preserve">Este tipo de PPP está prevista no </w:t>
      </w:r>
      <w:r>
        <w:rPr>
          <w:rFonts w:ascii="Garamond" w:hAnsi="Garamond" w:cs="Arial"/>
          <w:sz w:val="24"/>
          <w:szCs w:val="24"/>
          <w:lang w:val="pt-BR"/>
        </w:rPr>
        <w:t>Art. 6</w:t>
      </w:r>
      <w:r w:rsidRPr="00B63CC9">
        <w:rPr>
          <w:rFonts w:ascii="Garamond" w:hAnsi="Garamond" w:cs="Arial"/>
          <w:sz w:val="24"/>
          <w:szCs w:val="24"/>
          <w:u w:val="single"/>
          <w:vertAlign w:val="superscript"/>
          <w:lang w:val="pt-BR"/>
        </w:rPr>
        <w:t xml:space="preserve"> </w:t>
      </w:r>
      <w:r w:rsidRPr="007B3D3E">
        <w:rPr>
          <w:rFonts w:ascii="Garamond" w:hAnsi="Garamond" w:cs="Arial"/>
          <w:sz w:val="24"/>
          <w:szCs w:val="24"/>
          <w:u w:val="single"/>
          <w:vertAlign w:val="superscript"/>
          <w:lang w:val="pt-BR"/>
        </w:rPr>
        <w:t>o</w:t>
      </w:r>
      <w:r>
        <w:rPr>
          <w:rFonts w:ascii="Garamond" w:hAnsi="Garamond" w:cs="Arial"/>
          <w:sz w:val="24"/>
          <w:szCs w:val="24"/>
          <w:lang w:val="pt-BR"/>
        </w:rPr>
        <w:t xml:space="preserve">, </w:t>
      </w:r>
      <w:r w:rsidRPr="007B3D3E">
        <w:rPr>
          <w:rFonts w:ascii="Garamond" w:hAnsi="Garamond" w:cs="Arial"/>
          <w:sz w:val="24"/>
          <w:szCs w:val="24"/>
          <w:lang w:val="pt-BR"/>
        </w:rPr>
        <w:t>§ 3</w:t>
      </w:r>
      <w:r w:rsidRPr="007B3D3E">
        <w:rPr>
          <w:rFonts w:ascii="Garamond" w:hAnsi="Garamond" w:cs="Arial"/>
          <w:sz w:val="24"/>
          <w:szCs w:val="24"/>
          <w:u w:val="single"/>
          <w:vertAlign w:val="superscript"/>
          <w:lang w:val="pt-BR"/>
        </w:rPr>
        <w:t>o</w:t>
      </w:r>
      <w:r w:rsidRPr="007B3D3E">
        <w:rPr>
          <w:rFonts w:ascii="Garamond" w:hAnsi="Garamond" w:cs="Arial"/>
          <w:sz w:val="24"/>
          <w:szCs w:val="24"/>
          <w:lang w:val="pt-BR"/>
        </w:rPr>
        <w:t xml:space="preserve"> </w:t>
      </w:r>
      <w:r>
        <w:rPr>
          <w:rFonts w:ascii="Garamond" w:hAnsi="Garamond" w:cs="Arial"/>
          <w:sz w:val="24"/>
          <w:szCs w:val="24"/>
          <w:lang w:val="pt-BR"/>
        </w:rPr>
        <w:t>“</w:t>
      </w:r>
      <w:r w:rsidRPr="00B63CC9">
        <w:rPr>
          <w:rFonts w:ascii="Garamond" w:hAnsi="Garamond" w:cs="Arial"/>
          <w:i/>
          <w:sz w:val="24"/>
          <w:szCs w:val="24"/>
          <w:lang w:val="pt-BR"/>
        </w:rPr>
        <w:t>As concessões patrocinadas em que mais de 70% (setenta por cento) da remuneração do parceiro privado for paga pela Administração Pública dependerão de autorização legislativa específica</w:t>
      </w:r>
      <w:r>
        <w:rPr>
          <w:rFonts w:ascii="Garamond" w:hAnsi="Garamond" w:cs="Arial"/>
          <w:sz w:val="24"/>
          <w:szCs w:val="24"/>
          <w:lang w:val="pt-BR"/>
        </w:rPr>
        <w:t xml:space="preserve">”, da </w:t>
      </w:r>
      <w:r w:rsidRPr="00B63CC9">
        <w:rPr>
          <w:rFonts w:ascii="Garamond" w:hAnsi="Garamond" w:cs="Arial"/>
          <w:sz w:val="24"/>
          <w:szCs w:val="24"/>
          <w:lang w:val="pt-BR"/>
        </w:rPr>
        <w:t>Lei nº 11.079/2004.</w:t>
      </w:r>
    </w:p>
    <w:p w:rsidR="00D02F64" w:rsidRDefault="00E14054" w:rsidP="00E14054">
      <w:pPr>
        <w:spacing w:before="100" w:beforeAutospacing="1" w:after="100" w:afterAutospacing="1"/>
        <w:jc w:val="both"/>
        <w:rPr>
          <w:rFonts w:ascii="Garamond" w:eastAsiaTheme="minorHAnsi" w:hAnsi="Garamond"/>
          <w:sz w:val="24"/>
          <w:szCs w:val="24"/>
          <w:lang w:val="pt-BR"/>
        </w:rPr>
      </w:pPr>
      <w:r w:rsidRPr="007B3D3E">
        <w:rPr>
          <w:rFonts w:ascii="Garamond" w:eastAsiaTheme="minorHAnsi" w:hAnsi="Garamond"/>
          <w:sz w:val="24"/>
          <w:szCs w:val="24"/>
          <w:lang w:val="pt-BR"/>
        </w:rPr>
        <w:t xml:space="preserve">4.2. </w:t>
      </w:r>
      <w:r w:rsidRPr="007B3D3E">
        <w:rPr>
          <w:rFonts w:ascii="Garamond" w:eastAsiaTheme="minorHAnsi" w:hAnsi="Garamond"/>
          <w:b/>
          <w:sz w:val="24"/>
          <w:szCs w:val="24"/>
          <w:lang w:val="pt-BR"/>
        </w:rPr>
        <w:t>Valor:</w:t>
      </w:r>
      <w:r w:rsidRPr="007B3D3E">
        <w:rPr>
          <w:rFonts w:ascii="Garamond" w:eastAsiaTheme="minorHAnsi" w:hAnsi="Garamond"/>
          <w:sz w:val="24"/>
          <w:szCs w:val="24"/>
          <w:lang w:val="pt-BR"/>
        </w:rPr>
        <w:t xml:space="preserve"> </w:t>
      </w:r>
      <w:r w:rsidRPr="009F5433">
        <w:rPr>
          <w:rFonts w:ascii="Garamond" w:eastAsiaTheme="minorHAnsi" w:hAnsi="Garamond"/>
          <w:b/>
          <w:sz w:val="24"/>
          <w:szCs w:val="24"/>
          <w:lang w:val="pt-BR"/>
        </w:rPr>
        <w:t>R$ 2,4 Bilhões</w:t>
      </w:r>
      <w:r w:rsidR="00D02F64" w:rsidRPr="007B3D3E">
        <w:rPr>
          <w:rFonts w:ascii="Garamond" w:eastAsiaTheme="minorHAnsi" w:hAnsi="Garamond"/>
          <w:sz w:val="24"/>
          <w:szCs w:val="24"/>
          <w:lang w:val="pt-BR"/>
        </w:rPr>
        <w:t xml:space="preserve">, sendo </w:t>
      </w:r>
      <w:r w:rsidR="00D02F64" w:rsidRPr="009F5433">
        <w:rPr>
          <w:rFonts w:ascii="Garamond" w:eastAsiaTheme="minorHAnsi" w:hAnsi="Garamond"/>
          <w:b/>
          <w:sz w:val="24"/>
          <w:szCs w:val="24"/>
          <w:lang w:val="pt-BR"/>
        </w:rPr>
        <w:t xml:space="preserve">R$ 288 Milhões de </w:t>
      </w:r>
      <w:r w:rsidR="009F5433" w:rsidRPr="009F5433">
        <w:rPr>
          <w:rFonts w:ascii="Garamond" w:eastAsiaTheme="minorHAnsi" w:hAnsi="Garamond"/>
          <w:b/>
          <w:sz w:val="24"/>
          <w:szCs w:val="24"/>
          <w:lang w:val="pt-BR"/>
        </w:rPr>
        <w:t>CAPEX</w:t>
      </w:r>
      <w:r w:rsidR="009F5433">
        <w:rPr>
          <w:rFonts w:ascii="Garamond" w:eastAsiaTheme="minorHAnsi" w:hAnsi="Garamond"/>
          <w:sz w:val="24"/>
          <w:szCs w:val="24"/>
          <w:lang w:val="pt-BR"/>
        </w:rPr>
        <w:t xml:space="preserve"> (</w:t>
      </w:r>
      <w:r w:rsidR="00FA7B96" w:rsidRPr="005963F8">
        <w:rPr>
          <w:rFonts w:ascii="Garamond" w:eastAsiaTheme="minorHAnsi" w:hAnsi="Garamond"/>
          <w:i/>
          <w:sz w:val="24"/>
          <w:szCs w:val="24"/>
          <w:lang w:val="pt-BR"/>
        </w:rPr>
        <w:t xml:space="preserve">capital </w:t>
      </w:r>
      <w:proofErr w:type="spellStart"/>
      <w:r w:rsidR="00FA7B96" w:rsidRPr="005963F8">
        <w:rPr>
          <w:rFonts w:ascii="Garamond" w:eastAsiaTheme="minorHAnsi" w:hAnsi="Garamond"/>
          <w:i/>
          <w:sz w:val="24"/>
          <w:szCs w:val="24"/>
          <w:lang w:val="pt-BR"/>
        </w:rPr>
        <w:t>expenditure</w:t>
      </w:r>
      <w:proofErr w:type="spellEnd"/>
      <w:r w:rsidR="00FA7B96" w:rsidRPr="007B3D3E">
        <w:rPr>
          <w:rFonts w:ascii="Garamond" w:eastAsiaTheme="minorHAnsi" w:hAnsi="Garamond"/>
          <w:sz w:val="24"/>
          <w:szCs w:val="24"/>
          <w:lang w:val="pt-BR"/>
        </w:rPr>
        <w:t xml:space="preserve"> </w:t>
      </w:r>
      <w:r w:rsidR="009F5433">
        <w:rPr>
          <w:rFonts w:ascii="Garamond" w:eastAsiaTheme="minorHAnsi" w:hAnsi="Garamond"/>
          <w:sz w:val="24"/>
          <w:szCs w:val="24"/>
          <w:lang w:val="pt-BR"/>
        </w:rPr>
        <w:t>-</w:t>
      </w:r>
      <w:r w:rsidR="009F5433" w:rsidRPr="009F5433">
        <w:rPr>
          <w:rFonts w:ascii="Garamond" w:eastAsiaTheme="minorHAnsi" w:hAnsi="Garamond"/>
          <w:sz w:val="24"/>
          <w:szCs w:val="24"/>
          <w:lang w:val="pt-BR"/>
        </w:rPr>
        <w:t xml:space="preserve"> montante de investimentos realizados em equipamentos e instalações </w:t>
      </w:r>
      <w:r w:rsidR="005963F8">
        <w:rPr>
          <w:rFonts w:ascii="Garamond" w:eastAsiaTheme="minorHAnsi" w:hAnsi="Garamond"/>
          <w:sz w:val="24"/>
          <w:szCs w:val="24"/>
          <w:lang w:val="pt-BR"/>
        </w:rPr>
        <w:t>do HRM</w:t>
      </w:r>
      <w:r w:rsidR="009F5433" w:rsidRPr="009F5433">
        <w:rPr>
          <w:rFonts w:ascii="Garamond" w:eastAsiaTheme="minorHAnsi" w:hAnsi="Garamond"/>
          <w:sz w:val="24"/>
          <w:szCs w:val="24"/>
          <w:lang w:val="pt-BR"/>
        </w:rPr>
        <w:t>)</w:t>
      </w:r>
      <w:r w:rsidR="00D02F64" w:rsidRPr="007B3D3E">
        <w:rPr>
          <w:rFonts w:ascii="Garamond" w:eastAsiaTheme="minorHAnsi" w:hAnsi="Garamond"/>
          <w:sz w:val="24"/>
          <w:szCs w:val="24"/>
          <w:lang w:val="pt-BR"/>
        </w:rPr>
        <w:t xml:space="preserve"> que serão repassados em 11 Etapas </w:t>
      </w:r>
      <w:r w:rsidR="00A474AC">
        <w:rPr>
          <w:rFonts w:ascii="Garamond" w:eastAsiaTheme="minorHAnsi" w:hAnsi="Garamond"/>
          <w:sz w:val="24"/>
          <w:szCs w:val="24"/>
          <w:lang w:val="pt-BR"/>
        </w:rPr>
        <w:t>à</w:t>
      </w:r>
      <w:r w:rsidR="00D02F64" w:rsidRPr="007B3D3E">
        <w:rPr>
          <w:rFonts w:ascii="Garamond" w:eastAsiaTheme="minorHAnsi" w:hAnsi="Garamond"/>
          <w:sz w:val="24"/>
          <w:szCs w:val="24"/>
          <w:lang w:val="pt-BR"/>
        </w:rPr>
        <w:t xml:space="preserve"> Ganhadora e </w:t>
      </w:r>
      <w:r w:rsidR="00D02F64" w:rsidRPr="009F5433">
        <w:rPr>
          <w:rFonts w:ascii="Garamond" w:eastAsiaTheme="minorHAnsi" w:hAnsi="Garamond"/>
          <w:b/>
          <w:sz w:val="24"/>
          <w:szCs w:val="24"/>
          <w:lang w:val="pt-BR"/>
        </w:rPr>
        <w:t xml:space="preserve">R$ 2,1 Bilhões </w:t>
      </w:r>
      <w:r w:rsidR="009F5433" w:rsidRPr="009F5433">
        <w:rPr>
          <w:rFonts w:ascii="Garamond" w:eastAsiaTheme="minorHAnsi" w:hAnsi="Garamond"/>
          <w:b/>
          <w:sz w:val="24"/>
          <w:szCs w:val="24"/>
          <w:lang w:val="pt-BR"/>
        </w:rPr>
        <w:t xml:space="preserve">de </w:t>
      </w:r>
      <w:hyperlink r:id="rId9" w:tooltip="OPEX" w:history="1">
        <w:r w:rsidR="009F5433" w:rsidRPr="009F5433">
          <w:rPr>
            <w:rFonts w:ascii="Garamond" w:eastAsiaTheme="minorHAnsi" w:hAnsi="Garamond"/>
            <w:b/>
            <w:sz w:val="24"/>
            <w:szCs w:val="24"/>
            <w:lang w:val="pt-BR"/>
          </w:rPr>
          <w:t>OPEX</w:t>
        </w:r>
      </w:hyperlink>
      <w:r w:rsidR="009F5433" w:rsidRPr="009F5433">
        <w:rPr>
          <w:rFonts w:ascii="Garamond" w:eastAsiaTheme="minorHAnsi" w:hAnsi="Garamond"/>
          <w:sz w:val="24"/>
          <w:szCs w:val="24"/>
          <w:lang w:val="pt-BR"/>
        </w:rPr>
        <w:t xml:space="preserve"> (</w:t>
      </w:r>
      <w:proofErr w:type="spellStart"/>
      <w:r w:rsidR="009F5433" w:rsidRPr="005963F8">
        <w:rPr>
          <w:rFonts w:ascii="Garamond" w:eastAsiaTheme="minorHAnsi" w:hAnsi="Garamond"/>
          <w:i/>
          <w:sz w:val="24"/>
          <w:szCs w:val="24"/>
          <w:lang w:val="pt-BR"/>
        </w:rPr>
        <w:t>operational</w:t>
      </w:r>
      <w:proofErr w:type="spellEnd"/>
      <w:r w:rsidR="009F5433" w:rsidRPr="005963F8">
        <w:rPr>
          <w:rFonts w:ascii="Garamond" w:eastAsiaTheme="minorHAnsi" w:hAnsi="Garamond"/>
          <w:i/>
          <w:sz w:val="24"/>
          <w:szCs w:val="24"/>
          <w:lang w:val="pt-BR"/>
        </w:rPr>
        <w:t xml:space="preserve"> </w:t>
      </w:r>
      <w:proofErr w:type="spellStart"/>
      <w:r w:rsidR="009F5433" w:rsidRPr="005963F8">
        <w:rPr>
          <w:rFonts w:ascii="Garamond" w:eastAsiaTheme="minorHAnsi" w:hAnsi="Garamond"/>
          <w:i/>
          <w:sz w:val="24"/>
          <w:szCs w:val="24"/>
          <w:lang w:val="pt-BR"/>
        </w:rPr>
        <w:t>expenditure</w:t>
      </w:r>
      <w:proofErr w:type="spellEnd"/>
      <w:r w:rsidR="009F5433" w:rsidRPr="009F5433">
        <w:rPr>
          <w:rFonts w:ascii="Garamond" w:eastAsiaTheme="minorHAnsi" w:hAnsi="Garamond"/>
          <w:sz w:val="24"/>
          <w:szCs w:val="24"/>
          <w:lang w:val="pt-BR"/>
        </w:rPr>
        <w:t xml:space="preserve"> - custo associado à manutenção dos equipamentos e aos gastos de consumíveis e outras despesas operacionais, necessários à produção e à manutenção </w:t>
      </w:r>
      <w:r w:rsidR="005963F8">
        <w:rPr>
          <w:rFonts w:ascii="Garamond" w:eastAsiaTheme="minorHAnsi" w:hAnsi="Garamond"/>
          <w:sz w:val="24"/>
          <w:szCs w:val="24"/>
          <w:lang w:val="pt-BR"/>
        </w:rPr>
        <w:t>do HRM</w:t>
      </w:r>
      <w:r w:rsidR="009F5433" w:rsidRPr="009F5433">
        <w:rPr>
          <w:rFonts w:ascii="Garamond" w:eastAsiaTheme="minorHAnsi" w:hAnsi="Garamond"/>
          <w:sz w:val="24"/>
          <w:szCs w:val="24"/>
          <w:lang w:val="pt-BR"/>
        </w:rPr>
        <w:t>)</w:t>
      </w:r>
      <w:r w:rsidR="009F5433" w:rsidRPr="007B3D3E">
        <w:rPr>
          <w:rFonts w:ascii="Garamond" w:eastAsiaTheme="minorHAnsi" w:hAnsi="Garamond"/>
          <w:sz w:val="24"/>
          <w:szCs w:val="24"/>
          <w:lang w:val="pt-BR"/>
        </w:rPr>
        <w:t xml:space="preserve"> </w:t>
      </w:r>
      <w:r w:rsidR="00D02F64" w:rsidRPr="007B3D3E">
        <w:rPr>
          <w:rFonts w:ascii="Garamond" w:eastAsiaTheme="minorHAnsi" w:hAnsi="Garamond"/>
          <w:sz w:val="24"/>
          <w:szCs w:val="24"/>
          <w:lang w:val="pt-BR"/>
        </w:rPr>
        <w:t>para Manutenção/Operação (</w:t>
      </w:r>
      <w:r w:rsidR="00A474AC">
        <w:rPr>
          <w:rFonts w:ascii="Garamond" w:eastAsiaTheme="minorHAnsi" w:hAnsi="Garamond"/>
          <w:sz w:val="24"/>
          <w:szCs w:val="24"/>
          <w:lang w:val="pt-BR"/>
        </w:rPr>
        <w:t>“</w:t>
      </w:r>
      <w:r w:rsidR="00D02F64" w:rsidRPr="007B3D3E">
        <w:rPr>
          <w:rFonts w:ascii="Garamond" w:eastAsiaTheme="minorHAnsi" w:hAnsi="Garamond"/>
          <w:sz w:val="24"/>
          <w:szCs w:val="24"/>
          <w:lang w:val="pt-BR"/>
        </w:rPr>
        <w:t>Bata Cinza</w:t>
      </w:r>
      <w:r w:rsidR="00A474AC">
        <w:rPr>
          <w:rFonts w:ascii="Garamond" w:eastAsiaTheme="minorHAnsi" w:hAnsi="Garamond"/>
          <w:sz w:val="24"/>
          <w:szCs w:val="24"/>
          <w:lang w:val="pt-BR"/>
        </w:rPr>
        <w:t>”</w:t>
      </w:r>
      <w:r w:rsidR="00D02F64" w:rsidRPr="007B3D3E">
        <w:rPr>
          <w:rFonts w:ascii="Garamond" w:eastAsiaTheme="minorHAnsi" w:hAnsi="Garamond"/>
          <w:sz w:val="24"/>
          <w:szCs w:val="24"/>
          <w:lang w:val="pt-BR"/>
        </w:rPr>
        <w:t xml:space="preserve"> – Serviços que não de atendimento médico</w:t>
      </w:r>
      <w:r w:rsidR="002A253E" w:rsidRPr="007B3D3E">
        <w:rPr>
          <w:rFonts w:ascii="Garamond" w:eastAsiaTheme="minorHAnsi" w:hAnsi="Garamond"/>
          <w:sz w:val="24"/>
          <w:szCs w:val="24"/>
          <w:lang w:val="pt-BR"/>
        </w:rPr>
        <w:t>, incluindo manutenção dos equipamentos</w:t>
      </w:r>
      <w:r w:rsidR="00D02F64" w:rsidRPr="007B3D3E">
        <w:rPr>
          <w:rFonts w:ascii="Garamond" w:eastAsiaTheme="minorHAnsi" w:hAnsi="Garamond"/>
          <w:sz w:val="24"/>
          <w:szCs w:val="24"/>
          <w:lang w:val="pt-BR"/>
        </w:rPr>
        <w:t>) nos 22,5 anos subsequentes (aproximadamente, R$ 94 Milhões/ano).</w:t>
      </w:r>
    </w:p>
    <w:p w:rsidR="00B42DBC" w:rsidRPr="007B3D3E" w:rsidRDefault="00B42DBC" w:rsidP="00E14054">
      <w:pPr>
        <w:spacing w:before="100" w:beforeAutospacing="1" w:after="100" w:afterAutospacing="1"/>
        <w:jc w:val="both"/>
        <w:rPr>
          <w:rFonts w:ascii="Garamond" w:eastAsiaTheme="minorHAnsi" w:hAnsi="Garamond"/>
          <w:sz w:val="24"/>
          <w:szCs w:val="24"/>
          <w:lang w:val="pt-BR"/>
        </w:rPr>
      </w:pPr>
      <w:r w:rsidRPr="00D71912">
        <w:rPr>
          <w:rFonts w:ascii="Garamond" w:eastAsiaTheme="minorHAnsi" w:hAnsi="Garamond"/>
          <w:sz w:val="24"/>
          <w:szCs w:val="24"/>
          <w:lang w:val="pt-BR"/>
        </w:rPr>
        <w:t>A gestão dos serviços assistenciais (</w:t>
      </w:r>
      <w:r w:rsidR="00A474AC">
        <w:rPr>
          <w:rFonts w:ascii="Garamond" w:eastAsiaTheme="minorHAnsi" w:hAnsi="Garamond"/>
          <w:sz w:val="24"/>
          <w:szCs w:val="24"/>
          <w:lang w:val="pt-BR"/>
        </w:rPr>
        <w:t>“</w:t>
      </w:r>
      <w:r w:rsidRPr="00D71912">
        <w:rPr>
          <w:rFonts w:ascii="Garamond" w:eastAsiaTheme="minorHAnsi" w:hAnsi="Garamond"/>
          <w:sz w:val="24"/>
          <w:szCs w:val="24"/>
          <w:lang w:val="pt-BR"/>
        </w:rPr>
        <w:t>bata branca</w:t>
      </w:r>
      <w:r w:rsidR="00A474AC">
        <w:rPr>
          <w:rFonts w:ascii="Garamond" w:eastAsiaTheme="minorHAnsi" w:hAnsi="Garamond"/>
          <w:sz w:val="24"/>
          <w:szCs w:val="24"/>
          <w:lang w:val="pt-BR"/>
        </w:rPr>
        <w:t>”</w:t>
      </w:r>
      <w:r w:rsidRPr="00D71912">
        <w:rPr>
          <w:rFonts w:ascii="Garamond" w:eastAsiaTheme="minorHAnsi" w:hAnsi="Garamond"/>
          <w:sz w:val="24"/>
          <w:szCs w:val="24"/>
          <w:lang w:val="pt-BR"/>
        </w:rPr>
        <w:t xml:space="preserve">) ficará sob a responsabilidade do </w:t>
      </w:r>
      <w:r w:rsidR="00A474AC">
        <w:rPr>
          <w:rFonts w:ascii="Garamond" w:eastAsiaTheme="minorHAnsi" w:hAnsi="Garamond"/>
          <w:sz w:val="24"/>
          <w:szCs w:val="24"/>
          <w:lang w:val="pt-BR"/>
        </w:rPr>
        <w:t>E</w:t>
      </w:r>
      <w:r w:rsidRPr="00D71912">
        <w:rPr>
          <w:rFonts w:ascii="Garamond" w:eastAsiaTheme="minorHAnsi" w:hAnsi="Garamond"/>
          <w:sz w:val="24"/>
          <w:szCs w:val="24"/>
          <w:lang w:val="pt-BR"/>
        </w:rPr>
        <w:t>stado</w:t>
      </w:r>
      <w:r>
        <w:rPr>
          <w:rFonts w:ascii="Garamond" w:eastAsiaTheme="minorHAnsi" w:hAnsi="Garamond"/>
          <w:sz w:val="24"/>
          <w:szCs w:val="24"/>
          <w:lang w:val="pt-BR"/>
        </w:rPr>
        <w:t>, assim como, a disponibilização dos equipamentos e materiais necessários.</w:t>
      </w:r>
    </w:p>
    <w:p w:rsidR="00D02F64" w:rsidRPr="00BC69E4" w:rsidRDefault="00E14054" w:rsidP="00B63CC9">
      <w:pPr>
        <w:spacing w:before="100" w:beforeAutospacing="1" w:after="100" w:afterAutospacing="1"/>
        <w:jc w:val="both"/>
        <w:rPr>
          <w:rFonts w:ascii="Garamond" w:eastAsiaTheme="minorHAnsi" w:hAnsi="Garamond"/>
          <w:sz w:val="24"/>
          <w:szCs w:val="24"/>
          <w:lang w:val="pt-BR"/>
        </w:rPr>
      </w:pPr>
      <w:r w:rsidRPr="007B3D3E">
        <w:rPr>
          <w:rFonts w:ascii="Garamond" w:eastAsiaTheme="minorHAnsi" w:hAnsi="Garamond"/>
          <w:sz w:val="24"/>
          <w:szCs w:val="24"/>
          <w:lang w:val="pt-BR"/>
        </w:rPr>
        <w:t xml:space="preserve">4.3. </w:t>
      </w:r>
      <w:r w:rsidR="00BC69E4" w:rsidRPr="00BC69E4">
        <w:rPr>
          <w:rFonts w:ascii="Garamond" w:eastAsiaTheme="minorHAnsi" w:hAnsi="Garamond"/>
          <w:b/>
          <w:sz w:val="24"/>
          <w:szCs w:val="24"/>
          <w:lang w:val="pt-BR"/>
        </w:rPr>
        <w:t>Composição do CAPEX</w:t>
      </w:r>
      <w:r w:rsidR="00BC69E4">
        <w:rPr>
          <w:rFonts w:ascii="Garamond" w:eastAsiaTheme="minorHAnsi" w:hAnsi="Garamond"/>
          <w:sz w:val="24"/>
          <w:szCs w:val="24"/>
          <w:lang w:val="pt-BR"/>
        </w:rPr>
        <w:t xml:space="preserve"> – </w:t>
      </w:r>
      <w:r w:rsidR="00BC69E4" w:rsidRPr="00BC69E4">
        <w:rPr>
          <w:rFonts w:ascii="Garamond" w:eastAsiaTheme="minorHAnsi" w:hAnsi="Garamond"/>
          <w:sz w:val="24"/>
          <w:szCs w:val="24"/>
          <w:lang w:val="pt-BR"/>
        </w:rPr>
        <w:t xml:space="preserve">11 </w:t>
      </w:r>
      <w:r w:rsidRPr="00BC69E4">
        <w:rPr>
          <w:rFonts w:ascii="Garamond" w:eastAsiaTheme="minorHAnsi" w:hAnsi="Garamond"/>
          <w:sz w:val="24"/>
          <w:szCs w:val="24"/>
          <w:lang w:val="pt-BR"/>
        </w:rPr>
        <w:t>Repasses do</w:t>
      </w:r>
      <w:r w:rsidR="00BC69E4" w:rsidRPr="00BC69E4">
        <w:rPr>
          <w:rFonts w:ascii="Garamond" w:eastAsiaTheme="minorHAnsi" w:hAnsi="Garamond"/>
          <w:sz w:val="24"/>
          <w:szCs w:val="24"/>
          <w:lang w:val="pt-BR"/>
        </w:rPr>
        <w:t xml:space="preserve"> Estado que serão realizados nos 2,5 primeiros anos da PPP, conforme a seguir:</w:t>
      </w:r>
    </w:p>
    <w:tbl>
      <w:tblPr>
        <w:tblW w:w="10090" w:type="dxa"/>
        <w:tblCellMar>
          <w:left w:w="0" w:type="dxa"/>
          <w:right w:w="0" w:type="dxa"/>
        </w:tblCellMar>
        <w:tblLook w:val="0600" w:firstRow="0" w:lastRow="0" w:firstColumn="0" w:lastColumn="0" w:noHBand="1" w:noVBand="1"/>
      </w:tblPr>
      <w:tblGrid>
        <w:gridCol w:w="10090"/>
      </w:tblGrid>
      <w:tr w:rsidR="00E14054" w:rsidRPr="007B3D3E" w:rsidTr="00BC69E4">
        <w:trPr>
          <w:trHeight w:val="627"/>
        </w:trPr>
        <w:tc>
          <w:tcPr>
            <w:tcW w:w="10090" w:type="dxa"/>
            <w:tcBorders>
              <w:top w:val="single" w:sz="8" w:space="0" w:color="4BACC6"/>
              <w:left w:val="single" w:sz="8" w:space="0" w:color="4BACC6"/>
              <w:bottom w:val="single" w:sz="8" w:space="0" w:color="4BACC6"/>
              <w:right w:val="single" w:sz="8" w:space="0" w:color="4BACC6"/>
            </w:tcBorders>
            <w:shd w:val="clear" w:color="auto" w:fill="E9F1F5"/>
            <w:tcMar>
              <w:top w:w="10" w:type="dxa"/>
              <w:left w:w="10" w:type="dxa"/>
              <w:bottom w:w="0" w:type="dxa"/>
              <w:right w:w="10" w:type="dxa"/>
            </w:tcMar>
            <w:vAlign w:val="center"/>
            <w:hideMark/>
          </w:tcPr>
          <w:p w:rsidR="00E14054" w:rsidRPr="007B3D3E" w:rsidRDefault="00E14054" w:rsidP="00E14054">
            <w:pPr>
              <w:spacing w:before="100" w:beforeAutospacing="1" w:after="100" w:afterAutospacing="1"/>
              <w:jc w:val="both"/>
              <w:rPr>
                <w:rFonts w:ascii="Garamond" w:eastAsiaTheme="minorHAnsi" w:hAnsi="Garamond"/>
                <w:sz w:val="24"/>
                <w:szCs w:val="24"/>
                <w:lang w:val="pt-BR"/>
              </w:rPr>
            </w:pPr>
            <w:r w:rsidRPr="007B3D3E">
              <w:rPr>
                <w:rFonts w:ascii="Garamond" w:eastAsiaTheme="minorHAnsi" w:hAnsi="Garamond"/>
                <w:sz w:val="24"/>
                <w:szCs w:val="24"/>
                <w:lang w:val="pt-BR"/>
              </w:rPr>
              <w:lastRenderedPageBreak/>
              <w:t xml:space="preserve">ETAPA </w:t>
            </w:r>
            <w:proofErr w:type="gramStart"/>
            <w:r w:rsidRPr="007B3D3E">
              <w:rPr>
                <w:rFonts w:ascii="Garamond" w:eastAsiaTheme="minorHAnsi" w:hAnsi="Garamond"/>
                <w:sz w:val="24"/>
                <w:szCs w:val="24"/>
                <w:lang w:val="pt-BR"/>
              </w:rPr>
              <w:t>1</w:t>
            </w:r>
            <w:proofErr w:type="gramEnd"/>
            <w:r w:rsidRPr="007B3D3E">
              <w:rPr>
                <w:rFonts w:ascii="Garamond" w:eastAsiaTheme="minorHAnsi" w:hAnsi="Garamond"/>
                <w:sz w:val="24"/>
                <w:szCs w:val="24"/>
                <w:lang w:val="pt-BR"/>
              </w:rPr>
              <w:t>: a ser concluída dentro de até 01 (um) mês contados da DATA DE EFICÁCIA</w:t>
            </w:r>
            <w:r w:rsidR="00A474AC">
              <w:rPr>
                <w:rStyle w:val="FootnoteReference"/>
                <w:rFonts w:ascii="Garamond" w:eastAsiaTheme="minorHAnsi" w:hAnsi="Garamond"/>
                <w:sz w:val="24"/>
                <w:szCs w:val="24"/>
                <w:lang w:val="pt-BR"/>
              </w:rPr>
              <w:footnoteReference w:id="1"/>
            </w:r>
            <w:r w:rsidRPr="007B3D3E">
              <w:rPr>
                <w:rFonts w:ascii="Garamond" w:eastAsiaTheme="minorHAnsi" w:hAnsi="Garamond"/>
                <w:sz w:val="24"/>
                <w:szCs w:val="24"/>
                <w:lang w:val="pt-BR"/>
              </w:rPr>
              <w:t>, pela realização da aquisição do terreno. Remuneração correspondente à parcela de R$ 21.242.976,57;</w:t>
            </w:r>
          </w:p>
        </w:tc>
      </w:tr>
      <w:tr w:rsidR="00E14054" w:rsidRPr="00B42DBC" w:rsidTr="00BC69E4">
        <w:trPr>
          <w:trHeight w:val="896"/>
        </w:trPr>
        <w:tc>
          <w:tcPr>
            <w:tcW w:w="10090" w:type="dxa"/>
            <w:tcBorders>
              <w:top w:val="single" w:sz="8" w:space="0" w:color="4BACC6"/>
              <w:left w:val="single" w:sz="8" w:space="0" w:color="4BACC6"/>
              <w:bottom w:val="single" w:sz="8" w:space="0" w:color="4BACC6"/>
              <w:right w:val="single" w:sz="8" w:space="0" w:color="4BACC6"/>
            </w:tcBorders>
            <w:shd w:val="clear" w:color="auto" w:fill="E9F1F5"/>
            <w:tcMar>
              <w:top w:w="10" w:type="dxa"/>
              <w:left w:w="10" w:type="dxa"/>
              <w:bottom w:w="0" w:type="dxa"/>
              <w:right w:w="10" w:type="dxa"/>
            </w:tcMar>
            <w:vAlign w:val="center"/>
            <w:hideMark/>
          </w:tcPr>
          <w:p w:rsidR="00E14054" w:rsidRPr="007B3D3E" w:rsidRDefault="00E14054" w:rsidP="00E14054">
            <w:pPr>
              <w:spacing w:before="100" w:beforeAutospacing="1" w:after="100" w:afterAutospacing="1"/>
              <w:jc w:val="both"/>
              <w:rPr>
                <w:rFonts w:ascii="Garamond" w:eastAsiaTheme="minorHAnsi" w:hAnsi="Garamond"/>
                <w:sz w:val="24"/>
                <w:szCs w:val="24"/>
                <w:lang w:val="pt-BR"/>
              </w:rPr>
            </w:pPr>
            <w:r w:rsidRPr="00B42DBC">
              <w:rPr>
                <w:rFonts w:ascii="Garamond" w:eastAsiaTheme="minorHAnsi" w:hAnsi="Garamond"/>
                <w:sz w:val="24"/>
                <w:szCs w:val="24"/>
                <w:lang w:val="pt-BR"/>
              </w:rPr>
              <w:t xml:space="preserve">ETAPA </w:t>
            </w:r>
            <w:proofErr w:type="gramStart"/>
            <w:r w:rsidRPr="00B42DBC">
              <w:rPr>
                <w:rFonts w:ascii="Garamond" w:eastAsiaTheme="minorHAnsi" w:hAnsi="Garamond"/>
                <w:sz w:val="24"/>
                <w:szCs w:val="24"/>
                <w:lang w:val="pt-BR"/>
              </w:rPr>
              <w:t>2</w:t>
            </w:r>
            <w:proofErr w:type="gramEnd"/>
            <w:r w:rsidRPr="00B42DBC">
              <w:rPr>
                <w:rFonts w:ascii="Garamond" w:eastAsiaTheme="minorHAnsi" w:hAnsi="Garamond"/>
                <w:sz w:val="24"/>
                <w:szCs w:val="24"/>
                <w:lang w:val="pt-BR"/>
              </w:rPr>
              <w:t>:</w:t>
            </w:r>
            <w:r w:rsidRPr="007B3D3E">
              <w:rPr>
                <w:rFonts w:ascii="Garamond" w:eastAsiaTheme="minorHAnsi" w:hAnsi="Garamond"/>
                <w:sz w:val="24"/>
                <w:szCs w:val="24"/>
                <w:lang w:val="pt-BR"/>
              </w:rPr>
              <w:t xml:space="preserve"> a ser concluída dentro de até 02 (dois) meses contados da DATA DE EFICÁCIA, pela realização dos serviços de limpeza do terreno e terraplenagem. Remuneração correspondente à parcela de R$ 18.285.389,51;</w:t>
            </w:r>
          </w:p>
        </w:tc>
      </w:tr>
      <w:tr w:rsidR="00E14054" w:rsidRPr="007B3D3E" w:rsidTr="00BC69E4">
        <w:trPr>
          <w:trHeight w:val="896"/>
        </w:trPr>
        <w:tc>
          <w:tcPr>
            <w:tcW w:w="10090" w:type="dxa"/>
            <w:tcBorders>
              <w:top w:val="single" w:sz="8" w:space="0" w:color="4BACC6"/>
              <w:left w:val="single" w:sz="8" w:space="0" w:color="4BACC6"/>
              <w:bottom w:val="single" w:sz="8" w:space="0" w:color="4BACC6"/>
              <w:right w:val="single" w:sz="8" w:space="0" w:color="4BACC6"/>
            </w:tcBorders>
            <w:shd w:val="clear" w:color="auto" w:fill="E9F1F5"/>
            <w:tcMar>
              <w:top w:w="10" w:type="dxa"/>
              <w:left w:w="10" w:type="dxa"/>
              <w:bottom w:w="0" w:type="dxa"/>
              <w:right w:w="10" w:type="dxa"/>
            </w:tcMar>
            <w:vAlign w:val="center"/>
            <w:hideMark/>
          </w:tcPr>
          <w:p w:rsidR="00E14054" w:rsidRPr="007B3D3E" w:rsidRDefault="00E14054" w:rsidP="00E14054">
            <w:pPr>
              <w:spacing w:before="100" w:beforeAutospacing="1" w:after="100" w:afterAutospacing="1"/>
              <w:jc w:val="both"/>
              <w:rPr>
                <w:rFonts w:ascii="Garamond" w:eastAsiaTheme="minorHAnsi" w:hAnsi="Garamond"/>
                <w:sz w:val="24"/>
                <w:szCs w:val="24"/>
                <w:lang w:val="pt-BR"/>
              </w:rPr>
            </w:pPr>
            <w:r w:rsidRPr="007B3D3E">
              <w:rPr>
                <w:rFonts w:ascii="Garamond" w:eastAsiaTheme="minorHAnsi" w:hAnsi="Garamond"/>
                <w:sz w:val="24"/>
                <w:szCs w:val="24"/>
                <w:lang w:val="pt-BR"/>
              </w:rPr>
              <w:t xml:space="preserve">ETAPA </w:t>
            </w:r>
            <w:proofErr w:type="gramStart"/>
            <w:r w:rsidRPr="007B3D3E">
              <w:rPr>
                <w:rFonts w:ascii="Garamond" w:eastAsiaTheme="minorHAnsi" w:hAnsi="Garamond"/>
                <w:sz w:val="24"/>
                <w:szCs w:val="24"/>
                <w:lang w:val="pt-BR"/>
              </w:rPr>
              <w:t>3</w:t>
            </w:r>
            <w:proofErr w:type="gramEnd"/>
            <w:r w:rsidRPr="007B3D3E">
              <w:rPr>
                <w:rFonts w:ascii="Garamond" w:eastAsiaTheme="minorHAnsi" w:hAnsi="Garamond"/>
                <w:sz w:val="24"/>
                <w:szCs w:val="24"/>
                <w:lang w:val="pt-BR"/>
              </w:rPr>
              <w:t>: a ser concluída dentro de até 04 (quatro) meses contados da DATA DE EFICÁCIA, pela realização dos serviços de fundações profundas – estacas. Remuneração correspondente à parcela de R$ 12.376.086,81;</w:t>
            </w:r>
          </w:p>
        </w:tc>
      </w:tr>
      <w:tr w:rsidR="00E14054" w:rsidRPr="007B3D3E" w:rsidTr="00BC69E4">
        <w:trPr>
          <w:trHeight w:val="896"/>
        </w:trPr>
        <w:tc>
          <w:tcPr>
            <w:tcW w:w="10090" w:type="dxa"/>
            <w:tcBorders>
              <w:top w:val="single" w:sz="8" w:space="0" w:color="4BACC6"/>
              <w:left w:val="single" w:sz="8" w:space="0" w:color="4BACC6"/>
              <w:bottom w:val="single" w:sz="8" w:space="0" w:color="4BACC6"/>
              <w:right w:val="single" w:sz="8" w:space="0" w:color="4BACC6"/>
            </w:tcBorders>
            <w:shd w:val="clear" w:color="auto" w:fill="E9F1F5"/>
            <w:tcMar>
              <w:top w:w="10" w:type="dxa"/>
              <w:left w:w="10" w:type="dxa"/>
              <w:bottom w:w="0" w:type="dxa"/>
              <w:right w:w="10" w:type="dxa"/>
            </w:tcMar>
            <w:vAlign w:val="center"/>
            <w:hideMark/>
          </w:tcPr>
          <w:p w:rsidR="00E14054" w:rsidRPr="007B3D3E" w:rsidRDefault="00E14054" w:rsidP="00203EFE">
            <w:pPr>
              <w:spacing w:before="100" w:beforeAutospacing="1" w:after="100" w:afterAutospacing="1"/>
              <w:jc w:val="both"/>
              <w:rPr>
                <w:rFonts w:ascii="Garamond" w:eastAsiaTheme="minorHAnsi" w:hAnsi="Garamond"/>
                <w:sz w:val="24"/>
                <w:szCs w:val="24"/>
                <w:lang w:val="pt-BR"/>
              </w:rPr>
            </w:pPr>
            <w:r w:rsidRPr="007B3D3E">
              <w:rPr>
                <w:rFonts w:ascii="Garamond" w:eastAsiaTheme="minorHAnsi" w:hAnsi="Garamond"/>
                <w:sz w:val="24"/>
                <w:szCs w:val="24"/>
                <w:lang w:val="pt-BR"/>
              </w:rPr>
              <w:t xml:space="preserve">ETAPA </w:t>
            </w:r>
            <w:proofErr w:type="gramStart"/>
            <w:r w:rsidRPr="007B3D3E">
              <w:rPr>
                <w:rFonts w:ascii="Garamond" w:eastAsiaTheme="minorHAnsi" w:hAnsi="Garamond"/>
                <w:sz w:val="24"/>
                <w:szCs w:val="24"/>
                <w:lang w:val="pt-BR"/>
              </w:rPr>
              <w:t>4</w:t>
            </w:r>
            <w:proofErr w:type="gramEnd"/>
            <w:r w:rsidR="00203EFE" w:rsidRPr="007B3D3E">
              <w:rPr>
                <w:rFonts w:ascii="Garamond" w:eastAsiaTheme="minorHAnsi" w:hAnsi="Garamond"/>
                <w:sz w:val="24"/>
                <w:szCs w:val="24"/>
                <w:lang w:val="pt-BR"/>
              </w:rPr>
              <w:t>:</w:t>
            </w:r>
            <w:r w:rsidRPr="007B3D3E">
              <w:rPr>
                <w:rFonts w:ascii="Garamond" w:eastAsiaTheme="minorHAnsi" w:hAnsi="Garamond"/>
                <w:sz w:val="24"/>
                <w:szCs w:val="24"/>
                <w:lang w:val="pt-BR"/>
              </w:rPr>
              <w:t xml:space="preserve"> a ser concluída dentro de até 06 (seis) meses contados da DATA DE EFICÁCIA, pela realização dos serviços de 100% (cem por cento) dos blocos e cintas. Remuneração correspondente à parcela de R$ 18.285.389,51;</w:t>
            </w:r>
          </w:p>
        </w:tc>
      </w:tr>
      <w:tr w:rsidR="00E14054" w:rsidRPr="007B3D3E" w:rsidTr="00BC69E4">
        <w:trPr>
          <w:trHeight w:val="896"/>
        </w:trPr>
        <w:tc>
          <w:tcPr>
            <w:tcW w:w="10090" w:type="dxa"/>
            <w:tcBorders>
              <w:top w:val="single" w:sz="8" w:space="0" w:color="4BACC6"/>
              <w:left w:val="single" w:sz="8" w:space="0" w:color="4BACC6"/>
              <w:bottom w:val="single" w:sz="8" w:space="0" w:color="4BACC6"/>
              <w:right w:val="single" w:sz="8" w:space="0" w:color="4BACC6"/>
            </w:tcBorders>
            <w:shd w:val="clear" w:color="auto" w:fill="E9F1F5"/>
            <w:tcMar>
              <w:top w:w="10" w:type="dxa"/>
              <w:left w:w="10" w:type="dxa"/>
              <w:bottom w:w="0" w:type="dxa"/>
              <w:right w:w="10" w:type="dxa"/>
            </w:tcMar>
            <w:vAlign w:val="center"/>
            <w:hideMark/>
          </w:tcPr>
          <w:p w:rsidR="00E14054" w:rsidRPr="007B3D3E" w:rsidRDefault="00E14054" w:rsidP="00203EFE">
            <w:pPr>
              <w:spacing w:before="100" w:beforeAutospacing="1" w:after="100" w:afterAutospacing="1"/>
              <w:jc w:val="both"/>
              <w:rPr>
                <w:rFonts w:ascii="Garamond" w:eastAsiaTheme="minorHAnsi" w:hAnsi="Garamond"/>
                <w:sz w:val="24"/>
                <w:szCs w:val="24"/>
                <w:lang w:val="pt-BR"/>
              </w:rPr>
            </w:pPr>
            <w:r w:rsidRPr="007B3D3E">
              <w:rPr>
                <w:rFonts w:ascii="Garamond" w:eastAsiaTheme="minorHAnsi" w:hAnsi="Garamond"/>
                <w:sz w:val="24"/>
                <w:szCs w:val="24"/>
                <w:lang w:val="pt-BR"/>
              </w:rPr>
              <w:t xml:space="preserve">ETAPA </w:t>
            </w:r>
            <w:proofErr w:type="gramStart"/>
            <w:r w:rsidRPr="007B3D3E">
              <w:rPr>
                <w:rFonts w:ascii="Garamond" w:eastAsiaTheme="minorHAnsi" w:hAnsi="Garamond"/>
                <w:sz w:val="24"/>
                <w:szCs w:val="24"/>
                <w:lang w:val="pt-BR"/>
              </w:rPr>
              <w:t>5</w:t>
            </w:r>
            <w:proofErr w:type="gramEnd"/>
            <w:r w:rsidR="00203EFE" w:rsidRPr="007B3D3E">
              <w:rPr>
                <w:rFonts w:ascii="Garamond" w:eastAsiaTheme="minorHAnsi" w:hAnsi="Garamond"/>
                <w:sz w:val="24"/>
                <w:szCs w:val="24"/>
                <w:lang w:val="pt-BR"/>
              </w:rPr>
              <w:t>:</w:t>
            </w:r>
            <w:r w:rsidRPr="007B3D3E">
              <w:rPr>
                <w:rFonts w:ascii="Garamond" w:eastAsiaTheme="minorHAnsi" w:hAnsi="Garamond"/>
                <w:sz w:val="24"/>
                <w:szCs w:val="24"/>
                <w:lang w:val="pt-BR"/>
              </w:rPr>
              <w:t xml:space="preserve"> a ser concluída dentro de até 09 (nove) meses contados da DATA DE EFICÁCIA, pela realização dos serviços de conclusão das estruturas de concreto armado até o 3° pavimento. Remuneração correspondente à parcela de R$ 30.549.980,04;</w:t>
            </w:r>
          </w:p>
        </w:tc>
      </w:tr>
      <w:tr w:rsidR="00E14054" w:rsidRPr="007B3D3E" w:rsidTr="00BC69E4">
        <w:trPr>
          <w:trHeight w:val="896"/>
        </w:trPr>
        <w:tc>
          <w:tcPr>
            <w:tcW w:w="10090" w:type="dxa"/>
            <w:tcBorders>
              <w:top w:val="single" w:sz="8" w:space="0" w:color="4BACC6"/>
              <w:left w:val="single" w:sz="8" w:space="0" w:color="4BACC6"/>
              <w:bottom w:val="single" w:sz="8" w:space="0" w:color="4BACC6"/>
              <w:right w:val="single" w:sz="8" w:space="0" w:color="4BACC6"/>
            </w:tcBorders>
            <w:shd w:val="clear" w:color="auto" w:fill="E9F1F5"/>
            <w:tcMar>
              <w:top w:w="10" w:type="dxa"/>
              <w:left w:w="10" w:type="dxa"/>
              <w:bottom w:w="0" w:type="dxa"/>
              <w:right w:w="10" w:type="dxa"/>
            </w:tcMar>
            <w:vAlign w:val="center"/>
            <w:hideMark/>
          </w:tcPr>
          <w:p w:rsidR="00E14054" w:rsidRPr="007B3D3E" w:rsidRDefault="00E14054" w:rsidP="00203EFE">
            <w:pPr>
              <w:spacing w:before="100" w:beforeAutospacing="1" w:after="100" w:afterAutospacing="1"/>
              <w:jc w:val="both"/>
              <w:rPr>
                <w:rFonts w:ascii="Garamond" w:eastAsiaTheme="minorHAnsi" w:hAnsi="Garamond"/>
                <w:sz w:val="24"/>
                <w:szCs w:val="24"/>
                <w:lang w:val="pt-BR"/>
              </w:rPr>
            </w:pPr>
            <w:r w:rsidRPr="007B3D3E">
              <w:rPr>
                <w:rFonts w:ascii="Garamond" w:eastAsiaTheme="minorHAnsi" w:hAnsi="Garamond"/>
                <w:sz w:val="24"/>
                <w:szCs w:val="24"/>
                <w:lang w:val="pt-BR"/>
              </w:rPr>
              <w:t xml:space="preserve">ETAPA </w:t>
            </w:r>
            <w:proofErr w:type="gramStart"/>
            <w:r w:rsidRPr="007B3D3E">
              <w:rPr>
                <w:rFonts w:ascii="Garamond" w:eastAsiaTheme="minorHAnsi" w:hAnsi="Garamond"/>
                <w:sz w:val="24"/>
                <w:szCs w:val="24"/>
                <w:lang w:val="pt-BR"/>
              </w:rPr>
              <w:t>6</w:t>
            </w:r>
            <w:proofErr w:type="gramEnd"/>
            <w:r w:rsidR="00203EFE" w:rsidRPr="007B3D3E">
              <w:rPr>
                <w:rFonts w:ascii="Garamond" w:eastAsiaTheme="minorHAnsi" w:hAnsi="Garamond"/>
                <w:sz w:val="24"/>
                <w:szCs w:val="24"/>
                <w:lang w:val="pt-BR"/>
              </w:rPr>
              <w:t>:</w:t>
            </w:r>
            <w:r w:rsidRPr="007B3D3E">
              <w:rPr>
                <w:rFonts w:ascii="Garamond" w:eastAsiaTheme="minorHAnsi" w:hAnsi="Garamond"/>
                <w:sz w:val="24"/>
                <w:szCs w:val="24"/>
                <w:lang w:val="pt-BR"/>
              </w:rPr>
              <w:t xml:space="preserve"> a ser concluída dentro de até 11 (onze) meses contados da DATA DE EFICÁCIA, pela realização dos serviços de construção da ala do ensino e pesquisa, auditório, vestíbulo auditório, sanitários e 50% (cinquenta por cento) do estacionamento. Remuneração correspondente à parcela de R$ 42.034.096,63;</w:t>
            </w:r>
          </w:p>
        </w:tc>
      </w:tr>
      <w:tr w:rsidR="00203EFE" w:rsidRPr="007B3D3E" w:rsidTr="00BC69E4">
        <w:trPr>
          <w:trHeight w:val="896"/>
        </w:trPr>
        <w:tc>
          <w:tcPr>
            <w:tcW w:w="10090" w:type="dxa"/>
            <w:tcBorders>
              <w:top w:val="single" w:sz="8" w:space="0" w:color="4BACC6"/>
              <w:left w:val="single" w:sz="8" w:space="0" w:color="4BACC6"/>
              <w:bottom w:val="single" w:sz="8" w:space="0" w:color="4BACC6"/>
              <w:right w:val="single" w:sz="8" w:space="0" w:color="4BACC6"/>
            </w:tcBorders>
            <w:shd w:val="clear" w:color="auto" w:fill="E9F1F5"/>
            <w:tcMar>
              <w:top w:w="10" w:type="dxa"/>
              <w:left w:w="10" w:type="dxa"/>
              <w:bottom w:w="0" w:type="dxa"/>
              <w:right w:w="10" w:type="dxa"/>
            </w:tcMar>
            <w:vAlign w:val="center"/>
            <w:hideMark/>
          </w:tcPr>
          <w:p w:rsidR="00203EFE" w:rsidRPr="007B3D3E" w:rsidRDefault="00203EFE" w:rsidP="00203EFE">
            <w:pPr>
              <w:spacing w:before="100" w:beforeAutospacing="1" w:after="100" w:afterAutospacing="1"/>
              <w:jc w:val="both"/>
              <w:rPr>
                <w:rFonts w:ascii="Garamond" w:eastAsiaTheme="minorHAnsi" w:hAnsi="Garamond"/>
                <w:sz w:val="24"/>
                <w:szCs w:val="24"/>
                <w:lang w:val="pt-BR"/>
              </w:rPr>
            </w:pPr>
            <w:r w:rsidRPr="007B3D3E">
              <w:rPr>
                <w:rFonts w:ascii="Garamond" w:eastAsiaTheme="minorHAnsi" w:hAnsi="Garamond"/>
                <w:sz w:val="24"/>
                <w:szCs w:val="24"/>
                <w:lang w:val="pt-BR"/>
              </w:rPr>
              <w:t xml:space="preserve">ETAPA </w:t>
            </w:r>
            <w:proofErr w:type="gramStart"/>
            <w:r w:rsidRPr="007B3D3E">
              <w:rPr>
                <w:rFonts w:ascii="Garamond" w:eastAsiaTheme="minorHAnsi" w:hAnsi="Garamond"/>
                <w:sz w:val="24"/>
                <w:szCs w:val="24"/>
                <w:lang w:val="pt-BR"/>
              </w:rPr>
              <w:t>7</w:t>
            </w:r>
            <w:proofErr w:type="gramEnd"/>
            <w:r w:rsidRPr="007B3D3E">
              <w:rPr>
                <w:rFonts w:ascii="Garamond" w:eastAsiaTheme="minorHAnsi" w:hAnsi="Garamond"/>
                <w:sz w:val="24"/>
                <w:szCs w:val="24"/>
                <w:lang w:val="pt-BR"/>
              </w:rPr>
              <w:t>: a ser concluída dentro de até 15 (quinze) meses contados da DATA DE EFICÁCIA, pela realização dos serviços de 100% (cem por cento) das estrutura de concreto armado. Remuneração correspondente à parcela de R$ 44.487.014,73;</w:t>
            </w:r>
          </w:p>
        </w:tc>
      </w:tr>
      <w:tr w:rsidR="00203EFE" w:rsidRPr="007B3D3E" w:rsidTr="00BC69E4">
        <w:trPr>
          <w:trHeight w:val="896"/>
        </w:trPr>
        <w:tc>
          <w:tcPr>
            <w:tcW w:w="10090" w:type="dxa"/>
            <w:tcBorders>
              <w:top w:val="single" w:sz="8" w:space="0" w:color="4BACC6"/>
              <w:left w:val="single" w:sz="8" w:space="0" w:color="4BACC6"/>
              <w:bottom w:val="single" w:sz="8" w:space="0" w:color="4BACC6"/>
              <w:right w:val="single" w:sz="8" w:space="0" w:color="4BACC6"/>
            </w:tcBorders>
            <w:shd w:val="clear" w:color="auto" w:fill="E9F1F5"/>
            <w:tcMar>
              <w:top w:w="10" w:type="dxa"/>
              <w:left w:w="10" w:type="dxa"/>
              <w:bottom w:w="0" w:type="dxa"/>
              <w:right w:w="10" w:type="dxa"/>
            </w:tcMar>
            <w:vAlign w:val="center"/>
            <w:hideMark/>
          </w:tcPr>
          <w:p w:rsidR="00203EFE" w:rsidRPr="007B3D3E" w:rsidRDefault="00203EFE" w:rsidP="00203EFE">
            <w:pPr>
              <w:spacing w:before="100" w:beforeAutospacing="1" w:after="100" w:afterAutospacing="1"/>
              <w:jc w:val="both"/>
              <w:rPr>
                <w:rFonts w:ascii="Garamond" w:eastAsiaTheme="minorHAnsi" w:hAnsi="Garamond"/>
                <w:sz w:val="24"/>
                <w:szCs w:val="24"/>
                <w:lang w:val="pt-BR"/>
              </w:rPr>
            </w:pPr>
            <w:r w:rsidRPr="007B3D3E">
              <w:rPr>
                <w:rFonts w:ascii="Garamond" w:eastAsiaTheme="minorHAnsi" w:hAnsi="Garamond"/>
                <w:sz w:val="24"/>
                <w:szCs w:val="24"/>
                <w:lang w:val="pt-BR"/>
              </w:rPr>
              <w:t xml:space="preserve">ETAPA </w:t>
            </w:r>
            <w:proofErr w:type="gramStart"/>
            <w:r w:rsidRPr="007B3D3E">
              <w:rPr>
                <w:rFonts w:ascii="Garamond" w:eastAsiaTheme="minorHAnsi" w:hAnsi="Garamond"/>
                <w:sz w:val="24"/>
                <w:szCs w:val="24"/>
                <w:lang w:val="pt-BR"/>
              </w:rPr>
              <w:t>8</w:t>
            </w:r>
            <w:proofErr w:type="gramEnd"/>
            <w:r w:rsidRPr="007B3D3E">
              <w:rPr>
                <w:rFonts w:ascii="Garamond" w:eastAsiaTheme="minorHAnsi" w:hAnsi="Garamond"/>
                <w:sz w:val="24"/>
                <w:szCs w:val="24"/>
                <w:lang w:val="pt-BR"/>
              </w:rPr>
              <w:t>: a ser concluída dentro de até 18 (dezoito) meses contados da DATA DE EFICÁCIA, pela conclusão das obras de construção civil do bloco administrativo, ambulatórios, setor de urgência / emergência, SADT, centro cirúrgico, hospital dia, torre A e restaurantes, central de energia e resíduos. Remuneração correspondente à parcela de R$ 46.716.940,26;</w:t>
            </w:r>
          </w:p>
        </w:tc>
      </w:tr>
      <w:tr w:rsidR="00203EFE" w:rsidRPr="007B3D3E" w:rsidTr="00BC69E4">
        <w:trPr>
          <w:trHeight w:val="896"/>
        </w:trPr>
        <w:tc>
          <w:tcPr>
            <w:tcW w:w="10090" w:type="dxa"/>
            <w:tcBorders>
              <w:top w:val="single" w:sz="8" w:space="0" w:color="4BACC6"/>
              <w:left w:val="single" w:sz="8" w:space="0" w:color="4BACC6"/>
              <w:bottom w:val="single" w:sz="8" w:space="0" w:color="4BACC6"/>
              <w:right w:val="single" w:sz="8" w:space="0" w:color="4BACC6"/>
            </w:tcBorders>
            <w:shd w:val="clear" w:color="auto" w:fill="E9F1F5"/>
            <w:tcMar>
              <w:top w:w="10" w:type="dxa"/>
              <w:left w:w="10" w:type="dxa"/>
              <w:bottom w:w="0" w:type="dxa"/>
              <w:right w:w="10" w:type="dxa"/>
            </w:tcMar>
            <w:vAlign w:val="center"/>
            <w:hideMark/>
          </w:tcPr>
          <w:p w:rsidR="00203EFE" w:rsidRPr="007B3D3E" w:rsidRDefault="00203EFE" w:rsidP="00203EFE">
            <w:pPr>
              <w:spacing w:before="100" w:beforeAutospacing="1" w:after="100" w:afterAutospacing="1"/>
              <w:jc w:val="both"/>
              <w:rPr>
                <w:rFonts w:ascii="Garamond" w:eastAsiaTheme="minorHAnsi" w:hAnsi="Garamond"/>
                <w:sz w:val="24"/>
                <w:szCs w:val="24"/>
                <w:lang w:val="pt-BR"/>
              </w:rPr>
            </w:pPr>
            <w:r w:rsidRPr="007B3D3E">
              <w:rPr>
                <w:rFonts w:ascii="Garamond" w:eastAsiaTheme="minorHAnsi" w:hAnsi="Garamond"/>
                <w:sz w:val="24"/>
                <w:szCs w:val="24"/>
                <w:lang w:val="pt-BR"/>
              </w:rPr>
              <w:t xml:space="preserve">ETAPA </w:t>
            </w:r>
            <w:proofErr w:type="gramStart"/>
            <w:r w:rsidRPr="007B3D3E">
              <w:rPr>
                <w:rFonts w:ascii="Garamond" w:eastAsiaTheme="minorHAnsi" w:hAnsi="Garamond"/>
                <w:sz w:val="24"/>
                <w:szCs w:val="24"/>
                <w:lang w:val="pt-BR"/>
              </w:rPr>
              <w:t>9</w:t>
            </w:r>
            <w:proofErr w:type="gramEnd"/>
            <w:r w:rsidRPr="007B3D3E">
              <w:rPr>
                <w:rFonts w:ascii="Garamond" w:eastAsiaTheme="minorHAnsi" w:hAnsi="Garamond"/>
                <w:sz w:val="24"/>
                <w:szCs w:val="24"/>
                <w:lang w:val="pt-BR"/>
              </w:rPr>
              <w:t>: a ser concluída dentro de até 20 (vinte) meses contados da DATA DE EFICÁCIA, pela realização dos serviços de revestimentos externos e fachadas da Torre B. Remuneração correspondente à parcela de R$ 24.083.195,95;</w:t>
            </w:r>
          </w:p>
        </w:tc>
      </w:tr>
      <w:tr w:rsidR="00203EFE" w:rsidRPr="007B3D3E" w:rsidTr="00BC69E4">
        <w:trPr>
          <w:trHeight w:val="896"/>
        </w:trPr>
        <w:tc>
          <w:tcPr>
            <w:tcW w:w="10090" w:type="dxa"/>
            <w:tcBorders>
              <w:top w:val="single" w:sz="8" w:space="0" w:color="4BACC6"/>
              <w:left w:val="single" w:sz="8" w:space="0" w:color="4BACC6"/>
              <w:bottom w:val="single" w:sz="8" w:space="0" w:color="4BACC6"/>
              <w:right w:val="single" w:sz="8" w:space="0" w:color="4BACC6"/>
            </w:tcBorders>
            <w:shd w:val="clear" w:color="auto" w:fill="E9F1F5"/>
            <w:tcMar>
              <w:top w:w="10" w:type="dxa"/>
              <w:left w:w="10" w:type="dxa"/>
              <w:bottom w:w="0" w:type="dxa"/>
              <w:right w:w="10" w:type="dxa"/>
            </w:tcMar>
            <w:vAlign w:val="center"/>
            <w:hideMark/>
          </w:tcPr>
          <w:p w:rsidR="00203EFE" w:rsidRPr="007B3D3E" w:rsidRDefault="00203EFE" w:rsidP="00203EFE">
            <w:pPr>
              <w:spacing w:before="100" w:beforeAutospacing="1" w:after="100" w:afterAutospacing="1"/>
              <w:jc w:val="both"/>
              <w:rPr>
                <w:rFonts w:ascii="Garamond" w:eastAsiaTheme="minorHAnsi" w:hAnsi="Garamond"/>
                <w:sz w:val="24"/>
                <w:szCs w:val="24"/>
                <w:lang w:val="pt-BR"/>
              </w:rPr>
            </w:pPr>
            <w:r w:rsidRPr="007B3D3E">
              <w:rPr>
                <w:rFonts w:ascii="Garamond" w:eastAsiaTheme="minorHAnsi" w:hAnsi="Garamond"/>
                <w:sz w:val="24"/>
                <w:szCs w:val="24"/>
                <w:lang w:val="pt-BR"/>
              </w:rPr>
              <w:t>ETAPA 10: a ser concluída dentro de até 24 (vinte e quatro) meses contados da DATA DE EFICÁCIA, pela conclusão da construção das obras do edifício-sede do HRM/CE. Remuneração correspondente à parcela de R$ 7.581.746,87;</w:t>
            </w:r>
          </w:p>
        </w:tc>
      </w:tr>
      <w:tr w:rsidR="00203EFE" w:rsidRPr="00B42DBC" w:rsidTr="00BC69E4">
        <w:trPr>
          <w:trHeight w:val="896"/>
        </w:trPr>
        <w:tc>
          <w:tcPr>
            <w:tcW w:w="10090" w:type="dxa"/>
            <w:tcBorders>
              <w:top w:val="single" w:sz="8" w:space="0" w:color="4BACC6"/>
              <w:left w:val="single" w:sz="8" w:space="0" w:color="4BACC6"/>
              <w:bottom w:val="single" w:sz="4" w:space="0" w:color="auto"/>
              <w:right w:val="single" w:sz="8" w:space="0" w:color="4BACC6"/>
            </w:tcBorders>
            <w:shd w:val="clear" w:color="auto" w:fill="E9F1F5"/>
            <w:tcMar>
              <w:top w:w="10" w:type="dxa"/>
              <w:left w:w="10" w:type="dxa"/>
              <w:bottom w:w="0" w:type="dxa"/>
              <w:right w:w="10" w:type="dxa"/>
            </w:tcMar>
            <w:vAlign w:val="center"/>
            <w:hideMark/>
          </w:tcPr>
          <w:p w:rsidR="00203EFE" w:rsidRPr="007B3D3E" w:rsidRDefault="00203EFE" w:rsidP="00203EFE">
            <w:pPr>
              <w:spacing w:before="100" w:beforeAutospacing="1" w:after="100" w:afterAutospacing="1"/>
              <w:jc w:val="both"/>
              <w:rPr>
                <w:rFonts w:ascii="Garamond" w:eastAsiaTheme="minorHAnsi" w:hAnsi="Garamond"/>
                <w:sz w:val="24"/>
                <w:szCs w:val="24"/>
                <w:lang w:val="pt-BR"/>
              </w:rPr>
            </w:pPr>
            <w:r w:rsidRPr="007B3D3E">
              <w:rPr>
                <w:rFonts w:ascii="Garamond" w:eastAsiaTheme="minorHAnsi" w:hAnsi="Garamond"/>
                <w:sz w:val="24"/>
                <w:szCs w:val="24"/>
                <w:lang w:val="pt-BR"/>
              </w:rPr>
              <w:t xml:space="preserve">ETAPA 11: a ser concluída dentro de até 30 (trinta) meses contados da DATA DE EFICÁCIA, pela disponibilização e início de operação do </w:t>
            </w:r>
            <w:r w:rsidRPr="00B42DBC">
              <w:rPr>
                <w:rFonts w:ascii="Garamond" w:eastAsiaTheme="minorHAnsi" w:hAnsi="Garamond"/>
                <w:sz w:val="24"/>
                <w:szCs w:val="24"/>
                <w:lang w:val="pt-BR"/>
              </w:rPr>
              <w:t>edifício sede com instalação de equipamentos de informática, instalação dos equipamentos médicos de grande porte (escopo da Concessionária), incluindo a capacitação da equipe e comissionamento de equipamentos</w:t>
            </w:r>
            <w:r w:rsidRPr="007B3D3E">
              <w:rPr>
                <w:rFonts w:ascii="Garamond" w:eastAsiaTheme="minorHAnsi" w:hAnsi="Garamond"/>
                <w:sz w:val="24"/>
                <w:szCs w:val="24"/>
                <w:lang w:val="pt-BR"/>
              </w:rPr>
              <w:t>. Remuneração correspondente à parcela de R$ 22.324.031,09.</w:t>
            </w:r>
          </w:p>
        </w:tc>
      </w:tr>
      <w:tr w:rsidR="00AA31E7" w:rsidRPr="00AA31E7" w:rsidTr="00BC69E4">
        <w:trPr>
          <w:trHeight w:val="438"/>
        </w:trPr>
        <w:tc>
          <w:tcPr>
            <w:tcW w:w="10090" w:type="dxa"/>
            <w:tcBorders>
              <w:top w:val="single" w:sz="4" w:space="0" w:color="auto"/>
              <w:left w:val="single" w:sz="8" w:space="0" w:color="4BACC6"/>
              <w:bottom w:val="single" w:sz="8" w:space="0" w:color="4BACC6"/>
              <w:right w:val="single" w:sz="8" w:space="0" w:color="4BACC6"/>
            </w:tcBorders>
            <w:shd w:val="clear" w:color="auto" w:fill="E9F1F5"/>
            <w:tcMar>
              <w:top w:w="10" w:type="dxa"/>
              <w:left w:w="10" w:type="dxa"/>
              <w:bottom w:w="0" w:type="dxa"/>
              <w:right w:w="10" w:type="dxa"/>
            </w:tcMar>
            <w:vAlign w:val="center"/>
          </w:tcPr>
          <w:p w:rsidR="00AA31E7" w:rsidRPr="00AA31E7" w:rsidRDefault="00AA31E7" w:rsidP="00203EFE">
            <w:pPr>
              <w:spacing w:before="100" w:beforeAutospacing="1" w:after="100" w:afterAutospacing="1"/>
              <w:jc w:val="both"/>
              <w:rPr>
                <w:rFonts w:ascii="Garamond" w:eastAsiaTheme="minorHAnsi" w:hAnsi="Garamond"/>
                <w:b/>
                <w:sz w:val="24"/>
                <w:szCs w:val="24"/>
                <w:lang w:val="pt-BR"/>
              </w:rPr>
            </w:pPr>
            <w:proofErr w:type="gramStart"/>
            <w:r w:rsidRPr="00AA31E7">
              <w:rPr>
                <w:rFonts w:ascii="Garamond" w:eastAsiaTheme="minorHAnsi" w:hAnsi="Garamond"/>
                <w:b/>
                <w:sz w:val="24"/>
                <w:szCs w:val="24"/>
                <w:lang w:val="pt-BR"/>
              </w:rPr>
              <w:t>TOTAL REPASSES</w:t>
            </w:r>
            <w:proofErr w:type="gramEnd"/>
            <w:r>
              <w:rPr>
                <w:rFonts w:ascii="Garamond" w:eastAsiaTheme="minorHAnsi" w:hAnsi="Garamond"/>
                <w:b/>
                <w:sz w:val="24"/>
                <w:szCs w:val="24"/>
                <w:lang w:val="pt-BR"/>
              </w:rPr>
              <w:t xml:space="preserve"> </w:t>
            </w:r>
            <w:r w:rsidR="00BC69E4">
              <w:rPr>
                <w:rFonts w:ascii="Garamond" w:eastAsiaTheme="minorHAnsi" w:hAnsi="Garamond"/>
                <w:b/>
                <w:sz w:val="24"/>
                <w:szCs w:val="24"/>
                <w:lang w:val="pt-BR"/>
              </w:rPr>
              <w:t>(CAPEX)</w:t>
            </w:r>
            <w:r w:rsidRPr="00AA31E7">
              <w:rPr>
                <w:rFonts w:ascii="Garamond" w:eastAsiaTheme="minorHAnsi" w:hAnsi="Garamond"/>
                <w:b/>
                <w:sz w:val="24"/>
                <w:szCs w:val="24"/>
                <w:lang w:val="pt-BR"/>
              </w:rPr>
              <w:t>: R$ 287</w:t>
            </w:r>
            <w:r>
              <w:rPr>
                <w:rFonts w:ascii="Garamond" w:eastAsiaTheme="minorHAnsi" w:hAnsi="Garamond"/>
                <w:b/>
                <w:sz w:val="24"/>
                <w:szCs w:val="24"/>
                <w:lang w:val="pt-BR"/>
              </w:rPr>
              <w:t>.</w:t>
            </w:r>
            <w:r w:rsidRPr="00AA31E7">
              <w:rPr>
                <w:rFonts w:ascii="Garamond" w:eastAsiaTheme="minorHAnsi" w:hAnsi="Garamond"/>
                <w:b/>
                <w:sz w:val="24"/>
                <w:szCs w:val="24"/>
                <w:lang w:val="pt-BR"/>
              </w:rPr>
              <w:t>966</w:t>
            </w:r>
            <w:r>
              <w:rPr>
                <w:rFonts w:ascii="Garamond" w:eastAsiaTheme="minorHAnsi" w:hAnsi="Garamond"/>
                <w:b/>
                <w:sz w:val="24"/>
                <w:szCs w:val="24"/>
                <w:lang w:val="pt-BR"/>
              </w:rPr>
              <w:t>.847,</w:t>
            </w:r>
            <w:r w:rsidRPr="00AA31E7">
              <w:rPr>
                <w:rFonts w:ascii="Garamond" w:eastAsiaTheme="minorHAnsi" w:hAnsi="Garamond"/>
                <w:b/>
                <w:sz w:val="24"/>
                <w:szCs w:val="24"/>
                <w:lang w:val="pt-BR"/>
              </w:rPr>
              <w:t>97</w:t>
            </w:r>
          </w:p>
        </w:tc>
      </w:tr>
    </w:tbl>
    <w:p w:rsidR="00BC69E4" w:rsidRDefault="00BC69E4" w:rsidP="00BC69E4">
      <w:pPr>
        <w:pStyle w:val="ListParagraph"/>
        <w:ind w:left="1080"/>
        <w:rPr>
          <w:rFonts w:ascii="Garamond" w:hAnsi="Garamond" w:cs="Garamond"/>
          <w:b/>
          <w:bCs/>
          <w:sz w:val="24"/>
          <w:szCs w:val="24"/>
        </w:rPr>
      </w:pPr>
    </w:p>
    <w:p w:rsidR="00176140" w:rsidRDefault="00176140" w:rsidP="005809F0">
      <w:pPr>
        <w:pStyle w:val="ListParagraph"/>
        <w:ind w:left="1080"/>
        <w:rPr>
          <w:rFonts w:ascii="Garamond" w:hAnsi="Garamond" w:cs="Garamond"/>
          <w:b/>
          <w:bCs/>
          <w:sz w:val="24"/>
          <w:szCs w:val="24"/>
        </w:rPr>
      </w:pPr>
    </w:p>
    <w:p w:rsidR="005809F0" w:rsidRDefault="005809F0" w:rsidP="005809F0">
      <w:pPr>
        <w:pStyle w:val="ListParagraph"/>
        <w:ind w:left="1080"/>
        <w:rPr>
          <w:rFonts w:ascii="Garamond" w:hAnsi="Garamond" w:cs="Garamond"/>
          <w:b/>
          <w:bCs/>
          <w:sz w:val="24"/>
          <w:szCs w:val="24"/>
        </w:rPr>
      </w:pPr>
    </w:p>
    <w:p w:rsidR="005809F0" w:rsidRDefault="005809F0" w:rsidP="005809F0">
      <w:pPr>
        <w:pStyle w:val="ListParagraph"/>
        <w:ind w:left="1080"/>
        <w:rPr>
          <w:rFonts w:ascii="Garamond" w:hAnsi="Garamond" w:cs="Garamond"/>
          <w:b/>
          <w:bCs/>
          <w:sz w:val="24"/>
          <w:szCs w:val="24"/>
        </w:rPr>
      </w:pPr>
    </w:p>
    <w:p w:rsidR="005809F0" w:rsidRDefault="005809F0" w:rsidP="005809F0">
      <w:pPr>
        <w:pStyle w:val="ListParagraph"/>
        <w:ind w:left="1080"/>
        <w:rPr>
          <w:rFonts w:ascii="Garamond" w:hAnsi="Garamond" w:cs="Garamond"/>
          <w:b/>
          <w:bCs/>
          <w:sz w:val="24"/>
          <w:szCs w:val="24"/>
        </w:rPr>
      </w:pPr>
    </w:p>
    <w:p w:rsidR="005809F0" w:rsidRPr="005809F0" w:rsidRDefault="005809F0" w:rsidP="005809F0">
      <w:pPr>
        <w:pStyle w:val="ListParagraph"/>
        <w:ind w:left="1080"/>
        <w:rPr>
          <w:rFonts w:ascii="Garamond" w:hAnsi="Garamond" w:cs="Garamond"/>
          <w:b/>
          <w:bCs/>
          <w:sz w:val="24"/>
          <w:szCs w:val="24"/>
        </w:rPr>
      </w:pPr>
    </w:p>
    <w:p w:rsidR="007B3D3E" w:rsidRPr="007B3D3E" w:rsidRDefault="00356004" w:rsidP="00356004">
      <w:pPr>
        <w:pStyle w:val="ListParagraph"/>
        <w:numPr>
          <w:ilvl w:val="0"/>
          <w:numId w:val="1"/>
        </w:numPr>
        <w:jc w:val="center"/>
        <w:rPr>
          <w:rFonts w:ascii="Garamond" w:hAnsi="Garamond" w:cs="Garamond"/>
          <w:b/>
          <w:bCs/>
          <w:sz w:val="24"/>
          <w:szCs w:val="24"/>
        </w:rPr>
      </w:pPr>
      <w:r w:rsidRPr="007B3D3E">
        <w:rPr>
          <w:rFonts w:ascii="Garamond" w:hAnsi="Garamond" w:cs="Garamond"/>
          <w:b/>
          <w:bCs/>
          <w:sz w:val="24"/>
          <w:szCs w:val="24"/>
        </w:rPr>
        <w:t>Da Análise do Pleito</w:t>
      </w:r>
    </w:p>
    <w:p w:rsidR="00740E68" w:rsidRPr="00B94218" w:rsidRDefault="007B3D3E" w:rsidP="007B3D3E">
      <w:pPr>
        <w:rPr>
          <w:rFonts w:ascii="Garamond" w:hAnsi="Garamond" w:cs="Garamond"/>
          <w:b/>
          <w:bCs/>
          <w:sz w:val="24"/>
          <w:szCs w:val="24"/>
        </w:rPr>
      </w:pPr>
      <w:r w:rsidRPr="00B94218">
        <w:rPr>
          <w:rFonts w:ascii="Garamond" w:hAnsi="Garamond" w:cs="Garamond"/>
          <w:bCs/>
          <w:sz w:val="24"/>
          <w:szCs w:val="24"/>
        </w:rPr>
        <w:t xml:space="preserve">5.1. </w:t>
      </w:r>
      <w:r w:rsidRPr="00B94218">
        <w:rPr>
          <w:rFonts w:ascii="Garamond" w:hAnsi="Garamond" w:cs="Garamond"/>
          <w:b/>
          <w:bCs/>
          <w:sz w:val="24"/>
          <w:szCs w:val="24"/>
        </w:rPr>
        <w:t>Técnica/</w:t>
      </w:r>
      <w:proofErr w:type="spellStart"/>
      <w:r w:rsidRPr="00B94218">
        <w:rPr>
          <w:rFonts w:ascii="Garamond" w:hAnsi="Garamond" w:cs="Garamond"/>
          <w:b/>
          <w:bCs/>
          <w:sz w:val="24"/>
          <w:szCs w:val="24"/>
        </w:rPr>
        <w:t>Setorial</w:t>
      </w:r>
      <w:proofErr w:type="spellEnd"/>
      <w:r w:rsidRPr="00B94218">
        <w:rPr>
          <w:rFonts w:ascii="Garamond" w:hAnsi="Garamond" w:cs="Garamond"/>
          <w:b/>
          <w:bCs/>
          <w:sz w:val="24"/>
          <w:szCs w:val="24"/>
        </w:rPr>
        <w:t xml:space="preserve"> (SPH):</w:t>
      </w:r>
    </w:p>
    <w:p w:rsidR="00ED2E3F" w:rsidRDefault="00ED2E3F" w:rsidP="007B3D3E">
      <w:pPr>
        <w:rPr>
          <w:rFonts w:ascii="Garamond" w:hAnsi="Garamond" w:cs="Garamond"/>
          <w:b/>
          <w:bCs/>
          <w:sz w:val="24"/>
          <w:szCs w:val="24"/>
          <w:highlight w:val="yellow"/>
        </w:rPr>
      </w:pPr>
    </w:p>
    <w:p w:rsidR="00ED2E3F" w:rsidRDefault="007B3D3E" w:rsidP="00A22D55">
      <w:pPr>
        <w:jc w:val="both"/>
        <w:rPr>
          <w:rFonts w:ascii="Garamond" w:hAnsi="Garamond" w:cs="Garamond"/>
          <w:bCs/>
          <w:sz w:val="24"/>
          <w:szCs w:val="24"/>
        </w:rPr>
      </w:pPr>
      <w:r w:rsidRPr="00B94218">
        <w:rPr>
          <w:rFonts w:ascii="Garamond" w:hAnsi="Garamond" w:cs="Garamond"/>
          <w:bCs/>
          <w:sz w:val="24"/>
          <w:szCs w:val="24"/>
        </w:rPr>
        <w:t xml:space="preserve"> </w:t>
      </w:r>
      <w:r w:rsidR="00A22D55">
        <w:rPr>
          <w:rFonts w:ascii="Garamond" w:hAnsi="Garamond" w:cs="Garamond"/>
          <w:bCs/>
          <w:sz w:val="24"/>
          <w:szCs w:val="24"/>
        </w:rPr>
        <w:t xml:space="preserve">O Governo do Estado do </w:t>
      </w:r>
      <w:r w:rsidR="00ED2E3F" w:rsidRPr="00B94218">
        <w:rPr>
          <w:rFonts w:ascii="Garamond" w:hAnsi="Garamond" w:cs="Garamond"/>
          <w:bCs/>
          <w:sz w:val="24"/>
          <w:szCs w:val="24"/>
        </w:rPr>
        <w:t xml:space="preserve">Ceará vem se destacando pela sua potencialidade de criar e experimentar novas formas de articulação com o </w:t>
      </w:r>
      <w:proofErr w:type="spellStart"/>
      <w:r w:rsidR="00ED2E3F" w:rsidRPr="00B94218">
        <w:rPr>
          <w:rFonts w:ascii="Garamond" w:hAnsi="Garamond" w:cs="Garamond"/>
          <w:bCs/>
          <w:sz w:val="24"/>
          <w:szCs w:val="24"/>
        </w:rPr>
        <w:t>setor</w:t>
      </w:r>
      <w:proofErr w:type="spellEnd"/>
      <w:r w:rsidR="00ED2E3F" w:rsidRPr="00B94218">
        <w:rPr>
          <w:rFonts w:ascii="Garamond" w:hAnsi="Garamond" w:cs="Garamond"/>
          <w:bCs/>
          <w:sz w:val="24"/>
          <w:szCs w:val="24"/>
        </w:rPr>
        <w:t xml:space="preserve"> privado, buscando superar as limitações da administração </w:t>
      </w:r>
      <w:proofErr w:type="spellStart"/>
      <w:r w:rsidR="00ED2E3F" w:rsidRPr="00B94218">
        <w:rPr>
          <w:rFonts w:ascii="Garamond" w:hAnsi="Garamond" w:cs="Garamond"/>
          <w:bCs/>
          <w:sz w:val="24"/>
          <w:szCs w:val="24"/>
        </w:rPr>
        <w:t>direta</w:t>
      </w:r>
      <w:proofErr w:type="spellEnd"/>
      <w:r w:rsidR="00ED2E3F" w:rsidRPr="00B94218">
        <w:rPr>
          <w:rFonts w:ascii="Garamond" w:hAnsi="Garamond" w:cs="Garamond"/>
          <w:bCs/>
          <w:sz w:val="24"/>
          <w:szCs w:val="24"/>
        </w:rPr>
        <w:t xml:space="preserve">, bem </w:t>
      </w:r>
      <w:r w:rsidR="00ED2E3F">
        <w:rPr>
          <w:rFonts w:ascii="Garamond" w:hAnsi="Garamond" w:cs="Garamond"/>
          <w:bCs/>
          <w:sz w:val="24"/>
          <w:szCs w:val="24"/>
        </w:rPr>
        <w:t xml:space="preserve">como maior economicidade e </w:t>
      </w:r>
      <w:proofErr w:type="spellStart"/>
      <w:r w:rsidR="00ED2E3F">
        <w:rPr>
          <w:rFonts w:ascii="Garamond" w:hAnsi="Garamond" w:cs="Garamond"/>
          <w:bCs/>
          <w:sz w:val="24"/>
          <w:szCs w:val="24"/>
        </w:rPr>
        <w:t>reduçao</w:t>
      </w:r>
      <w:proofErr w:type="spellEnd"/>
      <w:r w:rsidR="00ED2E3F">
        <w:rPr>
          <w:rFonts w:ascii="Garamond" w:hAnsi="Garamond" w:cs="Garamond"/>
          <w:bCs/>
          <w:sz w:val="24"/>
          <w:szCs w:val="24"/>
        </w:rPr>
        <w:t xml:space="preserve"> de tempo para a conclusão dos empreendimentos.</w:t>
      </w:r>
      <w:r w:rsidR="00ED2E3F" w:rsidRPr="00B94218">
        <w:rPr>
          <w:rFonts w:ascii="Garamond" w:hAnsi="Garamond" w:cs="Garamond"/>
          <w:bCs/>
          <w:sz w:val="24"/>
          <w:szCs w:val="24"/>
        </w:rPr>
        <w:t xml:space="preserve"> Desde </w:t>
      </w:r>
      <w:proofErr w:type="gramStart"/>
      <w:r w:rsidR="00ED2E3F" w:rsidRPr="00B94218">
        <w:rPr>
          <w:rFonts w:ascii="Garamond" w:hAnsi="Garamond" w:cs="Garamond"/>
          <w:bCs/>
          <w:sz w:val="24"/>
          <w:szCs w:val="24"/>
        </w:rPr>
        <w:t>o</w:t>
      </w:r>
      <w:proofErr w:type="gramEnd"/>
      <w:r w:rsidR="00ED2E3F" w:rsidRPr="00B94218">
        <w:rPr>
          <w:rFonts w:ascii="Garamond" w:hAnsi="Garamond" w:cs="Garamond"/>
          <w:bCs/>
          <w:sz w:val="24"/>
          <w:szCs w:val="24"/>
        </w:rPr>
        <w:t xml:space="preserve"> </w:t>
      </w:r>
      <w:proofErr w:type="gramStart"/>
      <w:r w:rsidR="00ED2E3F" w:rsidRPr="00B94218">
        <w:rPr>
          <w:rFonts w:ascii="Garamond" w:hAnsi="Garamond" w:cs="Garamond"/>
          <w:bCs/>
          <w:sz w:val="24"/>
          <w:szCs w:val="24"/>
        </w:rPr>
        <w:t>a</w:t>
      </w:r>
      <w:proofErr w:type="gramEnd"/>
      <w:r w:rsidR="00ED2E3F" w:rsidRPr="00B94218">
        <w:rPr>
          <w:rFonts w:ascii="Garamond" w:hAnsi="Garamond" w:cs="Garamond"/>
          <w:bCs/>
          <w:sz w:val="24"/>
          <w:szCs w:val="24"/>
        </w:rPr>
        <w:t xml:space="preserve"> primeira </w:t>
      </w:r>
      <w:proofErr w:type="spellStart"/>
      <w:r w:rsidR="00ED2E3F" w:rsidRPr="00B94218">
        <w:rPr>
          <w:rFonts w:ascii="Garamond" w:hAnsi="Garamond" w:cs="Garamond"/>
          <w:bCs/>
          <w:sz w:val="24"/>
          <w:szCs w:val="24"/>
        </w:rPr>
        <w:t>opera</w:t>
      </w:r>
      <w:r w:rsidR="00ED2E3F" w:rsidRPr="00ED2E3F">
        <w:rPr>
          <w:rFonts w:ascii="Garamond" w:hAnsi="Garamond" w:cs="Garamond"/>
          <w:bCs/>
          <w:sz w:val="24"/>
          <w:szCs w:val="24"/>
        </w:rPr>
        <w:t>çao</w:t>
      </w:r>
      <w:proofErr w:type="spellEnd"/>
      <w:r w:rsidR="00ED2E3F" w:rsidRPr="00ED2E3F">
        <w:rPr>
          <w:rFonts w:ascii="Garamond" w:hAnsi="Garamond" w:cs="Garamond"/>
          <w:bCs/>
          <w:sz w:val="24"/>
          <w:szCs w:val="24"/>
        </w:rPr>
        <w:t xml:space="preserve"> do Banco </w:t>
      </w:r>
      <w:r w:rsidR="00ED2E3F" w:rsidRPr="00B94218">
        <w:rPr>
          <w:rFonts w:ascii="Garamond" w:hAnsi="Garamond" w:cs="Garamond"/>
          <w:bCs/>
          <w:sz w:val="24"/>
          <w:szCs w:val="24"/>
        </w:rPr>
        <w:t xml:space="preserve">no </w:t>
      </w:r>
      <w:proofErr w:type="spellStart"/>
      <w:r w:rsidR="00ED2E3F" w:rsidRPr="00B94218">
        <w:rPr>
          <w:rFonts w:ascii="Garamond" w:hAnsi="Garamond" w:cs="Garamond"/>
          <w:bCs/>
          <w:sz w:val="24"/>
          <w:szCs w:val="24"/>
        </w:rPr>
        <w:t>setor</w:t>
      </w:r>
      <w:proofErr w:type="spellEnd"/>
      <w:r w:rsidR="00ED2E3F" w:rsidRPr="00B94218">
        <w:rPr>
          <w:rFonts w:ascii="Garamond" w:hAnsi="Garamond" w:cs="Garamond"/>
          <w:bCs/>
          <w:sz w:val="24"/>
          <w:szCs w:val="24"/>
        </w:rPr>
        <w:t xml:space="preserve"> Saúde, o Estado vem mostrando inovações important</w:t>
      </w:r>
      <w:r w:rsidR="005D0D75">
        <w:rPr>
          <w:rFonts w:ascii="Garamond" w:hAnsi="Garamond" w:cs="Garamond"/>
          <w:bCs/>
          <w:sz w:val="24"/>
          <w:szCs w:val="24"/>
        </w:rPr>
        <w:t>e</w:t>
      </w:r>
      <w:r w:rsidR="00ED2E3F" w:rsidRPr="00B94218">
        <w:rPr>
          <w:rFonts w:ascii="Garamond" w:hAnsi="Garamond" w:cs="Garamond"/>
          <w:bCs/>
          <w:sz w:val="24"/>
          <w:szCs w:val="24"/>
        </w:rPr>
        <w:t>s nos modelos de gestão das unidades</w:t>
      </w:r>
      <w:r w:rsidR="00ED2E3F">
        <w:rPr>
          <w:rFonts w:ascii="Garamond" w:hAnsi="Garamond" w:cs="Garamond"/>
          <w:bCs/>
          <w:sz w:val="24"/>
          <w:szCs w:val="24"/>
        </w:rPr>
        <w:t xml:space="preserve">, como exemplo, as Organizações Sociais de Saúde e os consórcios </w:t>
      </w:r>
      <w:proofErr w:type="spellStart"/>
      <w:r w:rsidR="00ED2E3F">
        <w:rPr>
          <w:rFonts w:ascii="Garamond" w:hAnsi="Garamond" w:cs="Garamond"/>
          <w:bCs/>
          <w:sz w:val="24"/>
          <w:szCs w:val="24"/>
        </w:rPr>
        <w:t>intefederativos</w:t>
      </w:r>
      <w:proofErr w:type="spellEnd"/>
      <w:r w:rsidR="005D0D75">
        <w:rPr>
          <w:rFonts w:ascii="Garamond" w:hAnsi="Garamond" w:cs="Garamond"/>
          <w:bCs/>
          <w:sz w:val="24"/>
          <w:szCs w:val="24"/>
        </w:rPr>
        <w:t>.</w:t>
      </w:r>
    </w:p>
    <w:p w:rsidR="00ED2E3F" w:rsidRDefault="00ED2E3F" w:rsidP="00A22D55">
      <w:pPr>
        <w:jc w:val="both"/>
        <w:rPr>
          <w:rFonts w:ascii="Garamond" w:hAnsi="Garamond" w:cs="Garamond"/>
          <w:bCs/>
          <w:sz w:val="24"/>
          <w:szCs w:val="24"/>
        </w:rPr>
      </w:pPr>
    </w:p>
    <w:p w:rsidR="00832686" w:rsidRDefault="00ED2E3F" w:rsidP="00A22D55">
      <w:pPr>
        <w:jc w:val="both"/>
        <w:rPr>
          <w:rFonts w:ascii="Garamond" w:hAnsi="Garamond" w:cs="Garamond"/>
          <w:bCs/>
          <w:sz w:val="24"/>
          <w:szCs w:val="24"/>
        </w:rPr>
      </w:pPr>
      <w:r w:rsidRPr="00B94218">
        <w:rPr>
          <w:rFonts w:ascii="Garamond" w:hAnsi="Garamond" w:cs="Garamond"/>
          <w:bCs/>
          <w:sz w:val="24"/>
          <w:szCs w:val="24"/>
        </w:rPr>
        <w:t xml:space="preserve">O Hospital Metropolitano vem atender uma </w:t>
      </w:r>
      <w:r w:rsidR="00AF11AD">
        <w:rPr>
          <w:rFonts w:ascii="Garamond" w:hAnsi="Garamond" w:cs="Garamond"/>
          <w:bCs/>
          <w:sz w:val="24"/>
          <w:szCs w:val="24"/>
        </w:rPr>
        <w:t>demanda de uma região de</w:t>
      </w:r>
      <w:r w:rsidRPr="00B94218">
        <w:rPr>
          <w:rFonts w:ascii="Garamond" w:hAnsi="Garamond" w:cs="Garamond"/>
          <w:bCs/>
          <w:sz w:val="24"/>
          <w:szCs w:val="24"/>
        </w:rPr>
        <w:t xml:space="preserve"> alta densidade po</w:t>
      </w:r>
      <w:r w:rsidR="00AF11AD" w:rsidRPr="00AF11AD">
        <w:rPr>
          <w:rFonts w:ascii="Garamond" w:hAnsi="Garamond" w:cs="Garamond"/>
          <w:bCs/>
          <w:sz w:val="24"/>
          <w:szCs w:val="24"/>
        </w:rPr>
        <w:t xml:space="preserve">pulacional, </w:t>
      </w:r>
      <w:r w:rsidR="00AF11AD">
        <w:rPr>
          <w:rFonts w:ascii="Garamond" w:hAnsi="Garamond" w:cs="Garamond"/>
          <w:bCs/>
          <w:sz w:val="24"/>
          <w:szCs w:val="24"/>
        </w:rPr>
        <w:t xml:space="preserve">que apresenta </w:t>
      </w:r>
      <w:proofErr w:type="gramStart"/>
      <w:r w:rsidR="00AF11AD">
        <w:rPr>
          <w:rFonts w:ascii="Garamond" w:hAnsi="Garamond" w:cs="Garamond"/>
          <w:bCs/>
          <w:sz w:val="24"/>
          <w:szCs w:val="24"/>
        </w:rPr>
        <w:t>deficits</w:t>
      </w:r>
      <w:proofErr w:type="gramEnd"/>
      <w:r w:rsidR="00272B2A">
        <w:rPr>
          <w:rStyle w:val="FootnoteReference"/>
          <w:rFonts w:ascii="Garamond" w:hAnsi="Garamond" w:cs="Garamond"/>
          <w:bCs/>
          <w:sz w:val="24"/>
          <w:szCs w:val="24"/>
        </w:rPr>
        <w:footnoteReference w:id="2"/>
      </w:r>
      <w:r w:rsidR="00AF11AD">
        <w:rPr>
          <w:rFonts w:ascii="Garamond" w:hAnsi="Garamond" w:cs="Garamond"/>
          <w:bCs/>
          <w:sz w:val="24"/>
          <w:szCs w:val="24"/>
        </w:rPr>
        <w:t xml:space="preserve"> e </w:t>
      </w:r>
      <w:proofErr w:type="spellStart"/>
      <w:r w:rsidR="00AF11AD">
        <w:rPr>
          <w:rFonts w:ascii="Garamond" w:hAnsi="Garamond" w:cs="Garamond"/>
          <w:bCs/>
          <w:sz w:val="24"/>
          <w:szCs w:val="24"/>
        </w:rPr>
        <w:t>satuações</w:t>
      </w:r>
      <w:proofErr w:type="spellEnd"/>
      <w:r w:rsidR="00AF11AD">
        <w:rPr>
          <w:rFonts w:ascii="Garamond" w:hAnsi="Garamond" w:cs="Garamond"/>
          <w:bCs/>
          <w:sz w:val="24"/>
          <w:szCs w:val="24"/>
        </w:rPr>
        <w:t xml:space="preserve"> importantes nos atuais </w:t>
      </w:r>
      <w:proofErr w:type="spellStart"/>
      <w:r w:rsidR="00AF11AD">
        <w:rPr>
          <w:rFonts w:ascii="Garamond" w:hAnsi="Garamond" w:cs="Garamond"/>
          <w:bCs/>
          <w:sz w:val="24"/>
          <w:szCs w:val="24"/>
        </w:rPr>
        <w:t>servicos</w:t>
      </w:r>
      <w:proofErr w:type="spellEnd"/>
      <w:r w:rsidR="00AF11AD">
        <w:rPr>
          <w:rFonts w:ascii="Garamond" w:hAnsi="Garamond" w:cs="Garamond"/>
          <w:bCs/>
          <w:sz w:val="24"/>
          <w:szCs w:val="24"/>
        </w:rPr>
        <w:t xml:space="preserve"> de </w:t>
      </w:r>
      <w:r>
        <w:rPr>
          <w:rFonts w:ascii="Garamond" w:hAnsi="Garamond" w:cs="Garamond"/>
          <w:bCs/>
          <w:sz w:val="24"/>
          <w:szCs w:val="24"/>
        </w:rPr>
        <w:t>alta complexidade em</w:t>
      </w:r>
      <w:r w:rsidRPr="00B94218">
        <w:rPr>
          <w:rFonts w:ascii="Garamond" w:hAnsi="Garamond" w:cs="Garamond"/>
          <w:bCs/>
          <w:sz w:val="24"/>
          <w:szCs w:val="24"/>
        </w:rPr>
        <w:t xml:space="preserve"> </w:t>
      </w:r>
      <w:proofErr w:type="spellStart"/>
      <w:r w:rsidRPr="00B94218">
        <w:rPr>
          <w:rFonts w:ascii="Garamond" w:hAnsi="Garamond" w:cs="Garamond"/>
          <w:bCs/>
          <w:sz w:val="24"/>
          <w:szCs w:val="24"/>
        </w:rPr>
        <w:t>urgencia</w:t>
      </w:r>
      <w:proofErr w:type="spellEnd"/>
      <w:r w:rsidRPr="00B94218">
        <w:rPr>
          <w:rFonts w:ascii="Garamond" w:hAnsi="Garamond" w:cs="Garamond"/>
          <w:bCs/>
          <w:sz w:val="24"/>
          <w:szCs w:val="24"/>
        </w:rPr>
        <w:t>, emergência</w:t>
      </w:r>
      <w:r w:rsidR="00AF11AD">
        <w:rPr>
          <w:rFonts w:ascii="Garamond" w:hAnsi="Garamond" w:cs="Garamond"/>
          <w:bCs/>
          <w:sz w:val="24"/>
          <w:szCs w:val="24"/>
        </w:rPr>
        <w:t xml:space="preserve"> e </w:t>
      </w:r>
      <w:r w:rsidR="00EB551E">
        <w:rPr>
          <w:rFonts w:ascii="Garamond" w:hAnsi="Garamond" w:cs="Garamond"/>
          <w:bCs/>
          <w:sz w:val="24"/>
          <w:szCs w:val="24"/>
        </w:rPr>
        <w:t xml:space="preserve">cirurgias de </w:t>
      </w:r>
      <w:r w:rsidR="00AF11AD">
        <w:rPr>
          <w:rFonts w:ascii="Garamond" w:hAnsi="Garamond" w:cs="Garamond"/>
          <w:bCs/>
          <w:sz w:val="24"/>
          <w:szCs w:val="24"/>
        </w:rPr>
        <w:t xml:space="preserve">traumas. As causas externas (violência e acidentes de trânsito) e as doenças do aparelho circulatório representam as duas principais causas </w:t>
      </w:r>
      <w:r w:rsidR="00EB551E">
        <w:rPr>
          <w:rFonts w:ascii="Garamond" w:hAnsi="Garamond" w:cs="Garamond"/>
          <w:bCs/>
          <w:sz w:val="24"/>
          <w:szCs w:val="24"/>
        </w:rPr>
        <w:t xml:space="preserve">(40%) de mortalidade em Fortaleza, as quais </w:t>
      </w:r>
      <w:r w:rsidR="00832686">
        <w:rPr>
          <w:rFonts w:ascii="Garamond" w:hAnsi="Garamond" w:cs="Garamond"/>
          <w:bCs/>
          <w:sz w:val="24"/>
          <w:szCs w:val="24"/>
        </w:rPr>
        <w:t xml:space="preserve">geram uma sobrecarga nos serviços de </w:t>
      </w:r>
      <w:proofErr w:type="spellStart"/>
      <w:r w:rsidR="00832686">
        <w:rPr>
          <w:rFonts w:ascii="Garamond" w:hAnsi="Garamond" w:cs="Garamond"/>
          <w:bCs/>
          <w:sz w:val="24"/>
          <w:szCs w:val="24"/>
        </w:rPr>
        <w:t>emergencia</w:t>
      </w:r>
      <w:proofErr w:type="spellEnd"/>
      <w:r w:rsidR="00832686">
        <w:rPr>
          <w:rFonts w:ascii="Garamond" w:hAnsi="Garamond" w:cs="Garamond"/>
          <w:bCs/>
          <w:sz w:val="24"/>
          <w:szCs w:val="24"/>
        </w:rPr>
        <w:t>, t</w:t>
      </w:r>
      <w:r w:rsidR="00E15EDD">
        <w:rPr>
          <w:rFonts w:ascii="Garamond" w:hAnsi="Garamond" w:cs="Garamond"/>
          <w:bCs/>
          <w:sz w:val="24"/>
          <w:szCs w:val="24"/>
        </w:rPr>
        <w:t>ornando</w:t>
      </w:r>
      <w:r w:rsidR="00832686">
        <w:rPr>
          <w:rFonts w:ascii="Garamond" w:hAnsi="Garamond" w:cs="Garamond"/>
          <w:bCs/>
          <w:sz w:val="24"/>
          <w:szCs w:val="24"/>
        </w:rPr>
        <w:t xml:space="preserve"> este hospital </w:t>
      </w:r>
      <w:r w:rsidR="00C23087">
        <w:rPr>
          <w:rFonts w:ascii="Garamond" w:hAnsi="Garamond" w:cs="Garamond"/>
          <w:bCs/>
          <w:sz w:val="24"/>
          <w:szCs w:val="24"/>
        </w:rPr>
        <w:t xml:space="preserve">em </w:t>
      </w:r>
      <w:r w:rsidR="00EB551E">
        <w:rPr>
          <w:rFonts w:ascii="Garamond" w:hAnsi="Garamond" w:cs="Garamond"/>
          <w:bCs/>
          <w:sz w:val="24"/>
          <w:szCs w:val="24"/>
        </w:rPr>
        <w:t>uma unidade de referência</w:t>
      </w:r>
      <w:r w:rsidR="00832686">
        <w:rPr>
          <w:rFonts w:ascii="Garamond" w:hAnsi="Garamond" w:cs="Garamond"/>
          <w:bCs/>
          <w:sz w:val="24"/>
          <w:szCs w:val="24"/>
        </w:rPr>
        <w:t xml:space="preserve"> estratégica</w:t>
      </w:r>
      <w:r w:rsidR="00EB551E">
        <w:rPr>
          <w:rFonts w:ascii="Garamond" w:hAnsi="Garamond" w:cs="Garamond"/>
          <w:bCs/>
          <w:sz w:val="24"/>
          <w:szCs w:val="24"/>
        </w:rPr>
        <w:t xml:space="preserve"> para </w:t>
      </w:r>
      <w:r w:rsidR="0030098F">
        <w:rPr>
          <w:rFonts w:ascii="Garamond" w:hAnsi="Garamond" w:cs="Garamond"/>
          <w:bCs/>
          <w:sz w:val="24"/>
          <w:szCs w:val="24"/>
        </w:rPr>
        <w:t>o SUS d</w:t>
      </w:r>
      <w:r w:rsidR="00EB551E">
        <w:rPr>
          <w:rFonts w:ascii="Garamond" w:hAnsi="Garamond" w:cs="Garamond"/>
          <w:bCs/>
          <w:sz w:val="24"/>
          <w:szCs w:val="24"/>
        </w:rPr>
        <w:t>a Região Metropolitana de Fortaleza</w:t>
      </w:r>
      <w:r w:rsidR="00832686">
        <w:rPr>
          <w:rFonts w:ascii="Garamond" w:hAnsi="Garamond" w:cs="Garamond"/>
          <w:bCs/>
          <w:sz w:val="24"/>
          <w:szCs w:val="24"/>
        </w:rPr>
        <w:t>.</w:t>
      </w:r>
    </w:p>
    <w:p w:rsidR="00C23087" w:rsidRDefault="00C23087" w:rsidP="00A22D55">
      <w:pPr>
        <w:jc w:val="both"/>
        <w:rPr>
          <w:rFonts w:ascii="Garamond" w:hAnsi="Garamond" w:cs="Garamond"/>
          <w:bCs/>
          <w:sz w:val="24"/>
          <w:szCs w:val="24"/>
        </w:rPr>
      </w:pPr>
    </w:p>
    <w:p w:rsidR="00C23087" w:rsidRDefault="00C23087" w:rsidP="00A22D55">
      <w:pPr>
        <w:jc w:val="both"/>
        <w:rPr>
          <w:rFonts w:ascii="Garamond" w:hAnsi="Garamond" w:cs="Garamond"/>
          <w:bCs/>
          <w:sz w:val="24"/>
          <w:szCs w:val="24"/>
        </w:rPr>
      </w:pPr>
      <w:r>
        <w:rPr>
          <w:rFonts w:ascii="Garamond" w:hAnsi="Garamond" w:cs="Garamond"/>
          <w:bCs/>
          <w:sz w:val="24"/>
          <w:szCs w:val="24"/>
        </w:rPr>
        <w:t xml:space="preserve">Dada </w:t>
      </w:r>
      <w:r w:rsidR="00A22D55">
        <w:rPr>
          <w:rFonts w:ascii="Garamond" w:hAnsi="Garamond" w:cs="Garamond"/>
          <w:bCs/>
          <w:sz w:val="24"/>
          <w:szCs w:val="24"/>
        </w:rPr>
        <w:t>à</w:t>
      </w:r>
      <w:r>
        <w:rPr>
          <w:rFonts w:ascii="Garamond" w:hAnsi="Garamond" w:cs="Garamond"/>
          <w:bCs/>
          <w:sz w:val="24"/>
          <w:szCs w:val="24"/>
        </w:rPr>
        <w:t xml:space="preserve"> importância estratégica </w:t>
      </w:r>
      <w:r w:rsidR="00FA5FF5">
        <w:rPr>
          <w:rFonts w:ascii="Garamond" w:hAnsi="Garamond" w:cs="Garamond"/>
          <w:bCs/>
          <w:sz w:val="24"/>
          <w:szCs w:val="24"/>
        </w:rPr>
        <w:t xml:space="preserve">deste hospital </w:t>
      </w:r>
      <w:r>
        <w:rPr>
          <w:rFonts w:ascii="Garamond" w:hAnsi="Garamond" w:cs="Garamond"/>
          <w:bCs/>
          <w:sz w:val="24"/>
          <w:szCs w:val="24"/>
        </w:rPr>
        <w:t>e seu impacto social, o Estado e o Banco mantiveram discussões técnicas</w:t>
      </w:r>
      <w:r w:rsidR="00FA5FF5">
        <w:rPr>
          <w:rFonts w:ascii="Garamond" w:hAnsi="Garamond" w:cs="Garamond"/>
          <w:bCs/>
          <w:sz w:val="24"/>
          <w:szCs w:val="24"/>
        </w:rPr>
        <w:t xml:space="preserve"> sobre a sua viabilidade, através de uma modelagem inovadora, com a participação do </w:t>
      </w:r>
      <w:proofErr w:type="spellStart"/>
      <w:r w:rsidR="00FA5FF5">
        <w:rPr>
          <w:rFonts w:ascii="Garamond" w:hAnsi="Garamond" w:cs="Garamond"/>
          <w:bCs/>
          <w:sz w:val="24"/>
          <w:szCs w:val="24"/>
        </w:rPr>
        <w:t>setor</w:t>
      </w:r>
      <w:proofErr w:type="spellEnd"/>
      <w:r w:rsidR="00FA5FF5">
        <w:rPr>
          <w:rFonts w:ascii="Garamond" w:hAnsi="Garamond" w:cs="Garamond"/>
          <w:bCs/>
          <w:sz w:val="24"/>
          <w:szCs w:val="24"/>
        </w:rPr>
        <w:t xml:space="preserve"> privado, na busca de maior </w:t>
      </w:r>
      <w:proofErr w:type="spellStart"/>
      <w:r w:rsidR="00FA5FF5">
        <w:rPr>
          <w:rFonts w:ascii="Garamond" w:hAnsi="Garamond" w:cs="Garamond"/>
          <w:bCs/>
          <w:sz w:val="24"/>
          <w:szCs w:val="24"/>
        </w:rPr>
        <w:t>eficiencia</w:t>
      </w:r>
      <w:proofErr w:type="spellEnd"/>
      <w:r w:rsidR="00FA5FF5">
        <w:rPr>
          <w:rFonts w:ascii="Garamond" w:hAnsi="Garamond" w:cs="Garamond"/>
          <w:bCs/>
          <w:sz w:val="24"/>
          <w:szCs w:val="24"/>
        </w:rPr>
        <w:t xml:space="preserve"> e qualidade na </w:t>
      </w:r>
      <w:proofErr w:type="spellStart"/>
      <w:r w:rsidR="00FA5FF5">
        <w:rPr>
          <w:rFonts w:ascii="Garamond" w:hAnsi="Garamond" w:cs="Garamond"/>
          <w:bCs/>
          <w:sz w:val="24"/>
          <w:szCs w:val="24"/>
        </w:rPr>
        <w:t>execuçao</w:t>
      </w:r>
      <w:proofErr w:type="spellEnd"/>
      <w:r w:rsidR="00FA5FF5">
        <w:rPr>
          <w:rFonts w:ascii="Garamond" w:hAnsi="Garamond" w:cs="Garamond"/>
          <w:bCs/>
          <w:sz w:val="24"/>
          <w:szCs w:val="24"/>
        </w:rPr>
        <w:t xml:space="preserve"> e </w:t>
      </w:r>
      <w:proofErr w:type="spellStart"/>
      <w:r w:rsidR="00FA5FF5">
        <w:rPr>
          <w:rFonts w:ascii="Garamond" w:hAnsi="Garamond" w:cs="Garamond"/>
          <w:bCs/>
          <w:sz w:val="24"/>
          <w:szCs w:val="24"/>
        </w:rPr>
        <w:t>operaçao</w:t>
      </w:r>
      <w:proofErr w:type="spellEnd"/>
      <w:r w:rsidR="00FA5FF5">
        <w:rPr>
          <w:rFonts w:ascii="Garamond" w:hAnsi="Garamond" w:cs="Garamond"/>
          <w:bCs/>
          <w:sz w:val="24"/>
          <w:szCs w:val="24"/>
        </w:rPr>
        <w:t xml:space="preserve"> deste empreendimento.</w:t>
      </w:r>
    </w:p>
    <w:p w:rsidR="0030098F" w:rsidRDefault="0030098F" w:rsidP="00A22D55">
      <w:pPr>
        <w:jc w:val="both"/>
        <w:rPr>
          <w:rFonts w:ascii="Garamond" w:hAnsi="Garamond" w:cs="Garamond"/>
          <w:bCs/>
          <w:sz w:val="24"/>
          <w:szCs w:val="24"/>
        </w:rPr>
      </w:pPr>
    </w:p>
    <w:p w:rsidR="0030098F" w:rsidRDefault="0030098F" w:rsidP="00A22D55">
      <w:pPr>
        <w:jc w:val="both"/>
        <w:rPr>
          <w:rFonts w:ascii="Garamond" w:hAnsi="Garamond" w:cs="Garamond"/>
          <w:bCs/>
          <w:sz w:val="24"/>
          <w:szCs w:val="24"/>
        </w:rPr>
      </w:pPr>
      <w:r>
        <w:rPr>
          <w:rFonts w:ascii="Garamond" w:hAnsi="Garamond" w:cs="Garamond"/>
          <w:bCs/>
          <w:sz w:val="24"/>
          <w:szCs w:val="24"/>
        </w:rPr>
        <w:t xml:space="preserve">No contexto </w:t>
      </w:r>
      <w:proofErr w:type="spellStart"/>
      <w:r>
        <w:rPr>
          <w:rFonts w:ascii="Garamond" w:hAnsi="Garamond" w:cs="Garamond"/>
          <w:bCs/>
          <w:sz w:val="24"/>
          <w:szCs w:val="24"/>
        </w:rPr>
        <w:t>atual</w:t>
      </w:r>
      <w:proofErr w:type="spellEnd"/>
      <w:r>
        <w:rPr>
          <w:rFonts w:ascii="Garamond" w:hAnsi="Garamond" w:cs="Garamond"/>
          <w:bCs/>
          <w:sz w:val="24"/>
          <w:szCs w:val="24"/>
        </w:rPr>
        <w:t xml:space="preserve"> de recursos escassos para investimentos e custeio dos serviços públicos e de crescentes demandas do </w:t>
      </w:r>
      <w:proofErr w:type="spellStart"/>
      <w:r>
        <w:rPr>
          <w:rFonts w:ascii="Garamond" w:hAnsi="Garamond" w:cs="Garamond"/>
          <w:bCs/>
          <w:sz w:val="24"/>
          <w:szCs w:val="24"/>
        </w:rPr>
        <w:t>setor</w:t>
      </w:r>
      <w:proofErr w:type="spellEnd"/>
      <w:r>
        <w:rPr>
          <w:rFonts w:ascii="Garamond" w:hAnsi="Garamond" w:cs="Garamond"/>
          <w:bCs/>
          <w:sz w:val="24"/>
          <w:szCs w:val="24"/>
        </w:rPr>
        <w:t xml:space="preserve"> saúde, o</w:t>
      </w:r>
      <w:r w:rsidRPr="00866553">
        <w:rPr>
          <w:rFonts w:ascii="Garamond" w:hAnsi="Garamond" w:cs="Garamond"/>
          <w:bCs/>
          <w:sz w:val="24"/>
          <w:szCs w:val="24"/>
        </w:rPr>
        <w:t xml:space="preserve"> modelo de Parceria Público-Privada foi escolhido por tratar de forma mais eficiente os riscos do </w:t>
      </w:r>
      <w:proofErr w:type="spellStart"/>
      <w:r w:rsidRPr="00866553">
        <w:rPr>
          <w:rFonts w:ascii="Garamond" w:hAnsi="Garamond" w:cs="Garamond"/>
          <w:bCs/>
          <w:sz w:val="24"/>
          <w:szCs w:val="24"/>
        </w:rPr>
        <w:t>projeto</w:t>
      </w:r>
      <w:proofErr w:type="spellEnd"/>
      <w:r w:rsidRPr="00866553">
        <w:rPr>
          <w:rFonts w:ascii="Garamond" w:hAnsi="Garamond" w:cs="Garamond"/>
          <w:bCs/>
          <w:sz w:val="24"/>
          <w:szCs w:val="24"/>
        </w:rPr>
        <w:t xml:space="preserve">, mas esta decisão foi colocada à prova durante a elaboração dos estudos. Seguindo as melhores práticas dos </w:t>
      </w:r>
      <w:proofErr w:type="spellStart"/>
      <w:r w:rsidRPr="00866553">
        <w:rPr>
          <w:rFonts w:ascii="Garamond" w:hAnsi="Garamond" w:cs="Garamond"/>
          <w:bCs/>
          <w:sz w:val="24"/>
          <w:szCs w:val="24"/>
        </w:rPr>
        <w:t>projetos</w:t>
      </w:r>
      <w:proofErr w:type="spellEnd"/>
      <w:r w:rsidRPr="00866553">
        <w:rPr>
          <w:rFonts w:ascii="Garamond" w:hAnsi="Garamond" w:cs="Garamond"/>
          <w:bCs/>
          <w:sz w:val="24"/>
          <w:szCs w:val="24"/>
        </w:rPr>
        <w:t xml:space="preserve"> de PPP, o Governo do Estado </w:t>
      </w:r>
      <w:proofErr w:type="spellStart"/>
      <w:r w:rsidRPr="00866553">
        <w:rPr>
          <w:rFonts w:ascii="Garamond" w:hAnsi="Garamond" w:cs="Garamond"/>
          <w:bCs/>
          <w:sz w:val="24"/>
          <w:szCs w:val="24"/>
        </w:rPr>
        <w:t>adotou</w:t>
      </w:r>
      <w:proofErr w:type="spellEnd"/>
      <w:r w:rsidRPr="00866553">
        <w:rPr>
          <w:rFonts w:ascii="Garamond" w:hAnsi="Garamond" w:cs="Garamond"/>
          <w:bCs/>
          <w:sz w:val="24"/>
          <w:szCs w:val="24"/>
        </w:rPr>
        <w:t xml:space="preserve"> como referência os parâmetros de estudos desenvolvidos pelo HM </w:t>
      </w:r>
      <w:proofErr w:type="spellStart"/>
      <w:r w:rsidRPr="00866553">
        <w:rPr>
          <w:rFonts w:ascii="Garamond" w:hAnsi="Garamond" w:cs="Garamond"/>
          <w:bCs/>
          <w:sz w:val="24"/>
          <w:szCs w:val="24"/>
        </w:rPr>
        <w:t>Treasury</w:t>
      </w:r>
      <w:proofErr w:type="spellEnd"/>
      <w:r w:rsidRPr="00866553">
        <w:rPr>
          <w:rFonts w:ascii="Garamond" w:hAnsi="Garamond" w:cs="Garamond"/>
          <w:bCs/>
          <w:sz w:val="24"/>
          <w:szCs w:val="24"/>
        </w:rPr>
        <w:t xml:space="preserve"> do Reino Unido, utilizando como um dos critérios de viabilidade o </w:t>
      </w:r>
      <w:proofErr w:type="spellStart"/>
      <w:r w:rsidRPr="00866553">
        <w:rPr>
          <w:rFonts w:ascii="Garamond" w:hAnsi="Garamond" w:cs="Garamond"/>
          <w:bCs/>
          <w:sz w:val="24"/>
          <w:szCs w:val="24"/>
        </w:rPr>
        <w:t>Value</w:t>
      </w:r>
      <w:proofErr w:type="spellEnd"/>
      <w:r w:rsidRPr="00866553">
        <w:rPr>
          <w:rFonts w:ascii="Garamond" w:hAnsi="Garamond" w:cs="Garamond"/>
          <w:bCs/>
          <w:sz w:val="24"/>
          <w:szCs w:val="24"/>
        </w:rPr>
        <w:t xml:space="preserve"> For Money (VFM). Tais parâmetros abordam quesitos quantitativos e qualitativos do </w:t>
      </w:r>
      <w:proofErr w:type="spellStart"/>
      <w:r w:rsidRPr="00866553">
        <w:rPr>
          <w:rFonts w:ascii="Garamond" w:hAnsi="Garamond" w:cs="Garamond"/>
          <w:bCs/>
          <w:sz w:val="24"/>
          <w:szCs w:val="24"/>
        </w:rPr>
        <w:t>projeto</w:t>
      </w:r>
      <w:proofErr w:type="spellEnd"/>
      <w:r w:rsidRPr="00866553">
        <w:rPr>
          <w:rFonts w:ascii="Garamond" w:hAnsi="Garamond" w:cs="Garamond"/>
          <w:bCs/>
          <w:sz w:val="24"/>
          <w:szCs w:val="24"/>
        </w:rPr>
        <w:t xml:space="preserve">, como a alocação dos riscos e os custos de implantação e operação, tanto por parte do público como pelo privado. Ao término do estudo (VFM), que mobilizou todo o grupo responsável pelo </w:t>
      </w:r>
      <w:proofErr w:type="spellStart"/>
      <w:r w:rsidRPr="00866553">
        <w:rPr>
          <w:rFonts w:ascii="Garamond" w:hAnsi="Garamond" w:cs="Garamond"/>
          <w:bCs/>
          <w:sz w:val="24"/>
          <w:szCs w:val="24"/>
        </w:rPr>
        <w:t>projeto</w:t>
      </w:r>
      <w:proofErr w:type="spellEnd"/>
      <w:r w:rsidRPr="00866553">
        <w:rPr>
          <w:rFonts w:ascii="Garamond" w:hAnsi="Garamond" w:cs="Garamond"/>
          <w:bCs/>
          <w:sz w:val="24"/>
          <w:szCs w:val="24"/>
        </w:rPr>
        <w:t xml:space="preserve"> e especialistas, ficou comprovada que a execução do </w:t>
      </w:r>
      <w:proofErr w:type="spellStart"/>
      <w:r w:rsidRPr="00866553">
        <w:rPr>
          <w:rFonts w:ascii="Garamond" w:hAnsi="Garamond" w:cs="Garamond"/>
          <w:bCs/>
          <w:sz w:val="24"/>
          <w:szCs w:val="24"/>
        </w:rPr>
        <w:t>projeto</w:t>
      </w:r>
      <w:proofErr w:type="spellEnd"/>
      <w:r w:rsidRPr="00866553">
        <w:rPr>
          <w:rFonts w:ascii="Garamond" w:hAnsi="Garamond" w:cs="Garamond"/>
          <w:bCs/>
          <w:sz w:val="24"/>
          <w:szCs w:val="24"/>
        </w:rPr>
        <w:t xml:space="preserve"> por meio de uma PPP, considerando tais aspectos quantitativos e qualitativos, seria mais eficiente.</w:t>
      </w:r>
    </w:p>
    <w:p w:rsidR="00FA5FF5" w:rsidRDefault="00FA5FF5" w:rsidP="00A22D55">
      <w:pPr>
        <w:jc w:val="both"/>
        <w:rPr>
          <w:rFonts w:ascii="Garamond" w:hAnsi="Garamond" w:cs="Garamond"/>
          <w:bCs/>
          <w:sz w:val="24"/>
          <w:szCs w:val="24"/>
        </w:rPr>
      </w:pPr>
    </w:p>
    <w:p w:rsidR="003A2042" w:rsidRDefault="0030098F" w:rsidP="00A22D55">
      <w:pPr>
        <w:jc w:val="both"/>
        <w:rPr>
          <w:rFonts w:ascii="Garamond" w:hAnsi="Garamond" w:cs="Garamond"/>
          <w:bCs/>
          <w:sz w:val="24"/>
          <w:szCs w:val="24"/>
        </w:rPr>
      </w:pPr>
      <w:r>
        <w:rPr>
          <w:rFonts w:ascii="Garamond" w:hAnsi="Garamond" w:cs="Garamond"/>
          <w:bCs/>
          <w:sz w:val="24"/>
          <w:szCs w:val="24"/>
        </w:rPr>
        <w:t xml:space="preserve">Desta forma, o Estado do Ceará </w:t>
      </w:r>
      <w:r w:rsidR="007343B2" w:rsidRPr="00866553">
        <w:rPr>
          <w:rFonts w:ascii="Garamond" w:hAnsi="Garamond" w:cs="Garamond"/>
          <w:bCs/>
          <w:sz w:val="24"/>
          <w:szCs w:val="24"/>
        </w:rPr>
        <w:t xml:space="preserve">iniciou em 2011 os primeiros </w:t>
      </w:r>
      <w:proofErr w:type="gramStart"/>
      <w:r w:rsidR="007343B2" w:rsidRPr="00866553">
        <w:rPr>
          <w:rFonts w:ascii="Garamond" w:hAnsi="Garamond" w:cs="Garamond"/>
          <w:bCs/>
          <w:sz w:val="24"/>
          <w:szCs w:val="24"/>
        </w:rPr>
        <w:t>passos</w:t>
      </w:r>
      <w:proofErr w:type="gramEnd"/>
      <w:r w:rsidR="007343B2" w:rsidRPr="00866553">
        <w:rPr>
          <w:rFonts w:ascii="Garamond" w:hAnsi="Garamond" w:cs="Garamond"/>
          <w:bCs/>
          <w:sz w:val="24"/>
          <w:szCs w:val="24"/>
        </w:rPr>
        <w:t xml:space="preserve"> do </w:t>
      </w:r>
      <w:proofErr w:type="spellStart"/>
      <w:r w:rsidR="007343B2" w:rsidRPr="00866553">
        <w:rPr>
          <w:rFonts w:ascii="Garamond" w:hAnsi="Garamond" w:cs="Garamond"/>
          <w:bCs/>
          <w:sz w:val="24"/>
          <w:szCs w:val="24"/>
        </w:rPr>
        <w:t>projeto</w:t>
      </w:r>
      <w:proofErr w:type="spellEnd"/>
      <w:r w:rsidR="007343B2" w:rsidRPr="00866553">
        <w:rPr>
          <w:rFonts w:ascii="Garamond" w:hAnsi="Garamond" w:cs="Garamond"/>
          <w:bCs/>
          <w:sz w:val="24"/>
          <w:szCs w:val="24"/>
        </w:rPr>
        <w:t xml:space="preserve"> de PPP do Hospital Regional Metropolitano (HRM)</w:t>
      </w:r>
      <w:r w:rsidRPr="00866553">
        <w:rPr>
          <w:rFonts w:ascii="Garamond" w:hAnsi="Garamond" w:cs="Garamond"/>
          <w:bCs/>
          <w:sz w:val="24"/>
          <w:szCs w:val="24"/>
        </w:rPr>
        <w:t xml:space="preserve"> cujo processo constituinte foi finalizado em 2013</w:t>
      </w:r>
      <w:r w:rsidR="007343B2" w:rsidRPr="00866553">
        <w:rPr>
          <w:rFonts w:ascii="Garamond" w:hAnsi="Garamond" w:cs="Garamond"/>
          <w:bCs/>
          <w:sz w:val="24"/>
          <w:szCs w:val="24"/>
        </w:rPr>
        <w:t xml:space="preserve">. </w:t>
      </w:r>
      <w:r>
        <w:rPr>
          <w:rFonts w:ascii="Garamond" w:hAnsi="Garamond" w:cs="Garamond"/>
          <w:bCs/>
          <w:sz w:val="24"/>
          <w:szCs w:val="24"/>
        </w:rPr>
        <w:t xml:space="preserve">Este </w:t>
      </w:r>
      <w:r w:rsidR="007343B2">
        <w:rPr>
          <w:rFonts w:ascii="Garamond" w:hAnsi="Garamond" w:cs="Garamond"/>
          <w:bCs/>
          <w:sz w:val="24"/>
          <w:szCs w:val="24"/>
        </w:rPr>
        <w:t xml:space="preserve">empreendimento viabiliza a operação de </w:t>
      </w:r>
      <w:proofErr w:type="gramStart"/>
      <w:r w:rsidR="007343B2">
        <w:rPr>
          <w:rFonts w:ascii="Garamond" w:hAnsi="Garamond" w:cs="Garamond"/>
          <w:bCs/>
          <w:sz w:val="24"/>
          <w:szCs w:val="24"/>
        </w:rPr>
        <w:t>credito</w:t>
      </w:r>
      <w:proofErr w:type="gramEnd"/>
      <w:r w:rsidR="007343B2">
        <w:rPr>
          <w:rFonts w:ascii="Garamond" w:hAnsi="Garamond" w:cs="Garamond"/>
          <w:bCs/>
          <w:sz w:val="24"/>
          <w:szCs w:val="24"/>
        </w:rPr>
        <w:t xml:space="preserve"> junto ao Banco (BR-L1408), uma vez que assegura a disponibilização de 100% dos recursos de contrapartida, que se encontram garantidos por meio da modelagem</w:t>
      </w:r>
      <w:r w:rsidR="008E0E7F">
        <w:rPr>
          <w:rFonts w:ascii="Garamond" w:hAnsi="Garamond" w:cs="Garamond"/>
          <w:bCs/>
          <w:sz w:val="24"/>
          <w:szCs w:val="24"/>
        </w:rPr>
        <w:t>.</w:t>
      </w:r>
    </w:p>
    <w:p w:rsidR="0030098F" w:rsidRDefault="0030098F" w:rsidP="00A22D55">
      <w:pPr>
        <w:jc w:val="both"/>
        <w:rPr>
          <w:rFonts w:ascii="Garamond" w:hAnsi="Garamond" w:cs="Garamond"/>
          <w:bCs/>
          <w:sz w:val="24"/>
          <w:szCs w:val="24"/>
        </w:rPr>
      </w:pPr>
    </w:p>
    <w:p w:rsidR="003A2042" w:rsidRDefault="003A2042" w:rsidP="00A22D55">
      <w:pPr>
        <w:jc w:val="both"/>
        <w:rPr>
          <w:rFonts w:ascii="Garamond" w:hAnsi="Garamond" w:cs="Garamond"/>
          <w:bCs/>
          <w:sz w:val="24"/>
          <w:szCs w:val="24"/>
        </w:rPr>
      </w:pPr>
      <w:r>
        <w:rPr>
          <w:rFonts w:ascii="Garamond" w:hAnsi="Garamond" w:cs="Garamond"/>
          <w:bCs/>
          <w:sz w:val="24"/>
          <w:szCs w:val="24"/>
        </w:rPr>
        <w:t xml:space="preserve">No âmbito desta PPP, o Estado do Ceará solicitou ao Banco apoio que envolve: i) financiamento </w:t>
      </w:r>
      <w:r w:rsidR="00A22D55">
        <w:rPr>
          <w:rFonts w:ascii="Garamond" w:hAnsi="Garamond" w:cs="Garamond"/>
          <w:bCs/>
          <w:sz w:val="24"/>
          <w:szCs w:val="24"/>
        </w:rPr>
        <w:t>de parte do investimento e o reconhecimento de 100% da</w:t>
      </w:r>
      <w:r>
        <w:rPr>
          <w:rFonts w:ascii="Garamond" w:hAnsi="Garamond" w:cs="Garamond"/>
          <w:bCs/>
          <w:sz w:val="24"/>
          <w:szCs w:val="24"/>
        </w:rPr>
        <w:t xml:space="preserve"> contrapartida</w:t>
      </w:r>
      <w:r w:rsidR="00A22D55">
        <w:rPr>
          <w:rFonts w:ascii="Garamond" w:hAnsi="Garamond" w:cs="Garamond"/>
          <w:bCs/>
          <w:sz w:val="24"/>
          <w:szCs w:val="24"/>
        </w:rPr>
        <w:t xml:space="preserve"> prevista no </w:t>
      </w:r>
      <w:proofErr w:type="spellStart"/>
      <w:r w:rsidR="00A22D55">
        <w:rPr>
          <w:rFonts w:ascii="Garamond" w:hAnsi="Garamond" w:cs="Garamond"/>
          <w:bCs/>
          <w:sz w:val="24"/>
          <w:szCs w:val="24"/>
        </w:rPr>
        <w:t>ambito</w:t>
      </w:r>
      <w:proofErr w:type="spellEnd"/>
      <w:r w:rsidR="00A22D55">
        <w:rPr>
          <w:rFonts w:ascii="Garamond" w:hAnsi="Garamond" w:cs="Garamond"/>
          <w:bCs/>
          <w:sz w:val="24"/>
          <w:szCs w:val="24"/>
        </w:rPr>
        <w:t xml:space="preserve"> do Programa</w:t>
      </w:r>
      <w:r>
        <w:rPr>
          <w:rFonts w:ascii="Garamond" w:hAnsi="Garamond" w:cs="Garamond"/>
          <w:bCs/>
          <w:sz w:val="24"/>
          <w:szCs w:val="24"/>
        </w:rPr>
        <w:t>; ii) acompanhamento técnico</w:t>
      </w:r>
      <w:r w:rsidR="00A22D55">
        <w:rPr>
          <w:rFonts w:ascii="Garamond" w:hAnsi="Garamond" w:cs="Garamond"/>
          <w:bCs/>
          <w:sz w:val="24"/>
          <w:szCs w:val="24"/>
        </w:rPr>
        <w:t>;</w:t>
      </w:r>
      <w:r w:rsidR="008E0E7F">
        <w:rPr>
          <w:rFonts w:ascii="Garamond" w:hAnsi="Garamond" w:cs="Garamond"/>
          <w:bCs/>
          <w:sz w:val="24"/>
          <w:szCs w:val="24"/>
        </w:rPr>
        <w:t xml:space="preserve"> </w:t>
      </w:r>
      <w:proofErr w:type="gramStart"/>
      <w:r w:rsidR="008E0E7F">
        <w:rPr>
          <w:rFonts w:ascii="Garamond" w:hAnsi="Garamond" w:cs="Garamond"/>
          <w:bCs/>
          <w:sz w:val="24"/>
          <w:szCs w:val="24"/>
        </w:rPr>
        <w:t>e</w:t>
      </w:r>
      <w:proofErr w:type="gramEnd"/>
      <w:r>
        <w:rPr>
          <w:rFonts w:ascii="Garamond" w:hAnsi="Garamond" w:cs="Garamond"/>
          <w:bCs/>
          <w:sz w:val="24"/>
          <w:szCs w:val="24"/>
        </w:rPr>
        <w:t xml:space="preserve"> iii) </w:t>
      </w:r>
      <w:r w:rsidR="005D0D75">
        <w:rPr>
          <w:rFonts w:ascii="Garamond" w:hAnsi="Garamond" w:cs="Garamond"/>
          <w:bCs/>
          <w:sz w:val="24"/>
          <w:szCs w:val="24"/>
        </w:rPr>
        <w:t xml:space="preserve">validação do modelo (capital </w:t>
      </w:r>
      <w:proofErr w:type="spellStart"/>
      <w:r>
        <w:rPr>
          <w:rFonts w:ascii="Garamond" w:hAnsi="Garamond" w:cs="Garamond"/>
          <w:bCs/>
          <w:sz w:val="24"/>
          <w:szCs w:val="24"/>
        </w:rPr>
        <w:t>reputacional</w:t>
      </w:r>
      <w:proofErr w:type="spellEnd"/>
      <w:r w:rsidR="005D0D75">
        <w:rPr>
          <w:rFonts w:ascii="Garamond" w:hAnsi="Garamond" w:cs="Garamond"/>
          <w:bCs/>
          <w:sz w:val="24"/>
          <w:szCs w:val="24"/>
        </w:rPr>
        <w:t>)</w:t>
      </w:r>
      <w:r>
        <w:rPr>
          <w:rFonts w:ascii="Garamond" w:hAnsi="Garamond" w:cs="Garamond"/>
          <w:bCs/>
          <w:sz w:val="24"/>
          <w:szCs w:val="24"/>
        </w:rPr>
        <w:t xml:space="preserve">. Ademais, o apoio do Banco lhes confere garantias adicionais como asseguramento do </w:t>
      </w:r>
      <w:proofErr w:type="spellStart"/>
      <w:r>
        <w:rPr>
          <w:rFonts w:ascii="Garamond" w:hAnsi="Garamond" w:cs="Garamond"/>
          <w:bCs/>
          <w:sz w:val="24"/>
          <w:szCs w:val="24"/>
        </w:rPr>
        <w:t>efetivo</w:t>
      </w:r>
      <w:proofErr w:type="spellEnd"/>
      <w:r>
        <w:rPr>
          <w:rFonts w:ascii="Garamond" w:hAnsi="Garamond" w:cs="Garamond"/>
          <w:bCs/>
          <w:sz w:val="24"/>
          <w:szCs w:val="24"/>
        </w:rPr>
        <w:t xml:space="preserve"> arranque do </w:t>
      </w:r>
      <w:proofErr w:type="spellStart"/>
      <w:r w:rsidR="005D0D75">
        <w:rPr>
          <w:rFonts w:ascii="Garamond" w:hAnsi="Garamond" w:cs="Garamond"/>
          <w:bCs/>
          <w:sz w:val="24"/>
          <w:szCs w:val="24"/>
        </w:rPr>
        <w:t>projeto</w:t>
      </w:r>
      <w:proofErr w:type="spellEnd"/>
      <w:r w:rsidR="005D0D75">
        <w:rPr>
          <w:rFonts w:ascii="Garamond" w:hAnsi="Garamond" w:cs="Garamond"/>
          <w:bCs/>
          <w:sz w:val="24"/>
          <w:szCs w:val="24"/>
        </w:rPr>
        <w:t>.</w:t>
      </w:r>
    </w:p>
    <w:p w:rsidR="003A2042" w:rsidRDefault="003A2042" w:rsidP="00A22D55">
      <w:pPr>
        <w:jc w:val="both"/>
        <w:rPr>
          <w:rFonts w:ascii="Garamond" w:hAnsi="Garamond" w:cs="Garamond"/>
          <w:bCs/>
          <w:sz w:val="24"/>
          <w:szCs w:val="24"/>
        </w:rPr>
      </w:pPr>
    </w:p>
    <w:p w:rsidR="003A2042" w:rsidRDefault="008E0E7F" w:rsidP="00A22D55">
      <w:pPr>
        <w:jc w:val="both"/>
        <w:rPr>
          <w:rFonts w:ascii="Garamond" w:hAnsi="Garamond" w:cs="Garamond"/>
          <w:bCs/>
          <w:sz w:val="24"/>
          <w:szCs w:val="24"/>
        </w:rPr>
      </w:pPr>
      <w:r>
        <w:rPr>
          <w:rFonts w:ascii="Garamond" w:hAnsi="Garamond" w:cs="Garamond"/>
          <w:bCs/>
          <w:sz w:val="24"/>
          <w:szCs w:val="24"/>
        </w:rPr>
        <w:t xml:space="preserve">Seguindo a perspectiva de </w:t>
      </w:r>
      <w:proofErr w:type="spellStart"/>
      <w:r>
        <w:rPr>
          <w:rFonts w:ascii="Garamond" w:hAnsi="Garamond" w:cs="Garamond"/>
          <w:bCs/>
          <w:sz w:val="24"/>
          <w:szCs w:val="24"/>
        </w:rPr>
        <w:t>inovaçao</w:t>
      </w:r>
      <w:proofErr w:type="spellEnd"/>
      <w:r>
        <w:rPr>
          <w:rFonts w:ascii="Garamond" w:hAnsi="Garamond" w:cs="Garamond"/>
          <w:bCs/>
          <w:sz w:val="24"/>
          <w:szCs w:val="24"/>
        </w:rPr>
        <w:t xml:space="preserve"> na gestão e </w:t>
      </w:r>
      <w:proofErr w:type="spellStart"/>
      <w:r>
        <w:rPr>
          <w:rFonts w:ascii="Garamond" w:hAnsi="Garamond" w:cs="Garamond"/>
          <w:bCs/>
          <w:sz w:val="24"/>
          <w:szCs w:val="24"/>
        </w:rPr>
        <w:t>associaçao</w:t>
      </w:r>
      <w:proofErr w:type="spellEnd"/>
      <w:r>
        <w:rPr>
          <w:rFonts w:ascii="Garamond" w:hAnsi="Garamond" w:cs="Garamond"/>
          <w:bCs/>
          <w:sz w:val="24"/>
          <w:szCs w:val="24"/>
        </w:rPr>
        <w:t xml:space="preserve"> com o </w:t>
      </w:r>
      <w:proofErr w:type="spellStart"/>
      <w:r>
        <w:rPr>
          <w:rFonts w:ascii="Garamond" w:hAnsi="Garamond" w:cs="Garamond"/>
          <w:bCs/>
          <w:sz w:val="24"/>
          <w:szCs w:val="24"/>
        </w:rPr>
        <w:t>setor</w:t>
      </w:r>
      <w:proofErr w:type="spellEnd"/>
      <w:r>
        <w:rPr>
          <w:rFonts w:ascii="Garamond" w:hAnsi="Garamond" w:cs="Garamond"/>
          <w:bCs/>
          <w:sz w:val="24"/>
          <w:szCs w:val="24"/>
        </w:rPr>
        <w:t xml:space="preserve"> privado, </w:t>
      </w:r>
      <w:r w:rsidR="00191AC4">
        <w:rPr>
          <w:rFonts w:ascii="Garamond" w:hAnsi="Garamond" w:cs="Garamond"/>
          <w:bCs/>
          <w:sz w:val="24"/>
          <w:szCs w:val="24"/>
        </w:rPr>
        <w:t>a</w:t>
      </w:r>
      <w:r w:rsidR="003A2042">
        <w:rPr>
          <w:rFonts w:ascii="Garamond" w:hAnsi="Garamond" w:cs="Garamond"/>
          <w:bCs/>
          <w:sz w:val="24"/>
          <w:szCs w:val="24"/>
        </w:rPr>
        <w:t xml:space="preserve"> </w:t>
      </w:r>
      <w:r w:rsidR="006A072A">
        <w:rPr>
          <w:rFonts w:ascii="Garamond" w:hAnsi="Garamond" w:cs="Garamond"/>
          <w:bCs/>
          <w:sz w:val="24"/>
          <w:szCs w:val="24"/>
        </w:rPr>
        <w:t>gestão</w:t>
      </w:r>
      <w:r w:rsidR="003A2042">
        <w:rPr>
          <w:rFonts w:ascii="Garamond" w:hAnsi="Garamond" w:cs="Garamond"/>
          <w:bCs/>
          <w:sz w:val="24"/>
          <w:szCs w:val="24"/>
        </w:rPr>
        <w:t xml:space="preserve"> </w:t>
      </w:r>
      <w:r w:rsidR="006A072A">
        <w:rPr>
          <w:rFonts w:ascii="Garamond" w:hAnsi="Garamond" w:cs="Garamond"/>
          <w:bCs/>
          <w:sz w:val="24"/>
          <w:szCs w:val="24"/>
        </w:rPr>
        <w:t xml:space="preserve">clínica </w:t>
      </w:r>
      <w:r w:rsidR="00191AC4">
        <w:rPr>
          <w:rFonts w:ascii="Garamond" w:hAnsi="Garamond" w:cs="Garamond"/>
          <w:bCs/>
          <w:sz w:val="24"/>
          <w:szCs w:val="24"/>
        </w:rPr>
        <w:t>d</w:t>
      </w:r>
      <w:r w:rsidR="006A072A">
        <w:rPr>
          <w:rFonts w:ascii="Garamond" w:hAnsi="Garamond" w:cs="Garamond"/>
          <w:bCs/>
          <w:sz w:val="24"/>
          <w:szCs w:val="24"/>
        </w:rPr>
        <w:t>o</w:t>
      </w:r>
      <w:r w:rsidR="00191AC4">
        <w:rPr>
          <w:rFonts w:ascii="Garamond" w:hAnsi="Garamond" w:cs="Garamond"/>
          <w:bCs/>
          <w:sz w:val="24"/>
          <w:szCs w:val="24"/>
        </w:rPr>
        <w:t xml:space="preserve"> Hospital Metropolitano será</w:t>
      </w:r>
      <w:r>
        <w:rPr>
          <w:rFonts w:ascii="Garamond" w:hAnsi="Garamond" w:cs="Garamond"/>
          <w:bCs/>
          <w:sz w:val="24"/>
          <w:szCs w:val="24"/>
        </w:rPr>
        <w:t xml:space="preserve"> realizada </w:t>
      </w:r>
      <w:r w:rsidR="00191AC4">
        <w:rPr>
          <w:rFonts w:ascii="Garamond" w:hAnsi="Garamond" w:cs="Garamond"/>
          <w:bCs/>
          <w:sz w:val="24"/>
          <w:szCs w:val="24"/>
        </w:rPr>
        <w:t xml:space="preserve">por </w:t>
      </w:r>
      <w:r>
        <w:rPr>
          <w:rFonts w:ascii="Garamond" w:hAnsi="Garamond" w:cs="Garamond"/>
          <w:bCs/>
          <w:sz w:val="24"/>
          <w:szCs w:val="24"/>
        </w:rPr>
        <w:t xml:space="preserve">meio de </w:t>
      </w:r>
      <w:r w:rsidR="00191AC4">
        <w:rPr>
          <w:rFonts w:ascii="Garamond" w:hAnsi="Garamond" w:cs="Garamond"/>
          <w:bCs/>
          <w:sz w:val="24"/>
          <w:szCs w:val="24"/>
        </w:rPr>
        <w:t>uma Organização Social de Sa</w:t>
      </w:r>
      <w:r w:rsidR="005D0D75">
        <w:rPr>
          <w:rFonts w:ascii="Garamond" w:hAnsi="Garamond" w:cs="Garamond"/>
          <w:bCs/>
          <w:sz w:val="24"/>
          <w:szCs w:val="24"/>
        </w:rPr>
        <w:t xml:space="preserve">úde, </w:t>
      </w:r>
      <w:r>
        <w:rPr>
          <w:rFonts w:ascii="Garamond" w:hAnsi="Garamond" w:cs="Garamond"/>
          <w:bCs/>
          <w:sz w:val="24"/>
          <w:szCs w:val="24"/>
        </w:rPr>
        <w:t>por</w:t>
      </w:r>
      <w:r w:rsidR="005C0A6D">
        <w:rPr>
          <w:rFonts w:ascii="Garamond" w:hAnsi="Garamond" w:cs="Garamond"/>
          <w:bCs/>
          <w:sz w:val="24"/>
          <w:szCs w:val="24"/>
        </w:rPr>
        <w:t xml:space="preserve"> contrato de gestão por resultados (clinica e </w:t>
      </w:r>
      <w:proofErr w:type="spellStart"/>
      <w:r w:rsidR="005C0A6D">
        <w:rPr>
          <w:rFonts w:ascii="Garamond" w:hAnsi="Garamond" w:cs="Garamond"/>
          <w:bCs/>
          <w:sz w:val="24"/>
          <w:szCs w:val="24"/>
        </w:rPr>
        <w:t>gerencial</w:t>
      </w:r>
      <w:proofErr w:type="spellEnd"/>
      <w:r w:rsidR="005C0A6D">
        <w:rPr>
          <w:rFonts w:ascii="Garamond" w:hAnsi="Garamond" w:cs="Garamond"/>
          <w:bCs/>
          <w:sz w:val="24"/>
          <w:szCs w:val="24"/>
        </w:rPr>
        <w:t>)</w:t>
      </w:r>
      <w:r>
        <w:rPr>
          <w:rFonts w:ascii="Garamond" w:hAnsi="Garamond" w:cs="Garamond"/>
          <w:bCs/>
          <w:sz w:val="24"/>
          <w:szCs w:val="24"/>
        </w:rPr>
        <w:t xml:space="preserve">, </w:t>
      </w:r>
      <w:r w:rsidR="005D0D75">
        <w:rPr>
          <w:rFonts w:ascii="Garamond" w:hAnsi="Garamond" w:cs="Garamond"/>
          <w:bCs/>
          <w:sz w:val="24"/>
          <w:szCs w:val="24"/>
        </w:rPr>
        <w:t xml:space="preserve">modelo que já se mostrou mais eficiente que a administração </w:t>
      </w:r>
      <w:proofErr w:type="spellStart"/>
      <w:r w:rsidR="005D0D75">
        <w:rPr>
          <w:rFonts w:ascii="Garamond" w:hAnsi="Garamond" w:cs="Garamond"/>
          <w:bCs/>
          <w:sz w:val="24"/>
          <w:szCs w:val="24"/>
        </w:rPr>
        <w:t>direta</w:t>
      </w:r>
      <w:proofErr w:type="spellEnd"/>
      <w:r w:rsidR="005D0D75">
        <w:rPr>
          <w:rFonts w:ascii="Garamond" w:hAnsi="Garamond" w:cs="Garamond"/>
          <w:bCs/>
          <w:sz w:val="24"/>
          <w:szCs w:val="24"/>
        </w:rPr>
        <w:t>, pelas atuais experiencias no Estado</w:t>
      </w:r>
      <w:r w:rsidR="006A072A">
        <w:rPr>
          <w:rFonts w:ascii="Garamond" w:hAnsi="Garamond" w:cs="Garamond"/>
          <w:bCs/>
          <w:sz w:val="24"/>
          <w:szCs w:val="24"/>
        </w:rPr>
        <w:t xml:space="preserve">, que são acompanhadas pelo Banco. </w:t>
      </w:r>
    </w:p>
    <w:p w:rsidR="00832686" w:rsidRDefault="00832686" w:rsidP="00A22D55">
      <w:pPr>
        <w:jc w:val="both"/>
        <w:rPr>
          <w:rFonts w:ascii="Garamond" w:hAnsi="Garamond" w:cs="Garamond"/>
          <w:bCs/>
          <w:sz w:val="24"/>
          <w:szCs w:val="24"/>
        </w:rPr>
      </w:pPr>
    </w:p>
    <w:p w:rsidR="00C74EC3" w:rsidRDefault="00C74EC3" w:rsidP="007B3D3E">
      <w:pPr>
        <w:rPr>
          <w:rFonts w:ascii="Garamond" w:hAnsi="Garamond" w:cs="Garamond"/>
          <w:bCs/>
          <w:sz w:val="24"/>
          <w:szCs w:val="24"/>
        </w:rPr>
      </w:pPr>
    </w:p>
    <w:p w:rsidR="00B42DBC" w:rsidRDefault="00C74EC3" w:rsidP="007B3D3E">
      <w:pPr>
        <w:rPr>
          <w:rFonts w:ascii="Garamond" w:hAnsi="Garamond" w:cs="Garamond"/>
          <w:bCs/>
          <w:sz w:val="24"/>
          <w:szCs w:val="24"/>
        </w:rPr>
      </w:pPr>
      <w:r>
        <w:rPr>
          <w:rFonts w:ascii="Garamond" w:hAnsi="Garamond" w:cs="Garamond"/>
          <w:bCs/>
          <w:sz w:val="24"/>
          <w:szCs w:val="24"/>
        </w:rPr>
        <w:t xml:space="preserve">5.2. </w:t>
      </w:r>
      <w:r w:rsidRPr="00C74EC3">
        <w:rPr>
          <w:rFonts w:ascii="Garamond" w:hAnsi="Garamond" w:cs="Garamond"/>
          <w:b/>
          <w:bCs/>
          <w:sz w:val="24"/>
          <w:szCs w:val="24"/>
        </w:rPr>
        <w:t>Fiduciário (Aquisições</w:t>
      </w:r>
      <w:r w:rsidR="00176140">
        <w:rPr>
          <w:rFonts w:ascii="Garamond" w:hAnsi="Garamond" w:cs="Garamond"/>
          <w:b/>
          <w:bCs/>
          <w:sz w:val="24"/>
          <w:szCs w:val="24"/>
        </w:rPr>
        <w:t xml:space="preserve"> e Gestão Financeira</w:t>
      </w:r>
      <w:r w:rsidRPr="00C74EC3">
        <w:rPr>
          <w:rFonts w:ascii="Garamond" w:hAnsi="Garamond" w:cs="Garamond"/>
          <w:b/>
          <w:bCs/>
          <w:sz w:val="24"/>
          <w:szCs w:val="24"/>
        </w:rPr>
        <w:t>):</w:t>
      </w:r>
      <w:r>
        <w:rPr>
          <w:rFonts w:ascii="Garamond" w:hAnsi="Garamond" w:cs="Garamond"/>
          <w:bCs/>
          <w:sz w:val="24"/>
          <w:szCs w:val="24"/>
        </w:rPr>
        <w:t xml:space="preserve"> </w:t>
      </w:r>
    </w:p>
    <w:p w:rsidR="00BC69E4" w:rsidRDefault="00BC69E4" w:rsidP="007B3D3E">
      <w:pPr>
        <w:rPr>
          <w:rFonts w:ascii="Garamond" w:hAnsi="Garamond" w:cs="Garamond"/>
          <w:bCs/>
          <w:sz w:val="24"/>
          <w:szCs w:val="24"/>
        </w:rPr>
      </w:pPr>
    </w:p>
    <w:p w:rsidR="00C74EC3" w:rsidRDefault="00BC69E4" w:rsidP="00BC69E4">
      <w:pPr>
        <w:pStyle w:val="ListParagraph"/>
        <w:numPr>
          <w:ilvl w:val="0"/>
          <w:numId w:val="8"/>
        </w:numPr>
        <w:jc w:val="both"/>
        <w:rPr>
          <w:rFonts w:ascii="Garamond" w:hAnsi="Garamond" w:cs="Garamond"/>
          <w:bCs/>
          <w:sz w:val="24"/>
          <w:szCs w:val="24"/>
        </w:rPr>
      </w:pPr>
      <w:r w:rsidRPr="00BC69E4">
        <w:rPr>
          <w:rFonts w:ascii="Garamond" w:hAnsi="Garamond" w:cs="Garamond"/>
          <w:bCs/>
          <w:sz w:val="24"/>
          <w:szCs w:val="24"/>
        </w:rPr>
        <w:t xml:space="preserve">O Processo foi realizado no </w:t>
      </w:r>
      <w:proofErr w:type="spellStart"/>
      <w:r w:rsidRPr="00BC69E4">
        <w:rPr>
          <w:rFonts w:ascii="Garamond" w:hAnsi="Garamond" w:cs="Garamond"/>
          <w:bCs/>
          <w:sz w:val="24"/>
          <w:szCs w:val="24"/>
        </w:rPr>
        <w:t>periodo</w:t>
      </w:r>
      <w:proofErr w:type="spellEnd"/>
      <w:r w:rsidRPr="00BC69E4">
        <w:rPr>
          <w:rFonts w:ascii="Garamond" w:hAnsi="Garamond" w:cs="Garamond"/>
          <w:bCs/>
          <w:sz w:val="24"/>
          <w:szCs w:val="24"/>
        </w:rPr>
        <w:t xml:space="preserve"> de Setembro/2011 a Setembro/2014 (Assinatura do Contrato), seguindo </w:t>
      </w:r>
      <w:r w:rsidR="00A22D55">
        <w:rPr>
          <w:rFonts w:ascii="Garamond" w:hAnsi="Garamond" w:cs="Garamond"/>
          <w:bCs/>
          <w:sz w:val="24"/>
          <w:szCs w:val="24"/>
        </w:rPr>
        <w:t xml:space="preserve">estritamente </w:t>
      </w:r>
      <w:r w:rsidRPr="00BC69E4">
        <w:rPr>
          <w:rFonts w:ascii="Garamond" w:hAnsi="Garamond" w:cs="Garamond"/>
          <w:bCs/>
          <w:sz w:val="24"/>
          <w:szCs w:val="24"/>
        </w:rPr>
        <w:t xml:space="preserve">o previsto na Lei nº 11.079/2004 - </w:t>
      </w:r>
      <w:r w:rsidR="00B42DBC" w:rsidRPr="00BC69E4">
        <w:rPr>
          <w:rFonts w:ascii="Garamond" w:hAnsi="Garamond" w:cs="Garamond"/>
          <w:bCs/>
          <w:sz w:val="24"/>
          <w:szCs w:val="24"/>
        </w:rPr>
        <w:t>Lei d</w:t>
      </w:r>
      <w:r w:rsidRPr="00BC69E4">
        <w:rPr>
          <w:rFonts w:ascii="Garamond" w:hAnsi="Garamond" w:cs="Garamond"/>
          <w:bCs/>
          <w:sz w:val="24"/>
          <w:szCs w:val="24"/>
        </w:rPr>
        <w:t>as</w:t>
      </w:r>
      <w:r w:rsidR="00B42DBC" w:rsidRPr="00BC69E4">
        <w:rPr>
          <w:rFonts w:ascii="Garamond" w:hAnsi="Garamond" w:cs="Garamond"/>
          <w:bCs/>
          <w:sz w:val="24"/>
          <w:szCs w:val="24"/>
        </w:rPr>
        <w:t xml:space="preserve"> PPP</w:t>
      </w:r>
      <w:r w:rsidR="00A22D55">
        <w:rPr>
          <w:rFonts w:ascii="Garamond" w:hAnsi="Garamond" w:cs="Garamond"/>
          <w:bCs/>
          <w:sz w:val="24"/>
          <w:szCs w:val="24"/>
        </w:rPr>
        <w:t xml:space="preserve"> – Legislação Local</w:t>
      </w:r>
      <w:r>
        <w:rPr>
          <w:rFonts w:ascii="Garamond" w:hAnsi="Garamond" w:cs="Garamond"/>
          <w:bCs/>
          <w:sz w:val="24"/>
          <w:szCs w:val="24"/>
        </w:rPr>
        <w:t>;</w:t>
      </w:r>
    </w:p>
    <w:p w:rsidR="007E14EF" w:rsidRDefault="00BC69E4" w:rsidP="007E14EF">
      <w:pPr>
        <w:pStyle w:val="ListParagraph"/>
        <w:numPr>
          <w:ilvl w:val="0"/>
          <w:numId w:val="8"/>
        </w:numPr>
        <w:jc w:val="both"/>
        <w:rPr>
          <w:rFonts w:ascii="Garamond" w:hAnsi="Garamond" w:cs="Garamond"/>
          <w:bCs/>
          <w:sz w:val="24"/>
          <w:szCs w:val="24"/>
        </w:rPr>
      </w:pPr>
      <w:proofErr w:type="spellStart"/>
      <w:r w:rsidRPr="00B94218">
        <w:rPr>
          <w:rFonts w:ascii="Garamond" w:hAnsi="Garamond" w:cs="Garamond"/>
          <w:bCs/>
          <w:sz w:val="24"/>
          <w:szCs w:val="24"/>
        </w:rPr>
        <w:t>Efetivamente</w:t>
      </w:r>
      <w:proofErr w:type="spellEnd"/>
      <w:r w:rsidRPr="00B94218">
        <w:rPr>
          <w:rFonts w:ascii="Garamond" w:hAnsi="Garamond" w:cs="Garamond"/>
          <w:bCs/>
          <w:sz w:val="24"/>
          <w:szCs w:val="24"/>
        </w:rPr>
        <w:t xml:space="preserve">, os trabalhos </w:t>
      </w:r>
      <w:r w:rsidR="00B94218" w:rsidRPr="00B94218">
        <w:rPr>
          <w:rFonts w:ascii="Garamond" w:hAnsi="Garamond" w:cs="Garamond"/>
          <w:bCs/>
          <w:sz w:val="24"/>
          <w:szCs w:val="24"/>
        </w:rPr>
        <w:t xml:space="preserve">só serão iniciados, conforme </w:t>
      </w:r>
      <w:proofErr w:type="spellStart"/>
      <w:r w:rsidR="00B94218" w:rsidRPr="00B94218">
        <w:rPr>
          <w:rFonts w:ascii="Garamond" w:hAnsi="Garamond" w:cs="Garamond"/>
          <w:bCs/>
          <w:sz w:val="24"/>
          <w:szCs w:val="24"/>
        </w:rPr>
        <w:t>porevisto</w:t>
      </w:r>
      <w:proofErr w:type="spellEnd"/>
      <w:r w:rsidR="00B94218" w:rsidRPr="00B94218">
        <w:rPr>
          <w:rFonts w:ascii="Garamond" w:hAnsi="Garamond" w:cs="Garamond"/>
          <w:bCs/>
          <w:sz w:val="24"/>
          <w:szCs w:val="24"/>
        </w:rPr>
        <w:t xml:space="preserve"> no contrato assinado com a SPE, quando for emitida a Ordem de Serviço, prevista para </w:t>
      </w:r>
      <w:proofErr w:type="spellStart"/>
      <w:r w:rsidR="00B94218" w:rsidRPr="00B94218">
        <w:rPr>
          <w:rFonts w:ascii="Garamond" w:hAnsi="Garamond" w:cs="Garamond"/>
          <w:bCs/>
          <w:sz w:val="24"/>
          <w:szCs w:val="24"/>
        </w:rPr>
        <w:t>julho</w:t>
      </w:r>
      <w:proofErr w:type="spellEnd"/>
      <w:r w:rsidR="00B94218" w:rsidRPr="00B94218">
        <w:rPr>
          <w:rFonts w:ascii="Garamond" w:hAnsi="Garamond" w:cs="Garamond"/>
          <w:bCs/>
          <w:sz w:val="24"/>
          <w:szCs w:val="24"/>
        </w:rPr>
        <w:t xml:space="preserve"> de 2015, ou seja, data posterior a aprovação </w:t>
      </w:r>
      <w:proofErr w:type="gramStart"/>
      <w:r w:rsidR="00B94218" w:rsidRPr="00B94218">
        <w:rPr>
          <w:rFonts w:ascii="Garamond" w:hAnsi="Garamond" w:cs="Garamond"/>
          <w:bCs/>
          <w:sz w:val="24"/>
          <w:szCs w:val="24"/>
        </w:rPr>
        <w:t xml:space="preserve">do </w:t>
      </w:r>
      <w:r w:rsidRPr="00B94218">
        <w:rPr>
          <w:rFonts w:ascii="Garamond" w:hAnsi="Garamond" w:cs="Garamond"/>
          <w:bCs/>
          <w:sz w:val="24"/>
          <w:szCs w:val="24"/>
        </w:rPr>
        <w:t xml:space="preserve"> PP</w:t>
      </w:r>
      <w:proofErr w:type="gramEnd"/>
      <w:r w:rsidRPr="00B94218">
        <w:rPr>
          <w:rFonts w:ascii="Garamond" w:hAnsi="Garamond" w:cs="Garamond"/>
          <w:bCs/>
          <w:sz w:val="24"/>
          <w:szCs w:val="24"/>
        </w:rPr>
        <w:t xml:space="preserve"> do </w:t>
      </w:r>
      <w:r w:rsidR="00B94218" w:rsidRPr="00B94218">
        <w:rPr>
          <w:rFonts w:ascii="Garamond" w:hAnsi="Garamond" w:cs="Garamond"/>
          <w:bCs/>
          <w:sz w:val="24"/>
          <w:szCs w:val="24"/>
        </w:rPr>
        <w:t>Programa</w:t>
      </w:r>
      <w:r w:rsidRPr="00B94218">
        <w:rPr>
          <w:rFonts w:ascii="Garamond" w:hAnsi="Garamond" w:cs="Garamond"/>
          <w:bCs/>
          <w:sz w:val="24"/>
          <w:szCs w:val="24"/>
        </w:rPr>
        <w:t>;</w:t>
      </w:r>
    </w:p>
    <w:p w:rsidR="007E14EF" w:rsidRPr="007E14EF" w:rsidRDefault="007E14EF" w:rsidP="007E14EF">
      <w:pPr>
        <w:pStyle w:val="ListParagraph"/>
        <w:numPr>
          <w:ilvl w:val="0"/>
          <w:numId w:val="8"/>
        </w:numPr>
        <w:jc w:val="both"/>
        <w:rPr>
          <w:rFonts w:ascii="Garamond" w:hAnsi="Garamond" w:cs="Garamond"/>
          <w:bCs/>
          <w:sz w:val="24"/>
          <w:szCs w:val="24"/>
        </w:rPr>
      </w:pPr>
      <w:r w:rsidRPr="007E14EF">
        <w:rPr>
          <w:rFonts w:ascii="Garamond" w:hAnsi="Garamond" w:cs="Garamond"/>
          <w:bCs/>
          <w:sz w:val="24"/>
          <w:szCs w:val="24"/>
        </w:rPr>
        <w:t xml:space="preserve">Observando o </w:t>
      </w:r>
      <w:r>
        <w:rPr>
          <w:rFonts w:ascii="Garamond" w:hAnsi="Garamond" w:cs="Garamond"/>
          <w:bCs/>
          <w:sz w:val="24"/>
          <w:szCs w:val="24"/>
        </w:rPr>
        <w:t>previsto</w:t>
      </w:r>
      <w:r w:rsidRPr="007E14EF">
        <w:rPr>
          <w:rFonts w:ascii="Garamond" w:hAnsi="Garamond" w:cs="Garamond"/>
          <w:bCs/>
          <w:sz w:val="24"/>
          <w:szCs w:val="24"/>
        </w:rPr>
        <w:t xml:space="preserve"> no parágrafo 1.2. da GN 2349</w:t>
      </w:r>
      <w:r>
        <w:rPr>
          <w:rFonts w:ascii="Garamond" w:hAnsi="Garamond" w:cs="Garamond"/>
          <w:bCs/>
          <w:sz w:val="24"/>
          <w:szCs w:val="24"/>
        </w:rPr>
        <w:t xml:space="preserve"> -</w:t>
      </w:r>
      <w:r w:rsidRPr="007E14EF">
        <w:rPr>
          <w:rFonts w:ascii="Garamond" w:hAnsi="Garamond" w:cs="Garamond"/>
          <w:bCs/>
          <w:sz w:val="24"/>
          <w:szCs w:val="24"/>
        </w:rPr>
        <w:t xml:space="preserve"> “na prática, as normas e os procedimentos específicos de aquisições e contratações a serem observados na implementação de um </w:t>
      </w:r>
      <w:proofErr w:type="spellStart"/>
      <w:r w:rsidRPr="007E14EF">
        <w:rPr>
          <w:rFonts w:ascii="Garamond" w:hAnsi="Garamond" w:cs="Garamond"/>
          <w:bCs/>
          <w:sz w:val="24"/>
          <w:szCs w:val="24"/>
        </w:rPr>
        <w:t>projeto</w:t>
      </w:r>
      <w:proofErr w:type="spellEnd"/>
      <w:r w:rsidRPr="007E14EF">
        <w:rPr>
          <w:rFonts w:ascii="Garamond" w:hAnsi="Garamond" w:cs="Garamond"/>
          <w:bCs/>
          <w:sz w:val="24"/>
          <w:szCs w:val="24"/>
        </w:rPr>
        <w:t xml:space="preserve"> dependam de cada caso em particular, as exigências do Banco são orientadas por quatro critérios:</w:t>
      </w:r>
    </w:p>
    <w:p w:rsidR="007E14EF" w:rsidRPr="00A22D55" w:rsidRDefault="007E14EF" w:rsidP="007E14EF">
      <w:pPr>
        <w:pStyle w:val="List"/>
        <w:ind w:left="720"/>
        <w:rPr>
          <w:rFonts w:ascii="Garamond" w:hAnsi="Garamond" w:cs="Garamond"/>
          <w:bCs/>
          <w:lang w:val="pt-PT" w:eastAsia="en-US"/>
        </w:rPr>
      </w:pPr>
      <w:r w:rsidRPr="00A22D55">
        <w:rPr>
          <w:rFonts w:ascii="Garamond" w:hAnsi="Garamond" w:cs="Garamond"/>
          <w:bCs/>
          <w:lang w:val="pt-PT" w:eastAsia="en-US"/>
        </w:rPr>
        <w:t xml:space="preserve">(a) </w:t>
      </w:r>
      <w:proofErr w:type="gramStart"/>
      <w:r w:rsidRPr="00A22D55">
        <w:rPr>
          <w:rFonts w:ascii="Garamond" w:hAnsi="Garamond" w:cs="Garamond"/>
          <w:bCs/>
          <w:lang w:val="pt-PT" w:eastAsia="en-US"/>
        </w:rPr>
        <w:t>a</w:t>
      </w:r>
      <w:proofErr w:type="gramEnd"/>
      <w:r w:rsidRPr="00A22D55">
        <w:rPr>
          <w:rFonts w:ascii="Garamond" w:hAnsi="Garamond" w:cs="Garamond"/>
          <w:bCs/>
          <w:lang w:val="pt-PT" w:eastAsia="en-US"/>
        </w:rPr>
        <w:t xml:space="preserve"> necessidade de economia e eficiência na implementação do </w:t>
      </w:r>
      <w:proofErr w:type="spellStart"/>
      <w:r w:rsidRPr="00A22D55">
        <w:rPr>
          <w:rFonts w:ascii="Garamond" w:hAnsi="Garamond" w:cs="Garamond"/>
          <w:bCs/>
          <w:lang w:val="pt-PT" w:eastAsia="en-US"/>
        </w:rPr>
        <w:t>projeto</w:t>
      </w:r>
      <w:proofErr w:type="spellEnd"/>
      <w:r w:rsidRPr="00A22D55">
        <w:rPr>
          <w:rFonts w:ascii="Garamond" w:hAnsi="Garamond" w:cs="Garamond"/>
          <w:bCs/>
          <w:lang w:val="pt-PT" w:eastAsia="en-US"/>
        </w:rPr>
        <w:t>, inclusive nas aquisições de bens e contratação de obras nele incluídas;</w:t>
      </w:r>
    </w:p>
    <w:p w:rsidR="007E14EF" w:rsidRPr="00A22D55" w:rsidRDefault="007E14EF" w:rsidP="007E14EF">
      <w:pPr>
        <w:pStyle w:val="List"/>
        <w:ind w:left="720"/>
        <w:rPr>
          <w:rFonts w:ascii="Garamond" w:hAnsi="Garamond" w:cs="Garamond"/>
          <w:bCs/>
          <w:lang w:val="pt-PT" w:eastAsia="en-US"/>
        </w:rPr>
      </w:pPr>
      <w:r w:rsidRPr="00A22D55">
        <w:rPr>
          <w:rFonts w:ascii="Garamond" w:hAnsi="Garamond" w:cs="Garamond"/>
          <w:bCs/>
          <w:lang w:val="pt-PT" w:eastAsia="en-US"/>
        </w:rPr>
        <w:t>(b) o interesse do Banco em oferecer a todos os licitantes elegíveis de países mutuários e não mutuários, membros do Banco as mesmas informações e igual oportunidade de competir para o fornecimento de bens e a contratação de obras financiados pelo Banco;</w:t>
      </w:r>
    </w:p>
    <w:p w:rsidR="007E14EF" w:rsidRPr="00A22D55" w:rsidRDefault="007E14EF" w:rsidP="007E14EF">
      <w:pPr>
        <w:pStyle w:val="List"/>
        <w:ind w:left="720"/>
        <w:rPr>
          <w:rFonts w:ascii="Garamond" w:hAnsi="Garamond" w:cs="Garamond"/>
          <w:bCs/>
          <w:lang w:val="pt-PT" w:eastAsia="en-US"/>
        </w:rPr>
      </w:pPr>
      <w:r w:rsidRPr="00A22D55">
        <w:rPr>
          <w:rFonts w:ascii="Garamond" w:hAnsi="Garamond" w:cs="Garamond"/>
          <w:bCs/>
          <w:lang w:val="pt-PT" w:eastAsia="en-US"/>
        </w:rPr>
        <w:t xml:space="preserve">(c) o interesse do Banco em estimular o desenvolvimento da construção civil e da indústria nacional do país Mutuário; </w:t>
      </w:r>
      <w:proofErr w:type="gramStart"/>
      <w:r w:rsidRPr="00A22D55">
        <w:rPr>
          <w:rFonts w:ascii="Garamond" w:hAnsi="Garamond" w:cs="Garamond"/>
          <w:bCs/>
          <w:lang w:val="pt-PT" w:eastAsia="en-US"/>
        </w:rPr>
        <w:t>e</w:t>
      </w:r>
      <w:proofErr w:type="gramEnd"/>
    </w:p>
    <w:p w:rsidR="007E14EF" w:rsidRPr="00A22D55" w:rsidRDefault="007E14EF" w:rsidP="007E14EF">
      <w:pPr>
        <w:pStyle w:val="List"/>
        <w:ind w:left="720"/>
        <w:rPr>
          <w:rFonts w:ascii="Garamond" w:hAnsi="Garamond" w:cs="Garamond"/>
          <w:bCs/>
          <w:lang w:val="pt-PT" w:eastAsia="en-US"/>
        </w:rPr>
      </w:pPr>
      <w:r w:rsidRPr="00A22D55">
        <w:rPr>
          <w:rFonts w:ascii="Garamond" w:hAnsi="Garamond" w:cs="Garamond"/>
          <w:bCs/>
          <w:lang w:val="pt-PT" w:eastAsia="en-US"/>
        </w:rPr>
        <w:t>(d) a importância da transparência no processo de aquisições</w:t>
      </w:r>
      <w:r w:rsidR="0098756C" w:rsidRPr="00A22D55">
        <w:rPr>
          <w:rFonts w:ascii="Garamond" w:hAnsi="Garamond" w:cs="Garamond"/>
          <w:bCs/>
          <w:lang w:val="pt-PT" w:eastAsia="en-US"/>
        </w:rPr>
        <w:t>.”</w:t>
      </w:r>
    </w:p>
    <w:p w:rsidR="007E14EF" w:rsidRPr="00A22D55" w:rsidRDefault="007E14EF" w:rsidP="007E14EF">
      <w:pPr>
        <w:jc w:val="both"/>
        <w:rPr>
          <w:rFonts w:ascii="Garamond" w:hAnsi="Garamond" w:cs="Garamond"/>
          <w:bCs/>
          <w:sz w:val="24"/>
          <w:szCs w:val="24"/>
        </w:rPr>
      </w:pPr>
      <w:r w:rsidRPr="00A22D55">
        <w:rPr>
          <w:rFonts w:ascii="Garamond" w:hAnsi="Garamond" w:cs="Garamond"/>
          <w:bCs/>
          <w:sz w:val="24"/>
          <w:szCs w:val="24"/>
        </w:rPr>
        <w:t>E considerando, ainda, que para contratação em referencia foi realizada Concorrência Internacional aberta</w:t>
      </w:r>
      <w:r w:rsidR="00E166EC" w:rsidRPr="00A22D55">
        <w:rPr>
          <w:rFonts w:ascii="Garamond" w:hAnsi="Garamond" w:cs="Garamond"/>
          <w:bCs/>
          <w:sz w:val="24"/>
          <w:szCs w:val="24"/>
        </w:rPr>
        <w:t xml:space="preserve"> de ampla divulgação</w:t>
      </w:r>
      <w:r w:rsidRPr="00A22D55">
        <w:rPr>
          <w:rFonts w:ascii="Garamond" w:hAnsi="Garamond" w:cs="Garamond"/>
          <w:bCs/>
          <w:sz w:val="24"/>
          <w:szCs w:val="24"/>
        </w:rPr>
        <w:t xml:space="preserve">, com o fornecimento de todos os estudos, </w:t>
      </w:r>
      <w:proofErr w:type="spellStart"/>
      <w:r w:rsidRPr="00A22D55">
        <w:rPr>
          <w:rFonts w:ascii="Garamond" w:hAnsi="Garamond" w:cs="Garamond"/>
          <w:bCs/>
          <w:sz w:val="24"/>
          <w:szCs w:val="24"/>
        </w:rPr>
        <w:t>projetos</w:t>
      </w:r>
      <w:proofErr w:type="spellEnd"/>
      <w:r w:rsidRPr="00A22D55">
        <w:rPr>
          <w:rFonts w:ascii="Garamond" w:hAnsi="Garamond" w:cs="Garamond"/>
          <w:bCs/>
          <w:sz w:val="24"/>
          <w:szCs w:val="24"/>
        </w:rPr>
        <w:t xml:space="preserve"> e informações aos licitantes interessados (7 licitantes retiraram o Edital)</w:t>
      </w:r>
      <w:r w:rsidR="00E166EC" w:rsidRPr="00A22D55">
        <w:rPr>
          <w:rFonts w:ascii="Garamond" w:hAnsi="Garamond" w:cs="Garamond"/>
          <w:bCs/>
          <w:sz w:val="24"/>
          <w:szCs w:val="24"/>
        </w:rPr>
        <w:t xml:space="preserve"> e constatadas e certificadas, por parte da Comissão de Julgamento e Procuradoria-Geral do Estado, as qualificações da ganhadora necessárias para executar o contrato, </w:t>
      </w:r>
      <w:r w:rsidRPr="00A22D55">
        <w:rPr>
          <w:rFonts w:ascii="Garamond" w:hAnsi="Garamond" w:cs="Garamond"/>
          <w:bCs/>
          <w:sz w:val="24"/>
          <w:szCs w:val="24"/>
        </w:rPr>
        <w:t xml:space="preserve">a nosso </w:t>
      </w:r>
      <w:r w:rsidR="00E166EC" w:rsidRPr="00A22D55">
        <w:rPr>
          <w:rFonts w:ascii="Garamond" w:hAnsi="Garamond" w:cs="Garamond"/>
          <w:bCs/>
          <w:sz w:val="24"/>
          <w:szCs w:val="24"/>
        </w:rPr>
        <w:t>critério</w:t>
      </w:r>
      <w:r w:rsidRPr="00A22D55">
        <w:rPr>
          <w:rFonts w:ascii="Garamond" w:hAnsi="Garamond" w:cs="Garamond"/>
          <w:bCs/>
          <w:sz w:val="24"/>
          <w:szCs w:val="24"/>
        </w:rPr>
        <w:t xml:space="preserve">, consideramos que </w:t>
      </w:r>
      <w:proofErr w:type="gramStart"/>
      <w:r w:rsidRPr="00A22D55">
        <w:rPr>
          <w:rFonts w:ascii="Garamond" w:hAnsi="Garamond" w:cs="Garamond"/>
          <w:bCs/>
          <w:sz w:val="24"/>
          <w:szCs w:val="24"/>
        </w:rPr>
        <w:t>podemos</w:t>
      </w:r>
      <w:proofErr w:type="gramEnd"/>
      <w:r w:rsidRPr="00A22D55">
        <w:rPr>
          <w:rFonts w:ascii="Garamond" w:hAnsi="Garamond" w:cs="Garamond"/>
          <w:bCs/>
          <w:sz w:val="24"/>
          <w:szCs w:val="24"/>
        </w:rPr>
        <w:t xml:space="preserve"> </w:t>
      </w:r>
      <w:r w:rsidR="00E166EC" w:rsidRPr="00A22D55">
        <w:rPr>
          <w:rFonts w:ascii="Garamond" w:hAnsi="Garamond" w:cs="Garamond"/>
          <w:bCs/>
          <w:sz w:val="24"/>
          <w:szCs w:val="24"/>
        </w:rPr>
        <w:t>reconhecer o pro</w:t>
      </w:r>
      <w:r w:rsidRPr="00A22D55">
        <w:rPr>
          <w:rFonts w:ascii="Garamond" w:hAnsi="Garamond" w:cs="Garamond"/>
          <w:bCs/>
          <w:sz w:val="24"/>
          <w:szCs w:val="24"/>
        </w:rPr>
        <w:t xml:space="preserve">cesso como válido para fins de financiamento e reconhecimento de contrapartida no </w:t>
      </w:r>
      <w:r w:rsidR="00E166EC" w:rsidRPr="00A22D55">
        <w:rPr>
          <w:rFonts w:ascii="Garamond" w:hAnsi="Garamond" w:cs="Garamond"/>
          <w:bCs/>
          <w:sz w:val="24"/>
          <w:szCs w:val="24"/>
        </w:rPr>
        <w:t>âmbito</w:t>
      </w:r>
      <w:r w:rsidRPr="00A22D55">
        <w:rPr>
          <w:rFonts w:ascii="Garamond" w:hAnsi="Garamond" w:cs="Garamond"/>
          <w:bCs/>
          <w:sz w:val="24"/>
          <w:szCs w:val="24"/>
        </w:rPr>
        <w:t xml:space="preserve"> do Programa.</w:t>
      </w:r>
    </w:p>
    <w:p w:rsidR="007E14EF" w:rsidRPr="00A22D55" w:rsidRDefault="007E14EF" w:rsidP="007E14EF">
      <w:pPr>
        <w:jc w:val="both"/>
        <w:rPr>
          <w:rFonts w:ascii="Garamond" w:hAnsi="Garamond" w:cs="Garamond"/>
          <w:bCs/>
          <w:sz w:val="24"/>
          <w:szCs w:val="24"/>
        </w:rPr>
      </w:pPr>
    </w:p>
    <w:p w:rsidR="00E166EC" w:rsidRPr="00A22D55" w:rsidRDefault="00E166EC" w:rsidP="00E166EC">
      <w:pPr>
        <w:pStyle w:val="ListParagraph"/>
        <w:numPr>
          <w:ilvl w:val="0"/>
          <w:numId w:val="9"/>
        </w:numPr>
        <w:jc w:val="both"/>
        <w:rPr>
          <w:rFonts w:ascii="Garamond" w:hAnsi="Garamond" w:cs="Garamond"/>
          <w:bCs/>
          <w:sz w:val="24"/>
          <w:szCs w:val="24"/>
        </w:rPr>
      </w:pPr>
      <w:r w:rsidRPr="00A22D55">
        <w:rPr>
          <w:rFonts w:ascii="Garamond" w:hAnsi="Garamond" w:cs="Garamond"/>
          <w:bCs/>
          <w:sz w:val="24"/>
          <w:szCs w:val="24"/>
        </w:rPr>
        <w:t xml:space="preserve">Com respeito ao estabelecido no parágrafo 1.8 (b) da GN 2349 que diz: “A empresa contratada pelo Mutuário para a prestação de serviços de consultoria para a elaboração ou implementação de um </w:t>
      </w:r>
      <w:proofErr w:type="spellStart"/>
      <w:r w:rsidRPr="00A22D55">
        <w:rPr>
          <w:rFonts w:ascii="Garamond" w:hAnsi="Garamond" w:cs="Garamond"/>
          <w:bCs/>
          <w:sz w:val="24"/>
          <w:szCs w:val="24"/>
        </w:rPr>
        <w:t>projeto</w:t>
      </w:r>
      <w:proofErr w:type="spellEnd"/>
      <w:r w:rsidRPr="00A22D55">
        <w:rPr>
          <w:rFonts w:ascii="Garamond" w:hAnsi="Garamond" w:cs="Garamond"/>
          <w:bCs/>
          <w:sz w:val="24"/>
          <w:szCs w:val="24"/>
        </w:rPr>
        <w:t xml:space="preserve">, bem como qualquer de suas associadas, será desqualificada do </w:t>
      </w:r>
      <w:proofErr w:type="spellStart"/>
      <w:r w:rsidRPr="00A22D55">
        <w:rPr>
          <w:rFonts w:ascii="Garamond" w:hAnsi="Garamond" w:cs="Garamond"/>
          <w:bCs/>
          <w:sz w:val="24"/>
          <w:szCs w:val="24"/>
        </w:rPr>
        <w:t>subseqüente</w:t>
      </w:r>
      <w:proofErr w:type="spellEnd"/>
      <w:r w:rsidRPr="00A22D55">
        <w:rPr>
          <w:rFonts w:ascii="Garamond" w:hAnsi="Garamond" w:cs="Garamond"/>
          <w:bCs/>
          <w:sz w:val="24"/>
          <w:szCs w:val="24"/>
        </w:rPr>
        <w:t xml:space="preserve"> fornecimento de bens e obras ou serviços resultantes daqueles serviços de consultoria para tal preparação ou implementação ou a </w:t>
      </w:r>
      <w:proofErr w:type="gramStart"/>
      <w:r w:rsidRPr="00A22D55">
        <w:rPr>
          <w:rFonts w:ascii="Garamond" w:hAnsi="Garamond" w:cs="Garamond"/>
          <w:bCs/>
          <w:sz w:val="24"/>
          <w:szCs w:val="24"/>
        </w:rPr>
        <w:t>eles</w:t>
      </w:r>
      <w:proofErr w:type="gramEnd"/>
      <w:r w:rsidRPr="00A22D55">
        <w:rPr>
          <w:rFonts w:ascii="Garamond" w:hAnsi="Garamond" w:cs="Garamond"/>
          <w:bCs/>
          <w:sz w:val="24"/>
          <w:szCs w:val="24"/>
        </w:rPr>
        <w:t xml:space="preserve"> </w:t>
      </w:r>
      <w:proofErr w:type="spellStart"/>
      <w:r w:rsidRPr="00A22D55">
        <w:rPr>
          <w:rFonts w:ascii="Garamond" w:hAnsi="Garamond" w:cs="Garamond"/>
          <w:bCs/>
          <w:sz w:val="24"/>
          <w:szCs w:val="24"/>
        </w:rPr>
        <w:t>diretamente</w:t>
      </w:r>
      <w:proofErr w:type="spellEnd"/>
      <w:r w:rsidRPr="00A22D55">
        <w:rPr>
          <w:rFonts w:ascii="Garamond" w:hAnsi="Garamond" w:cs="Garamond"/>
          <w:bCs/>
          <w:sz w:val="24"/>
          <w:szCs w:val="24"/>
        </w:rPr>
        <w:t xml:space="preserve"> relacionados. Esta disposição não se aplica ao grupo de empresas diferentes (Consultores, Empreiteiros ou Fornecedores) que estejam desempenhando, conjuntamente, as obrigações derivadas de contrato do tipo empreitada integral ou de contrato para elaboração de </w:t>
      </w:r>
      <w:proofErr w:type="spellStart"/>
      <w:r w:rsidRPr="00A22D55">
        <w:rPr>
          <w:rFonts w:ascii="Garamond" w:hAnsi="Garamond" w:cs="Garamond"/>
          <w:bCs/>
          <w:sz w:val="24"/>
          <w:szCs w:val="24"/>
        </w:rPr>
        <w:t>projeto</w:t>
      </w:r>
      <w:proofErr w:type="spellEnd"/>
      <w:r w:rsidRPr="00A22D55">
        <w:rPr>
          <w:rFonts w:ascii="Garamond" w:hAnsi="Garamond" w:cs="Garamond"/>
          <w:bCs/>
          <w:sz w:val="24"/>
          <w:szCs w:val="24"/>
        </w:rPr>
        <w:t xml:space="preserve"> e respectiva construção”. </w:t>
      </w:r>
    </w:p>
    <w:p w:rsidR="00E166EC" w:rsidRPr="00A22D55" w:rsidRDefault="00E166EC" w:rsidP="00E166EC">
      <w:pPr>
        <w:jc w:val="both"/>
        <w:rPr>
          <w:rFonts w:ascii="Garamond" w:hAnsi="Garamond" w:cs="Garamond"/>
          <w:bCs/>
          <w:sz w:val="24"/>
          <w:szCs w:val="24"/>
        </w:rPr>
      </w:pPr>
    </w:p>
    <w:p w:rsidR="00BC69E4" w:rsidRDefault="00E166EC" w:rsidP="002D4EA8">
      <w:pPr>
        <w:jc w:val="both"/>
        <w:rPr>
          <w:rFonts w:ascii="Garamond" w:hAnsi="Garamond" w:cs="Garamond"/>
          <w:bCs/>
          <w:sz w:val="24"/>
          <w:szCs w:val="24"/>
        </w:rPr>
      </w:pPr>
      <w:r w:rsidRPr="00A22D55">
        <w:rPr>
          <w:rFonts w:ascii="Garamond" w:hAnsi="Garamond" w:cs="Garamond"/>
          <w:bCs/>
          <w:sz w:val="24"/>
          <w:szCs w:val="24"/>
        </w:rPr>
        <w:t xml:space="preserve">Como o processo foi realizado em momento anterior a assinatura do Contrato de Empréstimo, </w:t>
      </w:r>
      <w:r w:rsidR="002D4EA8" w:rsidRPr="00A22D55">
        <w:rPr>
          <w:rFonts w:ascii="Garamond" w:hAnsi="Garamond" w:cs="Garamond"/>
          <w:bCs/>
          <w:sz w:val="24"/>
          <w:szCs w:val="24"/>
        </w:rPr>
        <w:t xml:space="preserve">portanto não </w:t>
      </w:r>
      <w:proofErr w:type="gramStart"/>
      <w:r w:rsidR="002D4EA8" w:rsidRPr="00A22D55">
        <w:rPr>
          <w:rFonts w:ascii="Garamond" w:hAnsi="Garamond" w:cs="Garamond"/>
          <w:bCs/>
          <w:sz w:val="24"/>
          <w:szCs w:val="24"/>
        </w:rPr>
        <w:t>podemos</w:t>
      </w:r>
      <w:proofErr w:type="gramEnd"/>
      <w:r w:rsidR="002D4EA8" w:rsidRPr="00A22D55">
        <w:rPr>
          <w:rFonts w:ascii="Garamond" w:hAnsi="Garamond" w:cs="Garamond"/>
          <w:bCs/>
          <w:sz w:val="24"/>
          <w:szCs w:val="24"/>
        </w:rPr>
        <w:t xml:space="preserve"> cobrar a aplicação de nossas políticas, </w:t>
      </w:r>
      <w:r w:rsidRPr="00A22D55">
        <w:rPr>
          <w:rFonts w:ascii="Garamond" w:hAnsi="Garamond" w:cs="Garamond"/>
          <w:bCs/>
          <w:sz w:val="24"/>
          <w:szCs w:val="24"/>
        </w:rPr>
        <w:t xml:space="preserve">que a </w:t>
      </w:r>
      <w:r w:rsidRPr="00BC69E4">
        <w:rPr>
          <w:rFonts w:ascii="Garamond" w:hAnsi="Garamond" w:cs="Garamond"/>
          <w:bCs/>
          <w:sz w:val="24"/>
          <w:szCs w:val="24"/>
        </w:rPr>
        <w:t>Lei nº 11.079/2004</w:t>
      </w:r>
      <w:r>
        <w:rPr>
          <w:rFonts w:ascii="Garamond" w:hAnsi="Garamond" w:cs="Garamond"/>
          <w:bCs/>
          <w:sz w:val="24"/>
          <w:szCs w:val="24"/>
        </w:rPr>
        <w:t xml:space="preserve"> não apresenta </w:t>
      </w:r>
      <w:r w:rsidR="00A22D55">
        <w:rPr>
          <w:rFonts w:ascii="Garamond" w:hAnsi="Garamond" w:cs="Garamond"/>
          <w:bCs/>
          <w:sz w:val="24"/>
          <w:szCs w:val="24"/>
        </w:rPr>
        <w:t xml:space="preserve">impedimento </w:t>
      </w:r>
      <w:r>
        <w:rPr>
          <w:rFonts w:ascii="Garamond" w:hAnsi="Garamond" w:cs="Garamond"/>
          <w:bCs/>
          <w:sz w:val="24"/>
          <w:szCs w:val="24"/>
        </w:rPr>
        <w:t xml:space="preserve">a este </w:t>
      </w:r>
      <w:proofErr w:type="spellStart"/>
      <w:r>
        <w:rPr>
          <w:rFonts w:ascii="Garamond" w:hAnsi="Garamond" w:cs="Garamond"/>
          <w:bCs/>
          <w:sz w:val="24"/>
          <w:szCs w:val="24"/>
        </w:rPr>
        <w:t>criterio</w:t>
      </w:r>
      <w:proofErr w:type="spellEnd"/>
      <w:r>
        <w:rPr>
          <w:rFonts w:ascii="Garamond" w:hAnsi="Garamond" w:cs="Garamond"/>
          <w:bCs/>
          <w:sz w:val="24"/>
          <w:szCs w:val="24"/>
        </w:rPr>
        <w:t xml:space="preserve">, na verdade fomenta esta possibilidade </w:t>
      </w:r>
      <w:r w:rsidR="002D4EA8">
        <w:rPr>
          <w:rFonts w:ascii="Garamond" w:hAnsi="Garamond" w:cs="Garamond"/>
          <w:bCs/>
          <w:sz w:val="24"/>
          <w:szCs w:val="24"/>
        </w:rPr>
        <w:t xml:space="preserve">(quem apresenta a MI pode apresentar proposta em resposta a </w:t>
      </w:r>
      <w:proofErr w:type="spellStart"/>
      <w:r w:rsidR="002D4EA8">
        <w:rPr>
          <w:rFonts w:ascii="Garamond" w:hAnsi="Garamond" w:cs="Garamond"/>
          <w:bCs/>
          <w:sz w:val="24"/>
          <w:szCs w:val="24"/>
        </w:rPr>
        <w:t>concorrencia</w:t>
      </w:r>
      <w:proofErr w:type="spellEnd"/>
      <w:r w:rsidR="002D4EA8">
        <w:rPr>
          <w:rFonts w:ascii="Garamond" w:hAnsi="Garamond" w:cs="Garamond"/>
          <w:bCs/>
          <w:sz w:val="24"/>
          <w:szCs w:val="24"/>
        </w:rPr>
        <w:t xml:space="preserve"> – segunda fase do processo)</w:t>
      </w:r>
      <w:r w:rsidR="00EF225C">
        <w:rPr>
          <w:rFonts w:ascii="Garamond" w:hAnsi="Garamond" w:cs="Garamond"/>
          <w:bCs/>
          <w:sz w:val="24"/>
          <w:szCs w:val="24"/>
        </w:rPr>
        <w:t xml:space="preserve">, que todos os documentos e informações produzidas na primeira fase foram disponibilizados as licitantes da segunda fase – </w:t>
      </w:r>
      <w:proofErr w:type="spellStart"/>
      <w:r w:rsidR="00EF225C">
        <w:rPr>
          <w:rFonts w:ascii="Garamond" w:hAnsi="Garamond" w:cs="Garamond"/>
          <w:bCs/>
          <w:sz w:val="24"/>
          <w:szCs w:val="24"/>
        </w:rPr>
        <w:t>Concorrencia</w:t>
      </w:r>
      <w:proofErr w:type="spellEnd"/>
      <w:r w:rsidR="00EF225C">
        <w:rPr>
          <w:rFonts w:ascii="Garamond" w:hAnsi="Garamond" w:cs="Garamond"/>
          <w:bCs/>
          <w:sz w:val="24"/>
          <w:szCs w:val="24"/>
        </w:rPr>
        <w:t xml:space="preserve"> Internacional</w:t>
      </w:r>
      <w:r w:rsidR="002D4EA8">
        <w:rPr>
          <w:rFonts w:ascii="Garamond" w:hAnsi="Garamond" w:cs="Garamond"/>
          <w:bCs/>
          <w:sz w:val="24"/>
          <w:szCs w:val="24"/>
        </w:rPr>
        <w:t xml:space="preserve"> </w:t>
      </w:r>
      <w:r>
        <w:rPr>
          <w:rFonts w:ascii="Garamond" w:hAnsi="Garamond" w:cs="Garamond"/>
          <w:bCs/>
          <w:sz w:val="24"/>
          <w:szCs w:val="24"/>
        </w:rPr>
        <w:t>e que</w:t>
      </w:r>
      <w:r w:rsidR="002D4EA8">
        <w:rPr>
          <w:rFonts w:ascii="Garamond" w:hAnsi="Garamond" w:cs="Garamond"/>
          <w:bCs/>
          <w:sz w:val="24"/>
          <w:szCs w:val="24"/>
        </w:rPr>
        <w:t xml:space="preserve">, neste caso, como a </w:t>
      </w:r>
      <w:r w:rsidR="002D4EA8" w:rsidRPr="00EF225C">
        <w:rPr>
          <w:rFonts w:ascii="Garamond" w:hAnsi="Garamond" w:cs="Garamond"/>
          <w:bCs/>
          <w:sz w:val="24"/>
          <w:szCs w:val="24"/>
        </w:rPr>
        <w:t>ganhadora da Concorrência f</w:t>
      </w:r>
      <w:r w:rsidR="00EF225C">
        <w:rPr>
          <w:rFonts w:ascii="Garamond" w:hAnsi="Garamond" w:cs="Garamond"/>
          <w:bCs/>
          <w:sz w:val="24"/>
          <w:szCs w:val="24"/>
        </w:rPr>
        <w:t>oi à</w:t>
      </w:r>
      <w:r w:rsidR="002D4EA8" w:rsidRPr="00EF225C">
        <w:rPr>
          <w:rFonts w:ascii="Garamond" w:hAnsi="Garamond" w:cs="Garamond"/>
          <w:bCs/>
          <w:sz w:val="24"/>
          <w:szCs w:val="24"/>
        </w:rPr>
        <w:t xml:space="preserve"> mesma proponente do PMI </w:t>
      </w:r>
      <w:proofErr w:type="spellStart"/>
      <w:r w:rsidR="002D4EA8" w:rsidRPr="00EF225C">
        <w:rPr>
          <w:rFonts w:ascii="Garamond" w:hAnsi="Garamond" w:cs="Garamond"/>
          <w:bCs/>
          <w:sz w:val="24"/>
          <w:szCs w:val="24"/>
        </w:rPr>
        <w:t>selecionado</w:t>
      </w:r>
      <w:proofErr w:type="spellEnd"/>
      <w:r w:rsidR="002D4EA8" w:rsidRPr="00EF225C">
        <w:rPr>
          <w:rFonts w:ascii="Garamond" w:hAnsi="Garamond" w:cs="Garamond"/>
          <w:bCs/>
          <w:sz w:val="24"/>
          <w:szCs w:val="24"/>
        </w:rPr>
        <w:t xml:space="preserve">, não recebeu ressarcimento dos custos relacionados aos estudos e </w:t>
      </w:r>
      <w:proofErr w:type="spellStart"/>
      <w:r w:rsidR="002D4EA8" w:rsidRPr="00EF225C">
        <w:rPr>
          <w:rFonts w:ascii="Garamond" w:hAnsi="Garamond" w:cs="Garamond"/>
          <w:bCs/>
          <w:sz w:val="24"/>
          <w:szCs w:val="24"/>
        </w:rPr>
        <w:t>projetos</w:t>
      </w:r>
      <w:proofErr w:type="spellEnd"/>
      <w:r w:rsidR="002D4EA8" w:rsidRPr="00EF225C">
        <w:rPr>
          <w:rFonts w:ascii="Garamond" w:hAnsi="Garamond" w:cs="Garamond"/>
          <w:bCs/>
          <w:sz w:val="24"/>
          <w:szCs w:val="24"/>
        </w:rPr>
        <w:t xml:space="preserve"> </w:t>
      </w:r>
      <w:r w:rsidR="00EF225C">
        <w:rPr>
          <w:rFonts w:ascii="Garamond" w:hAnsi="Garamond" w:cs="Garamond"/>
          <w:bCs/>
          <w:sz w:val="24"/>
          <w:szCs w:val="24"/>
        </w:rPr>
        <w:t xml:space="preserve">elaborados na fase inicial, não podemos qualificar, estritamente, um </w:t>
      </w:r>
      <w:proofErr w:type="spellStart"/>
      <w:r w:rsidR="00EF225C">
        <w:rPr>
          <w:rFonts w:ascii="Garamond" w:hAnsi="Garamond" w:cs="Garamond"/>
          <w:bCs/>
          <w:sz w:val="24"/>
          <w:szCs w:val="24"/>
        </w:rPr>
        <w:t>possivel</w:t>
      </w:r>
      <w:proofErr w:type="spellEnd"/>
      <w:r w:rsidR="00EF225C">
        <w:rPr>
          <w:rFonts w:ascii="Garamond" w:hAnsi="Garamond" w:cs="Garamond"/>
          <w:bCs/>
          <w:sz w:val="24"/>
          <w:szCs w:val="24"/>
        </w:rPr>
        <w:t xml:space="preserve"> conflito de interesses entre as partes.</w:t>
      </w:r>
    </w:p>
    <w:p w:rsidR="00CD6410" w:rsidRDefault="00CD6410" w:rsidP="002D4EA8">
      <w:pPr>
        <w:jc w:val="both"/>
        <w:rPr>
          <w:rFonts w:ascii="Garamond" w:hAnsi="Garamond" w:cs="Garamond"/>
          <w:bCs/>
          <w:sz w:val="24"/>
          <w:szCs w:val="24"/>
        </w:rPr>
      </w:pPr>
    </w:p>
    <w:p w:rsidR="00176140" w:rsidRDefault="00176140" w:rsidP="002D4EA8">
      <w:pPr>
        <w:jc w:val="both"/>
        <w:rPr>
          <w:rFonts w:ascii="Garamond" w:hAnsi="Garamond" w:cs="Garamond"/>
          <w:bCs/>
          <w:sz w:val="24"/>
          <w:szCs w:val="24"/>
        </w:rPr>
      </w:pPr>
    </w:p>
    <w:p w:rsidR="00176140" w:rsidRDefault="00176140" w:rsidP="00176140">
      <w:pPr>
        <w:rPr>
          <w:rFonts w:ascii="Garamond" w:hAnsi="Garamond" w:cs="Garamond"/>
          <w:bCs/>
          <w:sz w:val="24"/>
          <w:szCs w:val="24"/>
        </w:rPr>
      </w:pPr>
      <w:r>
        <w:rPr>
          <w:rFonts w:ascii="Garamond" w:hAnsi="Garamond" w:cs="Garamond"/>
          <w:bCs/>
          <w:sz w:val="24"/>
          <w:szCs w:val="24"/>
        </w:rPr>
        <w:lastRenderedPageBreak/>
        <w:t xml:space="preserve">5.3. </w:t>
      </w:r>
      <w:r>
        <w:rPr>
          <w:rFonts w:ascii="Garamond" w:hAnsi="Garamond" w:cs="Garamond"/>
          <w:b/>
          <w:bCs/>
          <w:sz w:val="24"/>
          <w:szCs w:val="24"/>
        </w:rPr>
        <w:t>Conclusão</w:t>
      </w:r>
      <w:r w:rsidRPr="00C74EC3">
        <w:rPr>
          <w:rFonts w:ascii="Garamond" w:hAnsi="Garamond" w:cs="Garamond"/>
          <w:b/>
          <w:bCs/>
          <w:sz w:val="24"/>
          <w:szCs w:val="24"/>
        </w:rPr>
        <w:t>:</w:t>
      </w:r>
      <w:r>
        <w:rPr>
          <w:rFonts w:ascii="Garamond" w:hAnsi="Garamond" w:cs="Garamond"/>
          <w:bCs/>
          <w:sz w:val="24"/>
          <w:szCs w:val="24"/>
        </w:rPr>
        <w:t xml:space="preserve"> </w:t>
      </w:r>
    </w:p>
    <w:p w:rsidR="00481EC9" w:rsidRDefault="00481EC9" w:rsidP="002D4EA8">
      <w:pPr>
        <w:jc w:val="both"/>
        <w:rPr>
          <w:rFonts w:ascii="Garamond" w:hAnsi="Garamond" w:cs="Garamond"/>
          <w:bCs/>
          <w:sz w:val="24"/>
          <w:szCs w:val="24"/>
        </w:rPr>
      </w:pPr>
    </w:p>
    <w:p w:rsidR="00957C34" w:rsidRDefault="00957C34" w:rsidP="00957C34">
      <w:pPr>
        <w:jc w:val="both"/>
        <w:rPr>
          <w:rFonts w:ascii="Garamond" w:hAnsi="Garamond" w:cs="Garamond"/>
          <w:bCs/>
          <w:sz w:val="24"/>
          <w:szCs w:val="24"/>
        </w:rPr>
      </w:pPr>
      <w:r>
        <w:rPr>
          <w:rFonts w:ascii="Garamond" w:hAnsi="Garamond" w:cs="Garamond"/>
          <w:bCs/>
          <w:sz w:val="24"/>
          <w:szCs w:val="24"/>
        </w:rPr>
        <w:t>Com base no exposto, entendemos que</w:t>
      </w:r>
      <w:r w:rsidRPr="00176140">
        <w:rPr>
          <w:rFonts w:ascii="Garamond" w:hAnsi="Garamond" w:cs="Garamond"/>
          <w:bCs/>
          <w:sz w:val="24"/>
          <w:szCs w:val="24"/>
        </w:rPr>
        <w:t xml:space="preserve"> </w:t>
      </w:r>
      <w:proofErr w:type="gramStart"/>
      <w:r w:rsidRPr="00176140">
        <w:rPr>
          <w:rFonts w:ascii="Garamond" w:hAnsi="Garamond" w:cs="Garamond"/>
          <w:bCs/>
          <w:sz w:val="24"/>
          <w:szCs w:val="24"/>
        </w:rPr>
        <w:t>podemos</w:t>
      </w:r>
      <w:proofErr w:type="gramEnd"/>
      <w:r w:rsidRPr="00176140">
        <w:rPr>
          <w:rFonts w:ascii="Garamond" w:hAnsi="Garamond" w:cs="Garamond"/>
          <w:bCs/>
          <w:sz w:val="24"/>
          <w:szCs w:val="24"/>
        </w:rPr>
        <w:t xml:space="preserve"> considerar o processo e seus respectivos gastos elegíveis </w:t>
      </w:r>
      <w:r>
        <w:rPr>
          <w:rFonts w:ascii="Garamond" w:hAnsi="Garamond" w:cs="Garamond"/>
          <w:bCs/>
          <w:sz w:val="24"/>
          <w:szCs w:val="24"/>
        </w:rPr>
        <w:t xml:space="preserve">para fins de financiamento </w:t>
      </w:r>
      <w:r w:rsidRPr="00176140">
        <w:rPr>
          <w:rFonts w:ascii="Garamond" w:hAnsi="Garamond" w:cs="Garamond"/>
          <w:bCs/>
          <w:sz w:val="24"/>
          <w:szCs w:val="24"/>
        </w:rPr>
        <w:t>da Etapa 2 (serviços de limpeza do terreno e terraplenagem), no valor de US$ 6,095,130 e reconhecimento dos US$ 55,000,000 do CAPEX</w:t>
      </w:r>
      <w:r w:rsidR="00176140">
        <w:rPr>
          <w:rFonts w:ascii="Garamond" w:hAnsi="Garamond" w:cs="Garamond"/>
          <w:bCs/>
          <w:sz w:val="24"/>
          <w:szCs w:val="24"/>
        </w:rPr>
        <w:t xml:space="preserve">, que serão aportados pelo </w:t>
      </w:r>
      <w:proofErr w:type="spellStart"/>
      <w:r w:rsidR="00176140">
        <w:rPr>
          <w:rFonts w:ascii="Garamond" w:hAnsi="Garamond" w:cs="Garamond"/>
          <w:bCs/>
          <w:sz w:val="24"/>
          <w:szCs w:val="24"/>
        </w:rPr>
        <w:t>Estad</w:t>
      </w:r>
      <w:proofErr w:type="spellEnd"/>
      <w:r w:rsidR="00176140">
        <w:rPr>
          <w:rFonts w:ascii="Garamond" w:hAnsi="Garamond" w:cs="Garamond"/>
          <w:bCs/>
          <w:sz w:val="24"/>
          <w:szCs w:val="24"/>
        </w:rPr>
        <w:t xml:space="preserve">, </w:t>
      </w:r>
      <w:r w:rsidRPr="00176140">
        <w:rPr>
          <w:rFonts w:ascii="Garamond" w:hAnsi="Garamond" w:cs="Garamond"/>
          <w:bCs/>
          <w:sz w:val="24"/>
          <w:szCs w:val="24"/>
        </w:rPr>
        <w:t>a titulo de contrapartida no âmbito do Programa</w:t>
      </w:r>
      <w:r w:rsidR="00176140">
        <w:rPr>
          <w:rFonts w:ascii="Garamond" w:hAnsi="Garamond" w:cs="Garamond"/>
          <w:bCs/>
          <w:sz w:val="24"/>
          <w:szCs w:val="24"/>
        </w:rPr>
        <w:t>.</w:t>
      </w:r>
    </w:p>
    <w:p w:rsidR="00957C34" w:rsidRDefault="00957C34" w:rsidP="002D4EA8">
      <w:pPr>
        <w:jc w:val="both"/>
        <w:rPr>
          <w:rFonts w:ascii="Garamond" w:hAnsi="Garamond" w:cs="Garamond"/>
          <w:bCs/>
          <w:sz w:val="24"/>
          <w:szCs w:val="24"/>
        </w:rPr>
      </w:pPr>
    </w:p>
    <w:p w:rsidR="00481EC9" w:rsidRDefault="00481EC9" w:rsidP="002D4EA8">
      <w:pPr>
        <w:jc w:val="both"/>
        <w:rPr>
          <w:rFonts w:ascii="Garamond" w:hAnsi="Garamond" w:cs="Garamond"/>
          <w:bCs/>
          <w:sz w:val="24"/>
          <w:szCs w:val="24"/>
        </w:rPr>
      </w:pPr>
    </w:p>
    <w:p w:rsidR="00481EC9" w:rsidRDefault="00481EC9" w:rsidP="002D4EA8">
      <w:pPr>
        <w:jc w:val="both"/>
        <w:rPr>
          <w:rFonts w:ascii="Garamond" w:hAnsi="Garamond" w:cs="Garamond"/>
          <w:bCs/>
          <w:sz w:val="24"/>
          <w:szCs w:val="24"/>
        </w:rPr>
      </w:pPr>
      <w:r>
        <w:rPr>
          <w:rFonts w:ascii="Garamond" w:hAnsi="Garamond" w:cs="Garamond"/>
          <w:bCs/>
          <w:sz w:val="24"/>
          <w:szCs w:val="24"/>
        </w:rPr>
        <w:t>Junho de 2015,</w:t>
      </w:r>
    </w:p>
    <w:p w:rsidR="00481EC9" w:rsidRDefault="00481EC9" w:rsidP="002D4EA8">
      <w:pPr>
        <w:jc w:val="both"/>
        <w:rPr>
          <w:rFonts w:ascii="Garamond" w:hAnsi="Garamond" w:cs="Garamond"/>
          <w:bCs/>
          <w:sz w:val="24"/>
          <w:szCs w:val="24"/>
        </w:rPr>
      </w:pPr>
    </w:p>
    <w:p w:rsidR="00176140" w:rsidRDefault="00176140" w:rsidP="002D4EA8">
      <w:pPr>
        <w:jc w:val="both"/>
        <w:rPr>
          <w:rFonts w:ascii="Garamond" w:hAnsi="Garamond" w:cs="Garamond"/>
          <w:bCs/>
          <w:sz w:val="24"/>
          <w:szCs w:val="24"/>
        </w:rPr>
      </w:pPr>
    </w:p>
    <w:p w:rsidR="00481EC9" w:rsidRDefault="00481EC9" w:rsidP="002D4EA8">
      <w:pPr>
        <w:jc w:val="both"/>
        <w:rPr>
          <w:rFonts w:ascii="Garamond" w:hAnsi="Garamond" w:cs="Garamond"/>
          <w:bCs/>
          <w:sz w:val="24"/>
          <w:szCs w:val="24"/>
        </w:rPr>
      </w:pPr>
      <w:r>
        <w:rPr>
          <w:rFonts w:ascii="Garamond" w:hAnsi="Garamond" w:cs="Garamond"/>
          <w:bCs/>
          <w:sz w:val="24"/>
          <w:szCs w:val="24"/>
        </w:rPr>
        <w:t xml:space="preserve">Nota Elaborada </w:t>
      </w:r>
      <w:proofErr w:type="gramStart"/>
      <w:r>
        <w:rPr>
          <w:rFonts w:ascii="Garamond" w:hAnsi="Garamond" w:cs="Garamond"/>
          <w:bCs/>
          <w:sz w:val="24"/>
          <w:szCs w:val="24"/>
        </w:rPr>
        <w:t>por</w:t>
      </w:r>
      <w:proofErr w:type="gramEnd"/>
      <w:r>
        <w:rPr>
          <w:rFonts w:ascii="Garamond" w:hAnsi="Garamond" w:cs="Garamond"/>
          <w:bCs/>
          <w:sz w:val="24"/>
          <w:szCs w:val="24"/>
        </w:rPr>
        <w:t>:</w:t>
      </w:r>
    </w:p>
    <w:p w:rsidR="00481EC9" w:rsidRDefault="00481EC9" w:rsidP="002D4EA8">
      <w:pPr>
        <w:jc w:val="both"/>
        <w:rPr>
          <w:rFonts w:ascii="Garamond" w:hAnsi="Garamond" w:cs="Garamond"/>
          <w:bCs/>
          <w:sz w:val="24"/>
          <w:szCs w:val="24"/>
        </w:rPr>
      </w:pPr>
    </w:p>
    <w:p w:rsidR="00176140" w:rsidRDefault="00176140" w:rsidP="002D4EA8">
      <w:pPr>
        <w:jc w:val="both"/>
        <w:rPr>
          <w:rFonts w:ascii="Garamond" w:hAnsi="Garamond" w:cs="Garamond"/>
          <w:bCs/>
          <w:sz w:val="24"/>
          <w:szCs w:val="24"/>
        </w:rPr>
      </w:pPr>
    </w:p>
    <w:p w:rsidR="00481EC9" w:rsidRPr="00B94218" w:rsidRDefault="00481EC9" w:rsidP="002D4EA8">
      <w:pPr>
        <w:jc w:val="both"/>
        <w:rPr>
          <w:rFonts w:ascii="Garamond" w:hAnsi="Garamond" w:cs="Garamond"/>
          <w:b/>
          <w:bCs/>
          <w:sz w:val="24"/>
          <w:szCs w:val="24"/>
        </w:rPr>
      </w:pPr>
      <w:proofErr w:type="spellStart"/>
      <w:r w:rsidRPr="00B94218">
        <w:rPr>
          <w:rFonts w:ascii="Garamond" w:hAnsi="Garamond" w:cs="Garamond"/>
          <w:b/>
          <w:bCs/>
          <w:sz w:val="24"/>
          <w:szCs w:val="24"/>
        </w:rPr>
        <w:t>Marcia</w:t>
      </w:r>
      <w:proofErr w:type="spellEnd"/>
      <w:r w:rsidRPr="00B94218">
        <w:rPr>
          <w:rFonts w:ascii="Garamond" w:hAnsi="Garamond" w:cs="Garamond"/>
          <w:b/>
          <w:bCs/>
          <w:sz w:val="24"/>
          <w:szCs w:val="24"/>
        </w:rPr>
        <w:t xml:space="preserve"> Rocha</w:t>
      </w:r>
      <w:r w:rsidRPr="00B94218">
        <w:rPr>
          <w:rFonts w:ascii="Garamond" w:hAnsi="Garamond" w:cs="Garamond"/>
          <w:b/>
          <w:bCs/>
          <w:sz w:val="24"/>
          <w:szCs w:val="24"/>
        </w:rPr>
        <w:tab/>
      </w:r>
      <w:r w:rsidRPr="00B94218">
        <w:rPr>
          <w:rFonts w:ascii="Garamond" w:hAnsi="Garamond" w:cs="Garamond"/>
          <w:b/>
          <w:bCs/>
          <w:sz w:val="24"/>
          <w:szCs w:val="24"/>
        </w:rPr>
        <w:tab/>
      </w:r>
      <w:r w:rsidRPr="00B94218">
        <w:rPr>
          <w:rFonts w:ascii="Garamond" w:hAnsi="Garamond" w:cs="Garamond"/>
          <w:b/>
          <w:bCs/>
          <w:sz w:val="24"/>
          <w:szCs w:val="24"/>
        </w:rPr>
        <w:tab/>
      </w:r>
      <w:r w:rsidRPr="00B94218">
        <w:rPr>
          <w:rFonts w:ascii="Garamond" w:hAnsi="Garamond" w:cs="Garamond"/>
          <w:b/>
          <w:bCs/>
          <w:sz w:val="24"/>
          <w:szCs w:val="24"/>
        </w:rPr>
        <w:tab/>
        <w:t>Marília Santos</w:t>
      </w:r>
      <w:r w:rsidR="00176140">
        <w:rPr>
          <w:rFonts w:ascii="Garamond" w:hAnsi="Garamond" w:cs="Garamond"/>
          <w:b/>
          <w:bCs/>
          <w:sz w:val="24"/>
          <w:szCs w:val="24"/>
        </w:rPr>
        <w:tab/>
      </w:r>
      <w:r w:rsidR="00176140">
        <w:rPr>
          <w:rFonts w:ascii="Garamond" w:hAnsi="Garamond" w:cs="Garamond"/>
          <w:b/>
          <w:bCs/>
          <w:sz w:val="24"/>
          <w:szCs w:val="24"/>
        </w:rPr>
        <w:tab/>
      </w:r>
      <w:r w:rsidR="00176140">
        <w:rPr>
          <w:rFonts w:ascii="Garamond" w:hAnsi="Garamond" w:cs="Garamond"/>
          <w:b/>
          <w:bCs/>
          <w:sz w:val="24"/>
          <w:szCs w:val="24"/>
        </w:rPr>
        <w:tab/>
      </w:r>
      <w:proofErr w:type="spellStart"/>
      <w:r w:rsidR="00176140">
        <w:rPr>
          <w:rFonts w:ascii="Garamond" w:hAnsi="Garamond" w:cs="Garamond"/>
          <w:b/>
          <w:bCs/>
          <w:sz w:val="24"/>
          <w:szCs w:val="24"/>
        </w:rPr>
        <w:t>German</w:t>
      </w:r>
      <w:proofErr w:type="spellEnd"/>
      <w:r w:rsidR="00176140">
        <w:rPr>
          <w:rFonts w:ascii="Garamond" w:hAnsi="Garamond" w:cs="Garamond"/>
          <w:b/>
          <w:bCs/>
          <w:sz w:val="24"/>
          <w:szCs w:val="24"/>
        </w:rPr>
        <w:t xml:space="preserve"> </w:t>
      </w:r>
      <w:proofErr w:type="spellStart"/>
      <w:r w:rsidR="00176140">
        <w:rPr>
          <w:rFonts w:ascii="Garamond" w:hAnsi="Garamond" w:cs="Garamond"/>
          <w:b/>
          <w:bCs/>
          <w:sz w:val="24"/>
          <w:szCs w:val="24"/>
        </w:rPr>
        <w:t>Zappani</w:t>
      </w:r>
      <w:proofErr w:type="spellEnd"/>
      <w:r w:rsidRPr="00B94218">
        <w:rPr>
          <w:rFonts w:ascii="Garamond" w:hAnsi="Garamond" w:cs="Garamond"/>
          <w:b/>
          <w:bCs/>
          <w:sz w:val="24"/>
          <w:szCs w:val="24"/>
        </w:rPr>
        <w:tab/>
      </w:r>
      <w:r w:rsidRPr="00B94218">
        <w:rPr>
          <w:rFonts w:ascii="Garamond" w:hAnsi="Garamond" w:cs="Garamond"/>
          <w:b/>
          <w:bCs/>
          <w:sz w:val="24"/>
          <w:szCs w:val="24"/>
        </w:rPr>
        <w:tab/>
      </w:r>
    </w:p>
    <w:p w:rsidR="00481EC9" w:rsidRDefault="00481EC9" w:rsidP="002D4EA8">
      <w:pPr>
        <w:jc w:val="both"/>
        <w:rPr>
          <w:rFonts w:ascii="Garamond" w:hAnsi="Garamond" w:cs="Garamond"/>
          <w:bCs/>
          <w:sz w:val="24"/>
          <w:szCs w:val="24"/>
        </w:rPr>
      </w:pPr>
      <w:r>
        <w:rPr>
          <w:rFonts w:ascii="Garamond" w:hAnsi="Garamond" w:cs="Garamond"/>
          <w:bCs/>
          <w:sz w:val="24"/>
          <w:szCs w:val="24"/>
        </w:rPr>
        <w:t xml:space="preserve">Chefe de Equipe do </w:t>
      </w:r>
      <w:proofErr w:type="spellStart"/>
      <w:r>
        <w:rPr>
          <w:rFonts w:ascii="Garamond" w:hAnsi="Garamond" w:cs="Garamond"/>
          <w:bCs/>
          <w:sz w:val="24"/>
          <w:szCs w:val="24"/>
        </w:rPr>
        <w:t>Projeto</w:t>
      </w:r>
      <w:proofErr w:type="spellEnd"/>
      <w:r>
        <w:rPr>
          <w:rFonts w:ascii="Garamond" w:hAnsi="Garamond" w:cs="Garamond"/>
          <w:bCs/>
          <w:sz w:val="24"/>
          <w:szCs w:val="24"/>
        </w:rPr>
        <w:tab/>
      </w:r>
      <w:proofErr w:type="gramStart"/>
      <w:r w:rsidR="00176140">
        <w:rPr>
          <w:rFonts w:ascii="Garamond" w:hAnsi="Garamond" w:cs="Garamond"/>
          <w:bCs/>
          <w:sz w:val="24"/>
          <w:szCs w:val="24"/>
        </w:rPr>
        <w:t xml:space="preserve">       </w:t>
      </w:r>
      <w:r>
        <w:rPr>
          <w:rFonts w:ascii="Garamond" w:hAnsi="Garamond" w:cs="Garamond"/>
          <w:bCs/>
          <w:sz w:val="24"/>
          <w:szCs w:val="24"/>
        </w:rPr>
        <w:t>Especialista</w:t>
      </w:r>
      <w:proofErr w:type="gramEnd"/>
      <w:r>
        <w:rPr>
          <w:rFonts w:ascii="Garamond" w:hAnsi="Garamond" w:cs="Garamond"/>
          <w:bCs/>
          <w:sz w:val="24"/>
          <w:szCs w:val="24"/>
        </w:rPr>
        <w:t xml:space="preserve"> em Aquisições</w:t>
      </w:r>
      <w:r w:rsidR="00176140">
        <w:rPr>
          <w:rFonts w:ascii="Garamond" w:hAnsi="Garamond" w:cs="Garamond"/>
          <w:bCs/>
          <w:sz w:val="24"/>
          <w:szCs w:val="24"/>
        </w:rPr>
        <w:tab/>
        <w:t>Especialista em Gestão Financeira</w:t>
      </w:r>
    </w:p>
    <w:p w:rsidR="00481EC9" w:rsidRPr="00EF225C" w:rsidRDefault="00481EC9" w:rsidP="002D4EA8">
      <w:pPr>
        <w:jc w:val="both"/>
        <w:rPr>
          <w:rFonts w:ascii="Garamond" w:hAnsi="Garamond" w:cs="Garamond"/>
          <w:bCs/>
          <w:sz w:val="24"/>
          <w:szCs w:val="24"/>
        </w:rPr>
      </w:pPr>
      <w:r>
        <w:rPr>
          <w:rFonts w:ascii="Garamond" w:hAnsi="Garamond" w:cs="Garamond"/>
          <w:bCs/>
          <w:sz w:val="24"/>
          <w:szCs w:val="24"/>
        </w:rPr>
        <w:t>SPH/CBR</w:t>
      </w:r>
      <w:r>
        <w:rPr>
          <w:rFonts w:ascii="Garamond" w:hAnsi="Garamond" w:cs="Garamond"/>
          <w:bCs/>
          <w:sz w:val="24"/>
          <w:szCs w:val="24"/>
        </w:rPr>
        <w:tab/>
      </w:r>
      <w:r>
        <w:rPr>
          <w:rFonts w:ascii="Garamond" w:hAnsi="Garamond" w:cs="Garamond"/>
          <w:bCs/>
          <w:sz w:val="24"/>
          <w:szCs w:val="24"/>
        </w:rPr>
        <w:tab/>
      </w:r>
      <w:r>
        <w:rPr>
          <w:rFonts w:ascii="Garamond" w:hAnsi="Garamond" w:cs="Garamond"/>
          <w:bCs/>
          <w:sz w:val="24"/>
          <w:szCs w:val="24"/>
        </w:rPr>
        <w:tab/>
      </w:r>
      <w:r>
        <w:rPr>
          <w:rFonts w:ascii="Garamond" w:hAnsi="Garamond" w:cs="Garamond"/>
          <w:bCs/>
          <w:sz w:val="24"/>
          <w:szCs w:val="24"/>
        </w:rPr>
        <w:tab/>
      </w:r>
      <w:r w:rsidR="00176140">
        <w:rPr>
          <w:rFonts w:ascii="Garamond" w:hAnsi="Garamond" w:cs="Garamond"/>
          <w:bCs/>
          <w:sz w:val="24"/>
          <w:szCs w:val="24"/>
        </w:rPr>
        <w:t xml:space="preserve">  </w:t>
      </w:r>
      <w:r>
        <w:rPr>
          <w:rFonts w:ascii="Garamond" w:hAnsi="Garamond" w:cs="Garamond"/>
          <w:bCs/>
          <w:sz w:val="24"/>
          <w:szCs w:val="24"/>
        </w:rPr>
        <w:t>FMP/PRM/CBR</w:t>
      </w:r>
      <w:r w:rsidR="00176140">
        <w:rPr>
          <w:rFonts w:ascii="Garamond" w:hAnsi="Garamond" w:cs="Garamond"/>
          <w:bCs/>
          <w:sz w:val="24"/>
          <w:szCs w:val="24"/>
        </w:rPr>
        <w:tab/>
      </w:r>
      <w:r w:rsidR="00176140">
        <w:rPr>
          <w:rFonts w:ascii="Garamond" w:hAnsi="Garamond" w:cs="Garamond"/>
          <w:bCs/>
          <w:sz w:val="24"/>
          <w:szCs w:val="24"/>
        </w:rPr>
        <w:tab/>
      </w:r>
      <w:r w:rsidR="00176140">
        <w:rPr>
          <w:rFonts w:ascii="Garamond" w:hAnsi="Garamond" w:cs="Garamond"/>
          <w:bCs/>
          <w:sz w:val="24"/>
          <w:szCs w:val="24"/>
        </w:rPr>
        <w:tab/>
        <w:t>FMP/FM/CBR</w:t>
      </w:r>
    </w:p>
    <w:p w:rsidR="00B42DBC" w:rsidRPr="007B3D3E" w:rsidRDefault="00B42DBC" w:rsidP="007B3D3E">
      <w:pPr>
        <w:rPr>
          <w:rFonts w:ascii="Garamond" w:hAnsi="Garamond" w:cs="Garamond"/>
          <w:bCs/>
          <w:sz w:val="24"/>
          <w:szCs w:val="24"/>
        </w:rPr>
      </w:pPr>
    </w:p>
    <w:sectPr w:rsidR="00B42DBC" w:rsidRPr="007B3D3E" w:rsidSect="001A4CD3">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BD8" w:rsidRDefault="00C90BD8" w:rsidP="00C90BD8">
      <w:r>
        <w:separator/>
      </w:r>
    </w:p>
  </w:endnote>
  <w:endnote w:type="continuationSeparator" w:id="0">
    <w:p w:rsidR="00C90BD8" w:rsidRDefault="00C90BD8" w:rsidP="00C9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04" w:rsidRDefault="00140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C9" w:rsidRDefault="00B63CC9">
    <w:pPr>
      <w:pStyle w:val="Footer"/>
      <w:jc w:val="center"/>
    </w:pPr>
  </w:p>
  <w:p w:rsidR="00B63CC9" w:rsidRDefault="00B63C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04" w:rsidRDefault="00140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BD8" w:rsidRDefault="00C90BD8" w:rsidP="00C90BD8">
      <w:r>
        <w:separator/>
      </w:r>
    </w:p>
  </w:footnote>
  <w:footnote w:type="continuationSeparator" w:id="0">
    <w:p w:rsidR="00C90BD8" w:rsidRDefault="00C90BD8" w:rsidP="00C90BD8">
      <w:r>
        <w:continuationSeparator/>
      </w:r>
    </w:p>
  </w:footnote>
  <w:footnote w:id="1">
    <w:p w:rsidR="00A474AC" w:rsidRPr="00B94218" w:rsidRDefault="00A474AC">
      <w:pPr>
        <w:pStyle w:val="FootnoteText"/>
        <w:rPr>
          <w:lang w:val="pt-BR"/>
        </w:rPr>
      </w:pPr>
      <w:r>
        <w:rPr>
          <w:rStyle w:val="FootnoteReference"/>
        </w:rPr>
        <w:footnoteRef/>
      </w:r>
      <w:r>
        <w:t xml:space="preserve"> </w:t>
      </w:r>
      <w:r w:rsidRPr="00B94218">
        <w:rPr>
          <w:lang w:val="pt-BR"/>
        </w:rPr>
        <w:t>Data de eficácia: data da ordem de servi</w:t>
      </w:r>
      <w:r w:rsidR="00C663CF">
        <w:rPr>
          <w:lang w:val="pt-BR"/>
        </w:rPr>
        <w:t>ço emitida pelo Estado à Sociedade para Fins Espec</w:t>
      </w:r>
      <w:r w:rsidR="00090B51">
        <w:rPr>
          <w:lang w:val="pt-BR"/>
        </w:rPr>
        <w:t>íficos (SPE)</w:t>
      </w:r>
    </w:p>
  </w:footnote>
  <w:footnote w:id="2">
    <w:p w:rsidR="00272B2A" w:rsidRPr="00866553" w:rsidRDefault="00272B2A">
      <w:pPr>
        <w:pStyle w:val="FootnoteText"/>
        <w:rPr>
          <w:lang w:val="pt-BR"/>
        </w:rPr>
      </w:pPr>
      <w:r>
        <w:rPr>
          <w:rStyle w:val="FootnoteReference"/>
        </w:rPr>
        <w:footnoteRef/>
      </w:r>
      <w:r>
        <w:t xml:space="preserve"> </w:t>
      </w:r>
      <w:r w:rsidRPr="00866553">
        <w:rPr>
          <w:lang w:val="pt-BR"/>
        </w:rPr>
        <w:t xml:space="preserve">De acordo a Portaria Ministerial 1101 a Macro </w:t>
      </w:r>
      <w:r w:rsidRPr="00272B2A">
        <w:rPr>
          <w:lang w:val="pt-BR"/>
        </w:rPr>
        <w:t>Regi</w:t>
      </w:r>
      <w:r>
        <w:rPr>
          <w:lang w:val="pt-BR"/>
        </w:rPr>
        <w:t xml:space="preserve">ão de Fortaleza conta </w:t>
      </w:r>
      <w:proofErr w:type="spellStart"/>
      <w:r>
        <w:rPr>
          <w:lang w:val="pt-BR"/>
        </w:rPr>
        <w:t>con</w:t>
      </w:r>
      <w:proofErr w:type="spellEnd"/>
      <w:r>
        <w:rPr>
          <w:lang w:val="pt-BR"/>
        </w:rPr>
        <w:t xml:space="preserve"> </w:t>
      </w:r>
      <w:proofErr w:type="spellStart"/>
      <w:r>
        <w:rPr>
          <w:lang w:val="pt-BR"/>
        </w:rPr>
        <w:t>un</w:t>
      </w:r>
      <w:proofErr w:type="spellEnd"/>
      <w:r>
        <w:rPr>
          <w:lang w:val="pt-BR"/>
        </w:rPr>
        <w:t xml:space="preserve"> déficit de 2.776 leitos.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04" w:rsidRPr="00140404" w:rsidRDefault="00140404" w:rsidP="001A4CD3">
    <w:pPr>
      <w:tabs>
        <w:tab w:val="center" w:pos="4680"/>
        <w:tab w:val="right" w:pos="9360"/>
      </w:tabs>
      <w:rPr>
        <w:rFonts w:ascii="Arial" w:eastAsia="Calibri" w:hAnsi="Arial" w:cs="Arial"/>
        <w:sz w:val="18"/>
        <w:szCs w:val="18"/>
        <w:lang w:val="es-ES"/>
      </w:rPr>
    </w:pPr>
    <w:r w:rsidRPr="00140404">
      <w:rPr>
        <w:rFonts w:ascii="Arial" w:eastAsia="Calibri" w:hAnsi="Arial" w:cs="Arial"/>
        <w:sz w:val="18"/>
        <w:szCs w:val="18"/>
        <w:lang w:val="es-ES"/>
      </w:rPr>
      <w:t>EE</w:t>
    </w:r>
    <w:r>
      <w:rPr>
        <w:rFonts w:ascii="Arial" w:eastAsia="Calibri" w:hAnsi="Arial" w:cs="Arial"/>
        <w:sz w:val="18"/>
        <w:szCs w:val="18"/>
        <w:lang w:val="es-ES"/>
      </w:rPr>
      <w:t>O</w:t>
    </w:r>
    <w:r w:rsidRPr="00140404">
      <w:rPr>
        <w:rFonts w:ascii="Arial" w:eastAsia="Calibri" w:hAnsi="Arial" w:cs="Arial"/>
        <w:sz w:val="18"/>
        <w:szCs w:val="18"/>
        <w:lang w:val="es-ES"/>
      </w:rPr>
      <w:t xml:space="preserve"> #5-BR-L1408</w:t>
    </w:r>
  </w:p>
  <w:p w:rsidR="00140404" w:rsidRPr="00140404" w:rsidRDefault="00140404" w:rsidP="001A4CD3">
    <w:pPr>
      <w:tabs>
        <w:tab w:val="center" w:pos="4680"/>
        <w:tab w:val="right" w:pos="9360"/>
      </w:tabs>
      <w:rPr>
        <w:rFonts w:eastAsia="Calibri"/>
        <w:sz w:val="24"/>
        <w:szCs w:val="24"/>
        <w:lang w:val="es-ES"/>
      </w:rPr>
    </w:pPr>
    <w:bookmarkStart w:id="0" w:name="_GoBack"/>
    <w:bookmarkEnd w:id="0"/>
    <w:r w:rsidRPr="00140404">
      <w:rPr>
        <w:rFonts w:ascii="Arial" w:eastAsia="Calibri" w:hAnsi="Arial" w:cs="Arial"/>
        <w:sz w:val="18"/>
        <w:szCs w:val="18"/>
        <w:lang w:val="es-ES"/>
      </w:rPr>
      <w:t xml:space="preserve">Página </w:t>
    </w:r>
    <w:r w:rsidRPr="00140404">
      <w:rPr>
        <w:rFonts w:ascii="Arial" w:eastAsia="Calibri" w:hAnsi="Arial" w:cs="Arial"/>
        <w:bCs/>
        <w:sz w:val="18"/>
        <w:szCs w:val="18"/>
        <w:lang w:val="es-ES"/>
      </w:rPr>
      <w:fldChar w:fldCharType="begin"/>
    </w:r>
    <w:r w:rsidRPr="00140404">
      <w:rPr>
        <w:rFonts w:ascii="Arial" w:eastAsia="Calibri" w:hAnsi="Arial" w:cs="Arial"/>
        <w:bCs/>
        <w:sz w:val="18"/>
        <w:szCs w:val="18"/>
        <w:lang w:val="es-ES"/>
      </w:rPr>
      <w:instrText xml:space="preserve"> PAGE </w:instrText>
    </w:r>
    <w:r w:rsidRPr="00140404">
      <w:rPr>
        <w:rFonts w:ascii="Arial" w:eastAsia="Calibri" w:hAnsi="Arial" w:cs="Arial"/>
        <w:bCs/>
        <w:sz w:val="18"/>
        <w:szCs w:val="18"/>
        <w:lang w:val="es-ES"/>
      </w:rPr>
      <w:fldChar w:fldCharType="separate"/>
    </w:r>
    <w:r w:rsidR="001A4CD3">
      <w:rPr>
        <w:rFonts w:ascii="Arial" w:eastAsia="Calibri" w:hAnsi="Arial" w:cs="Arial"/>
        <w:bCs/>
        <w:noProof/>
        <w:sz w:val="18"/>
        <w:szCs w:val="18"/>
        <w:lang w:val="es-ES"/>
      </w:rPr>
      <w:t>2</w:t>
    </w:r>
    <w:r w:rsidRPr="00140404">
      <w:rPr>
        <w:rFonts w:ascii="Arial" w:eastAsia="Calibri" w:hAnsi="Arial" w:cs="Arial"/>
        <w:bCs/>
        <w:sz w:val="18"/>
        <w:szCs w:val="18"/>
        <w:lang w:val="es-ES"/>
      </w:rPr>
      <w:fldChar w:fldCharType="end"/>
    </w:r>
    <w:r w:rsidRPr="00140404">
      <w:rPr>
        <w:rFonts w:ascii="Arial" w:eastAsia="Calibri" w:hAnsi="Arial" w:cs="Arial"/>
        <w:sz w:val="18"/>
        <w:szCs w:val="18"/>
        <w:lang w:val="es-ES"/>
      </w:rPr>
      <w:t xml:space="preserve"> de </w:t>
    </w:r>
    <w:r w:rsidRPr="00140404">
      <w:rPr>
        <w:rFonts w:ascii="Arial" w:eastAsia="Calibri" w:hAnsi="Arial" w:cs="Arial"/>
        <w:bCs/>
        <w:sz w:val="18"/>
        <w:szCs w:val="18"/>
        <w:lang w:val="es-ES"/>
      </w:rPr>
      <w:fldChar w:fldCharType="begin"/>
    </w:r>
    <w:r w:rsidRPr="00140404">
      <w:rPr>
        <w:rFonts w:ascii="Arial" w:eastAsia="Calibri" w:hAnsi="Arial" w:cs="Arial"/>
        <w:bCs/>
        <w:sz w:val="18"/>
        <w:szCs w:val="18"/>
        <w:lang w:val="es-ES"/>
      </w:rPr>
      <w:instrText xml:space="preserve"> NUMPAGES  </w:instrText>
    </w:r>
    <w:r w:rsidRPr="00140404">
      <w:rPr>
        <w:rFonts w:ascii="Arial" w:eastAsia="Calibri" w:hAnsi="Arial" w:cs="Arial"/>
        <w:bCs/>
        <w:sz w:val="18"/>
        <w:szCs w:val="18"/>
        <w:lang w:val="es-ES"/>
      </w:rPr>
      <w:fldChar w:fldCharType="separate"/>
    </w:r>
    <w:r w:rsidR="001A4CD3">
      <w:rPr>
        <w:rFonts w:ascii="Arial" w:eastAsia="Calibri" w:hAnsi="Arial" w:cs="Arial"/>
        <w:bCs/>
        <w:noProof/>
        <w:sz w:val="18"/>
        <w:szCs w:val="18"/>
        <w:lang w:val="es-ES"/>
      </w:rPr>
      <w:t>6</w:t>
    </w:r>
    <w:r w:rsidRPr="00140404">
      <w:rPr>
        <w:rFonts w:ascii="Arial" w:eastAsia="Calibri" w:hAnsi="Arial" w:cs="Arial"/>
        <w:bCs/>
        <w:sz w:val="18"/>
        <w:szCs w:val="18"/>
        <w:lang w:val="es-ES"/>
      </w:rPr>
      <w:fldChar w:fldCharType="end"/>
    </w:r>
  </w:p>
  <w:p w:rsidR="00140404" w:rsidRDefault="00140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04" w:rsidRPr="00140404" w:rsidRDefault="00140404" w:rsidP="00140404">
    <w:pPr>
      <w:tabs>
        <w:tab w:val="center" w:pos="4680"/>
        <w:tab w:val="right" w:pos="9360"/>
      </w:tabs>
      <w:jc w:val="right"/>
      <w:rPr>
        <w:rFonts w:ascii="Arial" w:eastAsia="Calibri" w:hAnsi="Arial" w:cs="Arial"/>
        <w:sz w:val="18"/>
        <w:szCs w:val="18"/>
        <w:lang w:val="es-ES"/>
      </w:rPr>
    </w:pPr>
    <w:r w:rsidRPr="00140404">
      <w:rPr>
        <w:rFonts w:ascii="Arial" w:eastAsia="Calibri" w:hAnsi="Arial" w:cs="Arial"/>
        <w:sz w:val="18"/>
        <w:szCs w:val="18"/>
        <w:lang w:val="es-ES"/>
      </w:rPr>
      <w:t>EE</w:t>
    </w:r>
    <w:r>
      <w:rPr>
        <w:rFonts w:ascii="Arial" w:eastAsia="Calibri" w:hAnsi="Arial" w:cs="Arial"/>
        <w:sz w:val="18"/>
        <w:szCs w:val="18"/>
        <w:lang w:val="es-ES"/>
      </w:rPr>
      <w:t>O</w:t>
    </w:r>
    <w:r w:rsidRPr="00140404">
      <w:rPr>
        <w:rFonts w:ascii="Arial" w:eastAsia="Calibri" w:hAnsi="Arial" w:cs="Arial"/>
        <w:sz w:val="18"/>
        <w:szCs w:val="18"/>
        <w:lang w:val="es-ES"/>
      </w:rPr>
      <w:t xml:space="preserve"> #5-BR-L1408</w:t>
    </w:r>
  </w:p>
  <w:p w:rsidR="00140404" w:rsidRPr="00140404" w:rsidRDefault="00140404" w:rsidP="00140404">
    <w:pPr>
      <w:tabs>
        <w:tab w:val="center" w:pos="4680"/>
        <w:tab w:val="right" w:pos="9360"/>
      </w:tabs>
      <w:jc w:val="right"/>
      <w:rPr>
        <w:rFonts w:eastAsia="Calibri"/>
        <w:sz w:val="24"/>
        <w:szCs w:val="24"/>
        <w:lang w:val="es-ES"/>
      </w:rPr>
    </w:pPr>
    <w:r w:rsidRPr="00140404">
      <w:rPr>
        <w:rFonts w:ascii="Arial" w:eastAsia="Calibri" w:hAnsi="Arial" w:cs="Arial"/>
        <w:sz w:val="18"/>
        <w:szCs w:val="18"/>
        <w:lang w:val="es-ES"/>
      </w:rPr>
      <w:t xml:space="preserve">Página </w:t>
    </w:r>
    <w:r w:rsidRPr="00140404">
      <w:rPr>
        <w:rFonts w:ascii="Arial" w:eastAsia="Calibri" w:hAnsi="Arial" w:cs="Arial"/>
        <w:bCs/>
        <w:sz w:val="18"/>
        <w:szCs w:val="18"/>
        <w:lang w:val="es-ES"/>
      </w:rPr>
      <w:fldChar w:fldCharType="begin"/>
    </w:r>
    <w:r w:rsidRPr="00140404">
      <w:rPr>
        <w:rFonts w:ascii="Arial" w:eastAsia="Calibri" w:hAnsi="Arial" w:cs="Arial"/>
        <w:bCs/>
        <w:sz w:val="18"/>
        <w:szCs w:val="18"/>
        <w:lang w:val="es-ES"/>
      </w:rPr>
      <w:instrText xml:space="preserve"> PAGE </w:instrText>
    </w:r>
    <w:r w:rsidRPr="00140404">
      <w:rPr>
        <w:rFonts w:ascii="Arial" w:eastAsia="Calibri" w:hAnsi="Arial" w:cs="Arial"/>
        <w:bCs/>
        <w:sz w:val="18"/>
        <w:szCs w:val="18"/>
        <w:lang w:val="es-ES"/>
      </w:rPr>
      <w:fldChar w:fldCharType="separate"/>
    </w:r>
    <w:r w:rsidR="001A4CD3">
      <w:rPr>
        <w:rFonts w:ascii="Arial" w:eastAsia="Calibri" w:hAnsi="Arial" w:cs="Arial"/>
        <w:bCs/>
        <w:noProof/>
        <w:sz w:val="18"/>
        <w:szCs w:val="18"/>
        <w:lang w:val="es-ES"/>
      </w:rPr>
      <w:t>5</w:t>
    </w:r>
    <w:r w:rsidRPr="00140404">
      <w:rPr>
        <w:rFonts w:ascii="Arial" w:eastAsia="Calibri" w:hAnsi="Arial" w:cs="Arial"/>
        <w:bCs/>
        <w:sz w:val="18"/>
        <w:szCs w:val="18"/>
        <w:lang w:val="es-ES"/>
      </w:rPr>
      <w:fldChar w:fldCharType="end"/>
    </w:r>
    <w:r w:rsidRPr="00140404">
      <w:rPr>
        <w:rFonts w:ascii="Arial" w:eastAsia="Calibri" w:hAnsi="Arial" w:cs="Arial"/>
        <w:sz w:val="18"/>
        <w:szCs w:val="18"/>
        <w:lang w:val="es-ES"/>
      </w:rPr>
      <w:t xml:space="preserve"> de </w:t>
    </w:r>
    <w:r w:rsidRPr="00140404">
      <w:rPr>
        <w:rFonts w:ascii="Arial" w:eastAsia="Calibri" w:hAnsi="Arial" w:cs="Arial"/>
        <w:bCs/>
        <w:sz w:val="18"/>
        <w:szCs w:val="18"/>
        <w:lang w:val="es-ES"/>
      </w:rPr>
      <w:fldChar w:fldCharType="begin"/>
    </w:r>
    <w:r w:rsidRPr="00140404">
      <w:rPr>
        <w:rFonts w:ascii="Arial" w:eastAsia="Calibri" w:hAnsi="Arial" w:cs="Arial"/>
        <w:bCs/>
        <w:sz w:val="18"/>
        <w:szCs w:val="18"/>
        <w:lang w:val="es-ES"/>
      </w:rPr>
      <w:instrText xml:space="preserve"> NUMPAGES  </w:instrText>
    </w:r>
    <w:r w:rsidRPr="00140404">
      <w:rPr>
        <w:rFonts w:ascii="Arial" w:eastAsia="Calibri" w:hAnsi="Arial" w:cs="Arial"/>
        <w:bCs/>
        <w:sz w:val="18"/>
        <w:szCs w:val="18"/>
        <w:lang w:val="es-ES"/>
      </w:rPr>
      <w:fldChar w:fldCharType="separate"/>
    </w:r>
    <w:r w:rsidR="001A4CD3">
      <w:rPr>
        <w:rFonts w:ascii="Arial" w:eastAsia="Calibri" w:hAnsi="Arial" w:cs="Arial"/>
        <w:bCs/>
        <w:noProof/>
        <w:sz w:val="18"/>
        <w:szCs w:val="18"/>
        <w:lang w:val="es-ES"/>
      </w:rPr>
      <w:t>6</w:t>
    </w:r>
    <w:r w:rsidRPr="00140404">
      <w:rPr>
        <w:rFonts w:ascii="Arial" w:eastAsia="Calibri" w:hAnsi="Arial" w:cs="Arial"/>
        <w:bCs/>
        <w:sz w:val="18"/>
        <w:szCs w:val="18"/>
        <w:lang w:val="es-ES"/>
      </w:rPr>
      <w:fldChar w:fldCharType="end"/>
    </w:r>
  </w:p>
  <w:p w:rsidR="00140404" w:rsidRPr="001A4CD3" w:rsidRDefault="00140404" w:rsidP="001A4CD3">
    <w:pPr>
      <w:pStyle w:val="Heade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04" w:rsidRDefault="00140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3D58"/>
    <w:multiLevelType w:val="hybridMultilevel"/>
    <w:tmpl w:val="115EB2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EE0D03"/>
    <w:multiLevelType w:val="hybridMultilevel"/>
    <w:tmpl w:val="CA500F86"/>
    <w:lvl w:ilvl="0" w:tplc="2EFE5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71688"/>
    <w:multiLevelType w:val="hybridMultilevel"/>
    <w:tmpl w:val="CA500F86"/>
    <w:lvl w:ilvl="0" w:tplc="2EFE5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73BE9"/>
    <w:multiLevelType w:val="hybridMultilevel"/>
    <w:tmpl w:val="28245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A375A"/>
    <w:multiLevelType w:val="hybridMultilevel"/>
    <w:tmpl w:val="DDFCB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411F30"/>
    <w:multiLevelType w:val="multilevel"/>
    <w:tmpl w:val="10C0DCFA"/>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nsid w:val="66A216F0"/>
    <w:multiLevelType w:val="hybridMultilevel"/>
    <w:tmpl w:val="CA500F86"/>
    <w:lvl w:ilvl="0" w:tplc="2EFE5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C245A7"/>
    <w:multiLevelType w:val="multilevel"/>
    <w:tmpl w:val="10C0DCFA"/>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nsid w:val="6F666B35"/>
    <w:multiLevelType w:val="hybridMultilevel"/>
    <w:tmpl w:val="457AD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D8"/>
    <w:rsid w:val="00031769"/>
    <w:rsid w:val="00070172"/>
    <w:rsid w:val="00090B51"/>
    <w:rsid w:val="000B7AE5"/>
    <w:rsid w:val="000C17C2"/>
    <w:rsid w:val="00140404"/>
    <w:rsid w:val="00176140"/>
    <w:rsid w:val="00191AC4"/>
    <w:rsid w:val="001A4CD3"/>
    <w:rsid w:val="001C46A2"/>
    <w:rsid w:val="001D3B24"/>
    <w:rsid w:val="00203EFE"/>
    <w:rsid w:val="00204ABE"/>
    <w:rsid w:val="0024694C"/>
    <w:rsid w:val="00272B2A"/>
    <w:rsid w:val="002A253E"/>
    <w:rsid w:val="002D4EA8"/>
    <w:rsid w:val="0030098F"/>
    <w:rsid w:val="00356004"/>
    <w:rsid w:val="00356C3B"/>
    <w:rsid w:val="0036240C"/>
    <w:rsid w:val="003A2042"/>
    <w:rsid w:val="003C6BA9"/>
    <w:rsid w:val="00481EC9"/>
    <w:rsid w:val="004F3F6A"/>
    <w:rsid w:val="005459DC"/>
    <w:rsid w:val="005809F0"/>
    <w:rsid w:val="00582467"/>
    <w:rsid w:val="005963F8"/>
    <w:rsid w:val="005C0A6D"/>
    <w:rsid w:val="005D0D75"/>
    <w:rsid w:val="00672631"/>
    <w:rsid w:val="006A072A"/>
    <w:rsid w:val="006F6FCF"/>
    <w:rsid w:val="007343B2"/>
    <w:rsid w:val="00740E68"/>
    <w:rsid w:val="00795039"/>
    <w:rsid w:val="007B3102"/>
    <w:rsid w:val="007B3D3E"/>
    <w:rsid w:val="007E14EF"/>
    <w:rsid w:val="007F1874"/>
    <w:rsid w:val="007F4326"/>
    <w:rsid w:val="00832686"/>
    <w:rsid w:val="00866553"/>
    <w:rsid w:val="008A476D"/>
    <w:rsid w:val="008E0E7F"/>
    <w:rsid w:val="00957C34"/>
    <w:rsid w:val="00964650"/>
    <w:rsid w:val="0098756C"/>
    <w:rsid w:val="009F5433"/>
    <w:rsid w:val="00A22D55"/>
    <w:rsid w:val="00A474AC"/>
    <w:rsid w:val="00AA0722"/>
    <w:rsid w:val="00AA31E7"/>
    <w:rsid w:val="00AF11AD"/>
    <w:rsid w:val="00B42DBC"/>
    <w:rsid w:val="00B63CC9"/>
    <w:rsid w:val="00B67987"/>
    <w:rsid w:val="00B94218"/>
    <w:rsid w:val="00BA3B84"/>
    <w:rsid w:val="00BC69E4"/>
    <w:rsid w:val="00C23087"/>
    <w:rsid w:val="00C663CF"/>
    <w:rsid w:val="00C74EC3"/>
    <w:rsid w:val="00C90BD8"/>
    <w:rsid w:val="00CD6410"/>
    <w:rsid w:val="00CF2750"/>
    <w:rsid w:val="00D02F64"/>
    <w:rsid w:val="00D71912"/>
    <w:rsid w:val="00E112E9"/>
    <w:rsid w:val="00E14054"/>
    <w:rsid w:val="00E15EDD"/>
    <w:rsid w:val="00E166EC"/>
    <w:rsid w:val="00E652C4"/>
    <w:rsid w:val="00EB551E"/>
    <w:rsid w:val="00EB55C0"/>
    <w:rsid w:val="00ED2E3F"/>
    <w:rsid w:val="00EF225C"/>
    <w:rsid w:val="00FA5FF5"/>
    <w:rsid w:val="00FA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D8"/>
    <w:pPr>
      <w:spacing w:after="0" w:line="240" w:lineRule="auto"/>
    </w:pPr>
    <w:rPr>
      <w:rFonts w:ascii="Times New Roman" w:eastAsia="Times New Roman" w:hAnsi="Times New Roman" w:cs="Times New Roman"/>
      <w:sz w:val="20"/>
      <w:szCs w:val="20"/>
      <w:lang w:val="pt-PT"/>
    </w:rPr>
  </w:style>
  <w:style w:type="paragraph" w:styleId="Heading1">
    <w:name w:val="heading 1"/>
    <w:basedOn w:val="Normal"/>
    <w:next w:val="Normal"/>
    <w:link w:val="Heading1Char"/>
    <w:qFormat/>
    <w:rsid w:val="00C90BD8"/>
    <w:pPr>
      <w:keepNext/>
      <w:jc w:val="right"/>
      <w:outlineLvl w:val="0"/>
    </w:pPr>
    <w:rPr>
      <w:b/>
      <w:sz w:val="24"/>
    </w:rPr>
  </w:style>
  <w:style w:type="paragraph" w:styleId="Heading8">
    <w:name w:val="heading 8"/>
    <w:basedOn w:val="Normal"/>
    <w:next w:val="Normal"/>
    <w:link w:val="Heading8Char"/>
    <w:semiHidden/>
    <w:unhideWhenUsed/>
    <w:qFormat/>
    <w:rsid w:val="00C90BD8"/>
    <w:pPr>
      <w:keepNext/>
      <w:jc w:val="right"/>
      <w:outlineLvl w:val="7"/>
    </w:pPr>
    <w:rPr>
      <w:b/>
      <w:sz w:val="4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0BD8"/>
    <w:rPr>
      <w:rFonts w:ascii="Times New Roman" w:eastAsia="Times New Roman" w:hAnsi="Times New Roman" w:cs="Times New Roman"/>
      <w:b/>
      <w:sz w:val="24"/>
      <w:szCs w:val="20"/>
      <w:lang w:val="pt-PT"/>
    </w:rPr>
  </w:style>
  <w:style w:type="character" w:customStyle="1" w:styleId="Heading8Char">
    <w:name w:val="Heading 8 Char"/>
    <w:basedOn w:val="DefaultParagraphFont"/>
    <w:link w:val="Heading8"/>
    <w:semiHidden/>
    <w:rsid w:val="00C90BD8"/>
    <w:rPr>
      <w:rFonts w:ascii="Times New Roman" w:eastAsia="Times New Roman" w:hAnsi="Times New Roman" w:cs="Times New Roman"/>
      <w:b/>
      <w:sz w:val="40"/>
      <w:szCs w:val="20"/>
      <w:lang w:val="es-ES_tradnl"/>
    </w:rPr>
  </w:style>
  <w:style w:type="paragraph" w:styleId="BalloonText">
    <w:name w:val="Balloon Text"/>
    <w:basedOn w:val="Normal"/>
    <w:link w:val="BalloonTextChar"/>
    <w:uiPriority w:val="99"/>
    <w:semiHidden/>
    <w:unhideWhenUsed/>
    <w:rsid w:val="00C90BD8"/>
    <w:rPr>
      <w:rFonts w:ascii="Tahoma" w:hAnsi="Tahoma" w:cs="Tahoma"/>
      <w:sz w:val="16"/>
      <w:szCs w:val="16"/>
    </w:rPr>
  </w:style>
  <w:style w:type="character" w:customStyle="1" w:styleId="BalloonTextChar">
    <w:name w:val="Balloon Text Char"/>
    <w:basedOn w:val="DefaultParagraphFont"/>
    <w:link w:val="BalloonText"/>
    <w:uiPriority w:val="99"/>
    <w:semiHidden/>
    <w:rsid w:val="00C90BD8"/>
    <w:rPr>
      <w:rFonts w:ascii="Tahoma" w:eastAsia="Times New Roman" w:hAnsi="Tahoma" w:cs="Tahoma"/>
      <w:sz w:val="16"/>
      <w:szCs w:val="16"/>
      <w:lang w:val="pt-PT"/>
    </w:rPr>
  </w:style>
  <w:style w:type="paragraph" w:styleId="Header">
    <w:name w:val="header"/>
    <w:basedOn w:val="Normal"/>
    <w:link w:val="HeaderChar"/>
    <w:uiPriority w:val="99"/>
    <w:unhideWhenUsed/>
    <w:rsid w:val="00C90BD8"/>
    <w:pPr>
      <w:tabs>
        <w:tab w:val="center" w:pos="4680"/>
        <w:tab w:val="right" w:pos="9360"/>
      </w:tabs>
    </w:pPr>
  </w:style>
  <w:style w:type="character" w:customStyle="1" w:styleId="HeaderChar">
    <w:name w:val="Header Char"/>
    <w:basedOn w:val="DefaultParagraphFont"/>
    <w:link w:val="Header"/>
    <w:uiPriority w:val="99"/>
    <w:rsid w:val="00C90BD8"/>
    <w:rPr>
      <w:rFonts w:ascii="Times New Roman" w:eastAsia="Times New Roman" w:hAnsi="Times New Roman" w:cs="Times New Roman"/>
      <w:sz w:val="20"/>
      <w:szCs w:val="20"/>
      <w:lang w:val="pt-PT"/>
    </w:rPr>
  </w:style>
  <w:style w:type="paragraph" w:styleId="Footer">
    <w:name w:val="footer"/>
    <w:basedOn w:val="Normal"/>
    <w:link w:val="FooterChar"/>
    <w:uiPriority w:val="99"/>
    <w:unhideWhenUsed/>
    <w:rsid w:val="00C90BD8"/>
    <w:pPr>
      <w:tabs>
        <w:tab w:val="center" w:pos="4680"/>
        <w:tab w:val="right" w:pos="9360"/>
      </w:tabs>
    </w:pPr>
  </w:style>
  <w:style w:type="character" w:customStyle="1" w:styleId="FooterChar">
    <w:name w:val="Footer Char"/>
    <w:basedOn w:val="DefaultParagraphFont"/>
    <w:link w:val="Footer"/>
    <w:uiPriority w:val="99"/>
    <w:rsid w:val="00C90BD8"/>
    <w:rPr>
      <w:rFonts w:ascii="Times New Roman" w:eastAsia="Times New Roman" w:hAnsi="Times New Roman" w:cs="Times New Roman"/>
      <w:sz w:val="20"/>
      <w:szCs w:val="20"/>
      <w:lang w:val="pt-PT"/>
    </w:rPr>
  </w:style>
  <w:style w:type="paragraph" w:styleId="ListParagraph">
    <w:name w:val="List Paragraph"/>
    <w:basedOn w:val="Normal"/>
    <w:uiPriority w:val="34"/>
    <w:qFormat/>
    <w:rsid w:val="0036240C"/>
    <w:pPr>
      <w:ind w:left="720"/>
      <w:contextualSpacing/>
    </w:pPr>
  </w:style>
  <w:style w:type="paragraph" w:customStyle="1" w:styleId="Default">
    <w:name w:val="Default"/>
    <w:rsid w:val="0036240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72631"/>
    <w:rPr>
      <w:sz w:val="16"/>
      <w:szCs w:val="16"/>
    </w:rPr>
  </w:style>
  <w:style w:type="paragraph" w:styleId="CommentText">
    <w:name w:val="annotation text"/>
    <w:basedOn w:val="Normal"/>
    <w:link w:val="CommentTextChar"/>
    <w:uiPriority w:val="99"/>
    <w:semiHidden/>
    <w:unhideWhenUsed/>
    <w:rsid w:val="00672631"/>
  </w:style>
  <w:style w:type="character" w:customStyle="1" w:styleId="CommentTextChar">
    <w:name w:val="Comment Text Char"/>
    <w:basedOn w:val="DefaultParagraphFont"/>
    <w:link w:val="CommentText"/>
    <w:uiPriority w:val="99"/>
    <w:semiHidden/>
    <w:rsid w:val="00672631"/>
    <w:rPr>
      <w:rFonts w:ascii="Times New Roman" w:eastAsia="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sid w:val="00672631"/>
    <w:rPr>
      <w:b/>
      <w:bCs/>
    </w:rPr>
  </w:style>
  <w:style w:type="character" w:customStyle="1" w:styleId="CommentSubjectChar">
    <w:name w:val="Comment Subject Char"/>
    <w:basedOn w:val="CommentTextChar"/>
    <w:link w:val="CommentSubject"/>
    <w:uiPriority w:val="99"/>
    <w:semiHidden/>
    <w:rsid w:val="00672631"/>
    <w:rPr>
      <w:rFonts w:ascii="Times New Roman" w:eastAsia="Times New Roman" w:hAnsi="Times New Roman" w:cs="Times New Roman"/>
      <w:b/>
      <w:bCs/>
      <w:sz w:val="20"/>
      <w:szCs w:val="20"/>
      <w:lang w:val="pt-PT"/>
    </w:rPr>
  </w:style>
  <w:style w:type="paragraph" w:styleId="NormalWeb">
    <w:name w:val="Normal (Web)"/>
    <w:basedOn w:val="Normal"/>
    <w:uiPriority w:val="99"/>
    <w:unhideWhenUsed/>
    <w:rsid w:val="00E14054"/>
    <w:pPr>
      <w:spacing w:before="100" w:beforeAutospacing="1" w:after="100" w:afterAutospacing="1"/>
    </w:pPr>
    <w:rPr>
      <w:sz w:val="24"/>
      <w:szCs w:val="24"/>
      <w:lang w:val="en-US"/>
    </w:rPr>
  </w:style>
  <w:style w:type="character" w:customStyle="1" w:styleId="apple-converted-space">
    <w:name w:val="apple-converted-space"/>
    <w:basedOn w:val="DefaultParagraphFont"/>
    <w:rsid w:val="009F5433"/>
  </w:style>
  <w:style w:type="character" w:styleId="Hyperlink">
    <w:name w:val="Hyperlink"/>
    <w:basedOn w:val="DefaultParagraphFont"/>
    <w:uiPriority w:val="99"/>
    <w:semiHidden/>
    <w:unhideWhenUsed/>
    <w:rsid w:val="009F5433"/>
    <w:rPr>
      <w:color w:val="0000FF"/>
      <w:u w:val="single"/>
    </w:rPr>
  </w:style>
  <w:style w:type="paragraph" w:styleId="List">
    <w:name w:val="List"/>
    <w:basedOn w:val="Normal"/>
    <w:autoRedefine/>
    <w:rsid w:val="007E14EF"/>
    <w:pPr>
      <w:widowControl w:val="0"/>
      <w:tabs>
        <w:tab w:val="left" w:pos="-720"/>
        <w:tab w:val="left" w:pos="-648"/>
      </w:tabs>
      <w:suppressAutoHyphens/>
      <w:spacing w:after="120"/>
      <w:ind w:left="567"/>
      <w:jc w:val="both"/>
    </w:pPr>
    <w:rPr>
      <w:sz w:val="24"/>
      <w:szCs w:val="24"/>
      <w:lang w:val="pt-BR" w:eastAsia="pt-BR"/>
    </w:rPr>
  </w:style>
  <w:style w:type="paragraph" w:styleId="FootnoteText">
    <w:name w:val="footnote text"/>
    <w:basedOn w:val="Normal"/>
    <w:link w:val="FootnoteTextChar"/>
    <w:uiPriority w:val="99"/>
    <w:semiHidden/>
    <w:unhideWhenUsed/>
    <w:rsid w:val="00A474AC"/>
  </w:style>
  <w:style w:type="character" w:customStyle="1" w:styleId="FootnoteTextChar">
    <w:name w:val="Footnote Text Char"/>
    <w:basedOn w:val="DefaultParagraphFont"/>
    <w:link w:val="FootnoteText"/>
    <w:uiPriority w:val="99"/>
    <w:semiHidden/>
    <w:rsid w:val="00A474AC"/>
    <w:rPr>
      <w:rFonts w:ascii="Times New Roman" w:eastAsia="Times New Roman" w:hAnsi="Times New Roman" w:cs="Times New Roman"/>
      <w:sz w:val="20"/>
      <w:szCs w:val="20"/>
      <w:lang w:val="pt-PT"/>
    </w:rPr>
  </w:style>
  <w:style w:type="character" w:styleId="FootnoteReference">
    <w:name w:val="footnote reference"/>
    <w:basedOn w:val="DefaultParagraphFont"/>
    <w:uiPriority w:val="99"/>
    <w:semiHidden/>
    <w:unhideWhenUsed/>
    <w:rsid w:val="00A474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D8"/>
    <w:pPr>
      <w:spacing w:after="0" w:line="240" w:lineRule="auto"/>
    </w:pPr>
    <w:rPr>
      <w:rFonts w:ascii="Times New Roman" w:eastAsia="Times New Roman" w:hAnsi="Times New Roman" w:cs="Times New Roman"/>
      <w:sz w:val="20"/>
      <w:szCs w:val="20"/>
      <w:lang w:val="pt-PT"/>
    </w:rPr>
  </w:style>
  <w:style w:type="paragraph" w:styleId="Heading1">
    <w:name w:val="heading 1"/>
    <w:basedOn w:val="Normal"/>
    <w:next w:val="Normal"/>
    <w:link w:val="Heading1Char"/>
    <w:qFormat/>
    <w:rsid w:val="00C90BD8"/>
    <w:pPr>
      <w:keepNext/>
      <w:jc w:val="right"/>
      <w:outlineLvl w:val="0"/>
    </w:pPr>
    <w:rPr>
      <w:b/>
      <w:sz w:val="24"/>
    </w:rPr>
  </w:style>
  <w:style w:type="paragraph" w:styleId="Heading8">
    <w:name w:val="heading 8"/>
    <w:basedOn w:val="Normal"/>
    <w:next w:val="Normal"/>
    <w:link w:val="Heading8Char"/>
    <w:semiHidden/>
    <w:unhideWhenUsed/>
    <w:qFormat/>
    <w:rsid w:val="00C90BD8"/>
    <w:pPr>
      <w:keepNext/>
      <w:jc w:val="right"/>
      <w:outlineLvl w:val="7"/>
    </w:pPr>
    <w:rPr>
      <w:b/>
      <w:sz w:val="4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0BD8"/>
    <w:rPr>
      <w:rFonts w:ascii="Times New Roman" w:eastAsia="Times New Roman" w:hAnsi="Times New Roman" w:cs="Times New Roman"/>
      <w:b/>
      <w:sz w:val="24"/>
      <w:szCs w:val="20"/>
      <w:lang w:val="pt-PT"/>
    </w:rPr>
  </w:style>
  <w:style w:type="character" w:customStyle="1" w:styleId="Heading8Char">
    <w:name w:val="Heading 8 Char"/>
    <w:basedOn w:val="DefaultParagraphFont"/>
    <w:link w:val="Heading8"/>
    <w:semiHidden/>
    <w:rsid w:val="00C90BD8"/>
    <w:rPr>
      <w:rFonts w:ascii="Times New Roman" w:eastAsia="Times New Roman" w:hAnsi="Times New Roman" w:cs="Times New Roman"/>
      <w:b/>
      <w:sz w:val="40"/>
      <w:szCs w:val="20"/>
      <w:lang w:val="es-ES_tradnl"/>
    </w:rPr>
  </w:style>
  <w:style w:type="paragraph" w:styleId="BalloonText">
    <w:name w:val="Balloon Text"/>
    <w:basedOn w:val="Normal"/>
    <w:link w:val="BalloonTextChar"/>
    <w:uiPriority w:val="99"/>
    <w:semiHidden/>
    <w:unhideWhenUsed/>
    <w:rsid w:val="00C90BD8"/>
    <w:rPr>
      <w:rFonts w:ascii="Tahoma" w:hAnsi="Tahoma" w:cs="Tahoma"/>
      <w:sz w:val="16"/>
      <w:szCs w:val="16"/>
    </w:rPr>
  </w:style>
  <w:style w:type="character" w:customStyle="1" w:styleId="BalloonTextChar">
    <w:name w:val="Balloon Text Char"/>
    <w:basedOn w:val="DefaultParagraphFont"/>
    <w:link w:val="BalloonText"/>
    <w:uiPriority w:val="99"/>
    <w:semiHidden/>
    <w:rsid w:val="00C90BD8"/>
    <w:rPr>
      <w:rFonts w:ascii="Tahoma" w:eastAsia="Times New Roman" w:hAnsi="Tahoma" w:cs="Tahoma"/>
      <w:sz w:val="16"/>
      <w:szCs w:val="16"/>
      <w:lang w:val="pt-PT"/>
    </w:rPr>
  </w:style>
  <w:style w:type="paragraph" w:styleId="Header">
    <w:name w:val="header"/>
    <w:basedOn w:val="Normal"/>
    <w:link w:val="HeaderChar"/>
    <w:uiPriority w:val="99"/>
    <w:unhideWhenUsed/>
    <w:rsid w:val="00C90BD8"/>
    <w:pPr>
      <w:tabs>
        <w:tab w:val="center" w:pos="4680"/>
        <w:tab w:val="right" w:pos="9360"/>
      </w:tabs>
    </w:pPr>
  </w:style>
  <w:style w:type="character" w:customStyle="1" w:styleId="HeaderChar">
    <w:name w:val="Header Char"/>
    <w:basedOn w:val="DefaultParagraphFont"/>
    <w:link w:val="Header"/>
    <w:uiPriority w:val="99"/>
    <w:rsid w:val="00C90BD8"/>
    <w:rPr>
      <w:rFonts w:ascii="Times New Roman" w:eastAsia="Times New Roman" w:hAnsi="Times New Roman" w:cs="Times New Roman"/>
      <w:sz w:val="20"/>
      <w:szCs w:val="20"/>
      <w:lang w:val="pt-PT"/>
    </w:rPr>
  </w:style>
  <w:style w:type="paragraph" w:styleId="Footer">
    <w:name w:val="footer"/>
    <w:basedOn w:val="Normal"/>
    <w:link w:val="FooterChar"/>
    <w:uiPriority w:val="99"/>
    <w:unhideWhenUsed/>
    <w:rsid w:val="00C90BD8"/>
    <w:pPr>
      <w:tabs>
        <w:tab w:val="center" w:pos="4680"/>
        <w:tab w:val="right" w:pos="9360"/>
      </w:tabs>
    </w:pPr>
  </w:style>
  <w:style w:type="character" w:customStyle="1" w:styleId="FooterChar">
    <w:name w:val="Footer Char"/>
    <w:basedOn w:val="DefaultParagraphFont"/>
    <w:link w:val="Footer"/>
    <w:uiPriority w:val="99"/>
    <w:rsid w:val="00C90BD8"/>
    <w:rPr>
      <w:rFonts w:ascii="Times New Roman" w:eastAsia="Times New Roman" w:hAnsi="Times New Roman" w:cs="Times New Roman"/>
      <w:sz w:val="20"/>
      <w:szCs w:val="20"/>
      <w:lang w:val="pt-PT"/>
    </w:rPr>
  </w:style>
  <w:style w:type="paragraph" w:styleId="ListParagraph">
    <w:name w:val="List Paragraph"/>
    <w:basedOn w:val="Normal"/>
    <w:uiPriority w:val="34"/>
    <w:qFormat/>
    <w:rsid w:val="0036240C"/>
    <w:pPr>
      <w:ind w:left="720"/>
      <w:contextualSpacing/>
    </w:pPr>
  </w:style>
  <w:style w:type="paragraph" w:customStyle="1" w:styleId="Default">
    <w:name w:val="Default"/>
    <w:rsid w:val="0036240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72631"/>
    <w:rPr>
      <w:sz w:val="16"/>
      <w:szCs w:val="16"/>
    </w:rPr>
  </w:style>
  <w:style w:type="paragraph" w:styleId="CommentText">
    <w:name w:val="annotation text"/>
    <w:basedOn w:val="Normal"/>
    <w:link w:val="CommentTextChar"/>
    <w:uiPriority w:val="99"/>
    <w:semiHidden/>
    <w:unhideWhenUsed/>
    <w:rsid w:val="00672631"/>
  </w:style>
  <w:style w:type="character" w:customStyle="1" w:styleId="CommentTextChar">
    <w:name w:val="Comment Text Char"/>
    <w:basedOn w:val="DefaultParagraphFont"/>
    <w:link w:val="CommentText"/>
    <w:uiPriority w:val="99"/>
    <w:semiHidden/>
    <w:rsid w:val="00672631"/>
    <w:rPr>
      <w:rFonts w:ascii="Times New Roman" w:eastAsia="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sid w:val="00672631"/>
    <w:rPr>
      <w:b/>
      <w:bCs/>
    </w:rPr>
  </w:style>
  <w:style w:type="character" w:customStyle="1" w:styleId="CommentSubjectChar">
    <w:name w:val="Comment Subject Char"/>
    <w:basedOn w:val="CommentTextChar"/>
    <w:link w:val="CommentSubject"/>
    <w:uiPriority w:val="99"/>
    <w:semiHidden/>
    <w:rsid w:val="00672631"/>
    <w:rPr>
      <w:rFonts w:ascii="Times New Roman" w:eastAsia="Times New Roman" w:hAnsi="Times New Roman" w:cs="Times New Roman"/>
      <w:b/>
      <w:bCs/>
      <w:sz w:val="20"/>
      <w:szCs w:val="20"/>
      <w:lang w:val="pt-PT"/>
    </w:rPr>
  </w:style>
  <w:style w:type="paragraph" w:styleId="NormalWeb">
    <w:name w:val="Normal (Web)"/>
    <w:basedOn w:val="Normal"/>
    <w:uiPriority w:val="99"/>
    <w:unhideWhenUsed/>
    <w:rsid w:val="00E14054"/>
    <w:pPr>
      <w:spacing w:before="100" w:beforeAutospacing="1" w:after="100" w:afterAutospacing="1"/>
    </w:pPr>
    <w:rPr>
      <w:sz w:val="24"/>
      <w:szCs w:val="24"/>
      <w:lang w:val="en-US"/>
    </w:rPr>
  </w:style>
  <w:style w:type="character" w:customStyle="1" w:styleId="apple-converted-space">
    <w:name w:val="apple-converted-space"/>
    <w:basedOn w:val="DefaultParagraphFont"/>
    <w:rsid w:val="009F5433"/>
  </w:style>
  <w:style w:type="character" w:styleId="Hyperlink">
    <w:name w:val="Hyperlink"/>
    <w:basedOn w:val="DefaultParagraphFont"/>
    <w:uiPriority w:val="99"/>
    <w:semiHidden/>
    <w:unhideWhenUsed/>
    <w:rsid w:val="009F5433"/>
    <w:rPr>
      <w:color w:val="0000FF"/>
      <w:u w:val="single"/>
    </w:rPr>
  </w:style>
  <w:style w:type="paragraph" w:styleId="List">
    <w:name w:val="List"/>
    <w:basedOn w:val="Normal"/>
    <w:autoRedefine/>
    <w:rsid w:val="007E14EF"/>
    <w:pPr>
      <w:widowControl w:val="0"/>
      <w:tabs>
        <w:tab w:val="left" w:pos="-720"/>
        <w:tab w:val="left" w:pos="-648"/>
      </w:tabs>
      <w:suppressAutoHyphens/>
      <w:spacing w:after="120"/>
      <w:ind w:left="567"/>
      <w:jc w:val="both"/>
    </w:pPr>
    <w:rPr>
      <w:sz w:val="24"/>
      <w:szCs w:val="24"/>
      <w:lang w:val="pt-BR" w:eastAsia="pt-BR"/>
    </w:rPr>
  </w:style>
  <w:style w:type="paragraph" w:styleId="FootnoteText">
    <w:name w:val="footnote text"/>
    <w:basedOn w:val="Normal"/>
    <w:link w:val="FootnoteTextChar"/>
    <w:uiPriority w:val="99"/>
    <w:semiHidden/>
    <w:unhideWhenUsed/>
    <w:rsid w:val="00A474AC"/>
  </w:style>
  <w:style w:type="character" w:customStyle="1" w:styleId="FootnoteTextChar">
    <w:name w:val="Footnote Text Char"/>
    <w:basedOn w:val="DefaultParagraphFont"/>
    <w:link w:val="FootnoteText"/>
    <w:uiPriority w:val="99"/>
    <w:semiHidden/>
    <w:rsid w:val="00A474AC"/>
    <w:rPr>
      <w:rFonts w:ascii="Times New Roman" w:eastAsia="Times New Roman" w:hAnsi="Times New Roman" w:cs="Times New Roman"/>
      <w:sz w:val="20"/>
      <w:szCs w:val="20"/>
      <w:lang w:val="pt-PT"/>
    </w:rPr>
  </w:style>
  <w:style w:type="character" w:styleId="FootnoteReference">
    <w:name w:val="footnote reference"/>
    <w:basedOn w:val="DefaultParagraphFont"/>
    <w:uiPriority w:val="99"/>
    <w:semiHidden/>
    <w:unhideWhenUsed/>
    <w:rsid w:val="00A474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283">
      <w:bodyDiv w:val="1"/>
      <w:marLeft w:val="0"/>
      <w:marRight w:val="0"/>
      <w:marTop w:val="0"/>
      <w:marBottom w:val="0"/>
      <w:divBdr>
        <w:top w:val="none" w:sz="0" w:space="0" w:color="auto"/>
        <w:left w:val="none" w:sz="0" w:space="0" w:color="auto"/>
        <w:bottom w:val="none" w:sz="0" w:space="0" w:color="auto"/>
        <w:right w:val="none" w:sz="0" w:space="0" w:color="auto"/>
      </w:divBdr>
    </w:div>
    <w:div w:id="597644448">
      <w:bodyDiv w:val="1"/>
      <w:marLeft w:val="0"/>
      <w:marRight w:val="0"/>
      <w:marTop w:val="0"/>
      <w:marBottom w:val="0"/>
      <w:divBdr>
        <w:top w:val="none" w:sz="0" w:space="0" w:color="auto"/>
        <w:left w:val="none" w:sz="0" w:space="0" w:color="auto"/>
        <w:bottom w:val="none" w:sz="0" w:space="0" w:color="auto"/>
        <w:right w:val="none" w:sz="0" w:space="0" w:color="auto"/>
      </w:divBdr>
    </w:div>
    <w:div w:id="681013296">
      <w:bodyDiv w:val="1"/>
      <w:marLeft w:val="0"/>
      <w:marRight w:val="0"/>
      <w:marTop w:val="0"/>
      <w:marBottom w:val="0"/>
      <w:divBdr>
        <w:top w:val="none" w:sz="0" w:space="0" w:color="auto"/>
        <w:left w:val="none" w:sz="0" w:space="0" w:color="auto"/>
        <w:bottom w:val="none" w:sz="0" w:space="0" w:color="auto"/>
        <w:right w:val="none" w:sz="0" w:space="0" w:color="auto"/>
      </w:divBdr>
    </w:div>
    <w:div w:id="905601983">
      <w:bodyDiv w:val="1"/>
      <w:marLeft w:val="0"/>
      <w:marRight w:val="0"/>
      <w:marTop w:val="0"/>
      <w:marBottom w:val="0"/>
      <w:divBdr>
        <w:top w:val="none" w:sz="0" w:space="0" w:color="auto"/>
        <w:left w:val="none" w:sz="0" w:space="0" w:color="auto"/>
        <w:bottom w:val="none" w:sz="0" w:space="0" w:color="auto"/>
        <w:right w:val="none" w:sz="0" w:space="0" w:color="auto"/>
      </w:divBdr>
    </w:div>
    <w:div w:id="1185483455">
      <w:bodyDiv w:val="1"/>
      <w:marLeft w:val="0"/>
      <w:marRight w:val="0"/>
      <w:marTop w:val="0"/>
      <w:marBottom w:val="0"/>
      <w:divBdr>
        <w:top w:val="none" w:sz="0" w:space="0" w:color="auto"/>
        <w:left w:val="none" w:sz="0" w:space="0" w:color="auto"/>
        <w:bottom w:val="none" w:sz="0" w:space="0" w:color="auto"/>
        <w:right w:val="none" w:sz="0" w:space="0" w:color="auto"/>
      </w:divBdr>
    </w:div>
    <w:div w:id="1772971349">
      <w:bodyDiv w:val="1"/>
      <w:marLeft w:val="0"/>
      <w:marRight w:val="0"/>
      <w:marTop w:val="0"/>
      <w:marBottom w:val="0"/>
      <w:divBdr>
        <w:top w:val="none" w:sz="0" w:space="0" w:color="auto"/>
        <w:left w:val="none" w:sz="0" w:space="0" w:color="auto"/>
        <w:bottom w:val="none" w:sz="0" w:space="0" w:color="auto"/>
        <w:right w:val="none" w:sz="0" w:space="0" w:color="auto"/>
      </w:divBdr>
    </w:div>
    <w:div w:id="1777170044">
      <w:bodyDiv w:val="1"/>
      <w:marLeft w:val="0"/>
      <w:marRight w:val="0"/>
      <w:marTop w:val="0"/>
      <w:marBottom w:val="0"/>
      <w:divBdr>
        <w:top w:val="none" w:sz="0" w:space="0" w:color="auto"/>
        <w:left w:val="none" w:sz="0" w:space="0" w:color="auto"/>
        <w:bottom w:val="none" w:sz="0" w:space="0" w:color="auto"/>
        <w:right w:val="none" w:sz="0" w:space="0" w:color="auto"/>
      </w:divBdr>
    </w:div>
    <w:div w:id="1978795610">
      <w:bodyDiv w:val="1"/>
      <w:marLeft w:val="0"/>
      <w:marRight w:val="0"/>
      <w:marTop w:val="0"/>
      <w:marBottom w:val="0"/>
      <w:divBdr>
        <w:top w:val="none" w:sz="0" w:space="0" w:color="auto"/>
        <w:left w:val="none" w:sz="0" w:space="0" w:color="auto"/>
        <w:bottom w:val="none" w:sz="0" w:space="0" w:color="auto"/>
        <w:right w:val="none" w:sz="0" w:space="0" w:color="auto"/>
      </w:divBdr>
    </w:div>
    <w:div w:id="211054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pt.wikipedia.org/wiki/OPEX" TargetMode="External"/><Relationship Id="rId14" Type="http://schemas.openxmlformats.org/officeDocument/2006/relationships/header" Target="header3.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39696305</IDBDocs_x0020_Number>
    <TaxCatchAll xmlns="9c571b2f-e523-4ab2-ba2e-09e151a03ef4">
      <Value>4</Value>
      <Value>3</Value>
    </TaxCatchAll>
    <Phase xmlns="9c571b2f-e523-4ab2-ba2e-09e151a03ef4" xsi:nil="true"/>
    <SISCOR_x0020_Number xmlns="9c571b2f-e523-4ab2-ba2e-09e151a03ef4" xsi:nil="true"/>
    <Division_x0020_or_x0020_Unit xmlns="9c571b2f-e523-4ab2-ba2e-09e151a03ef4">SCL/SPH</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Rocha, Marcia Gomes</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BR-L1408</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Proposal&lt;/USER_STAGE&gt;&lt;APPROVAL_CODE&gt;CG&lt;/APPROVAL_CODE&gt;&lt;APPROVAL_DESC&gt;Committee of the Whole&lt;/APPROVAL_DESC&gt;&lt;PD_OBJ_TYPE&gt;0&lt;/PD_OBJ_TYPE&gt;&lt;MAKERECORD&gt;N&lt;/MAKERECORD&gt;&lt;/Data&gt;</Migration_x0020_Info>
    <Operation_x0020_Type xmlns="9c571b2f-e523-4ab2-ba2e-09e151a03ef4" xsi:nil="true"/>
    <Document_x0020_Language_x0020_IDB xmlns="9c571b2f-e523-4ab2-ba2e-09e151a03ef4">Portuguese</Document_x0020_Language_x0020_IDB>
    <Identifier xmlns="9c571b2f-e523-4ab2-ba2e-09e151a03ef4"> </Identifier>
    <Disclosure_x0020_Activity xmlns="9c571b2f-e523-4ab2-ba2e-09e151a03ef4">Loan Proposal</Disclosure_x0020_Activity>
    <Webtopic xmlns="9c571b2f-e523-4ab2-ba2e-09e151a03ef4">SA-ENF</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DA975974CC910D43B4A0FA0359B488E7" ma:contentTypeVersion="0" ma:contentTypeDescription="A content type to manage public (operations) IDB documents" ma:contentTypeScope="" ma:versionID="6252e2957d2e01b40184855ceae1b64c">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FE5AC1E3-BB7F-4C02-8AB7-65D87EB835A7}"/>
</file>

<file path=customXml/itemProps2.xml><?xml version="1.0" encoding="utf-8"?>
<ds:datastoreItem xmlns:ds="http://schemas.openxmlformats.org/officeDocument/2006/customXml" ds:itemID="{6DDECB4B-A940-4084-BFC8-3A1B351C02C8}"/>
</file>

<file path=customXml/itemProps3.xml><?xml version="1.0" encoding="utf-8"?>
<ds:datastoreItem xmlns:ds="http://schemas.openxmlformats.org/officeDocument/2006/customXml" ds:itemID="{918E1B15-51DE-4A3E-9014-5FFCD44F0E01}"/>
</file>

<file path=customXml/itemProps4.xml><?xml version="1.0" encoding="utf-8"?>
<ds:datastoreItem xmlns:ds="http://schemas.openxmlformats.org/officeDocument/2006/customXml" ds:itemID="{C8BC3CAA-D5D7-4F16-B6E7-880D88145323}"/>
</file>

<file path=customXml/itemProps5.xml><?xml version="1.0" encoding="utf-8"?>
<ds:datastoreItem xmlns:ds="http://schemas.openxmlformats.org/officeDocument/2006/customXml" ds:itemID="{375BED09-BE4A-4386-A5BA-DE96D8D55F0E}"/>
</file>

<file path=customXml/itemProps6.xml><?xml version="1.0" encoding="utf-8"?>
<ds:datastoreItem xmlns:ds="http://schemas.openxmlformats.org/officeDocument/2006/customXml" ds:itemID="{9C7EA164-4079-420F-B1F9-256956FF71D6}"/>
</file>

<file path=docProps/app.xml><?xml version="1.0" encoding="utf-8"?>
<Properties xmlns="http://schemas.openxmlformats.org/officeDocument/2006/extended-properties" xmlns:vt="http://schemas.openxmlformats.org/officeDocument/2006/docPropsVTypes">
  <Template>Normal.dotm</Template>
  <TotalTime>2</TotalTime>
  <Pages>6</Pages>
  <Words>2473</Words>
  <Characters>13311</Characters>
  <Application>Microsoft Office Word</Application>
  <DocSecurity>0</DocSecurity>
  <Lines>261</Lines>
  <Paragraphs>93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enlace opcional _5 Nota Técnica de la PPP Hospital Metropolitano</dc:title>
  <dc:creator>IADB</dc:creator>
  <cp:lastModifiedBy>Inter-American Development Bank</cp:lastModifiedBy>
  <cp:revision>4</cp:revision>
  <dcterms:created xsi:type="dcterms:W3CDTF">2015-06-24T19:54:00Z</dcterms:created>
  <dcterms:modified xsi:type="dcterms:W3CDTF">2015-07-02T21:39:00Z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0x01010046CF21643EE8D14686A648AA6DAD089200DA975974CC910D43B4A0FA0359B488E7</vt:lpwstr>
  </property>
  <property fmtid="{D5CDD505-2E9C-101B-9397-08002B2CF9AE}" pid="3" name="TaxKeyword">
    <vt:lpwstr/>
  </property>
  <property fmtid="{D5CDD505-2E9C-101B-9397-08002B2CF9AE}" pid="4" name="Function Operations IDB">
    <vt:lpwstr>4;#IDBDocs|cca77002-e150-4b2d-ab1f-1d7a7cdcae16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3;#Unclassified|a6dff32e-d477-44cd-a56b-85efe9e0a56c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3;#Unclassified|a6dff32e-d477-44cd-a56b-85efe9e0a56c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