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3B52E" w14:textId="77777777" w:rsidR="009352A8" w:rsidRPr="00E52C43" w:rsidRDefault="009352A8" w:rsidP="009352A8">
      <w:pPr>
        <w:spacing w:after="200" w:line="276" w:lineRule="auto"/>
        <w:rPr>
          <w:rFonts w:cs="Arial"/>
          <w:b/>
          <w:sz w:val="22"/>
          <w:szCs w:val="22"/>
          <w:lang w:val="es-ES"/>
        </w:rPr>
      </w:pPr>
      <w:r w:rsidRPr="00E52C43">
        <w:rPr>
          <w:rFonts w:cs="Arial"/>
          <w:noProof/>
          <w:sz w:val="22"/>
          <w:szCs w:val="22"/>
          <w:lang w:val="en-US"/>
        </w:rPr>
        <mc:AlternateContent>
          <mc:Choice Requires="wps">
            <w:drawing>
              <wp:anchor distT="36576" distB="36576" distL="36576" distR="36576" simplePos="0" relativeHeight="251659264" behindDoc="0" locked="0" layoutInCell="1" allowOverlap="1" wp14:anchorId="125D25AC" wp14:editId="1A7AFA9F">
                <wp:simplePos x="0" y="0"/>
                <wp:positionH relativeFrom="column">
                  <wp:posOffset>3538855</wp:posOffset>
                </wp:positionH>
                <wp:positionV relativeFrom="page">
                  <wp:posOffset>0</wp:posOffset>
                </wp:positionV>
                <wp:extent cx="3319145" cy="10125075"/>
                <wp:effectExtent l="0" t="0" r="8255" b="9525"/>
                <wp:wrapTight wrapText="bothSides">
                  <wp:wrapPolygon edited="0">
                    <wp:start x="0" y="0"/>
                    <wp:lineTo x="0" y="21566"/>
                    <wp:lineTo x="21488" y="21566"/>
                    <wp:lineTo x="21488"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145" cy="10125075"/>
                        </a:xfrm>
                        <a:prstGeom prst="rect">
                          <a:avLst/>
                        </a:prstGeom>
                        <a:solidFill>
                          <a:srgbClr val="153B5E"/>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278.65pt;margin-top:0;width:261.35pt;height:797.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" fillcolor="#153b5e" stroked="f">
                <v:textbox inset="2.88pt,2.88pt,2.88pt,2.88pt"/>
                <w10:wrap type="tight" anchory="page"/>
              </v:rect>
            </w:pict>
          </mc:Fallback>
        </mc:AlternateContent>
      </w:r>
    </w:p>
    <w:p w14:paraId="366A6480" w14:textId="77777777" w:rsidR="009352A8" w:rsidRPr="00E52C43" w:rsidRDefault="009352A8" w:rsidP="009352A8">
      <w:pPr>
        <w:rPr>
          <w:rFonts w:cs="Arial"/>
          <w:sz w:val="22"/>
          <w:szCs w:val="22"/>
          <w:lang w:val="es-ES"/>
        </w:rPr>
      </w:pPr>
      <w:r w:rsidRPr="00E52C43">
        <w:rPr>
          <w:rFonts w:cs="Arial"/>
          <w:noProof/>
          <w:sz w:val="22"/>
          <w:szCs w:val="22"/>
          <w:lang w:val="en-US"/>
        </w:rPr>
        <w:drawing>
          <wp:inline distT="0" distB="0" distL="0" distR="0" wp14:anchorId="7AED7602" wp14:editId="02D5192D">
            <wp:extent cx="2971800" cy="1371600"/>
            <wp:effectExtent l="0" t="0" r="0" b="0"/>
            <wp:docPr id="8" name="Picture 8" descr="logo_email_english"/>
            <wp:cNvGraphicFramePr/>
            <a:graphic xmlns:a="http://schemas.openxmlformats.org/drawingml/2006/main">
              <a:graphicData uri="http://schemas.openxmlformats.org/drawingml/2006/picture">
                <pic:pic xmlns:pic="http://schemas.openxmlformats.org/drawingml/2006/picture">
                  <pic:nvPicPr>
                    <pic:cNvPr id="1" name="Picture 1" descr="logo_email_english"/>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371600"/>
                    </a:xfrm>
                    <a:prstGeom prst="rect">
                      <a:avLst/>
                    </a:prstGeom>
                    <a:noFill/>
                    <a:ln>
                      <a:noFill/>
                    </a:ln>
                  </pic:spPr>
                </pic:pic>
              </a:graphicData>
            </a:graphic>
          </wp:inline>
        </w:drawing>
      </w:r>
    </w:p>
    <w:p w14:paraId="2A9E6495" w14:textId="77777777" w:rsidR="009352A8" w:rsidRPr="00E52C43" w:rsidRDefault="009352A8" w:rsidP="009352A8">
      <w:pPr>
        <w:rPr>
          <w:rFonts w:cs="Arial"/>
          <w:sz w:val="22"/>
          <w:szCs w:val="22"/>
          <w:lang w:val="es-ES"/>
        </w:rPr>
      </w:pPr>
    </w:p>
    <w:p w14:paraId="1985790E" w14:textId="77777777" w:rsidR="009352A8" w:rsidRPr="00E52C43" w:rsidRDefault="009352A8" w:rsidP="009352A8">
      <w:pPr>
        <w:rPr>
          <w:rFonts w:cs="Arial"/>
          <w:sz w:val="22"/>
          <w:szCs w:val="22"/>
          <w:lang w:val="es-ES"/>
        </w:rPr>
      </w:pPr>
    </w:p>
    <w:p w14:paraId="3081C828" w14:textId="77777777" w:rsidR="009352A8" w:rsidRPr="00E52C43" w:rsidRDefault="009352A8" w:rsidP="009352A8">
      <w:pPr>
        <w:rPr>
          <w:rFonts w:cs="Arial"/>
          <w:sz w:val="22"/>
          <w:szCs w:val="22"/>
          <w:lang w:val="es-ES"/>
        </w:rPr>
      </w:pPr>
    </w:p>
    <w:p w14:paraId="7DE8779A" w14:textId="77777777" w:rsidR="009352A8" w:rsidRPr="00E52C43" w:rsidRDefault="009352A8" w:rsidP="009352A8">
      <w:pPr>
        <w:rPr>
          <w:rFonts w:cs="Arial"/>
          <w:sz w:val="22"/>
          <w:szCs w:val="22"/>
          <w:lang w:val="es-ES"/>
        </w:rPr>
      </w:pPr>
    </w:p>
    <w:p w14:paraId="5A413D50" w14:textId="77777777" w:rsidR="009352A8" w:rsidRPr="00E52C43" w:rsidRDefault="009352A8" w:rsidP="009352A8">
      <w:pPr>
        <w:rPr>
          <w:rFonts w:cs="Arial"/>
          <w:sz w:val="22"/>
          <w:szCs w:val="22"/>
          <w:lang w:val="es-ES"/>
        </w:rPr>
      </w:pPr>
    </w:p>
    <w:p w14:paraId="13DA1556" w14:textId="77777777" w:rsidR="009352A8" w:rsidRPr="00E52C43" w:rsidRDefault="009352A8" w:rsidP="009352A8">
      <w:pPr>
        <w:rPr>
          <w:rFonts w:cs="Arial"/>
          <w:sz w:val="22"/>
          <w:szCs w:val="22"/>
          <w:lang w:val="es-ES"/>
        </w:rPr>
      </w:pPr>
    </w:p>
    <w:p w14:paraId="30712D9B" w14:textId="77777777" w:rsidR="009352A8" w:rsidRPr="00E52C43" w:rsidRDefault="009352A8" w:rsidP="009352A8">
      <w:pPr>
        <w:rPr>
          <w:rFonts w:cs="Arial"/>
          <w:sz w:val="22"/>
          <w:szCs w:val="22"/>
          <w:lang w:val="es-ES"/>
        </w:rPr>
      </w:pPr>
    </w:p>
    <w:p w14:paraId="00EF50FB" w14:textId="77777777" w:rsidR="009352A8" w:rsidRPr="00E52C43" w:rsidRDefault="009352A8" w:rsidP="009352A8">
      <w:pPr>
        <w:rPr>
          <w:rFonts w:cs="Arial"/>
          <w:sz w:val="22"/>
          <w:szCs w:val="22"/>
          <w:lang w:val="es-ES"/>
        </w:rPr>
      </w:pPr>
    </w:p>
    <w:p w14:paraId="78024D1A" w14:textId="77777777" w:rsidR="009352A8" w:rsidRPr="00E52C43" w:rsidRDefault="00A27347" w:rsidP="009352A8">
      <w:pPr>
        <w:rPr>
          <w:rFonts w:cs="Arial"/>
          <w:sz w:val="22"/>
          <w:szCs w:val="22"/>
          <w:lang w:val="es-ES"/>
        </w:rPr>
      </w:pPr>
      <w:r w:rsidRPr="00E52C43">
        <w:rPr>
          <w:rFonts w:cs="Arial"/>
          <w:noProof/>
          <w:sz w:val="22"/>
          <w:szCs w:val="22"/>
          <w:lang w:val="en-US"/>
        </w:rPr>
        <mc:AlternateContent>
          <mc:Choice Requires="wps">
            <w:drawing>
              <wp:anchor distT="0" distB="0" distL="114300" distR="114300" simplePos="0" relativeHeight="251660288" behindDoc="0" locked="0" layoutInCell="1" allowOverlap="1" wp14:anchorId="44337CEF" wp14:editId="064CAF67">
                <wp:simplePos x="0" y="0"/>
                <wp:positionH relativeFrom="column">
                  <wp:posOffset>-342900</wp:posOffset>
                </wp:positionH>
                <wp:positionV relativeFrom="paragraph">
                  <wp:posOffset>98425</wp:posOffset>
                </wp:positionV>
                <wp:extent cx="3352800" cy="27717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771775"/>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97B7E" w14:textId="77777777" w:rsidR="00136578" w:rsidRPr="00740026" w:rsidRDefault="00136578" w:rsidP="009352A8">
                            <w:pPr>
                              <w:spacing w:before="120" w:after="120"/>
                              <w:rPr>
                                <w:rFonts w:cs="Arial"/>
                                <w:b/>
                                <w:bCs/>
                                <w:sz w:val="44"/>
                                <w:lang w:val="es-ES"/>
                              </w:rPr>
                            </w:pPr>
                            <w:r>
                              <w:rPr>
                                <w:rFonts w:cs="Arial"/>
                                <w:b/>
                                <w:bCs/>
                                <w:sz w:val="44"/>
                                <w:lang w:val="es-ES"/>
                              </w:rPr>
                              <w:t>Plan de Monitoreo y Evaluación</w:t>
                            </w:r>
                          </w:p>
                          <w:p w14:paraId="16E353FD" w14:textId="77777777" w:rsidR="00136578" w:rsidRPr="00F46846" w:rsidRDefault="00136578" w:rsidP="009352A8">
                            <w:pPr>
                              <w:spacing w:before="120" w:after="120"/>
                              <w:rPr>
                                <w:rFonts w:cs="Arial"/>
                                <w:smallCaps/>
                                <w:sz w:val="32"/>
                                <w:szCs w:val="32"/>
                              </w:rPr>
                            </w:pPr>
                            <w:r w:rsidRPr="00F46846">
                              <w:rPr>
                                <w:rFonts w:cs="Arial"/>
                                <w:smallCaps/>
                                <w:sz w:val="32"/>
                                <w:szCs w:val="32"/>
                              </w:rPr>
                              <w:t>BR-L1408 PROGRAMA DE EXPANSIÓN Y MEJORA DE LA ATENCIÓN ESPECIALIZADA EN SALUD EN EL ESTADO DE CEARÁ PROEXMAES II</w:t>
                            </w:r>
                          </w:p>
                          <w:p w14:paraId="2A19C1C4" w14:textId="77777777" w:rsidR="00136578" w:rsidRPr="00740026" w:rsidRDefault="00136578" w:rsidP="009352A8">
                            <w:pPr>
                              <w:spacing w:before="120" w:after="120"/>
                              <w:rPr>
                                <w:rFonts w:cs="Arial"/>
                                <w:bCs/>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7" o:spid="_x0000_s1026" type="#_x0000_t202" style="position:absolute;margin-left:-26.95pt;margin-top:7.75pt;width:264pt;height:2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" filled="f" fillcolor="navy" stroked="f">
                <v:textbox>
                  <w:txbxContent>
                    <w:p w:rsidR="005C4277" w:rsidRPr="00740026" w:rsidRDefault="005C4277" w:rsidP="009352A8">
                      <w:pPr>
                        <w:spacing w:before="120" w:after="120"/>
                        <w:rPr>
                          <w:rFonts w:cs="Arial"/>
                          <w:b/>
                          <w:bCs/>
                          <w:sz w:val="44"/>
                          <w:lang w:val="es-ES"/>
                        </w:rPr>
                      </w:pPr>
                      <w:r>
                        <w:rPr>
                          <w:rFonts w:cs="Arial"/>
                          <w:b/>
                          <w:bCs/>
                          <w:sz w:val="44"/>
                          <w:lang w:val="es-ES"/>
                        </w:rPr>
                        <w:t>Plan de Monitoreo y Evaluación</w:t>
                      </w:r>
                    </w:p>
                    <w:p w:rsidR="005C4277" w:rsidRPr="00F46846" w:rsidRDefault="005C4277" w:rsidP="009352A8">
                      <w:pPr>
                        <w:spacing w:before="120" w:after="120"/>
                        <w:rPr>
                          <w:rFonts w:cs="Arial"/>
                          <w:smallCaps/>
                          <w:sz w:val="32"/>
                          <w:szCs w:val="32"/>
                        </w:rPr>
                      </w:pPr>
                      <w:r w:rsidRPr="00F46846">
                        <w:rPr>
                          <w:rFonts w:cs="Arial"/>
                          <w:smallCaps/>
                          <w:sz w:val="32"/>
                          <w:szCs w:val="32"/>
                        </w:rPr>
                        <w:t>BR-L1408 PROGRAMA DE EXPANSIÓN Y MEJORA DE LA ATENCIÓN ESPECIALIZADA EN SALUD EN EL ESTADO DE CEARÁ PROEXMAES II</w:t>
                      </w:r>
                    </w:p>
                    <w:p w:rsidR="005C4277" w:rsidRPr="00740026" w:rsidRDefault="005C4277" w:rsidP="009352A8">
                      <w:pPr>
                        <w:spacing w:before="120" w:after="120"/>
                        <w:rPr>
                          <w:rFonts w:cs="Arial"/>
                          <w:bCs/>
                          <w:sz w:val="44"/>
                        </w:rPr>
                      </w:pPr>
                    </w:p>
                  </w:txbxContent>
                </v:textbox>
                <w10:wrap type="square"/>
              </v:shape>
            </w:pict>
          </mc:Fallback>
        </mc:AlternateContent>
      </w:r>
    </w:p>
    <w:p w14:paraId="0B54C6D3" w14:textId="77777777" w:rsidR="009352A8" w:rsidRPr="00E52C43" w:rsidRDefault="009352A8" w:rsidP="009352A8">
      <w:pPr>
        <w:rPr>
          <w:rFonts w:cs="Arial"/>
          <w:sz w:val="22"/>
          <w:szCs w:val="22"/>
          <w:lang w:val="es-ES"/>
        </w:rPr>
      </w:pPr>
    </w:p>
    <w:p w14:paraId="4E5C4CB7" w14:textId="77777777" w:rsidR="009352A8" w:rsidRPr="00E52C43" w:rsidRDefault="009352A8" w:rsidP="009352A8">
      <w:pPr>
        <w:rPr>
          <w:rFonts w:cs="Arial"/>
          <w:sz w:val="22"/>
          <w:szCs w:val="22"/>
          <w:lang w:val="es-ES"/>
        </w:rPr>
      </w:pPr>
    </w:p>
    <w:p w14:paraId="45F7EDEF" w14:textId="77777777" w:rsidR="009352A8" w:rsidRPr="00E52C43" w:rsidRDefault="009352A8" w:rsidP="009352A8">
      <w:pPr>
        <w:rPr>
          <w:rFonts w:cs="Arial"/>
          <w:sz w:val="22"/>
          <w:szCs w:val="22"/>
          <w:lang w:val="es-ES"/>
        </w:rPr>
      </w:pPr>
    </w:p>
    <w:p w14:paraId="536FC16A" w14:textId="77777777" w:rsidR="009352A8" w:rsidRPr="00E52C43" w:rsidRDefault="009352A8" w:rsidP="009352A8">
      <w:pPr>
        <w:rPr>
          <w:rFonts w:cs="Arial"/>
          <w:sz w:val="22"/>
          <w:szCs w:val="22"/>
          <w:lang w:val="es-ES"/>
        </w:rPr>
      </w:pPr>
    </w:p>
    <w:p w14:paraId="015BE650" w14:textId="77777777" w:rsidR="009352A8" w:rsidRPr="00E52C43" w:rsidRDefault="009352A8" w:rsidP="009352A8">
      <w:pPr>
        <w:rPr>
          <w:rFonts w:cs="Arial"/>
          <w:sz w:val="22"/>
          <w:szCs w:val="22"/>
          <w:lang w:val="es-ES"/>
        </w:rPr>
      </w:pPr>
    </w:p>
    <w:p w14:paraId="3D9F46A2" w14:textId="77777777" w:rsidR="009352A8" w:rsidRPr="00E52C43" w:rsidRDefault="009352A8" w:rsidP="009352A8">
      <w:pPr>
        <w:rPr>
          <w:rFonts w:cs="Arial"/>
          <w:sz w:val="22"/>
          <w:szCs w:val="22"/>
          <w:lang w:val="es-ES"/>
        </w:rPr>
      </w:pPr>
    </w:p>
    <w:p w14:paraId="226577D7" w14:textId="77777777" w:rsidR="009352A8" w:rsidRPr="00E52C43" w:rsidRDefault="009352A8" w:rsidP="009352A8">
      <w:pPr>
        <w:rPr>
          <w:rFonts w:cs="Arial"/>
          <w:sz w:val="22"/>
          <w:szCs w:val="22"/>
          <w:lang w:val="es-ES"/>
        </w:rPr>
      </w:pPr>
    </w:p>
    <w:p w14:paraId="29B340E2" w14:textId="77777777" w:rsidR="009352A8" w:rsidRPr="00E52C43" w:rsidRDefault="009352A8" w:rsidP="009352A8">
      <w:pPr>
        <w:rPr>
          <w:rFonts w:cs="Arial"/>
          <w:sz w:val="22"/>
          <w:szCs w:val="22"/>
          <w:lang w:val="es-ES"/>
        </w:rPr>
      </w:pPr>
    </w:p>
    <w:p w14:paraId="5CCCE668" w14:textId="77777777" w:rsidR="00A27347" w:rsidRPr="00E52C43" w:rsidRDefault="00A27347" w:rsidP="009352A8">
      <w:pPr>
        <w:tabs>
          <w:tab w:val="left" w:pos="1440"/>
          <w:tab w:val="left" w:pos="3060"/>
        </w:tabs>
        <w:spacing w:before="120" w:after="120"/>
        <w:jc w:val="both"/>
        <w:rPr>
          <w:rFonts w:cs="Arial"/>
          <w:b/>
          <w:smallCaps/>
          <w:sz w:val="22"/>
          <w:szCs w:val="22"/>
          <w:lang w:val="es-ES"/>
        </w:rPr>
      </w:pPr>
    </w:p>
    <w:p w14:paraId="3BB0087C" w14:textId="77777777" w:rsidR="00A27347" w:rsidRPr="00E52C43" w:rsidRDefault="00A27347" w:rsidP="009352A8">
      <w:pPr>
        <w:tabs>
          <w:tab w:val="left" w:pos="1440"/>
          <w:tab w:val="left" w:pos="3060"/>
        </w:tabs>
        <w:spacing w:before="120" w:after="120"/>
        <w:jc w:val="both"/>
        <w:rPr>
          <w:rFonts w:cs="Arial"/>
          <w:b/>
          <w:smallCaps/>
          <w:sz w:val="22"/>
          <w:szCs w:val="22"/>
          <w:lang w:val="es-ES"/>
        </w:rPr>
      </w:pPr>
    </w:p>
    <w:p w14:paraId="6B425BAE" w14:textId="77777777" w:rsidR="00A27347" w:rsidRPr="00E52C43" w:rsidRDefault="00A27347" w:rsidP="009352A8">
      <w:pPr>
        <w:tabs>
          <w:tab w:val="left" w:pos="1440"/>
          <w:tab w:val="left" w:pos="3060"/>
        </w:tabs>
        <w:spacing w:before="120" w:after="120"/>
        <w:jc w:val="both"/>
        <w:rPr>
          <w:rFonts w:cs="Arial"/>
          <w:b/>
          <w:smallCaps/>
          <w:sz w:val="22"/>
          <w:szCs w:val="22"/>
          <w:lang w:val="es-ES"/>
        </w:rPr>
      </w:pPr>
    </w:p>
    <w:p w14:paraId="6BC40BDC" w14:textId="77777777" w:rsidR="00A27347" w:rsidRPr="00E52C43" w:rsidRDefault="00A27347" w:rsidP="009352A8">
      <w:pPr>
        <w:tabs>
          <w:tab w:val="left" w:pos="1440"/>
          <w:tab w:val="left" w:pos="3060"/>
        </w:tabs>
        <w:spacing w:before="120" w:after="120"/>
        <w:jc w:val="both"/>
        <w:rPr>
          <w:rFonts w:cs="Arial"/>
          <w:b/>
          <w:smallCaps/>
          <w:sz w:val="22"/>
          <w:szCs w:val="22"/>
          <w:lang w:val="es-ES"/>
        </w:rPr>
      </w:pPr>
    </w:p>
    <w:p w14:paraId="5B07D541" w14:textId="77777777" w:rsidR="00A27347" w:rsidRPr="00E52C43" w:rsidRDefault="00A27347" w:rsidP="009352A8">
      <w:pPr>
        <w:tabs>
          <w:tab w:val="left" w:pos="1440"/>
          <w:tab w:val="left" w:pos="3060"/>
        </w:tabs>
        <w:spacing w:before="120" w:after="120"/>
        <w:jc w:val="both"/>
        <w:rPr>
          <w:rFonts w:cs="Arial"/>
          <w:b/>
          <w:smallCaps/>
          <w:sz w:val="22"/>
          <w:szCs w:val="22"/>
          <w:lang w:val="es-ES"/>
        </w:rPr>
      </w:pPr>
    </w:p>
    <w:p w14:paraId="568D12D3" w14:textId="77777777" w:rsidR="00A27347" w:rsidRPr="00E52C43" w:rsidRDefault="00A27347" w:rsidP="009352A8">
      <w:pPr>
        <w:tabs>
          <w:tab w:val="left" w:pos="1440"/>
          <w:tab w:val="left" w:pos="3060"/>
        </w:tabs>
        <w:spacing w:before="120" w:after="120"/>
        <w:jc w:val="both"/>
        <w:rPr>
          <w:rFonts w:cs="Arial"/>
          <w:b/>
          <w:smallCaps/>
          <w:sz w:val="22"/>
          <w:szCs w:val="22"/>
          <w:lang w:val="es-ES"/>
        </w:rPr>
      </w:pPr>
    </w:p>
    <w:p w14:paraId="7D181E49" w14:textId="77777777" w:rsidR="009352A8" w:rsidRPr="00E52C43" w:rsidRDefault="009352A8" w:rsidP="009352A8">
      <w:pPr>
        <w:tabs>
          <w:tab w:val="left" w:pos="1440"/>
          <w:tab w:val="left" w:pos="3060"/>
        </w:tabs>
        <w:spacing w:before="120" w:after="120"/>
        <w:jc w:val="both"/>
        <w:rPr>
          <w:rFonts w:cs="Arial"/>
          <w:b/>
          <w:smallCaps/>
          <w:sz w:val="22"/>
          <w:szCs w:val="22"/>
          <w:lang w:val="es-ES"/>
        </w:rPr>
      </w:pPr>
      <w:r w:rsidRPr="00E52C43">
        <w:rPr>
          <w:rFonts w:cs="Arial"/>
          <w:b/>
          <w:smallCaps/>
          <w:sz w:val="22"/>
          <w:szCs w:val="22"/>
          <w:lang w:val="es-ES"/>
        </w:rPr>
        <w:t>Junio 2015</w:t>
      </w:r>
    </w:p>
    <w:p w14:paraId="214EDD78" w14:textId="77777777" w:rsidR="002F1337" w:rsidRPr="00E52C43" w:rsidRDefault="002F1337" w:rsidP="009352A8">
      <w:pPr>
        <w:tabs>
          <w:tab w:val="left" w:pos="1440"/>
          <w:tab w:val="left" w:pos="3060"/>
        </w:tabs>
        <w:spacing w:before="120" w:after="120"/>
        <w:jc w:val="both"/>
        <w:rPr>
          <w:rFonts w:cs="Arial"/>
          <w:b/>
          <w:smallCaps/>
          <w:sz w:val="22"/>
          <w:szCs w:val="22"/>
          <w:lang w:val="es-ES"/>
        </w:rPr>
      </w:pPr>
    </w:p>
    <w:p w14:paraId="6992FD50" w14:textId="77777777" w:rsidR="002F1337" w:rsidRPr="00E52C43" w:rsidRDefault="002F1337" w:rsidP="009352A8">
      <w:pPr>
        <w:tabs>
          <w:tab w:val="left" w:pos="1440"/>
          <w:tab w:val="left" w:pos="3060"/>
        </w:tabs>
        <w:spacing w:before="120" w:after="120"/>
        <w:jc w:val="both"/>
        <w:rPr>
          <w:rFonts w:cs="Arial"/>
          <w:b/>
          <w:smallCaps/>
          <w:sz w:val="22"/>
          <w:szCs w:val="22"/>
          <w:lang w:val="es-ES"/>
        </w:rPr>
      </w:pPr>
      <w:r w:rsidRPr="00E52C43">
        <w:rPr>
          <w:rFonts w:cs="Arial"/>
          <w:b/>
          <w:smallCaps/>
          <w:sz w:val="22"/>
          <w:szCs w:val="22"/>
          <w:lang w:val="es-ES"/>
        </w:rPr>
        <w:t>Documento preparado por Nadin Medellin</w:t>
      </w:r>
    </w:p>
    <w:p w14:paraId="470CD328" w14:textId="77777777" w:rsidR="002F1337" w:rsidRPr="00E52C43" w:rsidRDefault="002F1337" w:rsidP="009352A8">
      <w:pPr>
        <w:tabs>
          <w:tab w:val="left" w:pos="1440"/>
          <w:tab w:val="left" w:pos="3060"/>
        </w:tabs>
        <w:spacing w:before="120" w:after="120"/>
        <w:jc w:val="both"/>
        <w:rPr>
          <w:rFonts w:cs="Arial"/>
          <w:b/>
          <w:smallCaps/>
          <w:sz w:val="22"/>
          <w:szCs w:val="22"/>
          <w:lang w:val="es-ES"/>
        </w:rPr>
      </w:pPr>
      <w:r w:rsidRPr="00E52C43">
        <w:rPr>
          <w:rFonts w:cs="Arial"/>
          <w:b/>
          <w:smallCaps/>
          <w:sz w:val="22"/>
          <w:szCs w:val="22"/>
          <w:lang w:val="es-ES"/>
        </w:rPr>
        <w:t>y Pablo Ibarraran</w:t>
      </w:r>
    </w:p>
    <w:p w14:paraId="520D915A" w14:textId="77777777" w:rsidR="002F1337" w:rsidRPr="00E52C43" w:rsidRDefault="002F1337" w:rsidP="009352A8">
      <w:pPr>
        <w:tabs>
          <w:tab w:val="left" w:pos="1440"/>
          <w:tab w:val="left" w:pos="3060"/>
        </w:tabs>
        <w:spacing w:before="120" w:after="120"/>
        <w:jc w:val="both"/>
        <w:rPr>
          <w:rFonts w:cs="Arial"/>
          <w:b/>
          <w:smallCaps/>
          <w:sz w:val="22"/>
          <w:szCs w:val="22"/>
          <w:lang w:val="es-ES"/>
        </w:rPr>
      </w:pPr>
    </w:p>
    <w:p w14:paraId="6D8E1225" w14:textId="77777777" w:rsidR="009352A8" w:rsidRPr="00E52C43" w:rsidRDefault="009352A8" w:rsidP="009352A8">
      <w:pPr>
        <w:rPr>
          <w:rFonts w:cs="Arial"/>
          <w:sz w:val="22"/>
          <w:szCs w:val="22"/>
          <w:lang w:val="es-ES"/>
        </w:rPr>
      </w:pPr>
    </w:p>
    <w:p w14:paraId="7E5AF738" w14:textId="77777777" w:rsidR="009352A8" w:rsidRPr="00E52C43" w:rsidRDefault="009352A8" w:rsidP="009352A8">
      <w:pPr>
        <w:rPr>
          <w:rFonts w:cs="Arial"/>
          <w:sz w:val="22"/>
          <w:szCs w:val="22"/>
          <w:lang w:val="es-ES"/>
        </w:rPr>
      </w:pPr>
    </w:p>
    <w:p w14:paraId="02CB2133" w14:textId="77777777" w:rsidR="009352A8" w:rsidRPr="00E52C43" w:rsidRDefault="009352A8" w:rsidP="008E7742">
      <w:pPr>
        <w:pStyle w:val="ColorfulList-Accent11"/>
        <w:ind w:left="1080"/>
        <w:jc w:val="center"/>
        <w:rPr>
          <w:rFonts w:ascii="Arial" w:hAnsi="Arial" w:cs="Arial"/>
          <w:smallCaps/>
          <w:lang w:val="es-ES"/>
        </w:rPr>
      </w:pPr>
    </w:p>
    <w:p w14:paraId="45C54CC3" w14:textId="77777777" w:rsidR="009352A8" w:rsidRPr="00E52C43" w:rsidRDefault="009352A8" w:rsidP="008E7742">
      <w:pPr>
        <w:pStyle w:val="ColorfulList-Accent11"/>
        <w:ind w:left="1080"/>
        <w:jc w:val="center"/>
        <w:rPr>
          <w:rFonts w:ascii="Arial" w:hAnsi="Arial" w:cs="Arial"/>
          <w:smallCaps/>
          <w:lang w:val="es-ES"/>
        </w:rPr>
      </w:pPr>
    </w:p>
    <w:p w14:paraId="3D1EA744" w14:textId="77777777" w:rsidR="009352A8" w:rsidRPr="00E52C43" w:rsidRDefault="009352A8" w:rsidP="008E7742">
      <w:pPr>
        <w:pStyle w:val="ColorfulList-Accent11"/>
        <w:ind w:left="1080"/>
        <w:jc w:val="center"/>
        <w:rPr>
          <w:rFonts w:ascii="Arial" w:hAnsi="Arial" w:cs="Arial"/>
          <w:smallCaps/>
          <w:lang w:val="es-ES"/>
        </w:rPr>
      </w:pPr>
    </w:p>
    <w:p w14:paraId="5C039EB0" w14:textId="77777777" w:rsidR="009352A8" w:rsidRPr="00E52C43" w:rsidRDefault="009352A8" w:rsidP="008E7742">
      <w:pPr>
        <w:pStyle w:val="ColorfulList-Accent11"/>
        <w:ind w:left="1080"/>
        <w:jc w:val="center"/>
        <w:rPr>
          <w:rFonts w:ascii="Arial" w:hAnsi="Arial" w:cs="Arial"/>
          <w:smallCaps/>
          <w:lang w:val="es-ES"/>
        </w:rPr>
      </w:pPr>
    </w:p>
    <w:p w14:paraId="11EBAE9E" w14:textId="77777777" w:rsidR="00124650" w:rsidRPr="00E52C43" w:rsidRDefault="00124650" w:rsidP="008E7742">
      <w:pPr>
        <w:pStyle w:val="ColorfulList-Accent11"/>
        <w:ind w:left="1080"/>
        <w:jc w:val="center"/>
        <w:rPr>
          <w:rFonts w:ascii="Arial" w:hAnsi="Arial" w:cs="Arial"/>
          <w:smallCaps/>
          <w:lang w:val="es-ES"/>
        </w:rPr>
      </w:pPr>
    </w:p>
    <w:p w14:paraId="19968D5C" w14:textId="77777777" w:rsidR="008E7742" w:rsidRPr="00E52C43" w:rsidRDefault="008E7742" w:rsidP="00124650">
      <w:pPr>
        <w:pStyle w:val="ColorfulList-Accent11"/>
        <w:ind w:left="0"/>
        <w:jc w:val="center"/>
        <w:rPr>
          <w:rFonts w:ascii="Arial" w:hAnsi="Arial" w:cs="Arial"/>
          <w:b/>
          <w:smallCaps/>
          <w:lang w:val="es-ES"/>
        </w:rPr>
      </w:pPr>
      <w:r w:rsidRPr="00E52C43">
        <w:rPr>
          <w:rFonts w:ascii="Arial" w:hAnsi="Arial" w:cs="Arial"/>
          <w:b/>
          <w:smallCaps/>
          <w:lang w:val="es-ES"/>
        </w:rPr>
        <w:lastRenderedPageBreak/>
        <w:t>Índice</w:t>
      </w:r>
    </w:p>
    <w:p w14:paraId="3FB9D179" w14:textId="77777777" w:rsidR="00F46846" w:rsidRPr="00E52C43" w:rsidRDefault="00F46846" w:rsidP="008E7742">
      <w:pPr>
        <w:pStyle w:val="ColorfulList-Accent11"/>
        <w:ind w:left="0"/>
        <w:jc w:val="both"/>
        <w:rPr>
          <w:rFonts w:ascii="Arial" w:hAnsi="Arial" w:cs="Arial"/>
          <w:lang w:val="es-ES"/>
        </w:rPr>
      </w:pPr>
    </w:p>
    <w:p w14:paraId="56A5DAA2" w14:textId="77777777" w:rsidR="00F46846" w:rsidRPr="00E52C43" w:rsidRDefault="00F46846" w:rsidP="008E7742">
      <w:pPr>
        <w:pStyle w:val="ColorfulList-Accent11"/>
        <w:ind w:left="0"/>
        <w:jc w:val="both"/>
        <w:rPr>
          <w:rFonts w:ascii="Arial" w:hAnsi="Arial" w:cs="Arial"/>
          <w:lang w:val="es-ES"/>
        </w:rPr>
      </w:pPr>
    </w:p>
    <w:p w14:paraId="33C1643A" w14:textId="77777777" w:rsidR="008E7742" w:rsidRPr="00E52C43" w:rsidRDefault="008E7742" w:rsidP="008E7742">
      <w:pPr>
        <w:pStyle w:val="ColorfulList-Accent11"/>
        <w:ind w:left="0"/>
        <w:jc w:val="both"/>
        <w:rPr>
          <w:rFonts w:ascii="Arial" w:hAnsi="Arial" w:cs="Arial"/>
          <w:lang w:val="es-ES"/>
        </w:rPr>
      </w:pPr>
      <w:r w:rsidRPr="00E52C43">
        <w:rPr>
          <w:rFonts w:ascii="Arial" w:hAnsi="Arial" w:cs="Arial"/>
          <w:lang w:val="es-ES"/>
        </w:rPr>
        <w:t>Plan de Seguimiento y Evaluación</w:t>
      </w:r>
    </w:p>
    <w:p w14:paraId="1D2EC3B6" w14:textId="77777777" w:rsidR="008E7742" w:rsidRPr="00E52C43" w:rsidRDefault="008E7742" w:rsidP="008E7742">
      <w:pPr>
        <w:pStyle w:val="ColorfulList-Accent11"/>
        <w:ind w:left="0"/>
        <w:jc w:val="both"/>
        <w:rPr>
          <w:rFonts w:ascii="Arial" w:hAnsi="Arial" w:cs="Arial"/>
          <w:lang w:val="es-ES"/>
        </w:rPr>
      </w:pPr>
    </w:p>
    <w:p w14:paraId="2616F143" w14:textId="77777777" w:rsidR="008E7742" w:rsidRPr="00E52C43" w:rsidRDefault="008E7742" w:rsidP="008E7742">
      <w:pPr>
        <w:pStyle w:val="ColorfulList-Accent11"/>
        <w:numPr>
          <w:ilvl w:val="0"/>
          <w:numId w:val="1"/>
        </w:numPr>
        <w:jc w:val="both"/>
        <w:rPr>
          <w:rFonts w:ascii="Arial" w:hAnsi="Arial" w:cs="Arial"/>
          <w:lang w:val="es-ES"/>
        </w:rPr>
      </w:pPr>
      <w:r w:rsidRPr="00E52C43">
        <w:rPr>
          <w:rFonts w:ascii="Arial" w:hAnsi="Arial" w:cs="Arial"/>
          <w:lang w:val="es-ES"/>
        </w:rPr>
        <w:t>Introducción</w:t>
      </w:r>
    </w:p>
    <w:p w14:paraId="59327081" w14:textId="77777777" w:rsidR="008E7742" w:rsidRPr="00E52C43" w:rsidRDefault="008E7742" w:rsidP="00124650">
      <w:pPr>
        <w:pStyle w:val="ColorfulList-Accent11"/>
        <w:numPr>
          <w:ilvl w:val="1"/>
          <w:numId w:val="1"/>
        </w:numPr>
        <w:jc w:val="both"/>
        <w:rPr>
          <w:rFonts w:ascii="Arial" w:hAnsi="Arial" w:cs="Arial"/>
          <w:lang w:val="es-ES"/>
        </w:rPr>
      </w:pPr>
      <w:r w:rsidRPr="00E52C43">
        <w:rPr>
          <w:rFonts w:ascii="Arial" w:hAnsi="Arial" w:cs="Arial"/>
          <w:lang w:val="es-ES"/>
        </w:rPr>
        <w:t>Anteced</w:t>
      </w:r>
      <w:r w:rsidR="00FE7597" w:rsidRPr="00E52C43">
        <w:rPr>
          <w:rFonts w:ascii="Arial" w:hAnsi="Arial" w:cs="Arial"/>
          <w:lang w:val="es-ES"/>
        </w:rPr>
        <w:t>entes</w:t>
      </w:r>
      <w:r w:rsidR="00124650" w:rsidRPr="00E52C43">
        <w:rPr>
          <w:rFonts w:ascii="Arial" w:hAnsi="Arial" w:cs="Arial"/>
          <w:lang w:val="es-ES"/>
        </w:rPr>
        <w:t>: el reto en materia de salud en Ceará</w:t>
      </w:r>
    </w:p>
    <w:p w14:paraId="7F12E48B" w14:textId="77777777" w:rsidR="008E7742" w:rsidRPr="00E52C43" w:rsidRDefault="008E7742" w:rsidP="008E7742">
      <w:pPr>
        <w:pStyle w:val="ColorfulList-Accent11"/>
        <w:numPr>
          <w:ilvl w:val="1"/>
          <w:numId w:val="1"/>
        </w:numPr>
        <w:jc w:val="both"/>
        <w:rPr>
          <w:rFonts w:ascii="Arial" w:hAnsi="Arial" w:cs="Arial"/>
          <w:lang w:val="es-ES"/>
        </w:rPr>
      </w:pPr>
      <w:r w:rsidRPr="00E52C43">
        <w:rPr>
          <w:rFonts w:ascii="Arial" w:hAnsi="Arial" w:cs="Arial"/>
          <w:lang w:val="es-ES"/>
        </w:rPr>
        <w:t>Objetivos, componentes y costo</w:t>
      </w:r>
    </w:p>
    <w:p w14:paraId="12D6A6FA" w14:textId="77777777" w:rsidR="008E7742" w:rsidRPr="00E52C43" w:rsidRDefault="008E7742" w:rsidP="008E7742">
      <w:pPr>
        <w:pStyle w:val="ColorfulList-Accent11"/>
        <w:ind w:left="1080"/>
        <w:jc w:val="both"/>
        <w:rPr>
          <w:rFonts w:ascii="Arial" w:hAnsi="Arial" w:cs="Arial"/>
          <w:lang w:val="es-ES"/>
        </w:rPr>
      </w:pPr>
    </w:p>
    <w:p w14:paraId="4FD08FAC" w14:textId="77777777" w:rsidR="008E7742" w:rsidRPr="00E52C43" w:rsidRDefault="008E7742" w:rsidP="008E7742">
      <w:pPr>
        <w:pStyle w:val="ColorfulList-Accent11"/>
        <w:numPr>
          <w:ilvl w:val="0"/>
          <w:numId w:val="1"/>
        </w:numPr>
        <w:jc w:val="both"/>
        <w:rPr>
          <w:rFonts w:ascii="Arial" w:hAnsi="Arial" w:cs="Arial"/>
          <w:lang w:val="es-ES"/>
        </w:rPr>
      </w:pPr>
      <w:r w:rsidRPr="00E52C43">
        <w:rPr>
          <w:rFonts w:ascii="Arial" w:hAnsi="Arial" w:cs="Arial"/>
          <w:lang w:val="es-ES"/>
        </w:rPr>
        <w:t>Seguimiento</w:t>
      </w:r>
    </w:p>
    <w:p w14:paraId="0F24A4EF" w14:textId="77777777" w:rsidR="00124650" w:rsidRPr="00E52C43" w:rsidRDefault="00124650" w:rsidP="00124650">
      <w:pPr>
        <w:pStyle w:val="ColorfulList-Accent11"/>
        <w:ind w:left="1080"/>
        <w:jc w:val="both"/>
        <w:rPr>
          <w:rFonts w:ascii="Arial" w:hAnsi="Arial" w:cs="Arial"/>
          <w:lang w:val="es-ES"/>
        </w:rPr>
      </w:pPr>
    </w:p>
    <w:p w14:paraId="0BD82A70" w14:textId="77777777" w:rsidR="008E7742" w:rsidRPr="00E52C43" w:rsidRDefault="008E7742" w:rsidP="008E7742">
      <w:pPr>
        <w:pStyle w:val="ColorfulList-Accent11"/>
        <w:numPr>
          <w:ilvl w:val="1"/>
          <w:numId w:val="1"/>
        </w:numPr>
        <w:jc w:val="both"/>
        <w:rPr>
          <w:rFonts w:ascii="Arial" w:hAnsi="Arial" w:cs="Arial"/>
          <w:lang w:val="es-ES"/>
        </w:rPr>
      </w:pPr>
      <w:r w:rsidRPr="00E52C43">
        <w:rPr>
          <w:rFonts w:ascii="Arial" w:hAnsi="Arial" w:cs="Arial"/>
          <w:lang w:val="es-ES"/>
        </w:rPr>
        <w:t>Indicadores de Seguimiento</w:t>
      </w:r>
    </w:p>
    <w:p w14:paraId="7EE0B458" w14:textId="77777777" w:rsidR="008E7742" w:rsidRPr="00E52C43" w:rsidRDefault="008E7742" w:rsidP="008E7742">
      <w:pPr>
        <w:pStyle w:val="ColorfulList-Accent11"/>
        <w:numPr>
          <w:ilvl w:val="1"/>
          <w:numId w:val="1"/>
        </w:numPr>
        <w:jc w:val="both"/>
        <w:rPr>
          <w:rFonts w:ascii="Arial" w:hAnsi="Arial" w:cs="Arial"/>
          <w:lang w:val="es-ES"/>
        </w:rPr>
      </w:pPr>
      <w:r w:rsidRPr="00E52C43">
        <w:rPr>
          <w:rFonts w:ascii="Arial" w:hAnsi="Arial" w:cs="Arial"/>
          <w:lang w:val="es-ES"/>
        </w:rPr>
        <w:t xml:space="preserve">Definición y </w:t>
      </w:r>
      <w:r w:rsidR="00124650" w:rsidRPr="00E52C43">
        <w:rPr>
          <w:rFonts w:ascii="Arial" w:hAnsi="Arial" w:cs="Arial"/>
          <w:lang w:val="es-ES"/>
        </w:rPr>
        <w:t>seguimiento a</w:t>
      </w:r>
      <w:r w:rsidRPr="00E52C43">
        <w:rPr>
          <w:rFonts w:ascii="Arial" w:hAnsi="Arial" w:cs="Arial"/>
          <w:lang w:val="es-ES"/>
        </w:rPr>
        <w:t xml:space="preserve"> indicadores de resultados</w:t>
      </w:r>
    </w:p>
    <w:p w14:paraId="0D7393E0" w14:textId="77777777" w:rsidR="008E7742" w:rsidRPr="00E52C43" w:rsidRDefault="008E7742" w:rsidP="008E7742">
      <w:pPr>
        <w:pStyle w:val="ColorfulList-Accent11"/>
        <w:numPr>
          <w:ilvl w:val="1"/>
          <w:numId w:val="1"/>
        </w:numPr>
        <w:jc w:val="both"/>
        <w:rPr>
          <w:rFonts w:ascii="Arial" w:hAnsi="Arial" w:cs="Arial"/>
          <w:lang w:val="es-ES"/>
        </w:rPr>
      </w:pPr>
      <w:r w:rsidRPr="00E52C43">
        <w:rPr>
          <w:rFonts w:ascii="Arial" w:hAnsi="Arial" w:cs="Arial"/>
          <w:lang w:val="es-ES"/>
        </w:rPr>
        <w:t>Presentación de informes y cronogramas</w:t>
      </w:r>
    </w:p>
    <w:p w14:paraId="25FCAE40" w14:textId="77777777" w:rsidR="008E7742" w:rsidRPr="00E52C43" w:rsidRDefault="008E7742" w:rsidP="008E7742">
      <w:pPr>
        <w:pStyle w:val="ColorfulList-Accent11"/>
        <w:numPr>
          <w:ilvl w:val="1"/>
          <w:numId w:val="1"/>
        </w:numPr>
        <w:jc w:val="both"/>
        <w:rPr>
          <w:rFonts w:ascii="Arial" w:hAnsi="Arial" w:cs="Arial"/>
          <w:lang w:val="es-ES"/>
        </w:rPr>
      </w:pPr>
      <w:r w:rsidRPr="00E52C43">
        <w:rPr>
          <w:rFonts w:ascii="Arial" w:hAnsi="Arial" w:cs="Arial"/>
          <w:lang w:val="es-ES"/>
        </w:rPr>
        <w:t>Responsables y presupuesto</w:t>
      </w:r>
    </w:p>
    <w:p w14:paraId="69B597BA" w14:textId="77777777" w:rsidR="00BA3F54" w:rsidRPr="00E52C43" w:rsidRDefault="00BA3F54" w:rsidP="00BA3F54">
      <w:pPr>
        <w:pStyle w:val="ColorfulList-Accent11"/>
        <w:ind w:left="1440"/>
        <w:jc w:val="both"/>
        <w:rPr>
          <w:rFonts w:ascii="Arial" w:hAnsi="Arial" w:cs="Arial"/>
          <w:lang w:val="es-ES"/>
        </w:rPr>
      </w:pPr>
    </w:p>
    <w:p w14:paraId="768AA989" w14:textId="77777777" w:rsidR="008E7742" w:rsidRPr="00E52C43" w:rsidRDefault="008E7742" w:rsidP="008E7742">
      <w:pPr>
        <w:pStyle w:val="ColorfulList-Accent11"/>
        <w:numPr>
          <w:ilvl w:val="0"/>
          <w:numId w:val="1"/>
        </w:numPr>
        <w:jc w:val="both"/>
        <w:rPr>
          <w:rFonts w:ascii="Arial" w:hAnsi="Arial" w:cs="Arial"/>
          <w:lang w:val="es-ES"/>
        </w:rPr>
      </w:pPr>
      <w:r w:rsidRPr="00E52C43">
        <w:rPr>
          <w:rFonts w:ascii="Arial" w:hAnsi="Arial" w:cs="Arial"/>
          <w:lang w:val="es-ES"/>
        </w:rPr>
        <w:t>Evaluación</w:t>
      </w:r>
    </w:p>
    <w:p w14:paraId="4096ED59" w14:textId="77777777" w:rsidR="008E7742" w:rsidRPr="00E52C43" w:rsidRDefault="008E7742" w:rsidP="008E7742">
      <w:pPr>
        <w:pStyle w:val="ColorfulList-Accent11"/>
        <w:ind w:left="1080"/>
        <w:jc w:val="both"/>
        <w:rPr>
          <w:rFonts w:ascii="Arial" w:hAnsi="Arial" w:cs="Arial"/>
          <w:lang w:val="es-ES"/>
        </w:rPr>
      </w:pPr>
    </w:p>
    <w:p w14:paraId="791C3D7B" w14:textId="77777777" w:rsidR="008E7742" w:rsidRPr="00E52C43" w:rsidRDefault="008E7742" w:rsidP="008E7742">
      <w:pPr>
        <w:pStyle w:val="ColorfulList-Accent11"/>
        <w:numPr>
          <w:ilvl w:val="1"/>
          <w:numId w:val="1"/>
        </w:numPr>
        <w:jc w:val="both"/>
        <w:rPr>
          <w:rFonts w:ascii="Arial" w:hAnsi="Arial" w:cs="Arial"/>
          <w:lang w:val="es-ES"/>
        </w:rPr>
      </w:pPr>
      <w:r w:rsidRPr="00E52C43">
        <w:rPr>
          <w:rFonts w:ascii="Arial" w:hAnsi="Arial" w:cs="Arial"/>
          <w:lang w:val="es-ES"/>
        </w:rPr>
        <w:t>Principales indicadores</w:t>
      </w:r>
    </w:p>
    <w:p w14:paraId="4B6F82D5" w14:textId="77777777" w:rsidR="008E7742" w:rsidRPr="00E52C43" w:rsidRDefault="008E7742" w:rsidP="008E7742">
      <w:pPr>
        <w:pStyle w:val="ColorfulList-Accent11"/>
        <w:numPr>
          <w:ilvl w:val="1"/>
          <w:numId w:val="1"/>
        </w:numPr>
        <w:jc w:val="both"/>
        <w:rPr>
          <w:rFonts w:ascii="Arial" w:hAnsi="Arial" w:cs="Arial"/>
          <w:lang w:val="es-ES"/>
        </w:rPr>
      </w:pPr>
      <w:r w:rsidRPr="00E52C43">
        <w:rPr>
          <w:rFonts w:ascii="Arial" w:hAnsi="Arial" w:cs="Arial"/>
          <w:lang w:val="es-ES"/>
        </w:rPr>
        <w:t xml:space="preserve">Contexto y antecedentes para la evaluación </w:t>
      </w:r>
    </w:p>
    <w:p w14:paraId="0FFAF5A1" w14:textId="77777777" w:rsidR="008E7742" w:rsidRPr="00E52C43" w:rsidRDefault="008E7742" w:rsidP="008E7742">
      <w:pPr>
        <w:pStyle w:val="ColorfulList-Accent11"/>
        <w:numPr>
          <w:ilvl w:val="1"/>
          <w:numId w:val="1"/>
        </w:numPr>
        <w:jc w:val="both"/>
        <w:rPr>
          <w:rFonts w:ascii="Arial" w:hAnsi="Arial" w:cs="Arial"/>
          <w:lang w:val="es-ES"/>
        </w:rPr>
      </w:pPr>
      <w:r w:rsidRPr="00E52C43">
        <w:rPr>
          <w:rFonts w:ascii="Arial" w:hAnsi="Arial" w:cs="Arial"/>
          <w:lang w:val="es-ES"/>
        </w:rPr>
        <w:t xml:space="preserve">Análisis económico ex-ante </w:t>
      </w:r>
    </w:p>
    <w:p w14:paraId="29ADE992" w14:textId="77777777" w:rsidR="008E7742" w:rsidRPr="00E52C43" w:rsidRDefault="008E7742" w:rsidP="008E7742">
      <w:pPr>
        <w:pStyle w:val="ColorfulList-Accent11"/>
        <w:numPr>
          <w:ilvl w:val="1"/>
          <w:numId w:val="1"/>
        </w:numPr>
        <w:jc w:val="both"/>
        <w:rPr>
          <w:rFonts w:ascii="Arial" w:hAnsi="Arial" w:cs="Arial"/>
          <w:lang w:val="es-ES"/>
        </w:rPr>
      </w:pPr>
      <w:r w:rsidRPr="00E52C43">
        <w:rPr>
          <w:rFonts w:ascii="Arial" w:hAnsi="Arial" w:cs="Arial"/>
          <w:lang w:val="es-ES"/>
        </w:rPr>
        <w:t>Metodología de la evaluación</w:t>
      </w:r>
      <w:r w:rsidR="00124650" w:rsidRPr="00E52C43">
        <w:rPr>
          <w:rFonts w:ascii="Arial" w:hAnsi="Arial" w:cs="Arial"/>
          <w:lang w:val="es-ES"/>
        </w:rPr>
        <w:t xml:space="preserve"> de impacto</w:t>
      </w:r>
    </w:p>
    <w:p w14:paraId="0FE655D7" w14:textId="77777777" w:rsidR="00124650" w:rsidRPr="00E52C43" w:rsidRDefault="00124650" w:rsidP="008E7742">
      <w:pPr>
        <w:pStyle w:val="ColorfulList-Accent11"/>
        <w:numPr>
          <w:ilvl w:val="1"/>
          <w:numId w:val="1"/>
        </w:numPr>
        <w:jc w:val="both"/>
        <w:rPr>
          <w:rFonts w:ascii="Arial" w:hAnsi="Arial" w:cs="Arial"/>
          <w:lang w:val="es-ES"/>
        </w:rPr>
      </w:pPr>
      <w:r w:rsidRPr="00E52C43">
        <w:rPr>
          <w:rFonts w:ascii="Arial" w:hAnsi="Arial" w:cs="Arial"/>
          <w:lang w:val="es-ES"/>
        </w:rPr>
        <w:t>Estudios complementarios</w:t>
      </w:r>
    </w:p>
    <w:p w14:paraId="1277DDBE" w14:textId="77777777" w:rsidR="008E7742" w:rsidRPr="00E52C43" w:rsidRDefault="008E7742" w:rsidP="008E7742">
      <w:pPr>
        <w:pStyle w:val="ColorfulList-Accent11"/>
        <w:ind w:left="1440"/>
        <w:jc w:val="both"/>
        <w:rPr>
          <w:rFonts w:ascii="Arial" w:hAnsi="Arial" w:cs="Arial"/>
          <w:lang w:val="es-ES"/>
        </w:rPr>
      </w:pPr>
    </w:p>
    <w:p w14:paraId="1B828430" w14:textId="77777777" w:rsidR="008E7742" w:rsidRPr="00E52C43" w:rsidRDefault="008E7742" w:rsidP="008E7742">
      <w:pPr>
        <w:pStyle w:val="ColorfulList-Accent11"/>
        <w:ind w:left="360"/>
        <w:jc w:val="both"/>
        <w:rPr>
          <w:rFonts w:ascii="Arial" w:hAnsi="Arial" w:cs="Arial"/>
          <w:lang w:val="es-ES"/>
        </w:rPr>
      </w:pPr>
      <w:r w:rsidRPr="00E52C43">
        <w:rPr>
          <w:rFonts w:ascii="Arial" w:hAnsi="Arial" w:cs="Arial"/>
          <w:lang w:val="es-ES"/>
        </w:rPr>
        <w:t>Referencias</w:t>
      </w:r>
    </w:p>
    <w:p w14:paraId="7915E7D2" w14:textId="77777777" w:rsidR="008E7742" w:rsidRPr="00E52C43" w:rsidRDefault="008E7742">
      <w:pPr>
        <w:rPr>
          <w:rFonts w:eastAsia="Calibri" w:cs="Arial"/>
          <w:spacing w:val="0"/>
          <w:sz w:val="22"/>
          <w:szCs w:val="22"/>
          <w:lang w:val="es-ES"/>
        </w:rPr>
      </w:pPr>
      <w:r w:rsidRPr="00E52C43">
        <w:rPr>
          <w:rFonts w:cs="Arial"/>
          <w:sz w:val="22"/>
          <w:szCs w:val="22"/>
          <w:lang w:val="es-ES"/>
        </w:rPr>
        <w:br w:type="page"/>
      </w:r>
    </w:p>
    <w:p w14:paraId="586B60F1" w14:textId="77777777" w:rsidR="00DB373A" w:rsidRPr="00E52C43" w:rsidRDefault="00DB373A" w:rsidP="00DB373A">
      <w:pPr>
        <w:pStyle w:val="Heading2"/>
        <w:tabs>
          <w:tab w:val="left" w:pos="3330"/>
        </w:tabs>
        <w:spacing w:before="120" w:after="120"/>
        <w:ind w:left="360" w:hanging="360"/>
        <w:rPr>
          <w:rFonts w:ascii="Arial" w:hAnsi="Arial" w:cs="Arial"/>
          <w:color w:val="auto"/>
          <w:sz w:val="22"/>
          <w:szCs w:val="22"/>
          <w:lang w:val="es-ES"/>
        </w:rPr>
      </w:pPr>
      <w:r w:rsidRPr="00E52C43">
        <w:rPr>
          <w:rFonts w:ascii="Arial" w:hAnsi="Arial" w:cs="Arial"/>
          <w:color w:val="auto"/>
          <w:sz w:val="22"/>
          <w:szCs w:val="22"/>
          <w:lang w:val="es-ES"/>
        </w:rPr>
        <w:lastRenderedPageBreak/>
        <w:t>I. Introducción</w:t>
      </w:r>
      <w:r w:rsidRPr="00E52C43">
        <w:rPr>
          <w:rFonts w:ascii="Arial" w:hAnsi="Arial" w:cs="Arial"/>
          <w:color w:val="auto"/>
          <w:sz w:val="22"/>
          <w:szCs w:val="22"/>
          <w:vertAlign w:val="superscript"/>
          <w:lang w:val="es-ES"/>
        </w:rPr>
        <w:footnoteReference w:id="1"/>
      </w:r>
      <w:r w:rsidRPr="00E52C43">
        <w:rPr>
          <w:rFonts w:ascii="Arial" w:hAnsi="Arial" w:cs="Arial"/>
          <w:color w:val="auto"/>
          <w:sz w:val="22"/>
          <w:szCs w:val="22"/>
          <w:lang w:val="es-ES"/>
        </w:rPr>
        <w:t xml:space="preserve">  </w:t>
      </w:r>
    </w:p>
    <w:p w14:paraId="2A72EEEB" w14:textId="77777777" w:rsidR="00DB373A" w:rsidRPr="00E52C43" w:rsidRDefault="00A97923" w:rsidP="00DB373A">
      <w:pPr>
        <w:pStyle w:val="Heading2"/>
        <w:spacing w:before="120" w:after="120"/>
        <w:ind w:left="360" w:hanging="360"/>
        <w:rPr>
          <w:rFonts w:ascii="Arial" w:hAnsi="Arial" w:cs="Arial"/>
          <w:b w:val="0"/>
          <w:color w:val="auto"/>
          <w:sz w:val="22"/>
          <w:szCs w:val="22"/>
          <w:lang w:val="es-ES"/>
        </w:rPr>
      </w:pPr>
      <w:r w:rsidRPr="00E52C43">
        <w:rPr>
          <w:rFonts w:ascii="Arial" w:hAnsi="Arial" w:cs="Arial"/>
          <w:color w:val="auto"/>
          <w:sz w:val="22"/>
          <w:szCs w:val="22"/>
          <w:lang w:val="es-ES"/>
        </w:rPr>
        <w:t>A.</w:t>
      </w:r>
      <w:r w:rsidRPr="00E52C43">
        <w:rPr>
          <w:rFonts w:ascii="Arial" w:hAnsi="Arial" w:cs="Arial"/>
          <w:color w:val="auto"/>
          <w:sz w:val="22"/>
          <w:szCs w:val="22"/>
          <w:lang w:val="es-ES"/>
        </w:rPr>
        <w:tab/>
      </w:r>
      <w:r w:rsidR="00DB373A" w:rsidRPr="00E52C43">
        <w:rPr>
          <w:rFonts w:ascii="Arial" w:hAnsi="Arial" w:cs="Arial"/>
          <w:color w:val="auto"/>
          <w:sz w:val="22"/>
          <w:szCs w:val="22"/>
          <w:lang w:val="es-ES"/>
        </w:rPr>
        <w:t xml:space="preserve">Antecedentes: el reto en materia de salud en Ceará </w:t>
      </w:r>
    </w:p>
    <w:p w14:paraId="16448065" w14:textId="77777777" w:rsidR="00DB373A" w:rsidRPr="00E52C43" w:rsidRDefault="00DB373A" w:rsidP="00DB373A">
      <w:pPr>
        <w:pStyle w:val="Paragraph"/>
        <w:tabs>
          <w:tab w:val="clear" w:pos="720"/>
        </w:tabs>
        <w:ind w:left="0" w:firstLine="0"/>
        <w:rPr>
          <w:rFonts w:ascii="Arial" w:hAnsi="Arial" w:cs="Arial"/>
          <w:sz w:val="22"/>
        </w:rPr>
      </w:pPr>
      <w:r w:rsidRPr="00E52C43">
        <w:rPr>
          <w:rFonts w:ascii="Arial" w:hAnsi="Arial" w:cs="Arial"/>
          <w:b/>
          <w:sz w:val="22"/>
        </w:rPr>
        <w:t>Contexto socioeconómico.</w:t>
      </w:r>
      <w:r w:rsidRPr="00E52C43">
        <w:rPr>
          <w:rFonts w:ascii="Arial" w:hAnsi="Arial" w:cs="Arial"/>
          <w:sz w:val="22"/>
        </w:rPr>
        <w:t xml:space="preserve"> El Estado de Ceará tiene 8.842.791 habitantes, 75% en áreas urbanas y 30% en su capital, Fortaleza. Desde 2002, la tasa de crecimiento económico de Ceará ha sido superior a la de Brasil, alcanzando 4,36% en 2014 cuando el PIB de Brasil creció 0,1%. El buen desempeño de la economía ha sido acompañado de avances en los indicadores sociales. Así, la pobreza se redujo de 48% en 2002 a 21,3% en 2012, y la esperanza de vida al nacer aumentó de 67,8 años a 72,3 años entre 2000 y 2013. Con estos resultados, Ceará es el segundo estado de la región nordeste del país con mayor Índice de Desarrollo Humano (IDH)</w:t>
      </w:r>
      <w:r w:rsidRPr="00E52C43">
        <w:rPr>
          <w:rStyle w:val="FootnoteReference"/>
          <w:rFonts w:ascii="Arial" w:hAnsi="Arial" w:cs="Arial"/>
          <w:sz w:val="22"/>
        </w:rPr>
        <w:footnoteReference w:id="2"/>
      </w:r>
      <w:r w:rsidRPr="00E52C43">
        <w:rPr>
          <w:rFonts w:ascii="Arial" w:hAnsi="Arial" w:cs="Arial"/>
          <w:sz w:val="22"/>
        </w:rPr>
        <w:t xml:space="preserve"> y con la mejor calidad de vida del norte-nordeste</w:t>
      </w:r>
      <w:r w:rsidRPr="00E52C43">
        <w:rPr>
          <w:rStyle w:val="FootnoteReference"/>
          <w:rFonts w:ascii="Arial" w:hAnsi="Arial" w:cs="Arial"/>
          <w:sz w:val="22"/>
        </w:rPr>
        <w:footnoteReference w:id="3"/>
      </w:r>
      <w:r w:rsidRPr="00E52C43">
        <w:rPr>
          <w:rFonts w:ascii="Arial" w:hAnsi="Arial" w:cs="Arial"/>
          <w:sz w:val="22"/>
        </w:rPr>
        <w:t>. Pese a estos avances, Ceará presenta todavía muchas desigualdades sociales e inequidades regionales. Cerca de 8,5% de su población total y 18% de la población rural viven en pobreza extrema</w:t>
      </w:r>
      <w:r w:rsidRPr="00E52C43">
        <w:rPr>
          <w:rStyle w:val="FootnoteReference"/>
          <w:rFonts w:ascii="Arial" w:hAnsi="Arial" w:cs="Arial"/>
          <w:sz w:val="22"/>
        </w:rPr>
        <w:footnoteReference w:id="4"/>
      </w:r>
      <w:r w:rsidRPr="00E52C43">
        <w:rPr>
          <w:rFonts w:ascii="Arial" w:hAnsi="Arial" w:cs="Arial"/>
          <w:sz w:val="22"/>
        </w:rPr>
        <w:t>. El 61% de los hogares carecen de acceso adecuado al saneamiento básico (promedio nacional es 38%), y el 16,3% de la población es analfabeta (8,7% de todo Brasil)</w:t>
      </w:r>
      <w:r w:rsidRPr="00E52C43">
        <w:rPr>
          <w:rStyle w:val="FootnoteReference"/>
          <w:rFonts w:ascii="Arial" w:hAnsi="Arial" w:cs="Arial"/>
          <w:sz w:val="22"/>
        </w:rPr>
        <w:footnoteReference w:id="5"/>
      </w:r>
      <w:r w:rsidRPr="00E52C43">
        <w:rPr>
          <w:rFonts w:ascii="Arial" w:hAnsi="Arial" w:cs="Arial"/>
          <w:sz w:val="22"/>
        </w:rPr>
        <w:t>. Además, casi un tercio de los municipios presentan bajo IDH</w:t>
      </w:r>
      <w:r w:rsidRPr="00E52C43">
        <w:rPr>
          <w:rStyle w:val="FootnoteReference"/>
          <w:rFonts w:ascii="Arial" w:hAnsi="Arial" w:cs="Arial"/>
          <w:sz w:val="22"/>
        </w:rPr>
        <w:footnoteReference w:id="6"/>
      </w:r>
      <w:r w:rsidRPr="00E52C43">
        <w:rPr>
          <w:rFonts w:ascii="Arial" w:hAnsi="Arial" w:cs="Arial"/>
          <w:sz w:val="22"/>
        </w:rPr>
        <w:t xml:space="preserve"> y hay gran heterogeneidad en cuanto al Producto Interno Bruto (PIB) </w:t>
      </w:r>
      <w:r w:rsidRPr="00E52C43">
        <w:rPr>
          <w:rFonts w:ascii="Arial" w:hAnsi="Arial" w:cs="Arial"/>
          <w:i/>
          <w:sz w:val="22"/>
        </w:rPr>
        <w:t>per cápita</w:t>
      </w:r>
      <w:r w:rsidRPr="00E52C43">
        <w:rPr>
          <w:rFonts w:ascii="Arial" w:hAnsi="Arial" w:cs="Arial"/>
          <w:sz w:val="22"/>
        </w:rPr>
        <w:t xml:space="preserve"> municipal y en la concentración de la riqueza</w:t>
      </w:r>
      <w:r w:rsidRPr="00E52C43">
        <w:rPr>
          <w:rStyle w:val="FootnoteReference"/>
          <w:rFonts w:ascii="Arial" w:hAnsi="Arial" w:cs="Arial"/>
          <w:sz w:val="22"/>
        </w:rPr>
        <w:footnoteReference w:id="7"/>
      </w:r>
      <w:r w:rsidRPr="00E52C43">
        <w:rPr>
          <w:rFonts w:ascii="Arial" w:hAnsi="Arial" w:cs="Arial"/>
          <w:sz w:val="22"/>
        </w:rPr>
        <w:t xml:space="preserve">. </w:t>
      </w:r>
    </w:p>
    <w:p w14:paraId="5CFE600E" w14:textId="77777777" w:rsidR="00DB373A" w:rsidRPr="00E52C43" w:rsidRDefault="00DB373A" w:rsidP="00DB373A">
      <w:pPr>
        <w:pStyle w:val="Paragraph"/>
        <w:tabs>
          <w:tab w:val="clear" w:pos="720"/>
        </w:tabs>
        <w:ind w:left="0" w:firstLine="0"/>
        <w:rPr>
          <w:rFonts w:ascii="Arial" w:hAnsi="Arial" w:cs="Arial"/>
          <w:sz w:val="22"/>
        </w:rPr>
      </w:pPr>
      <w:r w:rsidRPr="00E52C43">
        <w:rPr>
          <w:rFonts w:ascii="Arial" w:hAnsi="Arial" w:cs="Arial"/>
          <w:b/>
          <w:sz w:val="22"/>
        </w:rPr>
        <w:t>Perfil epidemiológico y desafíos de salud pública.</w:t>
      </w:r>
      <w:r w:rsidRPr="00E52C43">
        <w:rPr>
          <w:rFonts w:ascii="Arial" w:hAnsi="Arial" w:cs="Arial"/>
          <w:sz w:val="22"/>
        </w:rPr>
        <w:t xml:space="preserve"> Siguiendo la tendencia nacional y regional, Ceará vive una transición demográfica y epidemiológica. Entre 2000 y 2012, las muertes por enfermedades circulatorias —primera causa de muerte— pasaron de 23,3% a 26,5%, el 21% en menores de 60 años. En el mismo periodo, la importancia relativa de cáncer aumentó y las muertes por neoplasias pasaron de 11,6% a 15% de la mortalidad total</w:t>
      </w:r>
      <w:r w:rsidRPr="00E52C43">
        <w:rPr>
          <w:rFonts w:ascii="Arial" w:hAnsi="Arial" w:cs="Arial"/>
          <w:sz w:val="22"/>
          <w:vertAlign w:val="superscript"/>
        </w:rPr>
        <w:footnoteReference w:id="8"/>
      </w:r>
      <w:r w:rsidRPr="00E52C43">
        <w:rPr>
          <w:rFonts w:ascii="Arial" w:hAnsi="Arial" w:cs="Arial"/>
          <w:sz w:val="22"/>
        </w:rPr>
        <w:t xml:space="preserve">. El alza de la mortalidad prematura (menores de 60 años) por </w:t>
      </w:r>
      <w:r w:rsidRPr="00E52C43">
        <w:rPr>
          <w:rFonts w:ascii="Arial" w:hAnsi="Arial" w:cs="Arial"/>
          <w:iCs/>
          <w:sz w:val="22"/>
        </w:rPr>
        <w:t>Enfermedades Crónicas no Transmisibles</w:t>
      </w:r>
      <w:r w:rsidRPr="00E52C43">
        <w:rPr>
          <w:rFonts w:ascii="Arial" w:hAnsi="Arial" w:cs="Arial"/>
          <w:sz w:val="22"/>
        </w:rPr>
        <w:t xml:space="preserve"> (ECNT), destaca la importancia de atender los factores de riesgo de las ECNT. Hay amplia evidencia de que la obesidad, tabaquismo, consumo excesivo de alcohol y la inactividad física conllevan a cambios fisiológicos y metabólicos que contribuyen significativamente a la incidencia y carga de las ECNT. En la Capital, Fortaleza, entre 2006 y 2013, la obesidad se incrementó en 60%, siendo que entre las mujeres este aumento fue de 67% y entre los hombres 12%</w:t>
      </w:r>
      <w:r w:rsidRPr="00E52C43">
        <w:rPr>
          <w:rFonts w:ascii="Arial" w:hAnsi="Arial" w:cs="Arial"/>
          <w:sz w:val="22"/>
          <w:vertAlign w:val="superscript"/>
        </w:rPr>
        <w:footnoteReference w:id="9"/>
      </w:r>
      <w:r w:rsidRPr="00E52C43">
        <w:rPr>
          <w:rFonts w:ascii="Arial" w:hAnsi="Arial" w:cs="Arial"/>
          <w:sz w:val="22"/>
        </w:rPr>
        <w:t xml:space="preserve">, lo que indica la necesidad del abordaje de género en los servicios de promoción de la salud y prevención de las ECNT. Asimismo, la evidencia internacional muestra que para enfrentar los factores de riesgo que causan las ECNT y para tratar a los pacientes que ya presentan alguna condición crónica, la mejor alternativa es la atención de redes integradas sólidas (con primer nivel consolidado y resolutivo y niveles más </w:t>
      </w:r>
      <w:r w:rsidRPr="00E52C43">
        <w:rPr>
          <w:rFonts w:ascii="Arial" w:hAnsi="Arial" w:cs="Arial"/>
          <w:sz w:val="22"/>
        </w:rPr>
        <w:lastRenderedPageBreak/>
        <w:t>complejos de atención que garanticen cuidado continuo y oportuno)</w:t>
      </w:r>
      <w:r w:rsidRPr="00E52C43">
        <w:rPr>
          <w:rStyle w:val="FootnoteReference"/>
          <w:rFonts w:ascii="Arial" w:eastAsiaTheme="majorEastAsia" w:hAnsi="Arial" w:cs="Arial"/>
          <w:sz w:val="22"/>
        </w:rPr>
        <w:footnoteReference w:id="10"/>
      </w:r>
      <w:r w:rsidRPr="00E52C43">
        <w:rPr>
          <w:rFonts w:ascii="Arial" w:hAnsi="Arial" w:cs="Arial"/>
          <w:sz w:val="22"/>
        </w:rPr>
        <w:t>. También es importante considerar que las diferencias biológicas y la determinación cultural de los roles de género condicionan el diferente acceso y uso de los servicios de salud por parte de hombres y mujeres, así como su adhesión a los planes de cuidado de la salud. Determinar tratamientos efectivos requiere que los sistemas de salud tengan la capacidad de analizar los determinantes de género y los diferentes factores de riesgo asociados</w:t>
      </w:r>
      <w:r w:rsidRPr="00E52C43">
        <w:rPr>
          <w:rFonts w:ascii="Arial" w:hAnsi="Arial" w:cs="Arial"/>
          <w:sz w:val="22"/>
          <w:vertAlign w:val="superscript"/>
        </w:rPr>
        <w:footnoteReference w:id="11"/>
      </w:r>
      <w:r w:rsidRPr="00E52C43">
        <w:rPr>
          <w:rFonts w:ascii="Arial" w:hAnsi="Arial" w:cs="Arial"/>
          <w:sz w:val="22"/>
        </w:rPr>
        <w:t>.</w:t>
      </w:r>
    </w:p>
    <w:p w14:paraId="25B7F039" w14:textId="77777777" w:rsidR="00DB373A" w:rsidRPr="00E52C43" w:rsidRDefault="00DB373A" w:rsidP="00DB373A">
      <w:pPr>
        <w:pStyle w:val="Paragraph"/>
        <w:tabs>
          <w:tab w:val="clear" w:pos="720"/>
        </w:tabs>
        <w:ind w:left="0" w:firstLine="0"/>
        <w:rPr>
          <w:rFonts w:ascii="Arial" w:hAnsi="Arial" w:cs="Arial"/>
          <w:sz w:val="22"/>
        </w:rPr>
      </w:pPr>
      <w:r w:rsidRPr="00E52C43">
        <w:rPr>
          <w:rFonts w:ascii="Arial" w:hAnsi="Arial" w:cs="Arial"/>
          <w:sz w:val="22"/>
        </w:rPr>
        <w:t>En temas de salud materna e infantil, Ceará logró una significativa reducción (80%) de la Tasa de Mortalidad Infantil (TMI), que pasó de 66,8 a 13,8</w:t>
      </w:r>
      <w:r w:rsidRPr="00E52C43">
        <w:rPr>
          <w:rStyle w:val="FootnoteReference"/>
          <w:rFonts w:ascii="Arial" w:hAnsi="Arial" w:cs="Arial"/>
          <w:sz w:val="22"/>
        </w:rPr>
        <w:footnoteReference w:id="12"/>
      </w:r>
      <w:r w:rsidRPr="00E52C43">
        <w:rPr>
          <w:rFonts w:ascii="Arial" w:hAnsi="Arial" w:cs="Arial"/>
          <w:sz w:val="22"/>
        </w:rPr>
        <w:t xml:space="preserve"> por 1.000 nacidos vivos (NV) entre 1991 y 2013. No obstante, la mortalidad neonatal (hasta los 28 días) no se redujo en la misma proporción que la mortalidad posneonatal</w:t>
      </w:r>
      <w:r w:rsidRPr="00E52C43">
        <w:rPr>
          <w:rStyle w:val="FootnoteReference"/>
          <w:rFonts w:ascii="Arial" w:hAnsi="Arial" w:cs="Arial"/>
          <w:sz w:val="22"/>
        </w:rPr>
        <w:footnoteReference w:id="13"/>
      </w:r>
      <w:r w:rsidRPr="00E52C43">
        <w:rPr>
          <w:rFonts w:ascii="Arial" w:hAnsi="Arial" w:cs="Arial"/>
          <w:sz w:val="22"/>
        </w:rPr>
        <w:t>. La mortalidad neonatal es relacionada con causas prevenibles, como el bajo peso, septicemias, deficiencias en los cuidados brindados durante la etapa prenatal, el parto, el puerperio y la atención al neonato, así como transmisión en la cadena séptica.</w:t>
      </w:r>
    </w:p>
    <w:p w14:paraId="1C878D35" w14:textId="77777777" w:rsidR="00DB373A" w:rsidRPr="00E52C43" w:rsidRDefault="00DB373A" w:rsidP="00DB373A">
      <w:pPr>
        <w:pStyle w:val="Paragraph"/>
        <w:tabs>
          <w:tab w:val="clear" w:pos="720"/>
        </w:tabs>
        <w:ind w:left="0" w:firstLine="0"/>
        <w:rPr>
          <w:rFonts w:ascii="Arial" w:hAnsi="Arial" w:cs="Arial"/>
          <w:sz w:val="22"/>
        </w:rPr>
      </w:pPr>
      <w:r w:rsidRPr="00E52C43">
        <w:rPr>
          <w:rFonts w:ascii="Arial" w:hAnsi="Arial" w:cs="Arial"/>
          <w:sz w:val="22"/>
        </w:rPr>
        <w:t>Por su parte, persisten retos importantes de salud materna en Ceará. Si bien ha aumentado el porcentaje de nacidos vivos de madres con siete o más consultas prenatales entre 2008 y 2014 (de 50,1% a 63,4%), subsisten las altas tasas de mortalidad materna. En 2013 la Razón de la Mortalidad Materna (RMM) en Ceará fue de 81,6 por 100.000 NV (frente a una tasa de 69 para todo Brasil), y un 70% de estas muertes fueron debido a las causas obstétricas directas</w:t>
      </w:r>
      <w:r w:rsidRPr="00E52C43">
        <w:rPr>
          <w:rFonts w:ascii="Arial" w:hAnsi="Arial" w:cs="Arial"/>
          <w:sz w:val="22"/>
          <w:vertAlign w:val="superscript"/>
        </w:rPr>
        <w:footnoteReference w:id="14"/>
      </w:r>
      <w:r w:rsidRPr="00E52C43">
        <w:rPr>
          <w:rFonts w:ascii="Arial" w:hAnsi="Arial" w:cs="Arial"/>
          <w:sz w:val="22"/>
        </w:rPr>
        <w:t>,</w:t>
      </w:r>
      <w:r w:rsidRPr="00E52C43">
        <w:rPr>
          <w:rFonts w:ascii="Arial" w:hAnsi="Arial" w:cs="Arial"/>
          <w:sz w:val="22"/>
          <w:vertAlign w:val="superscript"/>
        </w:rPr>
        <w:t xml:space="preserve"> </w:t>
      </w:r>
      <w:r w:rsidRPr="00E52C43">
        <w:rPr>
          <w:rFonts w:ascii="Arial" w:hAnsi="Arial" w:cs="Arial"/>
          <w:sz w:val="22"/>
        </w:rPr>
        <w:t>consecuencia de complicaciones durante el embarazo, parto o puerperio ocasionados por errores en las intervenciones, tratamientos incorrectos, omisiones, u otros factores asociados. Las brechas de calidad en la atención son evidentes desde la etapa prenatal, cuando se esperaría detección y clasificación temprana de riesgo para impedir complicaciones en cuadros de riesgo y para brindar tratamientos oportunos. Una muestra de estos déficits es la alta incidencia de sífilis congénita, que en 2011 fue de 7,1 por 1.000 NV, más del doble del promedio nacional</w:t>
      </w:r>
      <w:r w:rsidRPr="00E52C43">
        <w:rPr>
          <w:rStyle w:val="FootnoteReference"/>
          <w:rFonts w:ascii="Arial" w:hAnsi="Arial" w:cs="Arial"/>
          <w:sz w:val="22"/>
        </w:rPr>
        <w:t xml:space="preserve"> </w:t>
      </w:r>
      <w:r w:rsidRPr="00E52C43">
        <w:rPr>
          <w:rFonts w:ascii="Arial" w:hAnsi="Arial" w:cs="Arial"/>
          <w:sz w:val="22"/>
        </w:rPr>
        <w:t xml:space="preserve"> de 3,3.</w:t>
      </w:r>
    </w:p>
    <w:p w14:paraId="1740DD35" w14:textId="77777777" w:rsidR="00DB373A" w:rsidRPr="00E52C43" w:rsidRDefault="00DB373A" w:rsidP="00DB373A">
      <w:pPr>
        <w:pStyle w:val="Paragraph"/>
        <w:tabs>
          <w:tab w:val="clear" w:pos="720"/>
        </w:tabs>
        <w:ind w:left="0" w:firstLine="0"/>
        <w:rPr>
          <w:rFonts w:ascii="Arial" w:hAnsi="Arial" w:cs="Arial"/>
          <w:sz w:val="22"/>
        </w:rPr>
      </w:pPr>
      <w:bookmarkStart w:id="0" w:name="_Ref422738928"/>
      <w:r w:rsidRPr="00E52C43">
        <w:rPr>
          <w:rFonts w:ascii="Arial" w:hAnsi="Arial" w:cs="Arial"/>
          <w:b/>
          <w:sz w:val="22"/>
        </w:rPr>
        <w:t xml:space="preserve">La estructuración del </w:t>
      </w:r>
      <w:r w:rsidRPr="00E52C43">
        <w:rPr>
          <w:rFonts w:ascii="Arial" w:hAnsi="Arial" w:cs="Arial"/>
          <w:iCs/>
          <w:sz w:val="22"/>
        </w:rPr>
        <w:t>Sistema Único de Salud</w:t>
      </w:r>
      <w:r w:rsidRPr="00E52C43">
        <w:rPr>
          <w:rFonts w:ascii="Arial" w:hAnsi="Arial" w:cs="Arial"/>
          <w:b/>
          <w:sz w:val="22"/>
        </w:rPr>
        <w:t xml:space="preserve"> (SUS) en Ceará y el impulso a las Redes de Atención en Salud (RAS)</w:t>
      </w:r>
      <w:r w:rsidRPr="00E52C43">
        <w:rPr>
          <w:rFonts w:ascii="Arial" w:hAnsi="Arial" w:cs="Arial"/>
          <w:b/>
          <w:sz w:val="22"/>
          <w:vertAlign w:val="superscript"/>
        </w:rPr>
        <w:footnoteReference w:id="15"/>
      </w:r>
      <w:r w:rsidRPr="00E52C43">
        <w:rPr>
          <w:rFonts w:ascii="Arial" w:hAnsi="Arial" w:cs="Arial"/>
          <w:b/>
          <w:sz w:val="22"/>
        </w:rPr>
        <w:t>.</w:t>
      </w:r>
      <w:r w:rsidRPr="00E52C43">
        <w:rPr>
          <w:rFonts w:ascii="Arial" w:hAnsi="Arial" w:cs="Arial"/>
          <w:sz w:val="22"/>
        </w:rPr>
        <w:t xml:space="preserve"> Ceará se destaca por ser el precursor del Programa Salud Familiar (PSF) en Brasil</w:t>
      </w:r>
      <w:r w:rsidRPr="00E52C43">
        <w:rPr>
          <w:rFonts w:ascii="Arial" w:hAnsi="Arial" w:cs="Arial"/>
          <w:sz w:val="22"/>
          <w:vertAlign w:val="superscript"/>
        </w:rPr>
        <w:footnoteReference w:id="16"/>
      </w:r>
      <w:r w:rsidRPr="00E52C43">
        <w:rPr>
          <w:rFonts w:ascii="Arial" w:hAnsi="Arial" w:cs="Arial"/>
          <w:sz w:val="22"/>
        </w:rPr>
        <w:t xml:space="preserve"> y por contar con altos niveles de cobertura de Atención Primaria de Salud (APS)</w:t>
      </w:r>
      <w:r w:rsidRPr="00E52C43">
        <w:rPr>
          <w:rStyle w:val="FootnoteReference"/>
          <w:rFonts w:ascii="Arial" w:hAnsi="Arial" w:cs="Arial"/>
          <w:sz w:val="22"/>
        </w:rPr>
        <w:footnoteReference w:id="17"/>
      </w:r>
      <w:r w:rsidRPr="00E52C43">
        <w:rPr>
          <w:rFonts w:ascii="Arial" w:hAnsi="Arial" w:cs="Arial"/>
          <w:sz w:val="22"/>
        </w:rPr>
        <w:t>. El modelo de las RAS en Brasil, define a la atención básica como la puerta de entrada del sistema y como la ordenadora del cuidado, lo que ha mostrado resultados positivos con el PSF</w:t>
      </w:r>
      <w:r w:rsidRPr="00E52C43">
        <w:rPr>
          <w:rFonts w:ascii="Arial" w:hAnsi="Arial" w:cs="Arial"/>
          <w:sz w:val="22"/>
          <w:vertAlign w:val="superscript"/>
        </w:rPr>
        <w:footnoteReference w:id="18"/>
      </w:r>
      <w:r w:rsidRPr="00E52C43">
        <w:rPr>
          <w:rFonts w:ascii="Arial" w:hAnsi="Arial" w:cs="Arial"/>
          <w:sz w:val="22"/>
        </w:rPr>
        <w:t>. Es así que con el primer nivel estructurado, el Estado pudo avanzar, desde finales de los 90, en la organización de la salud en las RAS</w:t>
      </w:r>
      <w:r w:rsidRPr="00E52C43" w:rsidDel="000D053A">
        <w:rPr>
          <w:rFonts w:ascii="Arial" w:hAnsi="Arial" w:cs="Arial"/>
          <w:sz w:val="22"/>
        </w:rPr>
        <w:t xml:space="preserve"> </w:t>
      </w:r>
      <w:r w:rsidRPr="00E52C43">
        <w:rPr>
          <w:rFonts w:ascii="Arial" w:hAnsi="Arial" w:cs="Arial"/>
          <w:sz w:val="22"/>
        </w:rPr>
        <w:t xml:space="preserve">jerarquizadas en macro y micro </w:t>
      </w:r>
      <w:r w:rsidRPr="00E52C43">
        <w:rPr>
          <w:rFonts w:ascii="Arial" w:hAnsi="Arial" w:cs="Arial"/>
          <w:sz w:val="22"/>
        </w:rPr>
        <w:lastRenderedPageBreak/>
        <w:t>regiones</w:t>
      </w:r>
      <w:r w:rsidRPr="00E52C43">
        <w:rPr>
          <w:rStyle w:val="FootnoteReference"/>
          <w:rFonts w:ascii="Arial" w:hAnsi="Arial" w:cs="Arial"/>
          <w:sz w:val="22"/>
        </w:rPr>
        <w:footnoteReference w:id="19"/>
      </w:r>
      <w:r w:rsidRPr="00E52C43">
        <w:rPr>
          <w:rFonts w:ascii="Arial" w:hAnsi="Arial" w:cs="Arial"/>
          <w:sz w:val="22"/>
        </w:rPr>
        <w:t>, de manera de racionalizar el acceso a la atención de media y alta complejidad, creando puntos de referencia y contra referencia regionales</w:t>
      </w:r>
      <w:r w:rsidRPr="00E52C43">
        <w:rPr>
          <w:rStyle w:val="FootnoteReference"/>
          <w:rFonts w:ascii="Arial" w:hAnsi="Arial" w:cs="Arial"/>
          <w:sz w:val="22"/>
        </w:rPr>
        <w:footnoteReference w:id="20"/>
      </w:r>
      <w:r w:rsidRPr="00E52C43">
        <w:rPr>
          <w:rFonts w:ascii="Arial" w:hAnsi="Arial" w:cs="Arial"/>
          <w:sz w:val="22"/>
        </w:rPr>
        <w:t>.</w:t>
      </w:r>
      <w:bookmarkEnd w:id="0"/>
      <w:r w:rsidRPr="00E52C43">
        <w:rPr>
          <w:rFonts w:ascii="Arial" w:hAnsi="Arial" w:cs="Arial"/>
          <w:sz w:val="22"/>
        </w:rPr>
        <w:t xml:space="preserve"> </w:t>
      </w:r>
    </w:p>
    <w:p w14:paraId="2E730183" w14:textId="77777777" w:rsidR="00DB373A" w:rsidRPr="00E52C43" w:rsidRDefault="00DB373A" w:rsidP="00DB373A">
      <w:pPr>
        <w:pStyle w:val="Paragraph"/>
        <w:tabs>
          <w:tab w:val="clear" w:pos="720"/>
        </w:tabs>
        <w:ind w:left="0" w:firstLine="0"/>
        <w:rPr>
          <w:rFonts w:ascii="Arial" w:hAnsi="Arial" w:cs="Arial"/>
          <w:sz w:val="22"/>
        </w:rPr>
      </w:pPr>
      <w:r w:rsidRPr="00E52C43">
        <w:rPr>
          <w:rFonts w:ascii="Arial" w:hAnsi="Arial" w:cs="Arial"/>
          <w:sz w:val="22"/>
        </w:rPr>
        <w:t>Desde 2008 el Gobierno de Ceará ha invertido en la ampliación de la oferta y de la calidad de los servicios de las RAS para superar el obstáculo de las brechas de acceso a los servicios de mayor complejidad, equilibrar recursos entre las regiones y garantizar la integralidad de la atención en todo el Estado. En este contexto, fue clave el apoyo del Banco al Estado, por medio del Programa de Expansión y Mejora de los Servicios de Salud Especializada en Ceará—PROEXMAES (2137-OC/BR)</w:t>
      </w:r>
      <w:r w:rsidRPr="00E52C43">
        <w:rPr>
          <w:rStyle w:val="FootnoteReference"/>
          <w:rFonts w:ascii="Arial" w:hAnsi="Arial" w:cs="Arial"/>
          <w:sz w:val="22"/>
        </w:rPr>
        <w:footnoteReference w:id="21"/>
      </w:r>
      <w:r w:rsidRPr="00E52C43">
        <w:rPr>
          <w:rFonts w:ascii="Arial" w:hAnsi="Arial" w:cs="Arial"/>
          <w:sz w:val="22"/>
        </w:rPr>
        <w:t xml:space="preserve"> que cofinanció la construcción y equipamientos de 20 policlínicas, 16 Centros de Especialidades Odontológicas (CEOs) y dos hospitales regionales, además de acciones de capacitación gerencial y clínica, y apoyo a la gestión para avanzar en la implementación del modelo de redes. Asimismo, el Estado ha expandido el acceso a los servicios y la eficiencia en el manejo de la capacidad instalada a través del fortalecimiento del sistema de regulación.  </w:t>
      </w:r>
    </w:p>
    <w:p w14:paraId="0D0DCE78" w14:textId="77777777" w:rsidR="00DB373A" w:rsidRPr="00E52C43" w:rsidRDefault="00A97923" w:rsidP="00F46846">
      <w:pPr>
        <w:pStyle w:val="FirstHeading"/>
        <w:numPr>
          <w:ilvl w:val="0"/>
          <w:numId w:val="7"/>
        </w:numPr>
        <w:spacing w:before="240"/>
        <w:ind w:left="720"/>
        <w:rPr>
          <w:rFonts w:ascii="Arial" w:hAnsi="Arial" w:cs="Arial"/>
          <w:sz w:val="22"/>
        </w:rPr>
      </w:pPr>
      <w:bookmarkStart w:id="1" w:name="_Toc422751911"/>
      <w:bookmarkStart w:id="2" w:name="_Ref285380113"/>
      <w:r w:rsidRPr="00E52C43">
        <w:rPr>
          <w:rFonts w:ascii="Arial" w:hAnsi="Arial" w:cs="Arial"/>
          <w:sz w:val="22"/>
        </w:rPr>
        <w:t>B.</w:t>
      </w:r>
      <w:r w:rsidRPr="00E52C43">
        <w:rPr>
          <w:rFonts w:ascii="Arial" w:hAnsi="Arial" w:cs="Arial"/>
          <w:sz w:val="22"/>
        </w:rPr>
        <w:tab/>
      </w:r>
      <w:r w:rsidR="00DB373A" w:rsidRPr="00E52C43">
        <w:rPr>
          <w:rFonts w:ascii="Arial" w:hAnsi="Arial" w:cs="Arial"/>
          <w:sz w:val="22"/>
        </w:rPr>
        <w:t>Objetivos, Componentes y Costo</w:t>
      </w:r>
      <w:bookmarkEnd w:id="1"/>
    </w:p>
    <w:p w14:paraId="65B676D5" w14:textId="77777777" w:rsidR="00DB373A" w:rsidRPr="00E52C43" w:rsidRDefault="00DB373A" w:rsidP="00DB373A">
      <w:pPr>
        <w:pStyle w:val="Paragraph"/>
        <w:tabs>
          <w:tab w:val="clear" w:pos="720"/>
        </w:tabs>
        <w:ind w:left="0" w:firstLine="0"/>
        <w:rPr>
          <w:rFonts w:ascii="Arial" w:hAnsi="Arial" w:cs="Arial"/>
          <w:sz w:val="22"/>
        </w:rPr>
      </w:pPr>
      <w:r w:rsidRPr="00E52C43">
        <w:rPr>
          <w:rFonts w:ascii="Arial" w:hAnsi="Arial" w:cs="Arial"/>
          <w:sz w:val="22"/>
        </w:rPr>
        <w:t>El objetivo del programa es contribuir a mejorar las condiciones de salud de la población de Ceará por medio del incremento del acceso y de la calidad de los servicios, y por la mejora del desempeño del sistema, consolidando el enfoque de las RAS en el Estado. La operación se estructura en tres componentes:</w:t>
      </w:r>
    </w:p>
    <w:p w14:paraId="23F9ADC9" w14:textId="77777777" w:rsidR="00DB373A" w:rsidRPr="00E52C43" w:rsidRDefault="00DB373A" w:rsidP="00DB373A">
      <w:pPr>
        <w:pStyle w:val="Paragraph"/>
        <w:tabs>
          <w:tab w:val="clear" w:pos="720"/>
        </w:tabs>
        <w:ind w:left="0" w:firstLine="0"/>
        <w:rPr>
          <w:rFonts w:ascii="Arial" w:hAnsi="Arial" w:cs="Arial"/>
          <w:sz w:val="22"/>
        </w:rPr>
      </w:pPr>
      <w:r w:rsidRPr="00E52C43">
        <w:rPr>
          <w:rFonts w:ascii="Arial" w:hAnsi="Arial" w:cs="Arial"/>
          <w:b/>
          <w:sz w:val="22"/>
        </w:rPr>
        <w:t>Componente 1. Fortalecimiento de la gestión y mejora de la calidad de los servicios (BID US$2</w:t>
      </w:r>
      <w:r w:rsidR="00F46846" w:rsidRPr="00E52C43">
        <w:rPr>
          <w:rFonts w:ascii="Arial" w:hAnsi="Arial" w:cs="Arial"/>
          <w:b/>
          <w:sz w:val="22"/>
        </w:rPr>
        <w:t>7,3</w:t>
      </w:r>
      <w:r w:rsidRPr="00E52C43">
        <w:rPr>
          <w:rFonts w:ascii="Arial" w:hAnsi="Arial" w:cs="Arial"/>
          <w:b/>
          <w:sz w:val="22"/>
        </w:rPr>
        <w:t xml:space="preserve"> millones). </w:t>
      </w:r>
      <w:r w:rsidRPr="00E52C43">
        <w:rPr>
          <w:rFonts w:ascii="Arial" w:hAnsi="Arial" w:cs="Arial"/>
          <w:sz w:val="22"/>
        </w:rPr>
        <w:t>El objetivo de este componente es incrementar la eficiencia de las redes regionalizadas de salud y la calidad de sus servicios, por medio de la mejora de los aspectos logísticos y de la gestión clínica y gerencial. Se financiarán: (i) consultorías para planificación de procesos, sistemas y recursos para la gestión de las redes</w:t>
      </w:r>
      <w:r w:rsidRPr="00E52C43">
        <w:rPr>
          <w:rFonts w:ascii="Arial" w:hAnsi="Arial" w:cs="Arial"/>
          <w:sz w:val="22"/>
          <w:vertAlign w:val="superscript"/>
        </w:rPr>
        <w:footnoteReference w:id="22"/>
      </w:r>
      <w:r w:rsidRPr="00E52C43">
        <w:rPr>
          <w:rFonts w:ascii="Arial" w:hAnsi="Arial" w:cs="Arial"/>
          <w:sz w:val="22"/>
        </w:rPr>
        <w:t>; (ii) reforma y ampliación de las instalaciones de la SESA y de sus coordinaciones regionales; (iii) diseño e infraestructura del Centro de Logística de la Salud; (iv) reestructuración de procesos e informatización de la gestión de toda la red hospitalaria propia; (v) fortalecimiento de los sistemas de regulación del acceso; (vi) elaboración e implementación de protocolos clínicos y líneas de cuidado prioritarias</w:t>
      </w:r>
      <w:r w:rsidRPr="00E52C43">
        <w:rPr>
          <w:rFonts w:ascii="Arial" w:hAnsi="Arial" w:cs="Arial"/>
          <w:sz w:val="22"/>
          <w:vertAlign w:val="superscript"/>
        </w:rPr>
        <w:footnoteReference w:id="23"/>
      </w:r>
      <w:r w:rsidRPr="00E52C43">
        <w:rPr>
          <w:rFonts w:ascii="Arial" w:hAnsi="Arial" w:cs="Arial"/>
          <w:sz w:val="22"/>
          <w:vertAlign w:val="superscript"/>
        </w:rPr>
        <w:t>;</w:t>
      </w:r>
      <w:r w:rsidRPr="00E52C43">
        <w:rPr>
          <w:rFonts w:ascii="Arial" w:hAnsi="Arial" w:cs="Arial"/>
          <w:sz w:val="22"/>
        </w:rPr>
        <w:t>(vii) acreditación de 29 unidades de salud de media complejidad (policlínicas y CEOS) y 3 unidades hospitalarias propias; y (viii) formación de recursos humanos.</w:t>
      </w:r>
    </w:p>
    <w:p w14:paraId="3C8CBAC8" w14:textId="7F23D402" w:rsidR="00DB373A" w:rsidRPr="00E52C43" w:rsidRDefault="00DB373A" w:rsidP="00DB373A">
      <w:pPr>
        <w:pStyle w:val="Paragraph"/>
        <w:tabs>
          <w:tab w:val="clear" w:pos="720"/>
        </w:tabs>
        <w:ind w:left="0" w:firstLine="0"/>
        <w:rPr>
          <w:rFonts w:ascii="Arial" w:hAnsi="Arial" w:cs="Arial"/>
          <w:sz w:val="22"/>
        </w:rPr>
      </w:pPr>
      <w:r w:rsidRPr="00E52C43">
        <w:rPr>
          <w:rFonts w:ascii="Arial" w:hAnsi="Arial" w:cs="Arial"/>
          <w:b/>
          <w:sz w:val="22"/>
        </w:rPr>
        <w:t>Componente 2. Ampliación del acceso y consolidación de las RAS (BID US$8</w:t>
      </w:r>
      <w:r w:rsidR="00A97923" w:rsidRPr="00E52C43">
        <w:rPr>
          <w:rFonts w:ascii="Arial" w:hAnsi="Arial" w:cs="Arial"/>
          <w:b/>
          <w:sz w:val="22"/>
        </w:rPr>
        <w:t>5</w:t>
      </w:r>
      <w:r w:rsidRPr="00E52C43">
        <w:rPr>
          <w:rFonts w:ascii="Arial" w:hAnsi="Arial" w:cs="Arial"/>
          <w:b/>
          <w:sz w:val="22"/>
        </w:rPr>
        <w:t>,</w:t>
      </w:r>
      <w:r w:rsidR="00A97923" w:rsidRPr="00E52C43">
        <w:rPr>
          <w:rFonts w:ascii="Arial" w:hAnsi="Arial" w:cs="Arial"/>
          <w:b/>
          <w:sz w:val="22"/>
        </w:rPr>
        <w:t>8</w:t>
      </w:r>
      <w:r w:rsidR="00F46846" w:rsidRPr="00E52C43">
        <w:rPr>
          <w:rFonts w:ascii="Arial" w:hAnsi="Arial" w:cs="Arial"/>
          <w:b/>
          <w:sz w:val="22"/>
        </w:rPr>
        <w:t> </w:t>
      </w:r>
      <w:r w:rsidR="007502BE">
        <w:rPr>
          <w:rFonts w:ascii="Arial" w:hAnsi="Arial" w:cs="Arial"/>
          <w:b/>
          <w:sz w:val="22"/>
        </w:rPr>
        <w:t xml:space="preserve">millones, Local US$55,5 </w:t>
      </w:r>
      <w:r w:rsidRPr="00E52C43">
        <w:rPr>
          <w:rFonts w:ascii="Arial" w:hAnsi="Arial" w:cs="Arial"/>
          <w:b/>
          <w:sz w:val="22"/>
        </w:rPr>
        <w:t>millones).</w:t>
      </w:r>
      <w:r w:rsidRPr="00E52C43">
        <w:rPr>
          <w:rFonts w:ascii="Arial" w:hAnsi="Arial" w:cs="Arial"/>
          <w:sz w:val="22"/>
        </w:rPr>
        <w:t xml:space="preserve"> Este componente tiene como objetivo ampliar el acceso a servicios de media y alta complejidad en regiones prioritarias, asegurando su integración con la APS y garantizando un cuidado integral. Se financiarán: (i) la construcción y equipamiento del Hospital Regional de Litoral-Jaguaribe; (ii) la construcción y equipamiento del Hospital Metropolitano- PPP; (iii) la construcción y equipamiento de una policlínica en Fortaleza; y (iv) reformas y equipamiento de servicios de atención al parto en las macro regiones de Fortaleza, Cariri, Sobral y Litoral-Jaguaribe</w:t>
      </w:r>
      <w:r w:rsidRPr="00E52C43">
        <w:rPr>
          <w:rStyle w:val="FootnoteReference"/>
          <w:rFonts w:ascii="Arial" w:hAnsi="Arial" w:cs="Arial"/>
          <w:sz w:val="22"/>
        </w:rPr>
        <w:footnoteReference w:id="24"/>
      </w:r>
      <w:r w:rsidRPr="00E52C43">
        <w:rPr>
          <w:rFonts w:ascii="Arial" w:hAnsi="Arial" w:cs="Arial"/>
          <w:sz w:val="22"/>
        </w:rPr>
        <w:t>.</w:t>
      </w:r>
    </w:p>
    <w:p w14:paraId="7DE65E6C" w14:textId="4741771F" w:rsidR="00DB373A" w:rsidRPr="00E52C43" w:rsidRDefault="00DB373A" w:rsidP="00A97923">
      <w:pPr>
        <w:pStyle w:val="Paragraph"/>
        <w:tabs>
          <w:tab w:val="clear" w:pos="720"/>
        </w:tabs>
        <w:spacing w:after="240"/>
        <w:ind w:left="0" w:firstLine="0"/>
        <w:rPr>
          <w:rFonts w:ascii="Arial" w:hAnsi="Arial" w:cs="Arial"/>
          <w:sz w:val="22"/>
        </w:rPr>
      </w:pPr>
      <w:r w:rsidRPr="00E52C43">
        <w:rPr>
          <w:rFonts w:ascii="Arial" w:hAnsi="Arial" w:cs="Arial"/>
          <w:b/>
          <w:sz w:val="22"/>
        </w:rPr>
        <w:lastRenderedPageBreak/>
        <w:t>Componente 3. Administración</w:t>
      </w:r>
      <w:r w:rsidR="007E3AE0">
        <w:rPr>
          <w:rFonts w:ascii="Arial" w:hAnsi="Arial" w:cs="Arial"/>
          <w:b/>
          <w:sz w:val="22"/>
        </w:rPr>
        <w:t>,</w:t>
      </w:r>
      <w:r w:rsidRPr="00E52C43">
        <w:rPr>
          <w:rFonts w:ascii="Arial" w:hAnsi="Arial" w:cs="Arial"/>
          <w:b/>
          <w:sz w:val="22"/>
        </w:rPr>
        <w:t xml:space="preserve"> evaluación</w:t>
      </w:r>
      <w:r w:rsidR="007E3AE0">
        <w:rPr>
          <w:rFonts w:ascii="Arial" w:hAnsi="Arial" w:cs="Arial"/>
          <w:b/>
          <w:sz w:val="22"/>
        </w:rPr>
        <w:t xml:space="preserve"> y auditoría</w:t>
      </w:r>
      <w:r w:rsidRPr="00E52C43">
        <w:rPr>
          <w:rFonts w:ascii="Arial" w:hAnsi="Arial" w:cs="Arial"/>
          <w:b/>
          <w:sz w:val="22"/>
        </w:rPr>
        <w:t xml:space="preserve"> (BID US$</w:t>
      </w:r>
      <w:r w:rsidR="00A97923" w:rsidRPr="00E52C43">
        <w:rPr>
          <w:rFonts w:ascii="Arial" w:hAnsi="Arial" w:cs="Arial"/>
          <w:b/>
          <w:sz w:val="22"/>
        </w:rPr>
        <w:t>9,9</w:t>
      </w:r>
      <w:r w:rsidRPr="00E52C43">
        <w:rPr>
          <w:rFonts w:ascii="Arial" w:hAnsi="Arial" w:cs="Arial"/>
          <w:b/>
          <w:sz w:val="22"/>
        </w:rPr>
        <w:t> millones).</w:t>
      </w:r>
      <w:r w:rsidRPr="00E52C43">
        <w:rPr>
          <w:rFonts w:ascii="Arial" w:hAnsi="Arial" w:cs="Arial"/>
          <w:sz w:val="22"/>
        </w:rPr>
        <w:t xml:space="preserve"> Este componente apoyará a la SESA a ejecutar el programa y a dar seguimiento a los resultados previstos. Serán financiados servicios técnicos especializados y consultorías para la gestión del programa; servicios de supervisión y control de calidad de las obras y estudios de evaluación de la implementación e impacto del programa.</w:t>
      </w:r>
    </w:p>
    <w:p w14:paraId="09C1584A" w14:textId="77777777" w:rsidR="00DB373A" w:rsidRPr="00E52C43" w:rsidRDefault="00DB373A" w:rsidP="00DB373A">
      <w:pPr>
        <w:pStyle w:val="Paragraph"/>
        <w:tabs>
          <w:tab w:val="clear" w:pos="720"/>
        </w:tabs>
        <w:ind w:firstLine="0"/>
        <w:jc w:val="center"/>
        <w:rPr>
          <w:rFonts w:ascii="Arial" w:hAnsi="Arial" w:cs="Arial"/>
          <w:b/>
          <w:sz w:val="22"/>
          <w:highlight w:val="yellow"/>
        </w:rPr>
      </w:pPr>
      <w:r w:rsidRPr="00E52C43">
        <w:rPr>
          <w:rFonts w:ascii="Arial" w:hAnsi="Arial" w:cs="Arial"/>
          <w:b/>
          <w:sz w:val="22"/>
        </w:rPr>
        <w:t>Cuadro I.1. Costos de la operación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1318"/>
        <w:gridCol w:w="1231"/>
        <w:gridCol w:w="1318"/>
      </w:tblGrid>
      <w:tr w:rsidR="00DB373A" w:rsidRPr="00E52C43" w14:paraId="28051382" w14:textId="77777777" w:rsidTr="00FE7597">
        <w:tc>
          <w:tcPr>
            <w:tcW w:w="4701" w:type="dxa"/>
            <w:shd w:val="clear" w:color="auto" w:fill="8DB3E2"/>
          </w:tcPr>
          <w:p w14:paraId="5964B685" w14:textId="77777777" w:rsidR="00DB373A" w:rsidRPr="00E52C43" w:rsidRDefault="00DB373A" w:rsidP="00FE7597">
            <w:pPr>
              <w:jc w:val="center"/>
              <w:rPr>
                <w:rFonts w:cs="Arial"/>
                <w:b/>
                <w:sz w:val="18"/>
                <w:szCs w:val="18"/>
                <w:lang w:val="es-ES"/>
              </w:rPr>
            </w:pPr>
            <w:r w:rsidRPr="00E52C43">
              <w:rPr>
                <w:rFonts w:cs="Arial"/>
                <w:b/>
                <w:sz w:val="18"/>
                <w:szCs w:val="18"/>
                <w:lang w:val="es-ES"/>
              </w:rPr>
              <w:t>Componentes</w:t>
            </w:r>
          </w:p>
        </w:tc>
        <w:tc>
          <w:tcPr>
            <w:tcW w:w="1318" w:type="dxa"/>
            <w:shd w:val="clear" w:color="auto" w:fill="8DB3E2"/>
          </w:tcPr>
          <w:p w14:paraId="07BAE988" w14:textId="77777777" w:rsidR="00DB373A" w:rsidRPr="00E52C43" w:rsidRDefault="00DB373A" w:rsidP="00FE7597">
            <w:pPr>
              <w:jc w:val="center"/>
              <w:rPr>
                <w:rFonts w:cs="Arial"/>
                <w:b/>
                <w:sz w:val="18"/>
                <w:szCs w:val="18"/>
                <w:lang w:val="es-ES"/>
              </w:rPr>
            </w:pPr>
            <w:r w:rsidRPr="00E52C43">
              <w:rPr>
                <w:rFonts w:cs="Arial"/>
                <w:b/>
                <w:sz w:val="18"/>
                <w:szCs w:val="18"/>
                <w:lang w:val="es-ES"/>
              </w:rPr>
              <w:t>BID (US$)</w:t>
            </w:r>
          </w:p>
        </w:tc>
        <w:tc>
          <w:tcPr>
            <w:tcW w:w="1231" w:type="dxa"/>
            <w:shd w:val="clear" w:color="auto" w:fill="8DB3E2"/>
          </w:tcPr>
          <w:p w14:paraId="289DB863" w14:textId="77777777" w:rsidR="00DB373A" w:rsidRPr="00E52C43" w:rsidRDefault="00DB373A" w:rsidP="00FE7597">
            <w:pPr>
              <w:jc w:val="center"/>
              <w:rPr>
                <w:rFonts w:cs="Arial"/>
                <w:b/>
                <w:sz w:val="18"/>
                <w:szCs w:val="18"/>
                <w:lang w:val="es-ES"/>
              </w:rPr>
            </w:pPr>
            <w:r w:rsidRPr="00E52C43">
              <w:rPr>
                <w:rFonts w:cs="Arial"/>
                <w:b/>
                <w:sz w:val="18"/>
                <w:szCs w:val="18"/>
                <w:lang w:val="es-ES"/>
              </w:rPr>
              <w:t>Local (US$)</w:t>
            </w:r>
          </w:p>
        </w:tc>
        <w:tc>
          <w:tcPr>
            <w:tcW w:w="1318" w:type="dxa"/>
            <w:shd w:val="clear" w:color="auto" w:fill="8DB3E2"/>
          </w:tcPr>
          <w:p w14:paraId="45B7675C" w14:textId="77777777" w:rsidR="00DB373A" w:rsidRPr="00E52C43" w:rsidRDefault="00DB373A" w:rsidP="00FE7597">
            <w:pPr>
              <w:jc w:val="center"/>
              <w:rPr>
                <w:rFonts w:cs="Arial"/>
                <w:b/>
                <w:sz w:val="18"/>
                <w:szCs w:val="18"/>
                <w:lang w:val="es-ES"/>
              </w:rPr>
            </w:pPr>
            <w:r w:rsidRPr="00E52C43">
              <w:rPr>
                <w:rFonts w:cs="Arial"/>
                <w:b/>
                <w:sz w:val="18"/>
                <w:szCs w:val="18"/>
                <w:lang w:val="es-ES"/>
              </w:rPr>
              <w:t>Total (US$)</w:t>
            </w:r>
          </w:p>
        </w:tc>
      </w:tr>
      <w:tr w:rsidR="00DB373A" w:rsidRPr="00E52C43" w14:paraId="2103A87C" w14:textId="77777777" w:rsidTr="00FE7597">
        <w:tc>
          <w:tcPr>
            <w:tcW w:w="4701" w:type="dxa"/>
            <w:shd w:val="clear" w:color="auto" w:fill="auto"/>
          </w:tcPr>
          <w:p w14:paraId="65CA28F5" w14:textId="77777777" w:rsidR="00DB373A" w:rsidRPr="00E52C43" w:rsidRDefault="00DB373A" w:rsidP="00FE7597">
            <w:pPr>
              <w:rPr>
                <w:rFonts w:cs="Arial"/>
                <w:sz w:val="18"/>
                <w:szCs w:val="18"/>
                <w:lang w:val="es-ES"/>
              </w:rPr>
            </w:pPr>
            <w:r w:rsidRPr="00E52C43">
              <w:rPr>
                <w:rFonts w:cs="Arial"/>
                <w:sz w:val="18"/>
                <w:szCs w:val="18"/>
                <w:lang w:val="es-ES"/>
              </w:rPr>
              <w:t xml:space="preserve">Componente 1. Fortalecimiento de la gestión y mejora de la calidad de los servicios </w:t>
            </w:r>
          </w:p>
        </w:tc>
        <w:tc>
          <w:tcPr>
            <w:tcW w:w="1318" w:type="dxa"/>
            <w:shd w:val="clear" w:color="auto" w:fill="auto"/>
          </w:tcPr>
          <w:p w14:paraId="17922AD4" w14:textId="77777777" w:rsidR="00DB373A" w:rsidRPr="00E52C43" w:rsidRDefault="00DB373A" w:rsidP="00FE7597">
            <w:pPr>
              <w:jc w:val="right"/>
              <w:rPr>
                <w:rFonts w:cs="Arial"/>
                <w:sz w:val="18"/>
                <w:szCs w:val="18"/>
                <w:lang w:val="es-ES"/>
              </w:rPr>
            </w:pPr>
            <w:r w:rsidRPr="00E52C43">
              <w:rPr>
                <w:rFonts w:cs="Arial"/>
                <w:sz w:val="18"/>
                <w:szCs w:val="18"/>
                <w:lang w:val="es-ES"/>
              </w:rPr>
              <w:t>27.338.203</w:t>
            </w:r>
          </w:p>
        </w:tc>
        <w:tc>
          <w:tcPr>
            <w:tcW w:w="1231" w:type="dxa"/>
            <w:shd w:val="clear" w:color="auto" w:fill="auto"/>
          </w:tcPr>
          <w:p w14:paraId="5D81C91A" w14:textId="77777777" w:rsidR="00DB373A" w:rsidRPr="00E52C43" w:rsidRDefault="00DB373A" w:rsidP="00FE7597">
            <w:pPr>
              <w:jc w:val="center"/>
              <w:rPr>
                <w:rFonts w:cs="Arial"/>
                <w:sz w:val="18"/>
                <w:szCs w:val="18"/>
                <w:lang w:val="es-ES"/>
              </w:rPr>
            </w:pPr>
            <w:r w:rsidRPr="00E52C43">
              <w:rPr>
                <w:rFonts w:cs="Arial"/>
                <w:sz w:val="18"/>
                <w:szCs w:val="18"/>
                <w:lang w:val="es-ES"/>
              </w:rPr>
              <w:t>0</w:t>
            </w:r>
          </w:p>
        </w:tc>
        <w:tc>
          <w:tcPr>
            <w:tcW w:w="1318" w:type="dxa"/>
            <w:shd w:val="clear" w:color="auto" w:fill="auto"/>
          </w:tcPr>
          <w:p w14:paraId="570CCC3A" w14:textId="77777777" w:rsidR="00DB373A" w:rsidRPr="00E52C43" w:rsidRDefault="00DB373A" w:rsidP="00FE7597">
            <w:pPr>
              <w:jc w:val="right"/>
              <w:rPr>
                <w:rFonts w:cs="Arial"/>
                <w:sz w:val="18"/>
                <w:szCs w:val="18"/>
                <w:lang w:val="es-ES"/>
              </w:rPr>
            </w:pPr>
            <w:r w:rsidRPr="00E52C43">
              <w:rPr>
                <w:rFonts w:cs="Arial"/>
                <w:sz w:val="18"/>
                <w:szCs w:val="18"/>
                <w:lang w:val="es-ES"/>
              </w:rPr>
              <w:t>27.338.203</w:t>
            </w:r>
          </w:p>
        </w:tc>
      </w:tr>
      <w:tr w:rsidR="00DB373A" w:rsidRPr="00E52C43" w14:paraId="281213C0" w14:textId="77777777" w:rsidTr="00FE7597">
        <w:tc>
          <w:tcPr>
            <w:tcW w:w="4701" w:type="dxa"/>
            <w:shd w:val="clear" w:color="auto" w:fill="auto"/>
          </w:tcPr>
          <w:p w14:paraId="2463679A" w14:textId="77777777" w:rsidR="00DB373A" w:rsidRPr="00E52C43" w:rsidRDefault="00DB373A" w:rsidP="00FE7597">
            <w:pPr>
              <w:rPr>
                <w:rFonts w:cs="Arial"/>
                <w:sz w:val="18"/>
                <w:szCs w:val="18"/>
                <w:lang w:val="es-ES"/>
              </w:rPr>
            </w:pPr>
            <w:r w:rsidRPr="00E52C43">
              <w:rPr>
                <w:rFonts w:cs="Arial"/>
                <w:sz w:val="18"/>
                <w:szCs w:val="18"/>
                <w:lang w:val="es-ES"/>
              </w:rPr>
              <w:t>Componente 2. Ampliación del acceso y consolidación de las RAS</w:t>
            </w:r>
          </w:p>
        </w:tc>
        <w:tc>
          <w:tcPr>
            <w:tcW w:w="1318" w:type="dxa"/>
            <w:shd w:val="clear" w:color="auto" w:fill="auto"/>
          </w:tcPr>
          <w:p w14:paraId="148A4E86" w14:textId="77777777" w:rsidR="00DB373A" w:rsidRPr="00E52C43" w:rsidRDefault="00DB373A" w:rsidP="00FE7597">
            <w:pPr>
              <w:jc w:val="right"/>
              <w:rPr>
                <w:rFonts w:cs="Arial"/>
                <w:sz w:val="18"/>
                <w:szCs w:val="18"/>
                <w:lang w:val="es-ES"/>
              </w:rPr>
            </w:pPr>
            <w:r w:rsidRPr="00E52C43">
              <w:rPr>
                <w:rFonts w:cs="Arial"/>
                <w:sz w:val="18"/>
                <w:szCs w:val="18"/>
                <w:lang w:val="es-ES"/>
              </w:rPr>
              <w:t>85.761</w:t>
            </w:r>
            <w:r w:rsidR="00A97923" w:rsidRPr="00E52C43">
              <w:rPr>
                <w:rFonts w:cs="Arial"/>
                <w:sz w:val="18"/>
                <w:szCs w:val="18"/>
                <w:lang w:val="es-ES"/>
              </w:rPr>
              <w:t>.</w:t>
            </w:r>
            <w:r w:rsidRPr="00E52C43">
              <w:rPr>
                <w:rFonts w:cs="Arial"/>
                <w:sz w:val="18"/>
                <w:szCs w:val="18"/>
                <w:lang w:val="es-ES"/>
              </w:rPr>
              <w:t>797</w:t>
            </w:r>
          </w:p>
        </w:tc>
        <w:tc>
          <w:tcPr>
            <w:tcW w:w="1231" w:type="dxa"/>
            <w:shd w:val="clear" w:color="auto" w:fill="auto"/>
          </w:tcPr>
          <w:p w14:paraId="18F31A69" w14:textId="1F26A77F" w:rsidR="00DB373A" w:rsidRPr="00E52C43" w:rsidRDefault="00DB373A" w:rsidP="00FE7597">
            <w:pPr>
              <w:jc w:val="right"/>
              <w:rPr>
                <w:rFonts w:cs="Arial"/>
                <w:sz w:val="18"/>
                <w:szCs w:val="18"/>
                <w:lang w:val="es-ES"/>
              </w:rPr>
            </w:pPr>
            <w:r w:rsidRPr="00E52C43">
              <w:rPr>
                <w:rFonts w:cs="Arial"/>
                <w:sz w:val="18"/>
                <w:szCs w:val="18"/>
                <w:lang w:val="es-ES"/>
              </w:rPr>
              <w:t>55.</w:t>
            </w:r>
            <w:r w:rsidR="007502BE">
              <w:rPr>
                <w:rFonts w:cs="Arial"/>
                <w:sz w:val="18"/>
                <w:szCs w:val="18"/>
                <w:lang w:val="es-ES"/>
              </w:rPr>
              <w:t>5</w:t>
            </w:r>
            <w:r w:rsidRPr="00E52C43">
              <w:rPr>
                <w:rFonts w:cs="Arial"/>
                <w:sz w:val="18"/>
                <w:szCs w:val="18"/>
                <w:lang w:val="es-ES"/>
              </w:rPr>
              <w:t>00.000</w:t>
            </w:r>
          </w:p>
        </w:tc>
        <w:tc>
          <w:tcPr>
            <w:tcW w:w="1318" w:type="dxa"/>
            <w:shd w:val="clear" w:color="auto" w:fill="auto"/>
          </w:tcPr>
          <w:p w14:paraId="4148FCAB" w14:textId="43424482" w:rsidR="00DB373A" w:rsidRPr="00E52C43" w:rsidRDefault="00DB373A" w:rsidP="007502BE">
            <w:pPr>
              <w:jc w:val="right"/>
              <w:rPr>
                <w:rFonts w:cs="Arial"/>
                <w:sz w:val="18"/>
                <w:szCs w:val="18"/>
                <w:lang w:val="es-ES"/>
              </w:rPr>
            </w:pPr>
            <w:r w:rsidRPr="00E52C43">
              <w:rPr>
                <w:rFonts w:cs="Arial"/>
                <w:sz w:val="18"/>
                <w:szCs w:val="18"/>
                <w:lang w:val="es-ES"/>
              </w:rPr>
              <w:t>14</w:t>
            </w:r>
            <w:r w:rsidR="007502BE">
              <w:rPr>
                <w:rFonts w:cs="Arial"/>
                <w:sz w:val="18"/>
                <w:szCs w:val="18"/>
                <w:lang w:val="es-ES"/>
              </w:rPr>
              <w:t>1.2</w:t>
            </w:r>
            <w:r w:rsidRPr="00E52C43">
              <w:rPr>
                <w:rFonts w:cs="Arial"/>
                <w:sz w:val="18"/>
                <w:szCs w:val="18"/>
                <w:lang w:val="es-ES"/>
              </w:rPr>
              <w:t>61.797</w:t>
            </w:r>
          </w:p>
        </w:tc>
      </w:tr>
      <w:tr w:rsidR="00DB373A" w:rsidRPr="00E52C43" w14:paraId="3F203888" w14:textId="77777777" w:rsidTr="00FE7597">
        <w:tc>
          <w:tcPr>
            <w:tcW w:w="4701" w:type="dxa"/>
            <w:shd w:val="clear" w:color="auto" w:fill="auto"/>
          </w:tcPr>
          <w:p w14:paraId="588C683E" w14:textId="3583BB60" w:rsidR="00DB373A" w:rsidRPr="00E52C43" w:rsidRDefault="00DB373A" w:rsidP="007E3AE0">
            <w:pPr>
              <w:rPr>
                <w:rFonts w:cs="Arial"/>
                <w:sz w:val="18"/>
                <w:szCs w:val="18"/>
                <w:lang w:val="es-ES"/>
              </w:rPr>
            </w:pPr>
            <w:r w:rsidRPr="00E52C43">
              <w:rPr>
                <w:rFonts w:cs="Arial"/>
                <w:sz w:val="18"/>
                <w:szCs w:val="18"/>
                <w:lang w:val="es-ES"/>
              </w:rPr>
              <w:t>Componente 3. Administración</w:t>
            </w:r>
            <w:r w:rsidR="007E3AE0">
              <w:rPr>
                <w:rFonts w:cs="Arial"/>
                <w:sz w:val="18"/>
                <w:szCs w:val="18"/>
                <w:lang w:val="es-ES"/>
              </w:rPr>
              <w:t>,</w:t>
            </w:r>
            <w:r w:rsidRPr="00E52C43">
              <w:rPr>
                <w:rFonts w:cs="Arial"/>
                <w:sz w:val="18"/>
                <w:szCs w:val="18"/>
                <w:lang w:val="es-ES"/>
              </w:rPr>
              <w:t xml:space="preserve"> evaluación</w:t>
            </w:r>
            <w:r w:rsidR="007E3AE0">
              <w:rPr>
                <w:rFonts w:cs="Arial"/>
                <w:sz w:val="18"/>
                <w:szCs w:val="18"/>
                <w:lang w:val="es-ES"/>
              </w:rPr>
              <w:t xml:space="preserve"> y auditoría</w:t>
            </w:r>
            <w:r w:rsidRPr="00E52C43">
              <w:rPr>
                <w:rFonts w:cs="Arial"/>
                <w:sz w:val="18"/>
                <w:szCs w:val="18"/>
                <w:lang w:val="es-ES"/>
              </w:rPr>
              <w:t xml:space="preserve"> </w:t>
            </w:r>
          </w:p>
        </w:tc>
        <w:tc>
          <w:tcPr>
            <w:tcW w:w="1318" w:type="dxa"/>
            <w:shd w:val="clear" w:color="auto" w:fill="auto"/>
          </w:tcPr>
          <w:p w14:paraId="1D87F4E8" w14:textId="77777777" w:rsidR="00DB373A" w:rsidRPr="00E52C43" w:rsidRDefault="00DB373A" w:rsidP="00FE7597">
            <w:pPr>
              <w:jc w:val="right"/>
              <w:rPr>
                <w:rFonts w:cs="Arial"/>
                <w:sz w:val="18"/>
                <w:szCs w:val="18"/>
                <w:lang w:val="es-ES"/>
              </w:rPr>
            </w:pPr>
            <w:r w:rsidRPr="00E52C43">
              <w:rPr>
                <w:rFonts w:cs="Arial"/>
                <w:sz w:val="18"/>
                <w:szCs w:val="18"/>
                <w:lang w:val="es-ES"/>
              </w:rPr>
              <w:t>9.900.000</w:t>
            </w:r>
          </w:p>
        </w:tc>
        <w:tc>
          <w:tcPr>
            <w:tcW w:w="1231" w:type="dxa"/>
            <w:shd w:val="clear" w:color="auto" w:fill="auto"/>
          </w:tcPr>
          <w:p w14:paraId="03CB2EB8" w14:textId="77777777" w:rsidR="00DB373A" w:rsidRPr="00E52C43" w:rsidRDefault="00DB373A" w:rsidP="00FE7597">
            <w:pPr>
              <w:jc w:val="center"/>
              <w:rPr>
                <w:rFonts w:cs="Arial"/>
                <w:sz w:val="18"/>
                <w:szCs w:val="18"/>
                <w:lang w:val="es-ES"/>
              </w:rPr>
            </w:pPr>
            <w:r w:rsidRPr="00E52C43">
              <w:rPr>
                <w:rFonts w:cs="Arial"/>
                <w:sz w:val="18"/>
                <w:szCs w:val="18"/>
                <w:lang w:val="es-ES"/>
              </w:rPr>
              <w:t>0</w:t>
            </w:r>
          </w:p>
        </w:tc>
        <w:tc>
          <w:tcPr>
            <w:tcW w:w="1318" w:type="dxa"/>
            <w:shd w:val="clear" w:color="auto" w:fill="auto"/>
          </w:tcPr>
          <w:p w14:paraId="24CBF26E" w14:textId="77777777" w:rsidR="00DB373A" w:rsidRPr="00E52C43" w:rsidRDefault="00DB373A" w:rsidP="00FE7597">
            <w:pPr>
              <w:jc w:val="right"/>
              <w:rPr>
                <w:rFonts w:cs="Arial"/>
                <w:sz w:val="18"/>
                <w:szCs w:val="18"/>
                <w:lang w:val="es-ES"/>
              </w:rPr>
            </w:pPr>
            <w:r w:rsidRPr="00E52C43">
              <w:rPr>
                <w:rFonts w:cs="Arial"/>
                <w:sz w:val="18"/>
                <w:szCs w:val="18"/>
                <w:lang w:val="es-ES"/>
              </w:rPr>
              <w:t>9.900.000</w:t>
            </w:r>
          </w:p>
        </w:tc>
      </w:tr>
      <w:tr w:rsidR="00DB373A" w:rsidRPr="00E52C43" w14:paraId="78A837DD" w14:textId="77777777" w:rsidTr="00FE7597">
        <w:tc>
          <w:tcPr>
            <w:tcW w:w="4701" w:type="dxa"/>
            <w:shd w:val="clear" w:color="auto" w:fill="auto"/>
          </w:tcPr>
          <w:p w14:paraId="522599B0" w14:textId="77777777" w:rsidR="00DB373A" w:rsidRPr="00E52C43" w:rsidRDefault="00DB373A" w:rsidP="00FE7597">
            <w:pPr>
              <w:rPr>
                <w:rFonts w:cs="Arial"/>
                <w:b/>
                <w:sz w:val="18"/>
                <w:szCs w:val="18"/>
                <w:lang w:val="es-ES"/>
              </w:rPr>
            </w:pPr>
            <w:r w:rsidRPr="00E52C43">
              <w:rPr>
                <w:rFonts w:cs="Arial"/>
                <w:b/>
                <w:sz w:val="18"/>
                <w:szCs w:val="18"/>
                <w:lang w:val="es-ES"/>
              </w:rPr>
              <w:t>TOTAL</w:t>
            </w:r>
          </w:p>
        </w:tc>
        <w:tc>
          <w:tcPr>
            <w:tcW w:w="1318" w:type="dxa"/>
            <w:shd w:val="clear" w:color="auto" w:fill="auto"/>
          </w:tcPr>
          <w:p w14:paraId="0785DE71" w14:textId="77777777" w:rsidR="00DB373A" w:rsidRPr="00E52C43" w:rsidRDefault="00DB373A" w:rsidP="00FE7597">
            <w:pPr>
              <w:jc w:val="right"/>
              <w:rPr>
                <w:rFonts w:cs="Arial"/>
                <w:b/>
                <w:sz w:val="18"/>
                <w:szCs w:val="18"/>
                <w:lang w:val="es-ES"/>
              </w:rPr>
            </w:pPr>
            <w:r w:rsidRPr="00E52C43">
              <w:rPr>
                <w:rFonts w:cs="Arial"/>
                <w:b/>
                <w:sz w:val="18"/>
                <w:szCs w:val="18"/>
                <w:lang w:val="es-ES"/>
              </w:rPr>
              <w:t>123.000.000</w:t>
            </w:r>
          </w:p>
        </w:tc>
        <w:tc>
          <w:tcPr>
            <w:tcW w:w="1231" w:type="dxa"/>
            <w:shd w:val="clear" w:color="auto" w:fill="auto"/>
          </w:tcPr>
          <w:p w14:paraId="35B33EF0" w14:textId="604B0F48" w:rsidR="00DB373A" w:rsidRPr="00E52C43" w:rsidRDefault="00DB373A" w:rsidP="00FE7597">
            <w:pPr>
              <w:jc w:val="right"/>
              <w:rPr>
                <w:rFonts w:cs="Arial"/>
                <w:b/>
                <w:sz w:val="18"/>
                <w:szCs w:val="18"/>
                <w:lang w:val="es-ES"/>
              </w:rPr>
            </w:pPr>
            <w:r w:rsidRPr="00E52C43">
              <w:rPr>
                <w:rFonts w:cs="Arial"/>
                <w:b/>
                <w:sz w:val="18"/>
                <w:szCs w:val="18"/>
                <w:lang w:val="es-ES"/>
              </w:rPr>
              <w:t>55.</w:t>
            </w:r>
            <w:r w:rsidR="007502BE">
              <w:rPr>
                <w:rFonts w:cs="Arial"/>
                <w:b/>
                <w:sz w:val="18"/>
                <w:szCs w:val="18"/>
                <w:lang w:val="es-ES"/>
              </w:rPr>
              <w:t>5</w:t>
            </w:r>
            <w:r w:rsidRPr="00E52C43">
              <w:rPr>
                <w:rFonts w:cs="Arial"/>
                <w:b/>
                <w:sz w:val="18"/>
                <w:szCs w:val="18"/>
                <w:lang w:val="es-ES"/>
              </w:rPr>
              <w:t>00.000</w:t>
            </w:r>
          </w:p>
        </w:tc>
        <w:tc>
          <w:tcPr>
            <w:tcW w:w="1318" w:type="dxa"/>
            <w:shd w:val="clear" w:color="auto" w:fill="auto"/>
          </w:tcPr>
          <w:p w14:paraId="38824545" w14:textId="3A96381D" w:rsidR="00DB373A" w:rsidRPr="00E52C43" w:rsidRDefault="00DB373A" w:rsidP="007502BE">
            <w:pPr>
              <w:jc w:val="right"/>
              <w:rPr>
                <w:rFonts w:cs="Arial"/>
                <w:b/>
                <w:sz w:val="18"/>
                <w:szCs w:val="18"/>
                <w:lang w:val="es-ES"/>
              </w:rPr>
            </w:pPr>
            <w:r w:rsidRPr="00E52C43">
              <w:rPr>
                <w:rFonts w:cs="Arial"/>
                <w:b/>
                <w:sz w:val="18"/>
                <w:szCs w:val="18"/>
                <w:lang w:val="es-ES"/>
              </w:rPr>
              <w:t>178.</w:t>
            </w:r>
            <w:r w:rsidR="007502BE">
              <w:rPr>
                <w:rFonts w:cs="Arial"/>
                <w:b/>
                <w:sz w:val="18"/>
                <w:szCs w:val="18"/>
                <w:lang w:val="es-ES"/>
              </w:rPr>
              <w:t>5</w:t>
            </w:r>
            <w:r w:rsidRPr="00E52C43">
              <w:rPr>
                <w:rFonts w:cs="Arial"/>
                <w:b/>
                <w:sz w:val="18"/>
                <w:szCs w:val="18"/>
                <w:lang w:val="es-ES"/>
              </w:rPr>
              <w:t>00.000</w:t>
            </w:r>
          </w:p>
        </w:tc>
      </w:tr>
      <w:bookmarkEnd w:id="2"/>
    </w:tbl>
    <w:p w14:paraId="68740448" w14:textId="77777777" w:rsidR="00DB373A" w:rsidRPr="00E52C43" w:rsidRDefault="00DB373A" w:rsidP="00DB373A">
      <w:pPr>
        <w:pStyle w:val="Heading1"/>
        <w:numPr>
          <w:ilvl w:val="0"/>
          <w:numId w:val="0"/>
        </w:numPr>
        <w:ind w:left="288" w:hanging="288"/>
        <w:jc w:val="both"/>
        <w:rPr>
          <w:rFonts w:ascii="Arial" w:hAnsi="Arial" w:cs="Arial"/>
          <w:smallCaps w:val="0"/>
          <w:noProof w:val="0"/>
          <w:sz w:val="22"/>
          <w:szCs w:val="22"/>
        </w:rPr>
      </w:pPr>
    </w:p>
    <w:p w14:paraId="45D526AE" w14:textId="77777777" w:rsidR="00DB373A" w:rsidRPr="00E52C43" w:rsidRDefault="00DB373A">
      <w:pPr>
        <w:rPr>
          <w:rFonts w:cs="Arial"/>
          <w:b/>
          <w:spacing w:val="0"/>
          <w:sz w:val="22"/>
          <w:szCs w:val="22"/>
          <w:lang w:val="es-ES" w:eastAsia="es-ES"/>
        </w:rPr>
      </w:pPr>
      <w:r w:rsidRPr="00E52C43">
        <w:rPr>
          <w:rFonts w:cs="Arial"/>
          <w:smallCaps/>
          <w:sz w:val="22"/>
          <w:szCs w:val="22"/>
          <w:lang w:val="es-ES"/>
        </w:rPr>
        <w:br w:type="page"/>
      </w:r>
    </w:p>
    <w:p w14:paraId="1D39C9F7" w14:textId="77777777" w:rsidR="00DB373A" w:rsidRPr="00E52C43" w:rsidRDefault="00DB373A" w:rsidP="00A97923">
      <w:pPr>
        <w:pStyle w:val="Heading2"/>
        <w:tabs>
          <w:tab w:val="left" w:pos="3330"/>
        </w:tabs>
        <w:spacing w:before="120" w:after="240"/>
        <w:ind w:left="360" w:hanging="360"/>
        <w:rPr>
          <w:rFonts w:ascii="Arial" w:hAnsi="Arial" w:cs="Arial"/>
          <w:color w:val="auto"/>
          <w:sz w:val="22"/>
          <w:szCs w:val="22"/>
          <w:lang w:val="es-ES"/>
        </w:rPr>
      </w:pPr>
      <w:r w:rsidRPr="00E52C43">
        <w:rPr>
          <w:rFonts w:ascii="Arial" w:hAnsi="Arial" w:cs="Arial"/>
          <w:color w:val="auto"/>
          <w:sz w:val="22"/>
          <w:szCs w:val="22"/>
          <w:lang w:val="es-ES"/>
        </w:rPr>
        <w:lastRenderedPageBreak/>
        <w:t>II. Seguimiento</w:t>
      </w:r>
    </w:p>
    <w:p w14:paraId="4D05B9A8" w14:textId="77777777" w:rsidR="00DB373A" w:rsidRPr="00E52C43" w:rsidRDefault="00DB373A" w:rsidP="00DB373A">
      <w:pPr>
        <w:pStyle w:val="AutoNumpara"/>
        <w:numPr>
          <w:ilvl w:val="0"/>
          <w:numId w:val="0"/>
        </w:numPr>
        <w:rPr>
          <w:rFonts w:cs="Arial"/>
          <w:noProof w:val="0"/>
          <w:sz w:val="22"/>
          <w:szCs w:val="22"/>
          <w:lang w:val="es-ES"/>
        </w:rPr>
      </w:pPr>
      <w:r w:rsidRPr="00E52C43">
        <w:rPr>
          <w:rFonts w:cs="Arial"/>
          <w:b/>
          <w:noProof w:val="0"/>
          <w:sz w:val="22"/>
          <w:szCs w:val="22"/>
          <w:lang w:val="es-ES"/>
        </w:rPr>
        <w:t xml:space="preserve">Esquema de ejecución. </w:t>
      </w:r>
      <w:r w:rsidRPr="00E52C43">
        <w:rPr>
          <w:rFonts w:cs="Arial"/>
          <w:noProof w:val="0"/>
          <w:sz w:val="22"/>
          <w:szCs w:val="22"/>
          <w:lang w:val="es-ES"/>
        </w:rPr>
        <w:t>El prestatario  será el Estado de Ceará y la República Federativa de Brasil será el garante de las obligaciones financieras del prestatario derivadas del contrato de préstamo.</w:t>
      </w:r>
    </w:p>
    <w:p w14:paraId="6FB05352" w14:textId="77777777" w:rsidR="00DB373A" w:rsidRPr="00E52C43" w:rsidRDefault="00DB373A" w:rsidP="00A45816">
      <w:pPr>
        <w:pStyle w:val="AutoNumpara"/>
        <w:numPr>
          <w:ilvl w:val="0"/>
          <w:numId w:val="0"/>
        </w:numPr>
        <w:rPr>
          <w:rFonts w:cs="Arial"/>
          <w:noProof w:val="0"/>
          <w:sz w:val="22"/>
          <w:szCs w:val="22"/>
          <w:lang w:val="es-ES"/>
        </w:rPr>
      </w:pPr>
      <w:r w:rsidRPr="00E52C43">
        <w:rPr>
          <w:rFonts w:cs="Arial"/>
          <w:noProof w:val="0"/>
          <w:sz w:val="22"/>
          <w:szCs w:val="22"/>
          <w:lang w:val="es-ES"/>
        </w:rPr>
        <w:t>Esquema de Ejecución. El Organismo Ejecutor (OE) será el Estado de Ceará, a través de la Secretaría de Estado de Salud de Ceará (SESA)</w:t>
      </w:r>
      <w:r w:rsidR="00E52C43">
        <w:rPr>
          <w:rFonts w:cs="Arial"/>
          <w:noProof w:val="0"/>
          <w:sz w:val="22"/>
          <w:szCs w:val="22"/>
          <w:lang w:val="es-ES"/>
        </w:rPr>
        <w:t>,</w:t>
      </w:r>
      <w:r w:rsidRPr="00E52C43">
        <w:rPr>
          <w:rFonts w:cs="Arial"/>
          <w:noProof w:val="0"/>
          <w:sz w:val="22"/>
          <w:szCs w:val="22"/>
          <w:lang w:val="es-ES"/>
        </w:rPr>
        <w:t xml:space="preserve"> </w:t>
      </w:r>
      <w:r w:rsidR="00E52C43">
        <w:rPr>
          <w:rFonts w:cs="Arial"/>
          <w:noProof w:val="0"/>
          <w:sz w:val="22"/>
          <w:szCs w:val="22"/>
          <w:lang w:val="es-ES"/>
        </w:rPr>
        <w:t>l</w:t>
      </w:r>
      <w:r w:rsidRPr="00E52C43">
        <w:rPr>
          <w:rFonts w:cs="Arial"/>
          <w:noProof w:val="0"/>
          <w:sz w:val="22"/>
          <w:szCs w:val="22"/>
          <w:lang w:val="es-ES"/>
        </w:rPr>
        <w:t xml:space="preserve">a Secretaría Estatal de Salud (SESA) que instituirá, por medio de instrumento jurídico pertinente, la Unidad Gestora del Programa (UGP). </w:t>
      </w:r>
      <w:r w:rsidR="00A45816" w:rsidRPr="00E52C43">
        <w:rPr>
          <w:rFonts w:cs="Arial"/>
          <w:noProof w:val="0"/>
          <w:sz w:val="22"/>
          <w:szCs w:val="22"/>
          <w:lang w:val="es-ES"/>
        </w:rPr>
        <w:t>De acuerdo con el POD y como resultado del análisis institucional realizado y a la luz de los problemas de ejecución de la operación anterior, se plantea que la UGP contemple una Coordinación General; dos Gerencias técnicas en el área de ingeniería; una Gerencia de gestión y fortalecimiento, donde serán tratados los temas de calidad y certificación; una Gerencia de Adquisiciones y una Administrativo-Financiera; y (ii) contratación de apoyo al gerenciamiento del Programa y supervisión de obras; (b): (i) realizar diagnóstico/levantamiento/mapeo de los procesos de gestión financiera y de adquisiciones para fines de análisis de las oportunidades de mejora y mayor eficiencia de los mismos, (ii) realizar una estrecha supervisión sectorial y fiduciaria con base en los instrumentos de planificación acordados en el Plan de Ejecución Plurianual (PEP) y en el Plan de Adquisiciones (PA); (c): (i) condicionar los inicios de los procesos de contratación de obras, a la validación del Banco de los proyectos ejecutivos y complementarios, así como de las licencias y estudios necesarios; (ii) establecer acuerdos con la Secretaría de Infraestructura de Ceará (SEINFRA); (iii) contratar consultorías para la elaboración de proyectos, estudios y supervisión de obras; (d): (i) contratación de un verificador independiente de la PPP; (ii) en los contratos por resultados de la operación, incluir resultados interdependientes entre Bata Blanca y Bata Gris, para garantizar alineamiento en las dos operaciones y el buen funcionamiento del hospital; (e): (i) viabilizar la disponibilidad por parte de la SEFAZ, de su sistema de gestión financiera a la SESA, que deberá ser adecuado para atender a los requerimientos del Banco (par 2.4 del POD). Asimismo, l</w:t>
      </w:r>
      <w:r w:rsidRPr="00E52C43">
        <w:rPr>
          <w:rFonts w:cs="Arial"/>
          <w:noProof w:val="0"/>
          <w:sz w:val="22"/>
          <w:szCs w:val="22"/>
          <w:lang w:val="es-ES"/>
        </w:rPr>
        <w:t>a UGP tendrá una coordinación de monitoreo, planeación y evaluación que será la encargada de monitorear el desempeño y el progreso de la implementación del programa</w:t>
      </w:r>
      <w:r w:rsidR="00A45816" w:rsidRPr="00E52C43">
        <w:rPr>
          <w:rFonts w:cs="Arial"/>
          <w:noProof w:val="0"/>
          <w:sz w:val="22"/>
          <w:szCs w:val="22"/>
          <w:lang w:val="es-ES"/>
        </w:rPr>
        <w:t xml:space="preserve"> de acuerdo con los indicadores de seguimiento acorados con el Banco</w:t>
      </w:r>
      <w:r w:rsidRPr="00E52C43">
        <w:rPr>
          <w:rFonts w:cs="Arial"/>
          <w:noProof w:val="0"/>
          <w:sz w:val="22"/>
          <w:szCs w:val="22"/>
          <w:lang w:val="es-ES"/>
        </w:rPr>
        <w:t>. El equipo del BID dará seguimiento al monitoreo verificando los datos y reportes sobre las actividades del programa.</w:t>
      </w:r>
    </w:p>
    <w:p w14:paraId="5A796334" w14:textId="77777777" w:rsidR="00DB373A" w:rsidRPr="00E52C43" w:rsidRDefault="00DB373A" w:rsidP="00A97923">
      <w:pPr>
        <w:pStyle w:val="Heading4"/>
        <w:numPr>
          <w:ilvl w:val="0"/>
          <w:numId w:val="10"/>
        </w:numPr>
        <w:tabs>
          <w:tab w:val="clear" w:pos="1440"/>
          <w:tab w:val="left" w:pos="900"/>
        </w:tabs>
        <w:spacing w:before="240" w:after="240"/>
        <w:rPr>
          <w:rFonts w:ascii="Arial" w:hAnsi="Arial" w:cs="Arial"/>
          <w:noProof w:val="0"/>
          <w:sz w:val="22"/>
          <w:szCs w:val="22"/>
        </w:rPr>
      </w:pPr>
      <w:r w:rsidRPr="00E52C43">
        <w:rPr>
          <w:rFonts w:ascii="Arial" w:hAnsi="Arial" w:cs="Arial"/>
          <w:noProof w:val="0"/>
          <w:sz w:val="22"/>
          <w:szCs w:val="22"/>
        </w:rPr>
        <w:t>Indicadores de Seguimiento</w:t>
      </w:r>
    </w:p>
    <w:p w14:paraId="7DDFA9D0" w14:textId="77777777" w:rsidR="00DB373A" w:rsidRPr="00E52C43" w:rsidRDefault="00DB373A" w:rsidP="00DB373A">
      <w:pPr>
        <w:pStyle w:val="AutoNumpara"/>
        <w:numPr>
          <w:ilvl w:val="0"/>
          <w:numId w:val="0"/>
        </w:numPr>
        <w:rPr>
          <w:rFonts w:cs="Arial"/>
          <w:noProof w:val="0"/>
          <w:color w:val="000000"/>
          <w:sz w:val="22"/>
          <w:szCs w:val="22"/>
          <w:lang w:val="es-ES"/>
        </w:rPr>
      </w:pPr>
      <w:r w:rsidRPr="00E52C43">
        <w:rPr>
          <w:rFonts w:cs="Arial"/>
          <w:noProof w:val="0"/>
          <w:sz w:val="22"/>
          <w:szCs w:val="22"/>
          <w:lang w:val="es-ES"/>
        </w:rPr>
        <w:t xml:space="preserve">En el siguiente cuadro se incluyen los indicadores de producto de la Matriz de Resultados, divididos por componente y subcomponente del proyecto, a que se dará seguimiento periódico y que se consignarán en los informes de seguimiento del proyecto. </w:t>
      </w:r>
    </w:p>
    <w:p w14:paraId="08828E4C" w14:textId="77777777" w:rsidR="005F49DB" w:rsidRDefault="00DB373A" w:rsidP="00DB373A">
      <w:pPr>
        <w:pStyle w:val="AutoNumpara"/>
        <w:numPr>
          <w:ilvl w:val="0"/>
          <w:numId w:val="0"/>
        </w:numPr>
        <w:rPr>
          <w:rFonts w:cs="Arial"/>
          <w:noProof w:val="0"/>
          <w:sz w:val="22"/>
          <w:szCs w:val="22"/>
          <w:lang w:val="es-ES"/>
        </w:rPr>
      </w:pPr>
      <w:r w:rsidRPr="00E52C43">
        <w:rPr>
          <w:rFonts w:cs="Arial"/>
          <w:noProof w:val="0"/>
          <w:sz w:val="22"/>
          <w:szCs w:val="22"/>
          <w:lang w:val="es-ES"/>
        </w:rPr>
        <w:t xml:space="preserve">La Matriz de Resultados (MR) que se ha acordado entre la </w:t>
      </w:r>
      <w:r w:rsidR="00A45816" w:rsidRPr="00E52C43">
        <w:rPr>
          <w:rFonts w:cs="Arial"/>
          <w:noProof w:val="0"/>
          <w:sz w:val="22"/>
          <w:szCs w:val="22"/>
          <w:lang w:val="es-ES"/>
        </w:rPr>
        <w:t>SESA</w:t>
      </w:r>
      <w:r w:rsidRPr="00E52C43">
        <w:rPr>
          <w:rFonts w:cs="Arial"/>
          <w:noProof w:val="0"/>
          <w:sz w:val="22"/>
          <w:szCs w:val="22"/>
          <w:lang w:val="es-ES"/>
        </w:rPr>
        <w:t xml:space="preserve"> y el Banco así como estos arreglos formarán parte del Reglamento Operativo del Programa (ROP), que establece las normas y procedimientos de implementación. La Matriz completa constará como Anexo I de la Propuesta de Préstamo e incluye los productos esperados de los componentes del programa. A continuación se presenta la secci</w:t>
      </w:r>
      <w:r w:rsidR="005F49DB">
        <w:rPr>
          <w:rFonts w:cs="Arial"/>
          <w:noProof w:val="0"/>
          <w:sz w:val="22"/>
          <w:szCs w:val="22"/>
          <w:lang w:val="es-ES"/>
        </w:rPr>
        <w:t>ón de productos de dicha Matriz.</w:t>
      </w:r>
    </w:p>
    <w:p w14:paraId="1399A54C" w14:textId="77777777" w:rsidR="005F49DB" w:rsidRDefault="005F49DB" w:rsidP="00DB373A">
      <w:pPr>
        <w:pStyle w:val="AutoNumpara"/>
        <w:numPr>
          <w:ilvl w:val="0"/>
          <w:numId w:val="0"/>
        </w:numPr>
        <w:rPr>
          <w:rFonts w:cs="Arial"/>
          <w:noProof w:val="0"/>
          <w:sz w:val="22"/>
          <w:szCs w:val="22"/>
          <w:lang w:val="es-ES"/>
        </w:rPr>
        <w:sectPr w:rsidR="005F49DB" w:rsidSect="002027F0">
          <w:headerReference w:type="even" r:id="rId10"/>
          <w:headerReference w:type="default" r:id="rId11"/>
          <w:footerReference w:type="default" r:id="rId12"/>
          <w:pgSz w:w="12240" w:h="15840"/>
          <w:pgMar w:top="1440" w:right="1440" w:bottom="1440" w:left="1440" w:header="720" w:footer="720" w:gutter="0"/>
          <w:cols w:space="720"/>
          <w:titlePg/>
          <w:docGrid w:linePitch="360"/>
        </w:sectPr>
      </w:pPr>
    </w:p>
    <w:p w14:paraId="0867041E" w14:textId="77777777" w:rsidR="00A97923" w:rsidRPr="00E52C43" w:rsidRDefault="00A97923" w:rsidP="00DB373A">
      <w:pPr>
        <w:pStyle w:val="AutoNumpara"/>
        <w:numPr>
          <w:ilvl w:val="0"/>
          <w:numId w:val="0"/>
        </w:numPr>
        <w:rPr>
          <w:rFonts w:cs="Arial"/>
          <w:noProof w:val="0"/>
          <w:sz w:val="22"/>
          <w:szCs w:val="22"/>
          <w:lang w:val="es-ES"/>
        </w:rPr>
      </w:pPr>
    </w:p>
    <w:p w14:paraId="7315AC84" w14:textId="77777777" w:rsidR="00A45816" w:rsidRPr="00E52C43" w:rsidRDefault="00A45816" w:rsidP="00A45816">
      <w:pPr>
        <w:jc w:val="center"/>
        <w:rPr>
          <w:rFonts w:cs="Arial"/>
          <w:b/>
          <w:smallCaps/>
          <w:sz w:val="22"/>
          <w:szCs w:val="22"/>
          <w:lang w:val="es-ES"/>
        </w:rPr>
      </w:pPr>
      <w:r w:rsidRPr="00E52C43">
        <w:rPr>
          <w:rFonts w:cs="Arial"/>
          <w:b/>
          <w:smallCaps/>
          <w:sz w:val="22"/>
          <w:szCs w:val="22"/>
          <w:lang w:val="es-ES"/>
        </w:rPr>
        <w:t>Productos</w:t>
      </w:r>
    </w:p>
    <w:p w14:paraId="218837F2" w14:textId="77777777" w:rsidR="00A45816" w:rsidRDefault="00A45816" w:rsidP="00A45816">
      <w:pPr>
        <w:rPr>
          <w:rFonts w:cs="Arial"/>
          <w:sz w:val="22"/>
          <w:szCs w:val="22"/>
          <w:lang w:val="es-E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1566"/>
        <w:gridCol w:w="969"/>
        <w:gridCol w:w="780"/>
        <w:gridCol w:w="780"/>
        <w:gridCol w:w="780"/>
        <w:gridCol w:w="780"/>
        <w:gridCol w:w="780"/>
        <w:gridCol w:w="786"/>
        <w:gridCol w:w="2282"/>
      </w:tblGrid>
      <w:tr w:rsidR="002E2259" w:rsidRPr="00F2687C" w14:paraId="384E83B3" w14:textId="77777777" w:rsidTr="00AB1278">
        <w:trPr>
          <w:tblHeader/>
        </w:trPr>
        <w:tc>
          <w:tcPr>
            <w:tcW w:w="3798" w:type="dxa"/>
            <w:tcBorders>
              <w:bottom w:val="single" w:sz="4" w:space="0" w:color="auto"/>
            </w:tcBorders>
            <w:shd w:val="clear" w:color="auto" w:fill="8DB3E2"/>
          </w:tcPr>
          <w:p w14:paraId="01D6F94A" w14:textId="77777777" w:rsidR="002E2259" w:rsidRPr="00F2687C" w:rsidRDefault="002E2259" w:rsidP="00AB1278">
            <w:pPr>
              <w:jc w:val="center"/>
              <w:rPr>
                <w:rFonts w:cs="Arial"/>
                <w:b/>
                <w:sz w:val="18"/>
                <w:szCs w:val="18"/>
                <w:lang w:val="es-ES"/>
              </w:rPr>
            </w:pPr>
            <w:r w:rsidRPr="00F2687C">
              <w:rPr>
                <w:rFonts w:cs="Arial"/>
                <w:b/>
                <w:sz w:val="18"/>
                <w:szCs w:val="18"/>
                <w:lang w:val="es-ES"/>
              </w:rPr>
              <w:t>Producto</w:t>
            </w:r>
          </w:p>
        </w:tc>
        <w:tc>
          <w:tcPr>
            <w:tcW w:w="1260" w:type="dxa"/>
            <w:tcBorders>
              <w:bottom w:val="single" w:sz="4" w:space="0" w:color="auto"/>
            </w:tcBorders>
            <w:shd w:val="clear" w:color="auto" w:fill="8DB3E2"/>
          </w:tcPr>
          <w:p w14:paraId="2F262C1A" w14:textId="77777777" w:rsidR="002E2259" w:rsidRPr="00F2687C" w:rsidRDefault="002E2259" w:rsidP="00AB1278">
            <w:pPr>
              <w:jc w:val="center"/>
              <w:rPr>
                <w:rFonts w:cs="Arial"/>
                <w:b/>
                <w:sz w:val="18"/>
                <w:szCs w:val="18"/>
                <w:lang w:val="es-ES"/>
              </w:rPr>
            </w:pPr>
            <w:r w:rsidRPr="00F2687C">
              <w:rPr>
                <w:rFonts w:cs="Arial"/>
                <w:b/>
                <w:sz w:val="18"/>
                <w:szCs w:val="18"/>
                <w:lang w:val="es-ES"/>
              </w:rPr>
              <w:t>Unidad de medida</w:t>
            </w:r>
          </w:p>
        </w:tc>
        <w:tc>
          <w:tcPr>
            <w:tcW w:w="990" w:type="dxa"/>
            <w:tcBorders>
              <w:bottom w:val="single" w:sz="4" w:space="0" w:color="auto"/>
            </w:tcBorders>
            <w:shd w:val="clear" w:color="auto" w:fill="8DB3E2"/>
          </w:tcPr>
          <w:p w14:paraId="6676BF55" w14:textId="77777777" w:rsidR="002E2259" w:rsidRPr="00F2687C" w:rsidRDefault="002E2259" w:rsidP="00AB1278">
            <w:pPr>
              <w:jc w:val="center"/>
              <w:rPr>
                <w:rFonts w:cs="Arial"/>
                <w:b/>
                <w:sz w:val="18"/>
                <w:szCs w:val="18"/>
                <w:lang w:val="es-ES"/>
              </w:rPr>
            </w:pPr>
            <w:r w:rsidRPr="00F2687C">
              <w:rPr>
                <w:rFonts w:cs="Arial"/>
                <w:b/>
                <w:sz w:val="18"/>
                <w:szCs w:val="18"/>
                <w:lang w:val="es-ES"/>
              </w:rPr>
              <w:t>Línea de base</w:t>
            </w:r>
          </w:p>
        </w:tc>
        <w:tc>
          <w:tcPr>
            <w:tcW w:w="795" w:type="dxa"/>
            <w:tcBorders>
              <w:bottom w:val="single" w:sz="4" w:space="0" w:color="auto"/>
            </w:tcBorders>
            <w:shd w:val="clear" w:color="auto" w:fill="8DB3E2"/>
          </w:tcPr>
          <w:p w14:paraId="74970135" w14:textId="77777777" w:rsidR="002E2259" w:rsidRPr="00F2687C" w:rsidRDefault="002E2259" w:rsidP="00AB1278">
            <w:pPr>
              <w:jc w:val="center"/>
              <w:rPr>
                <w:rFonts w:cs="Arial"/>
                <w:b/>
                <w:sz w:val="18"/>
                <w:szCs w:val="18"/>
                <w:lang w:val="es-ES"/>
              </w:rPr>
            </w:pPr>
            <w:r w:rsidRPr="00F2687C">
              <w:rPr>
                <w:rFonts w:cs="Arial"/>
                <w:b/>
                <w:sz w:val="18"/>
                <w:szCs w:val="18"/>
                <w:lang w:val="es-ES"/>
              </w:rPr>
              <w:t>Año 1</w:t>
            </w:r>
          </w:p>
        </w:tc>
        <w:tc>
          <w:tcPr>
            <w:tcW w:w="795" w:type="dxa"/>
            <w:tcBorders>
              <w:bottom w:val="single" w:sz="4" w:space="0" w:color="auto"/>
            </w:tcBorders>
            <w:shd w:val="clear" w:color="auto" w:fill="8DB3E2"/>
          </w:tcPr>
          <w:p w14:paraId="60164C95" w14:textId="77777777" w:rsidR="002E2259" w:rsidRPr="00F2687C" w:rsidRDefault="002E2259" w:rsidP="00AB1278">
            <w:pPr>
              <w:jc w:val="center"/>
              <w:rPr>
                <w:rFonts w:cs="Arial"/>
                <w:b/>
                <w:sz w:val="18"/>
                <w:szCs w:val="18"/>
                <w:lang w:val="es-ES"/>
              </w:rPr>
            </w:pPr>
            <w:r w:rsidRPr="00F2687C">
              <w:rPr>
                <w:rFonts w:cs="Arial"/>
                <w:b/>
                <w:sz w:val="18"/>
                <w:szCs w:val="18"/>
                <w:lang w:val="es-ES"/>
              </w:rPr>
              <w:t>Año 2</w:t>
            </w:r>
          </w:p>
        </w:tc>
        <w:tc>
          <w:tcPr>
            <w:tcW w:w="795" w:type="dxa"/>
            <w:tcBorders>
              <w:bottom w:val="single" w:sz="4" w:space="0" w:color="auto"/>
            </w:tcBorders>
            <w:shd w:val="clear" w:color="auto" w:fill="8DB3E2"/>
          </w:tcPr>
          <w:p w14:paraId="5284D38F" w14:textId="77777777" w:rsidR="002E2259" w:rsidRPr="00F2687C" w:rsidRDefault="002E2259" w:rsidP="00AB1278">
            <w:pPr>
              <w:jc w:val="center"/>
              <w:rPr>
                <w:rFonts w:cs="Arial"/>
                <w:b/>
                <w:sz w:val="18"/>
                <w:szCs w:val="18"/>
                <w:lang w:val="es-ES"/>
              </w:rPr>
            </w:pPr>
            <w:r w:rsidRPr="00F2687C">
              <w:rPr>
                <w:rFonts w:cs="Arial"/>
                <w:b/>
                <w:sz w:val="18"/>
                <w:szCs w:val="18"/>
                <w:lang w:val="es-ES"/>
              </w:rPr>
              <w:t>Año 3</w:t>
            </w:r>
          </w:p>
        </w:tc>
        <w:tc>
          <w:tcPr>
            <w:tcW w:w="795" w:type="dxa"/>
            <w:tcBorders>
              <w:bottom w:val="single" w:sz="4" w:space="0" w:color="auto"/>
            </w:tcBorders>
            <w:shd w:val="clear" w:color="auto" w:fill="8DB3E2"/>
          </w:tcPr>
          <w:p w14:paraId="4CB4F036" w14:textId="77777777" w:rsidR="002E2259" w:rsidRPr="00F2687C" w:rsidRDefault="002E2259" w:rsidP="00AB1278">
            <w:pPr>
              <w:jc w:val="center"/>
              <w:rPr>
                <w:rFonts w:cs="Arial"/>
                <w:b/>
                <w:sz w:val="18"/>
                <w:szCs w:val="18"/>
                <w:lang w:val="es-ES"/>
              </w:rPr>
            </w:pPr>
            <w:r w:rsidRPr="00F2687C">
              <w:rPr>
                <w:rFonts w:cs="Arial"/>
                <w:b/>
                <w:sz w:val="18"/>
                <w:szCs w:val="18"/>
                <w:lang w:val="es-ES"/>
              </w:rPr>
              <w:t>Año 4</w:t>
            </w:r>
          </w:p>
        </w:tc>
        <w:tc>
          <w:tcPr>
            <w:tcW w:w="795" w:type="dxa"/>
            <w:tcBorders>
              <w:bottom w:val="single" w:sz="4" w:space="0" w:color="auto"/>
            </w:tcBorders>
            <w:shd w:val="clear" w:color="auto" w:fill="8DB3E2"/>
          </w:tcPr>
          <w:p w14:paraId="54702A99" w14:textId="77777777" w:rsidR="002E2259" w:rsidRPr="00F2687C" w:rsidRDefault="002E2259" w:rsidP="00AB1278">
            <w:pPr>
              <w:jc w:val="center"/>
              <w:rPr>
                <w:rFonts w:cs="Arial"/>
                <w:b/>
                <w:sz w:val="18"/>
                <w:szCs w:val="18"/>
                <w:lang w:val="es-ES"/>
              </w:rPr>
            </w:pPr>
            <w:r w:rsidRPr="00F2687C">
              <w:rPr>
                <w:rFonts w:cs="Arial"/>
                <w:b/>
                <w:sz w:val="18"/>
                <w:szCs w:val="18"/>
                <w:lang w:val="es-ES"/>
              </w:rPr>
              <w:t>Año 5</w:t>
            </w:r>
          </w:p>
        </w:tc>
        <w:tc>
          <w:tcPr>
            <w:tcW w:w="795" w:type="dxa"/>
            <w:tcBorders>
              <w:bottom w:val="single" w:sz="4" w:space="0" w:color="auto"/>
            </w:tcBorders>
            <w:shd w:val="clear" w:color="auto" w:fill="8DB3E2"/>
          </w:tcPr>
          <w:p w14:paraId="6E1F0765" w14:textId="77777777" w:rsidR="002E2259" w:rsidRPr="00F2687C" w:rsidRDefault="002E2259" w:rsidP="00AB1278">
            <w:pPr>
              <w:jc w:val="center"/>
              <w:rPr>
                <w:rFonts w:cs="Arial"/>
                <w:b/>
                <w:sz w:val="18"/>
                <w:szCs w:val="18"/>
                <w:lang w:val="es-ES"/>
              </w:rPr>
            </w:pPr>
            <w:r w:rsidRPr="00F2687C">
              <w:rPr>
                <w:rFonts w:cs="Arial"/>
                <w:b/>
                <w:sz w:val="18"/>
                <w:szCs w:val="18"/>
                <w:lang w:val="es-ES"/>
              </w:rPr>
              <w:t>Meta</w:t>
            </w:r>
          </w:p>
        </w:tc>
        <w:tc>
          <w:tcPr>
            <w:tcW w:w="2340" w:type="dxa"/>
            <w:tcBorders>
              <w:bottom w:val="single" w:sz="4" w:space="0" w:color="auto"/>
            </w:tcBorders>
            <w:shd w:val="clear" w:color="auto" w:fill="8DB3E2"/>
          </w:tcPr>
          <w:p w14:paraId="376BA966" w14:textId="77777777" w:rsidR="002E2259" w:rsidRPr="00F2687C" w:rsidRDefault="002E2259" w:rsidP="00AB1278">
            <w:pPr>
              <w:jc w:val="center"/>
              <w:rPr>
                <w:rFonts w:cs="Arial"/>
                <w:b/>
                <w:sz w:val="18"/>
                <w:szCs w:val="18"/>
                <w:lang w:val="es-ES"/>
              </w:rPr>
            </w:pPr>
            <w:r w:rsidRPr="00F2687C">
              <w:rPr>
                <w:rFonts w:cs="Arial"/>
                <w:b/>
                <w:sz w:val="18"/>
                <w:szCs w:val="18"/>
                <w:lang w:val="es-ES"/>
              </w:rPr>
              <w:t>Comentarios</w:t>
            </w:r>
          </w:p>
        </w:tc>
      </w:tr>
      <w:tr w:rsidR="002E2259" w:rsidRPr="00F2687C" w14:paraId="434526CC" w14:textId="77777777" w:rsidTr="00AB1278">
        <w:trPr>
          <w:trHeight w:val="269"/>
        </w:trPr>
        <w:tc>
          <w:tcPr>
            <w:tcW w:w="13158" w:type="dxa"/>
            <w:gridSpan w:val="10"/>
            <w:tcBorders>
              <w:bottom w:val="single" w:sz="4" w:space="0" w:color="auto"/>
            </w:tcBorders>
            <w:shd w:val="clear" w:color="auto" w:fill="C6D9F1"/>
          </w:tcPr>
          <w:p w14:paraId="371F351B" w14:textId="77777777" w:rsidR="002E2259" w:rsidRPr="00F2687C" w:rsidRDefault="002E2259" w:rsidP="00AB1278">
            <w:pPr>
              <w:jc w:val="center"/>
              <w:rPr>
                <w:rFonts w:cs="Arial"/>
                <w:b/>
                <w:sz w:val="18"/>
                <w:szCs w:val="18"/>
                <w:lang w:val="es-ES"/>
              </w:rPr>
            </w:pPr>
            <w:r>
              <w:rPr>
                <w:rFonts w:cs="Arial"/>
                <w:b/>
                <w:sz w:val="18"/>
                <w:szCs w:val="18"/>
                <w:lang w:val="es-ES"/>
              </w:rPr>
              <w:t>Componente 1.</w:t>
            </w:r>
            <w:r w:rsidRPr="00F2687C">
              <w:rPr>
                <w:rFonts w:cs="Arial"/>
                <w:b/>
                <w:sz w:val="18"/>
                <w:szCs w:val="18"/>
                <w:lang w:val="es-ES"/>
              </w:rPr>
              <w:t xml:space="preserve"> Fortalecimiento de la Gestión y Mejora de la Calidad de los Servicios</w:t>
            </w:r>
          </w:p>
        </w:tc>
      </w:tr>
      <w:tr w:rsidR="002E2259" w:rsidRPr="00F2687C" w14:paraId="3E34A1C6" w14:textId="77777777" w:rsidTr="00AB1278">
        <w:trPr>
          <w:trHeight w:hRule="exact" w:val="892"/>
        </w:trPr>
        <w:tc>
          <w:tcPr>
            <w:tcW w:w="3798" w:type="dxa"/>
            <w:shd w:val="clear" w:color="auto" w:fill="auto"/>
          </w:tcPr>
          <w:p w14:paraId="4EEE3FB8" w14:textId="77777777" w:rsidR="002E2259" w:rsidRPr="00F2687C" w:rsidRDefault="002E2259" w:rsidP="00AB1278">
            <w:pPr>
              <w:rPr>
                <w:rFonts w:cs="Arial"/>
                <w:sz w:val="18"/>
                <w:szCs w:val="18"/>
                <w:lang w:val="es-ES"/>
              </w:rPr>
            </w:pPr>
            <w:r w:rsidRPr="00F2687C">
              <w:rPr>
                <w:rFonts w:cs="Arial"/>
                <w:sz w:val="18"/>
                <w:szCs w:val="18"/>
                <w:lang w:val="es-ES"/>
              </w:rPr>
              <w:t>Estudio de consultoría de mejora de planeación y gestión de los procesos de la SESA desarrollado</w:t>
            </w:r>
            <w:r>
              <w:rPr>
                <w:rFonts w:cs="Arial"/>
                <w:sz w:val="18"/>
                <w:szCs w:val="18"/>
                <w:lang w:val="es-ES"/>
              </w:rPr>
              <w:t>.</w:t>
            </w:r>
          </w:p>
        </w:tc>
        <w:tc>
          <w:tcPr>
            <w:tcW w:w="1260" w:type="dxa"/>
            <w:shd w:val="clear" w:color="auto" w:fill="auto"/>
            <w:vAlign w:val="center"/>
          </w:tcPr>
          <w:p w14:paraId="250F46FE"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56234D3F" w14:textId="77777777" w:rsidR="002E2259" w:rsidRPr="00F2687C" w:rsidRDefault="002E2259" w:rsidP="00AB1278">
            <w:pPr>
              <w:jc w:val="center"/>
              <w:rPr>
                <w:rFonts w:cs="Arial"/>
                <w:sz w:val="18"/>
                <w:szCs w:val="18"/>
                <w:lang w:val="es-ES"/>
              </w:rPr>
            </w:pPr>
            <w:r w:rsidRPr="00F2687C">
              <w:rPr>
                <w:rFonts w:cs="Arial"/>
                <w:sz w:val="18"/>
                <w:szCs w:val="18"/>
                <w:lang w:val="es-ES"/>
              </w:rPr>
              <w:t>(</w:t>
            </w:r>
            <w:r>
              <w:rPr>
                <w:rFonts w:cs="Arial"/>
                <w:sz w:val="18"/>
                <w:szCs w:val="18"/>
                <w:lang w:val="es-ES"/>
              </w:rPr>
              <w:t>estudio)</w:t>
            </w:r>
          </w:p>
        </w:tc>
        <w:tc>
          <w:tcPr>
            <w:tcW w:w="990" w:type="dxa"/>
            <w:shd w:val="clear" w:color="auto" w:fill="auto"/>
            <w:vAlign w:val="center"/>
          </w:tcPr>
          <w:p w14:paraId="235754F6"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68632A7F"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F622EC4"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4A8ECDF"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4F93EE6B"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792E5CAE"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02A668F0"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2340" w:type="dxa"/>
            <w:shd w:val="clear" w:color="auto" w:fill="auto"/>
          </w:tcPr>
          <w:p w14:paraId="45147E0D" w14:textId="77777777" w:rsidR="002E2259" w:rsidRPr="00F2687C" w:rsidRDefault="002E2259" w:rsidP="00AB1278">
            <w:pPr>
              <w:ind w:left="-18"/>
              <w:rPr>
                <w:rFonts w:cs="Arial"/>
                <w:sz w:val="18"/>
                <w:szCs w:val="18"/>
                <w:lang w:val="es-ES"/>
              </w:rPr>
            </w:pPr>
            <w:r w:rsidRPr="00F2687C">
              <w:rPr>
                <w:rFonts w:cs="Arial"/>
                <w:sz w:val="18"/>
                <w:szCs w:val="18"/>
                <w:lang w:val="es-ES"/>
              </w:rPr>
              <w:t>Medios de verificación: sistemas de monitoreo de la SESA (presupuestales y de metas físicas)</w:t>
            </w:r>
            <w:r>
              <w:rPr>
                <w:rFonts w:cs="Arial"/>
                <w:sz w:val="18"/>
                <w:szCs w:val="18"/>
                <w:lang w:val="es-ES"/>
              </w:rPr>
              <w:t>.</w:t>
            </w:r>
          </w:p>
        </w:tc>
      </w:tr>
      <w:tr w:rsidR="002E2259" w:rsidRPr="00F2687C" w14:paraId="51650805" w14:textId="77777777" w:rsidTr="00AB1278">
        <w:trPr>
          <w:trHeight w:hRule="exact" w:val="712"/>
        </w:trPr>
        <w:tc>
          <w:tcPr>
            <w:tcW w:w="3798" w:type="dxa"/>
            <w:shd w:val="clear" w:color="auto" w:fill="auto"/>
          </w:tcPr>
          <w:p w14:paraId="042F0CBD" w14:textId="77777777" w:rsidR="002E2259" w:rsidRPr="00F2687C" w:rsidRDefault="002E2259" w:rsidP="00AB1278">
            <w:pPr>
              <w:rPr>
                <w:rFonts w:cs="Arial"/>
                <w:sz w:val="18"/>
                <w:szCs w:val="18"/>
                <w:lang w:val="es-ES"/>
              </w:rPr>
            </w:pPr>
            <w:r w:rsidRPr="00F2687C">
              <w:rPr>
                <w:rFonts w:cs="Arial"/>
                <w:sz w:val="18"/>
                <w:szCs w:val="18"/>
                <w:lang w:val="es-ES"/>
              </w:rPr>
              <w:t>Sistemas de regulación de acceso y auditor</w:t>
            </w:r>
            <w:r>
              <w:rPr>
                <w:rFonts w:cs="Arial"/>
                <w:sz w:val="18"/>
                <w:szCs w:val="18"/>
                <w:lang w:val="es-ES"/>
              </w:rPr>
              <w:t>í</w:t>
            </w:r>
            <w:r w:rsidRPr="00F2687C">
              <w:rPr>
                <w:rFonts w:cs="Arial"/>
                <w:sz w:val="18"/>
                <w:szCs w:val="18"/>
                <w:lang w:val="es-ES"/>
              </w:rPr>
              <w:t>as reforzados con adecuación de procesos y tecnología de información</w:t>
            </w:r>
            <w:r>
              <w:rPr>
                <w:rFonts w:cs="Arial"/>
                <w:sz w:val="18"/>
                <w:szCs w:val="18"/>
                <w:lang w:val="es-ES"/>
              </w:rPr>
              <w:t>.</w:t>
            </w:r>
          </w:p>
        </w:tc>
        <w:tc>
          <w:tcPr>
            <w:tcW w:w="1260" w:type="dxa"/>
            <w:shd w:val="clear" w:color="auto" w:fill="auto"/>
            <w:vAlign w:val="center"/>
          </w:tcPr>
          <w:p w14:paraId="1C08600A"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08592E03" w14:textId="77777777" w:rsidR="002E2259" w:rsidRPr="00F2687C" w:rsidRDefault="002E2259" w:rsidP="00AB1278">
            <w:pPr>
              <w:jc w:val="center"/>
              <w:rPr>
                <w:rFonts w:cs="Arial"/>
                <w:sz w:val="18"/>
                <w:szCs w:val="18"/>
                <w:lang w:val="es-ES"/>
              </w:rPr>
            </w:pPr>
            <w:r w:rsidRPr="00F2687C">
              <w:rPr>
                <w:rFonts w:cs="Arial"/>
                <w:sz w:val="18"/>
                <w:szCs w:val="18"/>
                <w:lang w:val="es-ES"/>
              </w:rPr>
              <w:t>(sistema)</w:t>
            </w:r>
          </w:p>
        </w:tc>
        <w:tc>
          <w:tcPr>
            <w:tcW w:w="990" w:type="dxa"/>
            <w:shd w:val="clear" w:color="auto" w:fill="auto"/>
            <w:vAlign w:val="center"/>
          </w:tcPr>
          <w:p w14:paraId="6046DC6A"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1982B89C"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46F0F3F1"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24CB3207"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224B0957"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3B21D6E"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531FE219" w14:textId="77777777" w:rsidR="002E2259" w:rsidRPr="00F2687C" w:rsidRDefault="002E2259" w:rsidP="00AB1278">
            <w:pPr>
              <w:jc w:val="center"/>
              <w:rPr>
                <w:rFonts w:cs="Arial"/>
                <w:sz w:val="18"/>
                <w:szCs w:val="18"/>
                <w:lang w:val="es-ES"/>
              </w:rPr>
            </w:pPr>
            <w:r w:rsidRPr="00F2687C">
              <w:rPr>
                <w:rFonts w:cs="Arial"/>
                <w:sz w:val="18"/>
                <w:szCs w:val="18"/>
                <w:lang w:val="es-ES"/>
              </w:rPr>
              <w:t>2</w:t>
            </w:r>
          </w:p>
        </w:tc>
        <w:tc>
          <w:tcPr>
            <w:tcW w:w="2340" w:type="dxa"/>
            <w:shd w:val="clear" w:color="auto" w:fill="auto"/>
          </w:tcPr>
          <w:p w14:paraId="0931AA75" w14:textId="77777777" w:rsidR="002E2259" w:rsidRPr="00F2687C" w:rsidRDefault="002E2259" w:rsidP="00AB1278">
            <w:pPr>
              <w:ind w:left="-18"/>
              <w:rPr>
                <w:rFonts w:cs="Arial"/>
                <w:sz w:val="18"/>
                <w:szCs w:val="18"/>
                <w:lang w:val="es-ES"/>
              </w:rPr>
            </w:pPr>
            <w:r>
              <w:rPr>
                <w:rFonts w:cs="Arial"/>
                <w:sz w:val="18"/>
                <w:szCs w:val="18"/>
                <w:lang w:val="es-ES"/>
              </w:rPr>
              <w:t>Ídem.</w:t>
            </w:r>
          </w:p>
        </w:tc>
      </w:tr>
      <w:tr w:rsidR="002E2259" w:rsidRPr="00F2687C" w14:paraId="0D1E68E6" w14:textId="77777777" w:rsidTr="00AB1278">
        <w:trPr>
          <w:trHeight w:hRule="exact" w:val="721"/>
        </w:trPr>
        <w:tc>
          <w:tcPr>
            <w:tcW w:w="3798" w:type="dxa"/>
            <w:shd w:val="clear" w:color="auto" w:fill="auto"/>
          </w:tcPr>
          <w:p w14:paraId="2BF18687" w14:textId="77777777" w:rsidR="002E2259" w:rsidRPr="00F2687C" w:rsidRDefault="002E2259" w:rsidP="00AB1278">
            <w:pPr>
              <w:rPr>
                <w:rFonts w:cs="Arial"/>
                <w:sz w:val="18"/>
                <w:szCs w:val="18"/>
                <w:lang w:val="es-ES"/>
              </w:rPr>
            </w:pPr>
            <w:r w:rsidRPr="00F2687C">
              <w:rPr>
                <w:rFonts w:cs="Arial"/>
                <w:sz w:val="18"/>
                <w:szCs w:val="18"/>
                <w:lang w:val="es-ES"/>
              </w:rPr>
              <w:t>Protocolos clínicos y líneas de cuidado desarrollados</w:t>
            </w:r>
            <w:r w:rsidRPr="00F2687C">
              <w:rPr>
                <w:rStyle w:val="FootnoteReference"/>
                <w:rFonts w:ascii="Arial" w:hAnsi="Arial" w:cs="Arial"/>
                <w:sz w:val="18"/>
                <w:szCs w:val="18"/>
                <w:lang w:val="es-ES"/>
              </w:rPr>
              <w:footnoteReference w:id="25"/>
            </w:r>
            <w:r>
              <w:rPr>
                <w:rFonts w:cs="Arial"/>
                <w:sz w:val="18"/>
                <w:szCs w:val="18"/>
                <w:lang w:val="es-ES"/>
              </w:rPr>
              <w:t xml:space="preserve"> (sensibles al género/raza)</w:t>
            </w:r>
            <w:r w:rsidRPr="00F2687C">
              <w:rPr>
                <w:rFonts w:cs="Arial"/>
                <w:sz w:val="18"/>
                <w:szCs w:val="18"/>
                <w:lang w:val="es-ES"/>
              </w:rPr>
              <w:t xml:space="preserve"> y aprobados por la autoridad competente</w:t>
            </w:r>
            <w:r>
              <w:rPr>
                <w:rFonts w:cs="Arial"/>
                <w:sz w:val="18"/>
                <w:szCs w:val="18"/>
                <w:lang w:val="es-ES"/>
              </w:rPr>
              <w:t>.</w:t>
            </w:r>
          </w:p>
        </w:tc>
        <w:tc>
          <w:tcPr>
            <w:tcW w:w="1260" w:type="dxa"/>
            <w:shd w:val="clear" w:color="auto" w:fill="auto"/>
            <w:vAlign w:val="center"/>
          </w:tcPr>
          <w:p w14:paraId="6BC2B34B"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276544AD" w14:textId="77777777" w:rsidR="002E2259" w:rsidRPr="00F2687C" w:rsidRDefault="002E2259" w:rsidP="00AB1278">
            <w:pPr>
              <w:jc w:val="center"/>
              <w:rPr>
                <w:rFonts w:cs="Arial"/>
                <w:sz w:val="18"/>
                <w:szCs w:val="18"/>
                <w:lang w:val="es-ES"/>
              </w:rPr>
            </w:pPr>
            <w:r w:rsidRPr="00F2687C">
              <w:rPr>
                <w:rFonts w:cs="Arial"/>
                <w:sz w:val="18"/>
                <w:szCs w:val="18"/>
                <w:lang w:val="es-ES"/>
              </w:rPr>
              <w:t>(prot/línea)</w:t>
            </w:r>
          </w:p>
        </w:tc>
        <w:tc>
          <w:tcPr>
            <w:tcW w:w="990" w:type="dxa"/>
            <w:shd w:val="clear" w:color="auto" w:fill="auto"/>
            <w:vAlign w:val="center"/>
          </w:tcPr>
          <w:p w14:paraId="73086135"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23862F95"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6DDC2E62" w14:textId="77777777" w:rsidR="002E2259" w:rsidRPr="00F2687C" w:rsidRDefault="002E2259" w:rsidP="00AB1278">
            <w:pPr>
              <w:jc w:val="center"/>
              <w:rPr>
                <w:rFonts w:cs="Arial"/>
                <w:sz w:val="18"/>
                <w:szCs w:val="18"/>
                <w:lang w:val="es-ES"/>
              </w:rPr>
            </w:pPr>
            <w:r w:rsidRPr="00F2687C">
              <w:rPr>
                <w:rFonts w:cs="Arial"/>
                <w:sz w:val="18"/>
                <w:szCs w:val="18"/>
                <w:lang w:val="es-ES"/>
              </w:rPr>
              <w:t>2</w:t>
            </w:r>
          </w:p>
        </w:tc>
        <w:tc>
          <w:tcPr>
            <w:tcW w:w="795" w:type="dxa"/>
            <w:shd w:val="clear" w:color="auto" w:fill="auto"/>
            <w:vAlign w:val="center"/>
          </w:tcPr>
          <w:p w14:paraId="32EC5BD7"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08C12DC"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08BC4DE7"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B055170" w14:textId="77777777" w:rsidR="002E2259" w:rsidRPr="00F2687C" w:rsidRDefault="002E2259" w:rsidP="00AB1278">
            <w:pPr>
              <w:jc w:val="center"/>
              <w:rPr>
                <w:rFonts w:cs="Arial"/>
                <w:sz w:val="18"/>
                <w:szCs w:val="18"/>
                <w:lang w:val="es-ES"/>
              </w:rPr>
            </w:pPr>
            <w:r w:rsidRPr="00F2687C">
              <w:rPr>
                <w:rFonts w:cs="Arial"/>
                <w:sz w:val="18"/>
                <w:szCs w:val="18"/>
                <w:lang w:val="es-ES"/>
              </w:rPr>
              <w:t>3</w:t>
            </w:r>
          </w:p>
        </w:tc>
        <w:tc>
          <w:tcPr>
            <w:tcW w:w="2340" w:type="dxa"/>
            <w:shd w:val="clear" w:color="auto" w:fill="auto"/>
          </w:tcPr>
          <w:p w14:paraId="56120A35" w14:textId="77777777" w:rsidR="002E2259" w:rsidRPr="00F2687C" w:rsidRDefault="002E2259" w:rsidP="00AB1278">
            <w:pPr>
              <w:ind w:left="-18"/>
              <w:rPr>
                <w:rFonts w:cs="Arial"/>
                <w:sz w:val="18"/>
                <w:szCs w:val="18"/>
                <w:lang w:val="es-ES"/>
              </w:rPr>
            </w:pPr>
            <w:r>
              <w:rPr>
                <w:rFonts w:cs="Arial"/>
                <w:sz w:val="18"/>
                <w:szCs w:val="18"/>
                <w:lang w:val="es-ES"/>
              </w:rPr>
              <w:t>Ídem.</w:t>
            </w:r>
          </w:p>
        </w:tc>
      </w:tr>
      <w:tr w:rsidR="002E2259" w:rsidRPr="00F2687C" w14:paraId="3208D85C" w14:textId="77777777" w:rsidTr="00AB1278">
        <w:trPr>
          <w:trHeight w:hRule="exact" w:val="1072"/>
        </w:trPr>
        <w:tc>
          <w:tcPr>
            <w:tcW w:w="3798" w:type="dxa"/>
            <w:shd w:val="clear" w:color="auto" w:fill="auto"/>
          </w:tcPr>
          <w:p w14:paraId="62AB0AA2" w14:textId="77777777" w:rsidR="002E2259" w:rsidRPr="00F2687C" w:rsidRDefault="002E2259" w:rsidP="00AB1278">
            <w:pPr>
              <w:rPr>
                <w:rFonts w:cs="Arial"/>
                <w:sz w:val="18"/>
                <w:szCs w:val="18"/>
                <w:lang w:val="es-ES"/>
              </w:rPr>
            </w:pPr>
            <w:r w:rsidRPr="00F2687C">
              <w:rPr>
                <w:rFonts w:cs="Arial"/>
                <w:sz w:val="18"/>
                <w:szCs w:val="18"/>
                <w:lang w:val="es-ES"/>
              </w:rPr>
              <w:t>Líneas de cuidado implementadas</w:t>
            </w:r>
            <w:r w:rsidRPr="00F2687C">
              <w:rPr>
                <w:rStyle w:val="FootnoteReference"/>
                <w:rFonts w:ascii="Arial" w:hAnsi="Arial" w:cs="Arial"/>
                <w:sz w:val="18"/>
                <w:szCs w:val="18"/>
                <w:lang w:val="es-ES"/>
              </w:rPr>
              <w:footnoteReference w:id="26"/>
            </w:r>
            <w:r>
              <w:rPr>
                <w:rFonts w:cs="Arial"/>
                <w:sz w:val="18"/>
                <w:szCs w:val="18"/>
                <w:lang w:val="es-ES"/>
              </w:rPr>
              <w:t>.</w:t>
            </w:r>
          </w:p>
        </w:tc>
        <w:tc>
          <w:tcPr>
            <w:tcW w:w="1260" w:type="dxa"/>
            <w:shd w:val="clear" w:color="auto" w:fill="auto"/>
            <w:vAlign w:val="center"/>
          </w:tcPr>
          <w:p w14:paraId="56C3C2D7"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2F1691B7" w14:textId="77777777" w:rsidR="002E2259" w:rsidRPr="00F2687C" w:rsidRDefault="002E2259" w:rsidP="00AB1278">
            <w:pPr>
              <w:jc w:val="center"/>
              <w:rPr>
                <w:rFonts w:cs="Arial"/>
                <w:sz w:val="18"/>
                <w:szCs w:val="18"/>
                <w:lang w:val="es-ES"/>
              </w:rPr>
            </w:pPr>
            <w:r w:rsidRPr="00F2687C">
              <w:rPr>
                <w:rFonts w:cs="Arial"/>
                <w:sz w:val="18"/>
                <w:szCs w:val="18"/>
                <w:lang w:val="es-ES"/>
              </w:rPr>
              <w:t>(líneas)</w:t>
            </w:r>
          </w:p>
          <w:p w14:paraId="0FE0EAA2" w14:textId="77777777" w:rsidR="002E2259" w:rsidRPr="00F2687C" w:rsidRDefault="002E2259" w:rsidP="00AB1278">
            <w:pPr>
              <w:jc w:val="center"/>
              <w:rPr>
                <w:rFonts w:cs="Arial"/>
                <w:sz w:val="18"/>
                <w:szCs w:val="18"/>
                <w:lang w:val="es-ES"/>
              </w:rPr>
            </w:pPr>
          </w:p>
        </w:tc>
        <w:tc>
          <w:tcPr>
            <w:tcW w:w="990" w:type="dxa"/>
            <w:shd w:val="clear" w:color="auto" w:fill="auto"/>
            <w:vAlign w:val="center"/>
          </w:tcPr>
          <w:p w14:paraId="4295F176"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0D5D26F1"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49ABB4AE" w14:textId="77777777" w:rsidR="002E2259" w:rsidRPr="00F2687C" w:rsidRDefault="002E2259" w:rsidP="00AB1278">
            <w:pPr>
              <w:jc w:val="center"/>
              <w:rPr>
                <w:rFonts w:cs="Arial"/>
                <w:sz w:val="18"/>
                <w:szCs w:val="18"/>
                <w:lang w:val="es-ES"/>
              </w:rPr>
            </w:pPr>
            <w:r w:rsidRPr="00F2687C">
              <w:rPr>
                <w:rFonts w:cs="Arial"/>
                <w:sz w:val="18"/>
                <w:szCs w:val="18"/>
                <w:lang w:val="es-ES"/>
              </w:rPr>
              <w:t>2</w:t>
            </w:r>
          </w:p>
        </w:tc>
        <w:tc>
          <w:tcPr>
            <w:tcW w:w="795" w:type="dxa"/>
            <w:shd w:val="clear" w:color="auto" w:fill="auto"/>
            <w:vAlign w:val="center"/>
          </w:tcPr>
          <w:p w14:paraId="5B3F5BD7"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28B31EC6"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7AB05955"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5A60160D" w14:textId="77777777" w:rsidR="002E2259" w:rsidRPr="00F2687C" w:rsidRDefault="002E2259" w:rsidP="00AB1278">
            <w:pPr>
              <w:jc w:val="center"/>
              <w:rPr>
                <w:rFonts w:cs="Arial"/>
                <w:sz w:val="18"/>
                <w:szCs w:val="18"/>
                <w:lang w:val="es-ES"/>
              </w:rPr>
            </w:pPr>
            <w:r w:rsidRPr="00F2687C">
              <w:rPr>
                <w:rFonts w:cs="Arial"/>
                <w:sz w:val="18"/>
                <w:szCs w:val="18"/>
                <w:lang w:val="es-ES"/>
              </w:rPr>
              <w:t>3</w:t>
            </w:r>
          </w:p>
        </w:tc>
        <w:tc>
          <w:tcPr>
            <w:tcW w:w="2340" w:type="dxa"/>
            <w:shd w:val="clear" w:color="auto" w:fill="auto"/>
          </w:tcPr>
          <w:p w14:paraId="333ADA73" w14:textId="77777777" w:rsidR="002E2259" w:rsidRDefault="002E2259" w:rsidP="00AB1278">
            <w:pPr>
              <w:ind w:left="-18"/>
              <w:rPr>
                <w:rFonts w:cs="Arial"/>
                <w:sz w:val="18"/>
                <w:szCs w:val="18"/>
                <w:lang w:val="es-ES"/>
              </w:rPr>
            </w:pPr>
            <w:r>
              <w:rPr>
                <w:rFonts w:cs="Arial"/>
                <w:sz w:val="18"/>
                <w:szCs w:val="18"/>
                <w:lang w:val="es-ES"/>
              </w:rPr>
              <w:t>Ídem.</w:t>
            </w:r>
          </w:p>
          <w:p w14:paraId="73DB2C90" w14:textId="77777777" w:rsidR="002E2259" w:rsidRPr="00F2687C" w:rsidRDefault="002E2259" w:rsidP="00AB1278">
            <w:pPr>
              <w:ind w:left="-18"/>
              <w:rPr>
                <w:rFonts w:cs="Arial"/>
                <w:sz w:val="18"/>
                <w:szCs w:val="18"/>
                <w:lang w:val="es-ES"/>
              </w:rPr>
            </w:pPr>
          </w:p>
          <w:p w14:paraId="3A4998C2" w14:textId="77777777" w:rsidR="002E2259" w:rsidRDefault="002E2259" w:rsidP="00AB1278">
            <w:pPr>
              <w:ind w:left="-18"/>
              <w:rPr>
                <w:rFonts w:cs="Arial"/>
                <w:sz w:val="18"/>
                <w:szCs w:val="18"/>
                <w:lang w:val="es-ES"/>
              </w:rPr>
            </w:pPr>
            <w:r w:rsidRPr="00F2687C">
              <w:rPr>
                <w:rFonts w:cs="Arial"/>
                <w:sz w:val="18"/>
                <w:szCs w:val="18"/>
                <w:lang w:val="es-ES"/>
              </w:rPr>
              <w:t>Se refiere a capacitación de personal y protocolos impresos y diseminados</w:t>
            </w:r>
            <w:r>
              <w:rPr>
                <w:rFonts w:cs="Arial"/>
                <w:sz w:val="18"/>
                <w:szCs w:val="18"/>
                <w:lang w:val="es-ES"/>
              </w:rPr>
              <w:t>.</w:t>
            </w:r>
          </w:p>
          <w:p w14:paraId="34761B7A" w14:textId="77777777" w:rsidR="002E2259" w:rsidRPr="00F2687C" w:rsidRDefault="002E2259" w:rsidP="00AB1278">
            <w:pPr>
              <w:rPr>
                <w:rFonts w:cs="Arial"/>
                <w:sz w:val="18"/>
                <w:szCs w:val="18"/>
                <w:lang w:val="es-ES"/>
              </w:rPr>
            </w:pPr>
          </w:p>
        </w:tc>
      </w:tr>
      <w:tr w:rsidR="002E2259" w:rsidRPr="00F2687C" w14:paraId="7B5A7046" w14:textId="77777777" w:rsidTr="00AB1278">
        <w:trPr>
          <w:trHeight w:hRule="exact" w:val="451"/>
        </w:trPr>
        <w:tc>
          <w:tcPr>
            <w:tcW w:w="3798" w:type="dxa"/>
            <w:shd w:val="clear" w:color="auto" w:fill="auto"/>
          </w:tcPr>
          <w:p w14:paraId="18610E60" w14:textId="77777777" w:rsidR="002E2259" w:rsidRPr="00F2687C" w:rsidRDefault="002E2259" w:rsidP="00AB1278">
            <w:pPr>
              <w:rPr>
                <w:rFonts w:cs="Arial"/>
                <w:sz w:val="18"/>
                <w:szCs w:val="18"/>
                <w:lang w:val="es-ES"/>
              </w:rPr>
            </w:pPr>
            <w:r w:rsidRPr="00F2687C">
              <w:rPr>
                <w:rFonts w:cs="Arial"/>
                <w:sz w:val="18"/>
                <w:szCs w:val="18"/>
                <w:lang w:val="es-ES"/>
              </w:rPr>
              <w:t>Nuevas instalaciones (sede) de la SESA construidas y equipadas</w:t>
            </w:r>
            <w:r>
              <w:rPr>
                <w:rFonts w:cs="Arial"/>
                <w:sz w:val="18"/>
                <w:szCs w:val="18"/>
                <w:lang w:val="es-ES"/>
              </w:rPr>
              <w:t>.</w:t>
            </w:r>
          </w:p>
        </w:tc>
        <w:tc>
          <w:tcPr>
            <w:tcW w:w="1260" w:type="dxa"/>
            <w:shd w:val="clear" w:color="auto" w:fill="auto"/>
            <w:vAlign w:val="center"/>
          </w:tcPr>
          <w:p w14:paraId="5E714141"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39E14649" w14:textId="77777777" w:rsidR="002E2259" w:rsidRPr="00F2687C" w:rsidRDefault="002E2259" w:rsidP="00AB1278">
            <w:pPr>
              <w:jc w:val="center"/>
              <w:rPr>
                <w:rFonts w:cs="Arial"/>
                <w:sz w:val="18"/>
                <w:szCs w:val="18"/>
                <w:lang w:val="es-ES"/>
              </w:rPr>
            </w:pPr>
            <w:r w:rsidRPr="00F2687C">
              <w:rPr>
                <w:rFonts w:cs="Arial"/>
                <w:sz w:val="18"/>
                <w:szCs w:val="18"/>
                <w:lang w:val="es-ES"/>
              </w:rPr>
              <w:t>(sede)</w:t>
            </w:r>
          </w:p>
        </w:tc>
        <w:tc>
          <w:tcPr>
            <w:tcW w:w="990" w:type="dxa"/>
            <w:shd w:val="clear" w:color="auto" w:fill="auto"/>
            <w:vAlign w:val="center"/>
          </w:tcPr>
          <w:p w14:paraId="12523909"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7762D1ED"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251C7220"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4F53075F"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F4EA7DF"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478AE01E"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5C4AB07"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2340" w:type="dxa"/>
            <w:shd w:val="clear" w:color="auto" w:fill="auto"/>
          </w:tcPr>
          <w:p w14:paraId="54E1F3FF" w14:textId="77777777" w:rsidR="002E2259" w:rsidRPr="00F2687C" w:rsidRDefault="002E2259" w:rsidP="00AB1278">
            <w:pPr>
              <w:ind w:left="-18"/>
              <w:rPr>
                <w:rFonts w:cs="Arial"/>
                <w:sz w:val="18"/>
                <w:szCs w:val="18"/>
                <w:lang w:val="es-ES"/>
              </w:rPr>
            </w:pPr>
            <w:r>
              <w:rPr>
                <w:rFonts w:cs="Arial"/>
                <w:sz w:val="18"/>
                <w:szCs w:val="18"/>
                <w:lang w:val="es-ES"/>
              </w:rPr>
              <w:t>Ídem.</w:t>
            </w:r>
          </w:p>
        </w:tc>
      </w:tr>
      <w:tr w:rsidR="002E2259" w:rsidRPr="00F2687C" w14:paraId="6E7EF8A7" w14:textId="77777777" w:rsidTr="00AB1278">
        <w:trPr>
          <w:trHeight w:hRule="exact" w:val="442"/>
        </w:trPr>
        <w:tc>
          <w:tcPr>
            <w:tcW w:w="3798" w:type="dxa"/>
            <w:shd w:val="clear" w:color="auto" w:fill="auto"/>
          </w:tcPr>
          <w:p w14:paraId="57922A2F" w14:textId="77777777" w:rsidR="002E2259" w:rsidRPr="00F2687C" w:rsidRDefault="002E2259" w:rsidP="00AB1278">
            <w:pPr>
              <w:rPr>
                <w:rFonts w:cs="Arial"/>
                <w:sz w:val="18"/>
                <w:szCs w:val="18"/>
                <w:lang w:val="es-ES"/>
              </w:rPr>
            </w:pPr>
            <w:r w:rsidRPr="00F2687C">
              <w:rPr>
                <w:rFonts w:cs="Arial"/>
                <w:sz w:val="18"/>
                <w:szCs w:val="18"/>
                <w:lang w:val="es-ES"/>
              </w:rPr>
              <w:t>Centro de logística construido y equipado implantado</w:t>
            </w:r>
            <w:r>
              <w:rPr>
                <w:rFonts w:cs="Arial"/>
                <w:sz w:val="18"/>
                <w:szCs w:val="18"/>
                <w:lang w:val="es-ES"/>
              </w:rPr>
              <w:t>.</w:t>
            </w:r>
          </w:p>
        </w:tc>
        <w:tc>
          <w:tcPr>
            <w:tcW w:w="1260" w:type="dxa"/>
            <w:shd w:val="clear" w:color="auto" w:fill="auto"/>
            <w:vAlign w:val="center"/>
          </w:tcPr>
          <w:p w14:paraId="1D69378D"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6884D3F8" w14:textId="77777777" w:rsidR="002E2259" w:rsidRPr="00F2687C" w:rsidRDefault="002E2259" w:rsidP="00AB1278">
            <w:pPr>
              <w:jc w:val="center"/>
              <w:rPr>
                <w:rFonts w:cs="Arial"/>
                <w:sz w:val="18"/>
                <w:szCs w:val="18"/>
                <w:lang w:val="es-ES"/>
              </w:rPr>
            </w:pPr>
            <w:r w:rsidRPr="00F2687C">
              <w:rPr>
                <w:rFonts w:cs="Arial"/>
                <w:sz w:val="18"/>
                <w:szCs w:val="18"/>
                <w:lang w:val="es-ES"/>
              </w:rPr>
              <w:t>(centro</w:t>
            </w:r>
            <w:r>
              <w:rPr>
                <w:rFonts w:cs="Arial"/>
                <w:sz w:val="18"/>
                <w:szCs w:val="18"/>
                <w:lang w:val="es-ES"/>
              </w:rPr>
              <w:t>)</w:t>
            </w:r>
          </w:p>
        </w:tc>
        <w:tc>
          <w:tcPr>
            <w:tcW w:w="990" w:type="dxa"/>
            <w:shd w:val="clear" w:color="auto" w:fill="auto"/>
            <w:vAlign w:val="center"/>
          </w:tcPr>
          <w:p w14:paraId="4AC4B054"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76AD5B2E"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738FFDA7"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7602D8F0"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66497755"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2B73D35E"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15808EAC"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2340" w:type="dxa"/>
            <w:shd w:val="clear" w:color="auto" w:fill="auto"/>
          </w:tcPr>
          <w:p w14:paraId="7FEE27EF" w14:textId="77777777" w:rsidR="002E2259" w:rsidRPr="00F2687C" w:rsidRDefault="002E2259" w:rsidP="00AB1278">
            <w:pPr>
              <w:ind w:left="-18"/>
              <w:rPr>
                <w:rFonts w:cs="Arial"/>
                <w:sz w:val="18"/>
                <w:szCs w:val="18"/>
                <w:lang w:val="es-ES"/>
              </w:rPr>
            </w:pPr>
            <w:r>
              <w:rPr>
                <w:rFonts w:cs="Arial"/>
                <w:sz w:val="18"/>
                <w:szCs w:val="18"/>
                <w:lang w:val="es-ES"/>
              </w:rPr>
              <w:t>Ídem.</w:t>
            </w:r>
          </w:p>
        </w:tc>
      </w:tr>
      <w:tr w:rsidR="002E2259" w:rsidRPr="00F2687C" w14:paraId="16B135A2" w14:textId="77777777" w:rsidTr="00AB1278">
        <w:trPr>
          <w:trHeight w:hRule="exact" w:val="1360"/>
        </w:trPr>
        <w:tc>
          <w:tcPr>
            <w:tcW w:w="3798" w:type="dxa"/>
            <w:shd w:val="clear" w:color="auto" w:fill="auto"/>
          </w:tcPr>
          <w:p w14:paraId="18161030" w14:textId="77777777" w:rsidR="002E2259" w:rsidRPr="00F2687C" w:rsidRDefault="002E2259" w:rsidP="00AB1278">
            <w:pPr>
              <w:rPr>
                <w:rFonts w:cs="Arial"/>
                <w:sz w:val="18"/>
                <w:szCs w:val="18"/>
                <w:lang w:val="es-ES"/>
              </w:rPr>
            </w:pPr>
            <w:r w:rsidRPr="00F2687C">
              <w:rPr>
                <w:rFonts w:cs="Arial"/>
                <w:sz w:val="18"/>
                <w:szCs w:val="18"/>
                <w:lang w:val="es-ES"/>
              </w:rPr>
              <w:t>Hospitales de la red pública con sistema informátic</w:t>
            </w:r>
            <w:r>
              <w:rPr>
                <w:rFonts w:cs="Arial"/>
                <w:sz w:val="18"/>
                <w:szCs w:val="18"/>
                <w:lang w:val="es-ES"/>
              </w:rPr>
              <w:t>o</w:t>
            </w:r>
            <w:r w:rsidRPr="00F2687C">
              <w:rPr>
                <w:rFonts w:cs="Arial"/>
                <w:sz w:val="18"/>
                <w:szCs w:val="18"/>
                <w:lang w:val="es-ES"/>
              </w:rPr>
              <w:t xml:space="preserve"> de gestión implementado</w:t>
            </w:r>
            <w:r>
              <w:rPr>
                <w:rFonts w:cs="Arial"/>
                <w:sz w:val="18"/>
                <w:szCs w:val="18"/>
                <w:lang w:val="es-ES"/>
              </w:rPr>
              <w:t>.</w:t>
            </w:r>
          </w:p>
        </w:tc>
        <w:tc>
          <w:tcPr>
            <w:tcW w:w="1260" w:type="dxa"/>
            <w:shd w:val="clear" w:color="auto" w:fill="auto"/>
            <w:vAlign w:val="center"/>
          </w:tcPr>
          <w:p w14:paraId="2177BC1C"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09783A45" w14:textId="77777777" w:rsidR="002E2259" w:rsidRPr="00F2687C" w:rsidRDefault="002E2259" w:rsidP="00AB1278">
            <w:pPr>
              <w:jc w:val="center"/>
              <w:rPr>
                <w:rFonts w:cs="Arial"/>
                <w:sz w:val="18"/>
                <w:szCs w:val="18"/>
                <w:lang w:val="es-ES"/>
              </w:rPr>
            </w:pPr>
            <w:r w:rsidRPr="00F2687C">
              <w:rPr>
                <w:rFonts w:cs="Arial"/>
                <w:sz w:val="18"/>
                <w:szCs w:val="18"/>
                <w:lang w:val="es-ES"/>
              </w:rPr>
              <w:t>(</w:t>
            </w:r>
            <w:r>
              <w:rPr>
                <w:rFonts w:cs="Arial"/>
                <w:sz w:val="18"/>
                <w:szCs w:val="18"/>
                <w:lang w:val="es-ES"/>
              </w:rPr>
              <w:t>sistemas implementados</w:t>
            </w:r>
            <w:r w:rsidRPr="00F2687C">
              <w:rPr>
                <w:rFonts w:cs="Arial"/>
                <w:sz w:val="18"/>
                <w:szCs w:val="18"/>
                <w:lang w:val="es-ES"/>
              </w:rPr>
              <w:t>)</w:t>
            </w:r>
          </w:p>
        </w:tc>
        <w:tc>
          <w:tcPr>
            <w:tcW w:w="990" w:type="dxa"/>
            <w:shd w:val="clear" w:color="auto" w:fill="auto"/>
            <w:vAlign w:val="center"/>
          </w:tcPr>
          <w:p w14:paraId="6460101A"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5456A7A3" w14:textId="77777777" w:rsidR="002E2259" w:rsidRPr="00F2687C" w:rsidRDefault="002E2259" w:rsidP="00AB1278">
            <w:pPr>
              <w:jc w:val="center"/>
              <w:rPr>
                <w:rFonts w:cs="Arial"/>
                <w:sz w:val="18"/>
                <w:szCs w:val="18"/>
                <w:lang w:val="es-ES"/>
              </w:rPr>
            </w:pPr>
            <w:r w:rsidRPr="00F2687C">
              <w:rPr>
                <w:rFonts w:cs="Arial"/>
                <w:sz w:val="18"/>
                <w:szCs w:val="18"/>
                <w:lang w:val="es-ES"/>
              </w:rPr>
              <w:t>7</w:t>
            </w:r>
          </w:p>
        </w:tc>
        <w:tc>
          <w:tcPr>
            <w:tcW w:w="795" w:type="dxa"/>
            <w:shd w:val="clear" w:color="auto" w:fill="auto"/>
            <w:vAlign w:val="center"/>
          </w:tcPr>
          <w:p w14:paraId="1B69EB2A"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496F60A8"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50DBE1ED"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1E771339"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5929282E" w14:textId="77777777" w:rsidR="002E2259" w:rsidRPr="00F2687C" w:rsidRDefault="002E2259" w:rsidP="00AB1278">
            <w:pPr>
              <w:jc w:val="center"/>
              <w:rPr>
                <w:rFonts w:cs="Arial"/>
                <w:sz w:val="18"/>
                <w:szCs w:val="18"/>
                <w:lang w:val="es-ES"/>
              </w:rPr>
            </w:pPr>
            <w:r w:rsidRPr="00F2687C">
              <w:rPr>
                <w:rFonts w:cs="Arial"/>
                <w:sz w:val="18"/>
                <w:szCs w:val="18"/>
                <w:lang w:val="es-ES"/>
              </w:rPr>
              <w:t>7</w:t>
            </w:r>
          </w:p>
        </w:tc>
        <w:tc>
          <w:tcPr>
            <w:tcW w:w="2340" w:type="dxa"/>
            <w:shd w:val="clear" w:color="auto" w:fill="auto"/>
          </w:tcPr>
          <w:p w14:paraId="1AF74893" w14:textId="77777777" w:rsidR="002E2259" w:rsidRPr="00F2687C" w:rsidRDefault="002E2259" w:rsidP="00AB1278">
            <w:pPr>
              <w:ind w:left="-18"/>
              <w:rPr>
                <w:rFonts w:cs="Arial"/>
                <w:sz w:val="18"/>
                <w:szCs w:val="18"/>
                <w:lang w:val="es-ES"/>
              </w:rPr>
            </w:pPr>
            <w:r>
              <w:rPr>
                <w:rFonts w:cs="Arial"/>
                <w:sz w:val="18"/>
                <w:szCs w:val="18"/>
                <w:lang w:val="es-ES"/>
              </w:rPr>
              <w:t>Ídem.</w:t>
            </w:r>
          </w:p>
          <w:p w14:paraId="1BA7FD68" w14:textId="77777777" w:rsidR="002E2259" w:rsidRPr="00F2687C" w:rsidRDefault="002E2259" w:rsidP="00AB1278">
            <w:pPr>
              <w:spacing w:before="40"/>
              <w:ind w:left="-14"/>
              <w:rPr>
                <w:rFonts w:cs="Arial"/>
                <w:sz w:val="18"/>
                <w:szCs w:val="18"/>
                <w:lang w:val="es-ES"/>
              </w:rPr>
            </w:pPr>
            <w:r w:rsidRPr="00F2687C">
              <w:rPr>
                <w:rFonts w:cs="Arial"/>
                <w:sz w:val="18"/>
                <w:szCs w:val="18"/>
                <w:lang w:val="es-ES"/>
              </w:rPr>
              <w:t>Módulos para principales procesos (prontuario, emergencia, ambulatorio, exámenes, etc.) en funcionamiento</w:t>
            </w:r>
          </w:p>
        </w:tc>
      </w:tr>
      <w:tr w:rsidR="002E2259" w:rsidRPr="00F2687C" w14:paraId="139AAB59" w14:textId="77777777" w:rsidTr="00AB1278">
        <w:trPr>
          <w:trHeight w:hRule="exact" w:val="730"/>
        </w:trPr>
        <w:tc>
          <w:tcPr>
            <w:tcW w:w="3798" w:type="dxa"/>
            <w:shd w:val="clear" w:color="auto" w:fill="auto"/>
          </w:tcPr>
          <w:p w14:paraId="276339D5" w14:textId="77777777" w:rsidR="002E2259" w:rsidRPr="00F2687C" w:rsidRDefault="002E2259" w:rsidP="00AB1278">
            <w:pPr>
              <w:rPr>
                <w:rFonts w:cs="Arial"/>
                <w:sz w:val="18"/>
                <w:szCs w:val="18"/>
                <w:lang w:val="es-ES"/>
              </w:rPr>
            </w:pPr>
            <w:r w:rsidRPr="00F2687C">
              <w:rPr>
                <w:rFonts w:cs="Arial"/>
                <w:sz w:val="18"/>
                <w:szCs w:val="18"/>
                <w:lang w:val="es-ES"/>
              </w:rPr>
              <w:t>Establecimientos de salud (media complejidad y hospitales) acreditados en calidad</w:t>
            </w:r>
            <w:r>
              <w:rPr>
                <w:rFonts w:cs="Arial"/>
                <w:sz w:val="18"/>
                <w:szCs w:val="18"/>
                <w:lang w:val="es-ES"/>
              </w:rPr>
              <w:t>.</w:t>
            </w:r>
          </w:p>
        </w:tc>
        <w:tc>
          <w:tcPr>
            <w:tcW w:w="1260" w:type="dxa"/>
            <w:shd w:val="clear" w:color="auto" w:fill="auto"/>
            <w:vAlign w:val="center"/>
          </w:tcPr>
          <w:p w14:paraId="24AE59C7"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4FB6E003" w14:textId="77777777" w:rsidR="002E2259" w:rsidRPr="00F2687C" w:rsidRDefault="002E2259" w:rsidP="00AB1278">
            <w:pPr>
              <w:jc w:val="center"/>
              <w:rPr>
                <w:rFonts w:cs="Arial"/>
                <w:sz w:val="18"/>
                <w:szCs w:val="18"/>
                <w:lang w:val="es-ES"/>
              </w:rPr>
            </w:pPr>
            <w:r w:rsidRPr="00F2687C">
              <w:rPr>
                <w:rFonts w:cs="Arial"/>
                <w:sz w:val="18"/>
                <w:szCs w:val="18"/>
                <w:lang w:val="es-ES"/>
              </w:rPr>
              <w:t>(estab</w:t>
            </w:r>
            <w:r>
              <w:rPr>
                <w:rFonts w:cs="Arial"/>
                <w:sz w:val="18"/>
                <w:szCs w:val="18"/>
                <w:lang w:val="es-ES"/>
              </w:rPr>
              <w:t>lecimientos acreditados</w:t>
            </w:r>
            <w:r w:rsidRPr="00F2687C">
              <w:rPr>
                <w:rFonts w:cs="Arial"/>
                <w:sz w:val="18"/>
                <w:szCs w:val="18"/>
                <w:lang w:val="es-ES"/>
              </w:rPr>
              <w:t>)</w:t>
            </w:r>
          </w:p>
        </w:tc>
        <w:tc>
          <w:tcPr>
            <w:tcW w:w="990" w:type="dxa"/>
            <w:shd w:val="clear" w:color="auto" w:fill="auto"/>
            <w:vAlign w:val="center"/>
          </w:tcPr>
          <w:p w14:paraId="35BCC030"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2525B6E6"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2E657A4" w14:textId="77777777" w:rsidR="002E2259" w:rsidRPr="00F2687C" w:rsidRDefault="002E2259" w:rsidP="00AB1278">
            <w:pPr>
              <w:jc w:val="center"/>
              <w:rPr>
                <w:rFonts w:cs="Arial"/>
                <w:sz w:val="18"/>
                <w:szCs w:val="18"/>
                <w:lang w:val="es-ES"/>
              </w:rPr>
            </w:pPr>
            <w:r w:rsidRPr="00F2687C">
              <w:rPr>
                <w:rFonts w:cs="Arial"/>
                <w:sz w:val="18"/>
                <w:szCs w:val="18"/>
                <w:lang w:val="es-ES"/>
              </w:rPr>
              <w:t>7</w:t>
            </w:r>
          </w:p>
        </w:tc>
        <w:tc>
          <w:tcPr>
            <w:tcW w:w="795" w:type="dxa"/>
            <w:shd w:val="clear" w:color="auto" w:fill="auto"/>
            <w:vAlign w:val="center"/>
          </w:tcPr>
          <w:p w14:paraId="49BD105C" w14:textId="77777777" w:rsidR="002E2259" w:rsidRPr="00F2687C" w:rsidRDefault="002E2259" w:rsidP="00AB1278">
            <w:pPr>
              <w:jc w:val="center"/>
              <w:rPr>
                <w:rFonts w:cs="Arial"/>
                <w:sz w:val="18"/>
                <w:szCs w:val="18"/>
                <w:lang w:val="es-ES"/>
              </w:rPr>
            </w:pPr>
            <w:r w:rsidRPr="00F2687C">
              <w:rPr>
                <w:rFonts w:cs="Arial"/>
                <w:sz w:val="18"/>
                <w:szCs w:val="18"/>
                <w:lang w:val="es-ES"/>
              </w:rPr>
              <w:t>9</w:t>
            </w:r>
          </w:p>
        </w:tc>
        <w:tc>
          <w:tcPr>
            <w:tcW w:w="795" w:type="dxa"/>
            <w:shd w:val="clear" w:color="auto" w:fill="auto"/>
            <w:vAlign w:val="center"/>
          </w:tcPr>
          <w:p w14:paraId="752974D5" w14:textId="77777777" w:rsidR="002E2259" w:rsidRPr="00F2687C" w:rsidRDefault="002E2259" w:rsidP="00AB1278">
            <w:pPr>
              <w:jc w:val="center"/>
              <w:rPr>
                <w:rFonts w:cs="Arial"/>
                <w:sz w:val="18"/>
                <w:szCs w:val="18"/>
                <w:lang w:val="es-ES"/>
              </w:rPr>
            </w:pPr>
            <w:r w:rsidRPr="00F2687C">
              <w:rPr>
                <w:rFonts w:cs="Arial"/>
                <w:sz w:val="18"/>
                <w:szCs w:val="18"/>
                <w:lang w:val="es-ES"/>
              </w:rPr>
              <w:t>9</w:t>
            </w:r>
          </w:p>
        </w:tc>
        <w:tc>
          <w:tcPr>
            <w:tcW w:w="795" w:type="dxa"/>
            <w:shd w:val="clear" w:color="auto" w:fill="auto"/>
            <w:vAlign w:val="center"/>
          </w:tcPr>
          <w:p w14:paraId="5274004C" w14:textId="77777777" w:rsidR="002E2259" w:rsidRPr="00F2687C" w:rsidRDefault="002E2259" w:rsidP="00AB1278">
            <w:pPr>
              <w:jc w:val="center"/>
              <w:rPr>
                <w:rFonts w:cs="Arial"/>
                <w:sz w:val="18"/>
                <w:szCs w:val="18"/>
                <w:lang w:val="es-ES"/>
              </w:rPr>
            </w:pPr>
            <w:r w:rsidRPr="00F2687C">
              <w:rPr>
                <w:rFonts w:cs="Arial"/>
                <w:sz w:val="18"/>
                <w:szCs w:val="18"/>
                <w:lang w:val="es-ES"/>
              </w:rPr>
              <w:t>7</w:t>
            </w:r>
          </w:p>
        </w:tc>
        <w:tc>
          <w:tcPr>
            <w:tcW w:w="795" w:type="dxa"/>
            <w:shd w:val="clear" w:color="auto" w:fill="auto"/>
            <w:vAlign w:val="center"/>
          </w:tcPr>
          <w:p w14:paraId="473C3342" w14:textId="77777777" w:rsidR="002E2259" w:rsidRPr="00F2687C" w:rsidRDefault="002E2259" w:rsidP="00AB1278">
            <w:pPr>
              <w:jc w:val="center"/>
              <w:rPr>
                <w:rFonts w:cs="Arial"/>
                <w:sz w:val="18"/>
                <w:szCs w:val="18"/>
                <w:lang w:val="es-ES"/>
              </w:rPr>
            </w:pPr>
            <w:r w:rsidRPr="00F2687C">
              <w:rPr>
                <w:rFonts w:cs="Arial"/>
                <w:sz w:val="18"/>
                <w:szCs w:val="18"/>
                <w:lang w:val="es-ES"/>
              </w:rPr>
              <w:t>32</w:t>
            </w:r>
          </w:p>
        </w:tc>
        <w:tc>
          <w:tcPr>
            <w:tcW w:w="2340" w:type="dxa"/>
            <w:shd w:val="clear" w:color="auto" w:fill="auto"/>
          </w:tcPr>
          <w:p w14:paraId="6B874809" w14:textId="77777777" w:rsidR="002E2259" w:rsidRPr="00F2687C" w:rsidRDefault="002E2259" w:rsidP="00AB1278">
            <w:pPr>
              <w:ind w:left="-18"/>
              <w:rPr>
                <w:rFonts w:cs="Arial"/>
                <w:sz w:val="18"/>
                <w:szCs w:val="18"/>
                <w:lang w:val="es-ES"/>
              </w:rPr>
            </w:pPr>
            <w:r>
              <w:rPr>
                <w:rFonts w:cs="Arial"/>
                <w:sz w:val="18"/>
                <w:szCs w:val="18"/>
                <w:lang w:val="es-ES"/>
              </w:rPr>
              <w:t>Ídem.</w:t>
            </w:r>
          </w:p>
          <w:p w14:paraId="3FE37209" w14:textId="77777777" w:rsidR="002E2259" w:rsidRPr="00F2687C" w:rsidRDefault="002E2259" w:rsidP="00AB1278">
            <w:pPr>
              <w:spacing w:before="40"/>
              <w:ind w:left="-14"/>
              <w:rPr>
                <w:rFonts w:cs="Arial"/>
                <w:sz w:val="18"/>
                <w:szCs w:val="18"/>
                <w:lang w:val="es-ES"/>
              </w:rPr>
            </w:pPr>
            <w:r w:rsidRPr="00F2687C">
              <w:rPr>
                <w:rFonts w:cs="Arial"/>
                <w:sz w:val="18"/>
                <w:szCs w:val="18"/>
                <w:lang w:val="es-ES"/>
              </w:rPr>
              <w:t>Acreditación por entidad independiente contratada</w:t>
            </w:r>
          </w:p>
        </w:tc>
      </w:tr>
      <w:tr w:rsidR="002E2259" w:rsidRPr="00F2687C" w14:paraId="76371B9B" w14:textId="77777777" w:rsidTr="00AB1278">
        <w:trPr>
          <w:trHeight w:hRule="exact" w:val="937"/>
        </w:trPr>
        <w:tc>
          <w:tcPr>
            <w:tcW w:w="3798" w:type="dxa"/>
            <w:shd w:val="clear" w:color="auto" w:fill="auto"/>
          </w:tcPr>
          <w:p w14:paraId="2FAC3446" w14:textId="77777777" w:rsidR="002E2259" w:rsidRPr="00F2687C" w:rsidRDefault="002E2259" w:rsidP="00AB1278">
            <w:pPr>
              <w:rPr>
                <w:rFonts w:cs="Arial"/>
                <w:sz w:val="18"/>
                <w:szCs w:val="18"/>
                <w:lang w:val="es-ES"/>
              </w:rPr>
            </w:pPr>
            <w:r>
              <w:rPr>
                <w:rFonts w:cs="Arial"/>
                <w:sz w:val="18"/>
                <w:szCs w:val="18"/>
                <w:lang w:val="es-ES"/>
              </w:rPr>
              <w:lastRenderedPageBreak/>
              <w:t>Profesionales capacitados</w:t>
            </w:r>
          </w:p>
        </w:tc>
        <w:tc>
          <w:tcPr>
            <w:tcW w:w="1260" w:type="dxa"/>
            <w:shd w:val="clear" w:color="auto" w:fill="auto"/>
            <w:vAlign w:val="center"/>
          </w:tcPr>
          <w:p w14:paraId="7C5E2B15" w14:textId="77777777" w:rsidR="002E2259" w:rsidRDefault="002E2259" w:rsidP="00AB1278">
            <w:pPr>
              <w:jc w:val="center"/>
              <w:rPr>
                <w:rFonts w:cs="Arial"/>
                <w:sz w:val="18"/>
                <w:szCs w:val="18"/>
                <w:lang w:val="es-ES"/>
              </w:rPr>
            </w:pPr>
            <w:r>
              <w:rPr>
                <w:rFonts w:cs="Arial"/>
                <w:sz w:val="18"/>
                <w:szCs w:val="18"/>
                <w:lang w:val="es-ES"/>
              </w:rPr>
              <w:t>#</w:t>
            </w:r>
          </w:p>
          <w:p w14:paraId="43A7B3AC" w14:textId="77777777" w:rsidR="002E2259" w:rsidRPr="00F2687C" w:rsidRDefault="002E2259" w:rsidP="00AB1278">
            <w:pPr>
              <w:jc w:val="center"/>
              <w:rPr>
                <w:rFonts w:cs="Arial"/>
                <w:sz w:val="18"/>
                <w:szCs w:val="18"/>
                <w:lang w:val="es-ES"/>
              </w:rPr>
            </w:pPr>
            <w:r>
              <w:rPr>
                <w:rFonts w:cs="Arial"/>
                <w:sz w:val="18"/>
                <w:szCs w:val="18"/>
                <w:lang w:val="es-ES"/>
              </w:rPr>
              <w:t>(profesionales)</w:t>
            </w:r>
          </w:p>
        </w:tc>
        <w:tc>
          <w:tcPr>
            <w:tcW w:w="990" w:type="dxa"/>
            <w:shd w:val="clear" w:color="auto" w:fill="auto"/>
            <w:vAlign w:val="center"/>
          </w:tcPr>
          <w:p w14:paraId="13A4AED2" w14:textId="77777777" w:rsidR="002E2259" w:rsidRPr="00F2687C" w:rsidRDefault="002E2259" w:rsidP="00AB1278">
            <w:pPr>
              <w:jc w:val="center"/>
              <w:rPr>
                <w:rFonts w:cs="Arial"/>
                <w:sz w:val="18"/>
                <w:szCs w:val="18"/>
                <w:lang w:val="es-ES"/>
              </w:rPr>
            </w:pPr>
            <w:r>
              <w:rPr>
                <w:rFonts w:cs="Arial"/>
                <w:sz w:val="18"/>
                <w:szCs w:val="18"/>
                <w:lang w:val="es-ES"/>
              </w:rPr>
              <w:t>0</w:t>
            </w:r>
          </w:p>
        </w:tc>
        <w:tc>
          <w:tcPr>
            <w:tcW w:w="795" w:type="dxa"/>
            <w:shd w:val="clear" w:color="auto" w:fill="auto"/>
            <w:vAlign w:val="center"/>
          </w:tcPr>
          <w:p w14:paraId="2FD35FE5" w14:textId="77777777" w:rsidR="002E2259" w:rsidRPr="00F2687C" w:rsidRDefault="002E2259" w:rsidP="00AB1278">
            <w:pPr>
              <w:jc w:val="center"/>
              <w:rPr>
                <w:rFonts w:cs="Arial"/>
                <w:sz w:val="18"/>
                <w:szCs w:val="18"/>
                <w:lang w:val="es-ES"/>
              </w:rPr>
            </w:pPr>
            <w:r>
              <w:rPr>
                <w:rFonts w:cs="Arial"/>
                <w:sz w:val="18"/>
                <w:szCs w:val="18"/>
                <w:lang w:val="es-ES"/>
              </w:rPr>
              <w:t>150</w:t>
            </w:r>
          </w:p>
        </w:tc>
        <w:tc>
          <w:tcPr>
            <w:tcW w:w="795" w:type="dxa"/>
            <w:shd w:val="clear" w:color="auto" w:fill="auto"/>
            <w:vAlign w:val="center"/>
          </w:tcPr>
          <w:p w14:paraId="5B12911B" w14:textId="77777777" w:rsidR="002E2259" w:rsidRPr="00F2687C" w:rsidRDefault="002E2259" w:rsidP="00AB1278">
            <w:pPr>
              <w:jc w:val="center"/>
              <w:rPr>
                <w:rFonts w:cs="Arial"/>
                <w:sz w:val="18"/>
                <w:szCs w:val="18"/>
                <w:lang w:val="es-ES"/>
              </w:rPr>
            </w:pPr>
            <w:r>
              <w:rPr>
                <w:rFonts w:cs="Arial"/>
                <w:sz w:val="18"/>
                <w:szCs w:val="18"/>
                <w:lang w:val="es-ES"/>
              </w:rPr>
              <w:t>320</w:t>
            </w:r>
          </w:p>
        </w:tc>
        <w:tc>
          <w:tcPr>
            <w:tcW w:w="795" w:type="dxa"/>
            <w:shd w:val="clear" w:color="auto" w:fill="auto"/>
            <w:vAlign w:val="center"/>
          </w:tcPr>
          <w:p w14:paraId="7255AC7F" w14:textId="77777777" w:rsidR="002E2259" w:rsidRPr="00F2687C" w:rsidRDefault="002E2259" w:rsidP="00AB1278">
            <w:pPr>
              <w:jc w:val="center"/>
              <w:rPr>
                <w:rFonts w:cs="Arial"/>
                <w:sz w:val="18"/>
                <w:szCs w:val="18"/>
                <w:lang w:val="es-ES"/>
              </w:rPr>
            </w:pPr>
            <w:r>
              <w:rPr>
                <w:rFonts w:cs="Arial"/>
                <w:sz w:val="18"/>
                <w:szCs w:val="18"/>
                <w:lang w:val="es-ES"/>
              </w:rPr>
              <w:t>450</w:t>
            </w:r>
          </w:p>
        </w:tc>
        <w:tc>
          <w:tcPr>
            <w:tcW w:w="795" w:type="dxa"/>
            <w:shd w:val="clear" w:color="auto" w:fill="auto"/>
            <w:vAlign w:val="center"/>
          </w:tcPr>
          <w:p w14:paraId="5BC76F5C" w14:textId="77777777" w:rsidR="002E2259" w:rsidRPr="00F2687C" w:rsidRDefault="002E2259" w:rsidP="00AB1278">
            <w:pPr>
              <w:jc w:val="center"/>
              <w:rPr>
                <w:rFonts w:cs="Arial"/>
                <w:sz w:val="18"/>
                <w:szCs w:val="18"/>
                <w:lang w:val="es-ES"/>
              </w:rPr>
            </w:pPr>
            <w:r>
              <w:rPr>
                <w:rFonts w:cs="Arial"/>
                <w:sz w:val="18"/>
                <w:szCs w:val="18"/>
                <w:lang w:val="es-ES"/>
              </w:rPr>
              <w:t>450</w:t>
            </w:r>
          </w:p>
        </w:tc>
        <w:tc>
          <w:tcPr>
            <w:tcW w:w="795" w:type="dxa"/>
            <w:shd w:val="clear" w:color="auto" w:fill="auto"/>
            <w:vAlign w:val="center"/>
          </w:tcPr>
          <w:p w14:paraId="0D07F391" w14:textId="77777777" w:rsidR="002E2259" w:rsidRPr="00F2687C" w:rsidRDefault="002E2259" w:rsidP="00AB1278">
            <w:pPr>
              <w:jc w:val="center"/>
              <w:rPr>
                <w:rFonts w:cs="Arial"/>
                <w:sz w:val="18"/>
                <w:szCs w:val="18"/>
                <w:lang w:val="es-ES"/>
              </w:rPr>
            </w:pPr>
            <w:r>
              <w:rPr>
                <w:rFonts w:cs="Arial"/>
                <w:sz w:val="18"/>
                <w:szCs w:val="18"/>
                <w:lang w:val="es-ES"/>
              </w:rPr>
              <w:t>450</w:t>
            </w:r>
          </w:p>
        </w:tc>
        <w:tc>
          <w:tcPr>
            <w:tcW w:w="795" w:type="dxa"/>
            <w:shd w:val="clear" w:color="auto" w:fill="auto"/>
            <w:vAlign w:val="center"/>
          </w:tcPr>
          <w:p w14:paraId="0517BEAC" w14:textId="77777777" w:rsidR="002E2259" w:rsidRPr="00F2687C" w:rsidRDefault="002E2259" w:rsidP="00AB1278">
            <w:pPr>
              <w:jc w:val="center"/>
              <w:rPr>
                <w:rFonts w:cs="Arial"/>
                <w:sz w:val="18"/>
                <w:szCs w:val="18"/>
                <w:lang w:val="es-ES"/>
              </w:rPr>
            </w:pPr>
            <w:r>
              <w:rPr>
                <w:rFonts w:cs="Arial"/>
                <w:sz w:val="18"/>
                <w:szCs w:val="18"/>
                <w:lang w:val="es-ES"/>
              </w:rPr>
              <w:t>1.820</w:t>
            </w:r>
          </w:p>
        </w:tc>
        <w:tc>
          <w:tcPr>
            <w:tcW w:w="2340" w:type="dxa"/>
            <w:shd w:val="clear" w:color="auto" w:fill="auto"/>
          </w:tcPr>
          <w:p w14:paraId="7AFA7A6A" w14:textId="77777777" w:rsidR="002E2259" w:rsidRDefault="002E2259" w:rsidP="00AB1278">
            <w:pPr>
              <w:ind w:left="-18"/>
              <w:rPr>
                <w:rFonts w:cs="Arial"/>
                <w:sz w:val="18"/>
                <w:szCs w:val="18"/>
                <w:lang w:val="es-ES"/>
              </w:rPr>
            </w:pPr>
            <w:r>
              <w:rPr>
                <w:rFonts w:cs="Arial"/>
                <w:sz w:val="18"/>
                <w:szCs w:val="18"/>
                <w:lang w:val="es-ES"/>
              </w:rPr>
              <w:t>Medio de verificación: certificados emitidos por las instituciones capacitadoras</w:t>
            </w:r>
          </w:p>
        </w:tc>
      </w:tr>
      <w:tr w:rsidR="002E2259" w:rsidRPr="00321953" w14:paraId="7CBCBC79" w14:textId="77777777" w:rsidTr="00AB1278">
        <w:trPr>
          <w:trHeight w:val="251"/>
        </w:trPr>
        <w:tc>
          <w:tcPr>
            <w:tcW w:w="13158" w:type="dxa"/>
            <w:gridSpan w:val="10"/>
            <w:shd w:val="clear" w:color="auto" w:fill="DBE5F1"/>
            <w:vAlign w:val="center"/>
          </w:tcPr>
          <w:p w14:paraId="3B2B071D" w14:textId="77777777" w:rsidR="002E2259" w:rsidRPr="00321953" w:rsidRDefault="002E2259" w:rsidP="00AB1278">
            <w:pPr>
              <w:jc w:val="center"/>
              <w:rPr>
                <w:rFonts w:cs="Arial"/>
                <w:b/>
                <w:sz w:val="18"/>
                <w:szCs w:val="18"/>
                <w:lang w:val="es-ES"/>
              </w:rPr>
            </w:pPr>
            <w:r w:rsidRPr="00321953">
              <w:rPr>
                <w:rFonts w:cs="Arial"/>
                <w:b/>
                <w:sz w:val="18"/>
                <w:szCs w:val="18"/>
                <w:lang w:val="es-ES"/>
              </w:rPr>
              <w:t>Componente 2</w:t>
            </w:r>
            <w:r>
              <w:rPr>
                <w:rFonts w:cs="Arial"/>
                <w:b/>
                <w:sz w:val="18"/>
                <w:szCs w:val="18"/>
                <w:lang w:val="es-ES"/>
              </w:rPr>
              <w:t>.</w:t>
            </w:r>
            <w:r w:rsidRPr="00321953">
              <w:rPr>
                <w:rFonts w:cs="Arial"/>
                <w:b/>
                <w:sz w:val="18"/>
                <w:szCs w:val="18"/>
                <w:lang w:val="es-ES"/>
              </w:rPr>
              <w:t xml:space="preserve"> Ampliación del Acceso y Consolidación de las Redes de Atención en Salud</w:t>
            </w:r>
          </w:p>
        </w:tc>
      </w:tr>
      <w:tr w:rsidR="002E2259" w:rsidRPr="00F2687C" w14:paraId="640E4066" w14:textId="77777777" w:rsidTr="00AB1278">
        <w:trPr>
          <w:trHeight w:val="461"/>
        </w:trPr>
        <w:tc>
          <w:tcPr>
            <w:tcW w:w="3798" w:type="dxa"/>
            <w:shd w:val="clear" w:color="auto" w:fill="auto"/>
          </w:tcPr>
          <w:p w14:paraId="6F975F19" w14:textId="77777777" w:rsidR="002E2259" w:rsidRPr="00F2687C" w:rsidRDefault="002E2259" w:rsidP="00AB1278">
            <w:pPr>
              <w:rPr>
                <w:rFonts w:cs="Arial"/>
                <w:sz w:val="18"/>
                <w:szCs w:val="18"/>
                <w:lang w:val="es-ES"/>
              </w:rPr>
            </w:pPr>
            <w:r w:rsidRPr="00F2687C">
              <w:rPr>
                <w:rFonts w:cs="Arial"/>
                <w:sz w:val="18"/>
                <w:szCs w:val="18"/>
                <w:lang w:val="es-ES"/>
              </w:rPr>
              <w:t>Hospital Regional Litoral-Jaguaribe construido</w:t>
            </w:r>
            <w:r>
              <w:rPr>
                <w:rFonts w:cs="Arial"/>
                <w:sz w:val="18"/>
                <w:szCs w:val="18"/>
                <w:lang w:val="es-ES"/>
              </w:rPr>
              <w:t>.</w:t>
            </w:r>
          </w:p>
        </w:tc>
        <w:tc>
          <w:tcPr>
            <w:tcW w:w="1260" w:type="dxa"/>
            <w:shd w:val="clear" w:color="auto" w:fill="auto"/>
            <w:vAlign w:val="center"/>
          </w:tcPr>
          <w:p w14:paraId="1D2826B7"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2861EBDC" w14:textId="77777777" w:rsidR="002E2259" w:rsidRPr="00F2687C" w:rsidRDefault="002E2259" w:rsidP="00AB1278">
            <w:pPr>
              <w:jc w:val="center"/>
              <w:rPr>
                <w:rFonts w:cs="Arial"/>
                <w:sz w:val="18"/>
                <w:szCs w:val="18"/>
                <w:lang w:val="es-ES"/>
              </w:rPr>
            </w:pPr>
            <w:r w:rsidRPr="00F2687C">
              <w:rPr>
                <w:rFonts w:cs="Arial"/>
                <w:sz w:val="18"/>
                <w:szCs w:val="18"/>
                <w:lang w:val="es-ES"/>
              </w:rPr>
              <w:t>(hospital)</w:t>
            </w:r>
          </w:p>
        </w:tc>
        <w:tc>
          <w:tcPr>
            <w:tcW w:w="990" w:type="dxa"/>
            <w:shd w:val="clear" w:color="auto" w:fill="auto"/>
            <w:vAlign w:val="center"/>
          </w:tcPr>
          <w:p w14:paraId="4FA2254C"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1A7DAE4D"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629483B5"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768D9862"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11BDB71"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14BE5100"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64362365"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2340" w:type="dxa"/>
            <w:shd w:val="clear" w:color="auto" w:fill="auto"/>
          </w:tcPr>
          <w:p w14:paraId="0BF8D4F4" w14:textId="77777777" w:rsidR="002E2259" w:rsidRPr="00F2687C" w:rsidRDefault="002E2259" w:rsidP="00AB1278">
            <w:pPr>
              <w:rPr>
                <w:rFonts w:cs="Arial"/>
                <w:sz w:val="18"/>
                <w:szCs w:val="18"/>
                <w:lang w:val="es-ES"/>
              </w:rPr>
            </w:pPr>
            <w:r>
              <w:rPr>
                <w:rFonts w:cs="Arial"/>
                <w:sz w:val="18"/>
                <w:szCs w:val="18"/>
                <w:lang w:val="es-ES"/>
              </w:rPr>
              <w:t>Ídem.</w:t>
            </w:r>
          </w:p>
        </w:tc>
      </w:tr>
      <w:tr w:rsidR="002E2259" w:rsidRPr="00F71153" w14:paraId="550414DC" w14:textId="77777777" w:rsidTr="00AB1278">
        <w:trPr>
          <w:trHeight w:val="461"/>
        </w:trPr>
        <w:tc>
          <w:tcPr>
            <w:tcW w:w="3798" w:type="dxa"/>
            <w:shd w:val="clear" w:color="auto" w:fill="auto"/>
          </w:tcPr>
          <w:p w14:paraId="11C965E5" w14:textId="77777777" w:rsidR="002E2259" w:rsidRPr="00F71153" w:rsidRDefault="002E2259" w:rsidP="00AB1278">
            <w:pPr>
              <w:rPr>
                <w:rFonts w:cs="Arial"/>
                <w:sz w:val="18"/>
                <w:szCs w:val="18"/>
                <w:lang w:val="pt-BR"/>
              </w:rPr>
            </w:pPr>
            <w:r w:rsidRPr="00F71153">
              <w:rPr>
                <w:rFonts w:cs="Arial"/>
                <w:sz w:val="18"/>
                <w:szCs w:val="18"/>
                <w:lang w:val="pt-BR"/>
              </w:rPr>
              <w:t>Equipamentos para o Hospital Litoral-Jaguaribe adquiridos</w:t>
            </w:r>
          </w:p>
        </w:tc>
        <w:tc>
          <w:tcPr>
            <w:tcW w:w="1260" w:type="dxa"/>
            <w:shd w:val="clear" w:color="auto" w:fill="auto"/>
            <w:vAlign w:val="center"/>
          </w:tcPr>
          <w:p w14:paraId="7656B7B0" w14:textId="77777777" w:rsidR="002E2259" w:rsidRDefault="002E2259" w:rsidP="00AB1278">
            <w:pPr>
              <w:jc w:val="center"/>
              <w:rPr>
                <w:rFonts w:cs="Arial"/>
                <w:sz w:val="18"/>
                <w:szCs w:val="18"/>
                <w:lang w:val="pt-BR"/>
              </w:rPr>
            </w:pPr>
            <w:r>
              <w:rPr>
                <w:rFonts w:cs="Arial"/>
                <w:sz w:val="18"/>
                <w:szCs w:val="18"/>
                <w:lang w:val="pt-BR"/>
              </w:rPr>
              <w:t>#</w:t>
            </w:r>
          </w:p>
          <w:p w14:paraId="77D1CF4C" w14:textId="77777777" w:rsidR="002E2259" w:rsidRPr="00F71153" w:rsidRDefault="002E2259" w:rsidP="00AB1278">
            <w:pPr>
              <w:jc w:val="center"/>
              <w:rPr>
                <w:rFonts w:cs="Arial"/>
                <w:sz w:val="18"/>
                <w:szCs w:val="18"/>
                <w:lang w:val="pt-BR"/>
              </w:rPr>
            </w:pPr>
            <w:r>
              <w:rPr>
                <w:rFonts w:cs="Arial"/>
                <w:sz w:val="18"/>
                <w:szCs w:val="18"/>
                <w:lang w:val="pt-BR"/>
              </w:rPr>
              <w:t>(lotes de equipamentos)</w:t>
            </w:r>
          </w:p>
        </w:tc>
        <w:tc>
          <w:tcPr>
            <w:tcW w:w="990" w:type="dxa"/>
            <w:shd w:val="clear" w:color="auto" w:fill="auto"/>
            <w:vAlign w:val="center"/>
          </w:tcPr>
          <w:p w14:paraId="470A9A42" w14:textId="77777777" w:rsidR="002E2259" w:rsidRPr="00F71153" w:rsidRDefault="002E2259" w:rsidP="00AB1278">
            <w:pPr>
              <w:jc w:val="center"/>
              <w:rPr>
                <w:rFonts w:cs="Arial"/>
                <w:sz w:val="18"/>
                <w:szCs w:val="18"/>
                <w:lang w:val="pt-BR"/>
              </w:rPr>
            </w:pPr>
            <w:r>
              <w:rPr>
                <w:rFonts w:cs="Arial"/>
                <w:sz w:val="18"/>
                <w:szCs w:val="18"/>
                <w:lang w:val="pt-BR"/>
              </w:rPr>
              <w:t>0</w:t>
            </w:r>
          </w:p>
        </w:tc>
        <w:tc>
          <w:tcPr>
            <w:tcW w:w="795" w:type="dxa"/>
            <w:shd w:val="clear" w:color="auto" w:fill="auto"/>
            <w:vAlign w:val="center"/>
          </w:tcPr>
          <w:p w14:paraId="7CCCB55B" w14:textId="77777777" w:rsidR="002E2259" w:rsidRPr="00F71153" w:rsidRDefault="002E2259" w:rsidP="00AB1278">
            <w:pPr>
              <w:jc w:val="center"/>
              <w:rPr>
                <w:rFonts w:cs="Arial"/>
                <w:sz w:val="18"/>
                <w:szCs w:val="18"/>
                <w:lang w:val="pt-BR"/>
              </w:rPr>
            </w:pPr>
          </w:p>
        </w:tc>
        <w:tc>
          <w:tcPr>
            <w:tcW w:w="795" w:type="dxa"/>
            <w:shd w:val="clear" w:color="auto" w:fill="auto"/>
            <w:vAlign w:val="center"/>
          </w:tcPr>
          <w:p w14:paraId="54566D07" w14:textId="77777777" w:rsidR="002E2259" w:rsidRPr="00F71153" w:rsidRDefault="002E2259" w:rsidP="00AB1278">
            <w:pPr>
              <w:jc w:val="center"/>
              <w:rPr>
                <w:rFonts w:cs="Arial"/>
                <w:sz w:val="18"/>
                <w:szCs w:val="18"/>
                <w:lang w:val="pt-BR"/>
              </w:rPr>
            </w:pPr>
          </w:p>
        </w:tc>
        <w:tc>
          <w:tcPr>
            <w:tcW w:w="795" w:type="dxa"/>
            <w:shd w:val="clear" w:color="auto" w:fill="auto"/>
            <w:vAlign w:val="center"/>
          </w:tcPr>
          <w:p w14:paraId="12A180E2" w14:textId="77777777" w:rsidR="002E2259" w:rsidRPr="00F71153" w:rsidRDefault="002E2259" w:rsidP="00AB1278">
            <w:pPr>
              <w:jc w:val="center"/>
              <w:rPr>
                <w:rFonts w:cs="Arial"/>
                <w:sz w:val="18"/>
                <w:szCs w:val="18"/>
                <w:lang w:val="pt-BR"/>
              </w:rPr>
            </w:pPr>
            <w:r>
              <w:rPr>
                <w:rFonts w:cs="Arial"/>
                <w:sz w:val="18"/>
                <w:szCs w:val="18"/>
                <w:lang w:val="pt-BR"/>
              </w:rPr>
              <w:t>3</w:t>
            </w:r>
          </w:p>
        </w:tc>
        <w:tc>
          <w:tcPr>
            <w:tcW w:w="795" w:type="dxa"/>
            <w:shd w:val="clear" w:color="auto" w:fill="auto"/>
            <w:vAlign w:val="center"/>
          </w:tcPr>
          <w:p w14:paraId="58DA21B0" w14:textId="77777777" w:rsidR="002E2259" w:rsidRPr="00F71153" w:rsidRDefault="002E2259" w:rsidP="00AB1278">
            <w:pPr>
              <w:jc w:val="center"/>
              <w:rPr>
                <w:rFonts w:cs="Arial"/>
                <w:sz w:val="18"/>
                <w:szCs w:val="18"/>
                <w:lang w:val="pt-BR"/>
              </w:rPr>
            </w:pPr>
            <w:r>
              <w:rPr>
                <w:rFonts w:cs="Arial"/>
                <w:sz w:val="18"/>
                <w:szCs w:val="18"/>
                <w:lang w:val="pt-BR"/>
              </w:rPr>
              <w:t>6</w:t>
            </w:r>
          </w:p>
        </w:tc>
        <w:tc>
          <w:tcPr>
            <w:tcW w:w="795" w:type="dxa"/>
            <w:shd w:val="clear" w:color="auto" w:fill="auto"/>
            <w:vAlign w:val="center"/>
          </w:tcPr>
          <w:p w14:paraId="434B30A2" w14:textId="77777777" w:rsidR="002E2259" w:rsidRPr="00F71153" w:rsidRDefault="002E2259" w:rsidP="00AB1278">
            <w:pPr>
              <w:jc w:val="center"/>
              <w:rPr>
                <w:rFonts w:cs="Arial"/>
                <w:sz w:val="18"/>
                <w:szCs w:val="18"/>
                <w:lang w:val="pt-BR"/>
              </w:rPr>
            </w:pPr>
            <w:r>
              <w:rPr>
                <w:rFonts w:cs="Arial"/>
                <w:sz w:val="18"/>
                <w:szCs w:val="18"/>
                <w:lang w:val="pt-BR"/>
              </w:rPr>
              <w:t>2</w:t>
            </w:r>
          </w:p>
        </w:tc>
        <w:tc>
          <w:tcPr>
            <w:tcW w:w="795" w:type="dxa"/>
            <w:shd w:val="clear" w:color="auto" w:fill="auto"/>
            <w:vAlign w:val="center"/>
          </w:tcPr>
          <w:p w14:paraId="36958C92" w14:textId="77777777" w:rsidR="002E2259" w:rsidRPr="00F71153" w:rsidRDefault="002E2259" w:rsidP="00AB1278">
            <w:pPr>
              <w:jc w:val="center"/>
              <w:rPr>
                <w:rFonts w:cs="Arial"/>
                <w:sz w:val="18"/>
                <w:szCs w:val="18"/>
                <w:lang w:val="pt-BR"/>
              </w:rPr>
            </w:pPr>
            <w:r>
              <w:rPr>
                <w:rFonts w:cs="Arial"/>
                <w:sz w:val="18"/>
                <w:szCs w:val="18"/>
                <w:lang w:val="pt-BR"/>
              </w:rPr>
              <w:t>11</w:t>
            </w:r>
          </w:p>
        </w:tc>
        <w:tc>
          <w:tcPr>
            <w:tcW w:w="2340" w:type="dxa"/>
            <w:shd w:val="clear" w:color="auto" w:fill="auto"/>
          </w:tcPr>
          <w:p w14:paraId="223E8F16" w14:textId="77777777" w:rsidR="002E2259" w:rsidRPr="00F71153" w:rsidRDefault="002E2259" w:rsidP="00AB1278">
            <w:pPr>
              <w:rPr>
                <w:rFonts w:cs="Arial"/>
                <w:sz w:val="18"/>
                <w:szCs w:val="18"/>
                <w:lang w:val="pt-BR"/>
              </w:rPr>
            </w:pPr>
            <w:r>
              <w:rPr>
                <w:rFonts w:cs="Arial"/>
                <w:sz w:val="18"/>
                <w:szCs w:val="18"/>
                <w:lang w:val="pt-BR"/>
              </w:rPr>
              <w:t>Idem</w:t>
            </w:r>
          </w:p>
        </w:tc>
      </w:tr>
      <w:tr w:rsidR="002E2259" w:rsidRPr="00F2687C" w14:paraId="67FF6045" w14:textId="77777777" w:rsidTr="00AB1278">
        <w:trPr>
          <w:trHeight w:val="461"/>
        </w:trPr>
        <w:tc>
          <w:tcPr>
            <w:tcW w:w="3798" w:type="dxa"/>
            <w:shd w:val="clear" w:color="auto" w:fill="auto"/>
          </w:tcPr>
          <w:p w14:paraId="18A11BE8" w14:textId="77777777" w:rsidR="002E2259" w:rsidRPr="00F2687C" w:rsidRDefault="002E2259" w:rsidP="00AB1278">
            <w:pPr>
              <w:rPr>
                <w:rFonts w:cs="Arial"/>
                <w:sz w:val="18"/>
                <w:szCs w:val="18"/>
                <w:lang w:val="es-ES"/>
              </w:rPr>
            </w:pPr>
            <w:r w:rsidRPr="00F2687C">
              <w:rPr>
                <w:rFonts w:cs="Arial"/>
                <w:sz w:val="18"/>
                <w:szCs w:val="18"/>
                <w:lang w:val="es-ES"/>
              </w:rPr>
              <w:t xml:space="preserve">Policlínica </w:t>
            </w:r>
            <w:r>
              <w:rPr>
                <w:rFonts w:cs="Arial"/>
                <w:sz w:val="18"/>
                <w:szCs w:val="18"/>
                <w:lang w:val="es-ES"/>
              </w:rPr>
              <w:t xml:space="preserve">de Fortaleza </w:t>
            </w:r>
            <w:r w:rsidRPr="00F2687C">
              <w:rPr>
                <w:rFonts w:cs="Arial"/>
                <w:sz w:val="18"/>
                <w:szCs w:val="18"/>
                <w:lang w:val="es-ES"/>
              </w:rPr>
              <w:t xml:space="preserve">construida </w:t>
            </w:r>
          </w:p>
        </w:tc>
        <w:tc>
          <w:tcPr>
            <w:tcW w:w="1260" w:type="dxa"/>
            <w:shd w:val="clear" w:color="auto" w:fill="auto"/>
            <w:vAlign w:val="center"/>
          </w:tcPr>
          <w:p w14:paraId="77B860E7"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776A8503" w14:textId="77777777" w:rsidR="002E2259" w:rsidRPr="00F2687C" w:rsidRDefault="002E2259" w:rsidP="00AB1278">
            <w:pPr>
              <w:jc w:val="center"/>
              <w:rPr>
                <w:rFonts w:cs="Arial"/>
                <w:sz w:val="18"/>
                <w:szCs w:val="18"/>
                <w:lang w:val="es-ES"/>
              </w:rPr>
            </w:pPr>
            <w:r w:rsidRPr="00F2687C">
              <w:rPr>
                <w:rFonts w:cs="Arial"/>
                <w:sz w:val="18"/>
                <w:szCs w:val="18"/>
                <w:lang w:val="es-ES"/>
              </w:rPr>
              <w:t>(policlin.)</w:t>
            </w:r>
          </w:p>
        </w:tc>
        <w:tc>
          <w:tcPr>
            <w:tcW w:w="990" w:type="dxa"/>
            <w:shd w:val="clear" w:color="auto" w:fill="auto"/>
            <w:vAlign w:val="center"/>
          </w:tcPr>
          <w:p w14:paraId="4C7DB11C"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0D00641B"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630D069F"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05C3DF0D"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4650AEAB"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2049B1C3"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46353EEF"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2340" w:type="dxa"/>
            <w:shd w:val="clear" w:color="auto" w:fill="auto"/>
          </w:tcPr>
          <w:p w14:paraId="03BC4067" w14:textId="77777777" w:rsidR="002E2259" w:rsidRPr="00F2687C" w:rsidRDefault="002E2259" w:rsidP="00AB1278">
            <w:pPr>
              <w:rPr>
                <w:rFonts w:cs="Arial"/>
                <w:sz w:val="18"/>
                <w:szCs w:val="18"/>
                <w:lang w:val="es-ES"/>
              </w:rPr>
            </w:pPr>
            <w:r>
              <w:rPr>
                <w:rFonts w:cs="Arial"/>
                <w:sz w:val="18"/>
                <w:szCs w:val="18"/>
                <w:lang w:val="es-ES"/>
              </w:rPr>
              <w:t>Ídem.</w:t>
            </w:r>
          </w:p>
        </w:tc>
      </w:tr>
      <w:tr w:rsidR="002E2259" w:rsidRPr="00F2687C" w14:paraId="3199DEC2" w14:textId="77777777" w:rsidTr="00AB1278">
        <w:trPr>
          <w:trHeight w:val="461"/>
        </w:trPr>
        <w:tc>
          <w:tcPr>
            <w:tcW w:w="3798" w:type="dxa"/>
            <w:shd w:val="clear" w:color="auto" w:fill="auto"/>
          </w:tcPr>
          <w:p w14:paraId="4B1D2164" w14:textId="77777777" w:rsidR="002E2259" w:rsidRPr="00F2687C" w:rsidRDefault="002E2259" w:rsidP="00AB1278">
            <w:pPr>
              <w:tabs>
                <w:tab w:val="left" w:pos="2179"/>
              </w:tabs>
              <w:rPr>
                <w:rFonts w:cs="Arial"/>
                <w:sz w:val="18"/>
                <w:szCs w:val="18"/>
                <w:lang w:val="es-ES"/>
              </w:rPr>
            </w:pPr>
            <w:r>
              <w:rPr>
                <w:rFonts w:cs="Arial"/>
                <w:sz w:val="18"/>
                <w:szCs w:val="18"/>
                <w:lang w:val="es-ES"/>
              </w:rPr>
              <w:t>Equipamientos para la Policlínica de Fortaleza adquiridos</w:t>
            </w:r>
          </w:p>
        </w:tc>
        <w:tc>
          <w:tcPr>
            <w:tcW w:w="1260" w:type="dxa"/>
            <w:shd w:val="clear" w:color="auto" w:fill="auto"/>
            <w:vAlign w:val="center"/>
          </w:tcPr>
          <w:p w14:paraId="3796C981" w14:textId="77777777" w:rsidR="002E2259" w:rsidRDefault="002E2259" w:rsidP="00AB1278">
            <w:pPr>
              <w:jc w:val="center"/>
              <w:rPr>
                <w:rFonts w:cs="Arial"/>
                <w:sz w:val="18"/>
                <w:szCs w:val="18"/>
                <w:lang w:val="es-ES"/>
              </w:rPr>
            </w:pPr>
            <w:r>
              <w:rPr>
                <w:rFonts w:cs="Arial"/>
                <w:sz w:val="18"/>
                <w:szCs w:val="18"/>
                <w:lang w:val="es-ES"/>
              </w:rPr>
              <w:t>#</w:t>
            </w:r>
          </w:p>
          <w:p w14:paraId="2EBD1AFA" w14:textId="77777777" w:rsidR="002E2259" w:rsidRPr="00F2687C" w:rsidRDefault="002E2259" w:rsidP="00AB1278">
            <w:pPr>
              <w:jc w:val="center"/>
              <w:rPr>
                <w:rFonts w:cs="Arial"/>
                <w:sz w:val="18"/>
                <w:szCs w:val="18"/>
                <w:lang w:val="es-ES"/>
              </w:rPr>
            </w:pPr>
            <w:r>
              <w:rPr>
                <w:rFonts w:cs="Arial"/>
                <w:sz w:val="18"/>
                <w:szCs w:val="18"/>
                <w:lang w:val="es-ES"/>
              </w:rPr>
              <w:t>(lotes de equipamientos)</w:t>
            </w:r>
          </w:p>
        </w:tc>
        <w:tc>
          <w:tcPr>
            <w:tcW w:w="990" w:type="dxa"/>
            <w:shd w:val="clear" w:color="auto" w:fill="auto"/>
            <w:vAlign w:val="center"/>
          </w:tcPr>
          <w:p w14:paraId="27C0BCBE" w14:textId="77777777" w:rsidR="002E2259" w:rsidRPr="00F2687C" w:rsidRDefault="002E2259" w:rsidP="00AB1278">
            <w:pPr>
              <w:jc w:val="center"/>
              <w:rPr>
                <w:rFonts w:cs="Arial"/>
                <w:sz w:val="18"/>
                <w:szCs w:val="18"/>
                <w:lang w:val="es-ES"/>
              </w:rPr>
            </w:pPr>
            <w:r>
              <w:rPr>
                <w:rFonts w:cs="Arial"/>
                <w:sz w:val="18"/>
                <w:szCs w:val="18"/>
                <w:lang w:val="es-ES"/>
              </w:rPr>
              <w:t>0</w:t>
            </w:r>
          </w:p>
        </w:tc>
        <w:tc>
          <w:tcPr>
            <w:tcW w:w="795" w:type="dxa"/>
            <w:shd w:val="clear" w:color="auto" w:fill="auto"/>
            <w:vAlign w:val="center"/>
          </w:tcPr>
          <w:p w14:paraId="28158949"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5D407B34"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0DC350E3" w14:textId="77777777" w:rsidR="002E2259" w:rsidRPr="00F2687C" w:rsidRDefault="002E2259" w:rsidP="00AB1278">
            <w:pPr>
              <w:jc w:val="center"/>
              <w:rPr>
                <w:rFonts w:cs="Arial"/>
                <w:sz w:val="18"/>
                <w:szCs w:val="18"/>
                <w:lang w:val="es-ES"/>
              </w:rPr>
            </w:pPr>
            <w:r>
              <w:rPr>
                <w:rFonts w:cs="Arial"/>
                <w:sz w:val="18"/>
                <w:szCs w:val="18"/>
                <w:lang w:val="es-ES"/>
              </w:rPr>
              <w:t>3</w:t>
            </w:r>
          </w:p>
        </w:tc>
        <w:tc>
          <w:tcPr>
            <w:tcW w:w="795" w:type="dxa"/>
            <w:shd w:val="clear" w:color="auto" w:fill="auto"/>
            <w:vAlign w:val="center"/>
          </w:tcPr>
          <w:p w14:paraId="1902C386" w14:textId="77777777" w:rsidR="002E2259" w:rsidRPr="00F2687C" w:rsidRDefault="002E2259" w:rsidP="00AB1278">
            <w:pPr>
              <w:jc w:val="center"/>
              <w:rPr>
                <w:rFonts w:cs="Arial"/>
                <w:sz w:val="18"/>
                <w:szCs w:val="18"/>
                <w:lang w:val="es-ES"/>
              </w:rPr>
            </w:pPr>
            <w:r>
              <w:rPr>
                <w:rFonts w:cs="Arial"/>
                <w:sz w:val="18"/>
                <w:szCs w:val="18"/>
                <w:lang w:val="es-ES"/>
              </w:rPr>
              <w:t>1</w:t>
            </w:r>
          </w:p>
        </w:tc>
        <w:tc>
          <w:tcPr>
            <w:tcW w:w="795" w:type="dxa"/>
            <w:shd w:val="clear" w:color="auto" w:fill="auto"/>
            <w:vAlign w:val="center"/>
          </w:tcPr>
          <w:p w14:paraId="1A13A1DB"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7E350E8B" w14:textId="77777777" w:rsidR="002E2259" w:rsidRPr="00F2687C" w:rsidRDefault="002E2259" w:rsidP="00AB1278">
            <w:pPr>
              <w:jc w:val="center"/>
              <w:rPr>
                <w:rFonts w:cs="Arial"/>
                <w:sz w:val="18"/>
                <w:szCs w:val="18"/>
                <w:lang w:val="es-ES"/>
              </w:rPr>
            </w:pPr>
            <w:r>
              <w:rPr>
                <w:rFonts w:cs="Arial"/>
                <w:sz w:val="18"/>
                <w:szCs w:val="18"/>
                <w:lang w:val="es-ES"/>
              </w:rPr>
              <w:t>4</w:t>
            </w:r>
          </w:p>
        </w:tc>
        <w:tc>
          <w:tcPr>
            <w:tcW w:w="2340" w:type="dxa"/>
            <w:shd w:val="clear" w:color="auto" w:fill="auto"/>
          </w:tcPr>
          <w:p w14:paraId="547BEF58" w14:textId="77777777" w:rsidR="002E2259" w:rsidRDefault="002E2259" w:rsidP="00AB1278">
            <w:pPr>
              <w:rPr>
                <w:rFonts w:cs="Arial"/>
                <w:sz w:val="18"/>
                <w:szCs w:val="18"/>
                <w:lang w:val="es-ES"/>
              </w:rPr>
            </w:pPr>
            <w:r>
              <w:rPr>
                <w:rFonts w:cs="Arial"/>
                <w:sz w:val="18"/>
                <w:szCs w:val="18"/>
                <w:lang w:val="es-ES"/>
              </w:rPr>
              <w:t>Idem</w:t>
            </w:r>
          </w:p>
        </w:tc>
      </w:tr>
      <w:tr w:rsidR="002E2259" w:rsidRPr="00F2687C" w14:paraId="56A63DE6" w14:textId="77777777" w:rsidTr="00AB1278">
        <w:trPr>
          <w:trHeight w:val="461"/>
        </w:trPr>
        <w:tc>
          <w:tcPr>
            <w:tcW w:w="3798" w:type="dxa"/>
            <w:shd w:val="clear" w:color="auto" w:fill="auto"/>
          </w:tcPr>
          <w:p w14:paraId="77037F81" w14:textId="77777777" w:rsidR="002E2259" w:rsidRPr="00F2687C" w:rsidRDefault="002E2259" w:rsidP="00AB1278">
            <w:pPr>
              <w:rPr>
                <w:rFonts w:cs="Arial"/>
                <w:sz w:val="18"/>
                <w:szCs w:val="18"/>
                <w:lang w:val="es-ES"/>
              </w:rPr>
            </w:pPr>
            <w:r w:rsidRPr="00F2687C">
              <w:rPr>
                <w:rFonts w:cs="Arial"/>
                <w:sz w:val="18"/>
                <w:szCs w:val="18"/>
                <w:lang w:val="es-ES"/>
              </w:rPr>
              <w:t xml:space="preserve">Hospital Metropolitano construido </w:t>
            </w:r>
          </w:p>
        </w:tc>
        <w:tc>
          <w:tcPr>
            <w:tcW w:w="1260" w:type="dxa"/>
            <w:shd w:val="clear" w:color="auto" w:fill="auto"/>
            <w:vAlign w:val="center"/>
          </w:tcPr>
          <w:p w14:paraId="5C3F7F8F"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0B0D68FE" w14:textId="77777777" w:rsidR="002E2259" w:rsidRPr="00F2687C" w:rsidRDefault="002E2259" w:rsidP="00AB1278">
            <w:pPr>
              <w:jc w:val="center"/>
              <w:rPr>
                <w:rFonts w:cs="Arial"/>
                <w:sz w:val="18"/>
                <w:szCs w:val="18"/>
                <w:lang w:val="es-ES"/>
              </w:rPr>
            </w:pPr>
            <w:r w:rsidRPr="00F2687C">
              <w:rPr>
                <w:rFonts w:cs="Arial"/>
                <w:sz w:val="18"/>
                <w:szCs w:val="18"/>
                <w:lang w:val="es-ES"/>
              </w:rPr>
              <w:t>(hospital)</w:t>
            </w:r>
          </w:p>
        </w:tc>
        <w:tc>
          <w:tcPr>
            <w:tcW w:w="990" w:type="dxa"/>
            <w:shd w:val="clear" w:color="auto" w:fill="auto"/>
            <w:vAlign w:val="center"/>
          </w:tcPr>
          <w:p w14:paraId="1C819C29"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33509A1A"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6349CAE"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1B6B92C2"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08E9E443"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0FE69245"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1B860FD3"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2340" w:type="dxa"/>
            <w:shd w:val="clear" w:color="auto" w:fill="auto"/>
          </w:tcPr>
          <w:p w14:paraId="0119D252" w14:textId="77777777" w:rsidR="002E2259" w:rsidRPr="00F2687C" w:rsidRDefault="002E2259" w:rsidP="00AB1278">
            <w:pPr>
              <w:rPr>
                <w:rFonts w:cs="Arial"/>
                <w:sz w:val="18"/>
                <w:szCs w:val="18"/>
                <w:lang w:val="es-ES"/>
              </w:rPr>
            </w:pPr>
            <w:r>
              <w:rPr>
                <w:rFonts w:cs="Arial"/>
                <w:sz w:val="18"/>
                <w:szCs w:val="18"/>
                <w:lang w:val="es-ES"/>
              </w:rPr>
              <w:t>Ídem.</w:t>
            </w:r>
          </w:p>
        </w:tc>
      </w:tr>
      <w:tr w:rsidR="002E2259" w:rsidRPr="00F2687C" w14:paraId="0784BC38" w14:textId="77777777" w:rsidTr="00AB1278">
        <w:trPr>
          <w:trHeight w:val="461"/>
        </w:trPr>
        <w:tc>
          <w:tcPr>
            <w:tcW w:w="3798" w:type="dxa"/>
            <w:shd w:val="clear" w:color="auto" w:fill="auto"/>
          </w:tcPr>
          <w:p w14:paraId="42A17D8B" w14:textId="77777777" w:rsidR="002E2259" w:rsidRPr="00F2687C" w:rsidRDefault="002E2259" w:rsidP="00AB1278">
            <w:pPr>
              <w:rPr>
                <w:rFonts w:cs="Arial"/>
                <w:sz w:val="18"/>
                <w:szCs w:val="18"/>
                <w:lang w:val="es-ES"/>
              </w:rPr>
            </w:pPr>
            <w:r>
              <w:rPr>
                <w:rFonts w:cs="Arial"/>
                <w:sz w:val="18"/>
                <w:szCs w:val="18"/>
                <w:lang w:val="es-ES"/>
              </w:rPr>
              <w:t>Equipamientos para el Hospital Metropolitano adquiridos</w:t>
            </w:r>
          </w:p>
        </w:tc>
        <w:tc>
          <w:tcPr>
            <w:tcW w:w="1260" w:type="dxa"/>
            <w:shd w:val="clear" w:color="auto" w:fill="auto"/>
            <w:vAlign w:val="center"/>
          </w:tcPr>
          <w:p w14:paraId="485A0C65" w14:textId="77777777" w:rsidR="002E2259" w:rsidRDefault="002E2259" w:rsidP="00AB1278">
            <w:pPr>
              <w:jc w:val="center"/>
              <w:rPr>
                <w:rFonts w:cs="Arial"/>
                <w:sz w:val="18"/>
                <w:szCs w:val="18"/>
                <w:lang w:val="es-ES"/>
              </w:rPr>
            </w:pPr>
            <w:r>
              <w:rPr>
                <w:rFonts w:cs="Arial"/>
                <w:sz w:val="18"/>
                <w:szCs w:val="18"/>
                <w:lang w:val="es-ES"/>
              </w:rPr>
              <w:t>#</w:t>
            </w:r>
          </w:p>
          <w:p w14:paraId="419A62CC" w14:textId="77777777" w:rsidR="002E2259" w:rsidRPr="00F2687C" w:rsidRDefault="002E2259" w:rsidP="00AB1278">
            <w:pPr>
              <w:jc w:val="center"/>
              <w:rPr>
                <w:rFonts w:cs="Arial"/>
                <w:sz w:val="18"/>
                <w:szCs w:val="18"/>
                <w:lang w:val="es-ES"/>
              </w:rPr>
            </w:pPr>
            <w:r>
              <w:rPr>
                <w:rFonts w:cs="Arial"/>
                <w:sz w:val="18"/>
                <w:szCs w:val="18"/>
                <w:lang w:val="es-ES"/>
              </w:rPr>
              <w:t>(lotes de equipamientos)</w:t>
            </w:r>
          </w:p>
        </w:tc>
        <w:tc>
          <w:tcPr>
            <w:tcW w:w="990" w:type="dxa"/>
            <w:shd w:val="clear" w:color="auto" w:fill="auto"/>
            <w:vAlign w:val="center"/>
          </w:tcPr>
          <w:p w14:paraId="5ACCF95C" w14:textId="77777777" w:rsidR="002E2259" w:rsidRPr="00F2687C" w:rsidRDefault="002E2259" w:rsidP="00AB1278">
            <w:pPr>
              <w:jc w:val="center"/>
              <w:rPr>
                <w:rFonts w:cs="Arial"/>
                <w:sz w:val="18"/>
                <w:szCs w:val="18"/>
                <w:lang w:val="es-ES"/>
              </w:rPr>
            </w:pPr>
            <w:r>
              <w:rPr>
                <w:rFonts w:cs="Arial"/>
                <w:sz w:val="18"/>
                <w:szCs w:val="18"/>
                <w:lang w:val="es-ES"/>
              </w:rPr>
              <w:t>0</w:t>
            </w:r>
          </w:p>
        </w:tc>
        <w:tc>
          <w:tcPr>
            <w:tcW w:w="795" w:type="dxa"/>
            <w:shd w:val="clear" w:color="auto" w:fill="auto"/>
            <w:vAlign w:val="center"/>
          </w:tcPr>
          <w:p w14:paraId="048722AE"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4F4A2209" w14:textId="77777777" w:rsidR="002E2259" w:rsidRPr="00F2687C" w:rsidRDefault="002E2259" w:rsidP="00AB1278">
            <w:pPr>
              <w:jc w:val="center"/>
              <w:rPr>
                <w:rFonts w:cs="Arial"/>
                <w:sz w:val="18"/>
                <w:szCs w:val="18"/>
                <w:lang w:val="es-ES"/>
              </w:rPr>
            </w:pPr>
            <w:r>
              <w:rPr>
                <w:rFonts w:cs="Arial"/>
                <w:sz w:val="18"/>
                <w:szCs w:val="18"/>
                <w:lang w:val="es-ES"/>
              </w:rPr>
              <w:t>1</w:t>
            </w:r>
          </w:p>
        </w:tc>
        <w:tc>
          <w:tcPr>
            <w:tcW w:w="795" w:type="dxa"/>
            <w:shd w:val="clear" w:color="auto" w:fill="auto"/>
            <w:vAlign w:val="center"/>
          </w:tcPr>
          <w:p w14:paraId="6A088F47" w14:textId="77777777" w:rsidR="002E2259" w:rsidRPr="00F2687C" w:rsidRDefault="002E2259" w:rsidP="00AB1278">
            <w:pPr>
              <w:jc w:val="center"/>
              <w:rPr>
                <w:rFonts w:cs="Arial"/>
                <w:sz w:val="18"/>
                <w:szCs w:val="18"/>
                <w:lang w:val="es-ES"/>
              </w:rPr>
            </w:pPr>
            <w:r>
              <w:rPr>
                <w:rFonts w:cs="Arial"/>
                <w:sz w:val="18"/>
                <w:szCs w:val="18"/>
                <w:lang w:val="es-ES"/>
              </w:rPr>
              <w:t>3</w:t>
            </w:r>
          </w:p>
        </w:tc>
        <w:tc>
          <w:tcPr>
            <w:tcW w:w="795" w:type="dxa"/>
            <w:shd w:val="clear" w:color="auto" w:fill="auto"/>
            <w:vAlign w:val="center"/>
          </w:tcPr>
          <w:p w14:paraId="656D9917"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89702B0"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144EF308" w14:textId="77777777" w:rsidR="002E2259" w:rsidRPr="00F2687C" w:rsidRDefault="002E2259" w:rsidP="00AB1278">
            <w:pPr>
              <w:jc w:val="center"/>
              <w:rPr>
                <w:rFonts w:cs="Arial"/>
                <w:sz w:val="18"/>
                <w:szCs w:val="18"/>
                <w:lang w:val="es-ES"/>
              </w:rPr>
            </w:pPr>
            <w:r>
              <w:rPr>
                <w:rFonts w:cs="Arial"/>
                <w:sz w:val="18"/>
                <w:szCs w:val="18"/>
                <w:lang w:val="es-ES"/>
              </w:rPr>
              <w:t>4</w:t>
            </w:r>
          </w:p>
        </w:tc>
        <w:tc>
          <w:tcPr>
            <w:tcW w:w="2340" w:type="dxa"/>
            <w:shd w:val="clear" w:color="auto" w:fill="auto"/>
          </w:tcPr>
          <w:p w14:paraId="33CE2C42" w14:textId="77777777" w:rsidR="002E2259" w:rsidRDefault="002E2259" w:rsidP="00AB1278">
            <w:pPr>
              <w:rPr>
                <w:rFonts w:cs="Arial"/>
                <w:sz w:val="18"/>
                <w:szCs w:val="18"/>
                <w:lang w:val="es-ES"/>
              </w:rPr>
            </w:pPr>
            <w:r>
              <w:rPr>
                <w:rFonts w:cs="Arial"/>
                <w:sz w:val="18"/>
                <w:szCs w:val="18"/>
                <w:lang w:val="es-ES"/>
              </w:rPr>
              <w:t>Idem</w:t>
            </w:r>
          </w:p>
        </w:tc>
      </w:tr>
      <w:tr w:rsidR="002E2259" w:rsidRPr="00F2687C" w14:paraId="4FF458A9" w14:textId="77777777" w:rsidTr="00AB1278">
        <w:trPr>
          <w:trHeight w:val="260"/>
        </w:trPr>
        <w:tc>
          <w:tcPr>
            <w:tcW w:w="3798" w:type="dxa"/>
            <w:shd w:val="clear" w:color="auto" w:fill="auto"/>
          </w:tcPr>
          <w:p w14:paraId="0A355476" w14:textId="77777777" w:rsidR="002E2259" w:rsidRPr="00F2687C" w:rsidRDefault="002E2259" w:rsidP="00AB1278">
            <w:pPr>
              <w:rPr>
                <w:rFonts w:cs="Arial"/>
                <w:sz w:val="18"/>
                <w:szCs w:val="18"/>
                <w:lang w:val="es-ES"/>
              </w:rPr>
            </w:pPr>
            <w:r w:rsidRPr="00F2687C">
              <w:rPr>
                <w:rFonts w:cs="Arial"/>
                <w:sz w:val="18"/>
                <w:szCs w:val="18"/>
                <w:lang w:val="es-ES"/>
              </w:rPr>
              <w:t>Unidades de atención al parto reformados</w:t>
            </w:r>
            <w:r>
              <w:rPr>
                <w:rFonts w:cs="Arial"/>
                <w:sz w:val="18"/>
                <w:szCs w:val="18"/>
                <w:lang w:val="es-ES"/>
              </w:rPr>
              <w:t>.</w:t>
            </w:r>
          </w:p>
        </w:tc>
        <w:tc>
          <w:tcPr>
            <w:tcW w:w="1260" w:type="dxa"/>
            <w:shd w:val="clear" w:color="auto" w:fill="auto"/>
            <w:vAlign w:val="center"/>
          </w:tcPr>
          <w:p w14:paraId="3AF5FB79"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09BD2B2D" w14:textId="77777777" w:rsidR="002E2259" w:rsidRPr="00F2687C" w:rsidRDefault="002E2259" w:rsidP="00AB1278">
            <w:pPr>
              <w:jc w:val="center"/>
              <w:rPr>
                <w:rFonts w:cs="Arial"/>
                <w:sz w:val="18"/>
                <w:szCs w:val="18"/>
                <w:lang w:val="es-ES"/>
              </w:rPr>
            </w:pPr>
            <w:r w:rsidRPr="00F2687C">
              <w:rPr>
                <w:rFonts w:cs="Arial"/>
                <w:sz w:val="18"/>
                <w:szCs w:val="18"/>
                <w:lang w:val="es-ES"/>
              </w:rPr>
              <w:t>(</w:t>
            </w:r>
            <w:r>
              <w:rPr>
                <w:rFonts w:cs="Arial"/>
                <w:sz w:val="18"/>
                <w:szCs w:val="18"/>
                <w:lang w:val="es-ES"/>
              </w:rPr>
              <w:t>unidades de parto</w:t>
            </w:r>
            <w:r w:rsidRPr="00F2687C">
              <w:rPr>
                <w:rFonts w:cs="Arial"/>
                <w:sz w:val="18"/>
                <w:szCs w:val="18"/>
                <w:lang w:val="es-ES"/>
              </w:rPr>
              <w:t>)</w:t>
            </w:r>
          </w:p>
        </w:tc>
        <w:tc>
          <w:tcPr>
            <w:tcW w:w="990" w:type="dxa"/>
            <w:shd w:val="clear" w:color="auto" w:fill="auto"/>
            <w:vAlign w:val="center"/>
          </w:tcPr>
          <w:p w14:paraId="392E0523"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3587D480"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6F00299"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0A08817" w14:textId="77777777" w:rsidR="002E2259" w:rsidRPr="00F2687C" w:rsidRDefault="002E2259" w:rsidP="00AB1278">
            <w:pPr>
              <w:jc w:val="center"/>
              <w:rPr>
                <w:rFonts w:cs="Arial"/>
                <w:sz w:val="18"/>
                <w:szCs w:val="18"/>
                <w:lang w:val="es-ES"/>
              </w:rPr>
            </w:pPr>
            <w:r w:rsidRPr="00F2687C">
              <w:rPr>
                <w:rFonts w:cs="Arial"/>
                <w:sz w:val="18"/>
                <w:szCs w:val="18"/>
                <w:lang w:val="es-ES"/>
              </w:rPr>
              <w:t>9</w:t>
            </w:r>
          </w:p>
        </w:tc>
        <w:tc>
          <w:tcPr>
            <w:tcW w:w="795" w:type="dxa"/>
            <w:shd w:val="clear" w:color="auto" w:fill="auto"/>
            <w:vAlign w:val="center"/>
          </w:tcPr>
          <w:p w14:paraId="1991B266" w14:textId="77777777" w:rsidR="002E2259" w:rsidRPr="00F2687C" w:rsidRDefault="002E2259" w:rsidP="00AB1278">
            <w:pPr>
              <w:jc w:val="center"/>
              <w:rPr>
                <w:rFonts w:cs="Arial"/>
                <w:sz w:val="18"/>
                <w:szCs w:val="18"/>
                <w:lang w:val="es-ES"/>
              </w:rPr>
            </w:pPr>
            <w:r w:rsidRPr="00F2687C">
              <w:rPr>
                <w:rFonts w:cs="Arial"/>
                <w:sz w:val="18"/>
                <w:szCs w:val="18"/>
                <w:lang w:val="es-ES"/>
              </w:rPr>
              <w:t>5</w:t>
            </w:r>
          </w:p>
        </w:tc>
        <w:tc>
          <w:tcPr>
            <w:tcW w:w="795" w:type="dxa"/>
            <w:shd w:val="clear" w:color="auto" w:fill="auto"/>
            <w:vAlign w:val="center"/>
          </w:tcPr>
          <w:p w14:paraId="0575B6F2"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0FF804C2" w14:textId="77777777" w:rsidR="002E2259" w:rsidRPr="00F2687C" w:rsidRDefault="002E2259" w:rsidP="00AB1278">
            <w:pPr>
              <w:jc w:val="center"/>
              <w:rPr>
                <w:rFonts w:cs="Arial"/>
                <w:sz w:val="18"/>
                <w:szCs w:val="18"/>
                <w:lang w:val="es-ES"/>
              </w:rPr>
            </w:pPr>
            <w:r w:rsidRPr="00F2687C">
              <w:rPr>
                <w:rFonts w:cs="Arial"/>
                <w:sz w:val="18"/>
                <w:szCs w:val="18"/>
                <w:lang w:val="es-ES"/>
              </w:rPr>
              <w:t>14</w:t>
            </w:r>
          </w:p>
        </w:tc>
        <w:tc>
          <w:tcPr>
            <w:tcW w:w="2340" w:type="dxa"/>
            <w:shd w:val="clear" w:color="auto" w:fill="auto"/>
          </w:tcPr>
          <w:p w14:paraId="38DB4BB6" w14:textId="77777777" w:rsidR="002E2259" w:rsidRPr="00F2687C" w:rsidRDefault="002E2259" w:rsidP="00AB1278">
            <w:pPr>
              <w:rPr>
                <w:rFonts w:cs="Arial"/>
                <w:sz w:val="18"/>
                <w:szCs w:val="18"/>
                <w:lang w:val="es-ES"/>
              </w:rPr>
            </w:pPr>
            <w:r>
              <w:rPr>
                <w:rFonts w:cs="Arial"/>
                <w:sz w:val="18"/>
                <w:szCs w:val="18"/>
                <w:lang w:val="es-ES"/>
              </w:rPr>
              <w:t>Ídem.</w:t>
            </w:r>
          </w:p>
        </w:tc>
      </w:tr>
      <w:tr w:rsidR="002E2259" w:rsidRPr="00F2687C" w14:paraId="2A9F1D33" w14:textId="77777777" w:rsidTr="00AB1278">
        <w:trPr>
          <w:trHeight w:val="260"/>
        </w:trPr>
        <w:tc>
          <w:tcPr>
            <w:tcW w:w="3798" w:type="dxa"/>
            <w:shd w:val="clear" w:color="auto" w:fill="auto"/>
          </w:tcPr>
          <w:p w14:paraId="6BFA3989" w14:textId="77777777" w:rsidR="002E2259" w:rsidRPr="00F2687C" w:rsidRDefault="002E2259" w:rsidP="00AB1278">
            <w:pPr>
              <w:rPr>
                <w:rFonts w:cs="Arial"/>
                <w:sz w:val="18"/>
                <w:szCs w:val="18"/>
                <w:lang w:val="es-ES"/>
              </w:rPr>
            </w:pPr>
            <w:r>
              <w:rPr>
                <w:rFonts w:cs="Arial"/>
                <w:sz w:val="18"/>
                <w:szCs w:val="18"/>
                <w:lang w:val="es-ES"/>
              </w:rPr>
              <w:t>Equipamientos para las unidades de atención al parto adquiridos</w:t>
            </w:r>
          </w:p>
        </w:tc>
        <w:tc>
          <w:tcPr>
            <w:tcW w:w="1260" w:type="dxa"/>
            <w:shd w:val="clear" w:color="auto" w:fill="auto"/>
            <w:vAlign w:val="center"/>
          </w:tcPr>
          <w:p w14:paraId="797E3D6B" w14:textId="77777777" w:rsidR="002E2259" w:rsidRDefault="002E2259" w:rsidP="00AB1278">
            <w:pPr>
              <w:jc w:val="center"/>
              <w:rPr>
                <w:rFonts w:cs="Arial"/>
                <w:sz w:val="18"/>
                <w:szCs w:val="18"/>
                <w:lang w:val="es-ES"/>
              </w:rPr>
            </w:pPr>
            <w:r>
              <w:rPr>
                <w:rFonts w:cs="Arial"/>
                <w:sz w:val="18"/>
                <w:szCs w:val="18"/>
                <w:lang w:val="es-ES"/>
              </w:rPr>
              <w:t>#</w:t>
            </w:r>
          </w:p>
          <w:p w14:paraId="7B072D6D" w14:textId="77777777" w:rsidR="002E2259" w:rsidRPr="00F2687C" w:rsidRDefault="002E2259" w:rsidP="00AB1278">
            <w:pPr>
              <w:jc w:val="center"/>
              <w:rPr>
                <w:rFonts w:cs="Arial"/>
                <w:sz w:val="18"/>
                <w:szCs w:val="18"/>
                <w:lang w:val="es-ES"/>
              </w:rPr>
            </w:pPr>
            <w:r>
              <w:rPr>
                <w:rFonts w:cs="Arial"/>
                <w:sz w:val="18"/>
                <w:szCs w:val="18"/>
                <w:lang w:val="es-ES"/>
              </w:rPr>
              <w:t>(lotes de equipamientos)</w:t>
            </w:r>
          </w:p>
        </w:tc>
        <w:tc>
          <w:tcPr>
            <w:tcW w:w="990" w:type="dxa"/>
            <w:shd w:val="clear" w:color="auto" w:fill="auto"/>
            <w:vAlign w:val="center"/>
          </w:tcPr>
          <w:p w14:paraId="5D669CAA" w14:textId="77777777" w:rsidR="002E2259" w:rsidRPr="00F2687C" w:rsidRDefault="002E2259" w:rsidP="00AB1278">
            <w:pPr>
              <w:jc w:val="center"/>
              <w:rPr>
                <w:rFonts w:cs="Arial"/>
                <w:sz w:val="18"/>
                <w:szCs w:val="18"/>
                <w:lang w:val="es-ES"/>
              </w:rPr>
            </w:pPr>
            <w:r>
              <w:rPr>
                <w:rFonts w:cs="Arial"/>
                <w:sz w:val="18"/>
                <w:szCs w:val="18"/>
                <w:lang w:val="es-ES"/>
              </w:rPr>
              <w:t>0</w:t>
            </w:r>
          </w:p>
        </w:tc>
        <w:tc>
          <w:tcPr>
            <w:tcW w:w="795" w:type="dxa"/>
            <w:shd w:val="clear" w:color="auto" w:fill="auto"/>
            <w:vAlign w:val="center"/>
          </w:tcPr>
          <w:p w14:paraId="44951F84"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27E6EB2A"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60D8666C" w14:textId="77777777" w:rsidR="002E2259" w:rsidRPr="00F2687C" w:rsidRDefault="002E2259" w:rsidP="00AB1278">
            <w:pPr>
              <w:jc w:val="center"/>
              <w:rPr>
                <w:rFonts w:cs="Arial"/>
                <w:sz w:val="18"/>
                <w:szCs w:val="18"/>
                <w:lang w:val="es-ES"/>
              </w:rPr>
            </w:pPr>
            <w:r>
              <w:rPr>
                <w:rFonts w:cs="Arial"/>
                <w:sz w:val="18"/>
                <w:szCs w:val="18"/>
                <w:lang w:val="es-ES"/>
              </w:rPr>
              <w:t>6</w:t>
            </w:r>
          </w:p>
        </w:tc>
        <w:tc>
          <w:tcPr>
            <w:tcW w:w="795" w:type="dxa"/>
            <w:shd w:val="clear" w:color="auto" w:fill="auto"/>
            <w:vAlign w:val="center"/>
          </w:tcPr>
          <w:p w14:paraId="68DE37F7" w14:textId="77777777" w:rsidR="002E2259" w:rsidRPr="00F2687C" w:rsidRDefault="002E2259" w:rsidP="00AB1278">
            <w:pPr>
              <w:jc w:val="center"/>
              <w:rPr>
                <w:rFonts w:cs="Arial"/>
                <w:sz w:val="18"/>
                <w:szCs w:val="18"/>
                <w:lang w:val="es-ES"/>
              </w:rPr>
            </w:pPr>
            <w:r>
              <w:rPr>
                <w:rFonts w:cs="Arial"/>
                <w:sz w:val="18"/>
                <w:szCs w:val="18"/>
                <w:lang w:val="es-ES"/>
              </w:rPr>
              <w:t>4</w:t>
            </w:r>
          </w:p>
        </w:tc>
        <w:tc>
          <w:tcPr>
            <w:tcW w:w="795" w:type="dxa"/>
            <w:shd w:val="clear" w:color="auto" w:fill="auto"/>
            <w:vAlign w:val="center"/>
          </w:tcPr>
          <w:p w14:paraId="3015ECCD"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542A47CB" w14:textId="77777777" w:rsidR="002E2259" w:rsidRPr="00F2687C" w:rsidRDefault="002E2259" w:rsidP="00AB1278">
            <w:pPr>
              <w:jc w:val="center"/>
              <w:rPr>
                <w:rFonts w:cs="Arial"/>
                <w:sz w:val="18"/>
                <w:szCs w:val="18"/>
                <w:lang w:val="es-ES"/>
              </w:rPr>
            </w:pPr>
            <w:r>
              <w:rPr>
                <w:rFonts w:cs="Arial"/>
                <w:sz w:val="18"/>
                <w:szCs w:val="18"/>
                <w:lang w:val="es-ES"/>
              </w:rPr>
              <w:t>10</w:t>
            </w:r>
          </w:p>
        </w:tc>
        <w:tc>
          <w:tcPr>
            <w:tcW w:w="2340" w:type="dxa"/>
            <w:shd w:val="clear" w:color="auto" w:fill="auto"/>
          </w:tcPr>
          <w:p w14:paraId="75110FFC" w14:textId="77777777" w:rsidR="002E2259" w:rsidRDefault="002E2259" w:rsidP="00AB1278">
            <w:pPr>
              <w:rPr>
                <w:rFonts w:cs="Arial"/>
                <w:sz w:val="18"/>
                <w:szCs w:val="18"/>
                <w:lang w:val="es-ES"/>
              </w:rPr>
            </w:pPr>
            <w:r>
              <w:rPr>
                <w:rFonts w:cs="Arial"/>
                <w:sz w:val="18"/>
                <w:szCs w:val="18"/>
                <w:lang w:val="es-ES"/>
              </w:rPr>
              <w:t>Idem</w:t>
            </w:r>
          </w:p>
        </w:tc>
      </w:tr>
      <w:tr w:rsidR="002E2259" w:rsidRPr="00321953" w14:paraId="0DBCFCA7" w14:textId="77777777" w:rsidTr="00AB1278">
        <w:tc>
          <w:tcPr>
            <w:tcW w:w="13158" w:type="dxa"/>
            <w:gridSpan w:val="10"/>
            <w:shd w:val="clear" w:color="auto" w:fill="DBE5F1"/>
            <w:vAlign w:val="center"/>
          </w:tcPr>
          <w:p w14:paraId="353001AC" w14:textId="5CEA5E02" w:rsidR="002E2259" w:rsidRPr="00321953" w:rsidRDefault="002E2259" w:rsidP="007E3AE0">
            <w:pPr>
              <w:jc w:val="center"/>
              <w:rPr>
                <w:rFonts w:cs="Arial"/>
                <w:b/>
                <w:sz w:val="18"/>
                <w:szCs w:val="18"/>
                <w:lang w:val="es-ES"/>
              </w:rPr>
            </w:pPr>
            <w:r w:rsidRPr="00321953">
              <w:rPr>
                <w:rFonts w:cs="Arial"/>
                <w:b/>
                <w:sz w:val="18"/>
                <w:szCs w:val="18"/>
                <w:lang w:val="es-ES"/>
              </w:rPr>
              <w:t>Componente 3</w:t>
            </w:r>
            <w:r>
              <w:rPr>
                <w:rFonts w:cs="Arial"/>
                <w:b/>
                <w:sz w:val="18"/>
                <w:szCs w:val="18"/>
                <w:lang w:val="es-ES"/>
              </w:rPr>
              <w:t>.</w:t>
            </w:r>
            <w:r w:rsidRPr="00321953">
              <w:rPr>
                <w:rFonts w:cs="Arial"/>
                <w:b/>
                <w:sz w:val="18"/>
                <w:szCs w:val="18"/>
                <w:lang w:val="es-ES"/>
              </w:rPr>
              <w:t xml:space="preserve"> Administración</w:t>
            </w:r>
            <w:r w:rsidR="007E3AE0">
              <w:rPr>
                <w:rFonts w:cs="Arial"/>
                <w:b/>
                <w:sz w:val="18"/>
                <w:szCs w:val="18"/>
                <w:lang w:val="es-ES"/>
              </w:rPr>
              <w:t>,</w:t>
            </w:r>
            <w:r w:rsidRPr="00321953">
              <w:rPr>
                <w:rFonts w:cs="Arial"/>
                <w:b/>
                <w:sz w:val="18"/>
                <w:szCs w:val="18"/>
                <w:lang w:val="es-ES"/>
              </w:rPr>
              <w:t xml:space="preserve"> Evaluación</w:t>
            </w:r>
            <w:r w:rsidR="007E3AE0">
              <w:rPr>
                <w:rFonts w:cs="Arial"/>
                <w:b/>
                <w:sz w:val="18"/>
                <w:szCs w:val="18"/>
                <w:lang w:val="es-ES"/>
              </w:rPr>
              <w:t xml:space="preserve"> y Auditoría</w:t>
            </w:r>
          </w:p>
        </w:tc>
      </w:tr>
      <w:tr w:rsidR="002E2259" w:rsidRPr="00F2687C" w14:paraId="7ADD83D0" w14:textId="77777777" w:rsidTr="00AB1278">
        <w:trPr>
          <w:trHeight w:val="461"/>
        </w:trPr>
        <w:tc>
          <w:tcPr>
            <w:tcW w:w="3798" w:type="dxa"/>
            <w:shd w:val="clear" w:color="auto" w:fill="auto"/>
          </w:tcPr>
          <w:p w14:paraId="26354BFD" w14:textId="77777777" w:rsidR="002E2259" w:rsidRPr="00F2687C" w:rsidRDefault="002E2259" w:rsidP="00AB1278">
            <w:pPr>
              <w:rPr>
                <w:rFonts w:cs="Arial"/>
                <w:sz w:val="18"/>
                <w:szCs w:val="18"/>
                <w:lang w:val="es-ES"/>
              </w:rPr>
            </w:pPr>
            <w:r w:rsidRPr="00F2687C">
              <w:rPr>
                <w:rFonts w:cs="Arial"/>
                <w:sz w:val="18"/>
                <w:szCs w:val="18"/>
                <w:lang w:val="es-ES"/>
              </w:rPr>
              <w:t>Equipo de gestión del programa conformado</w:t>
            </w:r>
            <w:r>
              <w:rPr>
                <w:rFonts w:cs="Arial"/>
                <w:sz w:val="18"/>
                <w:szCs w:val="18"/>
                <w:lang w:val="es-ES"/>
              </w:rPr>
              <w:t>.</w:t>
            </w:r>
          </w:p>
        </w:tc>
        <w:tc>
          <w:tcPr>
            <w:tcW w:w="1260" w:type="dxa"/>
            <w:shd w:val="clear" w:color="auto" w:fill="auto"/>
            <w:vAlign w:val="center"/>
          </w:tcPr>
          <w:p w14:paraId="65B10106"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52813465" w14:textId="77777777" w:rsidR="002E2259" w:rsidRPr="00F2687C" w:rsidRDefault="002E2259" w:rsidP="00AB1278">
            <w:pPr>
              <w:jc w:val="center"/>
              <w:rPr>
                <w:rFonts w:cs="Arial"/>
                <w:sz w:val="18"/>
                <w:szCs w:val="18"/>
                <w:lang w:val="es-ES"/>
              </w:rPr>
            </w:pPr>
            <w:r w:rsidRPr="00F2687C">
              <w:rPr>
                <w:rFonts w:cs="Arial"/>
                <w:sz w:val="18"/>
                <w:szCs w:val="18"/>
                <w:lang w:val="es-ES"/>
              </w:rPr>
              <w:t>(</w:t>
            </w:r>
            <w:r>
              <w:rPr>
                <w:rFonts w:cs="Arial"/>
                <w:sz w:val="18"/>
                <w:szCs w:val="18"/>
                <w:lang w:val="es-ES"/>
              </w:rPr>
              <w:t>personas contratadas</w:t>
            </w:r>
            <w:r w:rsidRPr="00F2687C">
              <w:rPr>
                <w:rFonts w:cs="Arial"/>
                <w:sz w:val="18"/>
                <w:szCs w:val="18"/>
                <w:lang w:val="es-ES"/>
              </w:rPr>
              <w:t>)</w:t>
            </w:r>
          </w:p>
        </w:tc>
        <w:tc>
          <w:tcPr>
            <w:tcW w:w="990" w:type="dxa"/>
            <w:shd w:val="clear" w:color="auto" w:fill="auto"/>
            <w:vAlign w:val="center"/>
          </w:tcPr>
          <w:p w14:paraId="41C3F224"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152D14B0" w14:textId="77777777" w:rsidR="002E2259" w:rsidRPr="00F2687C" w:rsidRDefault="002E2259" w:rsidP="00AB1278">
            <w:pPr>
              <w:jc w:val="center"/>
              <w:rPr>
                <w:rFonts w:cs="Arial"/>
                <w:sz w:val="18"/>
                <w:szCs w:val="18"/>
                <w:lang w:val="es-ES"/>
              </w:rPr>
            </w:pPr>
            <w:r>
              <w:rPr>
                <w:rFonts w:cs="Arial"/>
                <w:sz w:val="18"/>
                <w:szCs w:val="18"/>
                <w:lang w:val="es-ES"/>
              </w:rPr>
              <w:t>12</w:t>
            </w:r>
          </w:p>
        </w:tc>
        <w:tc>
          <w:tcPr>
            <w:tcW w:w="795" w:type="dxa"/>
            <w:shd w:val="clear" w:color="auto" w:fill="auto"/>
            <w:vAlign w:val="center"/>
          </w:tcPr>
          <w:p w14:paraId="7D7F73F5"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1D907DE9" w14:textId="77777777" w:rsidR="002E2259" w:rsidRPr="00F2687C" w:rsidRDefault="002E2259" w:rsidP="00AB1278">
            <w:pPr>
              <w:jc w:val="center"/>
              <w:rPr>
                <w:rFonts w:cs="Arial"/>
                <w:sz w:val="18"/>
                <w:szCs w:val="18"/>
                <w:lang w:val="es-ES"/>
              </w:rPr>
            </w:pPr>
            <w:r>
              <w:rPr>
                <w:rFonts w:cs="Arial"/>
                <w:sz w:val="18"/>
                <w:szCs w:val="18"/>
                <w:lang w:val="es-ES"/>
              </w:rPr>
              <w:t>3</w:t>
            </w:r>
          </w:p>
        </w:tc>
        <w:tc>
          <w:tcPr>
            <w:tcW w:w="795" w:type="dxa"/>
            <w:shd w:val="clear" w:color="auto" w:fill="auto"/>
            <w:vAlign w:val="center"/>
          </w:tcPr>
          <w:p w14:paraId="4B3B0985"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2E8FDCC"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2F5D43B7" w14:textId="77777777" w:rsidR="002E2259" w:rsidRPr="00F2687C" w:rsidRDefault="002E2259" w:rsidP="00AB1278">
            <w:pPr>
              <w:jc w:val="center"/>
              <w:rPr>
                <w:rFonts w:cs="Arial"/>
                <w:sz w:val="18"/>
                <w:szCs w:val="18"/>
                <w:lang w:val="es-ES"/>
              </w:rPr>
            </w:pPr>
            <w:r>
              <w:rPr>
                <w:rFonts w:cs="Arial"/>
                <w:sz w:val="18"/>
                <w:szCs w:val="18"/>
                <w:lang w:val="es-ES"/>
              </w:rPr>
              <w:t>15</w:t>
            </w:r>
          </w:p>
        </w:tc>
        <w:tc>
          <w:tcPr>
            <w:tcW w:w="2340" w:type="dxa"/>
            <w:shd w:val="clear" w:color="auto" w:fill="auto"/>
          </w:tcPr>
          <w:p w14:paraId="27FB9DB2" w14:textId="77777777" w:rsidR="002E2259" w:rsidRPr="00F2687C" w:rsidRDefault="002E2259" w:rsidP="00AB1278">
            <w:pPr>
              <w:rPr>
                <w:rFonts w:cs="Arial"/>
                <w:sz w:val="18"/>
                <w:szCs w:val="18"/>
                <w:lang w:val="es-ES"/>
              </w:rPr>
            </w:pPr>
            <w:r>
              <w:rPr>
                <w:rFonts w:cs="Arial"/>
                <w:sz w:val="18"/>
                <w:szCs w:val="18"/>
                <w:lang w:val="es-ES"/>
              </w:rPr>
              <w:t>Ídem.</w:t>
            </w:r>
          </w:p>
        </w:tc>
      </w:tr>
      <w:tr w:rsidR="002E2259" w:rsidRPr="00F2687C" w14:paraId="258A5569" w14:textId="77777777" w:rsidTr="00AB1278">
        <w:trPr>
          <w:trHeight w:val="461"/>
        </w:trPr>
        <w:tc>
          <w:tcPr>
            <w:tcW w:w="3798" w:type="dxa"/>
            <w:shd w:val="clear" w:color="auto" w:fill="auto"/>
          </w:tcPr>
          <w:p w14:paraId="1F16ADB6" w14:textId="77777777" w:rsidR="002E2259" w:rsidRPr="00F2687C" w:rsidRDefault="002E2259" w:rsidP="00AB1278">
            <w:pPr>
              <w:rPr>
                <w:rFonts w:cs="Arial"/>
                <w:sz w:val="18"/>
                <w:szCs w:val="18"/>
                <w:lang w:val="es-ES"/>
              </w:rPr>
            </w:pPr>
            <w:r w:rsidRPr="00F2687C">
              <w:rPr>
                <w:rFonts w:cs="Arial"/>
                <w:sz w:val="18"/>
                <w:szCs w:val="18"/>
                <w:lang w:val="es-ES"/>
              </w:rPr>
              <w:t xml:space="preserve">Evaluaciones intermedia </w:t>
            </w:r>
            <w:r>
              <w:rPr>
                <w:rFonts w:cs="Arial"/>
                <w:sz w:val="18"/>
                <w:szCs w:val="18"/>
                <w:lang w:val="es-ES"/>
              </w:rPr>
              <w:t>realizada</w:t>
            </w:r>
          </w:p>
        </w:tc>
        <w:tc>
          <w:tcPr>
            <w:tcW w:w="1260" w:type="dxa"/>
            <w:shd w:val="clear" w:color="auto" w:fill="auto"/>
            <w:vAlign w:val="center"/>
          </w:tcPr>
          <w:p w14:paraId="4412EF5E"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2575B13B" w14:textId="77777777" w:rsidR="002E2259" w:rsidRPr="00F2687C" w:rsidRDefault="002E2259" w:rsidP="00AB1278">
            <w:pPr>
              <w:jc w:val="center"/>
              <w:rPr>
                <w:rFonts w:cs="Arial"/>
                <w:sz w:val="18"/>
                <w:szCs w:val="18"/>
                <w:lang w:val="es-ES"/>
              </w:rPr>
            </w:pPr>
            <w:r w:rsidRPr="00F2687C">
              <w:rPr>
                <w:rFonts w:cs="Arial"/>
                <w:sz w:val="18"/>
                <w:szCs w:val="18"/>
                <w:lang w:val="es-ES"/>
              </w:rPr>
              <w:t>(doc.eval.)</w:t>
            </w:r>
          </w:p>
        </w:tc>
        <w:tc>
          <w:tcPr>
            <w:tcW w:w="990" w:type="dxa"/>
            <w:shd w:val="clear" w:color="auto" w:fill="auto"/>
            <w:vAlign w:val="center"/>
          </w:tcPr>
          <w:p w14:paraId="2F1CF43C" w14:textId="77777777" w:rsidR="002E2259" w:rsidRPr="00F2687C" w:rsidRDefault="002E2259" w:rsidP="00AB1278">
            <w:pPr>
              <w:jc w:val="center"/>
              <w:rPr>
                <w:rFonts w:cs="Arial"/>
                <w:sz w:val="18"/>
                <w:szCs w:val="18"/>
                <w:lang w:val="es-ES"/>
              </w:rPr>
            </w:pPr>
            <w:r w:rsidRPr="00F2687C">
              <w:rPr>
                <w:rFonts w:cs="Arial"/>
                <w:sz w:val="18"/>
                <w:szCs w:val="18"/>
                <w:lang w:val="es-ES"/>
              </w:rPr>
              <w:t>0</w:t>
            </w:r>
          </w:p>
        </w:tc>
        <w:tc>
          <w:tcPr>
            <w:tcW w:w="795" w:type="dxa"/>
            <w:shd w:val="clear" w:color="auto" w:fill="auto"/>
            <w:vAlign w:val="center"/>
          </w:tcPr>
          <w:p w14:paraId="04D2666F"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16B0727D"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0A24E7CD"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44DD5467"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79FBBE58"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49C22862" w14:textId="77777777" w:rsidR="002E2259" w:rsidRPr="00F2687C" w:rsidRDefault="002E2259" w:rsidP="00AB1278">
            <w:pPr>
              <w:jc w:val="center"/>
              <w:rPr>
                <w:rFonts w:cs="Arial"/>
                <w:sz w:val="18"/>
                <w:szCs w:val="18"/>
                <w:lang w:val="es-ES"/>
              </w:rPr>
            </w:pPr>
            <w:r w:rsidRPr="00F2687C">
              <w:rPr>
                <w:rFonts w:cs="Arial"/>
                <w:sz w:val="18"/>
                <w:szCs w:val="18"/>
                <w:lang w:val="es-ES"/>
              </w:rPr>
              <w:t>2</w:t>
            </w:r>
          </w:p>
        </w:tc>
        <w:tc>
          <w:tcPr>
            <w:tcW w:w="2340" w:type="dxa"/>
            <w:shd w:val="clear" w:color="auto" w:fill="auto"/>
          </w:tcPr>
          <w:p w14:paraId="38941F87" w14:textId="77777777" w:rsidR="002E2259" w:rsidRPr="00F2687C" w:rsidRDefault="002E2259" w:rsidP="00AB1278">
            <w:pPr>
              <w:rPr>
                <w:rFonts w:cs="Arial"/>
                <w:sz w:val="18"/>
                <w:szCs w:val="18"/>
                <w:lang w:val="es-ES"/>
              </w:rPr>
            </w:pPr>
            <w:r>
              <w:rPr>
                <w:rFonts w:cs="Arial"/>
                <w:sz w:val="18"/>
                <w:szCs w:val="18"/>
                <w:lang w:val="es-ES"/>
              </w:rPr>
              <w:t>Ídem.</w:t>
            </w:r>
          </w:p>
        </w:tc>
      </w:tr>
      <w:tr w:rsidR="002E2259" w:rsidRPr="00F2687C" w14:paraId="63B1CE24" w14:textId="77777777" w:rsidTr="00AB1278">
        <w:trPr>
          <w:trHeight w:val="461"/>
        </w:trPr>
        <w:tc>
          <w:tcPr>
            <w:tcW w:w="3798" w:type="dxa"/>
            <w:shd w:val="clear" w:color="auto" w:fill="auto"/>
          </w:tcPr>
          <w:p w14:paraId="46FB6F0B" w14:textId="77777777" w:rsidR="002E2259" w:rsidRPr="00F2687C" w:rsidRDefault="002E2259" w:rsidP="00AB1278">
            <w:pPr>
              <w:rPr>
                <w:rFonts w:cs="Arial"/>
                <w:sz w:val="18"/>
                <w:szCs w:val="18"/>
                <w:lang w:val="es-ES"/>
              </w:rPr>
            </w:pPr>
            <w:r>
              <w:rPr>
                <w:rFonts w:cs="Arial"/>
                <w:sz w:val="18"/>
                <w:szCs w:val="18"/>
                <w:lang w:val="es-ES"/>
              </w:rPr>
              <w:t>Evaluación Final realizada</w:t>
            </w:r>
          </w:p>
        </w:tc>
        <w:tc>
          <w:tcPr>
            <w:tcW w:w="1260" w:type="dxa"/>
            <w:shd w:val="clear" w:color="auto" w:fill="auto"/>
            <w:vAlign w:val="center"/>
          </w:tcPr>
          <w:p w14:paraId="36DFC0EE" w14:textId="77777777" w:rsidR="002E2259" w:rsidRDefault="002E2259" w:rsidP="00AB1278">
            <w:pPr>
              <w:jc w:val="center"/>
              <w:rPr>
                <w:rFonts w:cs="Arial"/>
                <w:sz w:val="18"/>
                <w:szCs w:val="18"/>
                <w:lang w:val="es-ES"/>
              </w:rPr>
            </w:pPr>
            <w:r>
              <w:rPr>
                <w:rFonts w:cs="Arial"/>
                <w:sz w:val="18"/>
                <w:szCs w:val="18"/>
                <w:lang w:val="es-ES"/>
              </w:rPr>
              <w:t>#</w:t>
            </w:r>
          </w:p>
          <w:p w14:paraId="40F92C53" w14:textId="77777777" w:rsidR="002E2259" w:rsidRPr="00F2687C" w:rsidRDefault="002E2259" w:rsidP="00AB1278">
            <w:pPr>
              <w:jc w:val="center"/>
              <w:rPr>
                <w:rFonts w:cs="Arial"/>
                <w:sz w:val="18"/>
                <w:szCs w:val="18"/>
                <w:lang w:val="es-ES"/>
              </w:rPr>
            </w:pPr>
            <w:r>
              <w:rPr>
                <w:rFonts w:cs="Arial"/>
                <w:sz w:val="18"/>
                <w:szCs w:val="18"/>
                <w:lang w:val="es-ES"/>
              </w:rPr>
              <w:t>(doc.eval)</w:t>
            </w:r>
          </w:p>
        </w:tc>
        <w:tc>
          <w:tcPr>
            <w:tcW w:w="990" w:type="dxa"/>
            <w:shd w:val="clear" w:color="auto" w:fill="auto"/>
            <w:vAlign w:val="center"/>
          </w:tcPr>
          <w:p w14:paraId="32263908"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7F66A951"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207A7839"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1562D67C"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0BCB1A3B"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09BA1258"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425E6354" w14:textId="77777777" w:rsidR="002E2259" w:rsidRPr="00F2687C" w:rsidRDefault="002E2259" w:rsidP="00AB1278">
            <w:pPr>
              <w:jc w:val="center"/>
              <w:rPr>
                <w:rFonts w:cs="Arial"/>
                <w:sz w:val="18"/>
                <w:szCs w:val="18"/>
                <w:lang w:val="es-ES"/>
              </w:rPr>
            </w:pPr>
          </w:p>
        </w:tc>
        <w:tc>
          <w:tcPr>
            <w:tcW w:w="2340" w:type="dxa"/>
            <w:shd w:val="clear" w:color="auto" w:fill="auto"/>
          </w:tcPr>
          <w:p w14:paraId="3A15718C" w14:textId="77777777" w:rsidR="002E2259" w:rsidRDefault="002E2259" w:rsidP="00AB1278">
            <w:pPr>
              <w:rPr>
                <w:rFonts w:cs="Arial"/>
                <w:sz w:val="18"/>
                <w:szCs w:val="18"/>
                <w:lang w:val="es-ES"/>
              </w:rPr>
            </w:pPr>
            <w:r>
              <w:rPr>
                <w:rFonts w:cs="Arial"/>
                <w:sz w:val="18"/>
                <w:szCs w:val="18"/>
                <w:lang w:val="es-ES"/>
              </w:rPr>
              <w:t>Idem</w:t>
            </w:r>
          </w:p>
        </w:tc>
      </w:tr>
      <w:tr w:rsidR="002E2259" w:rsidRPr="00F2687C" w14:paraId="4300B9DE" w14:textId="77777777" w:rsidTr="00AB1278">
        <w:trPr>
          <w:trHeight w:val="461"/>
        </w:trPr>
        <w:tc>
          <w:tcPr>
            <w:tcW w:w="3798" w:type="dxa"/>
            <w:shd w:val="clear" w:color="auto" w:fill="auto"/>
          </w:tcPr>
          <w:p w14:paraId="373E2374" w14:textId="77777777" w:rsidR="002E2259" w:rsidRPr="00F2687C" w:rsidRDefault="002E2259" w:rsidP="00AB1278">
            <w:pPr>
              <w:rPr>
                <w:rFonts w:cs="Arial"/>
                <w:sz w:val="18"/>
                <w:szCs w:val="18"/>
                <w:lang w:val="es-ES"/>
              </w:rPr>
            </w:pPr>
            <w:r w:rsidRPr="00F2687C">
              <w:rPr>
                <w:rFonts w:cs="Arial"/>
                <w:sz w:val="18"/>
                <w:szCs w:val="18"/>
                <w:lang w:val="es-ES"/>
              </w:rPr>
              <w:t>Evaluación de impacto realizada</w:t>
            </w:r>
            <w:r>
              <w:rPr>
                <w:rFonts w:cs="Arial"/>
                <w:sz w:val="18"/>
                <w:szCs w:val="18"/>
                <w:lang w:val="es-ES"/>
              </w:rPr>
              <w:t>.</w:t>
            </w:r>
          </w:p>
        </w:tc>
        <w:tc>
          <w:tcPr>
            <w:tcW w:w="1260" w:type="dxa"/>
            <w:shd w:val="clear" w:color="auto" w:fill="auto"/>
            <w:vAlign w:val="center"/>
          </w:tcPr>
          <w:p w14:paraId="65E2F3F4" w14:textId="77777777" w:rsidR="002E2259" w:rsidRPr="00F2687C" w:rsidRDefault="002E2259" w:rsidP="00AB1278">
            <w:pPr>
              <w:jc w:val="center"/>
              <w:rPr>
                <w:rFonts w:cs="Arial"/>
                <w:sz w:val="18"/>
                <w:szCs w:val="18"/>
                <w:lang w:val="es-ES"/>
              </w:rPr>
            </w:pPr>
            <w:r w:rsidRPr="00F2687C">
              <w:rPr>
                <w:rFonts w:cs="Arial"/>
                <w:sz w:val="18"/>
                <w:szCs w:val="18"/>
                <w:lang w:val="es-ES"/>
              </w:rPr>
              <w:t>#</w:t>
            </w:r>
          </w:p>
          <w:p w14:paraId="4EB5B72C" w14:textId="77777777" w:rsidR="002E2259" w:rsidRPr="00F2687C" w:rsidRDefault="002E2259" w:rsidP="00AB1278">
            <w:pPr>
              <w:jc w:val="center"/>
              <w:rPr>
                <w:rFonts w:cs="Arial"/>
                <w:sz w:val="18"/>
                <w:szCs w:val="18"/>
                <w:lang w:val="es-ES"/>
              </w:rPr>
            </w:pPr>
            <w:r w:rsidRPr="00F2687C">
              <w:rPr>
                <w:rFonts w:cs="Arial"/>
                <w:sz w:val="18"/>
                <w:szCs w:val="18"/>
                <w:lang w:val="es-ES"/>
              </w:rPr>
              <w:t>(doc.eval.)</w:t>
            </w:r>
          </w:p>
        </w:tc>
        <w:tc>
          <w:tcPr>
            <w:tcW w:w="990" w:type="dxa"/>
            <w:shd w:val="clear" w:color="auto" w:fill="auto"/>
            <w:vAlign w:val="center"/>
          </w:tcPr>
          <w:p w14:paraId="2C410387"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55312523"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596A9A69"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69B2A128"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04DD74C5" w14:textId="77777777" w:rsidR="002E2259" w:rsidRPr="00F2687C" w:rsidRDefault="002E2259" w:rsidP="00AB1278">
            <w:pPr>
              <w:jc w:val="center"/>
              <w:rPr>
                <w:rFonts w:cs="Arial"/>
                <w:sz w:val="18"/>
                <w:szCs w:val="18"/>
                <w:lang w:val="es-ES"/>
              </w:rPr>
            </w:pPr>
          </w:p>
        </w:tc>
        <w:tc>
          <w:tcPr>
            <w:tcW w:w="795" w:type="dxa"/>
            <w:shd w:val="clear" w:color="auto" w:fill="auto"/>
            <w:vAlign w:val="center"/>
          </w:tcPr>
          <w:p w14:paraId="3ED558FF"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795" w:type="dxa"/>
            <w:shd w:val="clear" w:color="auto" w:fill="auto"/>
            <w:vAlign w:val="center"/>
          </w:tcPr>
          <w:p w14:paraId="19C407A7" w14:textId="77777777" w:rsidR="002E2259" w:rsidRPr="00F2687C" w:rsidRDefault="002E2259" w:rsidP="00AB1278">
            <w:pPr>
              <w:jc w:val="center"/>
              <w:rPr>
                <w:rFonts w:cs="Arial"/>
                <w:sz w:val="18"/>
                <w:szCs w:val="18"/>
                <w:lang w:val="es-ES"/>
              </w:rPr>
            </w:pPr>
            <w:r w:rsidRPr="00F2687C">
              <w:rPr>
                <w:rFonts w:cs="Arial"/>
                <w:sz w:val="18"/>
                <w:szCs w:val="18"/>
                <w:lang w:val="es-ES"/>
              </w:rPr>
              <w:t>1</w:t>
            </w:r>
          </w:p>
        </w:tc>
        <w:tc>
          <w:tcPr>
            <w:tcW w:w="2340" w:type="dxa"/>
            <w:shd w:val="clear" w:color="auto" w:fill="auto"/>
          </w:tcPr>
          <w:p w14:paraId="1066636B" w14:textId="77777777" w:rsidR="002E2259" w:rsidRPr="00F2687C" w:rsidRDefault="002E2259" w:rsidP="00AB1278">
            <w:pPr>
              <w:rPr>
                <w:rFonts w:cs="Arial"/>
                <w:sz w:val="18"/>
                <w:szCs w:val="18"/>
                <w:lang w:val="es-ES"/>
              </w:rPr>
            </w:pPr>
            <w:r>
              <w:rPr>
                <w:rFonts w:cs="Arial"/>
                <w:sz w:val="18"/>
                <w:szCs w:val="18"/>
                <w:lang w:val="es-ES"/>
              </w:rPr>
              <w:t>Ídem.</w:t>
            </w:r>
          </w:p>
        </w:tc>
      </w:tr>
    </w:tbl>
    <w:p w14:paraId="0DE743C2" w14:textId="77777777" w:rsidR="005F49DB" w:rsidRDefault="005F49DB" w:rsidP="00A45816">
      <w:pPr>
        <w:rPr>
          <w:rFonts w:cs="Arial"/>
          <w:sz w:val="22"/>
          <w:szCs w:val="22"/>
          <w:lang w:val="es-ES"/>
        </w:rPr>
        <w:sectPr w:rsidR="005F49DB" w:rsidSect="005F49DB">
          <w:pgSz w:w="15840" w:h="12240" w:orient="landscape"/>
          <w:pgMar w:top="1440" w:right="1440" w:bottom="1440" w:left="1440" w:header="720" w:footer="720" w:gutter="0"/>
          <w:cols w:space="720"/>
          <w:titlePg/>
          <w:docGrid w:linePitch="360"/>
        </w:sectPr>
      </w:pPr>
    </w:p>
    <w:p w14:paraId="7C1F0F3D" w14:textId="77777777" w:rsidR="00DB373A" w:rsidRPr="00E52C43" w:rsidRDefault="00DB373A" w:rsidP="00DB373A">
      <w:pPr>
        <w:pStyle w:val="AutoNumpara"/>
        <w:numPr>
          <w:ilvl w:val="0"/>
          <w:numId w:val="0"/>
        </w:numPr>
        <w:rPr>
          <w:rFonts w:cs="Arial"/>
          <w:noProof w:val="0"/>
          <w:sz w:val="22"/>
          <w:szCs w:val="22"/>
          <w:lang w:val="es-ES"/>
        </w:rPr>
      </w:pPr>
      <w:r w:rsidRPr="00E52C43">
        <w:rPr>
          <w:rFonts w:cs="Arial"/>
          <w:noProof w:val="0"/>
          <w:sz w:val="22"/>
          <w:szCs w:val="22"/>
          <w:lang w:val="es-ES"/>
        </w:rPr>
        <w:lastRenderedPageBreak/>
        <w:t xml:space="preserve">Se dará seguimiento a las actividades del proyecto mediante </w:t>
      </w:r>
      <w:r w:rsidR="00A45816" w:rsidRPr="00E52C43">
        <w:rPr>
          <w:rFonts w:cs="Arial"/>
          <w:noProof w:val="0"/>
          <w:sz w:val="22"/>
          <w:szCs w:val="22"/>
          <w:lang w:val="es-ES"/>
        </w:rPr>
        <w:t xml:space="preserve">revisiones al </w:t>
      </w:r>
      <w:r w:rsidRPr="00E52C43">
        <w:rPr>
          <w:rFonts w:cs="Arial"/>
          <w:noProof w:val="0"/>
          <w:sz w:val="22"/>
          <w:szCs w:val="22"/>
          <w:lang w:val="es-ES"/>
        </w:rPr>
        <w:t>POA</w:t>
      </w:r>
      <w:r w:rsidR="00A45816" w:rsidRPr="00E52C43">
        <w:rPr>
          <w:rFonts w:cs="Arial"/>
          <w:noProof w:val="0"/>
          <w:sz w:val="22"/>
          <w:szCs w:val="22"/>
          <w:lang w:val="es-ES"/>
        </w:rPr>
        <w:t xml:space="preserve"> y al PEP</w:t>
      </w:r>
      <w:r w:rsidRPr="00E52C43">
        <w:rPr>
          <w:rFonts w:cs="Arial"/>
          <w:noProof w:val="0"/>
          <w:sz w:val="22"/>
          <w:szCs w:val="22"/>
          <w:lang w:val="es-ES"/>
        </w:rPr>
        <w:t xml:space="preserve">, en el que se detallan los productos y subproductos de cada subcomponente, </w:t>
      </w:r>
      <w:r w:rsidR="00A45816" w:rsidRPr="00E52C43">
        <w:rPr>
          <w:rFonts w:cs="Arial"/>
          <w:noProof w:val="0"/>
          <w:sz w:val="22"/>
          <w:szCs w:val="22"/>
          <w:lang w:val="es-ES"/>
        </w:rPr>
        <w:t xml:space="preserve">así como a </w:t>
      </w:r>
      <w:r w:rsidR="00E52C43" w:rsidRPr="00E52C43">
        <w:rPr>
          <w:rFonts w:cs="Arial"/>
          <w:noProof w:val="0"/>
          <w:sz w:val="22"/>
          <w:szCs w:val="22"/>
          <w:lang w:val="es-ES"/>
        </w:rPr>
        <w:t>través</w:t>
      </w:r>
      <w:r w:rsidR="00A45816" w:rsidRPr="00E52C43">
        <w:rPr>
          <w:rFonts w:cs="Arial"/>
          <w:noProof w:val="0"/>
          <w:sz w:val="22"/>
          <w:szCs w:val="22"/>
          <w:lang w:val="es-ES"/>
        </w:rPr>
        <w:t xml:space="preserve"> de</w:t>
      </w:r>
      <w:r w:rsidRPr="00E52C43">
        <w:rPr>
          <w:rFonts w:cs="Arial"/>
          <w:noProof w:val="0"/>
          <w:sz w:val="22"/>
          <w:szCs w:val="22"/>
          <w:lang w:val="es-ES"/>
        </w:rPr>
        <w:t xml:space="preserve"> la Matriz de Resultados, que presenta una agregación mayor de los productos. </w:t>
      </w:r>
    </w:p>
    <w:p w14:paraId="4E9885FB" w14:textId="77777777" w:rsidR="00DB373A" w:rsidRPr="00E52C43" w:rsidRDefault="00DB373A" w:rsidP="00DB373A">
      <w:pPr>
        <w:pStyle w:val="AutoNumpara"/>
        <w:numPr>
          <w:ilvl w:val="0"/>
          <w:numId w:val="0"/>
        </w:numPr>
        <w:tabs>
          <w:tab w:val="left" w:pos="720"/>
        </w:tabs>
        <w:rPr>
          <w:rFonts w:cs="Arial"/>
          <w:noProof w:val="0"/>
          <w:sz w:val="22"/>
          <w:szCs w:val="22"/>
          <w:lang w:val="es-ES"/>
        </w:rPr>
      </w:pPr>
      <w:r w:rsidRPr="00E52C43">
        <w:rPr>
          <w:rFonts w:cs="Arial"/>
          <w:noProof w:val="0"/>
          <w:sz w:val="22"/>
          <w:szCs w:val="22"/>
          <w:lang w:val="es-ES"/>
        </w:rPr>
        <w:t>El Programa utilizará también el sistema de monitoreo y evaluación de la S</w:t>
      </w:r>
      <w:r w:rsidR="00A45816" w:rsidRPr="00E52C43">
        <w:rPr>
          <w:rFonts w:cs="Arial"/>
          <w:noProof w:val="0"/>
          <w:sz w:val="22"/>
          <w:szCs w:val="22"/>
          <w:lang w:val="es-ES"/>
        </w:rPr>
        <w:t>ESA</w:t>
      </w:r>
      <w:r w:rsidRPr="00E52C43">
        <w:rPr>
          <w:rFonts w:cs="Arial"/>
          <w:noProof w:val="0"/>
          <w:sz w:val="22"/>
          <w:szCs w:val="22"/>
          <w:lang w:val="es-ES"/>
        </w:rPr>
        <w:t xml:space="preserve">, organizando y sistematizando la información relevante que existe en las varias bases de datos existentes – Sistema de Información Ambulatoria (SIASUS), Sistema de Información Hospitalaria (SIHSUS), </w:t>
      </w:r>
      <w:r w:rsidR="00F47463">
        <w:rPr>
          <w:rFonts w:cs="Arial"/>
          <w:noProof w:val="0"/>
          <w:sz w:val="22"/>
          <w:szCs w:val="22"/>
          <w:lang w:val="es-ES"/>
        </w:rPr>
        <w:t xml:space="preserve">Sistema de Información sobre Mortalidad (SIM), </w:t>
      </w:r>
      <w:r w:rsidRPr="00E52C43">
        <w:rPr>
          <w:rFonts w:cs="Arial"/>
          <w:noProof w:val="0"/>
          <w:sz w:val="22"/>
          <w:szCs w:val="22"/>
          <w:lang w:val="es-ES"/>
        </w:rPr>
        <w:t>Sistema de Información de la Atención Básica (SIAB). Dichos datos están posteriormente disponibles en el sistema de informaciones del Ministerio de Salud de Brasil (</w:t>
      </w:r>
      <w:hyperlink r:id="rId13" w:history="1">
        <w:r w:rsidRPr="00E52C43">
          <w:rPr>
            <w:rStyle w:val="Hyperlink"/>
            <w:rFonts w:ascii="Arial" w:hAnsi="Arial" w:cs="Arial"/>
            <w:noProof w:val="0"/>
            <w:sz w:val="22"/>
            <w:szCs w:val="22"/>
            <w:lang w:val="es-ES"/>
          </w:rPr>
          <w:t>www.datasus.gov.br</w:t>
        </w:r>
      </w:hyperlink>
      <w:r w:rsidRPr="00E52C43">
        <w:rPr>
          <w:rFonts w:cs="Arial"/>
          <w:noProof w:val="0"/>
          <w:sz w:val="22"/>
          <w:szCs w:val="22"/>
          <w:lang w:val="es-ES"/>
        </w:rPr>
        <w:t xml:space="preserve">). </w:t>
      </w:r>
    </w:p>
    <w:p w14:paraId="4C58BA89" w14:textId="77777777" w:rsidR="00DB373A" w:rsidRPr="00E52C43" w:rsidRDefault="00DB373A" w:rsidP="00A97923">
      <w:pPr>
        <w:pStyle w:val="Heading4"/>
        <w:numPr>
          <w:ilvl w:val="0"/>
          <w:numId w:val="10"/>
        </w:numPr>
        <w:tabs>
          <w:tab w:val="clear" w:pos="1440"/>
          <w:tab w:val="left" w:pos="810"/>
        </w:tabs>
        <w:spacing w:after="240"/>
        <w:rPr>
          <w:rFonts w:ascii="Arial" w:hAnsi="Arial" w:cs="Arial"/>
          <w:noProof w:val="0"/>
          <w:sz w:val="22"/>
          <w:szCs w:val="22"/>
        </w:rPr>
      </w:pPr>
      <w:r w:rsidRPr="00E52C43">
        <w:rPr>
          <w:rFonts w:ascii="Arial" w:hAnsi="Arial" w:cs="Arial"/>
          <w:noProof w:val="0"/>
          <w:sz w:val="22"/>
          <w:szCs w:val="22"/>
        </w:rPr>
        <w:t xml:space="preserve">Definición y Seguimiento </w:t>
      </w:r>
      <w:r w:rsidR="00A97923" w:rsidRPr="00E52C43">
        <w:rPr>
          <w:rFonts w:ascii="Arial" w:hAnsi="Arial" w:cs="Arial"/>
          <w:noProof w:val="0"/>
          <w:sz w:val="22"/>
          <w:szCs w:val="22"/>
        </w:rPr>
        <w:t>a</w:t>
      </w:r>
      <w:r w:rsidRPr="00E52C43">
        <w:rPr>
          <w:rFonts w:ascii="Arial" w:hAnsi="Arial" w:cs="Arial"/>
          <w:noProof w:val="0"/>
          <w:sz w:val="22"/>
          <w:szCs w:val="22"/>
        </w:rPr>
        <w:t xml:space="preserve"> Indicadores de Resultados</w:t>
      </w:r>
    </w:p>
    <w:p w14:paraId="02F8F722" w14:textId="77777777" w:rsidR="00DB373A" w:rsidRDefault="00DB373A" w:rsidP="00CB3D3A">
      <w:pPr>
        <w:jc w:val="both"/>
        <w:rPr>
          <w:rFonts w:cs="Arial"/>
          <w:sz w:val="22"/>
          <w:szCs w:val="22"/>
          <w:lang w:val="es-ES"/>
        </w:rPr>
      </w:pPr>
      <w:r w:rsidRPr="00E52C43">
        <w:rPr>
          <w:rFonts w:cs="Arial"/>
          <w:sz w:val="22"/>
          <w:szCs w:val="22"/>
          <w:lang w:val="es-ES"/>
        </w:rPr>
        <w:t xml:space="preserve">Para dar seguimiento a la implementación del modelo de redes integradas de servicios de, la Matriz de Resultados incluye </w:t>
      </w:r>
      <w:r w:rsidR="00A12DB9" w:rsidRPr="00E52C43">
        <w:rPr>
          <w:rFonts w:cs="Arial"/>
          <w:sz w:val="22"/>
          <w:szCs w:val="22"/>
          <w:lang w:val="es-ES"/>
        </w:rPr>
        <w:t>tres indicadores de impacto, cuatro</w:t>
      </w:r>
      <w:r w:rsidRPr="00E52C43">
        <w:rPr>
          <w:rFonts w:cs="Arial"/>
          <w:sz w:val="22"/>
          <w:szCs w:val="22"/>
          <w:lang w:val="es-ES"/>
        </w:rPr>
        <w:t xml:space="preserve"> de resultados finales y </w:t>
      </w:r>
      <w:r w:rsidR="00136578" w:rsidRPr="00136578">
        <w:rPr>
          <w:rFonts w:cs="Arial"/>
          <w:sz w:val="22"/>
          <w:szCs w:val="22"/>
          <w:lang w:val="es-ES"/>
        </w:rPr>
        <w:t>cuatro</w:t>
      </w:r>
      <w:r w:rsidR="00136578" w:rsidRPr="00E52C43">
        <w:rPr>
          <w:rFonts w:cs="Arial"/>
          <w:sz w:val="22"/>
          <w:szCs w:val="22"/>
          <w:lang w:val="es-ES"/>
        </w:rPr>
        <w:t xml:space="preserve"> </w:t>
      </w:r>
      <w:r w:rsidR="00A12DB9" w:rsidRPr="00E52C43">
        <w:rPr>
          <w:rFonts w:cs="Arial"/>
          <w:sz w:val="22"/>
          <w:szCs w:val="22"/>
          <w:lang w:val="es-ES"/>
        </w:rPr>
        <w:t>de resultados intermedios. Estos indicadores han sido elaborados en consenso con los equipos técnicos de la SESA y permitirán corroborar que los productos financiados con la operación están dando los resultados de salud esperados:</w:t>
      </w:r>
    </w:p>
    <w:p w14:paraId="242D9344" w14:textId="77777777" w:rsidR="00A91C8E" w:rsidRDefault="00A91C8E" w:rsidP="00CB3D3A">
      <w:pPr>
        <w:jc w:val="both"/>
        <w:rPr>
          <w:rFonts w:cs="Arial"/>
          <w:sz w:val="22"/>
          <w:szCs w:val="22"/>
          <w:lang w:val="es-ES"/>
        </w:rPr>
      </w:pPr>
    </w:p>
    <w:tbl>
      <w:tblPr>
        <w:tblpPr w:leftFromText="141" w:rightFromText="141" w:vertAnchor="text" w:tblpX="-75" w:tblpY="1"/>
        <w:tblOverlap w:val="never"/>
        <w:tblW w:w="9465" w:type="dxa"/>
        <w:tblLayout w:type="fixed"/>
        <w:tblCellMar>
          <w:left w:w="0" w:type="dxa"/>
          <w:right w:w="0" w:type="dxa"/>
        </w:tblCellMar>
        <w:tblLook w:val="0000" w:firstRow="0" w:lastRow="0" w:firstColumn="0" w:lastColumn="0" w:noHBand="0" w:noVBand="0"/>
      </w:tblPr>
      <w:tblGrid>
        <w:gridCol w:w="1815"/>
        <w:gridCol w:w="1620"/>
        <w:gridCol w:w="1890"/>
        <w:gridCol w:w="1170"/>
        <w:gridCol w:w="2970"/>
      </w:tblGrid>
      <w:tr w:rsidR="00136578" w:rsidRPr="00FB3565" w14:paraId="704C52DE" w14:textId="77777777" w:rsidTr="00136578">
        <w:trPr>
          <w:cantSplit/>
          <w:trHeight w:val="255"/>
        </w:trPr>
        <w:tc>
          <w:tcPr>
            <w:tcW w:w="1815" w:type="dxa"/>
            <w:tcBorders>
              <w:top w:val="single" w:sz="4" w:space="0" w:color="auto"/>
              <w:left w:val="single" w:sz="4" w:space="0" w:color="auto"/>
              <w:bottom w:val="single" w:sz="4" w:space="0" w:color="auto"/>
              <w:right w:val="nil"/>
            </w:tcBorders>
            <w:shd w:val="clear" w:color="auto" w:fill="C0C0C0"/>
            <w:noWrap/>
            <w:tcMar>
              <w:top w:w="15" w:type="dxa"/>
              <w:left w:w="15" w:type="dxa"/>
              <w:bottom w:w="0" w:type="dxa"/>
              <w:right w:w="15" w:type="dxa"/>
            </w:tcMar>
          </w:tcPr>
          <w:p w14:paraId="03776F3A" w14:textId="77777777" w:rsidR="00136578" w:rsidRPr="00FB3565" w:rsidRDefault="00136578" w:rsidP="00136578">
            <w:pPr>
              <w:ind w:left="90"/>
              <w:rPr>
                <w:rFonts w:cs="Arial"/>
                <w:b/>
                <w:bCs/>
                <w:sz w:val="18"/>
                <w:szCs w:val="18"/>
                <w:lang w:val="es-ES"/>
              </w:rPr>
            </w:pPr>
            <w:r w:rsidRPr="00FB3565">
              <w:rPr>
                <w:rFonts w:cs="Arial"/>
                <w:b/>
                <w:bCs/>
                <w:sz w:val="18"/>
                <w:szCs w:val="18"/>
                <w:lang w:val="es-ES"/>
              </w:rPr>
              <w:t>Indicadores de Resultados Finales</w:t>
            </w:r>
          </w:p>
        </w:tc>
        <w:tc>
          <w:tcPr>
            <w:tcW w:w="1620" w:type="dxa"/>
            <w:tcBorders>
              <w:top w:val="single" w:sz="4" w:space="0" w:color="auto"/>
              <w:left w:val="single" w:sz="4" w:space="0" w:color="auto"/>
              <w:bottom w:val="single" w:sz="4" w:space="0" w:color="auto"/>
              <w:right w:val="nil"/>
            </w:tcBorders>
            <w:shd w:val="clear" w:color="auto" w:fill="C0C0C0"/>
            <w:noWrap/>
            <w:tcMar>
              <w:top w:w="15" w:type="dxa"/>
              <w:left w:w="15" w:type="dxa"/>
              <w:bottom w:w="0" w:type="dxa"/>
              <w:right w:w="15" w:type="dxa"/>
            </w:tcMar>
          </w:tcPr>
          <w:p w14:paraId="17F2AE2F" w14:textId="77777777" w:rsidR="00136578" w:rsidRPr="00FB3565" w:rsidRDefault="00136578" w:rsidP="00136578">
            <w:pPr>
              <w:rPr>
                <w:rFonts w:cs="Arial"/>
                <w:b/>
                <w:bCs/>
                <w:sz w:val="18"/>
                <w:szCs w:val="18"/>
                <w:lang w:val="es-ES"/>
              </w:rPr>
            </w:pPr>
            <w:r w:rsidRPr="00FB3565">
              <w:rPr>
                <w:rFonts w:cs="Arial"/>
                <w:b/>
                <w:bCs/>
                <w:sz w:val="18"/>
                <w:szCs w:val="18"/>
                <w:lang w:val="es-ES"/>
              </w:rPr>
              <w:t>Línea de Base</w:t>
            </w:r>
          </w:p>
        </w:tc>
        <w:tc>
          <w:tcPr>
            <w:tcW w:w="1890" w:type="dxa"/>
            <w:tcBorders>
              <w:top w:val="single" w:sz="4" w:space="0" w:color="auto"/>
              <w:left w:val="single" w:sz="4" w:space="0" w:color="auto"/>
              <w:bottom w:val="single" w:sz="4" w:space="0" w:color="auto"/>
              <w:right w:val="single" w:sz="4" w:space="0" w:color="000000"/>
            </w:tcBorders>
            <w:shd w:val="clear" w:color="auto" w:fill="C0C0C0"/>
            <w:noWrap/>
            <w:tcMar>
              <w:top w:w="15" w:type="dxa"/>
              <w:left w:w="15" w:type="dxa"/>
              <w:bottom w:w="0" w:type="dxa"/>
              <w:right w:w="15" w:type="dxa"/>
            </w:tcMar>
          </w:tcPr>
          <w:p w14:paraId="5410F7B2" w14:textId="77777777" w:rsidR="00136578" w:rsidRPr="00FB3565" w:rsidRDefault="00136578" w:rsidP="00136578">
            <w:pPr>
              <w:jc w:val="center"/>
              <w:rPr>
                <w:rFonts w:cs="Arial"/>
                <w:b/>
                <w:bCs/>
                <w:sz w:val="18"/>
                <w:szCs w:val="18"/>
                <w:lang w:val="es-ES"/>
              </w:rPr>
            </w:pPr>
            <w:r w:rsidRPr="00FB3565">
              <w:rPr>
                <w:rFonts w:cs="Arial"/>
                <w:b/>
                <w:bCs/>
                <w:sz w:val="18"/>
                <w:szCs w:val="18"/>
                <w:lang w:val="es-ES"/>
              </w:rPr>
              <w:t>Meta</w:t>
            </w:r>
          </w:p>
        </w:tc>
        <w:tc>
          <w:tcPr>
            <w:tcW w:w="117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tcPr>
          <w:p w14:paraId="29FB5177" w14:textId="77777777" w:rsidR="00136578" w:rsidRPr="00FB3565" w:rsidRDefault="00136578" w:rsidP="00136578">
            <w:pPr>
              <w:ind w:left="90"/>
              <w:jc w:val="center"/>
              <w:rPr>
                <w:rFonts w:cs="Arial"/>
                <w:b/>
                <w:bCs/>
                <w:sz w:val="18"/>
                <w:szCs w:val="18"/>
                <w:lang w:val="es-ES"/>
              </w:rPr>
            </w:pPr>
            <w:r w:rsidRPr="00FB3565">
              <w:rPr>
                <w:rFonts w:cs="Arial"/>
                <w:b/>
                <w:bCs/>
                <w:sz w:val="18"/>
                <w:szCs w:val="18"/>
                <w:lang w:val="es-ES"/>
              </w:rPr>
              <w:t>Fuente</w:t>
            </w:r>
          </w:p>
        </w:tc>
        <w:tc>
          <w:tcPr>
            <w:tcW w:w="2970" w:type="dxa"/>
            <w:tcBorders>
              <w:top w:val="single" w:sz="4" w:space="0" w:color="auto"/>
              <w:left w:val="nil"/>
              <w:bottom w:val="single" w:sz="4" w:space="0" w:color="auto"/>
              <w:right w:val="single" w:sz="4" w:space="0" w:color="auto"/>
            </w:tcBorders>
            <w:shd w:val="clear" w:color="auto" w:fill="C0C0C0"/>
          </w:tcPr>
          <w:p w14:paraId="297107FE" w14:textId="77777777" w:rsidR="00136578" w:rsidRPr="00FB3565" w:rsidRDefault="00136578" w:rsidP="00136578">
            <w:pPr>
              <w:ind w:left="105" w:right="124"/>
              <w:jc w:val="center"/>
              <w:rPr>
                <w:rFonts w:cs="Arial"/>
                <w:b/>
                <w:bCs/>
                <w:sz w:val="18"/>
                <w:szCs w:val="18"/>
                <w:lang w:val="es-ES"/>
              </w:rPr>
            </w:pPr>
            <w:r w:rsidRPr="00FB3565">
              <w:rPr>
                <w:rFonts w:cs="Arial"/>
                <w:b/>
                <w:bCs/>
                <w:sz w:val="18"/>
                <w:szCs w:val="18"/>
                <w:lang w:val="es-ES"/>
              </w:rPr>
              <w:t>Método de Cálculo</w:t>
            </w:r>
          </w:p>
        </w:tc>
      </w:tr>
      <w:tr w:rsidR="00136578" w:rsidRPr="00FB3565" w14:paraId="75B26658" w14:textId="77777777" w:rsidTr="00136578">
        <w:trPr>
          <w:cantSplit/>
          <w:trHeight w:val="255"/>
        </w:trPr>
        <w:tc>
          <w:tcPr>
            <w:tcW w:w="1815"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3B14064F" w14:textId="77777777" w:rsidR="00136578" w:rsidRPr="00FB3565" w:rsidRDefault="00136578" w:rsidP="00136578">
            <w:pPr>
              <w:ind w:left="90"/>
              <w:rPr>
                <w:rFonts w:cs="Arial"/>
                <w:sz w:val="18"/>
                <w:szCs w:val="18"/>
                <w:lang w:val="es-ES"/>
              </w:rPr>
            </w:pPr>
            <w:r w:rsidRPr="00FB3565">
              <w:rPr>
                <w:rFonts w:cs="Arial"/>
                <w:sz w:val="18"/>
                <w:szCs w:val="18"/>
                <w:lang w:val="es-ES"/>
              </w:rPr>
              <w:t>Porcentaje de internaciones por condiciones sensibles a la atención básica</w:t>
            </w:r>
            <w:r>
              <w:rPr>
                <w:rFonts w:cs="Arial"/>
                <w:sz w:val="18"/>
                <w:szCs w:val="18"/>
                <w:lang w:val="es-ES"/>
              </w:rPr>
              <w:t>.</w:t>
            </w:r>
          </w:p>
        </w:tc>
        <w:tc>
          <w:tcPr>
            <w:tcW w:w="1620"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0A42E1B0" w14:textId="77777777" w:rsidR="00136578" w:rsidRPr="00FB3565" w:rsidRDefault="00136578" w:rsidP="00136578">
            <w:pPr>
              <w:jc w:val="center"/>
              <w:rPr>
                <w:rFonts w:cs="Arial"/>
                <w:bCs/>
                <w:sz w:val="18"/>
                <w:szCs w:val="18"/>
                <w:lang w:val="es-ES"/>
              </w:rPr>
            </w:pPr>
            <w:r>
              <w:rPr>
                <w:rFonts w:cs="Arial"/>
                <w:bCs/>
                <w:sz w:val="18"/>
                <w:szCs w:val="18"/>
                <w:lang w:val="es-ES"/>
              </w:rPr>
              <w:t xml:space="preserve">Total: </w:t>
            </w:r>
            <w:r w:rsidRPr="00FB3565">
              <w:rPr>
                <w:rFonts w:cs="Arial"/>
                <w:bCs/>
                <w:sz w:val="18"/>
                <w:szCs w:val="18"/>
                <w:lang w:val="es-ES"/>
              </w:rPr>
              <w:t>20,13%</w:t>
            </w:r>
          </w:p>
          <w:p w14:paraId="42D8E060" w14:textId="77777777" w:rsidR="00136578" w:rsidRDefault="00136578" w:rsidP="00136578">
            <w:pPr>
              <w:jc w:val="center"/>
              <w:rPr>
                <w:rFonts w:cs="Arial"/>
                <w:bCs/>
                <w:sz w:val="18"/>
                <w:szCs w:val="18"/>
                <w:lang w:val="es-ES"/>
              </w:rPr>
            </w:pPr>
            <w:r w:rsidRPr="00FB3565">
              <w:rPr>
                <w:rFonts w:cs="Arial"/>
                <w:bCs/>
                <w:sz w:val="18"/>
                <w:szCs w:val="18"/>
                <w:lang w:val="es-ES"/>
              </w:rPr>
              <w:t>(2013)</w:t>
            </w:r>
          </w:p>
          <w:p w14:paraId="152488A3" w14:textId="77777777" w:rsidR="00136578" w:rsidRDefault="00136578" w:rsidP="00136578">
            <w:pPr>
              <w:jc w:val="center"/>
              <w:rPr>
                <w:rFonts w:cs="Arial"/>
                <w:bCs/>
                <w:sz w:val="18"/>
                <w:szCs w:val="18"/>
                <w:lang w:val="es-ES"/>
              </w:rPr>
            </w:pPr>
          </w:p>
          <w:p w14:paraId="359A8CD0" w14:textId="77777777" w:rsidR="00136578" w:rsidRDefault="00136578" w:rsidP="00136578">
            <w:pPr>
              <w:jc w:val="center"/>
              <w:rPr>
                <w:rFonts w:cs="Arial"/>
                <w:bCs/>
                <w:sz w:val="18"/>
                <w:szCs w:val="18"/>
                <w:lang w:val="es-ES"/>
              </w:rPr>
            </w:pPr>
            <w:r>
              <w:rPr>
                <w:rFonts w:cs="Arial"/>
                <w:bCs/>
                <w:sz w:val="18"/>
                <w:szCs w:val="18"/>
                <w:lang w:val="es-ES"/>
              </w:rPr>
              <w:t>Hombres: 24,1</w:t>
            </w:r>
          </w:p>
          <w:p w14:paraId="0518D8DD" w14:textId="77777777" w:rsidR="00136578" w:rsidRDefault="00136578" w:rsidP="00136578">
            <w:pPr>
              <w:jc w:val="center"/>
              <w:rPr>
                <w:rFonts w:cs="Arial"/>
                <w:bCs/>
                <w:sz w:val="18"/>
                <w:szCs w:val="18"/>
                <w:lang w:val="es-ES"/>
              </w:rPr>
            </w:pPr>
            <w:r>
              <w:rPr>
                <w:rFonts w:cs="Arial"/>
                <w:bCs/>
                <w:sz w:val="18"/>
                <w:szCs w:val="18"/>
                <w:lang w:val="es-ES"/>
              </w:rPr>
              <w:t>(2013)</w:t>
            </w:r>
          </w:p>
          <w:p w14:paraId="25444CD6" w14:textId="77777777" w:rsidR="00136578" w:rsidRDefault="00136578" w:rsidP="00136578">
            <w:pPr>
              <w:jc w:val="center"/>
              <w:rPr>
                <w:rFonts w:cs="Arial"/>
                <w:bCs/>
                <w:sz w:val="18"/>
                <w:szCs w:val="18"/>
                <w:lang w:val="es-ES"/>
              </w:rPr>
            </w:pPr>
          </w:p>
          <w:p w14:paraId="48446A36" w14:textId="77777777" w:rsidR="00136578" w:rsidRDefault="00136578" w:rsidP="00136578">
            <w:pPr>
              <w:jc w:val="center"/>
              <w:rPr>
                <w:rFonts w:cs="Arial"/>
                <w:bCs/>
                <w:sz w:val="18"/>
                <w:szCs w:val="18"/>
                <w:lang w:val="es-ES"/>
              </w:rPr>
            </w:pPr>
            <w:r>
              <w:rPr>
                <w:rFonts w:cs="Arial"/>
                <w:bCs/>
                <w:sz w:val="18"/>
                <w:szCs w:val="18"/>
                <w:lang w:val="es-ES"/>
              </w:rPr>
              <w:t>Mujeres: 17,88</w:t>
            </w:r>
          </w:p>
          <w:p w14:paraId="03AB6380" w14:textId="77777777" w:rsidR="00136578" w:rsidRPr="00FB3565" w:rsidRDefault="00136578" w:rsidP="00136578">
            <w:pPr>
              <w:jc w:val="center"/>
              <w:rPr>
                <w:rFonts w:cs="Arial"/>
                <w:bCs/>
                <w:sz w:val="18"/>
                <w:szCs w:val="18"/>
                <w:lang w:val="es-ES"/>
              </w:rPr>
            </w:pPr>
            <w:r>
              <w:rPr>
                <w:rFonts w:cs="Arial"/>
                <w:bCs/>
                <w:sz w:val="18"/>
                <w:szCs w:val="18"/>
                <w:lang w:val="es-ES"/>
              </w:rPr>
              <w:t>(2013)</w:t>
            </w:r>
          </w:p>
        </w:tc>
        <w:tc>
          <w:tcPr>
            <w:tcW w:w="1890"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bottom w:w="0" w:type="dxa"/>
              <w:right w:w="15" w:type="dxa"/>
            </w:tcMar>
          </w:tcPr>
          <w:p w14:paraId="6114DCB8" w14:textId="77777777" w:rsidR="00136578" w:rsidRDefault="00136578" w:rsidP="00136578">
            <w:pPr>
              <w:jc w:val="center"/>
              <w:rPr>
                <w:rFonts w:cs="Arial"/>
                <w:bCs/>
                <w:sz w:val="18"/>
                <w:szCs w:val="18"/>
                <w:lang w:val="es-ES"/>
              </w:rPr>
            </w:pPr>
            <w:r>
              <w:rPr>
                <w:rFonts w:cs="Arial"/>
                <w:bCs/>
                <w:sz w:val="18"/>
                <w:szCs w:val="18"/>
                <w:lang w:val="es-ES"/>
              </w:rPr>
              <w:t xml:space="preserve">Total: </w:t>
            </w:r>
            <w:r w:rsidRPr="00FB3565">
              <w:rPr>
                <w:rFonts w:cs="Arial"/>
                <w:bCs/>
                <w:sz w:val="18"/>
                <w:szCs w:val="18"/>
                <w:lang w:val="es-ES"/>
              </w:rPr>
              <w:t>18,72%</w:t>
            </w:r>
          </w:p>
          <w:p w14:paraId="78647A06" w14:textId="77777777" w:rsidR="00136578" w:rsidRDefault="00136578" w:rsidP="00136578">
            <w:pPr>
              <w:jc w:val="center"/>
              <w:rPr>
                <w:rFonts w:cs="Arial"/>
                <w:bCs/>
                <w:sz w:val="18"/>
                <w:szCs w:val="18"/>
                <w:lang w:val="es-ES"/>
              </w:rPr>
            </w:pPr>
          </w:p>
          <w:p w14:paraId="41AA29B2" w14:textId="77777777" w:rsidR="00136578" w:rsidRDefault="00136578" w:rsidP="00136578">
            <w:pPr>
              <w:jc w:val="center"/>
              <w:rPr>
                <w:rFonts w:cs="Arial"/>
                <w:bCs/>
                <w:sz w:val="18"/>
                <w:szCs w:val="18"/>
                <w:lang w:val="es-ES"/>
              </w:rPr>
            </w:pPr>
            <w:r>
              <w:rPr>
                <w:rFonts w:cs="Arial"/>
                <w:bCs/>
                <w:sz w:val="18"/>
                <w:szCs w:val="18"/>
                <w:lang w:val="es-ES"/>
              </w:rPr>
              <w:t xml:space="preserve">Hombres: </w:t>
            </w:r>
          </w:p>
          <w:p w14:paraId="380E72B2" w14:textId="77777777" w:rsidR="00136578" w:rsidRDefault="00136578" w:rsidP="00136578">
            <w:pPr>
              <w:jc w:val="center"/>
              <w:rPr>
                <w:rFonts w:cs="Arial"/>
                <w:bCs/>
                <w:sz w:val="18"/>
                <w:szCs w:val="18"/>
                <w:lang w:val="es-ES"/>
              </w:rPr>
            </w:pPr>
            <w:r>
              <w:rPr>
                <w:rFonts w:cs="Arial"/>
                <w:bCs/>
                <w:sz w:val="18"/>
                <w:szCs w:val="18"/>
                <w:lang w:val="es-ES"/>
              </w:rPr>
              <w:t>22,29%</w:t>
            </w:r>
          </w:p>
          <w:p w14:paraId="1D52F91F" w14:textId="77777777" w:rsidR="00136578" w:rsidRDefault="00136578" w:rsidP="00136578">
            <w:pPr>
              <w:jc w:val="center"/>
              <w:rPr>
                <w:rFonts w:cs="Arial"/>
                <w:bCs/>
                <w:sz w:val="18"/>
                <w:szCs w:val="18"/>
                <w:lang w:val="es-ES"/>
              </w:rPr>
            </w:pPr>
          </w:p>
          <w:p w14:paraId="132BE7AA" w14:textId="77777777" w:rsidR="00136578" w:rsidRDefault="00136578" w:rsidP="00136578">
            <w:pPr>
              <w:jc w:val="center"/>
              <w:rPr>
                <w:rFonts w:cs="Arial"/>
                <w:bCs/>
                <w:sz w:val="18"/>
                <w:szCs w:val="18"/>
                <w:lang w:val="es-ES"/>
              </w:rPr>
            </w:pPr>
            <w:r>
              <w:rPr>
                <w:rFonts w:cs="Arial"/>
                <w:bCs/>
                <w:sz w:val="18"/>
                <w:szCs w:val="18"/>
                <w:lang w:val="es-ES"/>
              </w:rPr>
              <w:t>Mujeres:</w:t>
            </w:r>
          </w:p>
          <w:p w14:paraId="16633097" w14:textId="77777777" w:rsidR="00136578" w:rsidRDefault="00136578" w:rsidP="00136578">
            <w:pPr>
              <w:jc w:val="center"/>
              <w:rPr>
                <w:rFonts w:cs="Arial"/>
                <w:bCs/>
                <w:sz w:val="18"/>
                <w:szCs w:val="18"/>
                <w:lang w:val="es-ES"/>
              </w:rPr>
            </w:pPr>
            <w:r>
              <w:rPr>
                <w:rFonts w:cs="Arial"/>
                <w:bCs/>
                <w:sz w:val="18"/>
                <w:szCs w:val="18"/>
                <w:lang w:val="es-ES"/>
              </w:rPr>
              <w:t>16,71</w:t>
            </w:r>
          </w:p>
          <w:p w14:paraId="764BBD6F" w14:textId="77777777" w:rsidR="00136578" w:rsidRPr="00FB3565" w:rsidRDefault="00136578" w:rsidP="00136578">
            <w:pPr>
              <w:jc w:val="center"/>
              <w:rPr>
                <w:rFonts w:cs="Arial"/>
                <w:bCs/>
                <w:sz w:val="18"/>
                <w:szCs w:val="18"/>
                <w:lang w:val="es-ES"/>
              </w:rPr>
            </w:pPr>
          </w:p>
        </w:tc>
        <w:tc>
          <w:tcPr>
            <w:tcW w:w="117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52AF4E73" w14:textId="77777777" w:rsidR="00136578" w:rsidRPr="00FB3565" w:rsidRDefault="00136578" w:rsidP="00136578">
            <w:pPr>
              <w:jc w:val="center"/>
              <w:rPr>
                <w:rFonts w:cs="Arial"/>
                <w:bCs/>
                <w:sz w:val="18"/>
                <w:szCs w:val="18"/>
                <w:lang w:val="es-ES"/>
              </w:rPr>
            </w:pPr>
            <w:r w:rsidRPr="00FB3565">
              <w:rPr>
                <w:rFonts w:cs="Arial"/>
                <w:bCs/>
                <w:sz w:val="18"/>
                <w:szCs w:val="18"/>
                <w:lang w:val="es-ES"/>
              </w:rPr>
              <w:t>DATASUS</w:t>
            </w:r>
          </w:p>
        </w:tc>
        <w:tc>
          <w:tcPr>
            <w:tcW w:w="2970" w:type="dxa"/>
            <w:tcBorders>
              <w:top w:val="single" w:sz="4" w:space="0" w:color="auto"/>
              <w:left w:val="nil"/>
              <w:bottom w:val="single" w:sz="4" w:space="0" w:color="auto"/>
              <w:right w:val="single" w:sz="4" w:space="0" w:color="auto"/>
            </w:tcBorders>
            <w:shd w:val="clear" w:color="auto" w:fill="FFFFFF"/>
          </w:tcPr>
          <w:p w14:paraId="2A6166D3" w14:textId="77777777" w:rsidR="00136578" w:rsidRPr="00FB3565" w:rsidRDefault="00136578" w:rsidP="00136578">
            <w:pPr>
              <w:ind w:left="105" w:right="124"/>
              <w:jc w:val="both"/>
              <w:rPr>
                <w:rFonts w:cs="Arial"/>
                <w:bCs/>
                <w:sz w:val="18"/>
                <w:szCs w:val="18"/>
                <w:lang w:val="es-ES"/>
              </w:rPr>
            </w:pPr>
            <w:r w:rsidRPr="00FB3565">
              <w:rPr>
                <w:rFonts w:cs="Arial"/>
                <w:bCs/>
                <w:sz w:val="18"/>
                <w:szCs w:val="18"/>
                <w:lang w:val="es-ES"/>
              </w:rPr>
              <w:t xml:space="preserve">Número de </w:t>
            </w:r>
            <w:r>
              <w:rPr>
                <w:rFonts w:cs="Arial"/>
                <w:bCs/>
                <w:sz w:val="18"/>
                <w:szCs w:val="18"/>
                <w:lang w:val="es-ES"/>
              </w:rPr>
              <w:t xml:space="preserve">internaciones </w:t>
            </w:r>
            <w:r w:rsidRPr="00FB3565">
              <w:rPr>
                <w:rFonts w:cs="Arial"/>
                <w:bCs/>
                <w:sz w:val="18"/>
                <w:szCs w:val="18"/>
                <w:lang w:val="es-ES"/>
              </w:rPr>
              <w:t>por causas</w:t>
            </w:r>
            <w:r>
              <w:rPr>
                <w:rFonts w:cs="Arial"/>
                <w:bCs/>
                <w:sz w:val="18"/>
                <w:szCs w:val="18"/>
                <w:lang w:val="es-ES"/>
              </w:rPr>
              <w:t xml:space="preserve"> </w:t>
            </w:r>
            <w:r w:rsidRPr="00FB3565">
              <w:rPr>
                <w:rFonts w:cs="Arial"/>
                <w:bCs/>
                <w:sz w:val="18"/>
                <w:szCs w:val="18"/>
                <w:lang w:val="es-ES"/>
              </w:rPr>
              <w:t>sensibles a la atención básica</w:t>
            </w:r>
            <w:r>
              <w:rPr>
                <w:rFonts w:cs="Arial"/>
                <w:bCs/>
                <w:sz w:val="18"/>
                <w:szCs w:val="18"/>
                <w:lang w:val="es-ES"/>
              </w:rPr>
              <w:t xml:space="preserve"> en Ceará</w:t>
            </w:r>
            <w:r w:rsidRPr="00FB3565">
              <w:rPr>
                <w:rFonts w:cs="Arial"/>
                <w:bCs/>
                <w:sz w:val="18"/>
                <w:szCs w:val="18"/>
                <w:lang w:val="es-ES"/>
              </w:rPr>
              <w:t>/</w:t>
            </w:r>
            <w:r>
              <w:rPr>
                <w:rFonts w:cs="Arial"/>
                <w:bCs/>
                <w:sz w:val="18"/>
                <w:szCs w:val="18"/>
                <w:lang w:val="es-ES"/>
              </w:rPr>
              <w:t xml:space="preserve"> total internaciones en Ceará </w:t>
            </w:r>
          </w:p>
        </w:tc>
      </w:tr>
      <w:tr w:rsidR="00136578" w:rsidRPr="00FB3565" w14:paraId="6654F081" w14:textId="77777777" w:rsidTr="00136578">
        <w:trPr>
          <w:cantSplit/>
          <w:trHeight w:val="255"/>
        </w:trPr>
        <w:tc>
          <w:tcPr>
            <w:tcW w:w="1815"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580D38ED" w14:textId="77777777" w:rsidR="00136578" w:rsidRPr="00FB3565" w:rsidRDefault="00136578" w:rsidP="00136578">
            <w:pPr>
              <w:ind w:left="90"/>
              <w:rPr>
                <w:rFonts w:cs="Arial"/>
                <w:b/>
                <w:bCs/>
                <w:sz w:val="18"/>
                <w:szCs w:val="18"/>
                <w:lang w:val="es-ES"/>
              </w:rPr>
            </w:pPr>
            <w:r w:rsidRPr="00FB3565">
              <w:rPr>
                <w:rFonts w:cs="Arial"/>
                <w:sz w:val="18"/>
                <w:szCs w:val="18"/>
                <w:lang w:val="es-ES"/>
              </w:rPr>
              <w:t xml:space="preserve">Tasa anual de hospitalizaciones por </w:t>
            </w:r>
            <w:r>
              <w:rPr>
                <w:rFonts w:cs="Arial"/>
                <w:sz w:val="18"/>
                <w:szCs w:val="18"/>
                <w:lang w:val="es-ES"/>
              </w:rPr>
              <w:t>DM</w:t>
            </w:r>
            <w:r w:rsidRPr="00FB3565">
              <w:rPr>
                <w:rFonts w:cs="Arial"/>
                <w:sz w:val="18"/>
                <w:szCs w:val="18"/>
                <w:lang w:val="es-ES"/>
              </w:rPr>
              <w:t xml:space="preserve"> y sus complicaciones en la población de 30 a 59</w:t>
            </w:r>
            <w:r>
              <w:rPr>
                <w:rFonts w:cs="Arial"/>
                <w:sz w:val="18"/>
                <w:szCs w:val="18"/>
                <w:lang w:val="es-ES"/>
              </w:rPr>
              <w:t> </w:t>
            </w:r>
            <w:r w:rsidRPr="00FB3565">
              <w:rPr>
                <w:rFonts w:cs="Arial"/>
                <w:sz w:val="18"/>
                <w:szCs w:val="18"/>
                <w:lang w:val="es-ES"/>
              </w:rPr>
              <w:t>años de edad residente en Ceará</w:t>
            </w:r>
            <w:r>
              <w:rPr>
                <w:rFonts w:cs="Arial"/>
                <w:sz w:val="18"/>
                <w:szCs w:val="18"/>
                <w:lang w:val="es-ES"/>
              </w:rPr>
              <w:t>.</w:t>
            </w:r>
          </w:p>
        </w:tc>
        <w:tc>
          <w:tcPr>
            <w:tcW w:w="1620"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0E4DB8CA" w14:textId="77777777" w:rsidR="00136578" w:rsidRPr="00FB3565" w:rsidRDefault="00136578" w:rsidP="00136578">
            <w:pPr>
              <w:jc w:val="center"/>
              <w:rPr>
                <w:rFonts w:cs="Arial"/>
                <w:bCs/>
                <w:sz w:val="18"/>
                <w:szCs w:val="18"/>
                <w:lang w:val="es-ES"/>
              </w:rPr>
            </w:pPr>
            <w:r w:rsidRPr="00FB3565">
              <w:rPr>
                <w:rFonts w:cs="Arial"/>
                <w:bCs/>
                <w:sz w:val="18"/>
                <w:szCs w:val="18"/>
                <w:lang w:val="es-ES"/>
              </w:rPr>
              <w:t>4,82</w:t>
            </w:r>
          </w:p>
          <w:p w14:paraId="56B6C4F2" w14:textId="77777777" w:rsidR="00136578" w:rsidRPr="00FB3565" w:rsidRDefault="00136578" w:rsidP="00136578">
            <w:pPr>
              <w:jc w:val="center"/>
              <w:rPr>
                <w:rFonts w:cs="Arial"/>
                <w:bCs/>
                <w:sz w:val="18"/>
                <w:szCs w:val="18"/>
                <w:lang w:val="es-ES"/>
              </w:rPr>
            </w:pPr>
            <w:r w:rsidRPr="00FB3565">
              <w:rPr>
                <w:rFonts w:cs="Arial"/>
                <w:bCs/>
                <w:sz w:val="18"/>
                <w:szCs w:val="18"/>
                <w:lang w:val="es-ES"/>
              </w:rPr>
              <w:t>(2013)</w:t>
            </w:r>
          </w:p>
        </w:tc>
        <w:tc>
          <w:tcPr>
            <w:tcW w:w="1890"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bottom w:w="0" w:type="dxa"/>
              <w:right w:w="15" w:type="dxa"/>
            </w:tcMar>
          </w:tcPr>
          <w:p w14:paraId="3CAE4E28" w14:textId="77777777" w:rsidR="00136578" w:rsidRPr="00FB3565" w:rsidRDefault="00136578" w:rsidP="00136578">
            <w:pPr>
              <w:jc w:val="center"/>
              <w:rPr>
                <w:rFonts w:cs="Arial"/>
                <w:bCs/>
                <w:sz w:val="18"/>
                <w:szCs w:val="18"/>
                <w:lang w:val="es-ES"/>
              </w:rPr>
            </w:pPr>
            <w:r w:rsidRPr="00FB3565">
              <w:rPr>
                <w:rFonts w:cs="Arial"/>
                <w:bCs/>
                <w:sz w:val="18"/>
                <w:szCs w:val="18"/>
                <w:lang w:val="es-ES"/>
              </w:rPr>
              <w:t>4,50</w:t>
            </w:r>
          </w:p>
        </w:tc>
        <w:tc>
          <w:tcPr>
            <w:tcW w:w="117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05F930FF" w14:textId="77777777" w:rsidR="00136578" w:rsidRPr="00FB3565" w:rsidRDefault="00136578" w:rsidP="00136578">
            <w:pPr>
              <w:jc w:val="center"/>
              <w:rPr>
                <w:rFonts w:cs="Arial"/>
                <w:bCs/>
                <w:sz w:val="18"/>
                <w:szCs w:val="18"/>
                <w:lang w:val="es-ES"/>
              </w:rPr>
            </w:pPr>
            <w:r w:rsidRPr="00FB3565">
              <w:rPr>
                <w:rFonts w:cs="Arial"/>
                <w:bCs/>
                <w:sz w:val="18"/>
                <w:szCs w:val="18"/>
                <w:lang w:val="es-ES"/>
              </w:rPr>
              <w:t>DATASUS</w:t>
            </w:r>
          </w:p>
          <w:p w14:paraId="43D95FA8" w14:textId="77777777" w:rsidR="00136578" w:rsidRPr="00FB3565" w:rsidRDefault="00136578" w:rsidP="00136578">
            <w:pPr>
              <w:jc w:val="center"/>
              <w:rPr>
                <w:rFonts w:cs="Arial"/>
                <w:bCs/>
                <w:sz w:val="18"/>
                <w:szCs w:val="18"/>
                <w:lang w:val="es-ES"/>
              </w:rPr>
            </w:pPr>
            <w:r w:rsidRPr="00FB3565">
              <w:rPr>
                <w:rFonts w:cs="Arial"/>
                <w:bCs/>
                <w:sz w:val="18"/>
                <w:szCs w:val="18"/>
                <w:lang w:val="es-ES"/>
              </w:rPr>
              <w:t>SIH-SUS (Sistema de</w:t>
            </w:r>
          </w:p>
          <w:p w14:paraId="053792A4" w14:textId="77777777" w:rsidR="00136578" w:rsidRDefault="00136578" w:rsidP="00136578">
            <w:pPr>
              <w:jc w:val="center"/>
              <w:rPr>
                <w:rFonts w:cs="Arial"/>
                <w:bCs/>
                <w:sz w:val="18"/>
                <w:szCs w:val="18"/>
                <w:lang w:val="es-ES"/>
              </w:rPr>
            </w:pPr>
            <w:r w:rsidRPr="00FB3565">
              <w:rPr>
                <w:rFonts w:cs="Arial"/>
                <w:bCs/>
                <w:sz w:val="18"/>
                <w:szCs w:val="18"/>
                <w:lang w:val="es-ES"/>
              </w:rPr>
              <w:t>Información Hospitalaria)</w:t>
            </w:r>
          </w:p>
          <w:p w14:paraId="4001528E" w14:textId="77777777" w:rsidR="00136578" w:rsidRPr="00FB3565" w:rsidRDefault="00136578" w:rsidP="00136578">
            <w:pPr>
              <w:jc w:val="center"/>
              <w:rPr>
                <w:rFonts w:cs="Arial"/>
                <w:bCs/>
                <w:sz w:val="18"/>
                <w:szCs w:val="18"/>
                <w:lang w:val="es-ES"/>
              </w:rPr>
            </w:pPr>
            <w:r w:rsidRPr="00FB3565">
              <w:rPr>
                <w:rFonts w:cs="Arial"/>
                <w:bCs/>
                <w:sz w:val="18"/>
                <w:szCs w:val="18"/>
                <w:lang w:val="es-ES"/>
              </w:rPr>
              <w:t>Instituto Brasileño de</w:t>
            </w:r>
          </w:p>
          <w:p w14:paraId="0DC8D52D" w14:textId="77777777" w:rsidR="00136578" w:rsidRPr="00FB3565" w:rsidRDefault="00136578" w:rsidP="00136578">
            <w:pPr>
              <w:jc w:val="center"/>
              <w:rPr>
                <w:rFonts w:cs="Arial"/>
                <w:bCs/>
                <w:sz w:val="18"/>
                <w:szCs w:val="18"/>
                <w:lang w:val="es-ES"/>
              </w:rPr>
            </w:pPr>
            <w:r w:rsidRPr="00FB3565">
              <w:rPr>
                <w:rFonts w:cs="Arial"/>
                <w:bCs/>
                <w:sz w:val="18"/>
                <w:szCs w:val="18"/>
                <w:lang w:val="es-ES"/>
              </w:rPr>
              <w:t>Geografía y Estadística</w:t>
            </w:r>
          </w:p>
          <w:p w14:paraId="6CA6CCAD" w14:textId="77777777" w:rsidR="00136578" w:rsidRPr="00FB3565" w:rsidRDefault="00136578" w:rsidP="00136578">
            <w:pPr>
              <w:jc w:val="center"/>
              <w:rPr>
                <w:rFonts w:cs="Arial"/>
                <w:b/>
                <w:bCs/>
                <w:sz w:val="18"/>
                <w:szCs w:val="18"/>
                <w:lang w:val="es-ES"/>
              </w:rPr>
            </w:pPr>
            <w:r w:rsidRPr="00FB3565">
              <w:rPr>
                <w:rFonts w:cs="Arial"/>
                <w:bCs/>
                <w:sz w:val="18"/>
                <w:szCs w:val="18"/>
                <w:lang w:val="es-ES"/>
              </w:rPr>
              <w:t>(IBGE)</w:t>
            </w:r>
          </w:p>
        </w:tc>
        <w:tc>
          <w:tcPr>
            <w:tcW w:w="2970" w:type="dxa"/>
            <w:tcBorders>
              <w:top w:val="single" w:sz="4" w:space="0" w:color="auto"/>
              <w:left w:val="nil"/>
              <w:bottom w:val="single" w:sz="4" w:space="0" w:color="auto"/>
              <w:right w:val="single" w:sz="4" w:space="0" w:color="auto"/>
            </w:tcBorders>
            <w:shd w:val="clear" w:color="auto" w:fill="FFFFFF"/>
          </w:tcPr>
          <w:p w14:paraId="560704EE" w14:textId="77777777" w:rsidR="00136578" w:rsidRPr="00FB3565" w:rsidRDefault="00136578" w:rsidP="00136578">
            <w:pPr>
              <w:ind w:left="105" w:right="124"/>
              <w:jc w:val="both"/>
              <w:rPr>
                <w:rFonts w:cs="Arial"/>
                <w:b/>
                <w:bCs/>
                <w:sz w:val="18"/>
                <w:szCs w:val="18"/>
                <w:lang w:val="es-ES"/>
              </w:rPr>
            </w:pPr>
            <w:r w:rsidRPr="00FB3565">
              <w:rPr>
                <w:rFonts w:cs="Arial"/>
                <w:bCs/>
                <w:sz w:val="18"/>
                <w:szCs w:val="18"/>
                <w:lang w:val="es-ES"/>
              </w:rPr>
              <w:t xml:space="preserve">Número de hospitalizaciones por </w:t>
            </w:r>
            <w:r>
              <w:rPr>
                <w:rFonts w:cs="Arial"/>
                <w:bCs/>
                <w:sz w:val="18"/>
                <w:szCs w:val="18"/>
                <w:lang w:val="es-ES"/>
              </w:rPr>
              <w:t>DM</w:t>
            </w:r>
            <w:r w:rsidRPr="00FB3565">
              <w:rPr>
                <w:rFonts w:cs="Arial"/>
                <w:bCs/>
                <w:sz w:val="18"/>
                <w:szCs w:val="18"/>
                <w:lang w:val="es-ES"/>
              </w:rPr>
              <w:t xml:space="preserve"> y sus complicaciones en la población residente</w:t>
            </w:r>
            <w:r>
              <w:rPr>
                <w:rFonts w:cs="Arial"/>
                <w:bCs/>
                <w:sz w:val="18"/>
                <w:szCs w:val="18"/>
                <w:lang w:val="es-ES"/>
              </w:rPr>
              <w:t xml:space="preserve"> de 30-59 años/</w:t>
            </w:r>
            <w:r w:rsidRPr="00FB3565">
              <w:rPr>
                <w:rFonts w:cs="Arial"/>
                <w:bCs/>
                <w:sz w:val="18"/>
                <w:szCs w:val="18"/>
                <w:lang w:val="es-ES"/>
              </w:rPr>
              <w:t>población residente de 30-59 años x 10.000 habitantes</w:t>
            </w:r>
            <w:r>
              <w:rPr>
                <w:rFonts w:cs="Arial"/>
                <w:bCs/>
                <w:sz w:val="18"/>
                <w:szCs w:val="18"/>
                <w:lang w:val="es-ES"/>
              </w:rPr>
              <w:t>.</w:t>
            </w:r>
          </w:p>
        </w:tc>
      </w:tr>
      <w:tr w:rsidR="00136578" w:rsidRPr="00FB3565" w14:paraId="74AA0EB7" w14:textId="77777777" w:rsidTr="00136578">
        <w:trPr>
          <w:cantSplit/>
          <w:trHeight w:val="731"/>
        </w:trPr>
        <w:tc>
          <w:tcPr>
            <w:tcW w:w="1815"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639B8118" w14:textId="77777777" w:rsidR="00136578" w:rsidRPr="00FB3565" w:rsidRDefault="00136578" w:rsidP="00136578">
            <w:pPr>
              <w:ind w:left="90"/>
              <w:rPr>
                <w:rFonts w:cs="Arial"/>
                <w:sz w:val="18"/>
                <w:szCs w:val="18"/>
                <w:lang w:val="es-ES"/>
              </w:rPr>
            </w:pPr>
            <w:r w:rsidRPr="00FB3565">
              <w:rPr>
                <w:rFonts w:cs="Arial"/>
                <w:sz w:val="18"/>
                <w:szCs w:val="18"/>
                <w:lang w:val="es-ES"/>
              </w:rPr>
              <w:t>Porcentaje de consultas especializadas de atención prenatal en embarazos de riesgo realizadas en relación a las programadas</w:t>
            </w:r>
            <w:r>
              <w:rPr>
                <w:rFonts w:cs="Arial"/>
                <w:sz w:val="18"/>
                <w:szCs w:val="18"/>
                <w:lang w:val="es-ES"/>
              </w:rPr>
              <w:t>.</w:t>
            </w:r>
          </w:p>
        </w:tc>
        <w:tc>
          <w:tcPr>
            <w:tcW w:w="1620"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5FB455B3" w14:textId="77777777" w:rsidR="00136578" w:rsidRPr="00FB3565" w:rsidRDefault="00136578" w:rsidP="00136578">
            <w:pPr>
              <w:jc w:val="center"/>
              <w:rPr>
                <w:rFonts w:cs="Arial"/>
                <w:bCs/>
                <w:sz w:val="18"/>
                <w:szCs w:val="18"/>
                <w:lang w:val="es-ES"/>
              </w:rPr>
            </w:pPr>
            <w:r w:rsidRPr="00FB3565">
              <w:rPr>
                <w:rFonts w:cs="Arial"/>
                <w:bCs/>
                <w:sz w:val="18"/>
                <w:szCs w:val="18"/>
                <w:lang w:val="es-ES"/>
              </w:rPr>
              <w:t>45%</w:t>
            </w:r>
          </w:p>
          <w:p w14:paraId="2448A805" w14:textId="77777777" w:rsidR="00136578" w:rsidRPr="00FB3565" w:rsidRDefault="00136578" w:rsidP="00136578">
            <w:pPr>
              <w:jc w:val="center"/>
              <w:rPr>
                <w:rFonts w:cs="Arial"/>
                <w:bCs/>
                <w:sz w:val="18"/>
                <w:szCs w:val="18"/>
                <w:lang w:val="es-ES"/>
              </w:rPr>
            </w:pPr>
            <w:r w:rsidRPr="00FB3565">
              <w:rPr>
                <w:rFonts w:cs="Arial"/>
                <w:bCs/>
                <w:sz w:val="18"/>
                <w:szCs w:val="18"/>
                <w:lang w:val="es-ES"/>
              </w:rPr>
              <w:t>(2014)</w:t>
            </w:r>
          </w:p>
        </w:tc>
        <w:tc>
          <w:tcPr>
            <w:tcW w:w="1890"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bottom w:w="0" w:type="dxa"/>
              <w:right w:w="15" w:type="dxa"/>
            </w:tcMar>
          </w:tcPr>
          <w:p w14:paraId="12628230" w14:textId="77777777" w:rsidR="00136578" w:rsidRPr="00FB3565" w:rsidRDefault="00136578" w:rsidP="00136578">
            <w:pPr>
              <w:jc w:val="center"/>
              <w:rPr>
                <w:rFonts w:cs="Arial"/>
                <w:bCs/>
                <w:sz w:val="18"/>
                <w:szCs w:val="18"/>
                <w:lang w:val="es-ES"/>
              </w:rPr>
            </w:pPr>
            <w:r w:rsidRPr="00FB3565">
              <w:rPr>
                <w:rFonts w:cs="Arial"/>
                <w:bCs/>
                <w:sz w:val="18"/>
                <w:szCs w:val="18"/>
                <w:lang w:val="es-ES"/>
              </w:rPr>
              <w:t>70%</w:t>
            </w:r>
          </w:p>
        </w:tc>
        <w:tc>
          <w:tcPr>
            <w:tcW w:w="117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68293205" w14:textId="77777777" w:rsidR="00136578" w:rsidRPr="00FB3565" w:rsidRDefault="00136578" w:rsidP="00136578">
            <w:pPr>
              <w:ind w:left="90"/>
              <w:jc w:val="center"/>
              <w:rPr>
                <w:rFonts w:cs="Arial"/>
                <w:bCs/>
                <w:sz w:val="18"/>
                <w:szCs w:val="18"/>
                <w:lang w:val="es-ES"/>
              </w:rPr>
            </w:pPr>
            <w:r w:rsidRPr="00FB3565">
              <w:rPr>
                <w:rFonts w:cs="Arial"/>
                <w:bCs/>
                <w:sz w:val="18"/>
                <w:szCs w:val="18"/>
                <w:lang w:val="es-ES"/>
              </w:rPr>
              <w:t xml:space="preserve">Superintendencia de Redes y Unidades </w:t>
            </w:r>
            <w:r>
              <w:rPr>
                <w:rFonts w:cs="Arial"/>
                <w:bCs/>
                <w:sz w:val="18"/>
                <w:szCs w:val="18"/>
                <w:lang w:val="es-ES"/>
              </w:rPr>
              <w:t>(</w:t>
            </w:r>
            <w:r w:rsidRPr="00FB3565">
              <w:rPr>
                <w:rFonts w:cs="Arial"/>
                <w:bCs/>
                <w:sz w:val="18"/>
                <w:szCs w:val="18"/>
                <w:lang w:val="es-ES"/>
              </w:rPr>
              <w:t>SRU/SESA</w:t>
            </w:r>
            <w:r>
              <w:rPr>
                <w:rFonts w:cs="Arial"/>
                <w:bCs/>
                <w:sz w:val="18"/>
                <w:szCs w:val="18"/>
                <w:lang w:val="es-ES"/>
              </w:rPr>
              <w:t>)</w:t>
            </w:r>
          </w:p>
        </w:tc>
        <w:tc>
          <w:tcPr>
            <w:tcW w:w="2970" w:type="dxa"/>
            <w:tcBorders>
              <w:top w:val="single" w:sz="4" w:space="0" w:color="auto"/>
              <w:left w:val="nil"/>
              <w:bottom w:val="single" w:sz="4" w:space="0" w:color="auto"/>
              <w:right w:val="single" w:sz="4" w:space="0" w:color="auto"/>
            </w:tcBorders>
            <w:shd w:val="clear" w:color="auto" w:fill="FFFFFF"/>
          </w:tcPr>
          <w:p w14:paraId="0F70C7B4" w14:textId="77777777" w:rsidR="00136578" w:rsidRPr="00FB3565" w:rsidRDefault="00136578" w:rsidP="00136578">
            <w:pPr>
              <w:ind w:left="105" w:right="124"/>
              <w:jc w:val="both"/>
              <w:rPr>
                <w:rFonts w:cs="Arial"/>
                <w:bCs/>
                <w:sz w:val="18"/>
                <w:szCs w:val="18"/>
                <w:lang w:val="es-ES"/>
              </w:rPr>
            </w:pPr>
            <w:r w:rsidRPr="00FB3565">
              <w:rPr>
                <w:rFonts w:cs="Arial"/>
                <w:bCs/>
                <w:sz w:val="18"/>
                <w:szCs w:val="18"/>
                <w:lang w:val="es-ES"/>
              </w:rPr>
              <w:t xml:space="preserve">Número </w:t>
            </w:r>
            <w:r>
              <w:rPr>
                <w:rFonts w:cs="Arial"/>
                <w:bCs/>
                <w:sz w:val="18"/>
                <w:szCs w:val="18"/>
                <w:lang w:val="es-ES"/>
              </w:rPr>
              <w:t xml:space="preserve">de </w:t>
            </w:r>
            <w:r w:rsidRPr="00FB3565">
              <w:rPr>
                <w:rFonts w:cs="Arial"/>
                <w:bCs/>
                <w:sz w:val="18"/>
                <w:szCs w:val="18"/>
                <w:lang w:val="es-ES"/>
              </w:rPr>
              <w:t>consultas especializadas de atención prenatal en embarazadas clasificadas como de alto riesgo</w:t>
            </w:r>
            <w:r>
              <w:rPr>
                <w:rFonts w:cs="Arial"/>
                <w:bCs/>
                <w:sz w:val="18"/>
                <w:szCs w:val="18"/>
                <w:lang w:val="es-ES"/>
              </w:rPr>
              <w:t xml:space="preserve"> (realizadas/programadas) </w:t>
            </w:r>
            <w:r w:rsidRPr="00FB3565">
              <w:rPr>
                <w:rFonts w:cs="Arial"/>
                <w:bCs/>
                <w:sz w:val="18"/>
                <w:szCs w:val="18"/>
                <w:lang w:val="es-ES"/>
              </w:rPr>
              <w:t>X 100</w:t>
            </w:r>
            <w:r>
              <w:rPr>
                <w:rFonts w:cs="Arial"/>
                <w:bCs/>
                <w:sz w:val="18"/>
                <w:szCs w:val="18"/>
                <w:lang w:val="es-ES"/>
              </w:rPr>
              <w:t>.</w:t>
            </w:r>
          </w:p>
        </w:tc>
      </w:tr>
      <w:tr w:rsidR="00136578" w:rsidRPr="00FB3565" w14:paraId="12724D13" w14:textId="77777777" w:rsidTr="00136578">
        <w:trPr>
          <w:cantSplit/>
          <w:trHeight w:val="866"/>
        </w:trPr>
        <w:tc>
          <w:tcPr>
            <w:tcW w:w="1815"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64B49C33" w14:textId="77777777" w:rsidR="00136578" w:rsidRDefault="00136578" w:rsidP="00136578">
            <w:pPr>
              <w:ind w:left="90"/>
              <w:rPr>
                <w:rFonts w:cs="Arial"/>
                <w:sz w:val="18"/>
                <w:szCs w:val="18"/>
                <w:lang w:val="es-ES"/>
              </w:rPr>
            </w:pPr>
            <w:r w:rsidRPr="00FB3565">
              <w:rPr>
                <w:rFonts w:cs="Arial"/>
                <w:sz w:val="18"/>
                <w:szCs w:val="18"/>
                <w:lang w:val="es-ES"/>
              </w:rPr>
              <w:t>Porcentaje de</w:t>
            </w:r>
            <w:r>
              <w:rPr>
                <w:rFonts w:cs="Arial"/>
                <w:sz w:val="18"/>
                <w:szCs w:val="18"/>
                <w:lang w:val="es-ES"/>
              </w:rPr>
              <w:t xml:space="preserve"> todas las</w:t>
            </w:r>
            <w:r w:rsidRPr="00FB3565">
              <w:rPr>
                <w:rFonts w:cs="Arial"/>
                <w:sz w:val="18"/>
                <w:szCs w:val="18"/>
                <w:lang w:val="es-ES"/>
              </w:rPr>
              <w:t xml:space="preserve"> embarazadas diagnosticadas con sífilis</w:t>
            </w:r>
            <w:r>
              <w:rPr>
                <w:rFonts w:cs="Arial"/>
                <w:sz w:val="18"/>
                <w:szCs w:val="18"/>
                <w:lang w:val="es-ES"/>
              </w:rPr>
              <w:t xml:space="preserve"> con el diagnóstico</w:t>
            </w:r>
            <w:r w:rsidRPr="00FB3565">
              <w:rPr>
                <w:rFonts w:cs="Arial"/>
                <w:sz w:val="18"/>
                <w:szCs w:val="18"/>
                <w:lang w:val="es-ES"/>
              </w:rPr>
              <w:t xml:space="preserve"> en el primer trimestre de embarazo</w:t>
            </w:r>
            <w:r>
              <w:rPr>
                <w:rFonts w:cs="Arial"/>
                <w:sz w:val="18"/>
                <w:szCs w:val="18"/>
                <w:lang w:val="es-ES"/>
              </w:rPr>
              <w:t>.</w:t>
            </w:r>
          </w:p>
          <w:p w14:paraId="7FD937B3" w14:textId="77777777" w:rsidR="007E3AE0" w:rsidRDefault="007E3AE0" w:rsidP="00136578">
            <w:pPr>
              <w:ind w:left="90"/>
              <w:rPr>
                <w:rFonts w:cs="Arial"/>
                <w:sz w:val="18"/>
                <w:szCs w:val="18"/>
                <w:lang w:val="es-ES"/>
              </w:rPr>
            </w:pPr>
          </w:p>
          <w:p w14:paraId="4B3AD2CD" w14:textId="77777777" w:rsidR="007E3AE0" w:rsidRDefault="007E3AE0" w:rsidP="00136578">
            <w:pPr>
              <w:ind w:left="90"/>
              <w:rPr>
                <w:rFonts w:cs="Arial"/>
                <w:sz w:val="18"/>
                <w:szCs w:val="18"/>
                <w:lang w:val="es-ES"/>
              </w:rPr>
            </w:pPr>
          </w:p>
          <w:p w14:paraId="3B0389E0" w14:textId="77777777" w:rsidR="007E3AE0" w:rsidRPr="00FB3565" w:rsidRDefault="007E3AE0" w:rsidP="00136578">
            <w:pPr>
              <w:ind w:left="90"/>
              <w:rPr>
                <w:rFonts w:cs="Arial"/>
                <w:sz w:val="18"/>
                <w:szCs w:val="18"/>
                <w:lang w:val="es-ES"/>
              </w:rPr>
            </w:pPr>
          </w:p>
        </w:tc>
        <w:tc>
          <w:tcPr>
            <w:tcW w:w="1620"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11CD38E9" w14:textId="77777777" w:rsidR="00136578" w:rsidRPr="00FB3565" w:rsidRDefault="00136578" w:rsidP="00136578">
            <w:pPr>
              <w:jc w:val="center"/>
              <w:rPr>
                <w:rFonts w:cs="Arial"/>
                <w:bCs/>
                <w:sz w:val="18"/>
                <w:szCs w:val="18"/>
                <w:lang w:val="es-ES"/>
              </w:rPr>
            </w:pPr>
            <w:r w:rsidRPr="00FB3565">
              <w:rPr>
                <w:rFonts w:cs="Arial"/>
                <w:bCs/>
                <w:sz w:val="18"/>
                <w:szCs w:val="18"/>
                <w:lang w:val="es-ES"/>
              </w:rPr>
              <w:t>22%</w:t>
            </w:r>
          </w:p>
        </w:tc>
        <w:tc>
          <w:tcPr>
            <w:tcW w:w="1890"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bottom w:w="0" w:type="dxa"/>
              <w:right w:w="15" w:type="dxa"/>
            </w:tcMar>
          </w:tcPr>
          <w:p w14:paraId="090CF0A7" w14:textId="77777777" w:rsidR="00136578" w:rsidRPr="00FB3565" w:rsidRDefault="00136578" w:rsidP="00136578">
            <w:pPr>
              <w:jc w:val="center"/>
              <w:rPr>
                <w:rFonts w:cs="Arial"/>
                <w:bCs/>
                <w:sz w:val="18"/>
                <w:szCs w:val="18"/>
                <w:lang w:val="es-ES"/>
              </w:rPr>
            </w:pPr>
            <w:r w:rsidRPr="00FB3565">
              <w:rPr>
                <w:rFonts w:cs="Arial"/>
                <w:bCs/>
                <w:sz w:val="18"/>
                <w:szCs w:val="18"/>
                <w:lang w:val="es-ES"/>
              </w:rPr>
              <w:t>75%</w:t>
            </w:r>
          </w:p>
        </w:tc>
        <w:tc>
          <w:tcPr>
            <w:tcW w:w="117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5078FE60" w14:textId="77777777" w:rsidR="00136578" w:rsidRDefault="00136578" w:rsidP="00136578">
            <w:pPr>
              <w:ind w:left="90"/>
              <w:jc w:val="center"/>
              <w:rPr>
                <w:rFonts w:cs="Arial"/>
                <w:bCs/>
                <w:sz w:val="18"/>
                <w:szCs w:val="18"/>
                <w:lang w:val="es-ES"/>
              </w:rPr>
            </w:pPr>
            <w:r>
              <w:rPr>
                <w:rFonts w:cs="Arial"/>
                <w:bCs/>
                <w:sz w:val="18"/>
                <w:szCs w:val="18"/>
                <w:lang w:val="es-ES"/>
              </w:rPr>
              <w:t>DATASUS</w:t>
            </w:r>
          </w:p>
          <w:p w14:paraId="4CC37C32" w14:textId="77777777" w:rsidR="00136578" w:rsidRPr="00FB3565" w:rsidRDefault="00136578" w:rsidP="00136578">
            <w:pPr>
              <w:ind w:left="90"/>
              <w:jc w:val="center"/>
              <w:rPr>
                <w:rFonts w:cs="Arial"/>
                <w:bCs/>
                <w:sz w:val="18"/>
                <w:szCs w:val="18"/>
                <w:lang w:val="es-ES"/>
              </w:rPr>
            </w:pPr>
          </w:p>
        </w:tc>
        <w:tc>
          <w:tcPr>
            <w:tcW w:w="2970" w:type="dxa"/>
            <w:tcBorders>
              <w:top w:val="single" w:sz="4" w:space="0" w:color="auto"/>
              <w:left w:val="nil"/>
              <w:bottom w:val="single" w:sz="4" w:space="0" w:color="auto"/>
              <w:right w:val="single" w:sz="4" w:space="0" w:color="auto"/>
            </w:tcBorders>
            <w:shd w:val="clear" w:color="auto" w:fill="FFFFFF"/>
          </w:tcPr>
          <w:p w14:paraId="02806368" w14:textId="77777777" w:rsidR="00136578" w:rsidRPr="00FB3565" w:rsidRDefault="00136578" w:rsidP="00136578">
            <w:pPr>
              <w:ind w:left="105" w:right="124"/>
              <w:jc w:val="both"/>
              <w:rPr>
                <w:rFonts w:cs="Arial"/>
                <w:bCs/>
                <w:sz w:val="18"/>
                <w:szCs w:val="18"/>
                <w:lang w:val="es-ES"/>
              </w:rPr>
            </w:pPr>
            <w:r w:rsidRPr="00FB3565">
              <w:rPr>
                <w:rFonts w:cs="Arial"/>
                <w:bCs/>
                <w:sz w:val="18"/>
                <w:szCs w:val="18"/>
                <w:lang w:val="es-ES"/>
              </w:rPr>
              <w:t>Número</w:t>
            </w:r>
            <w:r w:rsidRPr="00FB3565">
              <w:rPr>
                <w:rFonts w:cs="Arial"/>
                <w:sz w:val="18"/>
                <w:szCs w:val="18"/>
                <w:lang w:val="es-ES"/>
              </w:rPr>
              <w:t xml:space="preserve"> de embarazadas diagnosticadas con sífilis en el primer trimestre del embarazo/total de embarazadas diagnosticadas con sífilis durante el embarazo</w:t>
            </w:r>
            <w:r>
              <w:rPr>
                <w:rFonts w:cs="Arial"/>
                <w:sz w:val="18"/>
                <w:szCs w:val="18"/>
                <w:lang w:val="es-ES"/>
              </w:rPr>
              <w:t>.</w:t>
            </w:r>
          </w:p>
        </w:tc>
      </w:tr>
      <w:tr w:rsidR="00136578" w:rsidRPr="00FB3565" w14:paraId="71398F62" w14:textId="77777777" w:rsidTr="00136578">
        <w:trPr>
          <w:cantSplit/>
          <w:trHeight w:val="255"/>
        </w:trPr>
        <w:tc>
          <w:tcPr>
            <w:tcW w:w="1815" w:type="dxa"/>
            <w:tcBorders>
              <w:top w:val="single" w:sz="4" w:space="0" w:color="auto"/>
              <w:left w:val="single" w:sz="4" w:space="0" w:color="auto"/>
              <w:bottom w:val="single" w:sz="4" w:space="0" w:color="auto"/>
              <w:right w:val="nil"/>
            </w:tcBorders>
            <w:shd w:val="clear" w:color="auto" w:fill="D6E3BC"/>
            <w:noWrap/>
            <w:tcMar>
              <w:top w:w="15" w:type="dxa"/>
              <w:left w:w="15" w:type="dxa"/>
              <w:bottom w:w="0" w:type="dxa"/>
              <w:right w:w="15" w:type="dxa"/>
            </w:tcMar>
          </w:tcPr>
          <w:p w14:paraId="46037F89" w14:textId="77777777" w:rsidR="00136578" w:rsidRPr="00FB3565" w:rsidRDefault="00136578" w:rsidP="00136578">
            <w:pPr>
              <w:ind w:left="90"/>
              <w:rPr>
                <w:rFonts w:cs="Arial"/>
                <w:b/>
                <w:bCs/>
                <w:sz w:val="18"/>
                <w:szCs w:val="18"/>
                <w:lang w:val="es-ES"/>
              </w:rPr>
            </w:pPr>
            <w:r w:rsidRPr="00FB3565">
              <w:rPr>
                <w:rFonts w:cs="Arial"/>
                <w:b/>
                <w:bCs/>
                <w:sz w:val="18"/>
                <w:szCs w:val="18"/>
                <w:lang w:val="es-ES"/>
              </w:rPr>
              <w:lastRenderedPageBreak/>
              <w:t>Indicadores de Resultados Intermedios</w:t>
            </w:r>
          </w:p>
        </w:tc>
        <w:tc>
          <w:tcPr>
            <w:tcW w:w="1620" w:type="dxa"/>
            <w:tcBorders>
              <w:top w:val="single" w:sz="4" w:space="0" w:color="auto"/>
              <w:left w:val="single" w:sz="4" w:space="0" w:color="auto"/>
              <w:bottom w:val="single" w:sz="4" w:space="0" w:color="auto"/>
              <w:right w:val="nil"/>
            </w:tcBorders>
            <w:shd w:val="clear" w:color="auto" w:fill="D6E3BC"/>
            <w:noWrap/>
            <w:tcMar>
              <w:top w:w="15" w:type="dxa"/>
              <w:left w:w="15" w:type="dxa"/>
              <w:bottom w:w="0" w:type="dxa"/>
              <w:right w:w="15" w:type="dxa"/>
            </w:tcMar>
          </w:tcPr>
          <w:p w14:paraId="0F408D01" w14:textId="77777777" w:rsidR="00136578" w:rsidRPr="00FB3565" w:rsidRDefault="00136578" w:rsidP="00136578">
            <w:pPr>
              <w:jc w:val="center"/>
              <w:rPr>
                <w:rFonts w:cs="Arial"/>
                <w:b/>
                <w:bCs/>
                <w:sz w:val="18"/>
                <w:szCs w:val="18"/>
                <w:lang w:val="es-ES"/>
              </w:rPr>
            </w:pPr>
            <w:r w:rsidRPr="00FB3565">
              <w:rPr>
                <w:rFonts w:cs="Arial"/>
                <w:b/>
                <w:bCs/>
                <w:sz w:val="18"/>
                <w:szCs w:val="18"/>
                <w:lang w:val="es-ES"/>
              </w:rPr>
              <w:t>Línea de Base</w:t>
            </w:r>
          </w:p>
        </w:tc>
        <w:tc>
          <w:tcPr>
            <w:tcW w:w="1890" w:type="dxa"/>
            <w:tcBorders>
              <w:top w:val="single" w:sz="4" w:space="0" w:color="auto"/>
              <w:left w:val="single" w:sz="4" w:space="0" w:color="auto"/>
              <w:bottom w:val="single" w:sz="4" w:space="0" w:color="auto"/>
              <w:right w:val="single" w:sz="4" w:space="0" w:color="000000"/>
            </w:tcBorders>
            <w:shd w:val="clear" w:color="auto" w:fill="D6E3BC"/>
            <w:noWrap/>
            <w:tcMar>
              <w:top w:w="15" w:type="dxa"/>
              <w:left w:w="15" w:type="dxa"/>
              <w:bottom w:w="0" w:type="dxa"/>
              <w:right w:w="15" w:type="dxa"/>
            </w:tcMar>
          </w:tcPr>
          <w:p w14:paraId="3A6E17DC" w14:textId="77777777" w:rsidR="00136578" w:rsidRPr="00FB3565" w:rsidRDefault="00136578" w:rsidP="00136578">
            <w:pPr>
              <w:jc w:val="center"/>
              <w:rPr>
                <w:rFonts w:cs="Arial"/>
                <w:b/>
                <w:bCs/>
                <w:sz w:val="18"/>
                <w:szCs w:val="18"/>
                <w:lang w:val="es-ES"/>
              </w:rPr>
            </w:pPr>
            <w:r w:rsidRPr="00FB3565">
              <w:rPr>
                <w:rFonts w:cs="Arial"/>
                <w:b/>
                <w:bCs/>
                <w:sz w:val="18"/>
                <w:szCs w:val="18"/>
                <w:lang w:val="es-ES"/>
              </w:rPr>
              <w:t>Meta</w:t>
            </w:r>
          </w:p>
        </w:tc>
        <w:tc>
          <w:tcPr>
            <w:tcW w:w="1170" w:type="dxa"/>
            <w:tcBorders>
              <w:top w:val="single" w:sz="4" w:space="0" w:color="auto"/>
              <w:left w:val="nil"/>
              <w:bottom w:val="single" w:sz="4" w:space="0" w:color="auto"/>
              <w:right w:val="single" w:sz="4" w:space="0" w:color="auto"/>
            </w:tcBorders>
            <w:shd w:val="clear" w:color="auto" w:fill="D6E3BC"/>
            <w:noWrap/>
            <w:tcMar>
              <w:top w:w="15" w:type="dxa"/>
              <w:left w:w="15" w:type="dxa"/>
              <w:bottom w:w="0" w:type="dxa"/>
              <w:right w:w="15" w:type="dxa"/>
            </w:tcMar>
          </w:tcPr>
          <w:p w14:paraId="2C962B1D" w14:textId="77777777" w:rsidR="00136578" w:rsidRPr="00FB3565" w:rsidRDefault="00136578" w:rsidP="00136578">
            <w:pPr>
              <w:ind w:left="90"/>
              <w:jc w:val="center"/>
              <w:rPr>
                <w:rFonts w:cs="Arial"/>
                <w:b/>
                <w:bCs/>
                <w:sz w:val="18"/>
                <w:szCs w:val="18"/>
                <w:lang w:val="es-ES"/>
              </w:rPr>
            </w:pPr>
            <w:r w:rsidRPr="00FB3565">
              <w:rPr>
                <w:rFonts w:cs="Arial"/>
                <w:b/>
                <w:bCs/>
                <w:sz w:val="18"/>
                <w:szCs w:val="18"/>
                <w:lang w:val="es-ES"/>
              </w:rPr>
              <w:t>Fuente</w:t>
            </w:r>
          </w:p>
        </w:tc>
        <w:tc>
          <w:tcPr>
            <w:tcW w:w="2970" w:type="dxa"/>
            <w:tcBorders>
              <w:top w:val="single" w:sz="4" w:space="0" w:color="auto"/>
              <w:left w:val="nil"/>
              <w:bottom w:val="single" w:sz="4" w:space="0" w:color="auto"/>
              <w:right w:val="single" w:sz="4" w:space="0" w:color="auto"/>
            </w:tcBorders>
            <w:shd w:val="clear" w:color="auto" w:fill="D6E3BC"/>
          </w:tcPr>
          <w:p w14:paraId="1800C95C" w14:textId="77777777" w:rsidR="00136578" w:rsidRPr="00FB3565" w:rsidRDefault="00136578" w:rsidP="00136578">
            <w:pPr>
              <w:ind w:left="90"/>
              <w:jc w:val="center"/>
              <w:rPr>
                <w:rFonts w:cs="Arial"/>
                <w:b/>
                <w:bCs/>
                <w:sz w:val="18"/>
                <w:szCs w:val="18"/>
                <w:lang w:val="es-ES"/>
              </w:rPr>
            </w:pPr>
            <w:r w:rsidRPr="00FB3565">
              <w:rPr>
                <w:rFonts w:cs="Arial"/>
                <w:b/>
                <w:bCs/>
                <w:sz w:val="18"/>
                <w:szCs w:val="18"/>
                <w:lang w:val="es-ES"/>
              </w:rPr>
              <w:t>Método de Cálculo</w:t>
            </w:r>
          </w:p>
        </w:tc>
      </w:tr>
      <w:tr w:rsidR="00136578" w:rsidRPr="00FB3565" w14:paraId="038FEB40" w14:textId="77777777" w:rsidTr="00136578">
        <w:trPr>
          <w:cantSplit/>
          <w:trHeight w:val="255"/>
        </w:trPr>
        <w:tc>
          <w:tcPr>
            <w:tcW w:w="1815"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483E8EF3" w14:textId="77777777" w:rsidR="00136578" w:rsidRPr="005B34A5" w:rsidRDefault="00136578" w:rsidP="00136578">
            <w:pPr>
              <w:ind w:left="90"/>
              <w:rPr>
                <w:rFonts w:cs="Arial"/>
                <w:sz w:val="18"/>
                <w:szCs w:val="18"/>
                <w:lang w:val="es-ES"/>
              </w:rPr>
            </w:pPr>
            <w:r>
              <w:rPr>
                <w:rFonts w:cs="Arial"/>
                <w:sz w:val="18"/>
                <w:szCs w:val="18"/>
                <w:lang w:val="es-ES"/>
              </w:rPr>
              <w:t xml:space="preserve">Beneficiarios de </w:t>
            </w:r>
            <w:r w:rsidRPr="005B34A5">
              <w:rPr>
                <w:rFonts w:cs="Arial"/>
                <w:sz w:val="18"/>
                <w:szCs w:val="18"/>
                <w:lang w:val="es-ES"/>
              </w:rPr>
              <w:t xml:space="preserve"> servicios de salud</w:t>
            </w:r>
            <w:r>
              <w:rPr>
                <w:rFonts w:cs="Arial"/>
                <w:sz w:val="18"/>
                <w:szCs w:val="18"/>
                <w:lang w:val="es-ES"/>
              </w:rPr>
              <w:t xml:space="preserve">. </w:t>
            </w:r>
          </w:p>
        </w:tc>
        <w:tc>
          <w:tcPr>
            <w:tcW w:w="1620"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22FECCEE" w14:textId="77777777" w:rsidR="00136578" w:rsidRPr="00FB3565" w:rsidRDefault="00136578" w:rsidP="00136578">
            <w:pPr>
              <w:jc w:val="center"/>
              <w:rPr>
                <w:rFonts w:cs="Arial"/>
                <w:bCs/>
                <w:sz w:val="18"/>
                <w:szCs w:val="18"/>
                <w:lang w:val="es-ES"/>
              </w:rPr>
            </w:pPr>
            <w:r>
              <w:rPr>
                <w:rFonts w:cs="Arial"/>
                <w:bCs/>
                <w:sz w:val="18"/>
                <w:szCs w:val="18"/>
                <w:lang w:val="es-ES"/>
              </w:rPr>
              <w:t>7.012.000</w:t>
            </w:r>
          </w:p>
        </w:tc>
        <w:tc>
          <w:tcPr>
            <w:tcW w:w="1890"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bottom w:w="0" w:type="dxa"/>
              <w:right w:w="15" w:type="dxa"/>
            </w:tcMar>
          </w:tcPr>
          <w:p w14:paraId="24089955" w14:textId="77777777" w:rsidR="00136578" w:rsidRPr="00FB3565" w:rsidRDefault="00136578" w:rsidP="00136578">
            <w:pPr>
              <w:jc w:val="center"/>
              <w:rPr>
                <w:rFonts w:cs="Arial"/>
                <w:bCs/>
                <w:sz w:val="18"/>
                <w:szCs w:val="18"/>
                <w:lang w:val="es-ES"/>
              </w:rPr>
            </w:pPr>
            <w:r>
              <w:rPr>
                <w:rFonts w:cs="Arial"/>
                <w:bCs/>
                <w:sz w:val="18"/>
                <w:szCs w:val="18"/>
                <w:lang w:val="es-ES"/>
              </w:rPr>
              <w:t>7.713.200</w:t>
            </w:r>
          </w:p>
        </w:tc>
        <w:tc>
          <w:tcPr>
            <w:tcW w:w="117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78EF27AB" w14:textId="77777777" w:rsidR="00136578" w:rsidRPr="00FB3565" w:rsidRDefault="00136578" w:rsidP="00136578">
            <w:pPr>
              <w:jc w:val="center"/>
              <w:rPr>
                <w:rFonts w:cs="Arial"/>
                <w:bCs/>
                <w:sz w:val="18"/>
                <w:szCs w:val="18"/>
                <w:lang w:val="es-ES"/>
              </w:rPr>
            </w:pPr>
            <w:r>
              <w:rPr>
                <w:rFonts w:cs="Arial"/>
                <w:bCs/>
                <w:sz w:val="18"/>
                <w:szCs w:val="18"/>
                <w:lang w:val="es-ES"/>
              </w:rPr>
              <w:t>DATASUS</w:t>
            </w:r>
          </w:p>
        </w:tc>
        <w:tc>
          <w:tcPr>
            <w:tcW w:w="2970" w:type="dxa"/>
            <w:tcBorders>
              <w:top w:val="single" w:sz="4" w:space="0" w:color="auto"/>
              <w:left w:val="nil"/>
              <w:bottom w:val="single" w:sz="4" w:space="0" w:color="auto"/>
              <w:right w:val="single" w:sz="4" w:space="0" w:color="auto"/>
            </w:tcBorders>
            <w:shd w:val="clear" w:color="auto" w:fill="FFFFFF"/>
          </w:tcPr>
          <w:p w14:paraId="09D1CA81" w14:textId="77777777" w:rsidR="00136578" w:rsidRDefault="00136578" w:rsidP="00136578">
            <w:pPr>
              <w:ind w:left="105" w:right="124"/>
              <w:jc w:val="both"/>
              <w:rPr>
                <w:rFonts w:cs="Arial"/>
                <w:bCs/>
                <w:sz w:val="18"/>
                <w:szCs w:val="18"/>
                <w:lang w:val="es-ES"/>
              </w:rPr>
            </w:pPr>
            <w:r w:rsidRPr="005B34A5">
              <w:rPr>
                <w:rFonts w:cs="Arial"/>
                <w:bCs/>
                <w:sz w:val="18"/>
                <w:szCs w:val="18"/>
                <w:lang w:val="es-ES"/>
              </w:rPr>
              <w:t>Número de personas ca</w:t>
            </w:r>
            <w:r>
              <w:rPr>
                <w:rFonts w:cs="Arial"/>
                <w:bCs/>
                <w:sz w:val="18"/>
                <w:szCs w:val="18"/>
                <w:lang w:val="es-ES"/>
              </w:rPr>
              <w:t>t</w:t>
            </w:r>
            <w:r w:rsidRPr="005B34A5">
              <w:rPr>
                <w:rFonts w:cs="Arial"/>
                <w:bCs/>
                <w:sz w:val="18"/>
                <w:szCs w:val="18"/>
                <w:lang w:val="es-ES"/>
              </w:rPr>
              <w:t>astradas en las Unidades Básicas de Salud (UBS) del Estado de Ceará</w:t>
            </w:r>
            <w:r>
              <w:rPr>
                <w:rFonts w:cs="Arial"/>
                <w:bCs/>
                <w:sz w:val="18"/>
                <w:szCs w:val="18"/>
                <w:lang w:val="es-ES"/>
              </w:rPr>
              <w:t>.</w:t>
            </w:r>
          </w:p>
          <w:p w14:paraId="5052623F" w14:textId="77777777" w:rsidR="00136578" w:rsidRPr="005B34A5" w:rsidRDefault="00136578" w:rsidP="00136578">
            <w:pPr>
              <w:ind w:left="105" w:right="124"/>
              <w:jc w:val="both"/>
              <w:rPr>
                <w:rFonts w:cs="Arial"/>
                <w:bCs/>
                <w:sz w:val="18"/>
                <w:szCs w:val="18"/>
                <w:lang w:val="es-ES"/>
              </w:rPr>
            </w:pPr>
          </w:p>
        </w:tc>
      </w:tr>
      <w:tr w:rsidR="00136578" w:rsidRPr="00FB3565" w14:paraId="35A71AF9" w14:textId="77777777" w:rsidTr="00136578">
        <w:trPr>
          <w:cantSplit/>
          <w:trHeight w:val="255"/>
        </w:trPr>
        <w:tc>
          <w:tcPr>
            <w:tcW w:w="1815"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434099FE" w14:textId="77777777" w:rsidR="00136578" w:rsidRPr="00FB3565" w:rsidRDefault="00136578" w:rsidP="00136578">
            <w:pPr>
              <w:ind w:left="90"/>
              <w:rPr>
                <w:rFonts w:cs="Arial"/>
                <w:sz w:val="18"/>
                <w:szCs w:val="18"/>
                <w:lang w:val="es-ES"/>
              </w:rPr>
            </w:pPr>
            <w:r w:rsidRPr="00FB3565">
              <w:rPr>
                <w:rFonts w:cs="Arial"/>
                <w:sz w:val="18"/>
                <w:szCs w:val="18"/>
                <w:lang w:val="es-ES"/>
              </w:rPr>
              <w:t>Tiempo medio de permanencia</w:t>
            </w:r>
            <w:r>
              <w:rPr>
                <w:rFonts w:cs="Arial"/>
                <w:sz w:val="18"/>
                <w:szCs w:val="18"/>
                <w:lang w:val="es-ES"/>
              </w:rPr>
              <w:t xml:space="preserve"> (días)</w:t>
            </w:r>
            <w:r w:rsidRPr="00FB3565">
              <w:rPr>
                <w:rFonts w:cs="Arial"/>
                <w:sz w:val="18"/>
                <w:szCs w:val="18"/>
                <w:lang w:val="es-ES"/>
              </w:rPr>
              <w:t xml:space="preserve"> de pacientes internados en hospitales de la red pública de Ceará</w:t>
            </w:r>
            <w:r>
              <w:rPr>
                <w:rFonts w:cs="Arial"/>
                <w:sz w:val="18"/>
                <w:szCs w:val="18"/>
                <w:lang w:val="es-ES"/>
              </w:rPr>
              <w:t>.</w:t>
            </w:r>
          </w:p>
        </w:tc>
        <w:tc>
          <w:tcPr>
            <w:tcW w:w="1620"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20607167" w14:textId="77777777" w:rsidR="00136578" w:rsidRPr="00FB3565" w:rsidRDefault="00136578" w:rsidP="00136578">
            <w:pPr>
              <w:jc w:val="center"/>
              <w:rPr>
                <w:rFonts w:cs="Arial"/>
                <w:bCs/>
                <w:sz w:val="18"/>
                <w:szCs w:val="18"/>
                <w:lang w:val="es-ES"/>
              </w:rPr>
            </w:pPr>
            <w:r w:rsidRPr="00FB3565">
              <w:rPr>
                <w:rFonts w:cs="Arial"/>
                <w:bCs/>
                <w:sz w:val="18"/>
                <w:szCs w:val="18"/>
                <w:lang w:val="es-ES"/>
              </w:rPr>
              <w:t>9,5</w:t>
            </w:r>
            <w:r>
              <w:rPr>
                <w:rFonts w:cs="Arial"/>
                <w:bCs/>
                <w:sz w:val="18"/>
                <w:szCs w:val="18"/>
                <w:lang w:val="es-ES"/>
              </w:rPr>
              <w:t xml:space="preserve"> </w:t>
            </w:r>
          </w:p>
          <w:p w14:paraId="2EEB44E0" w14:textId="77777777" w:rsidR="00136578" w:rsidRPr="00FB3565" w:rsidRDefault="00136578" w:rsidP="00136578">
            <w:pPr>
              <w:jc w:val="center"/>
              <w:rPr>
                <w:rFonts w:cs="Arial"/>
                <w:bCs/>
                <w:sz w:val="18"/>
                <w:szCs w:val="18"/>
                <w:lang w:val="es-ES"/>
              </w:rPr>
            </w:pPr>
            <w:r w:rsidRPr="00FB3565">
              <w:rPr>
                <w:rFonts w:cs="Arial"/>
                <w:bCs/>
                <w:sz w:val="18"/>
                <w:szCs w:val="18"/>
                <w:lang w:val="es-ES"/>
              </w:rPr>
              <w:t>(2014)</w:t>
            </w:r>
          </w:p>
        </w:tc>
        <w:tc>
          <w:tcPr>
            <w:tcW w:w="1890"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bottom w:w="0" w:type="dxa"/>
              <w:right w:w="15" w:type="dxa"/>
            </w:tcMar>
          </w:tcPr>
          <w:p w14:paraId="12BE11A8" w14:textId="77777777" w:rsidR="00136578" w:rsidRPr="00FB3565" w:rsidRDefault="00136578" w:rsidP="00136578">
            <w:pPr>
              <w:jc w:val="center"/>
              <w:rPr>
                <w:rFonts w:cs="Arial"/>
                <w:bCs/>
                <w:sz w:val="18"/>
                <w:szCs w:val="18"/>
                <w:lang w:val="es-ES"/>
              </w:rPr>
            </w:pPr>
            <w:r w:rsidRPr="00FB3565">
              <w:rPr>
                <w:rFonts w:cs="Arial"/>
                <w:bCs/>
                <w:sz w:val="18"/>
                <w:szCs w:val="18"/>
                <w:lang w:val="es-ES"/>
              </w:rPr>
              <w:t>7</w:t>
            </w:r>
            <w:r>
              <w:rPr>
                <w:rFonts w:cs="Arial"/>
                <w:bCs/>
                <w:sz w:val="18"/>
                <w:szCs w:val="18"/>
                <w:lang w:val="es-ES"/>
              </w:rPr>
              <w:t xml:space="preserve"> </w:t>
            </w:r>
          </w:p>
        </w:tc>
        <w:tc>
          <w:tcPr>
            <w:tcW w:w="117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20B80A10" w14:textId="77777777" w:rsidR="00136578" w:rsidRPr="00FB3565" w:rsidRDefault="00136578" w:rsidP="00136578">
            <w:pPr>
              <w:jc w:val="center"/>
              <w:rPr>
                <w:rFonts w:cs="Arial"/>
                <w:bCs/>
                <w:sz w:val="18"/>
                <w:szCs w:val="18"/>
                <w:lang w:val="es-ES"/>
              </w:rPr>
            </w:pPr>
            <w:r w:rsidRPr="00FB3565">
              <w:rPr>
                <w:rFonts w:cs="Arial"/>
                <w:bCs/>
                <w:sz w:val="18"/>
                <w:szCs w:val="18"/>
                <w:lang w:val="es-ES"/>
              </w:rPr>
              <w:t>SRU/SESA</w:t>
            </w:r>
          </w:p>
        </w:tc>
        <w:tc>
          <w:tcPr>
            <w:tcW w:w="2970" w:type="dxa"/>
            <w:tcBorders>
              <w:top w:val="single" w:sz="4" w:space="0" w:color="auto"/>
              <w:left w:val="nil"/>
              <w:bottom w:val="single" w:sz="4" w:space="0" w:color="auto"/>
              <w:right w:val="single" w:sz="4" w:space="0" w:color="auto"/>
            </w:tcBorders>
            <w:shd w:val="clear" w:color="auto" w:fill="FFFFFF"/>
          </w:tcPr>
          <w:p w14:paraId="4F66CBD9" w14:textId="77777777" w:rsidR="00136578" w:rsidRPr="00FB3565" w:rsidRDefault="00136578" w:rsidP="00136578">
            <w:pPr>
              <w:ind w:left="105" w:right="124"/>
              <w:jc w:val="both"/>
              <w:rPr>
                <w:rFonts w:cs="Arial"/>
                <w:bCs/>
                <w:sz w:val="18"/>
                <w:szCs w:val="18"/>
                <w:lang w:val="es-ES"/>
              </w:rPr>
            </w:pPr>
            <w:r w:rsidRPr="00FB3565">
              <w:rPr>
                <w:rFonts w:cs="Arial"/>
                <w:bCs/>
                <w:sz w:val="18"/>
                <w:szCs w:val="18"/>
                <w:lang w:val="es-ES"/>
              </w:rPr>
              <w:t>Número de pacientes-día de la unidad, en el período de análisis/total de salidas de la unidad, en el período de análisis</w:t>
            </w:r>
            <w:r>
              <w:rPr>
                <w:rFonts w:cs="Arial"/>
                <w:bCs/>
                <w:sz w:val="18"/>
                <w:szCs w:val="18"/>
                <w:lang w:val="es-ES"/>
              </w:rPr>
              <w:t>.</w:t>
            </w:r>
          </w:p>
        </w:tc>
      </w:tr>
      <w:tr w:rsidR="00136578" w:rsidRPr="00FB3565" w14:paraId="14DFC954" w14:textId="77777777" w:rsidTr="00136578">
        <w:trPr>
          <w:cantSplit/>
          <w:trHeight w:val="255"/>
        </w:trPr>
        <w:tc>
          <w:tcPr>
            <w:tcW w:w="1815"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66C2A5CF" w14:textId="77777777" w:rsidR="00136578" w:rsidRPr="00FB3565" w:rsidRDefault="00136578" w:rsidP="00136578">
            <w:pPr>
              <w:ind w:left="90"/>
              <w:rPr>
                <w:rFonts w:cs="Arial"/>
                <w:b/>
                <w:bCs/>
                <w:sz w:val="18"/>
                <w:szCs w:val="18"/>
                <w:lang w:val="es-ES"/>
              </w:rPr>
            </w:pPr>
            <w:r w:rsidRPr="00FB3565">
              <w:rPr>
                <w:rFonts w:cs="Arial"/>
                <w:sz w:val="18"/>
                <w:szCs w:val="18"/>
                <w:lang w:val="es-ES"/>
              </w:rPr>
              <w:t>Número de días para emisión de informe médico para tomografía</w:t>
            </w:r>
            <w:r>
              <w:rPr>
                <w:rFonts w:cs="Arial"/>
                <w:sz w:val="18"/>
                <w:szCs w:val="18"/>
                <w:lang w:val="es-ES"/>
              </w:rPr>
              <w:t>.</w:t>
            </w:r>
            <w:r w:rsidRPr="00FB3565">
              <w:rPr>
                <w:rFonts w:cs="Arial"/>
                <w:sz w:val="18"/>
                <w:szCs w:val="18"/>
                <w:lang w:val="es-ES"/>
              </w:rPr>
              <w:t xml:space="preserve"> </w:t>
            </w:r>
          </w:p>
        </w:tc>
        <w:tc>
          <w:tcPr>
            <w:tcW w:w="1620"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545FF0DB" w14:textId="77777777" w:rsidR="00136578" w:rsidRPr="00FB3565" w:rsidRDefault="00136578" w:rsidP="00136578">
            <w:pPr>
              <w:jc w:val="center"/>
              <w:rPr>
                <w:rFonts w:cs="Arial"/>
                <w:bCs/>
                <w:sz w:val="18"/>
                <w:szCs w:val="18"/>
                <w:lang w:val="es-ES"/>
              </w:rPr>
            </w:pPr>
            <w:r w:rsidRPr="00FB3565">
              <w:rPr>
                <w:rFonts w:cs="Arial"/>
                <w:bCs/>
                <w:sz w:val="18"/>
                <w:szCs w:val="18"/>
                <w:lang w:val="es-ES"/>
              </w:rPr>
              <w:t>15</w:t>
            </w:r>
          </w:p>
          <w:p w14:paraId="7FA7E8A8" w14:textId="77777777" w:rsidR="00136578" w:rsidRPr="00FB3565" w:rsidRDefault="00136578" w:rsidP="00136578">
            <w:pPr>
              <w:jc w:val="center"/>
              <w:rPr>
                <w:rFonts w:cs="Arial"/>
                <w:bCs/>
                <w:sz w:val="18"/>
                <w:szCs w:val="18"/>
                <w:lang w:val="es-ES"/>
              </w:rPr>
            </w:pPr>
            <w:r w:rsidRPr="00FB3565">
              <w:rPr>
                <w:rFonts w:cs="Arial"/>
                <w:bCs/>
                <w:sz w:val="18"/>
                <w:szCs w:val="18"/>
                <w:lang w:val="es-ES"/>
              </w:rPr>
              <w:t>(2014)</w:t>
            </w:r>
          </w:p>
        </w:tc>
        <w:tc>
          <w:tcPr>
            <w:tcW w:w="1890"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bottom w:w="0" w:type="dxa"/>
              <w:right w:w="15" w:type="dxa"/>
            </w:tcMar>
          </w:tcPr>
          <w:p w14:paraId="679572D5" w14:textId="77777777" w:rsidR="00136578" w:rsidRPr="00FB3565" w:rsidRDefault="00136578" w:rsidP="00136578">
            <w:pPr>
              <w:jc w:val="center"/>
              <w:rPr>
                <w:rFonts w:cs="Arial"/>
                <w:bCs/>
                <w:sz w:val="18"/>
                <w:szCs w:val="18"/>
                <w:lang w:val="es-ES"/>
              </w:rPr>
            </w:pPr>
            <w:r w:rsidRPr="00FB3565">
              <w:rPr>
                <w:rFonts w:cs="Arial"/>
                <w:bCs/>
                <w:sz w:val="18"/>
                <w:szCs w:val="18"/>
                <w:lang w:val="es-ES"/>
              </w:rPr>
              <w:t>4</w:t>
            </w:r>
          </w:p>
        </w:tc>
        <w:tc>
          <w:tcPr>
            <w:tcW w:w="117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6B6354AE" w14:textId="77777777" w:rsidR="00136578" w:rsidRPr="00FB3565" w:rsidRDefault="00136578" w:rsidP="00136578">
            <w:pPr>
              <w:jc w:val="center"/>
              <w:rPr>
                <w:rFonts w:cs="Arial"/>
                <w:bCs/>
                <w:sz w:val="18"/>
                <w:szCs w:val="18"/>
                <w:lang w:val="es-ES"/>
              </w:rPr>
            </w:pPr>
            <w:r w:rsidRPr="00FB3565">
              <w:rPr>
                <w:rFonts w:cs="Arial"/>
                <w:bCs/>
                <w:sz w:val="18"/>
                <w:szCs w:val="18"/>
                <w:lang w:val="es-ES"/>
              </w:rPr>
              <w:t xml:space="preserve">SRU/SESA </w:t>
            </w:r>
          </w:p>
        </w:tc>
        <w:tc>
          <w:tcPr>
            <w:tcW w:w="2970" w:type="dxa"/>
            <w:tcBorders>
              <w:top w:val="single" w:sz="4" w:space="0" w:color="auto"/>
              <w:left w:val="nil"/>
              <w:bottom w:val="single" w:sz="4" w:space="0" w:color="auto"/>
              <w:right w:val="single" w:sz="4" w:space="0" w:color="auto"/>
            </w:tcBorders>
            <w:shd w:val="clear" w:color="auto" w:fill="FFFFFF"/>
          </w:tcPr>
          <w:p w14:paraId="5CB4885A" w14:textId="77777777" w:rsidR="00136578" w:rsidRPr="00FB3565" w:rsidRDefault="00136578" w:rsidP="00136578">
            <w:pPr>
              <w:ind w:left="105" w:right="124"/>
              <w:jc w:val="both"/>
              <w:rPr>
                <w:rFonts w:cs="Arial"/>
                <w:bCs/>
                <w:sz w:val="18"/>
                <w:szCs w:val="18"/>
                <w:lang w:val="es-ES"/>
              </w:rPr>
            </w:pPr>
            <w:r w:rsidRPr="00FB3565">
              <w:rPr>
                <w:rFonts w:cs="Arial"/>
                <w:bCs/>
                <w:sz w:val="18"/>
                <w:szCs w:val="18"/>
                <w:lang w:val="es-ES"/>
              </w:rPr>
              <w:t>Número de días entre la fecha del examen de tomografía y la disponibilidad de</w:t>
            </w:r>
            <w:r>
              <w:rPr>
                <w:rFonts w:cs="Arial"/>
                <w:bCs/>
                <w:sz w:val="18"/>
                <w:szCs w:val="18"/>
                <w:lang w:val="es-ES"/>
              </w:rPr>
              <w:t xml:space="preserve"> los</w:t>
            </w:r>
            <w:r w:rsidRPr="00FB3565">
              <w:rPr>
                <w:rFonts w:cs="Arial"/>
                <w:bCs/>
                <w:sz w:val="18"/>
                <w:szCs w:val="18"/>
                <w:lang w:val="es-ES"/>
              </w:rPr>
              <w:t xml:space="preserve"> resultados</w:t>
            </w:r>
            <w:r>
              <w:rPr>
                <w:rFonts w:cs="Arial"/>
                <w:bCs/>
                <w:sz w:val="18"/>
                <w:szCs w:val="18"/>
                <w:lang w:val="es-ES"/>
              </w:rPr>
              <w:t>.</w:t>
            </w:r>
          </w:p>
        </w:tc>
      </w:tr>
      <w:tr w:rsidR="00136578" w:rsidRPr="00FB3565" w14:paraId="0A685A93" w14:textId="77777777" w:rsidTr="00136578">
        <w:trPr>
          <w:cantSplit/>
          <w:trHeight w:val="255"/>
        </w:trPr>
        <w:tc>
          <w:tcPr>
            <w:tcW w:w="1815"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683B4CD1" w14:textId="77777777" w:rsidR="00136578" w:rsidRPr="00FB3565" w:rsidRDefault="00136578" w:rsidP="00136578">
            <w:pPr>
              <w:ind w:left="90"/>
              <w:rPr>
                <w:rFonts w:cs="Arial"/>
                <w:b/>
                <w:bCs/>
                <w:sz w:val="18"/>
                <w:szCs w:val="18"/>
                <w:lang w:val="es-ES"/>
              </w:rPr>
            </w:pPr>
            <w:r w:rsidRPr="00FB3565">
              <w:rPr>
                <w:rFonts w:cs="Arial"/>
                <w:sz w:val="18"/>
                <w:szCs w:val="18"/>
                <w:lang w:val="es-ES"/>
              </w:rPr>
              <w:t>Tiempo-respuesta (días) para los exámenes de laboratorio en la red pública de Ceará</w:t>
            </w:r>
            <w:r w:rsidRPr="00FB3565">
              <w:rPr>
                <w:rStyle w:val="FootnoteReference"/>
                <w:rFonts w:ascii="Arial" w:hAnsi="Arial" w:cs="Arial"/>
                <w:sz w:val="18"/>
                <w:szCs w:val="18"/>
                <w:lang w:val="es-ES"/>
              </w:rPr>
              <w:footnoteReference w:id="27"/>
            </w:r>
            <w:r>
              <w:rPr>
                <w:rFonts w:cs="Arial"/>
                <w:sz w:val="18"/>
                <w:szCs w:val="18"/>
                <w:lang w:val="es-ES"/>
              </w:rPr>
              <w:t>.</w:t>
            </w:r>
          </w:p>
        </w:tc>
        <w:tc>
          <w:tcPr>
            <w:tcW w:w="1620"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45FEDBB2" w14:textId="77777777" w:rsidR="00136578" w:rsidRPr="00FB3565" w:rsidRDefault="00136578" w:rsidP="00136578">
            <w:pPr>
              <w:jc w:val="center"/>
              <w:rPr>
                <w:rFonts w:cs="Arial"/>
                <w:bCs/>
                <w:sz w:val="18"/>
                <w:szCs w:val="18"/>
                <w:lang w:val="es-ES"/>
              </w:rPr>
            </w:pPr>
            <w:r w:rsidRPr="00FB3565">
              <w:rPr>
                <w:rFonts w:cs="Arial"/>
                <w:bCs/>
                <w:sz w:val="18"/>
                <w:szCs w:val="18"/>
                <w:lang w:val="es-ES"/>
              </w:rPr>
              <w:t>7</w:t>
            </w:r>
          </w:p>
          <w:p w14:paraId="5D3F1979" w14:textId="77777777" w:rsidR="00136578" w:rsidRPr="00FB3565" w:rsidRDefault="00136578" w:rsidP="00136578">
            <w:pPr>
              <w:jc w:val="center"/>
              <w:rPr>
                <w:rFonts w:cs="Arial"/>
                <w:bCs/>
                <w:sz w:val="18"/>
                <w:szCs w:val="18"/>
                <w:lang w:val="es-ES"/>
              </w:rPr>
            </w:pPr>
            <w:r w:rsidRPr="00FB3565">
              <w:rPr>
                <w:rFonts w:cs="Arial"/>
                <w:bCs/>
                <w:sz w:val="18"/>
                <w:szCs w:val="18"/>
                <w:lang w:val="es-ES"/>
              </w:rPr>
              <w:t>(2014)</w:t>
            </w:r>
          </w:p>
        </w:tc>
        <w:tc>
          <w:tcPr>
            <w:tcW w:w="1890"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bottom w:w="0" w:type="dxa"/>
              <w:right w:w="15" w:type="dxa"/>
            </w:tcMar>
          </w:tcPr>
          <w:p w14:paraId="58C120AE" w14:textId="77777777" w:rsidR="00136578" w:rsidRPr="00FB3565" w:rsidRDefault="00136578" w:rsidP="00136578">
            <w:pPr>
              <w:jc w:val="center"/>
              <w:rPr>
                <w:rFonts w:cs="Arial"/>
                <w:bCs/>
                <w:sz w:val="18"/>
                <w:szCs w:val="18"/>
                <w:lang w:val="es-ES"/>
              </w:rPr>
            </w:pPr>
            <w:r w:rsidRPr="00FB3565">
              <w:rPr>
                <w:rFonts w:cs="Arial"/>
                <w:bCs/>
                <w:sz w:val="18"/>
                <w:szCs w:val="18"/>
                <w:lang w:val="es-ES"/>
              </w:rPr>
              <w:t>3</w:t>
            </w:r>
          </w:p>
        </w:tc>
        <w:tc>
          <w:tcPr>
            <w:tcW w:w="117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040F985E" w14:textId="77777777" w:rsidR="00136578" w:rsidRPr="00FB3565" w:rsidRDefault="00136578" w:rsidP="00136578">
            <w:pPr>
              <w:jc w:val="center"/>
              <w:rPr>
                <w:rFonts w:cs="Arial"/>
                <w:bCs/>
                <w:sz w:val="18"/>
                <w:szCs w:val="18"/>
                <w:lang w:val="es-ES"/>
              </w:rPr>
            </w:pPr>
            <w:r w:rsidRPr="00FB3565">
              <w:rPr>
                <w:rFonts w:cs="Arial"/>
                <w:bCs/>
                <w:sz w:val="18"/>
                <w:szCs w:val="18"/>
                <w:lang w:val="es-ES"/>
              </w:rPr>
              <w:t xml:space="preserve">SRU/SESA </w:t>
            </w:r>
          </w:p>
        </w:tc>
        <w:tc>
          <w:tcPr>
            <w:tcW w:w="2970" w:type="dxa"/>
            <w:tcBorders>
              <w:top w:val="single" w:sz="4" w:space="0" w:color="auto"/>
              <w:left w:val="nil"/>
              <w:bottom w:val="single" w:sz="4" w:space="0" w:color="auto"/>
              <w:right w:val="single" w:sz="4" w:space="0" w:color="auto"/>
            </w:tcBorders>
            <w:shd w:val="clear" w:color="auto" w:fill="FFFFFF"/>
          </w:tcPr>
          <w:p w14:paraId="655509DD" w14:textId="77777777" w:rsidR="00136578" w:rsidRPr="00FB3565" w:rsidRDefault="00136578" w:rsidP="00136578">
            <w:pPr>
              <w:ind w:left="105" w:right="124"/>
              <w:jc w:val="both"/>
              <w:rPr>
                <w:rFonts w:cs="Arial"/>
                <w:bCs/>
                <w:sz w:val="18"/>
                <w:szCs w:val="18"/>
                <w:lang w:val="es-ES"/>
              </w:rPr>
            </w:pPr>
            <w:r w:rsidRPr="00FB3565">
              <w:rPr>
                <w:rFonts w:cs="Arial"/>
                <w:bCs/>
                <w:sz w:val="18"/>
                <w:szCs w:val="18"/>
                <w:lang w:val="es-ES"/>
              </w:rPr>
              <w:t>Número de días entre la fecha del examen de laboratorio y la disponibilidad de los resultados</w:t>
            </w:r>
            <w:r>
              <w:rPr>
                <w:rFonts w:cs="Arial"/>
                <w:bCs/>
                <w:sz w:val="18"/>
                <w:szCs w:val="18"/>
                <w:lang w:val="es-ES"/>
              </w:rPr>
              <w:t>.</w:t>
            </w:r>
          </w:p>
        </w:tc>
      </w:tr>
    </w:tbl>
    <w:p w14:paraId="60677378" w14:textId="77777777" w:rsidR="00A91C8E" w:rsidRDefault="00A91C8E" w:rsidP="00CB3D3A">
      <w:pPr>
        <w:jc w:val="both"/>
        <w:rPr>
          <w:rFonts w:cs="Arial"/>
          <w:sz w:val="22"/>
          <w:szCs w:val="22"/>
          <w:lang w:val="es-ES"/>
        </w:rPr>
      </w:pPr>
    </w:p>
    <w:p w14:paraId="70F0B5E9" w14:textId="77777777" w:rsidR="00DB373A" w:rsidRPr="00E52C43" w:rsidRDefault="009060D5" w:rsidP="009060D5">
      <w:pPr>
        <w:jc w:val="both"/>
        <w:rPr>
          <w:rFonts w:cs="Arial"/>
          <w:sz w:val="22"/>
          <w:szCs w:val="22"/>
          <w:lang w:val="es-ES"/>
        </w:rPr>
      </w:pPr>
      <w:r w:rsidRPr="00E52C43">
        <w:rPr>
          <w:rFonts w:cs="Arial"/>
          <w:sz w:val="22"/>
          <w:szCs w:val="22"/>
          <w:lang w:val="es-ES"/>
        </w:rPr>
        <w:t xml:space="preserve">Los indicadores de resultados finales apuntan </w:t>
      </w:r>
      <w:r w:rsidR="003F578F" w:rsidRPr="00E52C43">
        <w:rPr>
          <w:rFonts w:cs="Arial"/>
          <w:sz w:val="22"/>
          <w:szCs w:val="22"/>
          <w:lang w:val="es-ES"/>
        </w:rPr>
        <w:t xml:space="preserve">a medir </w:t>
      </w:r>
      <w:r w:rsidRPr="00E52C43">
        <w:rPr>
          <w:rFonts w:cs="Arial"/>
          <w:sz w:val="22"/>
          <w:szCs w:val="22"/>
          <w:lang w:val="es-ES"/>
        </w:rPr>
        <w:t xml:space="preserve">avances substantivos en los resultados de salud: </w:t>
      </w:r>
      <w:r w:rsidR="00136578" w:rsidRPr="00136578">
        <w:rPr>
          <w:rFonts w:cs="Arial"/>
          <w:sz w:val="22"/>
          <w:szCs w:val="22"/>
          <w:lang w:val="es-ES"/>
        </w:rPr>
        <w:t>reducción en internaciones de población menor de 60 años por diabetes mellitus y de las internaciones por causas sensibles a la atención primaria</w:t>
      </w:r>
      <w:r w:rsidR="00136578" w:rsidRPr="00E52C43">
        <w:rPr>
          <w:rFonts w:cs="Arial"/>
          <w:sz w:val="22"/>
          <w:szCs w:val="22"/>
          <w:lang w:val="es-ES"/>
        </w:rPr>
        <w:t xml:space="preserve"> </w:t>
      </w:r>
      <w:r w:rsidRPr="00E52C43">
        <w:rPr>
          <w:rFonts w:cs="Arial"/>
          <w:sz w:val="22"/>
          <w:szCs w:val="22"/>
          <w:lang w:val="es-ES"/>
        </w:rPr>
        <w:t xml:space="preserve">como resultado de la implementación de las líneas de cuidado correspondientes, y también indicadores sobre los resultados esperados por la implementación de la Red Cigüeña. </w:t>
      </w:r>
      <w:r w:rsidR="00DB373A" w:rsidRPr="00E52C43">
        <w:rPr>
          <w:rFonts w:cs="Arial"/>
          <w:sz w:val="22"/>
          <w:szCs w:val="22"/>
          <w:lang w:val="es-ES"/>
        </w:rPr>
        <w:t>Finalmente, los indicadores de resultados intermedios buscan dar cuenta de mejoras en la gestión, que se reflejan principalmente en reducciones en los tiempos de espera</w:t>
      </w:r>
      <w:r w:rsidR="005C4277">
        <w:rPr>
          <w:rFonts w:cs="Arial"/>
          <w:sz w:val="22"/>
          <w:szCs w:val="22"/>
          <w:lang w:val="es-ES"/>
        </w:rPr>
        <w:t>.</w:t>
      </w:r>
    </w:p>
    <w:p w14:paraId="5D7FA1CE" w14:textId="77777777" w:rsidR="00DB373A" w:rsidRPr="00E52C43" w:rsidRDefault="00DB373A" w:rsidP="00A97923">
      <w:pPr>
        <w:pStyle w:val="Heading4"/>
        <w:numPr>
          <w:ilvl w:val="0"/>
          <w:numId w:val="10"/>
        </w:numPr>
        <w:spacing w:before="240" w:after="240"/>
        <w:rPr>
          <w:rFonts w:ascii="Arial" w:hAnsi="Arial" w:cs="Arial"/>
          <w:noProof w:val="0"/>
          <w:sz w:val="22"/>
          <w:szCs w:val="22"/>
        </w:rPr>
      </w:pPr>
      <w:r w:rsidRPr="00E52C43">
        <w:rPr>
          <w:rFonts w:ascii="Arial" w:hAnsi="Arial" w:cs="Arial"/>
          <w:noProof w:val="0"/>
          <w:sz w:val="22"/>
          <w:szCs w:val="22"/>
        </w:rPr>
        <w:t>Presentación de informes y cronogramas</w:t>
      </w:r>
    </w:p>
    <w:p w14:paraId="046F46EA" w14:textId="77777777" w:rsidR="00DB373A" w:rsidRPr="00E52C43" w:rsidRDefault="00DB373A" w:rsidP="00DB373A">
      <w:pPr>
        <w:pStyle w:val="AutoNumpara"/>
        <w:numPr>
          <w:ilvl w:val="0"/>
          <w:numId w:val="0"/>
        </w:numPr>
        <w:rPr>
          <w:rFonts w:cs="Arial"/>
          <w:noProof w:val="0"/>
          <w:sz w:val="22"/>
          <w:szCs w:val="22"/>
          <w:lang w:val="es-ES"/>
        </w:rPr>
      </w:pPr>
      <w:r w:rsidRPr="00E52C43">
        <w:rPr>
          <w:rFonts w:cs="Arial"/>
          <w:noProof w:val="0"/>
          <w:sz w:val="22"/>
          <w:szCs w:val="22"/>
          <w:lang w:val="es-ES"/>
        </w:rPr>
        <w:t xml:space="preserve">El monitoreo por parte de la UGP se realizará sobre los indicadores presentados en la matriz de resultados, además de los instrumentos que se describen a continuación. La experiencia con la UGP en el proyecto en ejecución </w:t>
      </w:r>
      <w:r w:rsidR="00140BAD" w:rsidRPr="00E52C43">
        <w:rPr>
          <w:rFonts w:cs="Arial"/>
          <w:noProof w:val="0"/>
          <w:sz w:val="22"/>
          <w:szCs w:val="22"/>
          <w:lang w:val="es-ES"/>
        </w:rPr>
        <w:t>2137</w:t>
      </w:r>
      <w:r w:rsidRPr="00E52C43">
        <w:rPr>
          <w:rFonts w:cs="Arial"/>
          <w:noProof w:val="0"/>
          <w:sz w:val="22"/>
          <w:szCs w:val="22"/>
          <w:lang w:val="es-ES"/>
        </w:rPr>
        <w:t xml:space="preserve">/OC-BR </w:t>
      </w:r>
      <w:r w:rsidR="00140BAD" w:rsidRPr="00E52C43">
        <w:rPr>
          <w:rFonts w:cs="Arial"/>
          <w:noProof w:val="0"/>
          <w:sz w:val="22"/>
          <w:szCs w:val="22"/>
          <w:lang w:val="es-ES"/>
        </w:rPr>
        <w:t xml:space="preserve">si bien ha presentado demoras en la implementación en el ámbito de reportes se ha desarrollado experiencia para trabajar con el Banco </w:t>
      </w:r>
      <w:r w:rsidRPr="00E52C43">
        <w:rPr>
          <w:rFonts w:cs="Arial"/>
          <w:noProof w:val="0"/>
          <w:sz w:val="22"/>
          <w:szCs w:val="22"/>
          <w:lang w:val="es-ES"/>
        </w:rPr>
        <w:t>y cumplir con los requisitos de información.</w:t>
      </w:r>
    </w:p>
    <w:p w14:paraId="3C0021C6" w14:textId="77777777" w:rsidR="00DB373A" w:rsidRPr="00E52C43" w:rsidRDefault="00DB373A" w:rsidP="00DB373A">
      <w:pPr>
        <w:pStyle w:val="AutoNumpara"/>
        <w:numPr>
          <w:ilvl w:val="0"/>
          <w:numId w:val="0"/>
        </w:numPr>
        <w:rPr>
          <w:rFonts w:cs="Arial"/>
          <w:noProof w:val="0"/>
          <w:sz w:val="22"/>
          <w:szCs w:val="22"/>
          <w:lang w:val="es-ES"/>
        </w:rPr>
      </w:pPr>
      <w:r w:rsidRPr="00E52C43">
        <w:rPr>
          <w:rFonts w:cs="Arial"/>
          <w:noProof w:val="0"/>
          <w:sz w:val="22"/>
          <w:szCs w:val="22"/>
          <w:u w:val="single"/>
          <w:lang w:val="es-ES"/>
        </w:rPr>
        <w:t>Plan Operativo  Anual (POA):</w:t>
      </w:r>
      <w:r w:rsidRPr="00E52C43">
        <w:rPr>
          <w:rFonts w:cs="Arial"/>
          <w:noProof w:val="0"/>
          <w:sz w:val="22"/>
          <w:szCs w:val="22"/>
          <w:lang w:val="es-ES"/>
        </w:rPr>
        <w:t xml:space="preserve"> El Equipo del Banco y la UGP elaboraron el presupuesto detallado, a nivel de actividades, y su correspondiente Plan de Adquisiciones  para los 18 meses de ejecución, que contiene: (i) los contratos y montos particulares para el pago de obras, adquisiciones de bienes y servicios requeridos; (ii) los métodos propuestos para las contrataciones de obras, </w:t>
      </w:r>
      <w:r w:rsidR="00E52C43" w:rsidRPr="00E52C43">
        <w:rPr>
          <w:rFonts w:cs="Arial"/>
          <w:noProof w:val="0"/>
          <w:sz w:val="22"/>
          <w:szCs w:val="22"/>
          <w:lang w:val="es-ES"/>
        </w:rPr>
        <w:t>adquisiciones</w:t>
      </w:r>
      <w:r w:rsidRPr="00E52C43">
        <w:rPr>
          <w:rFonts w:cs="Arial"/>
          <w:noProof w:val="0"/>
          <w:sz w:val="22"/>
          <w:szCs w:val="22"/>
          <w:lang w:val="es-ES"/>
        </w:rPr>
        <w:t xml:space="preserve"> de bienes, y para la selección de los prestadores de servicios; y (iii) los procedimientos aplicados por el Banco para el examen de los procedimientos de contratación. El POA será actualizado anualmente y revisado cada seis meses.</w:t>
      </w:r>
    </w:p>
    <w:p w14:paraId="6C1C8D8E" w14:textId="77777777" w:rsidR="00DB373A" w:rsidRPr="00E52C43" w:rsidRDefault="00DB373A" w:rsidP="00DB373A">
      <w:pPr>
        <w:pStyle w:val="AutoNumpara"/>
        <w:numPr>
          <w:ilvl w:val="0"/>
          <w:numId w:val="0"/>
        </w:numPr>
        <w:rPr>
          <w:rFonts w:cs="Arial"/>
          <w:noProof w:val="0"/>
          <w:sz w:val="22"/>
          <w:szCs w:val="22"/>
          <w:lang w:val="es-ES"/>
        </w:rPr>
      </w:pPr>
      <w:r w:rsidRPr="00E52C43">
        <w:rPr>
          <w:rFonts w:cs="Arial"/>
          <w:bCs/>
          <w:noProof w:val="0"/>
          <w:sz w:val="22"/>
          <w:szCs w:val="22"/>
          <w:u w:val="single"/>
          <w:lang w:val="es-ES"/>
        </w:rPr>
        <w:t xml:space="preserve"> Informes Semestrales de Avance</w:t>
      </w:r>
      <w:r w:rsidRPr="00E52C43">
        <w:rPr>
          <w:rFonts w:cs="Arial"/>
          <w:noProof w:val="0"/>
          <w:sz w:val="22"/>
          <w:szCs w:val="22"/>
          <w:u w:val="single"/>
          <w:lang w:val="es-ES"/>
        </w:rPr>
        <w:t>:</w:t>
      </w:r>
      <w:r w:rsidRPr="00E52C43">
        <w:rPr>
          <w:rFonts w:cs="Arial"/>
          <w:noProof w:val="0"/>
          <w:sz w:val="22"/>
          <w:szCs w:val="22"/>
          <w:lang w:val="es-ES"/>
        </w:rPr>
        <w:t xml:space="preserve"> El informe semestral sobre el progreso en la ejecución presentará una síntesis de los resultados alcanzados por componentes, analizando, además los riesgos del Programa. Presentarán además una visión consolidada de lecciones aprendidas, y conclusiones y recomendaciones destinadas a retroalimentar o Programa. Con base a estos informes se realizarán reuniones de evaluación conjunta entre el ejecutor y el Banco dentro de los 60 días posteriores a su recepción. </w:t>
      </w:r>
    </w:p>
    <w:p w14:paraId="1E6F7E9E" w14:textId="77777777" w:rsidR="00DB373A" w:rsidRPr="00E52C43" w:rsidRDefault="00DB373A" w:rsidP="00DB373A">
      <w:pPr>
        <w:pStyle w:val="AutoNumpara"/>
        <w:numPr>
          <w:ilvl w:val="0"/>
          <w:numId w:val="0"/>
        </w:numPr>
        <w:rPr>
          <w:rFonts w:cs="Arial"/>
          <w:bCs/>
          <w:noProof w:val="0"/>
          <w:sz w:val="22"/>
          <w:szCs w:val="22"/>
          <w:lang w:val="es-ES"/>
        </w:rPr>
      </w:pPr>
      <w:r w:rsidRPr="00E52C43">
        <w:rPr>
          <w:rFonts w:cs="Arial"/>
          <w:noProof w:val="0"/>
          <w:sz w:val="22"/>
          <w:szCs w:val="22"/>
          <w:u w:val="single"/>
          <w:lang w:val="es-ES"/>
        </w:rPr>
        <w:lastRenderedPageBreak/>
        <w:t>Auditoría Financiera Anual:</w:t>
      </w:r>
      <w:r w:rsidRPr="00E52C43">
        <w:rPr>
          <w:rFonts w:cs="Arial"/>
          <w:noProof w:val="0"/>
          <w:sz w:val="22"/>
          <w:szCs w:val="22"/>
          <w:lang w:val="es-ES"/>
        </w:rPr>
        <w:t xml:space="preserve"> </w:t>
      </w:r>
      <w:r w:rsidR="002E2259" w:rsidRPr="00C03B7C">
        <w:rPr>
          <w:rFonts w:cs="Arial"/>
          <w:sz w:val="22"/>
          <w:szCs w:val="22"/>
        </w:rPr>
        <w:t>Los estados financieros del programa serán auditados anualmente por el Tribunal de Cuentas del Estado de Ceará y, en caso de su indisponibilidad, por una firma de auditoría externa independiente aceptable por el Banco, a ser contratada por el ejecutor</w:t>
      </w:r>
      <w:r w:rsidR="002E2259" w:rsidRPr="000A45A2">
        <w:rPr>
          <w:rFonts w:cs="Arial"/>
          <w:noProof w:val="0"/>
          <w:sz w:val="22"/>
          <w:szCs w:val="22"/>
          <w:lang w:val="es-ES"/>
        </w:rPr>
        <w:t xml:space="preserve">. </w:t>
      </w:r>
      <w:r w:rsidRPr="00E52C43">
        <w:rPr>
          <w:rFonts w:cs="Arial"/>
          <w:noProof w:val="0"/>
          <w:sz w:val="22"/>
          <w:szCs w:val="22"/>
          <w:lang w:val="es-ES"/>
        </w:rPr>
        <w:t>Los informes de esta auditoría servirán para adoptar decisiones en materia de reforzamiento de los sistemas de control interno, de ajuste en los esquemas de operación a nivel central, regional y local, la adopción de lecciones aprendidas y buenas prácticas en los procesos y procedimientos operativos a nivel de la prestación de servicios básicos de salud.</w:t>
      </w:r>
    </w:p>
    <w:p w14:paraId="36593AF5" w14:textId="77777777" w:rsidR="00DB373A" w:rsidRPr="00E52C43" w:rsidRDefault="00DB373A" w:rsidP="00DB373A">
      <w:pPr>
        <w:pStyle w:val="AutoNumpara"/>
        <w:numPr>
          <w:ilvl w:val="0"/>
          <w:numId w:val="0"/>
        </w:numPr>
        <w:rPr>
          <w:rFonts w:cs="Arial"/>
          <w:noProof w:val="0"/>
          <w:sz w:val="22"/>
          <w:szCs w:val="22"/>
          <w:lang w:val="es-ES"/>
        </w:rPr>
      </w:pPr>
      <w:r w:rsidRPr="00E52C43">
        <w:rPr>
          <w:rFonts w:cs="Arial"/>
          <w:bCs/>
          <w:noProof w:val="0"/>
          <w:sz w:val="22"/>
          <w:szCs w:val="22"/>
          <w:u w:val="single"/>
          <w:lang w:val="es-ES"/>
        </w:rPr>
        <w:t>Informe de Progreso del Monitoreo (PMR)</w:t>
      </w:r>
      <w:r w:rsidRPr="00E52C43">
        <w:rPr>
          <w:rFonts w:cs="Arial"/>
          <w:bCs/>
          <w:noProof w:val="0"/>
          <w:sz w:val="22"/>
          <w:szCs w:val="22"/>
          <w:lang w:val="es-ES"/>
        </w:rPr>
        <w:t xml:space="preserve">: </w:t>
      </w:r>
      <w:r w:rsidRPr="00E52C43">
        <w:rPr>
          <w:rFonts w:cs="Arial"/>
          <w:noProof w:val="0"/>
          <w:sz w:val="22"/>
          <w:szCs w:val="22"/>
          <w:lang w:val="es-ES"/>
        </w:rPr>
        <w:t xml:space="preserve">El desarrollo </w:t>
      </w:r>
      <w:r w:rsidR="00E52C43" w:rsidRPr="00E52C43">
        <w:rPr>
          <w:rFonts w:cs="Arial"/>
          <w:noProof w:val="0"/>
          <w:sz w:val="22"/>
          <w:szCs w:val="22"/>
          <w:lang w:val="es-ES"/>
        </w:rPr>
        <w:t>de</w:t>
      </w:r>
      <w:r w:rsidRPr="00E52C43">
        <w:rPr>
          <w:rFonts w:cs="Arial"/>
          <w:noProof w:val="0"/>
          <w:sz w:val="22"/>
          <w:szCs w:val="22"/>
          <w:lang w:val="es-ES"/>
        </w:rPr>
        <w:t xml:space="preserve"> la actividad de seguimiento está asociado directamente con las metas propuestas en la Matriz de Resultados del programa y las actividades establecidas en el PMR. La matriz de resultados incluye indicadores que tienen que ver con los resultados últimos esperados (indicadores de impacto), con resultados intermedios (indicadores de efectos) y con actividades/procesos (indicadores de productos y resultados) que se ejecutarán durante el desarrollo del programa.  Estas actividades se reflejarán en el PMR como herramienta que integra la información de metas a corto y mediano plazo, el plan de adquisiciones y los recursos disponibles.  La información necesaria para el PMR </w:t>
      </w:r>
      <w:r w:rsidR="00E52C43" w:rsidRPr="00E52C43">
        <w:rPr>
          <w:rFonts w:cs="Arial"/>
          <w:noProof w:val="0"/>
          <w:sz w:val="22"/>
          <w:szCs w:val="22"/>
          <w:lang w:val="es-ES"/>
        </w:rPr>
        <w:t>tendrá</w:t>
      </w:r>
      <w:r w:rsidRPr="00E52C43">
        <w:rPr>
          <w:rFonts w:cs="Arial"/>
          <w:noProof w:val="0"/>
          <w:sz w:val="22"/>
          <w:szCs w:val="22"/>
          <w:lang w:val="es-ES"/>
        </w:rPr>
        <w:t xml:space="preserve"> una periodicidad semestral.</w:t>
      </w:r>
    </w:p>
    <w:p w14:paraId="18378E64" w14:textId="77777777" w:rsidR="00DB373A" w:rsidRPr="00E52C43" w:rsidRDefault="00DB373A" w:rsidP="00DB373A">
      <w:pPr>
        <w:pStyle w:val="AutoNumpara"/>
        <w:numPr>
          <w:ilvl w:val="0"/>
          <w:numId w:val="0"/>
        </w:numPr>
        <w:rPr>
          <w:rFonts w:cs="Arial"/>
          <w:bCs/>
          <w:noProof w:val="0"/>
          <w:sz w:val="22"/>
          <w:szCs w:val="22"/>
          <w:lang w:val="es-ES"/>
        </w:rPr>
      </w:pPr>
      <w:r w:rsidRPr="00E52C43">
        <w:rPr>
          <w:rFonts w:cs="Arial"/>
          <w:bCs/>
          <w:noProof w:val="0"/>
          <w:sz w:val="22"/>
          <w:szCs w:val="22"/>
          <w:u w:val="single"/>
          <w:lang w:val="es-ES"/>
        </w:rPr>
        <w:t>Informe de Terminación de Proyecto (PCR):</w:t>
      </w:r>
      <w:r w:rsidRPr="00E52C43">
        <w:rPr>
          <w:rFonts w:cs="Arial"/>
          <w:bCs/>
          <w:noProof w:val="0"/>
          <w:sz w:val="22"/>
          <w:szCs w:val="22"/>
          <w:lang w:val="es-ES"/>
        </w:rPr>
        <w:t xml:space="preserve"> Al cierre de proyecto s</w:t>
      </w:r>
      <w:r w:rsidRPr="00E52C43">
        <w:rPr>
          <w:rFonts w:cs="Arial"/>
          <w:noProof w:val="0"/>
          <w:sz w:val="22"/>
          <w:szCs w:val="22"/>
          <w:lang w:val="es-ES"/>
        </w:rPr>
        <w:t xml:space="preserve">erá elaborado por el equipo del Banco el documento PCR, con una evaluación ampliada de los progresos de los indicadores </w:t>
      </w:r>
      <w:r w:rsidR="00E52C43" w:rsidRPr="00E52C43">
        <w:rPr>
          <w:rFonts w:cs="Arial"/>
          <w:noProof w:val="0"/>
          <w:sz w:val="22"/>
          <w:szCs w:val="22"/>
          <w:lang w:val="es-ES"/>
        </w:rPr>
        <w:t>establecidos</w:t>
      </w:r>
      <w:r w:rsidRPr="00E52C43">
        <w:rPr>
          <w:rFonts w:cs="Arial"/>
          <w:noProof w:val="0"/>
          <w:sz w:val="22"/>
          <w:szCs w:val="22"/>
          <w:lang w:val="es-ES"/>
        </w:rPr>
        <w:t xml:space="preserve"> en la matriz de resultados durante el ciclo de vida del préstamo, que incluirá los resultados y aprendizajes de la implementación del proyecto.</w:t>
      </w:r>
    </w:p>
    <w:p w14:paraId="265E4D73" w14:textId="77777777" w:rsidR="00DB373A" w:rsidRPr="00E52C43" w:rsidRDefault="00DB373A" w:rsidP="007C7CD4">
      <w:pPr>
        <w:pStyle w:val="Heading4"/>
        <w:numPr>
          <w:ilvl w:val="0"/>
          <w:numId w:val="10"/>
        </w:numPr>
        <w:rPr>
          <w:rFonts w:ascii="Arial" w:hAnsi="Arial" w:cs="Arial"/>
          <w:noProof w:val="0"/>
          <w:sz w:val="22"/>
          <w:szCs w:val="22"/>
        </w:rPr>
      </w:pPr>
      <w:r w:rsidRPr="00E52C43">
        <w:rPr>
          <w:rFonts w:ascii="Arial" w:hAnsi="Arial" w:cs="Arial"/>
          <w:noProof w:val="0"/>
          <w:sz w:val="22"/>
          <w:szCs w:val="22"/>
        </w:rPr>
        <w:t>Responsables y presupuesto</w:t>
      </w:r>
    </w:p>
    <w:p w14:paraId="0ACDF452" w14:textId="77777777" w:rsidR="00DB373A" w:rsidRPr="00E52C43" w:rsidRDefault="00DB373A" w:rsidP="00DB373A">
      <w:pPr>
        <w:pStyle w:val="AutoNumpara"/>
        <w:numPr>
          <w:ilvl w:val="0"/>
          <w:numId w:val="0"/>
        </w:numPr>
        <w:rPr>
          <w:rFonts w:cs="Arial"/>
          <w:bCs/>
          <w:noProof w:val="0"/>
          <w:sz w:val="22"/>
          <w:szCs w:val="22"/>
          <w:lang w:val="es-ES"/>
        </w:rPr>
      </w:pPr>
      <w:r w:rsidRPr="00E52C43">
        <w:rPr>
          <w:rFonts w:cs="Arial"/>
          <w:noProof w:val="0"/>
          <w:sz w:val="22"/>
          <w:szCs w:val="22"/>
          <w:lang w:val="es-ES"/>
        </w:rPr>
        <w:t>La coordinación de monitoreo de la UGP consolidará la información producida durante la implementación sobre los indicadores de productos consignados en la MR y en los otros instrumentos de monitoreo, siendo responsable de generar y presentar los informes de manera oportuna según el cronograma.</w:t>
      </w:r>
    </w:p>
    <w:p w14:paraId="1A22A277" w14:textId="77777777" w:rsidR="00DB373A" w:rsidRPr="00E52C43" w:rsidRDefault="00DB373A" w:rsidP="00B91502">
      <w:pPr>
        <w:pStyle w:val="AutoNumpara"/>
        <w:numPr>
          <w:ilvl w:val="0"/>
          <w:numId w:val="0"/>
        </w:numPr>
        <w:tabs>
          <w:tab w:val="left" w:pos="720"/>
        </w:tabs>
        <w:rPr>
          <w:rFonts w:cs="Arial"/>
          <w:smallCaps/>
          <w:noProof w:val="0"/>
          <w:sz w:val="22"/>
          <w:szCs w:val="22"/>
          <w:lang w:val="es-ES"/>
        </w:rPr>
      </w:pPr>
      <w:r w:rsidRPr="00E52C43">
        <w:rPr>
          <w:rFonts w:cs="Arial"/>
          <w:noProof w:val="0"/>
          <w:sz w:val="22"/>
          <w:szCs w:val="22"/>
          <w:lang w:val="es-ES"/>
        </w:rPr>
        <w:t xml:space="preserve">Los recursos específicos para actividades de monitoreo están considerados dentro del presupuesto de la UGP y detallados en el POA del proyecto. La UCP tendrá una coordinación técnica que contará con el apoyo de un especialista en monitoreo y evaluación, encargado de supervisar directamente estos procesos. </w:t>
      </w:r>
    </w:p>
    <w:p w14:paraId="3DBF7D4E" w14:textId="77777777" w:rsidR="00B91502" w:rsidRPr="00E52C43" w:rsidRDefault="00B91502" w:rsidP="007C7CD4">
      <w:pPr>
        <w:pStyle w:val="Heading1"/>
        <w:numPr>
          <w:ilvl w:val="0"/>
          <w:numId w:val="12"/>
        </w:numPr>
        <w:jc w:val="left"/>
        <w:rPr>
          <w:rFonts w:ascii="Arial" w:hAnsi="Arial" w:cs="Arial"/>
          <w:smallCaps w:val="0"/>
          <w:noProof w:val="0"/>
          <w:sz w:val="22"/>
          <w:szCs w:val="22"/>
        </w:rPr>
      </w:pPr>
      <w:r w:rsidRPr="00E52C43">
        <w:rPr>
          <w:rFonts w:ascii="Arial" w:hAnsi="Arial" w:cs="Arial"/>
          <w:smallCaps w:val="0"/>
          <w:noProof w:val="0"/>
          <w:sz w:val="22"/>
          <w:szCs w:val="22"/>
        </w:rPr>
        <w:t>Evaluación</w:t>
      </w:r>
    </w:p>
    <w:p w14:paraId="7636FD83" w14:textId="77777777" w:rsidR="00B91502" w:rsidRPr="00E52C43" w:rsidRDefault="007C7CD4" w:rsidP="007C7CD4">
      <w:pPr>
        <w:pStyle w:val="Heading4"/>
        <w:numPr>
          <w:ilvl w:val="0"/>
          <w:numId w:val="0"/>
        </w:numPr>
        <w:tabs>
          <w:tab w:val="left" w:pos="540"/>
        </w:tabs>
        <w:rPr>
          <w:rFonts w:ascii="Arial" w:hAnsi="Arial" w:cs="Arial"/>
          <w:noProof w:val="0"/>
          <w:sz w:val="22"/>
          <w:szCs w:val="22"/>
        </w:rPr>
      </w:pPr>
      <w:r w:rsidRPr="00E52C43">
        <w:rPr>
          <w:rFonts w:ascii="Arial" w:hAnsi="Arial" w:cs="Arial"/>
          <w:noProof w:val="0"/>
          <w:sz w:val="22"/>
          <w:szCs w:val="22"/>
        </w:rPr>
        <w:t>A.</w:t>
      </w:r>
      <w:r w:rsidRPr="00E52C43">
        <w:rPr>
          <w:rFonts w:ascii="Arial" w:hAnsi="Arial" w:cs="Arial"/>
          <w:noProof w:val="0"/>
          <w:sz w:val="22"/>
          <w:szCs w:val="22"/>
        </w:rPr>
        <w:tab/>
      </w:r>
      <w:r w:rsidR="00B91502" w:rsidRPr="00E52C43">
        <w:rPr>
          <w:rFonts w:ascii="Arial" w:hAnsi="Arial" w:cs="Arial"/>
          <w:noProof w:val="0"/>
          <w:sz w:val="22"/>
          <w:szCs w:val="22"/>
        </w:rPr>
        <w:t xml:space="preserve"> Principales Indicadores</w:t>
      </w:r>
    </w:p>
    <w:p w14:paraId="36A8852C" w14:textId="77777777" w:rsidR="00B91502" w:rsidRPr="00E52C43" w:rsidRDefault="00B91502" w:rsidP="00B91502">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t xml:space="preserve">Para dar seguimiento a los resultados del proyecto en términos de las condiciones de salud de la población, se parte de los indicadores de resultados se parte de la MR. </w:t>
      </w:r>
    </w:p>
    <w:p w14:paraId="7A09C91D" w14:textId="77777777" w:rsidR="007C7CD4" w:rsidRDefault="007C7CD4" w:rsidP="007C7CD4">
      <w:pPr>
        <w:pStyle w:val="AutoNumpara"/>
        <w:numPr>
          <w:ilvl w:val="0"/>
          <w:numId w:val="0"/>
        </w:numPr>
        <w:spacing w:after="0"/>
        <w:rPr>
          <w:rFonts w:cs="Arial"/>
          <w:noProof w:val="0"/>
          <w:color w:val="000000"/>
          <w:sz w:val="22"/>
          <w:szCs w:val="22"/>
          <w:lang w:val="es-ES"/>
        </w:rPr>
      </w:pPr>
    </w:p>
    <w:p w14:paraId="262560F3" w14:textId="77777777" w:rsidR="007E3AE0" w:rsidRDefault="007E3AE0" w:rsidP="007C7CD4">
      <w:pPr>
        <w:pStyle w:val="AutoNumpara"/>
        <w:numPr>
          <w:ilvl w:val="0"/>
          <w:numId w:val="0"/>
        </w:numPr>
        <w:spacing w:after="0"/>
        <w:rPr>
          <w:rFonts w:cs="Arial"/>
          <w:noProof w:val="0"/>
          <w:color w:val="000000"/>
          <w:sz w:val="22"/>
          <w:szCs w:val="22"/>
          <w:lang w:val="es-ES"/>
        </w:rPr>
      </w:pPr>
    </w:p>
    <w:p w14:paraId="0305052D" w14:textId="77777777" w:rsidR="007E3AE0" w:rsidRDefault="007E3AE0" w:rsidP="007C7CD4">
      <w:pPr>
        <w:pStyle w:val="AutoNumpara"/>
        <w:numPr>
          <w:ilvl w:val="0"/>
          <w:numId w:val="0"/>
        </w:numPr>
        <w:spacing w:after="0"/>
        <w:rPr>
          <w:rFonts w:cs="Arial"/>
          <w:noProof w:val="0"/>
          <w:color w:val="000000"/>
          <w:sz w:val="22"/>
          <w:szCs w:val="22"/>
          <w:lang w:val="es-ES"/>
        </w:rPr>
      </w:pPr>
    </w:p>
    <w:p w14:paraId="72A439FB" w14:textId="77777777" w:rsidR="007E3AE0" w:rsidRDefault="007E3AE0" w:rsidP="007C7CD4">
      <w:pPr>
        <w:pStyle w:val="AutoNumpara"/>
        <w:numPr>
          <w:ilvl w:val="0"/>
          <w:numId w:val="0"/>
        </w:numPr>
        <w:spacing w:after="0"/>
        <w:rPr>
          <w:rFonts w:cs="Arial"/>
          <w:noProof w:val="0"/>
          <w:color w:val="000000"/>
          <w:sz w:val="22"/>
          <w:szCs w:val="22"/>
          <w:lang w:val="es-ES"/>
        </w:rPr>
      </w:pPr>
    </w:p>
    <w:p w14:paraId="21513997" w14:textId="77777777" w:rsidR="007E3AE0" w:rsidRDefault="007E3AE0" w:rsidP="007C7CD4">
      <w:pPr>
        <w:pStyle w:val="AutoNumpara"/>
        <w:numPr>
          <w:ilvl w:val="0"/>
          <w:numId w:val="0"/>
        </w:numPr>
        <w:spacing w:after="0"/>
        <w:rPr>
          <w:rFonts w:cs="Arial"/>
          <w:noProof w:val="0"/>
          <w:color w:val="000000"/>
          <w:sz w:val="22"/>
          <w:szCs w:val="22"/>
          <w:lang w:val="es-ES"/>
        </w:rPr>
      </w:pPr>
    </w:p>
    <w:p w14:paraId="441B135F" w14:textId="77777777" w:rsidR="007E3AE0" w:rsidRDefault="007E3AE0" w:rsidP="007C7CD4">
      <w:pPr>
        <w:pStyle w:val="AutoNumpara"/>
        <w:numPr>
          <w:ilvl w:val="0"/>
          <w:numId w:val="0"/>
        </w:numPr>
        <w:spacing w:after="0"/>
        <w:rPr>
          <w:rFonts w:cs="Arial"/>
          <w:noProof w:val="0"/>
          <w:color w:val="000000"/>
          <w:sz w:val="22"/>
          <w:szCs w:val="22"/>
          <w:lang w:val="es-ES"/>
        </w:rPr>
      </w:pPr>
    </w:p>
    <w:p w14:paraId="5DC30238" w14:textId="77777777" w:rsidR="007E3AE0" w:rsidRPr="00E52C43" w:rsidRDefault="007E3AE0" w:rsidP="007C7CD4">
      <w:pPr>
        <w:pStyle w:val="AutoNumpara"/>
        <w:numPr>
          <w:ilvl w:val="0"/>
          <w:numId w:val="0"/>
        </w:numPr>
        <w:spacing w:after="0"/>
        <w:rPr>
          <w:rFonts w:cs="Arial"/>
          <w:noProof w:val="0"/>
          <w:color w:val="000000"/>
          <w:sz w:val="22"/>
          <w:szCs w:val="22"/>
          <w:lang w:val="es-ES"/>
        </w:rPr>
      </w:pPr>
    </w:p>
    <w:p w14:paraId="64755F75" w14:textId="77777777" w:rsidR="00B91502" w:rsidRPr="00E52C43" w:rsidRDefault="00B91502" w:rsidP="00B91502">
      <w:pPr>
        <w:pStyle w:val="AutoNumpara"/>
        <w:numPr>
          <w:ilvl w:val="0"/>
          <w:numId w:val="0"/>
        </w:numPr>
        <w:spacing w:before="0" w:after="0"/>
        <w:jc w:val="center"/>
        <w:rPr>
          <w:rFonts w:cs="Arial"/>
          <w:b/>
          <w:noProof w:val="0"/>
          <w:sz w:val="22"/>
          <w:szCs w:val="22"/>
          <w:lang w:val="es-ES"/>
        </w:rPr>
      </w:pPr>
      <w:r w:rsidRPr="00E52C43">
        <w:rPr>
          <w:rFonts w:cs="Arial"/>
          <w:b/>
          <w:noProof w:val="0"/>
          <w:color w:val="000000"/>
          <w:sz w:val="22"/>
          <w:szCs w:val="22"/>
          <w:lang w:val="es-ES"/>
        </w:rPr>
        <w:t>Cuadro</w:t>
      </w:r>
      <w:r w:rsidRPr="00E52C43">
        <w:rPr>
          <w:rFonts w:cs="Arial"/>
          <w:b/>
          <w:noProof w:val="0"/>
          <w:sz w:val="22"/>
          <w:szCs w:val="22"/>
          <w:lang w:val="es-ES"/>
        </w:rPr>
        <w:t xml:space="preserve"> 2: Indicadores de Impacto de la Matriz de Resultados.</w:t>
      </w:r>
    </w:p>
    <w:p w14:paraId="05DC0A83" w14:textId="77777777" w:rsidR="003F578F" w:rsidRPr="00E52C43" w:rsidRDefault="003F578F" w:rsidP="003F578F">
      <w:pPr>
        <w:rPr>
          <w:rFonts w:cs="Arial"/>
          <w:sz w:val="22"/>
          <w:szCs w:val="22"/>
          <w:lang w:val="es-ES"/>
        </w:rPr>
      </w:pPr>
    </w:p>
    <w:tbl>
      <w:tblPr>
        <w:tblpPr w:leftFromText="141" w:rightFromText="141" w:vertAnchor="text" w:tblpX="-75" w:tblpY="1"/>
        <w:tblOverlap w:val="never"/>
        <w:tblW w:w="9465" w:type="dxa"/>
        <w:tblLayout w:type="fixed"/>
        <w:tblCellMar>
          <w:left w:w="0" w:type="dxa"/>
          <w:right w:w="0" w:type="dxa"/>
        </w:tblCellMar>
        <w:tblLook w:val="0000" w:firstRow="0" w:lastRow="0" w:firstColumn="0" w:lastColumn="0" w:noHBand="0" w:noVBand="0"/>
      </w:tblPr>
      <w:tblGrid>
        <w:gridCol w:w="2715"/>
        <w:gridCol w:w="2340"/>
        <w:gridCol w:w="1350"/>
        <w:gridCol w:w="3060"/>
      </w:tblGrid>
      <w:tr w:rsidR="00136578" w:rsidRPr="00E52C43" w14:paraId="464D8911" w14:textId="77777777" w:rsidTr="00136578">
        <w:trPr>
          <w:cantSplit/>
          <w:trHeight w:val="255"/>
        </w:trPr>
        <w:tc>
          <w:tcPr>
            <w:tcW w:w="2715" w:type="dxa"/>
            <w:tcBorders>
              <w:top w:val="single" w:sz="4" w:space="0" w:color="auto"/>
              <w:left w:val="single" w:sz="4" w:space="0" w:color="auto"/>
              <w:bottom w:val="single" w:sz="4" w:space="0" w:color="auto"/>
              <w:right w:val="nil"/>
            </w:tcBorders>
            <w:shd w:val="clear" w:color="auto" w:fill="8DB3E2" w:themeFill="text2" w:themeFillTint="66"/>
            <w:noWrap/>
            <w:tcMar>
              <w:top w:w="15" w:type="dxa"/>
              <w:left w:w="15" w:type="dxa"/>
              <w:bottom w:w="0" w:type="dxa"/>
              <w:right w:w="15" w:type="dxa"/>
            </w:tcMar>
          </w:tcPr>
          <w:p w14:paraId="658BF27E" w14:textId="77777777" w:rsidR="00136578" w:rsidRPr="00FB3565" w:rsidRDefault="00136578" w:rsidP="00136578">
            <w:pPr>
              <w:jc w:val="center"/>
              <w:rPr>
                <w:rFonts w:eastAsia="Arial Unicode MS" w:cs="Arial"/>
                <w:b/>
                <w:bCs/>
                <w:sz w:val="18"/>
                <w:szCs w:val="18"/>
                <w:lang w:val="es-ES"/>
              </w:rPr>
            </w:pPr>
            <w:r w:rsidRPr="00FB3565">
              <w:rPr>
                <w:rFonts w:cs="Arial"/>
                <w:b/>
                <w:bCs/>
                <w:sz w:val="18"/>
                <w:szCs w:val="18"/>
                <w:lang w:val="es-ES"/>
              </w:rPr>
              <w:t>Indicadores de Impacto</w:t>
            </w:r>
          </w:p>
        </w:tc>
        <w:tc>
          <w:tcPr>
            <w:tcW w:w="2340"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tcPr>
          <w:p w14:paraId="44E2C0BD" w14:textId="77777777" w:rsidR="00136578" w:rsidRPr="00FB3565" w:rsidRDefault="00136578" w:rsidP="00136578">
            <w:pPr>
              <w:jc w:val="center"/>
              <w:rPr>
                <w:rFonts w:cs="Arial"/>
                <w:b/>
                <w:bCs/>
                <w:sz w:val="18"/>
                <w:szCs w:val="18"/>
                <w:lang w:val="es-ES"/>
              </w:rPr>
            </w:pPr>
            <w:r w:rsidRPr="00FB3565">
              <w:rPr>
                <w:rFonts w:cs="Arial"/>
                <w:b/>
                <w:bCs/>
                <w:sz w:val="18"/>
                <w:szCs w:val="18"/>
                <w:lang w:val="es-ES"/>
              </w:rPr>
              <w:t>Línea de Base</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tcPr>
          <w:p w14:paraId="4A08DAE4" w14:textId="77777777" w:rsidR="00136578" w:rsidRPr="00FB3565" w:rsidRDefault="00136578" w:rsidP="00136578">
            <w:pPr>
              <w:jc w:val="center"/>
              <w:rPr>
                <w:rFonts w:eastAsia="Arial Unicode MS" w:cs="Arial"/>
                <w:b/>
                <w:bCs/>
                <w:sz w:val="18"/>
                <w:szCs w:val="18"/>
                <w:lang w:val="es-ES"/>
              </w:rPr>
            </w:pPr>
            <w:r w:rsidRPr="00FB3565">
              <w:rPr>
                <w:rFonts w:cs="Arial"/>
                <w:b/>
                <w:bCs/>
                <w:sz w:val="18"/>
                <w:szCs w:val="18"/>
                <w:lang w:val="es-ES"/>
              </w:rPr>
              <w:t>Meta</w:t>
            </w:r>
            <w:r>
              <w:rPr>
                <w:rFonts w:cs="Arial"/>
                <w:b/>
                <w:bCs/>
                <w:sz w:val="18"/>
                <w:szCs w:val="18"/>
                <w:lang w:val="es-ES"/>
              </w:rPr>
              <w:t xml:space="preserve"> </w:t>
            </w:r>
            <w:r w:rsidRPr="00FB3565">
              <w:rPr>
                <w:rFonts w:cs="Arial"/>
                <w:b/>
                <w:bCs/>
                <w:sz w:val="18"/>
                <w:szCs w:val="18"/>
                <w:lang w:val="es-ES"/>
              </w:rPr>
              <w:t>(2020)</w:t>
            </w:r>
          </w:p>
        </w:tc>
        <w:tc>
          <w:tcPr>
            <w:tcW w:w="3060" w:type="dxa"/>
            <w:tcBorders>
              <w:top w:val="single" w:sz="4" w:space="0" w:color="auto"/>
              <w:left w:val="nil"/>
              <w:bottom w:val="single" w:sz="4" w:space="0" w:color="auto"/>
              <w:right w:val="single" w:sz="4" w:space="0" w:color="auto"/>
            </w:tcBorders>
            <w:shd w:val="clear" w:color="auto" w:fill="8DB3E2" w:themeFill="text2" w:themeFillTint="66"/>
          </w:tcPr>
          <w:p w14:paraId="50C23A90" w14:textId="77777777" w:rsidR="00136578" w:rsidRPr="00FB3565" w:rsidRDefault="00136578" w:rsidP="00136578">
            <w:pPr>
              <w:jc w:val="center"/>
              <w:rPr>
                <w:rFonts w:eastAsia="Arial Unicode MS" w:cs="Arial"/>
                <w:b/>
                <w:bCs/>
                <w:sz w:val="18"/>
                <w:szCs w:val="18"/>
                <w:lang w:val="es-ES"/>
              </w:rPr>
            </w:pPr>
            <w:r w:rsidRPr="00FB3565">
              <w:rPr>
                <w:rFonts w:cs="Arial"/>
                <w:b/>
                <w:bCs/>
                <w:sz w:val="18"/>
                <w:szCs w:val="18"/>
                <w:lang w:val="es-ES"/>
              </w:rPr>
              <w:t>Fuente</w:t>
            </w:r>
          </w:p>
        </w:tc>
      </w:tr>
      <w:tr w:rsidR="00136578" w:rsidRPr="00E52C43" w14:paraId="5F9FCD34" w14:textId="77777777" w:rsidTr="00136578">
        <w:trPr>
          <w:cantSplit/>
          <w:trHeight w:val="255"/>
        </w:trPr>
        <w:tc>
          <w:tcPr>
            <w:tcW w:w="2715"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27903A74" w14:textId="77777777" w:rsidR="00136578" w:rsidRPr="00743AB6" w:rsidRDefault="00136578" w:rsidP="00136578">
            <w:pPr>
              <w:ind w:left="90"/>
              <w:rPr>
                <w:rFonts w:cs="Arial"/>
                <w:b/>
                <w:bCs/>
                <w:sz w:val="18"/>
                <w:szCs w:val="18"/>
              </w:rPr>
            </w:pPr>
            <w:r w:rsidRPr="00FB3565">
              <w:rPr>
                <w:rFonts w:cs="Arial"/>
                <w:sz w:val="18"/>
                <w:szCs w:val="18"/>
                <w:lang w:val="es-ES"/>
              </w:rPr>
              <w:lastRenderedPageBreak/>
              <w:t xml:space="preserve">Tasa de mortalidad </w:t>
            </w:r>
            <w:r w:rsidRPr="00977C5F">
              <w:rPr>
                <w:rFonts w:cs="Arial"/>
                <w:sz w:val="18"/>
                <w:szCs w:val="18"/>
                <w:lang w:val="es-ES"/>
              </w:rPr>
              <w:t>prematura</w:t>
            </w:r>
            <w:r w:rsidRPr="00FB3565">
              <w:rPr>
                <w:rFonts w:cs="Arial"/>
                <w:sz w:val="18"/>
                <w:szCs w:val="18"/>
                <w:lang w:val="es-ES"/>
              </w:rPr>
              <w:t xml:space="preserve"> por Diabetes Mellitus</w:t>
            </w:r>
            <w:r>
              <w:rPr>
                <w:rFonts w:cs="Arial"/>
                <w:sz w:val="18"/>
                <w:szCs w:val="18"/>
                <w:lang w:val="es-ES"/>
              </w:rPr>
              <w:t xml:space="preserve"> </w:t>
            </w:r>
            <w:r>
              <w:rPr>
                <w:rFonts w:cs="Arial"/>
                <w:sz w:val="18"/>
                <w:szCs w:val="18"/>
              </w:rPr>
              <w:t>(DM).</w:t>
            </w:r>
          </w:p>
        </w:tc>
        <w:tc>
          <w:tcPr>
            <w:tcW w:w="23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631F2F7B" w14:textId="77777777" w:rsidR="00136578" w:rsidRPr="00977C5F" w:rsidRDefault="00136578" w:rsidP="00136578">
            <w:pPr>
              <w:jc w:val="center"/>
              <w:rPr>
                <w:rFonts w:cs="Arial"/>
                <w:bCs/>
                <w:sz w:val="18"/>
                <w:szCs w:val="18"/>
                <w:lang w:val="es-ES"/>
              </w:rPr>
            </w:pPr>
            <w:r w:rsidRPr="00977C5F">
              <w:rPr>
                <w:rFonts w:cs="Arial"/>
                <w:bCs/>
                <w:sz w:val="18"/>
                <w:szCs w:val="18"/>
                <w:lang w:val="es-ES"/>
              </w:rPr>
              <w:t>Total: 9,49</w:t>
            </w:r>
          </w:p>
          <w:p w14:paraId="3E6D7C7E" w14:textId="77777777" w:rsidR="00136578" w:rsidRPr="00F71153" w:rsidRDefault="00136578" w:rsidP="00136578">
            <w:pPr>
              <w:jc w:val="center"/>
              <w:rPr>
                <w:rFonts w:cs="Arial"/>
                <w:bCs/>
                <w:sz w:val="18"/>
                <w:szCs w:val="18"/>
                <w:lang w:val="es-ES"/>
              </w:rPr>
            </w:pPr>
            <w:r w:rsidRPr="00F71153">
              <w:rPr>
                <w:rFonts w:cs="Arial"/>
                <w:bCs/>
                <w:sz w:val="18"/>
                <w:szCs w:val="18"/>
                <w:lang w:val="es-ES"/>
              </w:rPr>
              <w:t>(2013)</w:t>
            </w:r>
          </w:p>
          <w:p w14:paraId="094DBC74" w14:textId="77777777" w:rsidR="00136578" w:rsidRPr="00F71153" w:rsidRDefault="00136578" w:rsidP="00136578">
            <w:pPr>
              <w:jc w:val="center"/>
              <w:rPr>
                <w:rFonts w:cs="Arial"/>
                <w:bCs/>
                <w:sz w:val="18"/>
                <w:szCs w:val="18"/>
                <w:lang w:val="es-ES"/>
              </w:rPr>
            </w:pPr>
          </w:p>
          <w:p w14:paraId="064356FB" w14:textId="77777777" w:rsidR="00136578" w:rsidRPr="00977C5F" w:rsidRDefault="00136578" w:rsidP="00136578">
            <w:pPr>
              <w:jc w:val="center"/>
              <w:rPr>
                <w:rFonts w:cs="Arial"/>
                <w:bCs/>
                <w:sz w:val="18"/>
                <w:szCs w:val="18"/>
                <w:lang w:val="es-ES"/>
              </w:rPr>
            </w:pPr>
            <w:r w:rsidRPr="00F71153">
              <w:rPr>
                <w:rFonts w:cs="Arial"/>
                <w:bCs/>
                <w:sz w:val="18"/>
                <w:szCs w:val="18"/>
                <w:lang w:val="es-ES"/>
              </w:rPr>
              <w:t>Hombres: 9,75</w:t>
            </w:r>
            <w:r w:rsidRPr="00977C5F">
              <w:rPr>
                <w:rFonts w:cs="Arial"/>
                <w:bCs/>
                <w:sz w:val="18"/>
                <w:szCs w:val="18"/>
                <w:lang w:val="es-ES"/>
              </w:rPr>
              <w:t xml:space="preserve"> (2013)</w:t>
            </w:r>
          </w:p>
          <w:p w14:paraId="606C8E6F" w14:textId="77777777" w:rsidR="00136578" w:rsidRPr="00F71153" w:rsidRDefault="00136578" w:rsidP="00136578">
            <w:pPr>
              <w:jc w:val="center"/>
              <w:rPr>
                <w:rFonts w:cs="Arial"/>
                <w:bCs/>
                <w:sz w:val="18"/>
                <w:szCs w:val="18"/>
                <w:lang w:val="es-ES"/>
              </w:rPr>
            </w:pPr>
          </w:p>
          <w:p w14:paraId="3FA11B74" w14:textId="77777777" w:rsidR="00136578" w:rsidRPr="00F71153" w:rsidRDefault="00136578" w:rsidP="00136578">
            <w:pPr>
              <w:jc w:val="center"/>
              <w:rPr>
                <w:rFonts w:cs="Arial"/>
                <w:bCs/>
                <w:sz w:val="18"/>
                <w:szCs w:val="18"/>
              </w:rPr>
            </w:pPr>
            <w:r w:rsidRPr="00F71153">
              <w:rPr>
                <w:rFonts w:cs="Arial"/>
                <w:bCs/>
                <w:sz w:val="18"/>
                <w:szCs w:val="18"/>
                <w:lang w:val="es-ES"/>
              </w:rPr>
              <w:t>Mujeres: 9.25</w:t>
            </w:r>
            <w:r w:rsidRPr="00977C5F">
              <w:rPr>
                <w:rFonts w:cs="Arial"/>
                <w:bCs/>
                <w:sz w:val="18"/>
                <w:szCs w:val="18"/>
                <w:lang w:val="es-ES"/>
              </w:rPr>
              <w:t xml:space="preserve"> (2013)</w:t>
            </w:r>
          </w:p>
        </w:tc>
        <w:tc>
          <w:tcPr>
            <w:tcW w:w="13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22A716E5" w14:textId="77777777" w:rsidR="00136578" w:rsidRPr="00F71153" w:rsidRDefault="00136578" w:rsidP="00136578">
            <w:pPr>
              <w:jc w:val="center"/>
              <w:rPr>
                <w:rFonts w:cs="Arial"/>
                <w:bCs/>
                <w:sz w:val="18"/>
                <w:szCs w:val="18"/>
                <w:lang w:val="es-ES"/>
              </w:rPr>
            </w:pPr>
            <w:r w:rsidRPr="00F71153">
              <w:rPr>
                <w:rFonts w:cs="Arial"/>
                <w:bCs/>
                <w:sz w:val="18"/>
                <w:szCs w:val="18"/>
                <w:lang w:val="es-ES"/>
              </w:rPr>
              <w:t>Total: 8,87</w:t>
            </w:r>
          </w:p>
          <w:p w14:paraId="7F261C4A" w14:textId="77777777" w:rsidR="00136578" w:rsidRPr="00F71153" w:rsidRDefault="00136578" w:rsidP="00136578">
            <w:pPr>
              <w:jc w:val="center"/>
              <w:rPr>
                <w:rFonts w:cs="Arial"/>
                <w:bCs/>
                <w:sz w:val="18"/>
                <w:szCs w:val="18"/>
                <w:lang w:val="es-ES"/>
              </w:rPr>
            </w:pPr>
          </w:p>
          <w:p w14:paraId="74183F90" w14:textId="77777777" w:rsidR="00136578" w:rsidRPr="00F71153" w:rsidRDefault="00136578" w:rsidP="00136578">
            <w:pPr>
              <w:jc w:val="center"/>
              <w:rPr>
                <w:rFonts w:cs="Arial"/>
                <w:bCs/>
                <w:sz w:val="18"/>
                <w:szCs w:val="18"/>
                <w:lang w:val="es-ES"/>
              </w:rPr>
            </w:pPr>
            <w:r w:rsidRPr="00F71153">
              <w:rPr>
                <w:rFonts w:cs="Arial"/>
                <w:bCs/>
                <w:sz w:val="18"/>
                <w:szCs w:val="18"/>
                <w:lang w:val="es-ES"/>
              </w:rPr>
              <w:t>Hombres: 8,87%</w:t>
            </w:r>
          </w:p>
          <w:p w14:paraId="614B5ABE" w14:textId="77777777" w:rsidR="00136578" w:rsidRPr="00F71153" w:rsidRDefault="00136578" w:rsidP="00136578">
            <w:pPr>
              <w:jc w:val="center"/>
              <w:rPr>
                <w:rFonts w:cs="Arial"/>
                <w:bCs/>
                <w:sz w:val="18"/>
                <w:szCs w:val="18"/>
                <w:lang w:val="es-ES"/>
              </w:rPr>
            </w:pPr>
          </w:p>
          <w:p w14:paraId="22E5065D" w14:textId="77777777" w:rsidR="00136578" w:rsidRPr="00F71153" w:rsidRDefault="00136578" w:rsidP="00136578">
            <w:pPr>
              <w:jc w:val="center"/>
              <w:rPr>
                <w:rFonts w:cs="Arial"/>
                <w:bCs/>
                <w:sz w:val="18"/>
                <w:szCs w:val="18"/>
                <w:lang w:val="es-ES"/>
              </w:rPr>
            </w:pPr>
            <w:r w:rsidRPr="00F71153">
              <w:rPr>
                <w:rFonts w:cs="Arial"/>
                <w:bCs/>
                <w:sz w:val="18"/>
                <w:szCs w:val="18"/>
                <w:lang w:val="es-ES"/>
              </w:rPr>
              <w:t>Mujeres: 8,87%</w:t>
            </w:r>
          </w:p>
        </w:tc>
        <w:tc>
          <w:tcPr>
            <w:tcW w:w="3060" w:type="dxa"/>
            <w:tcBorders>
              <w:top w:val="single" w:sz="4" w:space="0" w:color="auto"/>
              <w:left w:val="nil"/>
              <w:bottom w:val="single" w:sz="4" w:space="0" w:color="auto"/>
              <w:right w:val="single" w:sz="4" w:space="0" w:color="auto"/>
            </w:tcBorders>
            <w:shd w:val="clear" w:color="auto" w:fill="FFFFFF"/>
          </w:tcPr>
          <w:p w14:paraId="4731E15F" w14:textId="77777777" w:rsidR="00136578" w:rsidRPr="00F71153" w:rsidRDefault="00136578" w:rsidP="00136578">
            <w:pPr>
              <w:jc w:val="center"/>
              <w:rPr>
                <w:rFonts w:cs="Arial"/>
                <w:bCs/>
                <w:sz w:val="18"/>
                <w:szCs w:val="18"/>
                <w:lang w:val="es-ES"/>
              </w:rPr>
            </w:pPr>
            <w:r w:rsidRPr="00F71153">
              <w:rPr>
                <w:rFonts w:cs="Arial"/>
                <w:bCs/>
                <w:sz w:val="18"/>
                <w:szCs w:val="18"/>
                <w:lang w:val="es-ES"/>
              </w:rPr>
              <w:t>DATASUS</w:t>
            </w:r>
          </w:p>
        </w:tc>
      </w:tr>
      <w:tr w:rsidR="00136578" w:rsidRPr="00E52C43" w14:paraId="3970E2AA" w14:textId="77777777" w:rsidTr="00136578">
        <w:trPr>
          <w:cantSplit/>
          <w:trHeight w:val="255"/>
        </w:trPr>
        <w:tc>
          <w:tcPr>
            <w:tcW w:w="2715"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10903FFA" w14:textId="77777777" w:rsidR="00136578" w:rsidRPr="00FB3565" w:rsidRDefault="00136578" w:rsidP="00136578">
            <w:pPr>
              <w:ind w:left="90"/>
              <w:rPr>
                <w:rFonts w:cs="Arial"/>
                <w:b/>
                <w:bCs/>
                <w:sz w:val="18"/>
                <w:szCs w:val="18"/>
                <w:lang w:val="es-ES"/>
              </w:rPr>
            </w:pPr>
            <w:r w:rsidRPr="00FB3565">
              <w:rPr>
                <w:rFonts w:cs="Arial"/>
                <w:sz w:val="18"/>
                <w:szCs w:val="18"/>
                <w:lang w:val="es-ES"/>
              </w:rPr>
              <w:t xml:space="preserve">Tasa de mortalidad </w:t>
            </w:r>
            <w:r w:rsidRPr="00977C5F">
              <w:rPr>
                <w:rFonts w:cs="Arial"/>
                <w:sz w:val="18"/>
                <w:szCs w:val="18"/>
                <w:lang w:val="es-ES"/>
              </w:rPr>
              <w:t>prematura</w:t>
            </w:r>
            <w:r w:rsidRPr="00FB3565">
              <w:rPr>
                <w:rFonts w:cs="Arial"/>
                <w:sz w:val="18"/>
                <w:szCs w:val="18"/>
                <w:lang w:val="es-ES"/>
              </w:rPr>
              <w:t xml:space="preserve"> por </w:t>
            </w:r>
            <w:r>
              <w:rPr>
                <w:rFonts w:cs="Arial"/>
                <w:sz w:val="18"/>
                <w:szCs w:val="18"/>
                <w:lang w:val="es-ES"/>
              </w:rPr>
              <w:t>A</w:t>
            </w:r>
            <w:r w:rsidRPr="00FB3565">
              <w:rPr>
                <w:rFonts w:cs="Arial"/>
                <w:sz w:val="18"/>
                <w:szCs w:val="18"/>
                <w:lang w:val="es-ES"/>
              </w:rPr>
              <w:t xml:space="preserve">ccidentes </w:t>
            </w:r>
            <w:r>
              <w:rPr>
                <w:rFonts w:cs="Arial"/>
                <w:sz w:val="18"/>
                <w:szCs w:val="18"/>
                <w:lang w:val="es-ES"/>
              </w:rPr>
              <w:t>C</w:t>
            </w:r>
            <w:r w:rsidRPr="00FB3565">
              <w:rPr>
                <w:rFonts w:cs="Arial"/>
                <w:sz w:val="18"/>
                <w:szCs w:val="18"/>
                <w:lang w:val="es-ES"/>
              </w:rPr>
              <w:t xml:space="preserve">erebro </w:t>
            </w:r>
            <w:r>
              <w:rPr>
                <w:rFonts w:cs="Arial"/>
                <w:sz w:val="18"/>
                <w:szCs w:val="18"/>
                <w:lang w:val="es-ES"/>
              </w:rPr>
              <w:t>V</w:t>
            </w:r>
            <w:r w:rsidRPr="00FB3565">
              <w:rPr>
                <w:rFonts w:cs="Arial"/>
                <w:sz w:val="18"/>
                <w:szCs w:val="18"/>
                <w:lang w:val="es-ES"/>
              </w:rPr>
              <w:t>asculares</w:t>
            </w:r>
            <w:r>
              <w:rPr>
                <w:rFonts w:cs="Arial"/>
                <w:sz w:val="18"/>
                <w:szCs w:val="18"/>
                <w:lang w:val="es-ES"/>
              </w:rPr>
              <w:t xml:space="preserve"> (ACV).</w:t>
            </w:r>
          </w:p>
        </w:tc>
        <w:tc>
          <w:tcPr>
            <w:tcW w:w="23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08F30582" w14:textId="77777777" w:rsidR="00136578" w:rsidRPr="00AD6847" w:rsidRDefault="00136578" w:rsidP="00136578">
            <w:pPr>
              <w:jc w:val="center"/>
              <w:rPr>
                <w:rFonts w:cs="Arial"/>
                <w:bCs/>
                <w:sz w:val="18"/>
                <w:szCs w:val="18"/>
                <w:lang w:val="es-ES"/>
              </w:rPr>
            </w:pPr>
            <w:r w:rsidRPr="00D22EC2">
              <w:rPr>
                <w:rFonts w:cs="Arial"/>
                <w:bCs/>
                <w:sz w:val="18"/>
                <w:szCs w:val="18"/>
                <w:lang w:val="es-ES"/>
              </w:rPr>
              <w:t>Total:</w:t>
            </w:r>
            <w:r>
              <w:rPr>
                <w:rFonts w:cs="Arial"/>
                <w:bCs/>
                <w:sz w:val="18"/>
                <w:szCs w:val="18"/>
                <w:lang w:val="es-ES"/>
              </w:rPr>
              <w:t>7,</w:t>
            </w:r>
            <w:r w:rsidRPr="00AD6847">
              <w:rPr>
                <w:rFonts w:cs="Arial"/>
                <w:bCs/>
                <w:sz w:val="18"/>
                <w:szCs w:val="18"/>
                <w:lang w:val="es-ES"/>
              </w:rPr>
              <w:t>33</w:t>
            </w:r>
          </w:p>
          <w:p w14:paraId="6E26FBBB" w14:textId="77777777" w:rsidR="00136578" w:rsidRPr="00F71153" w:rsidRDefault="00136578" w:rsidP="00136578">
            <w:pPr>
              <w:jc w:val="center"/>
              <w:rPr>
                <w:rFonts w:cs="Arial"/>
                <w:bCs/>
                <w:sz w:val="18"/>
                <w:szCs w:val="18"/>
                <w:lang w:val="es-ES"/>
              </w:rPr>
            </w:pPr>
            <w:r w:rsidRPr="00AD6847">
              <w:rPr>
                <w:rFonts w:cs="Arial"/>
                <w:bCs/>
                <w:sz w:val="18"/>
                <w:szCs w:val="18"/>
                <w:lang w:val="es-ES"/>
              </w:rPr>
              <w:t>(2013)</w:t>
            </w:r>
          </w:p>
          <w:p w14:paraId="689414EA" w14:textId="77777777" w:rsidR="00136578" w:rsidRPr="00D22EC2" w:rsidRDefault="00136578" w:rsidP="00136578">
            <w:pPr>
              <w:jc w:val="center"/>
              <w:rPr>
                <w:rFonts w:cs="Arial"/>
                <w:bCs/>
                <w:sz w:val="18"/>
                <w:szCs w:val="18"/>
                <w:lang w:val="es-ES"/>
              </w:rPr>
            </w:pPr>
          </w:p>
          <w:p w14:paraId="13F34913" w14:textId="77777777" w:rsidR="00136578" w:rsidRPr="00F71153" w:rsidRDefault="00136578" w:rsidP="00136578">
            <w:pPr>
              <w:jc w:val="center"/>
              <w:rPr>
                <w:rFonts w:cs="Arial"/>
                <w:bCs/>
                <w:sz w:val="18"/>
                <w:szCs w:val="18"/>
                <w:lang w:val="es-ES"/>
              </w:rPr>
            </w:pPr>
            <w:r w:rsidRPr="00AD6847">
              <w:rPr>
                <w:rFonts w:cs="Arial"/>
                <w:bCs/>
                <w:sz w:val="18"/>
                <w:szCs w:val="18"/>
                <w:lang w:val="es-ES"/>
              </w:rPr>
              <w:t>Hombres:</w:t>
            </w:r>
            <w:r>
              <w:rPr>
                <w:rFonts w:cs="Arial"/>
                <w:bCs/>
                <w:sz w:val="18"/>
                <w:szCs w:val="18"/>
                <w:lang w:val="es-ES"/>
              </w:rPr>
              <w:t xml:space="preserve"> 8,</w:t>
            </w:r>
            <w:r w:rsidRPr="00F71153">
              <w:rPr>
                <w:rFonts w:cs="Arial"/>
                <w:bCs/>
                <w:sz w:val="18"/>
                <w:szCs w:val="18"/>
                <w:lang w:val="es-ES"/>
              </w:rPr>
              <w:t>79</w:t>
            </w:r>
          </w:p>
          <w:p w14:paraId="77471F3D" w14:textId="77777777" w:rsidR="00136578" w:rsidRPr="00F71153" w:rsidRDefault="00136578" w:rsidP="00136578">
            <w:pPr>
              <w:jc w:val="center"/>
              <w:rPr>
                <w:rFonts w:cs="Arial"/>
                <w:bCs/>
                <w:sz w:val="18"/>
                <w:szCs w:val="18"/>
                <w:lang w:val="es-ES"/>
              </w:rPr>
            </w:pPr>
            <w:r w:rsidRPr="00F71153">
              <w:rPr>
                <w:rFonts w:cs="Arial"/>
                <w:bCs/>
                <w:sz w:val="18"/>
                <w:szCs w:val="18"/>
                <w:lang w:val="es-ES"/>
              </w:rPr>
              <w:t>(2013)</w:t>
            </w:r>
          </w:p>
          <w:p w14:paraId="7E864FFB" w14:textId="77777777" w:rsidR="00136578" w:rsidRPr="00D22EC2" w:rsidRDefault="00136578" w:rsidP="00136578">
            <w:pPr>
              <w:jc w:val="center"/>
              <w:rPr>
                <w:rFonts w:cs="Arial"/>
                <w:bCs/>
                <w:sz w:val="18"/>
                <w:szCs w:val="18"/>
                <w:lang w:val="es-ES"/>
              </w:rPr>
            </w:pPr>
          </w:p>
          <w:p w14:paraId="01B754E3" w14:textId="77777777" w:rsidR="00136578" w:rsidRPr="00F71153" w:rsidRDefault="00136578" w:rsidP="00136578">
            <w:pPr>
              <w:jc w:val="center"/>
              <w:rPr>
                <w:rFonts w:cs="Arial"/>
                <w:bCs/>
                <w:sz w:val="18"/>
                <w:szCs w:val="18"/>
                <w:lang w:val="es-ES"/>
              </w:rPr>
            </w:pPr>
            <w:r w:rsidRPr="00AD6847">
              <w:rPr>
                <w:rFonts w:cs="Arial"/>
                <w:bCs/>
                <w:sz w:val="18"/>
                <w:szCs w:val="18"/>
                <w:lang w:val="es-ES"/>
              </w:rPr>
              <w:t>Mujeres:</w:t>
            </w:r>
            <w:r>
              <w:rPr>
                <w:rFonts w:cs="Arial"/>
                <w:bCs/>
                <w:sz w:val="18"/>
                <w:szCs w:val="18"/>
                <w:lang w:val="es-ES"/>
              </w:rPr>
              <w:t xml:space="preserve"> 6,</w:t>
            </w:r>
            <w:r w:rsidRPr="00F71153">
              <w:rPr>
                <w:rFonts w:cs="Arial"/>
                <w:bCs/>
                <w:sz w:val="18"/>
                <w:szCs w:val="18"/>
                <w:lang w:val="es-ES"/>
              </w:rPr>
              <w:t>00</w:t>
            </w:r>
          </w:p>
          <w:p w14:paraId="71402FF3" w14:textId="77777777" w:rsidR="00136578" w:rsidRPr="00D22EC2" w:rsidRDefault="00136578" w:rsidP="00136578">
            <w:pPr>
              <w:jc w:val="center"/>
              <w:rPr>
                <w:rFonts w:cs="Arial"/>
                <w:bCs/>
                <w:sz w:val="18"/>
                <w:szCs w:val="18"/>
                <w:lang w:val="es-ES"/>
              </w:rPr>
            </w:pPr>
            <w:r w:rsidRPr="00F71153">
              <w:rPr>
                <w:rFonts w:cs="Arial"/>
                <w:bCs/>
                <w:sz w:val="18"/>
                <w:szCs w:val="18"/>
                <w:lang w:val="es-ES"/>
              </w:rPr>
              <w:t>(2013)</w:t>
            </w:r>
          </w:p>
        </w:tc>
        <w:tc>
          <w:tcPr>
            <w:tcW w:w="13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467C72EB" w14:textId="77777777" w:rsidR="00136578" w:rsidRPr="00AD6847" w:rsidRDefault="00136578" w:rsidP="00136578">
            <w:pPr>
              <w:jc w:val="center"/>
              <w:rPr>
                <w:rFonts w:cs="Arial"/>
                <w:bCs/>
                <w:sz w:val="18"/>
                <w:szCs w:val="18"/>
                <w:lang w:val="es-ES"/>
              </w:rPr>
            </w:pPr>
            <w:r w:rsidRPr="00F71153">
              <w:rPr>
                <w:rFonts w:cs="Arial"/>
                <w:bCs/>
                <w:sz w:val="18"/>
                <w:szCs w:val="18"/>
                <w:lang w:val="es-ES"/>
              </w:rPr>
              <w:t xml:space="preserve">Total: </w:t>
            </w:r>
            <w:r w:rsidRPr="00D22EC2">
              <w:rPr>
                <w:rFonts w:cs="Arial"/>
                <w:bCs/>
                <w:sz w:val="18"/>
                <w:szCs w:val="18"/>
                <w:lang w:val="es-ES"/>
              </w:rPr>
              <w:t>6,85</w:t>
            </w:r>
          </w:p>
          <w:p w14:paraId="2F5172AB" w14:textId="77777777" w:rsidR="00136578" w:rsidRPr="00F71153" w:rsidRDefault="00136578" w:rsidP="00136578">
            <w:pPr>
              <w:jc w:val="center"/>
              <w:rPr>
                <w:rFonts w:cs="Arial"/>
                <w:bCs/>
                <w:sz w:val="18"/>
                <w:szCs w:val="18"/>
                <w:lang w:val="es-ES"/>
              </w:rPr>
            </w:pPr>
          </w:p>
          <w:p w14:paraId="62A8E708" w14:textId="77777777" w:rsidR="00136578" w:rsidRPr="00F71153" w:rsidRDefault="00136578" w:rsidP="00136578">
            <w:pPr>
              <w:jc w:val="center"/>
              <w:rPr>
                <w:rFonts w:cs="Arial"/>
                <w:bCs/>
                <w:sz w:val="18"/>
                <w:szCs w:val="18"/>
                <w:lang w:val="es-ES"/>
              </w:rPr>
            </w:pPr>
            <w:r>
              <w:rPr>
                <w:rFonts w:cs="Arial"/>
                <w:bCs/>
                <w:sz w:val="18"/>
                <w:szCs w:val="18"/>
                <w:lang w:val="es-ES"/>
              </w:rPr>
              <w:t>Hombres: 8,</w:t>
            </w:r>
            <w:r w:rsidRPr="00F71153">
              <w:rPr>
                <w:rFonts w:cs="Arial"/>
                <w:bCs/>
                <w:sz w:val="18"/>
                <w:szCs w:val="18"/>
                <w:lang w:val="es-ES"/>
              </w:rPr>
              <w:t>13</w:t>
            </w:r>
          </w:p>
          <w:p w14:paraId="04B400BE" w14:textId="77777777" w:rsidR="00136578" w:rsidRPr="00D22EC2" w:rsidRDefault="00136578" w:rsidP="00136578">
            <w:pPr>
              <w:jc w:val="center"/>
              <w:rPr>
                <w:rFonts w:cs="Arial"/>
                <w:bCs/>
                <w:sz w:val="18"/>
                <w:szCs w:val="18"/>
                <w:lang w:val="es-ES"/>
              </w:rPr>
            </w:pPr>
          </w:p>
          <w:p w14:paraId="088D1C8B" w14:textId="77777777" w:rsidR="00136578" w:rsidRPr="00F71153" w:rsidRDefault="00136578" w:rsidP="00136578">
            <w:pPr>
              <w:jc w:val="center"/>
              <w:rPr>
                <w:rFonts w:cs="Arial"/>
                <w:bCs/>
                <w:sz w:val="18"/>
                <w:szCs w:val="18"/>
                <w:lang w:val="es-ES"/>
              </w:rPr>
            </w:pPr>
            <w:r w:rsidRPr="00F71153">
              <w:rPr>
                <w:rFonts w:cs="Arial"/>
                <w:bCs/>
                <w:sz w:val="18"/>
                <w:szCs w:val="18"/>
                <w:lang w:val="es-ES"/>
              </w:rPr>
              <w:t xml:space="preserve">Mujeres: </w:t>
            </w:r>
            <w:r w:rsidRPr="00F71153">
              <w:t xml:space="preserve"> </w:t>
            </w:r>
            <w:r>
              <w:rPr>
                <w:rFonts w:cs="Arial"/>
                <w:bCs/>
                <w:sz w:val="18"/>
                <w:szCs w:val="18"/>
                <w:lang w:val="es-ES"/>
              </w:rPr>
              <w:t>5,</w:t>
            </w:r>
            <w:r w:rsidRPr="00F71153">
              <w:rPr>
                <w:rFonts w:cs="Arial"/>
                <w:bCs/>
                <w:sz w:val="18"/>
                <w:szCs w:val="18"/>
                <w:lang w:val="es-ES"/>
              </w:rPr>
              <w:t>58</w:t>
            </w:r>
          </w:p>
        </w:tc>
        <w:tc>
          <w:tcPr>
            <w:tcW w:w="3060" w:type="dxa"/>
            <w:tcBorders>
              <w:top w:val="single" w:sz="4" w:space="0" w:color="auto"/>
              <w:left w:val="nil"/>
              <w:bottom w:val="single" w:sz="4" w:space="0" w:color="auto"/>
              <w:right w:val="single" w:sz="4" w:space="0" w:color="auto"/>
            </w:tcBorders>
            <w:shd w:val="clear" w:color="auto" w:fill="FFFFFF"/>
          </w:tcPr>
          <w:p w14:paraId="288CB7B8" w14:textId="77777777" w:rsidR="00136578" w:rsidRPr="00F71153" w:rsidRDefault="00136578" w:rsidP="00136578">
            <w:pPr>
              <w:jc w:val="center"/>
              <w:rPr>
                <w:rFonts w:cs="Arial"/>
                <w:bCs/>
                <w:sz w:val="18"/>
                <w:szCs w:val="18"/>
                <w:lang w:val="es-ES"/>
              </w:rPr>
            </w:pPr>
            <w:r w:rsidRPr="00F71153">
              <w:rPr>
                <w:rFonts w:cs="Arial"/>
                <w:bCs/>
                <w:sz w:val="18"/>
                <w:szCs w:val="18"/>
                <w:lang w:val="es-ES"/>
              </w:rPr>
              <w:t>DATASUS</w:t>
            </w:r>
          </w:p>
        </w:tc>
      </w:tr>
      <w:tr w:rsidR="00136578" w:rsidRPr="00E52C43" w14:paraId="1F948E10" w14:textId="77777777" w:rsidTr="00136578">
        <w:trPr>
          <w:cantSplit/>
          <w:trHeight w:val="255"/>
        </w:trPr>
        <w:tc>
          <w:tcPr>
            <w:tcW w:w="2715"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tcPr>
          <w:p w14:paraId="3AB45EE9" w14:textId="77777777" w:rsidR="00136578" w:rsidRPr="00FB3565" w:rsidRDefault="00136578" w:rsidP="00136578">
            <w:pPr>
              <w:ind w:left="90"/>
              <w:rPr>
                <w:rFonts w:cs="Arial"/>
                <w:sz w:val="18"/>
                <w:szCs w:val="18"/>
                <w:lang w:val="es-ES"/>
              </w:rPr>
            </w:pPr>
            <w:r>
              <w:rPr>
                <w:rFonts w:cs="Arial"/>
                <w:sz w:val="18"/>
                <w:szCs w:val="18"/>
                <w:lang w:val="es-ES"/>
              </w:rPr>
              <w:t>Porcentaje de nacidos vivos con bajo peso al nacer &lt;2.500 g</w:t>
            </w:r>
          </w:p>
        </w:tc>
        <w:tc>
          <w:tcPr>
            <w:tcW w:w="23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34A9F19A" w14:textId="77777777" w:rsidR="00136578" w:rsidRDefault="00136578" w:rsidP="00136578">
            <w:pPr>
              <w:jc w:val="center"/>
              <w:rPr>
                <w:rFonts w:cs="Arial"/>
                <w:bCs/>
                <w:sz w:val="18"/>
                <w:szCs w:val="18"/>
                <w:lang w:val="es-ES"/>
              </w:rPr>
            </w:pPr>
            <w:r>
              <w:rPr>
                <w:rFonts w:cs="Arial"/>
                <w:bCs/>
                <w:sz w:val="18"/>
                <w:szCs w:val="18"/>
                <w:lang w:val="es-ES"/>
              </w:rPr>
              <w:t>8%</w:t>
            </w:r>
          </w:p>
          <w:p w14:paraId="76A67C6E" w14:textId="77777777" w:rsidR="00136578" w:rsidRPr="005B4915" w:rsidRDefault="00136578" w:rsidP="00136578">
            <w:pPr>
              <w:jc w:val="center"/>
              <w:rPr>
                <w:rFonts w:cs="Arial"/>
                <w:bCs/>
                <w:sz w:val="18"/>
                <w:szCs w:val="18"/>
                <w:highlight w:val="green"/>
                <w:lang w:val="es-ES"/>
              </w:rPr>
            </w:pPr>
            <w:r>
              <w:rPr>
                <w:rFonts w:cs="Arial"/>
                <w:bCs/>
                <w:sz w:val="18"/>
                <w:szCs w:val="18"/>
                <w:lang w:val="es-ES"/>
              </w:rPr>
              <w:t>(2014)</w:t>
            </w:r>
          </w:p>
        </w:tc>
        <w:tc>
          <w:tcPr>
            <w:tcW w:w="13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6C007FD8" w14:textId="77777777" w:rsidR="00136578" w:rsidRPr="005B4915" w:rsidRDefault="00136578" w:rsidP="00136578">
            <w:pPr>
              <w:jc w:val="center"/>
              <w:rPr>
                <w:rFonts w:cs="Arial"/>
                <w:bCs/>
                <w:sz w:val="18"/>
                <w:szCs w:val="18"/>
                <w:highlight w:val="green"/>
                <w:lang w:val="es-ES"/>
              </w:rPr>
            </w:pPr>
            <w:r>
              <w:rPr>
                <w:rFonts w:cs="Arial"/>
                <w:bCs/>
                <w:sz w:val="18"/>
                <w:szCs w:val="18"/>
                <w:lang w:val="es-ES"/>
              </w:rPr>
              <w:t>6%</w:t>
            </w:r>
          </w:p>
        </w:tc>
        <w:tc>
          <w:tcPr>
            <w:tcW w:w="3060" w:type="dxa"/>
            <w:tcBorders>
              <w:top w:val="single" w:sz="4" w:space="0" w:color="auto"/>
              <w:left w:val="nil"/>
              <w:bottom w:val="single" w:sz="4" w:space="0" w:color="auto"/>
              <w:right w:val="single" w:sz="4" w:space="0" w:color="auto"/>
            </w:tcBorders>
            <w:shd w:val="clear" w:color="auto" w:fill="FFFFFF"/>
          </w:tcPr>
          <w:p w14:paraId="6A357348" w14:textId="77777777" w:rsidR="00136578" w:rsidRPr="005B4915" w:rsidRDefault="00136578" w:rsidP="00136578">
            <w:pPr>
              <w:jc w:val="center"/>
              <w:rPr>
                <w:rFonts w:cs="Arial"/>
                <w:bCs/>
                <w:sz w:val="18"/>
                <w:szCs w:val="18"/>
                <w:highlight w:val="green"/>
                <w:lang w:val="es-ES"/>
              </w:rPr>
            </w:pPr>
            <w:r>
              <w:rPr>
                <w:rFonts w:cs="Arial"/>
                <w:bCs/>
                <w:sz w:val="18"/>
                <w:szCs w:val="18"/>
                <w:lang w:val="es-ES"/>
              </w:rPr>
              <w:t>DATASUS</w:t>
            </w:r>
          </w:p>
        </w:tc>
      </w:tr>
    </w:tbl>
    <w:p w14:paraId="211ACDC9" w14:textId="77777777" w:rsidR="00B91502" w:rsidRPr="00E52C43" w:rsidRDefault="00B91502" w:rsidP="00B91502">
      <w:pPr>
        <w:pStyle w:val="AutoNumpara"/>
        <w:numPr>
          <w:ilvl w:val="0"/>
          <w:numId w:val="0"/>
        </w:numPr>
        <w:spacing w:before="0" w:after="0"/>
        <w:rPr>
          <w:rFonts w:cs="Arial"/>
          <w:b/>
          <w:noProof w:val="0"/>
          <w:sz w:val="22"/>
          <w:szCs w:val="22"/>
          <w:lang w:val="es-ES"/>
        </w:rPr>
      </w:pPr>
    </w:p>
    <w:p w14:paraId="1C5566EC" w14:textId="77777777" w:rsidR="00136578" w:rsidRPr="00E52C43" w:rsidRDefault="00136578" w:rsidP="00136578">
      <w:pPr>
        <w:jc w:val="both"/>
        <w:rPr>
          <w:rFonts w:cs="Arial"/>
          <w:sz w:val="22"/>
          <w:szCs w:val="22"/>
          <w:lang w:val="es-ES"/>
        </w:rPr>
      </w:pPr>
      <w:r w:rsidRPr="00136578">
        <w:rPr>
          <w:rFonts w:cs="Arial"/>
          <w:sz w:val="22"/>
          <w:szCs w:val="22"/>
          <w:lang w:val="es-ES"/>
        </w:rPr>
        <w:t>Los primeros dos indicadores se refieren a la mortalidad prematura, es decir de adultos de 30 a 59 años, relacionada con condiciones crónicas como diabetes mellitus y accidentes cerebrovasculares, mismas que una red funcional de servicios integrados de salud debería reducir. Mientras que el tercero se refiere al porcentaje de nacidos vivos que presentan bajo peso al nacer y que debería disminuir a partir de la implementación de la Red Cigüeña.</w:t>
      </w:r>
      <w:r>
        <w:rPr>
          <w:rFonts w:cs="Arial"/>
          <w:sz w:val="22"/>
          <w:szCs w:val="22"/>
          <w:lang w:val="es-ES"/>
        </w:rPr>
        <w:t xml:space="preserve"> </w:t>
      </w:r>
    </w:p>
    <w:p w14:paraId="135A297A" w14:textId="77777777" w:rsidR="003F578F" w:rsidRPr="00E52C43" w:rsidRDefault="003F578F" w:rsidP="00B91502">
      <w:pPr>
        <w:jc w:val="both"/>
        <w:rPr>
          <w:rFonts w:cs="Arial"/>
          <w:sz w:val="22"/>
          <w:szCs w:val="22"/>
          <w:lang w:val="es-ES"/>
        </w:rPr>
      </w:pPr>
    </w:p>
    <w:p w14:paraId="04F5FA93" w14:textId="77777777" w:rsidR="00B91502" w:rsidRPr="00E52C43" w:rsidRDefault="00B91502" w:rsidP="00B91502">
      <w:pPr>
        <w:jc w:val="both"/>
        <w:rPr>
          <w:rFonts w:cs="Arial"/>
          <w:sz w:val="22"/>
          <w:szCs w:val="22"/>
          <w:lang w:val="es-ES"/>
        </w:rPr>
      </w:pPr>
      <w:r w:rsidRPr="00E52C43">
        <w:rPr>
          <w:rFonts w:cs="Arial"/>
          <w:sz w:val="22"/>
          <w:szCs w:val="22"/>
          <w:lang w:val="es-ES"/>
        </w:rPr>
        <w:t xml:space="preserve">La fuente de verificación para todos los indicadores será el Departamento de </w:t>
      </w:r>
      <w:r w:rsidR="00E52C43" w:rsidRPr="00E52C43">
        <w:rPr>
          <w:rFonts w:cs="Arial"/>
          <w:sz w:val="22"/>
          <w:szCs w:val="22"/>
          <w:lang w:val="es-ES"/>
        </w:rPr>
        <w:t>Informática</w:t>
      </w:r>
      <w:r w:rsidRPr="00E52C43">
        <w:rPr>
          <w:rFonts w:cs="Arial"/>
          <w:sz w:val="22"/>
          <w:szCs w:val="22"/>
          <w:lang w:val="es-ES"/>
        </w:rPr>
        <w:t xml:space="preserve"> del Sistema </w:t>
      </w:r>
      <w:r w:rsidR="00E52C43" w:rsidRPr="00E52C43">
        <w:rPr>
          <w:rFonts w:cs="Arial"/>
          <w:sz w:val="22"/>
          <w:szCs w:val="22"/>
          <w:lang w:val="es-ES"/>
        </w:rPr>
        <w:t>Único</w:t>
      </w:r>
      <w:r w:rsidRPr="00E52C43">
        <w:rPr>
          <w:rFonts w:cs="Arial"/>
          <w:sz w:val="22"/>
          <w:szCs w:val="22"/>
          <w:lang w:val="es-ES"/>
        </w:rPr>
        <w:t xml:space="preserve"> de Salud – Datasus (http://tabnet.datasus.gov.br/). Si bien la información es generada de manera mensual, se plantea que cada semestre se recolecté al información del período completo, y mantener series mensuales, de avances en el año (</w:t>
      </w:r>
      <w:r w:rsidRPr="00E52C43">
        <w:rPr>
          <w:rFonts w:cs="Arial"/>
          <w:i/>
          <w:sz w:val="22"/>
          <w:szCs w:val="22"/>
          <w:lang w:val="es-ES"/>
        </w:rPr>
        <w:t>year-to-date</w:t>
      </w:r>
      <w:r w:rsidRPr="00E52C43">
        <w:rPr>
          <w:rFonts w:cs="Arial"/>
          <w:sz w:val="22"/>
          <w:szCs w:val="22"/>
          <w:lang w:val="es-ES"/>
        </w:rPr>
        <w:t xml:space="preserve">), anuales de promedios móviles (últimos doce meses) y datos consolidados anuales. Asimismo, en todos los casos los indicadores se generaran para los </w:t>
      </w:r>
      <w:r w:rsidR="00EE74CF" w:rsidRPr="00E52C43">
        <w:rPr>
          <w:rFonts w:cs="Arial"/>
          <w:sz w:val="22"/>
          <w:szCs w:val="22"/>
          <w:lang w:val="es-ES"/>
        </w:rPr>
        <w:t xml:space="preserve">municipios de Ceará de manera independiente, lo que permitirá realizar agregaciones a nivel de macro-región y otros segmentos de interés. </w:t>
      </w:r>
    </w:p>
    <w:p w14:paraId="6B9A974A" w14:textId="77777777" w:rsidR="00B91502" w:rsidRPr="00E52C43" w:rsidRDefault="00B91502" w:rsidP="00B91502">
      <w:pPr>
        <w:jc w:val="both"/>
        <w:rPr>
          <w:rFonts w:cs="Arial"/>
          <w:b/>
          <w:sz w:val="22"/>
          <w:szCs w:val="22"/>
          <w:lang w:val="es-ES"/>
        </w:rPr>
      </w:pPr>
    </w:p>
    <w:p w14:paraId="24AAF370" w14:textId="77777777" w:rsidR="00B91502" w:rsidRPr="00E52C43" w:rsidRDefault="00B91502" w:rsidP="00B91502">
      <w:pPr>
        <w:jc w:val="both"/>
        <w:rPr>
          <w:rFonts w:cs="Arial"/>
          <w:sz w:val="22"/>
          <w:szCs w:val="22"/>
          <w:lang w:val="es-ES"/>
        </w:rPr>
      </w:pPr>
      <w:r w:rsidRPr="00E52C43">
        <w:rPr>
          <w:rFonts w:cs="Arial"/>
          <w:sz w:val="22"/>
          <w:szCs w:val="22"/>
          <w:lang w:val="es-ES"/>
        </w:rPr>
        <w:t>Se incluye un anexo con el resumen narrativo de los indicadores, que explícita su definición y fuente de información.</w:t>
      </w:r>
    </w:p>
    <w:p w14:paraId="4D49C569" w14:textId="77777777" w:rsidR="00B91502" w:rsidRPr="00E52C43" w:rsidRDefault="00B91502" w:rsidP="00B91502">
      <w:pPr>
        <w:jc w:val="both"/>
        <w:rPr>
          <w:rFonts w:cs="Arial"/>
          <w:sz w:val="22"/>
          <w:szCs w:val="22"/>
          <w:lang w:val="es-ES"/>
        </w:rPr>
      </w:pPr>
    </w:p>
    <w:p w14:paraId="2227300D" w14:textId="77777777" w:rsidR="00B91502" w:rsidRPr="00E52C43" w:rsidRDefault="007C7CD4" w:rsidP="007C7CD4">
      <w:pPr>
        <w:pStyle w:val="Heading4"/>
        <w:numPr>
          <w:ilvl w:val="0"/>
          <w:numId w:val="0"/>
        </w:numPr>
        <w:tabs>
          <w:tab w:val="clear" w:pos="1440"/>
        </w:tabs>
        <w:rPr>
          <w:rFonts w:ascii="Arial" w:hAnsi="Arial" w:cs="Arial"/>
          <w:noProof w:val="0"/>
          <w:color w:val="000000"/>
          <w:sz w:val="22"/>
          <w:szCs w:val="22"/>
        </w:rPr>
      </w:pPr>
      <w:r w:rsidRPr="00E52C43">
        <w:rPr>
          <w:rFonts w:ascii="Arial" w:hAnsi="Arial" w:cs="Arial"/>
          <w:noProof w:val="0"/>
          <w:color w:val="000000"/>
          <w:sz w:val="22"/>
          <w:szCs w:val="22"/>
        </w:rPr>
        <w:t>B</w:t>
      </w:r>
      <w:r w:rsidR="00B91502" w:rsidRPr="00E52C43">
        <w:rPr>
          <w:rFonts w:ascii="Arial" w:hAnsi="Arial" w:cs="Arial"/>
          <w:noProof w:val="0"/>
          <w:color w:val="000000"/>
          <w:sz w:val="22"/>
          <w:szCs w:val="22"/>
        </w:rPr>
        <w:t>.</w:t>
      </w:r>
      <w:r w:rsidRPr="00E52C43">
        <w:rPr>
          <w:rFonts w:ascii="Arial" w:hAnsi="Arial" w:cs="Arial"/>
          <w:noProof w:val="0"/>
          <w:color w:val="000000"/>
          <w:sz w:val="22"/>
          <w:szCs w:val="22"/>
        </w:rPr>
        <w:tab/>
      </w:r>
      <w:r w:rsidR="00B91502" w:rsidRPr="00E52C43">
        <w:rPr>
          <w:rFonts w:ascii="Arial" w:hAnsi="Arial" w:cs="Arial"/>
          <w:noProof w:val="0"/>
          <w:color w:val="000000"/>
          <w:sz w:val="22"/>
          <w:szCs w:val="22"/>
        </w:rPr>
        <w:t>Contexto y antecedentes para la evaluación</w:t>
      </w:r>
    </w:p>
    <w:p w14:paraId="546B3392" w14:textId="77777777" w:rsidR="00B91502" w:rsidRPr="00E52C43" w:rsidRDefault="00B91502" w:rsidP="00B91502">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t>Desde su introducción en el año de 1991, el Sistema Único de Salud ha elegido la atención primaria como estrategia prioritaria para mejorar los indicadores de salud y cerrar las brechas de salud existentes en el país (Guanais, 2010). Asociado a esta estrategia, el Ministerio de Salud del Gobierno de Brasil ha promovido el desarrollo de sistemas de información y acuerdos intergubernamentales para incrementar la disponibilidad de informaciones demográficas, epidemiológicas, financieras y de producción de servicios de salud de buena calidad. Aprovechándose de esta disponibilidad de datos, se propone cuantificar los resultados de salud están asociados a las inversiones realizadas en el Estado de São Paulo para el fortalecimiento de la atención bajo un modelo de redes integradas de servicios de salud (RISS), con énfasis en la atención primaria.</w:t>
      </w:r>
    </w:p>
    <w:p w14:paraId="2FA64181" w14:textId="77777777" w:rsidR="00B91502" w:rsidRPr="00E52C43" w:rsidRDefault="00B91502" w:rsidP="00B91502">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t xml:space="preserve">En los últimos años, la preocupación con el incremento de gastos en salud y el aumento de la incidencia de enfermedades crónicas no transmisibles ha renovado el interés en la atención primaria en salud como una estrategia costo-efectiva para obtener mejores resultados en la salud de la población (Starfield 2010, 2009; PAHO 2007) Adicionalmente, muchos de los países de América Latina y Caribe enfrentan una doble carga de enfermedades, en que las enfermedades </w:t>
      </w:r>
      <w:r w:rsidRPr="00E52C43">
        <w:rPr>
          <w:rFonts w:cs="Arial"/>
          <w:noProof w:val="0"/>
          <w:color w:val="000000"/>
          <w:sz w:val="22"/>
          <w:szCs w:val="22"/>
          <w:lang w:val="es-ES"/>
        </w:rPr>
        <w:lastRenderedPageBreak/>
        <w:t xml:space="preserve">transmisibles y los rezagos en salud materna e infantil coexisten con el peso creciente de las enfermadas crónicas (Frenk 2009). </w:t>
      </w:r>
    </w:p>
    <w:p w14:paraId="182BC70F" w14:textId="77777777" w:rsidR="00B91502" w:rsidRPr="00E52C43" w:rsidRDefault="00B91502" w:rsidP="00B91502">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t xml:space="preserve">Como se discute en el Marco Estratégico Sectorial de Salud y Nutrición (GN-2735-3),  la gestión de enfermedades crónicas requiere una respuesta compleja en un período de tiempo prolongado que implica esfuerzos coordinados de una amplia gama de profesionales de la salud, el acceso a los medicamentos esenciales y los sistemas de seguimiento, los cuales deben ser integrados de manera óptima dentro de un sistema que promueve la coordinación, la continuidad de la atención y el paciente la participación. Cuando el manejo de enfermedades crónicas es bien gestionado en el ámbito de atención primaria (por ejemplo, con el acceso y uso de la medicina apropiada, servicios de diagnóstico y protocolos), la probabilidad de hospitalización se reduce drásticamente. Por esta razón, las tasas de hospitalización evitables se utilizan como un indicador del desempeño de la atención primaria en algunos ajustes importantes. </w:t>
      </w:r>
    </w:p>
    <w:p w14:paraId="62805214" w14:textId="77777777" w:rsidR="00B91502" w:rsidRPr="00E52C43" w:rsidRDefault="00B91502" w:rsidP="00B91502">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t xml:space="preserve">Experiencias en los Estados Unidos y España están entre los más desarrollados en este ámbito (Ansari et al 2006; Caminal et al 2004; Billings et al 1993). Más recientemente, algunos estados de Brasil han adoptado estos mecanismos y el gobierno federal de Brasil está realizando un esfuerzo de investigación para generar una lista de condiciones para ser utilizados como marcadores del rendimiento de la atención primaria de la salud específicamente adaptado al contexto local (Alfradique et al 2009). </w:t>
      </w:r>
    </w:p>
    <w:p w14:paraId="6FD9BBFA" w14:textId="77777777" w:rsidR="00B91502" w:rsidRPr="00E52C43" w:rsidRDefault="00B91502" w:rsidP="00B91502">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t xml:space="preserve">En Brasil, la expansión de la atención primaria en salud está fuertemente orientada por la Estrategia de Salud de la Familia y en particular por el Programa Salud de la Familia (PSF), que organiza el primer nivel de atención con base en equipes multidisciplinarias de salud que incluyen médico, enfermero, técnico en enfermería, asistente social, psicólogo y agentes comunitarios de salud, y trabajan con un área geográfica de adscripción definida incluyendo al redor de 4,500 personas. La cobertura en el país en 2009 alcanzaba 50,1% de la población del país, lo que corresponde a cerca de  96,1 millones de personas (Ministerio da Saude 2011). Diversos estudios han identificado los impactos del Programa Salud de la Familia en la reducción de la mortalidad infantil y </w:t>
      </w:r>
      <w:r w:rsidR="0056225E">
        <w:rPr>
          <w:rFonts w:cs="Arial"/>
          <w:noProof w:val="0"/>
          <w:color w:val="000000"/>
          <w:sz w:val="22"/>
          <w:szCs w:val="22"/>
          <w:lang w:val="es-ES"/>
        </w:rPr>
        <w:t>internaciones</w:t>
      </w:r>
      <w:r w:rsidRPr="00E52C43">
        <w:rPr>
          <w:rFonts w:cs="Arial"/>
          <w:noProof w:val="0"/>
          <w:color w:val="000000"/>
          <w:sz w:val="22"/>
          <w:szCs w:val="22"/>
          <w:lang w:val="es-ES"/>
        </w:rPr>
        <w:t xml:space="preserve"> evitables, mejorando los indicadores de salud y aumento la eficiencia del sistema de salud pública en el país (Rocha and Soares 2010; Guanais and Macinko 2009; Macinko et al. 2006).</w:t>
      </w:r>
    </w:p>
    <w:p w14:paraId="0F0D698C" w14:textId="77777777" w:rsidR="00B91502" w:rsidRPr="00E52C43" w:rsidRDefault="007C7CD4" w:rsidP="007C7CD4">
      <w:pPr>
        <w:pStyle w:val="Heading4"/>
        <w:numPr>
          <w:ilvl w:val="0"/>
          <w:numId w:val="0"/>
        </w:numPr>
        <w:tabs>
          <w:tab w:val="clear" w:pos="1440"/>
          <w:tab w:val="left" w:pos="540"/>
        </w:tabs>
        <w:spacing w:before="240" w:after="240"/>
        <w:rPr>
          <w:rFonts w:ascii="Arial" w:hAnsi="Arial" w:cs="Arial"/>
          <w:noProof w:val="0"/>
          <w:color w:val="000000"/>
          <w:sz w:val="22"/>
          <w:szCs w:val="22"/>
        </w:rPr>
      </w:pPr>
      <w:r w:rsidRPr="00E52C43">
        <w:rPr>
          <w:rFonts w:ascii="Arial" w:hAnsi="Arial" w:cs="Arial"/>
          <w:noProof w:val="0"/>
          <w:color w:val="000000"/>
          <w:sz w:val="22"/>
          <w:szCs w:val="22"/>
        </w:rPr>
        <w:t>C</w:t>
      </w:r>
      <w:r w:rsidR="00B91502" w:rsidRPr="00E52C43">
        <w:rPr>
          <w:rFonts w:ascii="Arial" w:hAnsi="Arial" w:cs="Arial"/>
          <w:noProof w:val="0"/>
          <w:color w:val="000000"/>
          <w:sz w:val="22"/>
          <w:szCs w:val="22"/>
        </w:rPr>
        <w:t xml:space="preserve">. </w:t>
      </w:r>
      <w:r w:rsidRPr="00E52C43">
        <w:rPr>
          <w:rFonts w:ascii="Arial" w:hAnsi="Arial" w:cs="Arial"/>
          <w:noProof w:val="0"/>
          <w:color w:val="000000"/>
          <w:sz w:val="22"/>
          <w:szCs w:val="22"/>
        </w:rPr>
        <w:tab/>
      </w:r>
      <w:r w:rsidR="00B91502" w:rsidRPr="00E52C43">
        <w:rPr>
          <w:rFonts w:ascii="Arial" w:hAnsi="Arial" w:cs="Arial"/>
          <w:noProof w:val="0"/>
          <w:color w:val="000000"/>
          <w:sz w:val="22"/>
          <w:szCs w:val="22"/>
        </w:rPr>
        <w:t>Análisis Económico Ex-Ante</w:t>
      </w:r>
    </w:p>
    <w:p w14:paraId="1096DFED" w14:textId="77777777" w:rsidR="00B91502" w:rsidRPr="00E52C43" w:rsidRDefault="00B91502" w:rsidP="00B91502">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t xml:space="preserve">Como parte de la preparación de la operación, se preparó un Análisis Económico, que identificó como los principales determinantes de los beneficios la disminución de </w:t>
      </w:r>
      <w:r w:rsidR="0056225E">
        <w:rPr>
          <w:rFonts w:cs="Arial"/>
          <w:noProof w:val="0"/>
          <w:color w:val="000000"/>
          <w:sz w:val="22"/>
          <w:szCs w:val="22"/>
          <w:lang w:val="es-ES"/>
        </w:rPr>
        <w:t>internaciones</w:t>
      </w:r>
      <w:r w:rsidRPr="00E52C43">
        <w:rPr>
          <w:rFonts w:cs="Arial"/>
          <w:noProof w:val="0"/>
          <w:color w:val="000000"/>
          <w:sz w:val="22"/>
          <w:szCs w:val="22"/>
          <w:lang w:val="es-ES"/>
        </w:rPr>
        <w:t xml:space="preserve"> prevenibles, la disminución en la mortalidad, y las ganancias en por la implementación de las líneas de cuidado, y cuantifico la ganancia en DALYS de la intervención.</w:t>
      </w:r>
    </w:p>
    <w:p w14:paraId="07194631" w14:textId="77777777" w:rsidR="00B91502" w:rsidRPr="00E52C43" w:rsidRDefault="00B91502" w:rsidP="00B91502">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t>La evaluación dará seguimiento a estos indicadores, para poder validar los supuestos utilizados en el análisis económico. Se recolectará la información relativa a:</w:t>
      </w:r>
    </w:p>
    <w:p w14:paraId="6FA67707" w14:textId="77777777" w:rsidR="00B91502" w:rsidRPr="00E52C43" w:rsidRDefault="0056225E" w:rsidP="00B91502">
      <w:pPr>
        <w:pStyle w:val="AutoNumpara"/>
        <w:numPr>
          <w:ilvl w:val="0"/>
          <w:numId w:val="9"/>
        </w:numPr>
        <w:spacing w:before="0" w:after="0"/>
        <w:rPr>
          <w:rFonts w:cs="Arial"/>
          <w:noProof w:val="0"/>
          <w:color w:val="000000"/>
          <w:sz w:val="22"/>
          <w:szCs w:val="22"/>
          <w:lang w:val="es-ES"/>
        </w:rPr>
      </w:pPr>
      <w:r>
        <w:rPr>
          <w:rFonts w:cs="Arial"/>
          <w:noProof w:val="0"/>
          <w:color w:val="000000"/>
          <w:sz w:val="22"/>
          <w:szCs w:val="22"/>
          <w:lang w:val="es-ES"/>
        </w:rPr>
        <w:t>Internaciones</w:t>
      </w:r>
      <w:r w:rsidR="00B91502" w:rsidRPr="00E52C43">
        <w:rPr>
          <w:rFonts w:cs="Arial"/>
          <w:noProof w:val="0"/>
          <w:color w:val="000000"/>
          <w:sz w:val="22"/>
          <w:szCs w:val="22"/>
          <w:lang w:val="es-ES"/>
        </w:rPr>
        <w:t xml:space="preserve"> sensibles a atención básica: número, costo, duración</w:t>
      </w:r>
    </w:p>
    <w:p w14:paraId="60312E58" w14:textId="77777777" w:rsidR="00B91502" w:rsidRPr="00E52C43" w:rsidRDefault="00B91502" w:rsidP="00B91502">
      <w:pPr>
        <w:pStyle w:val="AutoNumpara"/>
        <w:numPr>
          <w:ilvl w:val="0"/>
          <w:numId w:val="9"/>
        </w:numPr>
        <w:spacing w:before="0" w:after="0"/>
        <w:rPr>
          <w:rFonts w:cs="Arial"/>
          <w:noProof w:val="0"/>
          <w:color w:val="000000"/>
          <w:sz w:val="22"/>
          <w:szCs w:val="22"/>
          <w:lang w:val="es-ES"/>
        </w:rPr>
      </w:pPr>
      <w:r w:rsidRPr="00E52C43">
        <w:rPr>
          <w:rFonts w:cs="Arial"/>
          <w:noProof w:val="0"/>
          <w:color w:val="000000"/>
          <w:sz w:val="22"/>
          <w:szCs w:val="22"/>
          <w:lang w:val="es-ES"/>
        </w:rPr>
        <w:t>Mortalidad en los rangos etarios definidos en el análisis económico</w:t>
      </w:r>
    </w:p>
    <w:p w14:paraId="59CBC7E6" w14:textId="77777777" w:rsidR="00DB373A" w:rsidRPr="00E52C43" w:rsidRDefault="00DB373A" w:rsidP="00DB373A">
      <w:pPr>
        <w:rPr>
          <w:rFonts w:cs="Arial"/>
          <w:sz w:val="22"/>
          <w:szCs w:val="22"/>
          <w:lang w:val="es-ES"/>
        </w:rPr>
      </w:pPr>
    </w:p>
    <w:p w14:paraId="79C0ABE7" w14:textId="77777777" w:rsidR="008E7742" w:rsidRPr="00E52C43" w:rsidRDefault="008E7742" w:rsidP="007C7CD4">
      <w:pPr>
        <w:pStyle w:val="ColorfulList-Accent11"/>
        <w:numPr>
          <w:ilvl w:val="0"/>
          <w:numId w:val="13"/>
        </w:numPr>
        <w:ind w:left="630" w:hanging="630"/>
        <w:jc w:val="both"/>
        <w:rPr>
          <w:rFonts w:ascii="Arial" w:hAnsi="Arial" w:cs="Arial"/>
          <w:b/>
          <w:lang w:val="es-ES"/>
        </w:rPr>
      </w:pPr>
      <w:r w:rsidRPr="00E52C43">
        <w:rPr>
          <w:rFonts w:ascii="Arial" w:hAnsi="Arial" w:cs="Arial"/>
          <w:b/>
          <w:lang w:val="es-ES"/>
        </w:rPr>
        <w:t>Metodología de la evaluación de impacto</w:t>
      </w:r>
    </w:p>
    <w:p w14:paraId="6F8FA597" w14:textId="77777777" w:rsidR="00592854" w:rsidRPr="00E52C43" w:rsidRDefault="00592854" w:rsidP="007F7798">
      <w:pPr>
        <w:pStyle w:val="ColorfulList-Accent11"/>
        <w:ind w:left="0"/>
        <w:jc w:val="both"/>
        <w:rPr>
          <w:rFonts w:ascii="Arial" w:hAnsi="Arial" w:cs="Arial"/>
          <w:lang w:val="es-ES"/>
        </w:rPr>
      </w:pPr>
    </w:p>
    <w:p w14:paraId="74D0889D" w14:textId="77777777" w:rsidR="00592854" w:rsidRPr="00E52C43" w:rsidRDefault="008E7742" w:rsidP="007F7798">
      <w:pPr>
        <w:pStyle w:val="ColorfulList-Accent11"/>
        <w:ind w:left="0"/>
        <w:jc w:val="both"/>
        <w:rPr>
          <w:rFonts w:ascii="Arial" w:hAnsi="Arial" w:cs="Arial"/>
          <w:lang w:val="es-ES"/>
        </w:rPr>
      </w:pPr>
      <w:r w:rsidRPr="00E52C43">
        <w:rPr>
          <w:rFonts w:ascii="Arial" w:hAnsi="Arial" w:cs="Arial"/>
          <w:lang w:val="es-ES"/>
        </w:rPr>
        <w:t>Para efectos de la evaluación de impacto del proyecto se plantea hacer énfasis en los resultados de salud de los municipios</w:t>
      </w:r>
      <w:r w:rsidR="00592854" w:rsidRPr="00E52C43">
        <w:rPr>
          <w:rFonts w:ascii="Arial" w:hAnsi="Arial" w:cs="Arial"/>
          <w:lang w:val="es-ES"/>
        </w:rPr>
        <w:t xml:space="preserve"> cearenses</w:t>
      </w:r>
      <w:r w:rsidRPr="00E52C43">
        <w:rPr>
          <w:rFonts w:ascii="Arial" w:hAnsi="Arial" w:cs="Arial"/>
          <w:lang w:val="es-ES"/>
        </w:rPr>
        <w:t xml:space="preserve"> que no </w:t>
      </w:r>
      <w:r w:rsidR="00592854" w:rsidRPr="00E52C43">
        <w:rPr>
          <w:rFonts w:ascii="Arial" w:hAnsi="Arial" w:cs="Arial"/>
          <w:lang w:val="es-ES"/>
        </w:rPr>
        <w:t>pertenecen a la región m</w:t>
      </w:r>
      <w:r w:rsidRPr="00E52C43">
        <w:rPr>
          <w:rFonts w:ascii="Arial" w:hAnsi="Arial" w:cs="Arial"/>
          <w:lang w:val="es-ES"/>
        </w:rPr>
        <w:t>etropolitana de Fortale</w:t>
      </w:r>
      <w:r w:rsidR="00F41655" w:rsidRPr="00E52C43">
        <w:rPr>
          <w:rFonts w:ascii="Arial" w:hAnsi="Arial" w:cs="Arial"/>
          <w:lang w:val="es-ES"/>
        </w:rPr>
        <w:t xml:space="preserve">za. </w:t>
      </w:r>
      <w:r w:rsidR="00592854" w:rsidRPr="00E52C43">
        <w:rPr>
          <w:rFonts w:ascii="Arial" w:hAnsi="Arial" w:cs="Arial"/>
          <w:lang w:val="es-ES"/>
        </w:rPr>
        <w:t xml:space="preserve">La metodología utilizada para llevar a cabo la evaluación es la construcción de un </w:t>
      </w:r>
      <w:r w:rsidR="004319D0" w:rsidRPr="00E52C43">
        <w:rPr>
          <w:rFonts w:ascii="Arial" w:hAnsi="Arial" w:cs="Arial"/>
          <w:lang w:val="es-ES"/>
        </w:rPr>
        <w:t>control</w:t>
      </w:r>
      <w:r w:rsidR="00592854" w:rsidRPr="00E52C43">
        <w:rPr>
          <w:rFonts w:ascii="Arial" w:hAnsi="Arial" w:cs="Arial"/>
          <w:lang w:val="es-ES"/>
        </w:rPr>
        <w:t xml:space="preserve"> sintético. Cabe mencionar que este enfoque de evaluación ha sido utilizada en otros proyectos de salud incluyendo el Programa de Fortalecimiento de la Gestión de la Salud en el </w:t>
      </w:r>
      <w:r w:rsidR="00592854" w:rsidRPr="00E52C43">
        <w:rPr>
          <w:rFonts w:ascii="Arial" w:hAnsi="Arial" w:cs="Arial"/>
          <w:lang w:val="es-ES"/>
        </w:rPr>
        <w:lastRenderedPageBreak/>
        <w:t>Estado de San Pablo (3051/OC- BR), que busca fortalecer el modelo de atención basado en RAS a nivel estatal</w:t>
      </w:r>
      <w:r w:rsidR="004319D0" w:rsidRPr="00E52C43">
        <w:rPr>
          <w:rFonts w:ascii="Arial" w:hAnsi="Arial" w:cs="Arial"/>
          <w:lang w:val="es-ES"/>
        </w:rPr>
        <w:t>,</w:t>
      </w:r>
      <w:r w:rsidR="00592854" w:rsidRPr="00E52C43">
        <w:rPr>
          <w:rFonts w:ascii="Arial" w:hAnsi="Arial" w:cs="Arial"/>
          <w:lang w:val="es-ES"/>
        </w:rPr>
        <w:t xml:space="preserve"> y en el Programa de Fortalecimiento del Sistema Único de Salud de Sao</w:t>
      </w:r>
      <w:r w:rsidR="004319D0" w:rsidRPr="00E52C43">
        <w:rPr>
          <w:rFonts w:ascii="Arial" w:hAnsi="Arial" w:cs="Arial"/>
          <w:lang w:val="es-ES"/>
        </w:rPr>
        <w:t xml:space="preserve"> Bernardo do Campo (BR- L1415) así como en el componente de salud del programa PROREDES de Fortaleza.</w:t>
      </w:r>
    </w:p>
    <w:p w14:paraId="7F15EB7D" w14:textId="77777777" w:rsidR="00592854" w:rsidRPr="00E52C43" w:rsidRDefault="00592854" w:rsidP="007F7798">
      <w:pPr>
        <w:pStyle w:val="ColorfulList-Accent11"/>
        <w:ind w:left="0"/>
        <w:jc w:val="both"/>
        <w:rPr>
          <w:rFonts w:ascii="Arial" w:hAnsi="Arial" w:cs="Arial"/>
          <w:lang w:val="es-ES"/>
        </w:rPr>
      </w:pPr>
    </w:p>
    <w:p w14:paraId="06F80F61" w14:textId="77777777" w:rsidR="00592854" w:rsidRPr="00E52C43" w:rsidRDefault="00592854" w:rsidP="007F7798">
      <w:pPr>
        <w:pStyle w:val="ColorfulList-Accent11"/>
        <w:ind w:left="0"/>
        <w:jc w:val="both"/>
        <w:rPr>
          <w:rFonts w:ascii="Arial" w:hAnsi="Arial" w:cs="Arial"/>
          <w:lang w:val="es-ES"/>
        </w:rPr>
      </w:pPr>
      <w:r w:rsidRPr="00E52C43">
        <w:rPr>
          <w:rFonts w:ascii="Arial" w:hAnsi="Arial" w:cs="Arial"/>
          <w:lang w:val="es-ES"/>
        </w:rPr>
        <w:t>El</w:t>
      </w:r>
      <w:r w:rsidR="00F41655" w:rsidRPr="00E52C43">
        <w:rPr>
          <w:rFonts w:ascii="Arial" w:hAnsi="Arial" w:cs="Arial"/>
          <w:lang w:val="es-ES"/>
        </w:rPr>
        <w:t xml:space="preserve"> énfasis</w:t>
      </w:r>
      <w:r w:rsidRPr="00E52C43">
        <w:rPr>
          <w:rFonts w:ascii="Arial" w:hAnsi="Arial" w:cs="Arial"/>
          <w:lang w:val="es-ES"/>
        </w:rPr>
        <w:t xml:space="preserve"> en los municipios que no pertenecen a Fortaleza</w:t>
      </w:r>
      <w:r w:rsidR="00F41655" w:rsidRPr="00E52C43">
        <w:rPr>
          <w:rFonts w:ascii="Arial" w:hAnsi="Arial" w:cs="Arial"/>
          <w:lang w:val="es-ES"/>
        </w:rPr>
        <w:t xml:space="preserve"> se justifica</w:t>
      </w:r>
      <w:r w:rsidR="009352A8" w:rsidRPr="00E52C43">
        <w:rPr>
          <w:rFonts w:ascii="Arial" w:hAnsi="Arial" w:cs="Arial"/>
          <w:lang w:val="es-ES"/>
        </w:rPr>
        <w:t xml:space="preserve"> porque las mejoras en la gestión y en la calidad tendrán efectos en toda la red de salud del estado y porque se esperan mayores incrementos en los municipios alejados donde la cobertura es menor. Adicionalmente, actualmente se implementa otra</w:t>
      </w:r>
      <w:r w:rsidR="00F41655" w:rsidRPr="00E52C43">
        <w:rPr>
          <w:rFonts w:ascii="Arial" w:hAnsi="Arial" w:cs="Arial"/>
          <w:lang w:val="es-ES"/>
        </w:rPr>
        <w:t xml:space="preserve"> operación con un componente de salud en Fortaleza (BR-L1414). Adicionalmente la evaluación de BR-L1414 considera la misma metodología de evaluación, por lo que sus resultados pueden ser complementarios. En el caso de este proyecto PROEXMAES II (BR-L1408) las inversiones en las mejoras de gestión y calidad de los servicios de salud y en la ampliación y consolidación de las Redes de Atención en Salud; beneficiarán a todo el estado, pero especialmente a los municipios que no pertenecen a Fortaleza.</w:t>
      </w:r>
      <w:r w:rsidRPr="00E52C43">
        <w:rPr>
          <w:rFonts w:ascii="Arial" w:hAnsi="Arial" w:cs="Arial"/>
          <w:lang w:val="es-ES"/>
        </w:rPr>
        <w:t xml:space="preserve"> Por ejemplo se construirá y equipará e</w:t>
      </w:r>
      <w:r w:rsidR="009352A8" w:rsidRPr="00E52C43">
        <w:rPr>
          <w:rFonts w:ascii="Arial" w:hAnsi="Arial" w:cs="Arial"/>
          <w:lang w:val="es-ES"/>
        </w:rPr>
        <w:t>l Hospital Regional de Juagarib</w:t>
      </w:r>
      <w:r w:rsidR="00D92C23" w:rsidRPr="00E52C43">
        <w:rPr>
          <w:rFonts w:ascii="Arial" w:hAnsi="Arial" w:cs="Arial"/>
          <w:lang w:val="es-ES"/>
        </w:rPr>
        <w:t>e</w:t>
      </w:r>
      <w:r w:rsidRPr="00E52C43">
        <w:rPr>
          <w:rFonts w:ascii="Arial" w:hAnsi="Arial" w:cs="Arial"/>
          <w:lang w:val="es-ES"/>
        </w:rPr>
        <w:t>.</w:t>
      </w:r>
      <w:r w:rsidR="00F41655" w:rsidRPr="00E52C43">
        <w:rPr>
          <w:rFonts w:ascii="Arial" w:hAnsi="Arial" w:cs="Arial"/>
          <w:lang w:val="es-ES"/>
        </w:rPr>
        <w:t xml:space="preserve"> Este enfoque es también adoptado por el Análisis Económico en el cuál se considera que PROEXMAES II tendrá un efecto positivo diferente en la cobertura efectiva en Fortaleza que en el resto del estado. </w:t>
      </w:r>
    </w:p>
    <w:p w14:paraId="75729E2E" w14:textId="77777777" w:rsidR="003E555C" w:rsidRPr="00E52C43" w:rsidRDefault="003E555C" w:rsidP="007F7798">
      <w:pPr>
        <w:pStyle w:val="ColorfulList-Accent11"/>
        <w:ind w:left="0"/>
        <w:jc w:val="both"/>
        <w:rPr>
          <w:rFonts w:ascii="Arial" w:hAnsi="Arial" w:cs="Arial"/>
          <w:lang w:val="es-ES"/>
        </w:rPr>
      </w:pPr>
    </w:p>
    <w:p w14:paraId="492B2F6A" w14:textId="77777777" w:rsidR="009352A8" w:rsidRPr="00E52C43" w:rsidRDefault="003E555C" w:rsidP="007F7798">
      <w:pPr>
        <w:pStyle w:val="ColorfulList-Accent11"/>
        <w:ind w:left="0"/>
        <w:jc w:val="both"/>
        <w:rPr>
          <w:rFonts w:ascii="Arial" w:hAnsi="Arial" w:cs="Arial"/>
          <w:lang w:val="es-ES"/>
        </w:rPr>
      </w:pPr>
      <w:r w:rsidRPr="00E52C43">
        <w:rPr>
          <w:rFonts w:ascii="Arial" w:hAnsi="Arial" w:cs="Arial"/>
          <w:lang w:val="es-ES"/>
        </w:rPr>
        <w:t xml:space="preserve">La metodología </w:t>
      </w:r>
      <w:r w:rsidR="009352A8" w:rsidRPr="00E52C43">
        <w:rPr>
          <w:rFonts w:ascii="Arial" w:hAnsi="Arial" w:cs="Arial"/>
          <w:lang w:val="es-ES"/>
        </w:rPr>
        <w:t xml:space="preserve">utilizada es la de </w:t>
      </w:r>
      <w:r w:rsidR="004319D0" w:rsidRPr="00E52C43">
        <w:rPr>
          <w:rFonts w:ascii="Arial" w:hAnsi="Arial" w:cs="Arial"/>
          <w:lang w:val="es-ES"/>
        </w:rPr>
        <w:t>controles</w:t>
      </w:r>
      <w:r w:rsidRPr="00E52C43">
        <w:rPr>
          <w:rFonts w:ascii="Arial" w:hAnsi="Arial" w:cs="Arial"/>
          <w:lang w:val="es-ES"/>
        </w:rPr>
        <w:t xml:space="preserve"> sintéticos (</w:t>
      </w:r>
      <w:r w:rsidRPr="00E52C43">
        <w:rPr>
          <w:rFonts w:ascii="Arial" w:hAnsi="Arial" w:cs="Arial"/>
          <w:i/>
          <w:lang w:val="es-ES"/>
        </w:rPr>
        <w:t>synthetic co</w:t>
      </w:r>
      <w:r w:rsidR="004319D0" w:rsidRPr="00E52C43">
        <w:rPr>
          <w:rFonts w:ascii="Arial" w:hAnsi="Arial" w:cs="Arial"/>
          <w:i/>
          <w:lang w:val="es-ES"/>
        </w:rPr>
        <w:t>ntrols</w:t>
      </w:r>
      <w:r w:rsidRPr="00E52C43">
        <w:rPr>
          <w:rFonts w:ascii="Arial" w:hAnsi="Arial" w:cs="Arial"/>
          <w:lang w:val="es-ES"/>
        </w:rPr>
        <w:t>, en inglés)</w:t>
      </w:r>
      <w:r w:rsidR="00A04FE7" w:rsidRPr="00E52C43">
        <w:rPr>
          <w:rFonts w:ascii="Arial" w:hAnsi="Arial" w:cs="Arial"/>
          <w:lang w:val="es-ES"/>
        </w:rPr>
        <w:t xml:space="preserve"> fue desarrollada por </w:t>
      </w:r>
      <w:r w:rsidR="00A04FE7" w:rsidRPr="00E52C43">
        <w:rPr>
          <w:rFonts w:ascii="Arial" w:hAnsi="Arial" w:cs="Arial"/>
          <w:lang w:val="es-ES"/>
        </w:rPr>
        <w:fldChar w:fldCharType="begin" w:fldLock="1"/>
      </w:r>
      <w:r w:rsidR="00064E1B" w:rsidRPr="00E52C43">
        <w:rPr>
          <w:rFonts w:ascii="Arial" w:hAnsi="Arial" w:cs="Arial"/>
          <w:lang w:val="es-ES"/>
        </w:rPr>
        <w:instrText>ADDIN CSL_CITATION { "citationItems" : [ { "id" : "ITEM-1", "itemData" : { "author" : [ { "dropping-particle" : "", "family" : "Abadie", "given" : "A", "non-dropping-particle" : "", "parse-names" : false, "suffix" : "" }, { "dropping-particle" : "", "family" : "Gardeazabal", "given" : "J", "non-dropping-particle" : "", "parse-names" : false, "suffix" : "" } ], "container-title" : "American economic review", "id" : "ITEM-1", "issued" : { "date-parts" : [ [ "2003" ] ] }, "title" : "The economic costs of conflict: A case study of the Basque Country", "type" : "article-journal" }, "uris" : [ "http://www.mendeley.com/documents/?uuid=08171cc9-52aa-4e42-b1b6-ac03f7c766fb" ] } ], "mendeley" : { "formattedCitation" : "(A Abadie and Gardeazabal 2003)", "manualFormatting" : "Abadie y Gardeazabal (2003)", "plainTextFormattedCitation" : "(A Abadie and Gardeazabal 2003)", "previouslyFormattedCitation" : "(A Abadie and Gardeazabal 2003)" }, "properties" : { "noteIndex" : 0 }, "schema" : "https://github.com/citation-style-language/schema/raw/master/csl-citation.json" }</w:instrText>
      </w:r>
      <w:r w:rsidR="00A04FE7" w:rsidRPr="00E52C43">
        <w:rPr>
          <w:rFonts w:ascii="Arial" w:hAnsi="Arial" w:cs="Arial"/>
          <w:lang w:val="es-ES"/>
        </w:rPr>
        <w:fldChar w:fldCharType="separate"/>
      </w:r>
      <w:r w:rsidR="00A04FE7" w:rsidRPr="00E52C43">
        <w:rPr>
          <w:rFonts w:ascii="Arial" w:hAnsi="Arial" w:cs="Arial"/>
          <w:noProof/>
          <w:lang w:val="es-ES"/>
        </w:rPr>
        <w:t>Abadie y Gardeazabal (2003)</w:t>
      </w:r>
      <w:r w:rsidR="00A04FE7" w:rsidRPr="00E52C43">
        <w:rPr>
          <w:rFonts w:ascii="Arial" w:hAnsi="Arial" w:cs="Arial"/>
          <w:lang w:val="es-ES"/>
        </w:rPr>
        <w:fldChar w:fldCharType="end"/>
      </w:r>
      <w:r w:rsidR="00A04FE7" w:rsidRPr="00E52C43">
        <w:rPr>
          <w:rFonts w:ascii="Arial" w:hAnsi="Arial" w:cs="Arial"/>
          <w:lang w:val="es-ES"/>
        </w:rPr>
        <w:t xml:space="preserve"> y en resumidas cuentas consiste en definir para cada grupo de individuos beneficiados, un gripo de comparación formado por un promedio ponderado del resto de los individuos. En este caso se crea un grupo de comparación para el conjunto de los municipios de Ceará que no pertenecen a Fortaleza a partir del conjunto de los municipios no metropolitanos de un grupo de estados vecinos. Este grupo </w:t>
      </w:r>
      <w:r w:rsidR="004319D0" w:rsidRPr="00E52C43">
        <w:rPr>
          <w:rFonts w:ascii="Arial" w:hAnsi="Arial" w:cs="Arial"/>
          <w:lang w:val="es-ES"/>
        </w:rPr>
        <w:t>se llama sintético</w:t>
      </w:r>
      <w:r w:rsidR="00A04FE7" w:rsidRPr="00E52C43">
        <w:rPr>
          <w:rFonts w:ascii="Arial" w:hAnsi="Arial" w:cs="Arial"/>
          <w:lang w:val="es-ES"/>
        </w:rPr>
        <w:t xml:space="preserve"> porque no se trata de un </w:t>
      </w:r>
      <w:r w:rsidR="004319D0" w:rsidRPr="00E52C43">
        <w:rPr>
          <w:rFonts w:ascii="Arial" w:hAnsi="Arial" w:cs="Arial"/>
          <w:lang w:val="es-ES"/>
        </w:rPr>
        <w:t>observación</w:t>
      </w:r>
      <w:r w:rsidR="00A04FE7" w:rsidRPr="00E52C43">
        <w:rPr>
          <w:rFonts w:ascii="Arial" w:hAnsi="Arial" w:cs="Arial"/>
          <w:lang w:val="es-ES"/>
        </w:rPr>
        <w:t xml:space="preserve"> real, </w:t>
      </w:r>
      <w:r w:rsidR="004319D0" w:rsidRPr="00E52C43">
        <w:rPr>
          <w:rFonts w:ascii="Arial" w:hAnsi="Arial" w:cs="Arial"/>
          <w:lang w:val="es-ES"/>
        </w:rPr>
        <w:t xml:space="preserve">sino que es </w:t>
      </w:r>
      <w:r w:rsidR="00A04FE7" w:rsidRPr="00E52C43">
        <w:rPr>
          <w:rFonts w:ascii="Arial" w:hAnsi="Arial" w:cs="Arial"/>
          <w:lang w:val="es-ES"/>
        </w:rPr>
        <w:t>diseñado de tal manera que en el periodo previo a la intervención</w:t>
      </w:r>
      <w:r w:rsidR="00A9272D" w:rsidRPr="00E52C43">
        <w:rPr>
          <w:rFonts w:ascii="Arial" w:hAnsi="Arial" w:cs="Arial"/>
          <w:lang w:val="es-ES"/>
        </w:rPr>
        <w:t xml:space="preserve"> muestre un comportamiento igual al del grupo tratado. La estrategia de identificación consiste en suponer que en ausencia del programa el comportamiento de ambos grupos seguiría siendo el mismo, por lo que cualquier diferencia entre el grupo tratado y el </w:t>
      </w:r>
      <w:r w:rsidR="00FA1E0D" w:rsidRPr="00E52C43">
        <w:rPr>
          <w:rFonts w:ascii="Arial" w:hAnsi="Arial" w:cs="Arial"/>
          <w:lang w:val="es-ES"/>
        </w:rPr>
        <w:t>control</w:t>
      </w:r>
      <w:r w:rsidR="00A9272D" w:rsidRPr="00E52C43">
        <w:rPr>
          <w:rFonts w:ascii="Arial" w:hAnsi="Arial" w:cs="Arial"/>
          <w:lang w:val="es-ES"/>
        </w:rPr>
        <w:t xml:space="preserve"> sintético se puede atribuir a la intervención evaluada. </w:t>
      </w:r>
    </w:p>
    <w:p w14:paraId="18C6D425" w14:textId="77777777" w:rsidR="00A9272D" w:rsidRPr="00E52C43" w:rsidRDefault="00A9272D" w:rsidP="008E7742">
      <w:pPr>
        <w:pStyle w:val="ColorfulList-Accent11"/>
        <w:ind w:left="360"/>
        <w:jc w:val="both"/>
        <w:rPr>
          <w:rFonts w:ascii="Arial" w:hAnsi="Arial" w:cs="Arial"/>
          <w:lang w:val="es-ES"/>
        </w:rPr>
      </w:pPr>
    </w:p>
    <w:p w14:paraId="1EC552BB" w14:textId="77777777" w:rsidR="00A9272D" w:rsidRPr="00E52C43" w:rsidRDefault="00A9272D" w:rsidP="00A9272D">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t>El ejemplo más ilustrativo de esta metodología es la estimación del impacto de la proposición 99 en California sobre la tasa de fumadores en dicho estado. La intervención afectó a todo California, por lo que el grupo de comparación fue definido con base al resto de los estados de EEUU. Como se observa en las siguientes gráficas, se parte de una situación en que el promedio del resto de los estados es bastante disímil, pero si se aplica la metodología se construye un “estado sintético” que tiene un comportamiento prácticamente idéntico a California. Con este estado sintético como grupo de comparación, se puede medir el impacto de la proposición en cuestión.</w:t>
      </w:r>
    </w:p>
    <w:p w14:paraId="130387C2" w14:textId="77777777" w:rsidR="007F7798" w:rsidRPr="00E52C43" w:rsidRDefault="007F7798" w:rsidP="00A9272D">
      <w:pPr>
        <w:pStyle w:val="AutoNumpara"/>
        <w:numPr>
          <w:ilvl w:val="0"/>
          <w:numId w:val="0"/>
        </w:numPr>
        <w:rPr>
          <w:rFonts w:cs="Arial"/>
          <w:noProof w:val="0"/>
          <w:color w:val="000000"/>
          <w:sz w:val="22"/>
          <w:szCs w:val="22"/>
          <w:lang w:val="es-ES"/>
        </w:rPr>
      </w:pPr>
    </w:p>
    <w:p w14:paraId="097BDD52" w14:textId="77777777" w:rsidR="007C7CD4" w:rsidRDefault="007C7CD4" w:rsidP="00A9272D">
      <w:pPr>
        <w:pStyle w:val="AutoNumpara"/>
        <w:numPr>
          <w:ilvl w:val="0"/>
          <w:numId w:val="0"/>
        </w:numPr>
        <w:rPr>
          <w:rFonts w:cs="Arial"/>
          <w:noProof w:val="0"/>
          <w:color w:val="000000"/>
          <w:sz w:val="22"/>
          <w:szCs w:val="22"/>
          <w:lang w:val="es-ES"/>
        </w:rPr>
      </w:pPr>
    </w:p>
    <w:p w14:paraId="6FE63CF9" w14:textId="77777777" w:rsidR="005C4277" w:rsidRDefault="005C4277" w:rsidP="00A9272D">
      <w:pPr>
        <w:pStyle w:val="AutoNumpara"/>
        <w:numPr>
          <w:ilvl w:val="0"/>
          <w:numId w:val="0"/>
        </w:numPr>
        <w:rPr>
          <w:rFonts w:cs="Arial"/>
          <w:noProof w:val="0"/>
          <w:color w:val="000000"/>
          <w:sz w:val="22"/>
          <w:szCs w:val="22"/>
          <w:lang w:val="es-ES"/>
        </w:rPr>
      </w:pPr>
    </w:p>
    <w:p w14:paraId="5641D06A" w14:textId="77777777" w:rsidR="005C4277" w:rsidRDefault="005C4277" w:rsidP="00A9272D">
      <w:pPr>
        <w:pStyle w:val="AutoNumpara"/>
        <w:numPr>
          <w:ilvl w:val="0"/>
          <w:numId w:val="0"/>
        </w:numPr>
        <w:rPr>
          <w:rFonts w:cs="Arial"/>
          <w:noProof w:val="0"/>
          <w:color w:val="000000"/>
          <w:sz w:val="22"/>
          <w:szCs w:val="22"/>
          <w:lang w:val="es-ES"/>
        </w:rPr>
      </w:pPr>
    </w:p>
    <w:p w14:paraId="35E55BA2" w14:textId="77777777" w:rsidR="005C4277" w:rsidRDefault="005C4277" w:rsidP="00A9272D">
      <w:pPr>
        <w:pStyle w:val="AutoNumpara"/>
        <w:numPr>
          <w:ilvl w:val="0"/>
          <w:numId w:val="0"/>
        </w:numPr>
        <w:rPr>
          <w:rFonts w:cs="Arial"/>
          <w:noProof w:val="0"/>
          <w:color w:val="000000"/>
          <w:sz w:val="22"/>
          <w:szCs w:val="22"/>
          <w:lang w:val="es-ES"/>
        </w:rPr>
      </w:pPr>
    </w:p>
    <w:p w14:paraId="3AF9299F" w14:textId="77777777" w:rsidR="005C4277" w:rsidRPr="00E52C43" w:rsidRDefault="005C4277" w:rsidP="00A9272D">
      <w:pPr>
        <w:pStyle w:val="AutoNumpara"/>
        <w:numPr>
          <w:ilvl w:val="0"/>
          <w:numId w:val="0"/>
        </w:numPr>
        <w:rPr>
          <w:rFonts w:cs="Arial"/>
          <w:noProof w:val="0"/>
          <w:color w:val="000000"/>
          <w:sz w:val="22"/>
          <w:szCs w:val="22"/>
          <w:lang w:val="es-ES"/>
        </w:rPr>
      </w:pPr>
    </w:p>
    <w:p w14:paraId="03BE9574" w14:textId="77777777" w:rsidR="007F7798" w:rsidRPr="00E52C43" w:rsidRDefault="007F7798" w:rsidP="007F7798">
      <w:pPr>
        <w:rPr>
          <w:rFonts w:cs="Arial"/>
          <w:b/>
          <w:color w:val="000000"/>
          <w:sz w:val="22"/>
          <w:szCs w:val="22"/>
          <w:lang w:val="es-ES"/>
        </w:rPr>
      </w:pPr>
      <w:bookmarkStart w:id="3" w:name="_Ref296239657"/>
      <w:bookmarkStart w:id="4" w:name="_Ref296239653"/>
      <w:r w:rsidRPr="00E52C43">
        <w:rPr>
          <w:rFonts w:cs="Arial"/>
          <w:b/>
          <w:sz w:val="22"/>
          <w:szCs w:val="22"/>
          <w:lang w:val="es-ES"/>
        </w:rPr>
        <w:lastRenderedPageBreak/>
        <w:t xml:space="preserve">Figura </w:t>
      </w:r>
      <w:r w:rsidRPr="00E52C43">
        <w:rPr>
          <w:rFonts w:cs="Arial"/>
          <w:b/>
          <w:sz w:val="22"/>
          <w:szCs w:val="22"/>
          <w:lang w:val="es-ES"/>
        </w:rPr>
        <w:fldChar w:fldCharType="begin"/>
      </w:r>
      <w:r w:rsidRPr="00E52C43">
        <w:rPr>
          <w:rFonts w:cs="Arial"/>
          <w:b/>
          <w:sz w:val="22"/>
          <w:szCs w:val="22"/>
          <w:lang w:val="es-ES"/>
        </w:rPr>
        <w:instrText xml:space="preserve"> SEQ Figura \* ARABIC </w:instrText>
      </w:r>
      <w:r w:rsidRPr="00E52C43">
        <w:rPr>
          <w:rFonts w:cs="Arial"/>
          <w:b/>
          <w:sz w:val="22"/>
          <w:szCs w:val="22"/>
          <w:lang w:val="es-ES"/>
        </w:rPr>
        <w:fldChar w:fldCharType="separate"/>
      </w:r>
      <w:r w:rsidR="00D83D25">
        <w:rPr>
          <w:rFonts w:cs="Arial"/>
          <w:b/>
          <w:noProof/>
          <w:sz w:val="22"/>
          <w:szCs w:val="22"/>
          <w:lang w:val="es-ES"/>
        </w:rPr>
        <w:t>1</w:t>
      </w:r>
      <w:r w:rsidRPr="00E52C43">
        <w:rPr>
          <w:rFonts w:cs="Arial"/>
          <w:b/>
          <w:sz w:val="22"/>
          <w:szCs w:val="22"/>
          <w:lang w:val="es-ES"/>
        </w:rPr>
        <w:fldChar w:fldCharType="end"/>
      </w:r>
      <w:bookmarkEnd w:id="3"/>
      <w:r w:rsidRPr="00E52C43">
        <w:rPr>
          <w:rFonts w:cs="Arial"/>
          <w:b/>
          <w:sz w:val="22"/>
          <w:szCs w:val="22"/>
          <w:lang w:val="es-ES"/>
        </w:rPr>
        <w:t>. Tendencia en las ventas per cápita de cigarros en California en comparación al resto de Estados Unidos.</w:t>
      </w:r>
      <w:bookmarkEnd w:id="4"/>
      <w:r w:rsidRPr="00E52C43">
        <w:rPr>
          <w:rFonts w:cs="Arial"/>
          <w:b/>
          <w:sz w:val="22"/>
          <w:szCs w:val="22"/>
          <w:lang w:val="es-ES"/>
        </w:rPr>
        <w:t xml:space="preserve"> </w:t>
      </w:r>
    </w:p>
    <w:p w14:paraId="41782AB4" w14:textId="77777777" w:rsidR="00A9272D" w:rsidRPr="00E52C43" w:rsidRDefault="00B5105E" w:rsidP="00A9272D">
      <w:pPr>
        <w:pStyle w:val="Heading1"/>
        <w:numPr>
          <w:ilvl w:val="0"/>
          <w:numId w:val="0"/>
        </w:numPr>
        <w:ind w:left="288" w:hanging="288"/>
        <w:jc w:val="left"/>
        <w:rPr>
          <w:rFonts w:ascii="Arial" w:hAnsi="Arial" w:cs="Arial"/>
          <w:noProof w:val="0"/>
          <w:color w:val="000000"/>
          <w:sz w:val="22"/>
          <w:szCs w:val="22"/>
        </w:rPr>
      </w:pPr>
      <w:r w:rsidRPr="00E52C43">
        <w:rPr>
          <w:rFonts w:ascii="Arial" w:hAnsi="Arial" w:cs="Arial"/>
          <w:noProof w:val="0"/>
          <w:color w:val="000000"/>
          <w:sz w:val="22"/>
          <w:szCs w:val="22"/>
        </w:rPr>
        <w:t xml:space="preserve">        </w:t>
      </w:r>
      <w:r w:rsidR="00A9272D" w:rsidRPr="00E52C43">
        <w:rPr>
          <w:rFonts w:ascii="Arial" w:hAnsi="Arial" w:cs="Arial"/>
          <w:color w:val="000000"/>
          <w:sz w:val="22"/>
          <w:szCs w:val="22"/>
          <w:lang w:val="en-US" w:eastAsia="en-US"/>
        </w:rPr>
        <w:drawing>
          <wp:inline distT="0" distB="0" distL="0" distR="0" wp14:anchorId="46F1ACFA" wp14:editId="4085D341">
            <wp:extent cx="4340276" cy="209621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2769" b="6423"/>
                    <a:stretch/>
                  </pic:blipFill>
                  <pic:spPr bwMode="auto">
                    <a:xfrm>
                      <a:off x="0" y="0"/>
                      <a:ext cx="4354389" cy="2103035"/>
                    </a:xfrm>
                    <a:prstGeom prst="rect">
                      <a:avLst/>
                    </a:prstGeom>
                    <a:noFill/>
                    <a:ln>
                      <a:noFill/>
                    </a:ln>
                    <a:extLst>
                      <a:ext uri="{53640926-AAD7-44D8-BBD7-CCE9431645EC}">
                        <a14:shadowObscured xmlns:a14="http://schemas.microsoft.com/office/drawing/2010/main"/>
                      </a:ext>
                    </a:extLst>
                  </pic:spPr>
                </pic:pic>
              </a:graphicData>
            </a:graphic>
          </wp:inline>
        </w:drawing>
      </w:r>
    </w:p>
    <w:p w14:paraId="3A0B11A2" w14:textId="77777777" w:rsidR="007F7798" w:rsidRPr="00E52C43" w:rsidRDefault="007F7798" w:rsidP="007C7CD4">
      <w:pPr>
        <w:ind w:left="900"/>
        <w:rPr>
          <w:rFonts w:cs="Arial"/>
          <w:sz w:val="18"/>
          <w:szCs w:val="18"/>
          <w:lang w:val="es-ES"/>
        </w:rPr>
      </w:pPr>
      <w:r w:rsidRPr="00E52C43">
        <w:rPr>
          <w:rFonts w:cs="Arial"/>
          <w:sz w:val="18"/>
          <w:szCs w:val="18"/>
          <w:lang w:val="es-ES"/>
        </w:rPr>
        <w:t xml:space="preserve">Fuente: </w:t>
      </w:r>
      <w:r w:rsidRPr="00E52C43">
        <w:rPr>
          <w:rFonts w:cs="Arial"/>
          <w:sz w:val="18"/>
          <w:szCs w:val="18"/>
          <w:lang w:val="es-ES"/>
        </w:rPr>
        <w:fldChar w:fldCharType="begin" w:fldLock="1"/>
      </w:r>
      <w:r w:rsidR="00064E1B" w:rsidRPr="00E52C43">
        <w:rPr>
          <w:rFonts w:cs="Arial"/>
          <w:sz w:val="18"/>
          <w:szCs w:val="18"/>
          <w:lang w:val="es-ES"/>
        </w:rPr>
        <w:instrText>ADDIN CSL_CITATION { "citationItems" : [ { "id" : "ITEM-1", "itemData" : { "author" : [ { "dropping-particle" : "", "family" : "Abadie", "given" : "Alberto", "non-dropping-particle" : "", "parse-names" : false, "suffix" : "" }, { "dropping-particle" : "", "family" : "Diamond", "given" : "Alexis", "non-dropping-particle" : "", "parse-names" : false, "suffix" : "" }, { "dropping-particle" : "", "family" : "Hainmueller", "given" : "Jens", "non-dropping-particle" : "", "parse-names" : false, "suffix" : "" } ], "container-title" : "Journal of the American \u2026", "id" : "ITEM-1", "issued" : { "date-parts" : [ [ "2010" ] ] }, "title" : "Synthetic control methods for comparative case studies: Estimating the effect of California's tobacco control program", "type" : "article-journal" }, "uris" : [ "http://www.mendeley.com/documents/?uuid=16bf5454-742b-4402-82ee-9bde633c9fad" ] } ], "mendeley" : { "formattedCitation" : "(Alberto Abadie, Diamond, and Hainmueller 2010)", "manualFormatting" : "Abadie, Diamond y Hainmueller (2010)", "plainTextFormattedCitation" : "(Alberto Abadie, Diamond, and Hainmueller 2010)", "previouslyFormattedCitation" : "(Alberto Abadie, Diamond, and Hainmueller 2010)" }, "properties" : { "noteIndex" : 0 }, "schema" : "https://github.com/citation-style-language/schema/raw/master/csl-citation.json" }</w:instrText>
      </w:r>
      <w:r w:rsidRPr="00E52C43">
        <w:rPr>
          <w:rFonts w:cs="Arial"/>
          <w:sz w:val="18"/>
          <w:szCs w:val="18"/>
          <w:lang w:val="es-ES"/>
        </w:rPr>
        <w:fldChar w:fldCharType="separate"/>
      </w:r>
      <w:r w:rsidRPr="00E52C43">
        <w:rPr>
          <w:rFonts w:cs="Arial"/>
          <w:noProof/>
          <w:sz w:val="18"/>
          <w:szCs w:val="18"/>
          <w:lang w:val="es-ES"/>
        </w:rPr>
        <w:t>Abadie, Diamond y Hainmueller (2010)</w:t>
      </w:r>
      <w:r w:rsidRPr="00E52C43">
        <w:rPr>
          <w:rFonts w:cs="Arial"/>
          <w:sz w:val="18"/>
          <w:szCs w:val="18"/>
          <w:lang w:val="es-ES"/>
        </w:rPr>
        <w:fldChar w:fldCharType="end"/>
      </w:r>
    </w:p>
    <w:p w14:paraId="55B05050" w14:textId="77777777" w:rsidR="00A9272D" w:rsidRPr="00E52C43" w:rsidRDefault="00A9272D" w:rsidP="00A9272D">
      <w:pPr>
        <w:rPr>
          <w:rFonts w:cs="Arial"/>
          <w:sz w:val="22"/>
          <w:szCs w:val="22"/>
          <w:lang w:val="es-ES" w:eastAsia="es-ES"/>
        </w:rPr>
      </w:pPr>
    </w:p>
    <w:p w14:paraId="6805EC72" w14:textId="77777777" w:rsidR="00296B5C" w:rsidRPr="00E52C43" w:rsidRDefault="00A9272D" w:rsidP="00A9272D">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t xml:space="preserve">La gráfica anterior, tomada de </w:t>
      </w:r>
      <w:r w:rsidR="007F7798" w:rsidRPr="00E52C43">
        <w:rPr>
          <w:rFonts w:cs="Arial"/>
          <w:noProof w:val="0"/>
          <w:color w:val="000000"/>
          <w:sz w:val="22"/>
          <w:szCs w:val="22"/>
          <w:lang w:val="es-ES"/>
        </w:rPr>
        <w:fldChar w:fldCharType="begin" w:fldLock="1"/>
      </w:r>
      <w:r w:rsidR="00064E1B" w:rsidRPr="00E52C43">
        <w:rPr>
          <w:rFonts w:cs="Arial"/>
          <w:noProof w:val="0"/>
          <w:color w:val="000000"/>
          <w:sz w:val="22"/>
          <w:szCs w:val="22"/>
          <w:lang w:val="es-ES"/>
        </w:rPr>
        <w:instrText>ADDIN CSL_CITATION { "citationItems" : [ { "id" : "ITEM-1", "itemData" : { "author" : [ { "dropping-particle" : "", "family" : "Abadie", "given" : "Alberto", "non-dropping-particle" : "", "parse-names" : false, "suffix" : "" }, { "dropping-particle" : "", "family" : "Diamond", "given" : "Alexis", "non-dropping-particle" : "", "parse-names" : false, "suffix" : "" }, { "dropping-particle" : "", "family" : "Hainmueller", "given" : "Jens", "non-dropping-particle" : "", "parse-names" : false, "suffix" : "" } ], "container-title" : "Journal of the American \u2026", "id" : "ITEM-1", "issued" : { "date-parts" : [ [ "2010" ] ] }, "title" : "Synthetic control methods for comparative case studies: Estimating the effect of California's tobacco control program", "type" : "article-journal" }, "uris" : [ "http://www.mendeley.com/documents/?uuid=16bf5454-742b-4402-82ee-9bde633c9fad" ] } ], "mendeley" : { "formattedCitation" : "(Alberto Abadie, Diamond, and Hainmueller 2010)", "manualFormatting" : "Abadie, Diamond, y Hainmueller (2010)", "plainTextFormattedCitation" : "(Alberto Abadie, Diamond, and Hainmueller 2010)", "previouslyFormattedCitation" : "(Alberto Abadie, Diamond, and Hainmueller 2010)" }, "properties" : { "noteIndex" : 0 }, "schema" : "https://github.com/citation-style-language/schema/raw/master/csl-citation.json" }</w:instrText>
      </w:r>
      <w:r w:rsidR="007F7798" w:rsidRPr="00E52C43">
        <w:rPr>
          <w:rFonts w:cs="Arial"/>
          <w:noProof w:val="0"/>
          <w:color w:val="000000"/>
          <w:sz w:val="22"/>
          <w:szCs w:val="22"/>
          <w:lang w:val="es-ES"/>
        </w:rPr>
        <w:fldChar w:fldCharType="separate"/>
      </w:r>
      <w:r w:rsidR="007F7798" w:rsidRPr="00E52C43">
        <w:rPr>
          <w:rFonts w:cs="Arial"/>
          <w:color w:val="000000"/>
          <w:sz w:val="22"/>
          <w:szCs w:val="22"/>
          <w:lang w:val="es-ES"/>
        </w:rPr>
        <w:t>Abadie, Diamond, y Hainmueller (2010)</w:t>
      </w:r>
      <w:r w:rsidR="007F7798" w:rsidRPr="00E52C43">
        <w:rPr>
          <w:rFonts w:cs="Arial"/>
          <w:noProof w:val="0"/>
          <w:color w:val="000000"/>
          <w:sz w:val="22"/>
          <w:szCs w:val="22"/>
          <w:lang w:val="es-ES"/>
        </w:rPr>
        <w:fldChar w:fldCharType="end"/>
      </w:r>
      <w:r w:rsidR="007F7798" w:rsidRPr="00E52C43">
        <w:rPr>
          <w:rFonts w:cs="Arial"/>
          <w:noProof w:val="0"/>
          <w:color w:val="000000"/>
          <w:sz w:val="22"/>
          <w:szCs w:val="22"/>
          <w:lang w:val="es-ES"/>
        </w:rPr>
        <w:t xml:space="preserve"> </w:t>
      </w:r>
      <w:r w:rsidRPr="00E52C43">
        <w:rPr>
          <w:rFonts w:cs="Arial"/>
          <w:noProof w:val="0"/>
          <w:color w:val="000000"/>
          <w:sz w:val="22"/>
          <w:szCs w:val="22"/>
          <w:lang w:val="es-ES"/>
        </w:rPr>
        <w:t>muestra la venta de paquetes de cigarrillos per cápita antes y después de la proposición 99, en California y en el resto del país. Se observa una tendencia decreciente a partir de mediados de los 70 en California y a partir de mediados de los 80 en el resto del país, y también se observa que en California la tendencia decreciente parece ampliarse a partir de la aprobación de la proposición 99. No obstante, dadas las diferencias en niveles y en tendencias entre ambos grupos, no es claro qué porcentaje de la diferencia observada en 1990 o 1995 es debido a la proposición y cual a las diferencias previas.</w:t>
      </w:r>
    </w:p>
    <w:p w14:paraId="464CB405" w14:textId="77777777" w:rsidR="00A9272D" w:rsidRPr="00E52C43" w:rsidRDefault="00A9272D" w:rsidP="00A9272D">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t xml:space="preserve">La metodología de </w:t>
      </w:r>
      <w:r w:rsidR="00064E1B" w:rsidRPr="00E52C43">
        <w:rPr>
          <w:rFonts w:cs="Arial"/>
          <w:noProof w:val="0"/>
          <w:color w:val="000000"/>
          <w:sz w:val="22"/>
          <w:szCs w:val="22"/>
          <w:lang w:val="es-ES"/>
        </w:rPr>
        <w:fldChar w:fldCharType="begin" w:fldLock="1"/>
      </w:r>
      <w:r w:rsidR="00982BE8">
        <w:rPr>
          <w:rFonts w:cs="Arial"/>
          <w:noProof w:val="0"/>
          <w:color w:val="000000"/>
          <w:sz w:val="22"/>
          <w:szCs w:val="22"/>
          <w:lang w:val="es-ES"/>
        </w:rPr>
        <w:instrText>ADDIN CSL_CITATION { "citationItems" : [ { "id" : "ITEM-1", "itemData" : { "author" : [ { "dropping-particle" : "", "family" : "Abadie", "given" : "A", "non-dropping-particle" : "", "parse-names" : false, "suffix" : "" }, { "dropping-particle" : "", "family" : "Gardeazabal", "given" : "J", "non-dropping-particle" : "", "parse-names" : false, "suffix" : "" } ], "container-title" : "American economic review", "id" : "ITEM-1", "issued" : { "date-parts" : [ [ "2003" ] ] }, "title" : "The economic costs of conflict: A case study of the Basque Country", "type" : "article-journal" }, "uris" : [ "http://www.mendeley.com/documents/?uuid=08171cc9-52aa-4e42-b1b6-ac03f7c766fb" ] } ], "mendeley" : { "formattedCitation" : "(A Abadie and Gardeazabal 2003)", "manualFormatting" : "Abadie y Gardeazabal (2003)", "plainTextFormattedCitation" : "(A Abadie and Gardeazabal 2003)", "previouslyFormattedCitation" : "(A Abadie and Gardeazabal 2003)" }, "properties" : { "noteIndex" : 0 }, "schema" : "https://github.com/citation-style-language/schema/raw/master/csl-citation.json" }</w:instrText>
      </w:r>
      <w:r w:rsidR="00064E1B" w:rsidRPr="00E52C43">
        <w:rPr>
          <w:rFonts w:cs="Arial"/>
          <w:noProof w:val="0"/>
          <w:color w:val="000000"/>
          <w:sz w:val="22"/>
          <w:szCs w:val="22"/>
          <w:lang w:val="es-ES"/>
        </w:rPr>
        <w:fldChar w:fldCharType="separate"/>
      </w:r>
      <w:r w:rsidR="00064E1B" w:rsidRPr="00E52C43">
        <w:rPr>
          <w:rFonts w:cs="Arial"/>
          <w:color w:val="000000"/>
          <w:sz w:val="22"/>
          <w:szCs w:val="22"/>
          <w:lang w:val="es-ES"/>
        </w:rPr>
        <w:t>Abadie y Gardeazabal (2003)</w:t>
      </w:r>
      <w:r w:rsidR="00064E1B" w:rsidRPr="00E52C43">
        <w:rPr>
          <w:rFonts w:cs="Arial"/>
          <w:noProof w:val="0"/>
          <w:color w:val="000000"/>
          <w:sz w:val="22"/>
          <w:szCs w:val="22"/>
          <w:lang w:val="es-ES"/>
        </w:rPr>
        <w:fldChar w:fldCharType="end"/>
      </w:r>
      <w:r w:rsidR="00064E1B" w:rsidRPr="00E52C43">
        <w:rPr>
          <w:rFonts w:cs="Arial"/>
          <w:noProof w:val="0"/>
          <w:color w:val="000000"/>
          <w:sz w:val="22"/>
          <w:szCs w:val="22"/>
          <w:lang w:val="es-ES"/>
        </w:rPr>
        <w:t xml:space="preserve"> </w:t>
      </w:r>
      <w:r w:rsidRPr="00E52C43">
        <w:rPr>
          <w:rFonts w:cs="Arial"/>
          <w:noProof w:val="0"/>
          <w:color w:val="000000"/>
          <w:sz w:val="22"/>
          <w:szCs w:val="22"/>
          <w:lang w:val="es-ES"/>
        </w:rPr>
        <w:t xml:space="preserve">lo que hace es construir un estado sintético idéntico a California en la etapa pre-proposición 99. Con esto, es posible tener un estimador del impacto de dicha medida, como se observa en la siguiente figura. La diferencia entre los grupos después de la aprobación de la proposición 99 puede atribuirse a dicha </w:t>
      </w:r>
      <w:r w:rsidR="00064E1B" w:rsidRPr="00E52C43">
        <w:rPr>
          <w:rFonts w:cs="Arial"/>
          <w:noProof w:val="0"/>
          <w:color w:val="000000"/>
          <w:sz w:val="22"/>
          <w:szCs w:val="22"/>
          <w:lang w:val="es-ES"/>
        </w:rPr>
        <w:t>intervención</w:t>
      </w:r>
      <w:r w:rsidRPr="00E52C43">
        <w:rPr>
          <w:rFonts w:cs="Arial"/>
          <w:noProof w:val="0"/>
          <w:color w:val="000000"/>
          <w:sz w:val="22"/>
          <w:szCs w:val="22"/>
          <w:lang w:val="es-ES"/>
        </w:rPr>
        <w:t>.</w:t>
      </w:r>
    </w:p>
    <w:p w14:paraId="07A2FF28" w14:textId="77777777" w:rsidR="007F7798" w:rsidRPr="00E52C43" w:rsidRDefault="007F7798" w:rsidP="007F7798">
      <w:pPr>
        <w:pStyle w:val="Caption"/>
        <w:rPr>
          <w:rFonts w:cs="Arial"/>
          <w:color w:val="000000"/>
          <w:sz w:val="22"/>
          <w:szCs w:val="22"/>
          <w:lang w:val="es-ES"/>
        </w:rPr>
      </w:pPr>
      <w:r w:rsidRPr="00E52C43">
        <w:rPr>
          <w:rFonts w:cs="Arial"/>
          <w:sz w:val="22"/>
          <w:szCs w:val="22"/>
          <w:lang w:val="es-ES"/>
        </w:rPr>
        <w:t xml:space="preserve">Figura </w:t>
      </w:r>
      <w:r w:rsidRPr="00E52C43">
        <w:rPr>
          <w:rFonts w:cs="Arial"/>
          <w:sz w:val="22"/>
          <w:szCs w:val="22"/>
          <w:lang w:val="es-ES"/>
        </w:rPr>
        <w:fldChar w:fldCharType="begin"/>
      </w:r>
      <w:r w:rsidRPr="00E52C43">
        <w:rPr>
          <w:rFonts w:cs="Arial"/>
          <w:sz w:val="22"/>
          <w:szCs w:val="22"/>
          <w:lang w:val="es-ES"/>
        </w:rPr>
        <w:instrText xml:space="preserve"> SEQ Figura \* ARABIC </w:instrText>
      </w:r>
      <w:r w:rsidRPr="00E52C43">
        <w:rPr>
          <w:rFonts w:cs="Arial"/>
          <w:sz w:val="22"/>
          <w:szCs w:val="22"/>
          <w:lang w:val="es-ES"/>
        </w:rPr>
        <w:fldChar w:fldCharType="separate"/>
      </w:r>
      <w:r w:rsidR="00D83D25">
        <w:rPr>
          <w:rFonts w:cs="Arial"/>
          <w:noProof/>
          <w:sz w:val="22"/>
          <w:szCs w:val="22"/>
          <w:lang w:val="es-ES"/>
        </w:rPr>
        <w:t>2</w:t>
      </w:r>
      <w:r w:rsidRPr="00E52C43">
        <w:rPr>
          <w:rFonts w:cs="Arial"/>
          <w:sz w:val="22"/>
          <w:szCs w:val="22"/>
          <w:lang w:val="es-ES"/>
        </w:rPr>
        <w:fldChar w:fldCharType="end"/>
      </w:r>
      <w:r w:rsidRPr="00E52C43">
        <w:rPr>
          <w:rFonts w:cs="Arial"/>
          <w:sz w:val="22"/>
          <w:szCs w:val="22"/>
          <w:lang w:val="es-ES"/>
        </w:rPr>
        <w:t>. Tendencia en las ventas per cápita de cigarros en California en comparación</w:t>
      </w:r>
    </w:p>
    <w:p w14:paraId="1323651F" w14:textId="77777777" w:rsidR="00A9272D" w:rsidRPr="00E52C43" w:rsidRDefault="00B5105E" w:rsidP="00A9272D">
      <w:pPr>
        <w:rPr>
          <w:rFonts w:cs="Arial"/>
          <w:sz w:val="22"/>
          <w:szCs w:val="22"/>
          <w:lang w:val="es-ES" w:eastAsia="es-ES"/>
        </w:rPr>
      </w:pPr>
      <w:r w:rsidRPr="00E52C43">
        <w:rPr>
          <w:rFonts w:cs="Arial"/>
          <w:sz w:val="22"/>
          <w:szCs w:val="22"/>
          <w:lang w:val="es-ES" w:eastAsia="es-ES"/>
        </w:rPr>
        <w:t xml:space="preserve">      </w:t>
      </w:r>
      <w:r w:rsidR="00A9272D" w:rsidRPr="00E52C43">
        <w:rPr>
          <w:rFonts w:cs="Arial"/>
          <w:noProof/>
          <w:sz w:val="22"/>
          <w:szCs w:val="22"/>
          <w:lang w:val="en-US"/>
        </w:rPr>
        <w:drawing>
          <wp:inline distT="0" distB="0" distL="0" distR="0" wp14:anchorId="690635AF" wp14:editId="2E4668F2">
            <wp:extent cx="4451230" cy="2432649"/>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5204" b="7878"/>
                    <a:stretch/>
                  </pic:blipFill>
                  <pic:spPr bwMode="auto">
                    <a:xfrm>
                      <a:off x="0" y="0"/>
                      <a:ext cx="4470253" cy="2443045"/>
                    </a:xfrm>
                    <a:prstGeom prst="rect">
                      <a:avLst/>
                    </a:prstGeom>
                    <a:noFill/>
                    <a:ln>
                      <a:noFill/>
                    </a:ln>
                    <a:extLst>
                      <a:ext uri="{53640926-AAD7-44D8-BBD7-CCE9431645EC}">
                        <a14:shadowObscured xmlns:a14="http://schemas.microsoft.com/office/drawing/2010/main"/>
                      </a:ext>
                    </a:extLst>
                  </pic:spPr>
                </pic:pic>
              </a:graphicData>
            </a:graphic>
          </wp:inline>
        </w:drawing>
      </w:r>
    </w:p>
    <w:p w14:paraId="4FEB0398" w14:textId="77777777" w:rsidR="0070048B" w:rsidRPr="00E52C43" w:rsidRDefault="00210295" w:rsidP="007C7CD4">
      <w:pPr>
        <w:ind w:left="720"/>
        <w:rPr>
          <w:rFonts w:cs="Arial"/>
          <w:sz w:val="18"/>
          <w:szCs w:val="18"/>
          <w:lang w:val="es-ES"/>
        </w:rPr>
      </w:pPr>
      <w:r w:rsidRPr="00E52C43">
        <w:rPr>
          <w:rFonts w:cs="Arial"/>
          <w:sz w:val="18"/>
          <w:szCs w:val="18"/>
          <w:lang w:val="es-ES"/>
        </w:rPr>
        <w:t>Fuente:</w:t>
      </w:r>
      <w:r w:rsidR="0070048B" w:rsidRPr="00E52C43">
        <w:rPr>
          <w:rFonts w:cs="Arial"/>
          <w:sz w:val="18"/>
          <w:szCs w:val="18"/>
          <w:lang w:val="es-ES"/>
        </w:rPr>
        <w:t xml:space="preserve"> </w:t>
      </w:r>
      <w:r w:rsidR="0070048B" w:rsidRPr="00E52C43">
        <w:rPr>
          <w:rFonts w:cs="Arial"/>
          <w:sz w:val="18"/>
          <w:szCs w:val="18"/>
          <w:lang w:val="es-ES"/>
        </w:rPr>
        <w:fldChar w:fldCharType="begin" w:fldLock="1"/>
      </w:r>
      <w:r w:rsidR="0070048B" w:rsidRPr="00E52C43">
        <w:rPr>
          <w:rFonts w:cs="Arial"/>
          <w:sz w:val="18"/>
          <w:szCs w:val="18"/>
          <w:lang w:val="es-ES"/>
        </w:rPr>
        <w:instrText>ADDIN CSL_CITATION { "citationItems" : [ { "id" : "ITEM-1", "itemData" : { "author" : [ { "dropping-particle" : "", "family" : "Abadie", "given" : "Alberto", "non-dropping-particle" : "", "parse-names" : false, "suffix" : "" }, { "dropping-particle" : "", "family" : "Diamond", "given" : "Alexis", "non-dropping-particle" : "", "parse-names" : false, "suffix" : "" }, { "dropping-particle" : "", "family" : "Hainmueller", "given" : "Jens", "non-dropping-particle" : "", "parse-names" : false, "suffix" : "" } ], "container-title" : "Journal of the American \u2026", "id" : "ITEM-1", "issued" : { "date-parts" : [ [ "2010" ] ] }, "title" : "Synthetic control methods for comparative case studies: Estimating the effect of California's tobacco control program", "type" : "article-journal" }, "uris" : [ "http://www.mendeley.com/documents/?uuid=16bf5454-742b-4402-82ee-9bde633c9fad" ] } ], "mendeley" : { "formattedCitation" : "(Alberto Abadie, Diamond, and Hainmueller 2010)", "manualFormatting" : "Abadie, Diamond y Hainmueller (2010)", "plainTextFormattedCitation" : "(Alberto Abadie, Diamond, and Hainmueller 2010)", "previouslyFormattedCitation" : "(Alberto Abadie, Diamond, and Hainmueller 2010)" }, "properties" : { "noteIndex" : 0 }, "schema" : "https://github.com/citation-style-language/schema/raw/master/csl-citation.json" }</w:instrText>
      </w:r>
      <w:r w:rsidR="0070048B" w:rsidRPr="00E52C43">
        <w:rPr>
          <w:rFonts w:cs="Arial"/>
          <w:sz w:val="18"/>
          <w:szCs w:val="18"/>
          <w:lang w:val="es-ES"/>
        </w:rPr>
        <w:fldChar w:fldCharType="separate"/>
      </w:r>
      <w:r w:rsidR="0070048B" w:rsidRPr="00E52C43">
        <w:rPr>
          <w:rFonts w:cs="Arial"/>
          <w:noProof/>
          <w:sz w:val="18"/>
          <w:szCs w:val="18"/>
          <w:lang w:val="es-ES"/>
        </w:rPr>
        <w:t>Abadie, Diamond y Hainmueller (2010)</w:t>
      </w:r>
      <w:r w:rsidR="0070048B" w:rsidRPr="00E52C43">
        <w:rPr>
          <w:rFonts w:cs="Arial"/>
          <w:sz w:val="18"/>
          <w:szCs w:val="18"/>
          <w:lang w:val="es-ES"/>
        </w:rPr>
        <w:fldChar w:fldCharType="end"/>
      </w:r>
    </w:p>
    <w:p w14:paraId="05F5B3F1" w14:textId="77777777" w:rsidR="008E7742" w:rsidRPr="00E52C43" w:rsidRDefault="008E7742" w:rsidP="008E7742">
      <w:pPr>
        <w:jc w:val="center"/>
        <w:rPr>
          <w:rFonts w:eastAsia="Arial Unicode MS" w:cs="Arial"/>
          <w:bCs/>
          <w:smallCaps/>
          <w:sz w:val="22"/>
          <w:szCs w:val="22"/>
          <w:lang w:val="es-ES"/>
        </w:rPr>
      </w:pPr>
    </w:p>
    <w:p w14:paraId="3E04D03C" w14:textId="77777777" w:rsidR="00210295" w:rsidRDefault="00210295" w:rsidP="00210295">
      <w:pPr>
        <w:pStyle w:val="AutoNumpara"/>
        <w:numPr>
          <w:ilvl w:val="0"/>
          <w:numId w:val="0"/>
        </w:numPr>
        <w:rPr>
          <w:rFonts w:cs="Arial"/>
          <w:noProof w:val="0"/>
          <w:color w:val="000000"/>
          <w:sz w:val="22"/>
          <w:szCs w:val="22"/>
          <w:lang w:val="es-ES"/>
        </w:rPr>
      </w:pPr>
      <w:r w:rsidRPr="00E52C43">
        <w:rPr>
          <w:rFonts w:cs="Arial"/>
          <w:noProof w:val="0"/>
          <w:color w:val="000000"/>
          <w:sz w:val="22"/>
          <w:szCs w:val="22"/>
          <w:lang w:val="es-ES"/>
        </w:rPr>
        <w:lastRenderedPageBreak/>
        <w:t>Los datos necesarios para elaborar la evaluación</w:t>
      </w:r>
      <w:r w:rsidR="00C85D57" w:rsidRPr="00E52C43">
        <w:rPr>
          <w:rFonts w:cs="Arial"/>
          <w:noProof w:val="0"/>
          <w:color w:val="000000"/>
          <w:sz w:val="22"/>
          <w:szCs w:val="22"/>
          <w:lang w:val="es-ES"/>
        </w:rPr>
        <w:t xml:space="preserve"> de PROEXMAES II</w:t>
      </w:r>
      <w:r w:rsidRPr="00E52C43">
        <w:rPr>
          <w:rFonts w:cs="Arial"/>
          <w:noProof w:val="0"/>
          <w:color w:val="000000"/>
          <w:sz w:val="22"/>
          <w:szCs w:val="22"/>
          <w:lang w:val="es-ES"/>
        </w:rPr>
        <w:t xml:space="preserve"> provienen de DATASUS, específicamente del </w:t>
      </w:r>
      <w:r w:rsidR="0070048B" w:rsidRPr="00E52C43">
        <w:rPr>
          <w:rFonts w:cs="Arial"/>
          <w:i/>
          <w:noProof w:val="0"/>
          <w:color w:val="000000"/>
          <w:sz w:val="22"/>
          <w:szCs w:val="22"/>
          <w:lang w:val="es-ES"/>
        </w:rPr>
        <w:t>Sistema de Informações de Mortalidade</w:t>
      </w:r>
      <w:r w:rsidR="0070048B" w:rsidRPr="00E52C43">
        <w:rPr>
          <w:rFonts w:cs="Arial"/>
          <w:noProof w:val="0"/>
          <w:color w:val="000000"/>
          <w:sz w:val="22"/>
          <w:szCs w:val="22"/>
          <w:lang w:val="es-ES"/>
        </w:rPr>
        <w:t xml:space="preserve"> (</w:t>
      </w:r>
      <w:r w:rsidRPr="00E52C43">
        <w:rPr>
          <w:rFonts w:cs="Arial"/>
          <w:noProof w:val="0"/>
          <w:color w:val="000000"/>
          <w:sz w:val="22"/>
          <w:szCs w:val="22"/>
          <w:lang w:val="es-ES"/>
        </w:rPr>
        <w:t>SIM</w:t>
      </w:r>
      <w:r w:rsidR="0070048B" w:rsidRPr="00E52C43">
        <w:rPr>
          <w:rFonts w:cs="Arial"/>
          <w:noProof w:val="0"/>
          <w:color w:val="000000"/>
          <w:sz w:val="22"/>
          <w:szCs w:val="22"/>
          <w:lang w:val="es-ES"/>
        </w:rPr>
        <w:t xml:space="preserve">) y </w:t>
      </w:r>
      <w:r w:rsidRPr="00E52C43">
        <w:rPr>
          <w:rFonts w:cs="Arial"/>
          <w:noProof w:val="0"/>
          <w:color w:val="000000"/>
          <w:sz w:val="22"/>
          <w:szCs w:val="22"/>
          <w:lang w:val="es-ES"/>
        </w:rPr>
        <w:t xml:space="preserve">el </w:t>
      </w:r>
      <w:r w:rsidR="0070048B" w:rsidRPr="00E52C43">
        <w:rPr>
          <w:rFonts w:cs="Arial"/>
          <w:i/>
          <w:noProof w:val="0"/>
          <w:color w:val="000000"/>
          <w:sz w:val="22"/>
          <w:szCs w:val="22"/>
          <w:lang w:val="es-ES"/>
        </w:rPr>
        <w:t>Sistema de Informações Hospitalares do Sistema Único de Saúde</w:t>
      </w:r>
      <w:r w:rsidR="00025A3B">
        <w:rPr>
          <w:rFonts w:cs="Arial"/>
          <w:noProof w:val="0"/>
          <w:color w:val="000000"/>
          <w:sz w:val="22"/>
          <w:szCs w:val="22"/>
          <w:lang w:val="es-ES"/>
        </w:rPr>
        <w:t xml:space="preserve"> (SIH</w:t>
      </w:r>
      <w:r w:rsidR="0070048B" w:rsidRPr="00E52C43">
        <w:rPr>
          <w:rFonts w:cs="Arial"/>
          <w:noProof w:val="0"/>
          <w:color w:val="000000"/>
          <w:sz w:val="22"/>
          <w:szCs w:val="22"/>
          <w:lang w:val="es-ES"/>
        </w:rPr>
        <w:t>)</w:t>
      </w:r>
      <w:r w:rsidRPr="00E52C43">
        <w:rPr>
          <w:rFonts w:cs="Arial"/>
          <w:noProof w:val="0"/>
          <w:color w:val="000000"/>
          <w:sz w:val="22"/>
          <w:szCs w:val="22"/>
          <w:lang w:val="es-ES"/>
        </w:rPr>
        <w:t xml:space="preserve"> que son </w:t>
      </w:r>
      <w:r w:rsidR="0070048B" w:rsidRPr="00E52C43">
        <w:rPr>
          <w:rFonts w:cs="Arial"/>
          <w:noProof w:val="0"/>
          <w:color w:val="000000"/>
          <w:sz w:val="22"/>
          <w:szCs w:val="22"/>
          <w:lang w:val="es-ES"/>
        </w:rPr>
        <w:t>sistemas de in</w:t>
      </w:r>
      <w:r w:rsidRPr="00E52C43">
        <w:rPr>
          <w:rFonts w:cs="Arial"/>
          <w:noProof w:val="0"/>
          <w:color w:val="000000"/>
          <w:sz w:val="22"/>
          <w:szCs w:val="22"/>
          <w:lang w:val="es-ES"/>
        </w:rPr>
        <w:t xml:space="preserve"> administrativas que recopilan</w:t>
      </w:r>
      <w:r w:rsidR="00C85D57" w:rsidRPr="00E52C43">
        <w:rPr>
          <w:rFonts w:cs="Arial"/>
          <w:noProof w:val="0"/>
          <w:color w:val="000000"/>
          <w:sz w:val="22"/>
          <w:szCs w:val="22"/>
          <w:lang w:val="es-ES"/>
        </w:rPr>
        <w:t xml:space="preserve"> información de manera rutinaria por el SUS. </w:t>
      </w:r>
    </w:p>
    <w:p w14:paraId="59B563AA" w14:textId="77777777" w:rsidR="00136578" w:rsidRPr="00136578" w:rsidRDefault="00136578" w:rsidP="00136578">
      <w:pPr>
        <w:pStyle w:val="AutoNumpara"/>
        <w:numPr>
          <w:ilvl w:val="0"/>
          <w:numId w:val="0"/>
        </w:numPr>
        <w:rPr>
          <w:rFonts w:cs="Arial"/>
          <w:noProof w:val="0"/>
          <w:color w:val="000000"/>
          <w:sz w:val="22"/>
          <w:szCs w:val="22"/>
        </w:rPr>
      </w:pPr>
      <w:r w:rsidRPr="00136578">
        <w:rPr>
          <w:rFonts w:cs="Arial"/>
          <w:noProof w:val="0"/>
          <w:color w:val="000000"/>
          <w:sz w:val="22"/>
          <w:szCs w:val="22"/>
          <w:lang w:val="es-ES"/>
        </w:rPr>
        <w:t>El sistema DATASUS permite descargar los datos de un FTP</w:t>
      </w:r>
      <w:r w:rsidRPr="00136578">
        <w:rPr>
          <w:rStyle w:val="FootnoteReference"/>
          <w:rFonts w:cs="Arial"/>
          <w:noProof w:val="0"/>
          <w:color w:val="000000"/>
          <w:szCs w:val="22"/>
          <w:lang w:val="es-ES"/>
        </w:rPr>
        <w:footnoteReference w:id="28"/>
      </w:r>
      <w:r w:rsidRPr="00136578">
        <w:rPr>
          <w:rFonts w:cs="Arial"/>
          <w:noProof w:val="0"/>
          <w:color w:val="000000"/>
          <w:sz w:val="22"/>
          <w:szCs w:val="22"/>
          <w:lang w:val="es-ES"/>
        </w:rPr>
        <w:t xml:space="preserve"> a nivel de decesos en el caso del SIM y de internaciones en el caso del SIH. El SIM fue creado en 1975 por el Ministerio de Salud e integra y es la fuente de datos para construir estadísticas de mortalidad en Brasil. </w:t>
      </w:r>
      <w:r w:rsidRPr="00136578">
        <w:rPr>
          <w:rFonts w:cs="Arial"/>
          <w:noProof w:val="0"/>
          <w:color w:val="000000"/>
          <w:sz w:val="22"/>
          <w:szCs w:val="22"/>
        </w:rPr>
        <w:t>El sistema de información se alimenta a partir de las actas de defunción emitidas por  personal médico (</w:t>
      </w:r>
      <w:r w:rsidRPr="00136578">
        <w:rPr>
          <w:rFonts w:cs="Arial"/>
          <w:i/>
          <w:noProof w:val="0"/>
          <w:color w:val="000000"/>
          <w:sz w:val="22"/>
          <w:szCs w:val="22"/>
        </w:rPr>
        <w:t>declaração do óbito</w:t>
      </w:r>
      <w:r w:rsidRPr="00136578">
        <w:rPr>
          <w:rFonts w:cs="Arial"/>
          <w:noProof w:val="0"/>
          <w:color w:val="000000"/>
          <w:sz w:val="22"/>
          <w:szCs w:val="22"/>
        </w:rPr>
        <w:t>)  y que son un requisito legal cuando se presenta un deceso</w:t>
      </w:r>
      <w:r w:rsidRPr="00136578">
        <w:rPr>
          <w:rStyle w:val="FootnoteReference"/>
          <w:rFonts w:cs="Arial"/>
          <w:noProof w:val="0"/>
          <w:color w:val="000000"/>
          <w:szCs w:val="22"/>
          <w:lang w:val="es-ES"/>
        </w:rPr>
        <w:footnoteReference w:id="29"/>
      </w:r>
      <w:r w:rsidRPr="00136578">
        <w:rPr>
          <w:rFonts w:cs="Arial"/>
          <w:noProof w:val="0"/>
          <w:color w:val="000000"/>
          <w:sz w:val="22"/>
          <w:szCs w:val="22"/>
        </w:rPr>
        <w:t xml:space="preserve">. Es responsabilidad de cada una de las secretarías municipales de salud integrar, digitalizar y procesar la información de las actas de defunción en un módulo del SIM. La información se encuentra disponible anualmente en el FTP con un rezago de dos años. Posteriormente los estados consolidan la información de los municipios y transfieren la información al nivel federal. El SIM fue calificado por la OMS como un sistema de calidad intermedia en 2005 junto con otros sistemas como los de Francia, Dinamarca, Alemania y Suiza </w:t>
      </w:r>
      <w:r w:rsidRPr="00136578">
        <w:rPr>
          <w:rFonts w:cs="Arial"/>
          <w:noProof w:val="0"/>
          <w:color w:val="000000"/>
          <w:sz w:val="22"/>
          <w:szCs w:val="22"/>
        </w:rPr>
        <w:fldChar w:fldCharType="begin" w:fldLock="1"/>
      </w:r>
      <w:r w:rsidRPr="00136578">
        <w:rPr>
          <w:rFonts w:cs="Arial"/>
          <w:noProof w:val="0"/>
          <w:color w:val="000000"/>
          <w:sz w:val="22"/>
          <w:szCs w:val="22"/>
        </w:rPr>
        <w:instrText>ADDIN CSL_CITATION { "citationItems" : [ { "id" : "ITEM-1", "itemData" : { "DOI" : "10.1590/S0042-96862005000300009", "ISSN" : "0042-9686", "author" : [ { "dropping-particle" : "", "family" : "Mathers", "given" : "Colin D.", "non-dropping-particle" : "", "parse-names" : false, "suffix" : "" }, { "dropping-particle" : "", "family" : "Ma Fat", "given" : "Doris", "non-dropping-particle" : "", "parse-names" : false, "suffix" : "" }, { "dropping-particle" : "", "family" : "Inoue", "given" : "Mie", "non-dropping-particle" : "", "parse-names" : false, "suffix" : "" }, { "dropping-particle" : "", "family" : "Rao", "given" : "Chalapati", "non-dropping-particle" : "", "parse-names" : false, "suffix" : "" }, { "dropping-particle" : "", "family" : "Lopez", "given" : "Alan D.", "non-dropping-particle" : "", "parse-names" : false, "suffix" : "" } ], "container-title" : "Bulletin of the World Health Organization", "id" : "ITEM-1", "issue" : "3", "issued" : { "date-parts" : [ [ "0" ] ] }, "page" : "171-177c", "publisher" : "World Health Organization", "title" : "Counting the dead and what they died from: an assessment of the global status of cause of death data", "type" : "article-journal", "volume" : "83" }, "uris" : [ "http://www.mendeley.com/documents/?uuid=c7a89c17-0212-42a3-9698-3afdce5cf35c" ] } ], "mendeley" : { "formattedCitation" : "(Mathers et al. 2015)", "plainTextFormattedCitation" : "(Mathers et al. 2015)" }, "properties" : { "noteIndex" : 0 }, "schema" : "https://github.com/citation-style-language/schema/raw/master/csl-citation.json" }</w:instrText>
      </w:r>
      <w:r w:rsidRPr="00136578">
        <w:rPr>
          <w:rFonts w:cs="Arial"/>
          <w:noProof w:val="0"/>
          <w:color w:val="000000"/>
          <w:sz w:val="22"/>
          <w:szCs w:val="22"/>
        </w:rPr>
        <w:fldChar w:fldCharType="separate"/>
      </w:r>
      <w:r w:rsidRPr="00136578">
        <w:rPr>
          <w:rFonts w:cs="Arial"/>
          <w:color w:val="000000"/>
          <w:sz w:val="22"/>
          <w:szCs w:val="22"/>
        </w:rPr>
        <w:t>(Mathers et al. 2015)</w:t>
      </w:r>
      <w:r w:rsidRPr="00136578">
        <w:rPr>
          <w:rFonts w:cs="Arial"/>
          <w:noProof w:val="0"/>
          <w:color w:val="000000"/>
          <w:sz w:val="22"/>
          <w:szCs w:val="22"/>
        </w:rPr>
        <w:fldChar w:fldCharType="end"/>
      </w:r>
      <w:r w:rsidRPr="00136578">
        <w:rPr>
          <w:rFonts w:cs="Arial"/>
          <w:noProof w:val="0"/>
          <w:color w:val="000000"/>
          <w:sz w:val="22"/>
          <w:szCs w:val="22"/>
        </w:rPr>
        <w:t>. Es decir que presenta fortalezas aunque existen importantes retos. A partir de este año el Ministerio de Salud ha adoptado medidas para reducir el porcentaje de errores en las causas de los decesos, en el desarrollo de aplicaciones informáticas y en la capacitación para los codificadores.</w:t>
      </w:r>
    </w:p>
    <w:p w14:paraId="1EBD50BE" w14:textId="77777777" w:rsidR="00136578" w:rsidRPr="00136578" w:rsidRDefault="00136578" w:rsidP="00136578">
      <w:pPr>
        <w:pStyle w:val="AutoNumpara"/>
        <w:numPr>
          <w:ilvl w:val="0"/>
          <w:numId w:val="0"/>
        </w:numPr>
        <w:rPr>
          <w:rFonts w:cs="Arial"/>
          <w:noProof w:val="0"/>
          <w:color w:val="000000"/>
          <w:sz w:val="22"/>
          <w:szCs w:val="22"/>
        </w:rPr>
      </w:pPr>
      <w:r w:rsidRPr="00136578">
        <w:rPr>
          <w:rFonts w:cs="Arial"/>
          <w:noProof w:val="0"/>
          <w:color w:val="000000"/>
          <w:sz w:val="22"/>
          <w:szCs w:val="22"/>
        </w:rPr>
        <w:t>El SIH recopila la información sobre las internaciones en las unidades hospitalarias públicas y privadas que integran el Sistema Único de Salud (SUS). La principal fuente de información de esta base de datos es la Autorización de Internación Hospitalaria (</w:t>
      </w:r>
      <w:r w:rsidRPr="00136578">
        <w:rPr>
          <w:rFonts w:cs="Arial"/>
          <w:i/>
          <w:noProof w:val="0"/>
          <w:color w:val="000000"/>
          <w:sz w:val="22"/>
          <w:szCs w:val="22"/>
        </w:rPr>
        <w:t>Autorização de Internação Hospitalar</w:t>
      </w:r>
      <w:r w:rsidRPr="00136578">
        <w:rPr>
          <w:rFonts w:cs="Arial"/>
          <w:noProof w:val="0"/>
          <w:color w:val="000000"/>
          <w:sz w:val="22"/>
          <w:szCs w:val="22"/>
        </w:rPr>
        <w:t>) y envía la información a los gestores municipales que integran la información y envían a los gestores estaduales. Los datos están disponibles a partir de 1984</w:t>
      </w:r>
      <w:r w:rsidRPr="00136578">
        <w:rPr>
          <w:rStyle w:val="FootnoteReference"/>
          <w:rFonts w:cs="Arial"/>
          <w:noProof w:val="0"/>
          <w:color w:val="000000"/>
          <w:szCs w:val="22"/>
        </w:rPr>
        <w:footnoteReference w:id="30"/>
      </w:r>
      <w:r w:rsidRPr="00136578">
        <w:rPr>
          <w:rFonts w:cs="Arial"/>
          <w:noProof w:val="0"/>
          <w:color w:val="000000"/>
          <w:sz w:val="22"/>
          <w:szCs w:val="22"/>
        </w:rPr>
        <w:t xml:space="preserve">. La información de las internaciones está disponible mensualmente con un rezago de 12 meses. </w:t>
      </w:r>
    </w:p>
    <w:p w14:paraId="5FCF56A6" w14:textId="77777777" w:rsidR="00136578" w:rsidRPr="00136578" w:rsidRDefault="00136578" w:rsidP="00136578">
      <w:pPr>
        <w:pStyle w:val="AutoNumpara"/>
        <w:numPr>
          <w:ilvl w:val="0"/>
          <w:numId w:val="0"/>
        </w:numPr>
        <w:rPr>
          <w:rFonts w:cs="Arial"/>
          <w:noProof w:val="0"/>
          <w:color w:val="000000"/>
          <w:sz w:val="22"/>
          <w:szCs w:val="22"/>
        </w:rPr>
      </w:pPr>
      <w:r w:rsidRPr="00136578">
        <w:rPr>
          <w:rFonts w:cs="Arial"/>
          <w:noProof w:val="0"/>
          <w:color w:val="000000"/>
          <w:sz w:val="22"/>
          <w:szCs w:val="22"/>
          <w:lang w:val="es-ES"/>
        </w:rPr>
        <w:t>Los datos disponibles actualmente permiten analizar el periodo de 1998 a 2013; al momento de escribir este informe la información de defunciones solo está disponible para todos los estados hasta 2013 y la de internaciones hasta mayo de 2014. Posteriormente se actualizará el análisis para medir los impactos a partir de la intervención financiada por este proyecto a partir de 2016. Por esta razón habría que considerar un rezago para poder realizar la evaluación de los impactos.</w:t>
      </w:r>
    </w:p>
    <w:p w14:paraId="303BFF0A" w14:textId="77777777" w:rsidR="00136578" w:rsidRPr="00136578" w:rsidRDefault="00136578" w:rsidP="00136578">
      <w:pPr>
        <w:pStyle w:val="AutoNumpara"/>
        <w:numPr>
          <w:ilvl w:val="0"/>
          <w:numId w:val="0"/>
        </w:numPr>
        <w:rPr>
          <w:rFonts w:cs="Arial"/>
          <w:noProof w:val="0"/>
          <w:color w:val="000000"/>
          <w:sz w:val="22"/>
          <w:szCs w:val="22"/>
        </w:rPr>
      </w:pPr>
      <w:r w:rsidRPr="00136578">
        <w:rPr>
          <w:rFonts w:cs="Arial"/>
          <w:noProof w:val="0"/>
          <w:color w:val="000000"/>
          <w:sz w:val="22"/>
          <w:szCs w:val="22"/>
          <w:lang w:val="es-ES"/>
        </w:rPr>
        <w:t xml:space="preserve">En este documento se presenta un par de ejemplos de la aplicación de la metodología de cohortes sintéticos utilizando dos de los indicadores de impacto de la matriz de resultados:  i) porcentaje de internaciones por condiciones sensibles a la atención básica, y ii) tasa de mortalidad prematura por accidentes cerebro vasculares. Sin embargo otros indicadores de impacto y de resultado podrían ser analizados utilizando esta metodología e incluso resultados diferenciados por género. </w:t>
      </w:r>
    </w:p>
    <w:p w14:paraId="08B3E938" w14:textId="77777777" w:rsidR="009352A8" w:rsidRPr="008F2118" w:rsidRDefault="00136578" w:rsidP="00136578">
      <w:pPr>
        <w:pStyle w:val="AutoNumpara"/>
        <w:numPr>
          <w:ilvl w:val="0"/>
          <w:numId w:val="0"/>
        </w:numPr>
        <w:rPr>
          <w:rFonts w:cs="Arial"/>
          <w:noProof w:val="0"/>
          <w:color w:val="000000"/>
          <w:sz w:val="22"/>
          <w:szCs w:val="22"/>
        </w:rPr>
      </w:pPr>
      <w:r w:rsidRPr="00136578">
        <w:rPr>
          <w:rFonts w:cs="Arial"/>
          <w:noProof w:val="0"/>
          <w:color w:val="000000"/>
          <w:sz w:val="22"/>
          <w:szCs w:val="22"/>
          <w:lang w:val="es-ES"/>
        </w:rPr>
        <w:t xml:space="preserve">Se prevé que los efectos del PROEXMASS II sean diferentes en la zona metropolitana de Fortaleza que en el resto de Ceará, por lo que se presentan dos ejercicios para cada indicador. En el primero se utiliza como grupo de tratamiento </w:t>
      </w:r>
      <w:r>
        <w:rPr>
          <w:rFonts w:cs="Arial"/>
          <w:noProof w:val="0"/>
          <w:color w:val="000000"/>
          <w:sz w:val="22"/>
          <w:szCs w:val="22"/>
          <w:lang w:val="es-ES"/>
        </w:rPr>
        <w:t xml:space="preserve"> </w:t>
      </w:r>
      <w:r w:rsidR="00210295" w:rsidRPr="00E52C43">
        <w:rPr>
          <w:rFonts w:cs="Arial"/>
          <w:noProof w:val="0"/>
          <w:color w:val="000000"/>
          <w:sz w:val="22"/>
          <w:szCs w:val="22"/>
          <w:lang w:val="es-ES"/>
        </w:rPr>
        <w:t xml:space="preserve">(el equivalente a California en el ejemplo de los cigarrillos) al </w:t>
      </w:r>
      <w:r w:rsidR="00296B5C" w:rsidRPr="00E52C43">
        <w:rPr>
          <w:rFonts w:cs="Arial"/>
          <w:noProof w:val="0"/>
          <w:color w:val="000000"/>
          <w:sz w:val="22"/>
          <w:szCs w:val="22"/>
          <w:lang w:val="es-ES"/>
        </w:rPr>
        <w:t>grupo de municipios no metropolitanos</w:t>
      </w:r>
      <w:r w:rsidR="006E077A">
        <w:rPr>
          <w:rStyle w:val="FootnoteReference"/>
          <w:rFonts w:cs="Arial"/>
          <w:noProof w:val="0"/>
          <w:color w:val="000000"/>
          <w:szCs w:val="22"/>
          <w:lang w:val="es-ES"/>
        </w:rPr>
        <w:footnoteReference w:id="31"/>
      </w:r>
      <w:r w:rsidR="00296B5C" w:rsidRPr="00E52C43">
        <w:rPr>
          <w:rFonts w:cs="Arial"/>
          <w:noProof w:val="0"/>
          <w:color w:val="000000"/>
          <w:sz w:val="22"/>
          <w:szCs w:val="22"/>
          <w:lang w:val="es-ES"/>
        </w:rPr>
        <w:t xml:space="preserve"> de Ceará</w:t>
      </w:r>
      <w:r w:rsidR="00210295" w:rsidRPr="00E52C43">
        <w:rPr>
          <w:rFonts w:cs="Arial"/>
          <w:noProof w:val="0"/>
          <w:color w:val="000000"/>
          <w:sz w:val="22"/>
          <w:szCs w:val="22"/>
          <w:lang w:val="es-ES"/>
        </w:rPr>
        <w:t xml:space="preserve">. </w:t>
      </w:r>
      <w:r w:rsidR="00296B5C" w:rsidRPr="00E52C43">
        <w:rPr>
          <w:rFonts w:cs="Arial"/>
          <w:noProof w:val="0"/>
          <w:color w:val="000000"/>
          <w:sz w:val="22"/>
          <w:szCs w:val="22"/>
          <w:lang w:val="es-ES"/>
        </w:rPr>
        <w:t>Para definir el grupo de comparación se</w:t>
      </w:r>
      <w:r w:rsidR="00C85D57" w:rsidRPr="00E52C43">
        <w:rPr>
          <w:rFonts w:cs="Arial"/>
          <w:noProof w:val="0"/>
          <w:color w:val="000000"/>
          <w:sz w:val="22"/>
          <w:szCs w:val="22"/>
          <w:lang w:val="es-ES"/>
        </w:rPr>
        <w:t xml:space="preserve"> utiliza la población de </w:t>
      </w:r>
      <w:r w:rsidR="009352A8" w:rsidRPr="00E52C43">
        <w:rPr>
          <w:rFonts w:cs="Arial"/>
          <w:noProof w:val="0"/>
          <w:sz w:val="22"/>
          <w:szCs w:val="22"/>
          <w:lang w:val="es-ES"/>
        </w:rPr>
        <w:t xml:space="preserve">los municipios no metropolitanos de estados </w:t>
      </w:r>
      <w:r w:rsidR="00E52C43" w:rsidRPr="00E52C43">
        <w:rPr>
          <w:rFonts w:cs="Arial"/>
          <w:noProof w:val="0"/>
          <w:sz w:val="22"/>
          <w:szCs w:val="22"/>
          <w:lang w:val="es-ES"/>
        </w:rPr>
        <w:t>contiguos</w:t>
      </w:r>
      <w:r w:rsidR="009352A8" w:rsidRPr="00E52C43">
        <w:rPr>
          <w:rFonts w:cs="Arial"/>
          <w:noProof w:val="0"/>
          <w:sz w:val="22"/>
          <w:szCs w:val="22"/>
          <w:lang w:val="es-ES"/>
        </w:rPr>
        <w:t xml:space="preserve">. </w:t>
      </w:r>
      <w:r w:rsidR="009352A8" w:rsidRPr="00E52C43">
        <w:rPr>
          <w:rFonts w:cs="Arial"/>
          <w:noProof w:val="0"/>
          <w:sz w:val="22"/>
          <w:szCs w:val="22"/>
          <w:lang w:val="es-ES"/>
        </w:rPr>
        <w:lastRenderedPageBreak/>
        <w:t>Específicamente se consideran todos los</w:t>
      </w:r>
      <w:r w:rsidR="00C85D57" w:rsidRPr="00E52C43">
        <w:rPr>
          <w:rFonts w:cs="Arial"/>
          <w:noProof w:val="0"/>
          <w:sz w:val="22"/>
          <w:szCs w:val="22"/>
          <w:lang w:val="es-ES"/>
        </w:rPr>
        <w:t xml:space="preserve"> estados</w:t>
      </w:r>
      <w:r w:rsidR="009352A8" w:rsidRPr="00E52C43">
        <w:rPr>
          <w:rFonts w:cs="Arial"/>
          <w:noProof w:val="0"/>
          <w:sz w:val="22"/>
          <w:szCs w:val="22"/>
          <w:lang w:val="es-ES"/>
        </w:rPr>
        <w:t xml:space="preserve"> de la región nordeste—Maranhão, Piauí, Rio Grande do Norte, Paraíba, Pernambuco, Algoas, Sergipe y Bahía— y los estados vecinos Minas Gerais, Mato Grosso y Goias. Para crear un conjunto de municipios comparables se excluyen todos los municipios que pertenecen a zonas metropolitanas mayores a 1 millón de habitantes. Lo anterior incluye a los municipios que pertenecen a las regiones metropolitanas de Belo Horizonte, Brasilia, Salvador, Recife, Goiania, Natal, Sao Luis, Joao Pessoa, Maceio y Teresina. </w:t>
      </w:r>
      <w:r w:rsidR="002E2259">
        <w:rPr>
          <w:rFonts w:cs="Arial"/>
          <w:noProof w:val="0"/>
          <w:sz w:val="22"/>
          <w:szCs w:val="22"/>
          <w:lang w:val="es-ES"/>
        </w:rPr>
        <w:t>El segundo ejercicio utiliza como grupo de tratamiento el área metropolitana de Fortaleza y construye un grupo sintético de control a partir de las diez áreas metropolitanas mencionadas anteriormente.</w:t>
      </w:r>
    </w:p>
    <w:p w14:paraId="7906C0DD" w14:textId="77777777" w:rsidR="00136578" w:rsidRPr="00136578" w:rsidRDefault="00136578" w:rsidP="00136578">
      <w:pPr>
        <w:pStyle w:val="AutoNumpara"/>
        <w:numPr>
          <w:ilvl w:val="0"/>
          <w:numId w:val="0"/>
        </w:numPr>
        <w:rPr>
          <w:rFonts w:cs="Arial"/>
          <w:noProof w:val="0"/>
          <w:color w:val="000000"/>
          <w:sz w:val="22"/>
          <w:szCs w:val="22"/>
          <w:lang w:val="es-ES"/>
        </w:rPr>
      </w:pPr>
      <w:r w:rsidRPr="00136578">
        <w:rPr>
          <w:rFonts w:cs="Arial"/>
          <w:noProof w:val="0"/>
          <w:color w:val="000000"/>
          <w:sz w:val="22"/>
          <w:szCs w:val="22"/>
          <w:lang w:val="es-ES"/>
        </w:rPr>
        <w:t>Las Figuras 3 y 4 comparan la evolución entre 1998 y 2013 del porcentaje de las internaciones prevenibles y de la tasa de mortalidad prematura por Accidentes Cerebrovasculares (ACV). Se puede observar que los indicadores tienen diferentes niveles en cada uno de los estados y las ciudades, es decir que no hay un estado o una ciudad que pueda ser utilizado como control. La metodología</w:t>
      </w:r>
      <w:r w:rsidRPr="00136578">
        <w:rPr>
          <w:rFonts w:cs="Arial"/>
          <w:noProof w:val="0"/>
          <w:color w:val="000000"/>
          <w:sz w:val="22"/>
          <w:szCs w:val="22"/>
        </w:rPr>
        <w:t xml:space="preserve"> aquí aplicada permite construir un control sintético a partir de observaciones utilizando ponderadores. </w:t>
      </w:r>
      <w:r w:rsidRPr="00136578">
        <w:rPr>
          <w:rFonts w:cs="Arial"/>
          <w:noProof w:val="0"/>
          <w:color w:val="000000"/>
          <w:sz w:val="22"/>
          <w:szCs w:val="22"/>
          <w:lang w:val="es-ES"/>
        </w:rPr>
        <w:t xml:space="preserve">Una vez que se construye un control sintético los cambios que se registren en los indicadores de impacto podrán ser atribuidos a la intervención. </w:t>
      </w:r>
    </w:p>
    <w:p w14:paraId="1321CEFB" w14:textId="77777777" w:rsidR="00136578" w:rsidRPr="00136578" w:rsidRDefault="00136578" w:rsidP="00136578">
      <w:pPr>
        <w:pStyle w:val="AutoNumpara"/>
        <w:numPr>
          <w:ilvl w:val="0"/>
          <w:numId w:val="0"/>
        </w:numPr>
        <w:rPr>
          <w:rFonts w:cs="Arial"/>
          <w:noProof w:val="0"/>
          <w:color w:val="000000"/>
          <w:sz w:val="22"/>
          <w:szCs w:val="22"/>
          <w:lang w:val="es-ES"/>
        </w:rPr>
      </w:pPr>
      <w:r w:rsidRPr="00136578">
        <w:rPr>
          <w:rFonts w:cs="Arial"/>
          <w:noProof w:val="0"/>
          <w:color w:val="000000"/>
          <w:sz w:val="22"/>
          <w:szCs w:val="22"/>
          <w:lang w:val="es-ES"/>
        </w:rPr>
        <w:t>Para cada uno de los casos (internaciones prevenibles y muertes prematuras por ACV) y de los dos grupos de tratamiento (Ceará no metropolitano y Fortaleza) se desarrollan  dos grupos de modelos para construir controles sintéticos. El modelo 1 y el modelo 2 utilizan como variables para identificar el control sintético la población de 2013 el promedio del PIB per cápita de 2009-2013, el valor inicial y final del indicador a ser medido y el promedio del periodo. Por ejemplo en el caso de internaciones prevenibles se considera el valor del indicador en 1998 y en 2013 y el valor promedio entre 1998 y 2013. A diferencia del modelo 1, el modelo 2 limita los estados de comparación a aquellos controles seleccionados con el modelo 1. Esta operación generalmente aumenta la precisión del modelo.</w:t>
      </w:r>
    </w:p>
    <w:p w14:paraId="130E2DDB" w14:textId="77777777" w:rsidR="00136578" w:rsidRPr="00136578" w:rsidRDefault="00136578" w:rsidP="00136578">
      <w:pPr>
        <w:pStyle w:val="AutoNumpara"/>
        <w:numPr>
          <w:ilvl w:val="0"/>
          <w:numId w:val="0"/>
        </w:numPr>
        <w:spacing w:after="240"/>
        <w:rPr>
          <w:rFonts w:cs="Arial"/>
          <w:noProof w:val="0"/>
          <w:color w:val="000000"/>
          <w:sz w:val="22"/>
          <w:szCs w:val="22"/>
          <w:lang w:val="es-ES"/>
        </w:rPr>
      </w:pPr>
      <w:r w:rsidRPr="00136578">
        <w:rPr>
          <w:rFonts w:cs="Arial"/>
          <w:noProof w:val="0"/>
          <w:color w:val="000000"/>
          <w:sz w:val="22"/>
          <w:szCs w:val="22"/>
          <w:lang w:val="es-ES"/>
        </w:rPr>
        <w:t xml:space="preserve">En contraste la segunda familia de modelos que incluye los modelos 3 y 4 utilizan como variables para construir el control sintético la población y el PIB per-cápita de 2013 y el valor puntual del indicador a ser medido en cada año entre 1998 y 2013. Por ejemplo el valor de la tasa de mortalidad prematura por ACV de cada año entre 1998 y 2013. De manera similar a la familia anterior el modelo 4 es más preciso porque limita el número de estados utilizados a aquellos seleccionados por el modelo 3. </w:t>
      </w:r>
    </w:p>
    <w:p w14:paraId="2201E6A7" w14:textId="77777777" w:rsidR="00136578" w:rsidRPr="00E52C43" w:rsidRDefault="00136578" w:rsidP="00136578">
      <w:pPr>
        <w:pStyle w:val="AutoNumpara"/>
        <w:numPr>
          <w:ilvl w:val="0"/>
          <w:numId w:val="0"/>
        </w:numPr>
        <w:spacing w:after="240"/>
        <w:rPr>
          <w:rFonts w:cs="Arial"/>
          <w:noProof w:val="0"/>
          <w:color w:val="000000"/>
          <w:sz w:val="22"/>
          <w:szCs w:val="22"/>
          <w:lang w:val="es-ES"/>
        </w:rPr>
      </w:pPr>
      <w:r w:rsidRPr="00136578">
        <w:rPr>
          <w:rFonts w:cs="Arial"/>
          <w:noProof w:val="0"/>
          <w:color w:val="000000"/>
          <w:sz w:val="22"/>
          <w:szCs w:val="22"/>
          <w:lang w:val="es-ES"/>
        </w:rPr>
        <w:t>La tabla 1 y 2 indican las ponderaciones de cada uno de los estados o ciudades en cada uno de los controles sintéticos obtenidos de los modelos mencionados anteriormente. Las figuras 5 y 6 comparan los valores de las internaciones prevenibles y de la mortalidad prematura por ACV que se presentaron en Ceará no metropolitano y en Fortaleza entre los años 1998 y 2013 con los cuatro controles sintéticos construidos. Finalmente se presenta un histograma con la distribución de los errores para determinar cuál de los controles sintéticos resulta más adecuado para cada indicador y para cada área geográfica. Cabe recalcar que los estados o ciudades utilizados para construir los controles sintéticos no son necesariamente los mismos en cada caso, si no que la metodología identifica los grupos de control que deben utilizarse y la importancia (ponderación) que deben de tener en el control sintético.</w:t>
      </w:r>
      <w:r>
        <w:rPr>
          <w:rFonts w:cs="Arial"/>
          <w:noProof w:val="0"/>
          <w:color w:val="000000"/>
          <w:sz w:val="22"/>
          <w:szCs w:val="22"/>
          <w:lang w:val="es-ES"/>
        </w:rPr>
        <w:t xml:space="preserve"> </w:t>
      </w:r>
    </w:p>
    <w:p w14:paraId="3DFA6212" w14:textId="77777777" w:rsidR="009927E6" w:rsidRPr="00E52C43" w:rsidRDefault="009927E6" w:rsidP="00210295">
      <w:pPr>
        <w:pStyle w:val="AutoNumpara"/>
        <w:numPr>
          <w:ilvl w:val="0"/>
          <w:numId w:val="0"/>
        </w:numPr>
        <w:rPr>
          <w:rFonts w:cs="Arial"/>
          <w:noProof w:val="0"/>
          <w:color w:val="000000"/>
          <w:sz w:val="22"/>
          <w:szCs w:val="22"/>
          <w:lang w:val="es-ES"/>
        </w:rPr>
      </w:pPr>
    </w:p>
    <w:p w14:paraId="4991185E" w14:textId="77777777" w:rsidR="00966ECA" w:rsidRDefault="00966ECA">
      <w:pPr>
        <w:rPr>
          <w:rFonts w:cs="Arial"/>
          <w:sz w:val="22"/>
          <w:szCs w:val="22"/>
        </w:rPr>
      </w:pPr>
      <w:r>
        <w:rPr>
          <w:rFonts w:cs="Arial"/>
          <w:sz w:val="22"/>
          <w:szCs w:val="22"/>
        </w:rPr>
        <w:br w:type="page"/>
      </w:r>
    </w:p>
    <w:p w14:paraId="6526D94D" w14:textId="77777777" w:rsidR="00136578" w:rsidRDefault="00136578" w:rsidP="00136578">
      <w:pPr>
        <w:pStyle w:val="Caption"/>
        <w:rPr>
          <w:rFonts w:cs="Arial"/>
          <w:sz w:val="22"/>
          <w:szCs w:val="22"/>
          <w:lang w:val="es-ES"/>
        </w:rPr>
      </w:pPr>
      <w:r>
        <w:lastRenderedPageBreak/>
        <w:t xml:space="preserve">Figura </w:t>
      </w:r>
      <w:r>
        <w:fldChar w:fldCharType="begin"/>
      </w:r>
      <w:r>
        <w:instrText xml:space="preserve"> SEQ Figura \* ARABIC </w:instrText>
      </w:r>
      <w:r>
        <w:fldChar w:fldCharType="separate"/>
      </w:r>
      <w:r>
        <w:rPr>
          <w:noProof/>
        </w:rPr>
        <w:t>3</w:t>
      </w:r>
      <w:r>
        <w:fldChar w:fldCharType="end"/>
      </w:r>
      <w:r w:rsidRPr="00E52C43">
        <w:rPr>
          <w:rFonts w:cs="Arial"/>
          <w:sz w:val="22"/>
          <w:szCs w:val="22"/>
          <w:lang w:val="es-ES"/>
        </w:rPr>
        <w:t>.</w:t>
      </w:r>
      <w:r>
        <w:rPr>
          <w:rFonts w:cs="Arial"/>
          <w:sz w:val="22"/>
          <w:szCs w:val="22"/>
          <w:lang w:val="es-ES"/>
        </w:rPr>
        <w:t xml:space="preserve">Evolución del porcentaje </w:t>
      </w:r>
      <w:r w:rsidRPr="00E52C43">
        <w:rPr>
          <w:rFonts w:cs="Arial"/>
          <w:sz w:val="22"/>
          <w:szCs w:val="22"/>
          <w:lang w:val="es-ES"/>
        </w:rPr>
        <w:t xml:space="preserve">de </w:t>
      </w:r>
      <w:r>
        <w:rPr>
          <w:rFonts w:cs="Arial"/>
          <w:sz w:val="22"/>
          <w:szCs w:val="22"/>
          <w:lang w:val="es-ES"/>
        </w:rPr>
        <w:t>internaciones</w:t>
      </w:r>
      <w:r w:rsidRPr="00E52C43">
        <w:rPr>
          <w:rFonts w:cs="Arial"/>
          <w:sz w:val="22"/>
          <w:szCs w:val="22"/>
          <w:lang w:val="es-ES"/>
        </w:rPr>
        <w:t xml:space="preserve"> prevenibles </w:t>
      </w:r>
    </w:p>
    <w:tbl>
      <w:tblPr>
        <w:tblStyle w:val="TableGrid"/>
        <w:tblW w:w="0" w:type="auto"/>
        <w:tblLook w:val="04A0" w:firstRow="1" w:lastRow="0" w:firstColumn="1" w:lastColumn="0" w:noHBand="0" w:noVBand="1"/>
      </w:tblPr>
      <w:tblGrid>
        <w:gridCol w:w="4660"/>
        <w:gridCol w:w="4916"/>
      </w:tblGrid>
      <w:tr w:rsidR="00136578" w14:paraId="7592E33B" w14:textId="77777777" w:rsidTr="00136578">
        <w:tc>
          <w:tcPr>
            <w:tcW w:w="4788" w:type="dxa"/>
          </w:tcPr>
          <w:p w14:paraId="1E6B3AD6" w14:textId="77777777" w:rsidR="00136578" w:rsidRPr="00642AEB" w:rsidRDefault="00136578" w:rsidP="00136578">
            <w:pPr>
              <w:rPr>
                <w:sz w:val="22"/>
                <w:szCs w:val="22"/>
              </w:rPr>
            </w:pPr>
            <w:r w:rsidRPr="00642AEB">
              <w:rPr>
                <w:sz w:val="22"/>
                <w:szCs w:val="22"/>
              </w:rPr>
              <w:t xml:space="preserve">a) Ceará </w:t>
            </w:r>
            <w:r>
              <w:rPr>
                <w:sz w:val="22"/>
                <w:szCs w:val="22"/>
              </w:rPr>
              <w:t>no metropolitano</w:t>
            </w:r>
            <w:r w:rsidRPr="00642AEB">
              <w:rPr>
                <w:sz w:val="22"/>
                <w:szCs w:val="22"/>
              </w:rPr>
              <w:t xml:space="preserve"> vs estados vecinos no metropolitano</w:t>
            </w:r>
          </w:p>
        </w:tc>
        <w:tc>
          <w:tcPr>
            <w:tcW w:w="4788" w:type="dxa"/>
          </w:tcPr>
          <w:p w14:paraId="12BCF1BF" w14:textId="77777777" w:rsidR="00136578" w:rsidRPr="00642AEB" w:rsidRDefault="00136578" w:rsidP="00136578">
            <w:pPr>
              <w:pStyle w:val="AutoNumpara"/>
              <w:numPr>
                <w:ilvl w:val="0"/>
                <w:numId w:val="0"/>
              </w:numPr>
              <w:jc w:val="left"/>
              <w:rPr>
                <w:rFonts w:cs="Arial"/>
                <w:noProof w:val="0"/>
                <w:color w:val="000000"/>
                <w:sz w:val="22"/>
                <w:szCs w:val="22"/>
              </w:rPr>
            </w:pPr>
            <w:r w:rsidRPr="00642AEB">
              <w:rPr>
                <w:rFonts w:cs="Arial"/>
                <w:noProof w:val="0"/>
                <w:color w:val="000000"/>
                <w:sz w:val="22"/>
                <w:szCs w:val="22"/>
                <w:lang w:val="es-ES"/>
              </w:rPr>
              <w:t>b) Área metropolitana de Fortaleza vs áreas metropolitanas de estados vecinos</w:t>
            </w:r>
          </w:p>
        </w:tc>
      </w:tr>
      <w:tr w:rsidR="00136578" w14:paraId="54843BE9" w14:textId="77777777" w:rsidTr="00136578">
        <w:tc>
          <w:tcPr>
            <w:tcW w:w="4788" w:type="dxa"/>
          </w:tcPr>
          <w:p w14:paraId="1F244D24" w14:textId="77777777" w:rsidR="00136578" w:rsidRDefault="00136578" w:rsidP="00136578">
            <w:r>
              <w:rPr>
                <w:noProof/>
                <w:lang w:val="en-US"/>
              </w:rPr>
              <w:drawing>
                <wp:inline distT="0" distB="0" distL="0" distR="0" wp14:anchorId="5E34D4BE" wp14:editId="2BD26C25">
                  <wp:extent cx="2857500" cy="1903269"/>
                  <wp:effectExtent l="0" t="0" r="0" b="1905"/>
                  <wp:docPr id="33" name="Picture 33" descr="MacOSX:Users:nadin:Dropbox:Social Protection:DATASUS:proc:results:metro:comparación icsab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OSX:Users:nadin:Dropbox:Social Protection:DATASUS:proc:results:metro:comparación icsabs.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587" cy="1903993"/>
                          </a:xfrm>
                          <a:prstGeom prst="rect">
                            <a:avLst/>
                          </a:prstGeom>
                          <a:noFill/>
                          <a:ln>
                            <a:noFill/>
                          </a:ln>
                        </pic:spPr>
                      </pic:pic>
                    </a:graphicData>
                  </a:graphic>
                </wp:inline>
              </w:drawing>
            </w:r>
          </w:p>
        </w:tc>
        <w:tc>
          <w:tcPr>
            <w:tcW w:w="4788" w:type="dxa"/>
          </w:tcPr>
          <w:p w14:paraId="4EB0178C" w14:textId="77777777" w:rsidR="00136578" w:rsidRDefault="00136578" w:rsidP="00136578">
            <w:r>
              <w:rPr>
                <w:noProof/>
                <w:lang w:val="en-US"/>
              </w:rPr>
              <w:drawing>
                <wp:inline distT="0" distB="0" distL="0" distR="0" wp14:anchorId="428B893B" wp14:editId="7E1C6257">
                  <wp:extent cx="3016652" cy="2011101"/>
                  <wp:effectExtent l="0" t="0" r="6350" b="0"/>
                  <wp:docPr id="23" name="Picture 23" descr="MacOSX:Users:nadin:Desktop:icsabs metropolitan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OSX:Users:nadin:Desktop:icsabs metropolitanos.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7483" cy="2011655"/>
                          </a:xfrm>
                          <a:prstGeom prst="rect">
                            <a:avLst/>
                          </a:prstGeom>
                          <a:noFill/>
                          <a:ln>
                            <a:noFill/>
                          </a:ln>
                        </pic:spPr>
                      </pic:pic>
                    </a:graphicData>
                  </a:graphic>
                </wp:inline>
              </w:drawing>
            </w:r>
          </w:p>
        </w:tc>
      </w:tr>
    </w:tbl>
    <w:p w14:paraId="6FFB429E" w14:textId="77777777" w:rsidR="00136578" w:rsidRPr="00E52C43" w:rsidRDefault="00136578" w:rsidP="00136578">
      <w:pPr>
        <w:pStyle w:val="AutoNumpara"/>
        <w:numPr>
          <w:ilvl w:val="0"/>
          <w:numId w:val="0"/>
        </w:numPr>
        <w:ind w:left="450"/>
        <w:rPr>
          <w:rFonts w:cs="Arial"/>
          <w:noProof w:val="0"/>
          <w:color w:val="000000"/>
          <w:sz w:val="22"/>
          <w:szCs w:val="22"/>
          <w:lang w:val="es-ES"/>
        </w:rPr>
      </w:pPr>
      <w:r w:rsidRPr="00E52C43">
        <w:rPr>
          <w:rFonts w:cs="Arial"/>
          <w:noProof w:val="0"/>
          <w:color w:val="000000"/>
          <w:sz w:val="18"/>
          <w:szCs w:val="18"/>
          <w:lang w:val="es-ES"/>
        </w:rPr>
        <w:t>Fuente: Elaboración de los autores</w:t>
      </w:r>
      <w:r w:rsidRPr="00E52C43">
        <w:rPr>
          <w:rFonts w:cs="Arial"/>
          <w:noProof w:val="0"/>
          <w:color w:val="000000"/>
          <w:sz w:val="22"/>
          <w:szCs w:val="22"/>
          <w:lang w:val="es-ES"/>
        </w:rPr>
        <w:t>.</w:t>
      </w:r>
    </w:p>
    <w:p w14:paraId="15379399" w14:textId="77777777" w:rsidR="00136578" w:rsidRPr="008F2118" w:rsidRDefault="00136578" w:rsidP="00136578"/>
    <w:p w14:paraId="10261327" w14:textId="77777777" w:rsidR="00136578" w:rsidRPr="00AB6BDA" w:rsidRDefault="00136578" w:rsidP="00136578">
      <w:pPr>
        <w:pStyle w:val="Caption"/>
        <w:rPr>
          <w:rFonts w:cs="Arial"/>
          <w:sz w:val="22"/>
          <w:szCs w:val="22"/>
        </w:rPr>
      </w:pPr>
      <w:r w:rsidRPr="00E52C43">
        <w:rPr>
          <w:rFonts w:cs="Arial"/>
          <w:color w:val="000000"/>
          <w:sz w:val="22"/>
          <w:szCs w:val="22"/>
          <w:lang w:val="es-ES"/>
        </w:rPr>
        <w:t xml:space="preserve">    </w:t>
      </w:r>
      <w:r>
        <w:rPr>
          <w:rFonts w:cs="Arial"/>
          <w:color w:val="000000"/>
          <w:sz w:val="22"/>
          <w:szCs w:val="22"/>
          <w:lang w:val="es-ES"/>
        </w:rPr>
        <w:t>Figura</w:t>
      </w:r>
      <w:r w:rsidRPr="00E52C43">
        <w:rPr>
          <w:rFonts w:cs="Arial"/>
          <w:sz w:val="22"/>
          <w:szCs w:val="22"/>
          <w:lang w:val="es-ES"/>
        </w:rPr>
        <w:t xml:space="preserve"> </w:t>
      </w:r>
      <w:r>
        <w:rPr>
          <w:rFonts w:cs="Arial"/>
          <w:sz w:val="22"/>
          <w:szCs w:val="22"/>
          <w:lang w:val="es-ES"/>
        </w:rPr>
        <w:fldChar w:fldCharType="begin"/>
      </w:r>
      <w:r>
        <w:rPr>
          <w:rFonts w:cs="Arial"/>
          <w:sz w:val="22"/>
          <w:szCs w:val="22"/>
          <w:lang w:val="es-ES"/>
        </w:rPr>
        <w:instrText xml:space="preserve"> SEQ Figura \* ARABIC </w:instrText>
      </w:r>
      <w:r>
        <w:rPr>
          <w:rFonts w:cs="Arial"/>
          <w:sz w:val="22"/>
          <w:szCs w:val="22"/>
          <w:lang w:val="es-ES"/>
        </w:rPr>
        <w:fldChar w:fldCharType="separate"/>
      </w:r>
      <w:r>
        <w:rPr>
          <w:rFonts w:cs="Arial"/>
          <w:noProof/>
          <w:sz w:val="22"/>
          <w:szCs w:val="22"/>
          <w:lang w:val="es-ES"/>
        </w:rPr>
        <w:t>4</w:t>
      </w:r>
      <w:r>
        <w:rPr>
          <w:rFonts w:cs="Arial"/>
          <w:sz w:val="22"/>
          <w:szCs w:val="22"/>
          <w:lang w:val="es-ES"/>
        </w:rPr>
        <w:fldChar w:fldCharType="end"/>
      </w:r>
      <w:r>
        <w:rPr>
          <w:rFonts w:cs="Arial"/>
          <w:sz w:val="22"/>
          <w:szCs w:val="22"/>
          <w:lang w:val="es-ES"/>
        </w:rPr>
        <w:t>. Evolución de la tasa de mortalidad prematura por ACV</w:t>
      </w:r>
    </w:p>
    <w:tbl>
      <w:tblPr>
        <w:tblStyle w:val="TableGrid"/>
        <w:tblW w:w="0" w:type="auto"/>
        <w:tblLook w:val="04A0" w:firstRow="1" w:lastRow="0" w:firstColumn="1" w:lastColumn="0" w:noHBand="0" w:noVBand="1"/>
      </w:tblPr>
      <w:tblGrid>
        <w:gridCol w:w="4788"/>
        <w:gridCol w:w="4788"/>
      </w:tblGrid>
      <w:tr w:rsidR="00136578" w14:paraId="1DB279E8" w14:textId="77777777" w:rsidTr="00136578">
        <w:tc>
          <w:tcPr>
            <w:tcW w:w="4788" w:type="dxa"/>
          </w:tcPr>
          <w:p w14:paraId="1FB965FC" w14:textId="77777777" w:rsidR="00136578" w:rsidRPr="00642AEB" w:rsidRDefault="00136578" w:rsidP="00136578">
            <w:pPr>
              <w:rPr>
                <w:sz w:val="22"/>
                <w:szCs w:val="22"/>
              </w:rPr>
            </w:pPr>
            <w:r w:rsidRPr="00642AEB">
              <w:rPr>
                <w:sz w:val="22"/>
                <w:szCs w:val="22"/>
              </w:rPr>
              <w:t>a) Ceará excluyendo zonas metropolitanas vs estados vecinos no metropolitano</w:t>
            </w:r>
          </w:p>
        </w:tc>
        <w:tc>
          <w:tcPr>
            <w:tcW w:w="4788" w:type="dxa"/>
          </w:tcPr>
          <w:p w14:paraId="268A2B79" w14:textId="77777777" w:rsidR="00136578" w:rsidRPr="00642AEB" w:rsidRDefault="00136578" w:rsidP="00136578">
            <w:pPr>
              <w:pStyle w:val="AutoNumpara"/>
              <w:numPr>
                <w:ilvl w:val="0"/>
                <w:numId w:val="0"/>
              </w:numPr>
              <w:rPr>
                <w:rFonts w:cs="Arial"/>
                <w:noProof w:val="0"/>
                <w:color w:val="000000"/>
                <w:sz w:val="22"/>
                <w:szCs w:val="22"/>
              </w:rPr>
            </w:pPr>
            <w:r w:rsidRPr="00642AEB">
              <w:rPr>
                <w:rFonts w:cs="Arial"/>
                <w:noProof w:val="0"/>
                <w:color w:val="000000"/>
                <w:sz w:val="22"/>
                <w:szCs w:val="22"/>
                <w:lang w:val="es-ES"/>
              </w:rPr>
              <w:t>b) Área metropolitana de Fortaleza vs áreas metropolitanas de estados vecinos</w:t>
            </w:r>
          </w:p>
        </w:tc>
      </w:tr>
      <w:tr w:rsidR="00136578" w14:paraId="71E01891" w14:textId="77777777" w:rsidTr="00136578">
        <w:tc>
          <w:tcPr>
            <w:tcW w:w="4788" w:type="dxa"/>
          </w:tcPr>
          <w:p w14:paraId="62FB6E8E" w14:textId="77777777" w:rsidR="00136578" w:rsidRDefault="00136578" w:rsidP="00136578">
            <w:r>
              <w:rPr>
                <w:noProof/>
                <w:lang w:val="en-US"/>
              </w:rPr>
              <w:drawing>
                <wp:inline distT="0" distB="0" distL="0" distR="0" wp14:anchorId="21F58F81" wp14:editId="648F10EB">
                  <wp:extent cx="2857500" cy="1903269"/>
                  <wp:effectExtent l="0" t="0" r="0" b="1905"/>
                  <wp:docPr id="34" name="Picture 34" descr="MacOSX:Users:nadin:Dropbox:Social Protection:DATASUS:proc:results:nometro:ACV comparis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OSX:Users:nadin:Dropbox:Social Protection:DATASUS:proc:results:nometro:ACV comparison.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03269"/>
                          </a:xfrm>
                          <a:prstGeom prst="rect">
                            <a:avLst/>
                          </a:prstGeom>
                          <a:noFill/>
                          <a:ln>
                            <a:noFill/>
                          </a:ln>
                        </pic:spPr>
                      </pic:pic>
                    </a:graphicData>
                  </a:graphic>
                </wp:inline>
              </w:drawing>
            </w:r>
          </w:p>
        </w:tc>
        <w:tc>
          <w:tcPr>
            <w:tcW w:w="4788" w:type="dxa"/>
          </w:tcPr>
          <w:p w14:paraId="62CD1D0B" w14:textId="77777777" w:rsidR="00136578" w:rsidRDefault="00136578" w:rsidP="00136578">
            <w:r>
              <w:rPr>
                <w:noProof/>
                <w:lang w:val="en-US"/>
              </w:rPr>
              <w:drawing>
                <wp:inline distT="0" distB="0" distL="0" distR="0" wp14:anchorId="5F88E508" wp14:editId="21C73FB2">
                  <wp:extent cx="2899458" cy="1932972"/>
                  <wp:effectExtent l="0" t="0" r="0" b="0"/>
                  <wp:docPr id="24" name="Picture 24" descr="MacOSX:Users:nadin:Desktop:ACV metr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OSX:Users:nadin:Desktop:ACV metros.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9458" cy="1932972"/>
                          </a:xfrm>
                          <a:prstGeom prst="rect">
                            <a:avLst/>
                          </a:prstGeom>
                          <a:noFill/>
                          <a:ln>
                            <a:noFill/>
                          </a:ln>
                        </pic:spPr>
                      </pic:pic>
                    </a:graphicData>
                  </a:graphic>
                </wp:inline>
              </w:drawing>
            </w:r>
          </w:p>
        </w:tc>
      </w:tr>
    </w:tbl>
    <w:p w14:paraId="3D1B7042" w14:textId="77777777" w:rsidR="00136578" w:rsidRPr="00592A0A" w:rsidRDefault="00136578" w:rsidP="00136578">
      <w:pPr>
        <w:pStyle w:val="AutoNumpara"/>
        <w:numPr>
          <w:ilvl w:val="0"/>
          <w:numId w:val="0"/>
        </w:numPr>
        <w:ind w:left="450"/>
        <w:rPr>
          <w:rFonts w:cs="Arial"/>
          <w:noProof w:val="0"/>
          <w:color w:val="000000"/>
          <w:sz w:val="22"/>
          <w:szCs w:val="22"/>
          <w:lang w:val="es-ES"/>
        </w:rPr>
      </w:pPr>
      <w:r w:rsidRPr="00E52C43">
        <w:rPr>
          <w:rFonts w:cs="Arial"/>
          <w:noProof w:val="0"/>
          <w:color w:val="000000"/>
          <w:sz w:val="18"/>
          <w:szCs w:val="18"/>
          <w:lang w:val="es-ES"/>
        </w:rPr>
        <w:t>Fuente: Elaboración de los autores</w:t>
      </w:r>
      <w:r w:rsidRPr="00E52C43">
        <w:rPr>
          <w:rFonts w:cs="Arial"/>
          <w:noProof w:val="0"/>
          <w:color w:val="000000"/>
          <w:sz w:val="22"/>
          <w:szCs w:val="22"/>
          <w:lang w:val="es-ES"/>
        </w:rPr>
        <w:t>.</w:t>
      </w:r>
    </w:p>
    <w:p w14:paraId="60AE57EF" w14:textId="77777777" w:rsidR="00A2638A" w:rsidRDefault="00A2638A" w:rsidP="007C7CD4">
      <w:pPr>
        <w:pStyle w:val="AutoNumpara"/>
        <w:numPr>
          <w:ilvl w:val="0"/>
          <w:numId w:val="0"/>
        </w:numPr>
        <w:ind w:left="450"/>
        <w:rPr>
          <w:rFonts w:cs="Arial"/>
          <w:noProof w:val="0"/>
          <w:color w:val="000000"/>
          <w:sz w:val="22"/>
          <w:szCs w:val="22"/>
          <w:lang w:val="es-ES"/>
        </w:rPr>
      </w:pPr>
    </w:p>
    <w:p w14:paraId="1B70625D" w14:textId="77777777" w:rsidR="009927E6" w:rsidRDefault="009927E6" w:rsidP="007C7CD4">
      <w:pPr>
        <w:pStyle w:val="AutoNumpara"/>
        <w:numPr>
          <w:ilvl w:val="0"/>
          <w:numId w:val="0"/>
        </w:numPr>
        <w:ind w:left="450"/>
        <w:rPr>
          <w:rFonts w:cs="Arial"/>
          <w:noProof w:val="0"/>
          <w:color w:val="000000"/>
          <w:sz w:val="22"/>
          <w:szCs w:val="22"/>
          <w:lang w:val="es-ES"/>
        </w:rPr>
      </w:pPr>
    </w:p>
    <w:p w14:paraId="417A4AE6" w14:textId="77777777" w:rsidR="009927E6" w:rsidRDefault="009927E6" w:rsidP="007C7CD4">
      <w:pPr>
        <w:pStyle w:val="AutoNumpara"/>
        <w:numPr>
          <w:ilvl w:val="0"/>
          <w:numId w:val="0"/>
        </w:numPr>
        <w:ind w:left="450"/>
        <w:rPr>
          <w:rFonts w:cs="Arial"/>
          <w:noProof w:val="0"/>
          <w:color w:val="000000"/>
          <w:sz w:val="22"/>
          <w:szCs w:val="22"/>
          <w:lang w:val="es-ES"/>
        </w:rPr>
      </w:pPr>
    </w:p>
    <w:p w14:paraId="0B982D7A" w14:textId="77777777" w:rsidR="009927E6" w:rsidRDefault="009927E6" w:rsidP="007C7CD4">
      <w:pPr>
        <w:pStyle w:val="AutoNumpara"/>
        <w:numPr>
          <w:ilvl w:val="0"/>
          <w:numId w:val="0"/>
        </w:numPr>
        <w:ind w:left="450"/>
        <w:rPr>
          <w:rFonts w:cs="Arial"/>
          <w:noProof w:val="0"/>
          <w:color w:val="000000"/>
          <w:sz w:val="22"/>
          <w:szCs w:val="22"/>
          <w:lang w:val="es-ES"/>
        </w:rPr>
      </w:pPr>
    </w:p>
    <w:p w14:paraId="68156594" w14:textId="77777777" w:rsidR="009927E6" w:rsidRDefault="009927E6" w:rsidP="007C7CD4">
      <w:pPr>
        <w:pStyle w:val="AutoNumpara"/>
        <w:numPr>
          <w:ilvl w:val="0"/>
          <w:numId w:val="0"/>
        </w:numPr>
        <w:ind w:left="450"/>
        <w:rPr>
          <w:rFonts w:cs="Arial"/>
          <w:noProof w:val="0"/>
          <w:color w:val="000000"/>
          <w:sz w:val="22"/>
          <w:szCs w:val="22"/>
          <w:lang w:val="es-ES"/>
        </w:rPr>
      </w:pPr>
    </w:p>
    <w:p w14:paraId="17E6CAD1" w14:textId="77777777" w:rsidR="009927E6" w:rsidRDefault="009927E6" w:rsidP="007C7CD4">
      <w:pPr>
        <w:pStyle w:val="AutoNumpara"/>
        <w:numPr>
          <w:ilvl w:val="0"/>
          <w:numId w:val="0"/>
        </w:numPr>
        <w:ind w:left="450"/>
        <w:rPr>
          <w:rFonts w:cs="Arial"/>
          <w:noProof w:val="0"/>
          <w:color w:val="000000"/>
          <w:sz w:val="22"/>
          <w:szCs w:val="22"/>
          <w:lang w:val="es-ES"/>
        </w:rPr>
      </w:pPr>
    </w:p>
    <w:p w14:paraId="0BFF648F" w14:textId="77777777" w:rsidR="009927E6" w:rsidRDefault="009927E6" w:rsidP="007C7CD4">
      <w:pPr>
        <w:pStyle w:val="AutoNumpara"/>
        <w:numPr>
          <w:ilvl w:val="0"/>
          <w:numId w:val="0"/>
        </w:numPr>
        <w:ind w:left="450"/>
        <w:rPr>
          <w:rFonts w:cs="Arial"/>
          <w:noProof w:val="0"/>
          <w:color w:val="000000"/>
          <w:sz w:val="22"/>
          <w:szCs w:val="22"/>
          <w:lang w:val="es-ES"/>
        </w:rPr>
      </w:pPr>
    </w:p>
    <w:p w14:paraId="1B190FE7" w14:textId="77777777" w:rsidR="00136578" w:rsidRDefault="00136578" w:rsidP="00136578">
      <w:pPr>
        <w:pStyle w:val="Caption"/>
        <w:rPr>
          <w:rFonts w:cs="Arial"/>
          <w:sz w:val="22"/>
          <w:szCs w:val="22"/>
          <w:lang w:val="es-ES"/>
        </w:rPr>
      </w:pPr>
      <w:bookmarkStart w:id="5" w:name="_Ref296241830"/>
      <w:r w:rsidRPr="00E52C43">
        <w:rPr>
          <w:rFonts w:cs="Arial"/>
          <w:sz w:val="22"/>
          <w:szCs w:val="22"/>
          <w:lang w:val="es-ES"/>
        </w:rPr>
        <w:lastRenderedPageBreak/>
        <w:t xml:space="preserve">Tabla </w:t>
      </w:r>
      <w:r w:rsidRPr="00E52C43">
        <w:rPr>
          <w:rFonts w:cs="Arial"/>
          <w:sz w:val="22"/>
          <w:szCs w:val="22"/>
          <w:lang w:val="es-ES"/>
        </w:rPr>
        <w:fldChar w:fldCharType="begin"/>
      </w:r>
      <w:r w:rsidRPr="00E52C43">
        <w:rPr>
          <w:rFonts w:cs="Arial"/>
          <w:sz w:val="22"/>
          <w:szCs w:val="22"/>
          <w:lang w:val="es-ES"/>
        </w:rPr>
        <w:instrText xml:space="preserve"> SEQ Tabla \* ARABIC </w:instrText>
      </w:r>
      <w:r w:rsidRPr="00E52C43">
        <w:rPr>
          <w:rFonts w:cs="Arial"/>
          <w:sz w:val="22"/>
          <w:szCs w:val="22"/>
          <w:lang w:val="es-ES"/>
        </w:rPr>
        <w:fldChar w:fldCharType="separate"/>
      </w:r>
      <w:r>
        <w:rPr>
          <w:rFonts w:cs="Arial"/>
          <w:noProof/>
          <w:sz w:val="22"/>
          <w:szCs w:val="22"/>
          <w:lang w:val="es-ES"/>
        </w:rPr>
        <w:t>1</w:t>
      </w:r>
      <w:r w:rsidRPr="00E52C43">
        <w:rPr>
          <w:rFonts w:cs="Arial"/>
          <w:sz w:val="22"/>
          <w:szCs w:val="22"/>
          <w:lang w:val="es-ES"/>
        </w:rPr>
        <w:fldChar w:fldCharType="end"/>
      </w:r>
      <w:r w:rsidRPr="00E52C43">
        <w:rPr>
          <w:rFonts w:cs="Arial"/>
          <w:sz w:val="22"/>
          <w:szCs w:val="22"/>
          <w:lang w:val="es-ES"/>
        </w:rPr>
        <w:t>. Comparación de las ponderaciones para cada estado en los modelos sintéticos.</w:t>
      </w:r>
    </w:p>
    <w:p w14:paraId="2B83D0E9" w14:textId="77777777" w:rsidR="00136578" w:rsidRDefault="00136578" w:rsidP="007E3AE0">
      <w:pPr>
        <w:spacing w:after="120"/>
      </w:pPr>
      <w:r>
        <w:t>a) Ponderaciones del control sintético para Ceará no metropolitano</w:t>
      </w:r>
    </w:p>
    <w:tbl>
      <w:tblPr>
        <w:tblStyle w:val="TableGrid"/>
        <w:tblW w:w="0" w:type="auto"/>
        <w:tblLayout w:type="fixed"/>
        <w:tblLook w:val="04A0" w:firstRow="1" w:lastRow="0" w:firstColumn="1" w:lastColumn="0" w:noHBand="0" w:noVBand="1"/>
      </w:tblPr>
      <w:tblGrid>
        <w:gridCol w:w="1908"/>
        <w:gridCol w:w="945"/>
        <w:gridCol w:w="945"/>
        <w:gridCol w:w="945"/>
        <w:gridCol w:w="945"/>
        <w:gridCol w:w="945"/>
        <w:gridCol w:w="945"/>
        <w:gridCol w:w="945"/>
        <w:gridCol w:w="945"/>
      </w:tblGrid>
      <w:tr w:rsidR="00136578" w:rsidRPr="004347B7" w14:paraId="34F8C6C7" w14:textId="77777777" w:rsidTr="00136578">
        <w:trPr>
          <w:trHeight w:val="300"/>
        </w:trPr>
        <w:tc>
          <w:tcPr>
            <w:tcW w:w="1908" w:type="dxa"/>
            <w:shd w:val="clear" w:color="auto" w:fill="8DB3E2"/>
            <w:noWrap/>
            <w:hideMark/>
          </w:tcPr>
          <w:p w14:paraId="7AF232C3" w14:textId="77777777" w:rsidR="00136578" w:rsidRPr="004347B7" w:rsidRDefault="00136578" w:rsidP="00136578">
            <w:pPr>
              <w:rPr>
                <w:rFonts w:cs="Arial"/>
                <w:color w:val="000000"/>
                <w:spacing w:val="0"/>
                <w:sz w:val="22"/>
                <w:szCs w:val="22"/>
                <w:lang w:val="en-US"/>
              </w:rPr>
            </w:pPr>
          </w:p>
        </w:tc>
        <w:tc>
          <w:tcPr>
            <w:tcW w:w="3780" w:type="dxa"/>
            <w:gridSpan w:val="4"/>
            <w:shd w:val="clear" w:color="auto" w:fill="8DB3E2"/>
            <w:noWrap/>
            <w:hideMark/>
          </w:tcPr>
          <w:p w14:paraId="389264EB" w14:textId="77777777" w:rsidR="00136578" w:rsidRPr="004347B7" w:rsidRDefault="00136578" w:rsidP="00136578">
            <w:pPr>
              <w:jc w:val="center"/>
              <w:rPr>
                <w:rFonts w:cs="Arial"/>
                <w:b/>
                <w:color w:val="000000"/>
                <w:spacing w:val="0"/>
                <w:sz w:val="22"/>
                <w:szCs w:val="22"/>
                <w:lang w:val="en-US"/>
              </w:rPr>
            </w:pPr>
            <w:r w:rsidRPr="004347B7">
              <w:rPr>
                <w:rFonts w:cs="Arial"/>
                <w:b/>
                <w:color w:val="000000"/>
                <w:spacing w:val="0"/>
                <w:sz w:val="22"/>
                <w:szCs w:val="22"/>
                <w:lang w:val="en-US"/>
              </w:rPr>
              <w:t>Internaciones prevenibles</w:t>
            </w:r>
          </w:p>
        </w:tc>
        <w:tc>
          <w:tcPr>
            <w:tcW w:w="3780" w:type="dxa"/>
            <w:gridSpan w:val="4"/>
            <w:shd w:val="clear" w:color="auto" w:fill="8DB3E2"/>
            <w:noWrap/>
            <w:hideMark/>
          </w:tcPr>
          <w:p w14:paraId="63364B6F" w14:textId="77777777" w:rsidR="00136578" w:rsidRPr="004347B7" w:rsidRDefault="00136578" w:rsidP="00136578">
            <w:pPr>
              <w:jc w:val="center"/>
              <w:rPr>
                <w:rFonts w:cs="Arial"/>
                <w:b/>
                <w:color w:val="000000"/>
                <w:spacing w:val="0"/>
                <w:sz w:val="22"/>
                <w:szCs w:val="22"/>
                <w:lang w:val="en-US"/>
              </w:rPr>
            </w:pPr>
            <w:r w:rsidRPr="004347B7">
              <w:rPr>
                <w:rFonts w:cs="Arial"/>
                <w:b/>
                <w:color w:val="000000"/>
                <w:spacing w:val="0"/>
                <w:sz w:val="22"/>
                <w:szCs w:val="22"/>
                <w:lang w:val="en-US"/>
              </w:rPr>
              <w:t>Muertes prematuras por ACV</w:t>
            </w:r>
          </w:p>
        </w:tc>
      </w:tr>
      <w:tr w:rsidR="00136578" w:rsidRPr="004347B7" w14:paraId="242456D4" w14:textId="77777777" w:rsidTr="00136578">
        <w:trPr>
          <w:trHeight w:val="300"/>
        </w:trPr>
        <w:tc>
          <w:tcPr>
            <w:tcW w:w="1908" w:type="dxa"/>
            <w:shd w:val="clear" w:color="auto" w:fill="8DB3E2"/>
            <w:noWrap/>
            <w:hideMark/>
          </w:tcPr>
          <w:p w14:paraId="46EE97E2" w14:textId="77777777" w:rsidR="00136578" w:rsidRPr="004347B7" w:rsidRDefault="00136578" w:rsidP="00136578">
            <w:pPr>
              <w:rPr>
                <w:rFonts w:cs="Arial"/>
                <w:color w:val="000000"/>
                <w:spacing w:val="0"/>
                <w:sz w:val="22"/>
                <w:szCs w:val="22"/>
                <w:lang w:val="en-US"/>
              </w:rPr>
            </w:pPr>
          </w:p>
        </w:tc>
        <w:tc>
          <w:tcPr>
            <w:tcW w:w="945" w:type="dxa"/>
            <w:shd w:val="clear" w:color="auto" w:fill="8DB3E2"/>
            <w:noWrap/>
            <w:hideMark/>
          </w:tcPr>
          <w:p w14:paraId="4A459FE7"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1</w:t>
            </w:r>
          </w:p>
        </w:tc>
        <w:tc>
          <w:tcPr>
            <w:tcW w:w="945" w:type="dxa"/>
            <w:shd w:val="clear" w:color="auto" w:fill="8DB3E2"/>
            <w:noWrap/>
            <w:hideMark/>
          </w:tcPr>
          <w:p w14:paraId="6C1442D9"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2</w:t>
            </w:r>
          </w:p>
        </w:tc>
        <w:tc>
          <w:tcPr>
            <w:tcW w:w="945" w:type="dxa"/>
            <w:shd w:val="clear" w:color="auto" w:fill="8DB3E2"/>
            <w:noWrap/>
            <w:hideMark/>
          </w:tcPr>
          <w:p w14:paraId="6055682E"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3</w:t>
            </w:r>
          </w:p>
        </w:tc>
        <w:tc>
          <w:tcPr>
            <w:tcW w:w="945" w:type="dxa"/>
            <w:shd w:val="clear" w:color="auto" w:fill="8DB3E2"/>
            <w:noWrap/>
            <w:hideMark/>
          </w:tcPr>
          <w:p w14:paraId="478A9589"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4</w:t>
            </w:r>
          </w:p>
        </w:tc>
        <w:tc>
          <w:tcPr>
            <w:tcW w:w="945" w:type="dxa"/>
            <w:shd w:val="clear" w:color="auto" w:fill="8DB3E2"/>
            <w:noWrap/>
            <w:hideMark/>
          </w:tcPr>
          <w:p w14:paraId="2A978708"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1</w:t>
            </w:r>
          </w:p>
        </w:tc>
        <w:tc>
          <w:tcPr>
            <w:tcW w:w="945" w:type="dxa"/>
            <w:shd w:val="clear" w:color="auto" w:fill="8DB3E2"/>
            <w:noWrap/>
            <w:hideMark/>
          </w:tcPr>
          <w:p w14:paraId="122404B7"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2</w:t>
            </w:r>
          </w:p>
        </w:tc>
        <w:tc>
          <w:tcPr>
            <w:tcW w:w="945" w:type="dxa"/>
            <w:shd w:val="clear" w:color="auto" w:fill="8DB3E2"/>
            <w:noWrap/>
            <w:hideMark/>
          </w:tcPr>
          <w:p w14:paraId="0AD5ACE9"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3</w:t>
            </w:r>
          </w:p>
        </w:tc>
        <w:tc>
          <w:tcPr>
            <w:tcW w:w="945" w:type="dxa"/>
            <w:shd w:val="clear" w:color="auto" w:fill="8DB3E2"/>
            <w:noWrap/>
            <w:hideMark/>
          </w:tcPr>
          <w:p w14:paraId="4257249C"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4</w:t>
            </w:r>
          </w:p>
        </w:tc>
      </w:tr>
      <w:tr w:rsidR="00136578" w:rsidRPr="004347B7" w14:paraId="0FA9CC4C" w14:textId="77777777" w:rsidTr="00136578">
        <w:trPr>
          <w:trHeight w:val="300"/>
        </w:trPr>
        <w:tc>
          <w:tcPr>
            <w:tcW w:w="1908" w:type="dxa"/>
            <w:noWrap/>
            <w:vAlign w:val="center"/>
            <w:hideMark/>
          </w:tcPr>
          <w:p w14:paraId="2123DAE9" w14:textId="77777777" w:rsidR="00136578" w:rsidRPr="004347B7" w:rsidRDefault="00136578" w:rsidP="00136578">
            <w:pPr>
              <w:rPr>
                <w:rFonts w:cs="Arial"/>
                <w:color w:val="000000"/>
                <w:spacing w:val="0"/>
                <w:sz w:val="22"/>
                <w:szCs w:val="22"/>
                <w:lang w:val="en-US"/>
              </w:rPr>
            </w:pPr>
            <w:r>
              <w:rPr>
                <w:rFonts w:ascii="Calibri" w:hAnsi="Calibri"/>
                <w:color w:val="000000"/>
                <w:szCs w:val="24"/>
              </w:rPr>
              <w:t>Tocantins</w:t>
            </w:r>
          </w:p>
        </w:tc>
        <w:tc>
          <w:tcPr>
            <w:tcW w:w="945" w:type="dxa"/>
            <w:noWrap/>
            <w:vAlign w:val="bottom"/>
            <w:hideMark/>
          </w:tcPr>
          <w:p w14:paraId="7791D297"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4%</w:t>
            </w:r>
          </w:p>
        </w:tc>
        <w:tc>
          <w:tcPr>
            <w:tcW w:w="945" w:type="dxa"/>
            <w:noWrap/>
            <w:vAlign w:val="bottom"/>
            <w:hideMark/>
          </w:tcPr>
          <w:p w14:paraId="3048E2AB"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20%</w:t>
            </w:r>
          </w:p>
        </w:tc>
        <w:tc>
          <w:tcPr>
            <w:tcW w:w="945" w:type="dxa"/>
            <w:noWrap/>
            <w:vAlign w:val="bottom"/>
            <w:hideMark/>
          </w:tcPr>
          <w:p w14:paraId="772C7EAD"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37%</w:t>
            </w:r>
          </w:p>
        </w:tc>
        <w:tc>
          <w:tcPr>
            <w:tcW w:w="945" w:type="dxa"/>
            <w:noWrap/>
            <w:vAlign w:val="bottom"/>
            <w:hideMark/>
          </w:tcPr>
          <w:p w14:paraId="0104BAC6"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41%</w:t>
            </w:r>
          </w:p>
        </w:tc>
        <w:tc>
          <w:tcPr>
            <w:tcW w:w="945" w:type="dxa"/>
            <w:noWrap/>
            <w:vAlign w:val="bottom"/>
            <w:hideMark/>
          </w:tcPr>
          <w:p w14:paraId="2D7DDE3A"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50C31590"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671F0705"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2C5D3AE9" w14:textId="77777777" w:rsidR="00136578" w:rsidRPr="004347B7" w:rsidRDefault="00136578" w:rsidP="00136578">
            <w:pPr>
              <w:jc w:val="center"/>
              <w:rPr>
                <w:rFonts w:cs="Arial"/>
                <w:color w:val="000000"/>
                <w:spacing w:val="0"/>
                <w:sz w:val="22"/>
                <w:szCs w:val="22"/>
                <w:lang w:val="en-US"/>
              </w:rPr>
            </w:pPr>
          </w:p>
        </w:tc>
      </w:tr>
      <w:tr w:rsidR="00136578" w:rsidRPr="004347B7" w14:paraId="078A1EE8" w14:textId="77777777" w:rsidTr="00136578">
        <w:trPr>
          <w:trHeight w:val="300"/>
        </w:trPr>
        <w:tc>
          <w:tcPr>
            <w:tcW w:w="1908" w:type="dxa"/>
            <w:noWrap/>
            <w:vAlign w:val="center"/>
            <w:hideMark/>
          </w:tcPr>
          <w:p w14:paraId="000F3650" w14:textId="77777777" w:rsidR="00136578" w:rsidRPr="004347B7" w:rsidRDefault="00136578" w:rsidP="00136578">
            <w:pPr>
              <w:rPr>
                <w:rFonts w:cs="Arial"/>
                <w:color w:val="000000"/>
                <w:spacing w:val="0"/>
                <w:sz w:val="22"/>
                <w:szCs w:val="22"/>
                <w:lang w:val="en-US"/>
              </w:rPr>
            </w:pPr>
            <w:r>
              <w:rPr>
                <w:rFonts w:ascii="Calibri" w:hAnsi="Calibri"/>
                <w:color w:val="000000"/>
                <w:szCs w:val="24"/>
              </w:rPr>
              <w:t>Maranhão</w:t>
            </w:r>
          </w:p>
        </w:tc>
        <w:tc>
          <w:tcPr>
            <w:tcW w:w="945" w:type="dxa"/>
            <w:noWrap/>
            <w:vAlign w:val="bottom"/>
            <w:hideMark/>
          </w:tcPr>
          <w:p w14:paraId="62A33F1A"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6%</w:t>
            </w:r>
          </w:p>
        </w:tc>
        <w:tc>
          <w:tcPr>
            <w:tcW w:w="945" w:type="dxa"/>
            <w:noWrap/>
            <w:vAlign w:val="bottom"/>
            <w:hideMark/>
          </w:tcPr>
          <w:p w14:paraId="2BB8B073"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6755F162"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671A32FC"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7322ED72"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18%</w:t>
            </w:r>
          </w:p>
        </w:tc>
        <w:tc>
          <w:tcPr>
            <w:tcW w:w="945" w:type="dxa"/>
            <w:noWrap/>
            <w:vAlign w:val="bottom"/>
            <w:hideMark/>
          </w:tcPr>
          <w:p w14:paraId="1DFC30F1"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20%</w:t>
            </w:r>
          </w:p>
        </w:tc>
        <w:tc>
          <w:tcPr>
            <w:tcW w:w="945" w:type="dxa"/>
            <w:noWrap/>
            <w:vAlign w:val="bottom"/>
            <w:hideMark/>
          </w:tcPr>
          <w:p w14:paraId="6EEE5135"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24%</w:t>
            </w:r>
          </w:p>
        </w:tc>
        <w:tc>
          <w:tcPr>
            <w:tcW w:w="945" w:type="dxa"/>
            <w:noWrap/>
            <w:vAlign w:val="bottom"/>
            <w:hideMark/>
          </w:tcPr>
          <w:p w14:paraId="47AE5F48"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24%</w:t>
            </w:r>
          </w:p>
        </w:tc>
      </w:tr>
      <w:tr w:rsidR="00136578" w:rsidRPr="004347B7" w14:paraId="3C80C632" w14:textId="77777777" w:rsidTr="00136578">
        <w:trPr>
          <w:trHeight w:val="300"/>
        </w:trPr>
        <w:tc>
          <w:tcPr>
            <w:tcW w:w="1908" w:type="dxa"/>
            <w:noWrap/>
            <w:vAlign w:val="center"/>
            <w:hideMark/>
          </w:tcPr>
          <w:p w14:paraId="58D06446" w14:textId="77777777" w:rsidR="00136578" w:rsidRPr="004347B7" w:rsidRDefault="00136578" w:rsidP="00136578">
            <w:pPr>
              <w:rPr>
                <w:rFonts w:cs="Arial"/>
                <w:color w:val="000000"/>
                <w:spacing w:val="0"/>
                <w:sz w:val="22"/>
                <w:szCs w:val="22"/>
                <w:lang w:val="en-US"/>
              </w:rPr>
            </w:pPr>
            <w:r>
              <w:rPr>
                <w:rFonts w:ascii="Calibri" w:hAnsi="Calibri"/>
                <w:color w:val="000000"/>
                <w:szCs w:val="24"/>
              </w:rPr>
              <w:t>Piauí</w:t>
            </w:r>
          </w:p>
        </w:tc>
        <w:tc>
          <w:tcPr>
            <w:tcW w:w="945" w:type="dxa"/>
            <w:noWrap/>
            <w:vAlign w:val="bottom"/>
            <w:hideMark/>
          </w:tcPr>
          <w:p w14:paraId="4DA3C1E6"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5%</w:t>
            </w:r>
          </w:p>
        </w:tc>
        <w:tc>
          <w:tcPr>
            <w:tcW w:w="945" w:type="dxa"/>
            <w:noWrap/>
            <w:vAlign w:val="bottom"/>
            <w:hideMark/>
          </w:tcPr>
          <w:p w14:paraId="1E5260AF"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5953E207"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02131930"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31B9F678"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46311DA2"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654A97A2"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79A7FC23" w14:textId="77777777" w:rsidR="00136578" w:rsidRPr="004347B7" w:rsidRDefault="00136578" w:rsidP="00136578">
            <w:pPr>
              <w:jc w:val="center"/>
              <w:rPr>
                <w:rFonts w:cs="Arial"/>
                <w:color w:val="000000"/>
                <w:spacing w:val="0"/>
                <w:sz w:val="22"/>
                <w:szCs w:val="22"/>
                <w:lang w:val="en-US"/>
              </w:rPr>
            </w:pPr>
          </w:p>
        </w:tc>
      </w:tr>
      <w:tr w:rsidR="00136578" w:rsidRPr="004347B7" w14:paraId="40F8AED6" w14:textId="77777777" w:rsidTr="00136578">
        <w:trPr>
          <w:trHeight w:val="300"/>
        </w:trPr>
        <w:tc>
          <w:tcPr>
            <w:tcW w:w="1908" w:type="dxa"/>
            <w:noWrap/>
            <w:vAlign w:val="center"/>
            <w:hideMark/>
          </w:tcPr>
          <w:p w14:paraId="33405331" w14:textId="77777777" w:rsidR="00136578" w:rsidRPr="004347B7" w:rsidRDefault="00136578" w:rsidP="00136578">
            <w:pPr>
              <w:rPr>
                <w:rFonts w:cs="Arial"/>
                <w:color w:val="000000"/>
                <w:spacing w:val="0"/>
                <w:sz w:val="22"/>
                <w:szCs w:val="22"/>
                <w:lang w:val="en-US"/>
              </w:rPr>
            </w:pPr>
            <w:r>
              <w:rPr>
                <w:rFonts w:ascii="Calibri" w:hAnsi="Calibri"/>
                <w:color w:val="000000"/>
                <w:szCs w:val="24"/>
              </w:rPr>
              <w:t>Rio Grande do Norte</w:t>
            </w:r>
          </w:p>
        </w:tc>
        <w:tc>
          <w:tcPr>
            <w:tcW w:w="945" w:type="dxa"/>
            <w:noWrap/>
            <w:vAlign w:val="bottom"/>
            <w:hideMark/>
          </w:tcPr>
          <w:p w14:paraId="45C44F46"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6%</w:t>
            </w:r>
          </w:p>
        </w:tc>
        <w:tc>
          <w:tcPr>
            <w:tcW w:w="945" w:type="dxa"/>
            <w:noWrap/>
            <w:vAlign w:val="bottom"/>
            <w:hideMark/>
          </w:tcPr>
          <w:p w14:paraId="17220D6B"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1069854F"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3B2BED75"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1F417F77"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2EC3C987"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28171CF5"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19BE9F79" w14:textId="77777777" w:rsidR="00136578" w:rsidRPr="004347B7" w:rsidRDefault="00136578" w:rsidP="00136578">
            <w:pPr>
              <w:jc w:val="center"/>
              <w:rPr>
                <w:rFonts w:cs="Arial"/>
                <w:color w:val="000000"/>
                <w:spacing w:val="0"/>
                <w:sz w:val="22"/>
                <w:szCs w:val="22"/>
                <w:lang w:val="en-US"/>
              </w:rPr>
            </w:pPr>
          </w:p>
        </w:tc>
      </w:tr>
      <w:tr w:rsidR="00136578" w:rsidRPr="004347B7" w14:paraId="1F2C2247" w14:textId="77777777" w:rsidTr="00136578">
        <w:trPr>
          <w:trHeight w:val="300"/>
        </w:trPr>
        <w:tc>
          <w:tcPr>
            <w:tcW w:w="1908" w:type="dxa"/>
            <w:noWrap/>
            <w:vAlign w:val="center"/>
            <w:hideMark/>
          </w:tcPr>
          <w:p w14:paraId="1F582554" w14:textId="77777777" w:rsidR="00136578" w:rsidRPr="004347B7" w:rsidRDefault="00136578" w:rsidP="00136578">
            <w:pPr>
              <w:rPr>
                <w:rFonts w:cs="Arial"/>
                <w:color w:val="000000"/>
                <w:spacing w:val="0"/>
                <w:sz w:val="22"/>
                <w:szCs w:val="22"/>
                <w:lang w:val="en-US"/>
              </w:rPr>
            </w:pPr>
            <w:r>
              <w:rPr>
                <w:rFonts w:ascii="Calibri" w:hAnsi="Calibri"/>
                <w:color w:val="000000"/>
                <w:szCs w:val="24"/>
              </w:rPr>
              <w:t>Paraíba</w:t>
            </w:r>
          </w:p>
        </w:tc>
        <w:tc>
          <w:tcPr>
            <w:tcW w:w="945" w:type="dxa"/>
            <w:noWrap/>
            <w:vAlign w:val="bottom"/>
            <w:hideMark/>
          </w:tcPr>
          <w:p w14:paraId="139CDC56"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5%</w:t>
            </w:r>
          </w:p>
        </w:tc>
        <w:tc>
          <w:tcPr>
            <w:tcW w:w="945" w:type="dxa"/>
            <w:noWrap/>
            <w:vAlign w:val="bottom"/>
            <w:hideMark/>
          </w:tcPr>
          <w:p w14:paraId="03BD9A66"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55%</w:t>
            </w:r>
          </w:p>
        </w:tc>
        <w:tc>
          <w:tcPr>
            <w:tcW w:w="945" w:type="dxa"/>
            <w:noWrap/>
            <w:vAlign w:val="bottom"/>
            <w:hideMark/>
          </w:tcPr>
          <w:p w14:paraId="1BD8F5A7"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6D54BCCA"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66DB8944"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0F2DE786"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6F17AFC8"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7ABF7D05" w14:textId="77777777" w:rsidR="00136578" w:rsidRPr="004347B7" w:rsidRDefault="00136578" w:rsidP="00136578">
            <w:pPr>
              <w:jc w:val="center"/>
              <w:rPr>
                <w:rFonts w:cs="Arial"/>
                <w:color w:val="000000"/>
                <w:spacing w:val="0"/>
                <w:sz w:val="22"/>
                <w:szCs w:val="22"/>
                <w:lang w:val="en-US"/>
              </w:rPr>
            </w:pPr>
          </w:p>
        </w:tc>
      </w:tr>
      <w:tr w:rsidR="00136578" w:rsidRPr="004347B7" w14:paraId="5A7C1E8D" w14:textId="77777777" w:rsidTr="00136578">
        <w:trPr>
          <w:trHeight w:val="300"/>
        </w:trPr>
        <w:tc>
          <w:tcPr>
            <w:tcW w:w="1908" w:type="dxa"/>
            <w:noWrap/>
            <w:vAlign w:val="center"/>
            <w:hideMark/>
          </w:tcPr>
          <w:p w14:paraId="7B2BC233" w14:textId="77777777" w:rsidR="00136578" w:rsidRPr="004347B7" w:rsidRDefault="00136578" w:rsidP="00136578">
            <w:pPr>
              <w:rPr>
                <w:rFonts w:cs="Arial"/>
                <w:color w:val="000000"/>
                <w:spacing w:val="0"/>
                <w:sz w:val="22"/>
                <w:szCs w:val="22"/>
                <w:lang w:val="en-US"/>
              </w:rPr>
            </w:pPr>
            <w:r>
              <w:rPr>
                <w:rFonts w:ascii="Calibri" w:hAnsi="Calibri"/>
                <w:color w:val="000000"/>
                <w:szCs w:val="24"/>
              </w:rPr>
              <w:t>Pernambuco</w:t>
            </w:r>
          </w:p>
        </w:tc>
        <w:tc>
          <w:tcPr>
            <w:tcW w:w="945" w:type="dxa"/>
            <w:noWrap/>
            <w:vAlign w:val="bottom"/>
            <w:hideMark/>
          </w:tcPr>
          <w:p w14:paraId="58C61882"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29%</w:t>
            </w:r>
          </w:p>
        </w:tc>
        <w:tc>
          <w:tcPr>
            <w:tcW w:w="945" w:type="dxa"/>
            <w:noWrap/>
            <w:vAlign w:val="bottom"/>
            <w:hideMark/>
          </w:tcPr>
          <w:p w14:paraId="42A72857"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20%</w:t>
            </w:r>
          </w:p>
        </w:tc>
        <w:tc>
          <w:tcPr>
            <w:tcW w:w="945" w:type="dxa"/>
            <w:noWrap/>
            <w:vAlign w:val="bottom"/>
            <w:hideMark/>
          </w:tcPr>
          <w:p w14:paraId="21C367C6"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18%</w:t>
            </w:r>
          </w:p>
        </w:tc>
        <w:tc>
          <w:tcPr>
            <w:tcW w:w="945" w:type="dxa"/>
            <w:noWrap/>
            <w:vAlign w:val="bottom"/>
            <w:hideMark/>
          </w:tcPr>
          <w:p w14:paraId="6070EC6C"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21%</w:t>
            </w:r>
          </w:p>
        </w:tc>
        <w:tc>
          <w:tcPr>
            <w:tcW w:w="945" w:type="dxa"/>
            <w:noWrap/>
            <w:vAlign w:val="bottom"/>
            <w:hideMark/>
          </w:tcPr>
          <w:p w14:paraId="672ACEBD"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704A0AE3"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6390ABAF"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40175747" w14:textId="77777777" w:rsidR="00136578" w:rsidRPr="004347B7" w:rsidRDefault="00136578" w:rsidP="00136578">
            <w:pPr>
              <w:jc w:val="center"/>
              <w:rPr>
                <w:rFonts w:cs="Arial"/>
                <w:color w:val="000000"/>
                <w:spacing w:val="0"/>
                <w:sz w:val="22"/>
                <w:szCs w:val="22"/>
                <w:lang w:val="en-US"/>
              </w:rPr>
            </w:pPr>
          </w:p>
        </w:tc>
      </w:tr>
      <w:tr w:rsidR="00136578" w:rsidRPr="004347B7" w14:paraId="6358C8FC" w14:textId="77777777" w:rsidTr="00136578">
        <w:trPr>
          <w:trHeight w:val="300"/>
        </w:trPr>
        <w:tc>
          <w:tcPr>
            <w:tcW w:w="1908" w:type="dxa"/>
            <w:noWrap/>
            <w:vAlign w:val="center"/>
            <w:hideMark/>
          </w:tcPr>
          <w:p w14:paraId="66ACE64E" w14:textId="77777777" w:rsidR="00136578" w:rsidRPr="004347B7" w:rsidRDefault="00136578" w:rsidP="00136578">
            <w:pPr>
              <w:rPr>
                <w:rFonts w:cs="Arial"/>
                <w:color w:val="000000"/>
                <w:spacing w:val="0"/>
                <w:sz w:val="22"/>
                <w:szCs w:val="22"/>
                <w:lang w:val="en-US"/>
              </w:rPr>
            </w:pPr>
            <w:r>
              <w:rPr>
                <w:rFonts w:ascii="Calibri" w:hAnsi="Calibri"/>
                <w:color w:val="000000"/>
                <w:szCs w:val="24"/>
              </w:rPr>
              <w:t>Alagoas</w:t>
            </w:r>
          </w:p>
        </w:tc>
        <w:tc>
          <w:tcPr>
            <w:tcW w:w="945" w:type="dxa"/>
            <w:noWrap/>
            <w:vAlign w:val="bottom"/>
            <w:hideMark/>
          </w:tcPr>
          <w:p w14:paraId="120C2B6F"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7%</w:t>
            </w:r>
          </w:p>
        </w:tc>
        <w:tc>
          <w:tcPr>
            <w:tcW w:w="945" w:type="dxa"/>
            <w:noWrap/>
            <w:vAlign w:val="bottom"/>
            <w:hideMark/>
          </w:tcPr>
          <w:p w14:paraId="77EB06C8"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0E700F1C"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7C0060BD"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358C1C03"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3%</w:t>
            </w:r>
          </w:p>
        </w:tc>
        <w:tc>
          <w:tcPr>
            <w:tcW w:w="945" w:type="dxa"/>
            <w:noWrap/>
            <w:vAlign w:val="bottom"/>
            <w:hideMark/>
          </w:tcPr>
          <w:p w14:paraId="5B1B618D"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447A3C7C"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206F27DB" w14:textId="77777777" w:rsidR="00136578" w:rsidRPr="004347B7" w:rsidRDefault="00136578" w:rsidP="00136578">
            <w:pPr>
              <w:jc w:val="center"/>
              <w:rPr>
                <w:rFonts w:cs="Arial"/>
                <w:color w:val="000000"/>
                <w:spacing w:val="0"/>
                <w:sz w:val="22"/>
                <w:szCs w:val="22"/>
                <w:lang w:val="en-US"/>
              </w:rPr>
            </w:pPr>
          </w:p>
        </w:tc>
      </w:tr>
      <w:tr w:rsidR="00136578" w:rsidRPr="004347B7" w14:paraId="3D3ED093" w14:textId="77777777" w:rsidTr="00136578">
        <w:trPr>
          <w:trHeight w:val="300"/>
        </w:trPr>
        <w:tc>
          <w:tcPr>
            <w:tcW w:w="1908" w:type="dxa"/>
            <w:noWrap/>
            <w:vAlign w:val="center"/>
            <w:hideMark/>
          </w:tcPr>
          <w:p w14:paraId="60234FE0" w14:textId="77777777" w:rsidR="00136578" w:rsidRPr="004347B7" w:rsidRDefault="00136578" w:rsidP="00136578">
            <w:pPr>
              <w:rPr>
                <w:rFonts w:cs="Arial"/>
                <w:color w:val="000000"/>
                <w:spacing w:val="0"/>
                <w:sz w:val="22"/>
                <w:szCs w:val="22"/>
                <w:lang w:val="en-US"/>
              </w:rPr>
            </w:pPr>
            <w:r>
              <w:rPr>
                <w:rFonts w:ascii="Calibri" w:hAnsi="Calibri"/>
                <w:color w:val="000000"/>
                <w:szCs w:val="24"/>
              </w:rPr>
              <w:t>Sergipe</w:t>
            </w:r>
          </w:p>
        </w:tc>
        <w:tc>
          <w:tcPr>
            <w:tcW w:w="945" w:type="dxa"/>
            <w:noWrap/>
            <w:vAlign w:val="bottom"/>
            <w:hideMark/>
          </w:tcPr>
          <w:p w14:paraId="45BC2688"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12%</w:t>
            </w:r>
          </w:p>
        </w:tc>
        <w:tc>
          <w:tcPr>
            <w:tcW w:w="945" w:type="dxa"/>
            <w:noWrap/>
            <w:vAlign w:val="bottom"/>
            <w:hideMark/>
          </w:tcPr>
          <w:p w14:paraId="5E1F074C"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6%</w:t>
            </w:r>
          </w:p>
        </w:tc>
        <w:tc>
          <w:tcPr>
            <w:tcW w:w="945" w:type="dxa"/>
            <w:noWrap/>
            <w:vAlign w:val="bottom"/>
            <w:hideMark/>
          </w:tcPr>
          <w:p w14:paraId="6767CAEB"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15%</w:t>
            </w:r>
          </w:p>
        </w:tc>
        <w:tc>
          <w:tcPr>
            <w:tcW w:w="945" w:type="dxa"/>
            <w:noWrap/>
            <w:vAlign w:val="bottom"/>
            <w:hideMark/>
          </w:tcPr>
          <w:p w14:paraId="13E0912F"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11%</w:t>
            </w:r>
          </w:p>
        </w:tc>
        <w:tc>
          <w:tcPr>
            <w:tcW w:w="945" w:type="dxa"/>
            <w:noWrap/>
            <w:vAlign w:val="bottom"/>
            <w:hideMark/>
          </w:tcPr>
          <w:p w14:paraId="292E7C8F"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776D5489"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3850FCC3"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15FD9B63" w14:textId="77777777" w:rsidR="00136578" w:rsidRPr="004347B7" w:rsidRDefault="00136578" w:rsidP="00136578">
            <w:pPr>
              <w:jc w:val="center"/>
              <w:rPr>
                <w:rFonts w:cs="Arial"/>
                <w:color w:val="000000"/>
                <w:spacing w:val="0"/>
                <w:sz w:val="22"/>
                <w:szCs w:val="22"/>
                <w:lang w:val="en-US"/>
              </w:rPr>
            </w:pPr>
          </w:p>
        </w:tc>
      </w:tr>
      <w:tr w:rsidR="00136578" w:rsidRPr="004347B7" w14:paraId="69B2586D" w14:textId="77777777" w:rsidTr="00136578">
        <w:trPr>
          <w:trHeight w:val="300"/>
        </w:trPr>
        <w:tc>
          <w:tcPr>
            <w:tcW w:w="1908" w:type="dxa"/>
            <w:noWrap/>
            <w:vAlign w:val="center"/>
            <w:hideMark/>
          </w:tcPr>
          <w:p w14:paraId="2DD4664E" w14:textId="77777777" w:rsidR="00136578" w:rsidRPr="004347B7" w:rsidRDefault="00136578" w:rsidP="00136578">
            <w:pPr>
              <w:rPr>
                <w:rFonts w:cs="Arial"/>
                <w:color w:val="000000"/>
                <w:spacing w:val="0"/>
                <w:sz w:val="22"/>
                <w:szCs w:val="22"/>
                <w:lang w:val="en-US"/>
              </w:rPr>
            </w:pPr>
            <w:r>
              <w:rPr>
                <w:rFonts w:ascii="Calibri" w:hAnsi="Calibri"/>
                <w:color w:val="000000"/>
                <w:szCs w:val="24"/>
              </w:rPr>
              <w:t>Bahía</w:t>
            </w:r>
          </w:p>
        </w:tc>
        <w:tc>
          <w:tcPr>
            <w:tcW w:w="945" w:type="dxa"/>
            <w:noWrap/>
            <w:vAlign w:val="bottom"/>
            <w:hideMark/>
          </w:tcPr>
          <w:p w14:paraId="48657C14"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6%</w:t>
            </w:r>
          </w:p>
        </w:tc>
        <w:tc>
          <w:tcPr>
            <w:tcW w:w="945" w:type="dxa"/>
            <w:noWrap/>
            <w:vAlign w:val="bottom"/>
            <w:hideMark/>
          </w:tcPr>
          <w:p w14:paraId="7855D883"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10602436"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15%</w:t>
            </w:r>
          </w:p>
        </w:tc>
        <w:tc>
          <w:tcPr>
            <w:tcW w:w="945" w:type="dxa"/>
            <w:noWrap/>
            <w:vAlign w:val="bottom"/>
            <w:hideMark/>
          </w:tcPr>
          <w:p w14:paraId="5359E097"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20%</w:t>
            </w:r>
          </w:p>
        </w:tc>
        <w:tc>
          <w:tcPr>
            <w:tcW w:w="945" w:type="dxa"/>
            <w:noWrap/>
            <w:vAlign w:val="bottom"/>
            <w:hideMark/>
          </w:tcPr>
          <w:p w14:paraId="3A09EACE"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20%</w:t>
            </w:r>
          </w:p>
        </w:tc>
        <w:tc>
          <w:tcPr>
            <w:tcW w:w="945" w:type="dxa"/>
            <w:noWrap/>
            <w:vAlign w:val="bottom"/>
            <w:hideMark/>
          </w:tcPr>
          <w:p w14:paraId="2981B488"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21%</w:t>
            </w:r>
          </w:p>
        </w:tc>
        <w:tc>
          <w:tcPr>
            <w:tcW w:w="945" w:type="dxa"/>
            <w:noWrap/>
            <w:vAlign w:val="bottom"/>
            <w:hideMark/>
          </w:tcPr>
          <w:p w14:paraId="6FF79B1F"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0906ECAD" w14:textId="77777777" w:rsidR="00136578" w:rsidRPr="004347B7" w:rsidRDefault="00136578" w:rsidP="00136578">
            <w:pPr>
              <w:jc w:val="center"/>
              <w:rPr>
                <w:rFonts w:cs="Arial"/>
                <w:color w:val="000000"/>
                <w:spacing w:val="0"/>
                <w:sz w:val="22"/>
                <w:szCs w:val="22"/>
                <w:lang w:val="en-US"/>
              </w:rPr>
            </w:pPr>
          </w:p>
        </w:tc>
      </w:tr>
      <w:tr w:rsidR="00136578" w:rsidRPr="004347B7" w14:paraId="7F578A7B" w14:textId="77777777" w:rsidTr="00136578">
        <w:trPr>
          <w:trHeight w:val="300"/>
        </w:trPr>
        <w:tc>
          <w:tcPr>
            <w:tcW w:w="1908" w:type="dxa"/>
            <w:noWrap/>
            <w:vAlign w:val="center"/>
            <w:hideMark/>
          </w:tcPr>
          <w:p w14:paraId="79F7348C" w14:textId="77777777" w:rsidR="00136578" w:rsidRPr="004347B7" w:rsidRDefault="00136578" w:rsidP="00136578">
            <w:pPr>
              <w:rPr>
                <w:rFonts w:cs="Arial"/>
                <w:color w:val="000000"/>
                <w:spacing w:val="0"/>
                <w:sz w:val="22"/>
                <w:szCs w:val="22"/>
                <w:lang w:val="en-US"/>
              </w:rPr>
            </w:pPr>
            <w:r>
              <w:rPr>
                <w:rFonts w:ascii="Calibri" w:hAnsi="Calibri"/>
                <w:color w:val="000000"/>
                <w:szCs w:val="24"/>
              </w:rPr>
              <w:t>Minas Gerais</w:t>
            </w:r>
          </w:p>
        </w:tc>
        <w:tc>
          <w:tcPr>
            <w:tcW w:w="945" w:type="dxa"/>
            <w:noWrap/>
            <w:vAlign w:val="bottom"/>
            <w:hideMark/>
          </w:tcPr>
          <w:p w14:paraId="1BA7CEBB"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9%</w:t>
            </w:r>
          </w:p>
        </w:tc>
        <w:tc>
          <w:tcPr>
            <w:tcW w:w="945" w:type="dxa"/>
            <w:noWrap/>
            <w:vAlign w:val="bottom"/>
            <w:hideMark/>
          </w:tcPr>
          <w:p w14:paraId="0FB296C1"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514E3424"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4033349A"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0775C487"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0%</w:t>
            </w:r>
          </w:p>
        </w:tc>
        <w:tc>
          <w:tcPr>
            <w:tcW w:w="945" w:type="dxa"/>
            <w:noWrap/>
            <w:vAlign w:val="bottom"/>
            <w:hideMark/>
          </w:tcPr>
          <w:p w14:paraId="4C011495" w14:textId="77777777" w:rsidR="00136578" w:rsidRPr="004347B7" w:rsidRDefault="00136578" w:rsidP="00136578">
            <w:pPr>
              <w:jc w:val="center"/>
              <w:rPr>
                <w:rFonts w:cs="Arial"/>
                <w:color w:val="000000"/>
                <w:spacing w:val="0"/>
                <w:sz w:val="22"/>
                <w:szCs w:val="22"/>
                <w:lang w:val="en-US"/>
              </w:rPr>
            </w:pPr>
          </w:p>
        </w:tc>
        <w:tc>
          <w:tcPr>
            <w:tcW w:w="945" w:type="dxa"/>
            <w:noWrap/>
            <w:vAlign w:val="bottom"/>
            <w:hideMark/>
          </w:tcPr>
          <w:p w14:paraId="607F720B"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25%</w:t>
            </w:r>
          </w:p>
        </w:tc>
        <w:tc>
          <w:tcPr>
            <w:tcW w:w="945" w:type="dxa"/>
            <w:noWrap/>
            <w:vAlign w:val="bottom"/>
            <w:hideMark/>
          </w:tcPr>
          <w:p w14:paraId="1446E8A4"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25%</w:t>
            </w:r>
          </w:p>
        </w:tc>
      </w:tr>
      <w:tr w:rsidR="00136578" w:rsidRPr="004347B7" w14:paraId="48F3820B" w14:textId="77777777" w:rsidTr="00136578">
        <w:trPr>
          <w:trHeight w:val="300"/>
        </w:trPr>
        <w:tc>
          <w:tcPr>
            <w:tcW w:w="1908" w:type="dxa"/>
            <w:noWrap/>
            <w:vAlign w:val="center"/>
          </w:tcPr>
          <w:p w14:paraId="5C6885A5" w14:textId="77777777" w:rsidR="00136578" w:rsidRPr="004347B7" w:rsidRDefault="00136578" w:rsidP="00136578">
            <w:pPr>
              <w:rPr>
                <w:rFonts w:cs="Arial"/>
                <w:color w:val="000000"/>
                <w:spacing w:val="0"/>
                <w:sz w:val="22"/>
                <w:szCs w:val="22"/>
                <w:lang w:val="en-US"/>
              </w:rPr>
            </w:pPr>
            <w:r>
              <w:rPr>
                <w:rFonts w:ascii="Calibri" w:hAnsi="Calibri"/>
                <w:color w:val="000000"/>
                <w:szCs w:val="24"/>
              </w:rPr>
              <w:t>Mato Grosso</w:t>
            </w:r>
          </w:p>
        </w:tc>
        <w:tc>
          <w:tcPr>
            <w:tcW w:w="945" w:type="dxa"/>
            <w:noWrap/>
            <w:vAlign w:val="bottom"/>
          </w:tcPr>
          <w:p w14:paraId="30DBF99D" w14:textId="77777777" w:rsidR="00136578" w:rsidRDefault="00136578" w:rsidP="00136578">
            <w:pPr>
              <w:jc w:val="center"/>
              <w:rPr>
                <w:rFonts w:ascii="Calibri" w:hAnsi="Calibri"/>
                <w:color w:val="000000"/>
                <w:szCs w:val="24"/>
              </w:rPr>
            </w:pPr>
            <w:r>
              <w:rPr>
                <w:rFonts w:ascii="Calibri" w:hAnsi="Calibri"/>
                <w:color w:val="000000"/>
                <w:szCs w:val="24"/>
              </w:rPr>
              <w:t>6%</w:t>
            </w:r>
          </w:p>
        </w:tc>
        <w:tc>
          <w:tcPr>
            <w:tcW w:w="945" w:type="dxa"/>
            <w:noWrap/>
            <w:vAlign w:val="bottom"/>
          </w:tcPr>
          <w:p w14:paraId="0203BA61" w14:textId="77777777" w:rsidR="00136578" w:rsidRDefault="00136578" w:rsidP="00136578">
            <w:pPr>
              <w:jc w:val="center"/>
              <w:rPr>
                <w:rFonts w:ascii="Calibri" w:hAnsi="Calibri"/>
                <w:color w:val="000000"/>
                <w:szCs w:val="24"/>
              </w:rPr>
            </w:pPr>
          </w:p>
        </w:tc>
        <w:tc>
          <w:tcPr>
            <w:tcW w:w="945" w:type="dxa"/>
            <w:noWrap/>
            <w:vAlign w:val="bottom"/>
          </w:tcPr>
          <w:p w14:paraId="6411D382" w14:textId="77777777" w:rsidR="00136578" w:rsidRDefault="00136578" w:rsidP="00136578">
            <w:pPr>
              <w:jc w:val="center"/>
              <w:rPr>
                <w:rFonts w:ascii="Calibri" w:hAnsi="Calibri"/>
                <w:color w:val="000000"/>
                <w:szCs w:val="24"/>
              </w:rPr>
            </w:pPr>
            <w:r>
              <w:rPr>
                <w:rFonts w:ascii="Calibri" w:hAnsi="Calibri"/>
                <w:color w:val="000000"/>
                <w:szCs w:val="24"/>
              </w:rPr>
              <w:t>0%</w:t>
            </w:r>
          </w:p>
        </w:tc>
        <w:tc>
          <w:tcPr>
            <w:tcW w:w="945" w:type="dxa"/>
            <w:noWrap/>
            <w:vAlign w:val="bottom"/>
          </w:tcPr>
          <w:p w14:paraId="1AEC0BE1" w14:textId="77777777" w:rsidR="00136578" w:rsidRPr="004347B7" w:rsidRDefault="00136578" w:rsidP="00136578">
            <w:pPr>
              <w:jc w:val="center"/>
              <w:rPr>
                <w:rFonts w:cs="Arial"/>
                <w:color w:val="000000"/>
                <w:spacing w:val="0"/>
                <w:sz w:val="22"/>
                <w:szCs w:val="22"/>
                <w:lang w:val="en-US"/>
              </w:rPr>
            </w:pPr>
          </w:p>
        </w:tc>
        <w:tc>
          <w:tcPr>
            <w:tcW w:w="945" w:type="dxa"/>
            <w:noWrap/>
            <w:vAlign w:val="bottom"/>
          </w:tcPr>
          <w:p w14:paraId="6C90858F" w14:textId="77777777" w:rsidR="00136578" w:rsidRDefault="00136578" w:rsidP="00136578">
            <w:pPr>
              <w:jc w:val="center"/>
              <w:rPr>
                <w:rFonts w:ascii="Calibri" w:hAnsi="Calibri"/>
                <w:color w:val="000000"/>
                <w:szCs w:val="24"/>
              </w:rPr>
            </w:pPr>
            <w:r>
              <w:rPr>
                <w:rFonts w:ascii="Calibri" w:hAnsi="Calibri"/>
                <w:color w:val="000000"/>
                <w:szCs w:val="24"/>
              </w:rPr>
              <w:t>0%</w:t>
            </w:r>
          </w:p>
        </w:tc>
        <w:tc>
          <w:tcPr>
            <w:tcW w:w="945" w:type="dxa"/>
            <w:noWrap/>
            <w:vAlign w:val="bottom"/>
          </w:tcPr>
          <w:p w14:paraId="7F60C272" w14:textId="77777777" w:rsidR="00136578" w:rsidRPr="004347B7" w:rsidRDefault="00136578" w:rsidP="00136578">
            <w:pPr>
              <w:jc w:val="center"/>
              <w:rPr>
                <w:rFonts w:cs="Arial"/>
                <w:color w:val="000000"/>
                <w:spacing w:val="0"/>
                <w:sz w:val="22"/>
                <w:szCs w:val="22"/>
                <w:lang w:val="en-US"/>
              </w:rPr>
            </w:pPr>
          </w:p>
        </w:tc>
        <w:tc>
          <w:tcPr>
            <w:tcW w:w="945" w:type="dxa"/>
            <w:noWrap/>
            <w:vAlign w:val="bottom"/>
          </w:tcPr>
          <w:p w14:paraId="3E10873A" w14:textId="77777777" w:rsidR="00136578" w:rsidRDefault="00136578" w:rsidP="00136578">
            <w:pPr>
              <w:jc w:val="center"/>
              <w:rPr>
                <w:rFonts w:ascii="Calibri" w:hAnsi="Calibri"/>
                <w:color w:val="000000"/>
                <w:szCs w:val="24"/>
              </w:rPr>
            </w:pPr>
            <w:r>
              <w:rPr>
                <w:rFonts w:ascii="Calibri" w:hAnsi="Calibri"/>
                <w:color w:val="000000"/>
                <w:szCs w:val="24"/>
              </w:rPr>
              <w:t>0%</w:t>
            </w:r>
          </w:p>
        </w:tc>
        <w:tc>
          <w:tcPr>
            <w:tcW w:w="945" w:type="dxa"/>
            <w:noWrap/>
            <w:vAlign w:val="bottom"/>
          </w:tcPr>
          <w:p w14:paraId="1B2080A2" w14:textId="77777777" w:rsidR="00136578" w:rsidRDefault="00136578" w:rsidP="00136578">
            <w:pPr>
              <w:jc w:val="center"/>
              <w:rPr>
                <w:rFonts w:ascii="Calibri" w:hAnsi="Calibri"/>
                <w:color w:val="000000"/>
                <w:szCs w:val="24"/>
              </w:rPr>
            </w:pPr>
          </w:p>
        </w:tc>
      </w:tr>
      <w:tr w:rsidR="00136578" w:rsidRPr="004347B7" w14:paraId="592702EC" w14:textId="77777777" w:rsidTr="00136578">
        <w:trPr>
          <w:trHeight w:val="300"/>
        </w:trPr>
        <w:tc>
          <w:tcPr>
            <w:tcW w:w="1908" w:type="dxa"/>
            <w:noWrap/>
            <w:vAlign w:val="center"/>
          </w:tcPr>
          <w:p w14:paraId="40D0CCDE" w14:textId="77777777" w:rsidR="00136578" w:rsidRPr="004347B7" w:rsidRDefault="00136578" w:rsidP="00136578">
            <w:pPr>
              <w:rPr>
                <w:rFonts w:cs="Arial"/>
                <w:color w:val="000000"/>
                <w:spacing w:val="0"/>
                <w:sz w:val="22"/>
                <w:szCs w:val="22"/>
                <w:lang w:val="en-US"/>
              </w:rPr>
            </w:pPr>
            <w:r>
              <w:rPr>
                <w:rFonts w:ascii="Calibri" w:hAnsi="Calibri"/>
                <w:color w:val="000000"/>
                <w:szCs w:val="24"/>
              </w:rPr>
              <w:t>Goiás</w:t>
            </w:r>
          </w:p>
        </w:tc>
        <w:tc>
          <w:tcPr>
            <w:tcW w:w="945" w:type="dxa"/>
            <w:noWrap/>
            <w:vAlign w:val="bottom"/>
          </w:tcPr>
          <w:p w14:paraId="25503791" w14:textId="77777777" w:rsidR="00136578" w:rsidRDefault="00136578" w:rsidP="00136578">
            <w:pPr>
              <w:jc w:val="center"/>
              <w:rPr>
                <w:rFonts w:ascii="Calibri" w:hAnsi="Calibri"/>
                <w:color w:val="000000"/>
                <w:szCs w:val="24"/>
              </w:rPr>
            </w:pPr>
            <w:r>
              <w:rPr>
                <w:rFonts w:ascii="Calibri" w:hAnsi="Calibri"/>
                <w:color w:val="000000"/>
                <w:szCs w:val="24"/>
              </w:rPr>
              <w:t>5%</w:t>
            </w:r>
          </w:p>
        </w:tc>
        <w:tc>
          <w:tcPr>
            <w:tcW w:w="945" w:type="dxa"/>
            <w:noWrap/>
            <w:vAlign w:val="bottom"/>
          </w:tcPr>
          <w:p w14:paraId="11708421" w14:textId="77777777" w:rsidR="00136578" w:rsidRDefault="00136578" w:rsidP="00136578">
            <w:pPr>
              <w:jc w:val="center"/>
              <w:rPr>
                <w:rFonts w:ascii="Calibri" w:hAnsi="Calibri"/>
                <w:color w:val="000000"/>
                <w:szCs w:val="24"/>
              </w:rPr>
            </w:pPr>
          </w:p>
        </w:tc>
        <w:tc>
          <w:tcPr>
            <w:tcW w:w="945" w:type="dxa"/>
            <w:noWrap/>
            <w:vAlign w:val="bottom"/>
          </w:tcPr>
          <w:p w14:paraId="2489A049" w14:textId="77777777" w:rsidR="00136578" w:rsidRDefault="00136578" w:rsidP="00136578">
            <w:pPr>
              <w:jc w:val="center"/>
              <w:rPr>
                <w:rFonts w:ascii="Calibri" w:hAnsi="Calibri"/>
                <w:color w:val="000000"/>
                <w:szCs w:val="24"/>
              </w:rPr>
            </w:pPr>
            <w:r>
              <w:rPr>
                <w:rFonts w:ascii="Calibri" w:hAnsi="Calibri"/>
                <w:color w:val="000000"/>
                <w:szCs w:val="24"/>
              </w:rPr>
              <w:t>14%</w:t>
            </w:r>
          </w:p>
        </w:tc>
        <w:tc>
          <w:tcPr>
            <w:tcW w:w="945" w:type="dxa"/>
            <w:noWrap/>
            <w:vAlign w:val="bottom"/>
          </w:tcPr>
          <w:p w14:paraId="4ED6D022"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7%</w:t>
            </w:r>
          </w:p>
        </w:tc>
        <w:tc>
          <w:tcPr>
            <w:tcW w:w="945" w:type="dxa"/>
            <w:noWrap/>
            <w:vAlign w:val="bottom"/>
          </w:tcPr>
          <w:p w14:paraId="21FB8A5C" w14:textId="77777777" w:rsidR="00136578" w:rsidRDefault="00136578" w:rsidP="00136578">
            <w:pPr>
              <w:jc w:val="center"/>
              <w:rPr>
                <w:rFonts w:ascii="Calibri" w:hAnsi="Calibri"/>
                <w:color w:val="000000"/>
                <w:szCs w:val="24"/>
              </w:rPr>
            </w:pPr>
            <w:r>
              <w:rPr>
                <w:rFonts w:ascii="Calibri" w:hAnsi="Calibri"/>
                <w:color w:val="000000"/>
                <w:szCs w:val="24"/>
              </w:rPr>
              <w:t>59%</w:t>
            </w:r>
          </w:p>
        </w:tc>
        <w:tc>
          <w:tcPr>
            <w:tcW w:w="945" w:type="dxa"/>
            <w:noWrap/>
            <w:vAlign w:val="bottom"/>
          </w:tcPr>
          <w:p w14:paraId="49F7B560" w14:textId="77777777" w:rsidR="00136578" w:rsidRPr="004347B7" w:rsidRDefault="00136578" w:rsidP="00136578">
            <w:pPr>
              <w:jc w:val="center"/>
              <w:rPr>
                <w:rFonts w:cs="Arial"/>
                <w:color w:val="000000"/>
                <w:spacing w:val="0"/>
                <w:sz w:val="22"/>
                <w:szCs w:val="22"/>
                <w:lang w:val="en-US"/>
              </w:rPr>
            </w:pPr>
            <w:r>
              <w:rPr>
                <w:rFonts w:ascii="Calibri" w:hAnsi="Calibri"/>
                <w:color w:val="000000"/>
                <w:szCs w:val="24"/>
              </w:rPr>
              <w:t>59%</w:t>
            </w:r>
          </w:p>
        </w:tc>
        <w:tc>
          <w:tcPr>
            <w:tcW w:w="945" w:type="dxa"/>
            <w:noWrap/>
            <w:vAlign w:val="bottom"/>
          </w:tcPr>
          <w:p w14:paraId="3EF6086E" w14:textId="77777777" w:rsidR="00136578" w:rsidRDefault="00136578" w:rsidP="00136578">
            <w:pPr>
              <w:jc w:val="center"/>
              <w:rPr>
                <w:rFonts w:ascii="Calibri" w:hAnsi="Calibri"/>
                <w:color w:val="000000"/>
                <w:szCs w:val="24"/>
              </w:rPr>
            </w:pPr>
            <w:r>
              <w:rPr>
                <w:rFonts w:ascii="Calibri" w:hAnsi="Calibri"/>
                <w:color w:val="000000"/>
                <w:szCs w:val="24"/>
              </w:rPr>
              <w:t>52%</w:t>
            </w:r>
          </w:p>
        </w:tc>
        <w:tc>
          <w:tcPr>
            <w:tcW w:w="945" w:type="dxa"/>
            <w:noWrap/>
            <w:vAlign w:val="bottom"/>
          </w:tcPr>
          <w:p w14:paraId="7FAE34A8" w14:textId="77777777" w:rsidR="00136578" w:rsidRDefault="00136578" w:rsidP="00136578">
            <w:pPr>
              <w:jc w:val="center"/>
              <w:rPr>
                <w:rFonts w:ascii="Calibri" w:hAnsi="Calibri"/>
                <w:color w:val="000000"/>
                <w:szCs w:val="24"/>
              </w:rPr>
            </w:pPr>
            <w:r>
              <w:rPr>
                <w:rFonts w:ascii="Calibri" w:hAnsi="Calibri"/>
                <w:color w:val="000000"/>
                <w:szCs w:val="24"/>
              </w:rPr>
              <w:t>52%</w:t>
            </w:r>
          </w:p>
        </w:tc>
      </w:tr>
    </w:tbl>
    <w:p w14:paraId="48A7F52B" w14:textId="77777777" w:rsidR="00136578" w:rsidRDefault="00136578" w:rsidP="00136578"/>
    <w:p w14:paraId="6E755FDD" w14:textId="77777777" w:rsidR="00136578" w:rsidRDefault="00136578" w:rsidP="00136578">
      <w:r>
        <w:t>b) Ponderaciones de los controles sintéticos para Fortaleza</w:t>
      </w:r>
    </w:p>
    <w:p w14:paraId="27EB9B0C" w14:textId="77777777" w:rsidR="00136578" w:rsidRDefault="00136578" w:rsidP="00136578"/>
    <w:tbl>
      <w:tblPr>
        <w:tblStyle w:val="TableGrid"/>
        <w:tblW w:w="0" w:type="auto"/>
        <w:tblLayout w:type="fixed"/>
        <w:tblLook w:val="04A0" w:firstRow="1" w:lastRow="0" w:firstColumn="1" w:lastColumn="0" w:noHBand="0" w:noVBand="1"/>
      </w:tblPr>
      <w:tblGrid>
        <w:gridCol w:w="1908"/>
        <w:gridCol w:w="945"/>
        <w:gridCol w:w="945"/>
        <w:gridCol w:w="945"/>
        <w:gridCol w:w="945"/>
        <w:gridCol w:w="945"/>
        <w:gridCol w:w="945"/>
        <w:gridCol w:w="945"/>
        <w:gridCol w:w="945"/>
      </w:tblGrid>
      <w:tr w:rsidR="00136578" w:rsidRPr="004347B7" w14:paraId="75106737" w14:textId="77777777" w:rsidTr="00136578">
        <w:trPr>
          <w:trHeight w:val="300"/>
        </w:trPr>
        <w:tc>
          <w:tcPr>
            <w:tcW w:w="1908" w:type="dxa"/>
            <w:shd w:val="clear" w:color="auto" w:fill="8DB3E2"/>
            <w:noWrap/>
            <w:hideMark/>
          </w:tcPr>
          <w:p w14:paraId="14A7D548" w14:textId="77777777" w:rsidR="00136578" w:rsidRPr="007F2EE7" w:rsidRDefault="00136578" w:rsidP="00136578">
            <w:pPr>
              <w:rPr>
                <w:rFonts w:cs="Arial"/>
                <w:color w:val="000000"/>
                <w:spacing w:val="0"/>
                <w:sz w:val="22"/>
                <w:szCs w:val="22"/>
              </w:rPr>
            </w:pPr>
            <w:r w:rsidRPr="007F2EE7">
              <w:rPr>
                <w:rFonts w:cs="Arial"/>
                <w:color w:val="000000"/>
                <w:spacing w:val="0"/>
                <w:sz w:val="22"/>
                <w:szCs w:val="22"/>
              </w:rPr>
              <w:t xml:space="preserve"> </w:t>
            </w:r>
          </w:p>
        </w:tc>
        <w:tc>
          <w:tcPr>
            <w:tcW w:w="3780" w:type="dxa"/>
            <w:gridSpan w:val="4"/>
            <w:shd w:val="clear" w:color="auto" w:fill="8DB3E2"/>
            <w:noWrap/>
            <w:hideMark/>
          </w:tcPr>
          <w:p w14:paraId="05ADEE4C" w14:textId="77777777" w:rsidR="00136578" w:rsidRPr="004347B7" w:rsidRDefault="00136578" w:rsidP="00136578">
            <w:pPr>
              <w:jc w:val="center"/>
              <w:rPr>
                <w:rFonts w:cs="Arial"/>
                <w:b/>
                <w:color w:val="000000"/>
                <w:spacing w:val="0"/>
                <w:sz w:val="22"/>
                <w:szCs w:val="22"/>
                <w:lang w:val="en-US"/>
              </w:rPr>
            </w:pPr>
            <w:r w:rsidRPr="004347B7">
              <w:rPr>
                <w:rFonts w:cs="Arial"/>
                <w:b/>
                <w:color w:val="000000"/>
                <w:spacing w:val="0"/>
                <w:sz w:val="22"/>
                <w:szCs w:val="22"/>
                <w:lang w:val="en-US"/>
              </w:rPr>
              <w:t>Internaciones prevenibles</w:t>
            </w:r>
          </w:p>
        </w:tc>
        <w:tc>
          <w:tcPr>
            <w:tcW w:w="3780" w:type="dxa"/>
            <w:gridSpan w:val="4"/>
            <w:shd w:val="clear" w:color="auto" w:fill="8DB3E2"/>
            <w:noWrap/>
            <w:hideMark/>
          </w:tcPr>
          <w:p w14:paraId="7C9B837E" w14:textId="77777777" w:rsidR="00136578" w:rsidRPr="004347B7" w:rsidRDefault="00136578" w:rsidP="00136578">
            <w:pPr>
              <w:jc w:val="center"/>
              <w:rPr>
                <w:rFonts w:cs="Arial"/>
                <w:b/>
                <w:color w:val="000000"/>
                <w:spacing w:val="0"/>
                <w:sz w:val="22"/>
                <w:szCs w:val="22"/>
                <w:lang w:val="en-US"/>
              </w:rPr>
            </w:pPr>
            <w:r w:rsidRPr="004347B7">
              <w:rPr>
                <w:rFonts w:cs="Arial"/>
                <w:b/>
                <w:color w:val="000000"/>
                <w:spacing w:val="0"/>
                <w:sz w:val="22"/>
                <w:szCs w:val="22"/>
                <w:lang w:val="en-US"/>
              </w:rPr>
              <w:t>Muertes prematuras por ACV</w:t>
            </w:r>
          </w:p>
        </w:tc>
      </w:tr>
      <w:tr w:rsidR="00136578" w:rsidRPr="004347B7" w14:paraId="195ECFFB" w14:textId="77777777" w:rsidTr="00136578">
        <w:trPr>
          <w:trHeight w:val="300"/>
        </w:trPr>
        <w:tc>
          <w:tcPr>
            <w:tcW w:w="1908" w:type="dxa"/>
            <w:shd w:val="clear" w:color="auto" w:fill="8DB3E2"/>
            <w:noWrap/>
            <w:hideMark/>
          </w:tcPr>
          <w:p w14:paraId="11549F4C" w14:textId="77777777" w:rsidR="00136578" w:rsidRPr="004347B7" w:rsidRDefault="00136578" w:rsidP="00136578">
            <w:pPr>
              <w:rPr>
                <w:rFonts w:cs="Arial"/>
                <w:color w:val="000000"/>
                <w:spacing w:val="0"/>
                <w:sz w:val="22"/>
                <w:szCs w:val="22"/>
                <w:lang w:val="en-US"/>
              </w:rPr>
            </w:pPr>
          </w:p>
        </w:tc>
        <w:tc>
          <w:tcPr>
            <w:tcW w:w="945" w:type="dxa"/>
            <w:shd w:val="clear" w:color="auto" w:fill="8DB3E2"/>
            <w:noWrap/>
            <w:hideMark/>
          </w:tcPr>
          <w:p w14:paraId="766FD2E4"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1</w:t>
            </w:r>
          </w:p>
        </w:tc>
        <w:tc>
          <w:tcPr>
            <w:tcW w:w="945" w:type="dxa"/>
            <w:shd w:val="clear" w:color="auto" w:fill="8DB3E2"/>
            <w:noWrap/>
            <w:hideMark/>
          </w:tcPr>
          <w:p w14:paraId="3AFA5C14"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2</w:t>
            </w:r>
          </w:p>
        </w:tc>
        <w:tc>
          <w:tcPr>
            <w:tcW w:w="945" w:type="dxa"/>
            <w:shd w:val="clear" w:color="auto" w:fill="8DB3E2"/>
            <w:noWrap/>
            <w:hideMark/>
          </w:tcPr>
          <w:p w14:paraId="31AB50CB"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3</w:t>
            </w:r>
          </w:p>
        </w:tc>
        <w:tc>
          <w:tcPr>
            <w:tcW w:w="945" w:type="dxa"/>
            <w:shd w:val="clear" w:color="auto" w:fill="8DB3E2"/>
            <w:noWrap/>
            <w:hideMark/>
          </w:tcPr>
          <w:p w14:paraId="14475A4F"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4</w:t>
            </w:r>
          </w:p>
        </w:tc>
        <w:tc>
          <w:tcPr>
            <w:tcW w:w="945" w:type="dxa"/>
            <w:shd w:val="clear" w:color="auto" w:fill="8DB3E2"/>
            <w:noWrap/>
            <w:hideMark/>
          </w:tcPr>
          <w:p w14:paraId="10604505"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1</w:t>
            </w:r>
          </w:p>
        </w:tc>
        <w:tc>
          <w:tcPr>
            <w:tcW w:w="945" w:type="dxa"/>
            <w:shd w:val="clear" w:color="auto" w:fill="8DB3E2"/>
            <w:noWrap/>
            <w:hideMark/>
          </w:tcPr>
          <w:p w14:paraId="58448CC2"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2</w:t>
            </w:r>
          </w:p>
        </w:tc>
        <w:tc>
          <w:tcPr>
            <w:tcW w:w="945" w:type="dxa"/>
            <w:shd w:val="clear" w:color="auto" w:fill="8DB3E2"/>
            <w:noWrap/>
            <w:hideMark/>
          </w:tcPr>
          <w:p w14:paraId="58D8D44E"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3</w:t>
            </w:r>
          </w:p>
        </w:tc>
        <w:tc>
          <w:tcPr>
            <w:tcW w:w="945" w:type="dxa"/>
            <w:shd w:val="clear" w:color="auto" w:fill="8DB3E2"/>
            <w:noWrap/>
            <w:hideMark/>
          </w:tcPr>
          <w:p w14:paraId="11558869" w14:textId="77777777" w:rsidR="00136578" w:rsidRPr="004347B7" w:rsidRDefault="00136578" w:rsidP="00136578">
            <w:pPr>
              <w:jc w:val="center"/>
              <w:rPr>
                <w:rFonts w:cs="Arial"/>
                <w:b/>
                <w:color w:val="000000"/>
                <w:spacing w:val="0"/>
                <w:sz w:val="22"/>
                <w:szCs w:val="22"/>
                <w:lang w:val="en-US"/>
              </w:rPr>
            </w:pPr>
            <w:r>
              <w:rPr>
                <w:rFonts w:cs="Arial"/>
                <w:b/>
                <w:color w:val="000000"/>
                <w:spacing w:val="0"/>
                <w:sz w:val="22"/>
                <w:szCs w:val="22"/>
                <w:lang w:val="en-US"/>
              </w:rPr>
              <w:t>CS</w:t>
            </w:r>
            <w:r w:rsidRPr="004347B7">
              <w:rPr>
                <w:rFonts w:cs="Arial"/>
                <w:b/>
                <w:color w:val="000000"/>
                <w:spacing w:val="0"/>
                <w:sz w:val="22"/>
                <w:szCs w:val="22"/>
                <w:lang w:val="en-US"/>
              </w:rPr>
              <w:t>4</w:t>
            </w:r>
          </w:p>
        </w:tc>
      </w:tr>
      <w:tr w:rsidR="00136578" w:rsidRPr="004347B7" w14:paraId="5C28316C" w14:textId="77777777" w:rsidTr="00136578">
        <w:trPr>
          <w:trHeight w:val="300"/>
        </w:trPr>
        <w:tc>
          <w:tcPr>
            <w:tcW w:w="1908" w:type="dxa"/>
            <w:noWrap/>
            <w:hideMark/>
          </w:tcPr>
          <w:p w14:paraId="655D8D9F" w14:textId="77777777" w:rsidR="00136578" w:rsidRPr="004347B7" w:rsidRDefault="00136578" w:rsidP="00136578">
            <w:pPr>
              <w:rPr>
                <w:rFonts w:cs="Arial"/>
                <w:color w:val="000000"/>
                <w:spacing w:val="0"/>
                <w:sz w:val="22"/>
                <w:szCs w:val="22"/>
                <w:lang w:val="en-US"/>
              </w:rPr>
            </w:pPr>
            <w:r w:rsidRPr="004347B7">
              <w:rPr>
                <w:rFonts w:cs="Arial"/>
                <w:color w:val="000000"/>
                <w:spacing w:val="0"/>
                <w:sz w:val="22"/>
                <w:szCs w:val="22"/>
                <w:lang w:val="en-US"/>
              </w:rPr>
              <w:t>Maceio</w:t>
            </w:r>
          </w:p>
        </w:tc>
        <w:tc>
          <w:tcPr>
            <w:tcW w:w="945" w:type="dxa"/>
            <w:noWrap/>
            <w:hideMark/>
          </w:tcPr>
          <w:p w14:paraId="510F0ADE"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4920B506"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06CD80DF"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10%</w:t>
            </w:r>
          </w:p>
        </w:tc>
        <w:tc>
          <w:tcPr>
            <w:tcW w:w="945" w:type="dxa"/>
            <w:noWrap/>
            <w:hideMark/>
          </w:tcPr>
          <w:p w14:paraId="14D5AEC0"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12%</w:t>
            </w:r>
          </w:p>
        </w:tc>
        <w:tc>
          <w:tcPr>
            <w:tcW w:w="945" w:type="dxa"/>
            <w:noWrap/>
            <w:hideMark/>
          </w:tcPr>
          <w:p w14:paraId="649DB704"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7%</w:t>
            </w:r>
          </w:p>
        </w:tc>
        <w:tc>
          <w:tcPr>
            <w:tcW w:w="945" w:type="dxa"/>
            <w:noWrap/>
            <w:hideMark/>
          </w:tcPr>
          <w:p w14:paraId="1183084C"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7%</w:t>
            </w:r>
          </w:p>
        </w:tc>
        <w:tc>
          <w:tcPr>
            <w:tcW w:w="945" w:type="dxa"/>
            <w:noWrap/>
            <w:hideMark/>
          </w:tcPr>
          <w:p w14:paraId="6AE1F80A"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79F58CD1" w14:textId="77777777" w:rsidR="00136578" w:rsidRPr="004347B7" w:rsidRDefault="00136578" w:rsidP="00136578">
            <w:pPr>
              <w:jc w:val="center"/>
              <w:rPr>
                <w:rFonts w:cs="Arial"/>
                <w:color w:val="000000"/>
                <w:spacing w:val="0"/>
                <w:sz w:val="22"/>
                <w:szCs w:val="22"/>
                <w:lang w:val="en-US"/>
              </w:rPr>
            </w:pPr>
          </w:p>
        </w:tc>
      </w:tr>
      <w:tr w:rsidR="00136578" w:rsidRPr="004347B7" w14:paraId="282EA21E" w14:textId="77777777" w:rsidTr="00136578">
        <w:trPr>
          <w:trHeight w:val="300"/>
        </w:trPr>
        <w:tc>
          <w:tcPr>
            <w:tcW w:w="1908" w:type="dxa"/>
            <w:noWrap/>
            <w:hideMark/>
          </w:tcPr>
          <w:p w14:paraId="0CFCF40C" w14:textId="77777777" w:rsidR="00136578" w:rsidRPr="004347B7" w:rsidRDefault="00136578" w:rsidP="00136578">
            <w:pPr>
              <w:rPr>
                <w:rFonts w:cs="Arial"/>
                <w:color w:val="000000"/>
                <w:spacing w:val="0"/>
                <w:sz w:val="22"/>
                <w:szCs w:val="22"/>
                <w:lang w:val="en-US"/>
              </w:rPr>
            </w:pPr>
            <w:r w:rsidRPr="004347B7">
              <w:rPr>
                <w:rFonts w:cs="Arial"/>
                <w:color w:val="000000"/>
                <w:spacing w:val="0"/>
                <w:sz w:val="22"/>
                <w:szCs w:val="22"/>
                <w:lang w:val="en-US"/>
              </w:rPr>
              <w:t>Goiania</w:t>
            </w:r>
          </w:p>
        </w:tc>
        <w:tc>
          <w:tcPr>
            <w:tcW w:w="945" w:type="dxa"/>
            <w:noWrap/>
            <w:hideMark/>
          </w:tcPr>
          <w:p w14:paraId="5F2B34D8"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17971D0F"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1B429315"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5%</w:t>
            </w:r>
          </w:p>
        </w:tc>
        <w:tc>
          <w:tcPr>
            <w:tcW w:w="945" w:type="dxa"/>
            <w:noWrap/>
            <w:hideMark/>
          </w:tcPr>
          <w:p w14:paraId="64113CCE"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0456A32D"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0ABE9DE3"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4DBBCB35"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386F7D81" w14:textId="77777777" w:rsidR="00136578" w:rsidRPr="004347B7" w:rsidRDefault="00136578" w:rsidP="00136578">
            <w:pPr>
              <w:jc w:val="center"/>
              <w:rPr>
                <w:rFonts w:cs="Arial"/>
                <w:color w:val="000000"/>
                <w:spacing w:val="0"/>
                <w:sz w:val="22"/>
                <w:szCs w:val="22"/>
                <w:lang w:val="en-US"/>
              </w:rPr>
            </w:pPr>
          </w:p>
        </w:tc>
      </w:tr>
      <w:tr w:rsidR="00136578" w:rsidRPr="004347B7" w14:paraId="20246AC3" w14:textId="77777777" w:rsidTr="00136578">
        <w:trPr>
          <w:trHeight w:val="300"/>
        </w:trPr>
        <w:tc>
          <w:tcPr>
            <w:tcW w:w="1908" w:type="dxa"/>
            <w:noWrap/>
            <w:hideMark/>
          </w:tcPr>
          <w:p w14:paraId="200E3417" w14:textId="77777777" w:rsidR="00136578" w:rsidRPr="004347B7" w:rsidRDefault="00136578" w:rsidP="00136578">
            <w:pPr>
              <w:rPr>
                <w:rFonts w:cs="Arial"/>
                <w:color w:val="000000"/>
                <w:spacing w:val="0"/>
                <w:sz w:val="22"/>
                <w:szCs w:val="22"/>
                <w:lang w:val="en-US"/>
              </w:rPr>
            </w:pPr>
            <w:r w:rsidRPr="004347B7">
              <w:rPr>
                <w:rFonts w:cs="Arial"/>
                <w:color w:val="000000"/>
                <w:spacing w:val="0"/>
                <w:sz w:val="22"/>
                <w:szCs w:val="22"/>
                <w:lang w:val="en-US"/>
              </w:rPr>
              <w:t>Sao Luis</w:t>
            </w:r>
          </w:p>
        </w:tc>
        <w:tc>
          <w:tcPr>
            <w:tcW w:w="945" w:type="dxa"/>
            <w:noWrap/>
            <w:hideMark/>
          </w:tcPr>
          <w:p w14:paraId="5BF10C01"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49665E4D"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773C84F0"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9%</w:t>
            </w:r>
          </w:p>
        </w:tc>
        <w:tc>
          <w:tcPr>
            <w:tcW w:w="945" w:type="dxa"/>
            <w:noWrap/>
            <w:hideMark/>
          </w:tcPr>
          <w:p w14:paraId="67C4EAA3"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086A6E5F"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7618EF5A"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35A33C6B"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52519DED" w14:textId="77777777" w:rsidR="00136578" w:rsidRPr="004347B7" w:rsidRDefault="00136578" w:rsidP="00136578">
            <w:pPr>
              <w:jc w:val="center"/>
              <w:rPr>
                <w:rFonts w:cs="Arial"/>
                <w:color w:val="000000"/>
                <w:spacing w:val="0"/>
                <w:sz w:val="22"/>
                <w:szCs w:val="22"/>
                <w:lang w:val="en-US"/>
              </w:rPr>
            </w:pPr>
          </w:p>
        </w:tc>
      </w:tr>
      <w:tr w:rsidR="00136578" w:rsidRPr="004347B7" w14:paraId="17020E97" w14:textId="77777777" w:rsidTr="00136578">
        <w:trPr>
          <w:trHeight w:val="300"/>
        </w:trPr>
        <w:tc>
          <w:tcPr>
            <w:tcW w:w="1908" w:type="dxa"/>
            <w:noWrap/>
            <w:hideMark/>
          </w:tcPr>
          <w:p w14:paraId="30207044" w14:textId="77777777" w:rsidR="00136578" w:rsidRPr="004347B7" w:rsidRDefault="00136578" w:rsidP="00136578">
            <w:pPr>
              <w:rPr>
                <w:rFonts w:cs="Arial"/>
                <w:color w:val="000000"/>
                <w:spacing w:val="0"/>
                <w:sz w:val="22"/>
                <w:szCs w:val="22"/>
                <w:lang w:val="en-US"/>
              </w:rPr>
            </w:pPr>
            <w:r w:rsidRPr="004347B7">
              <w:rPr>
                <w:rFonts w:cs="Arial"/>
                <w:color w:val="000000"/>
                <w:spacing w:val="0"/>
                <w:sz w:val="22"/>
                <w:szCs w:val="22"/>
                <w:lang w:val="en-US"/>
              </w:rPr>
              <w:t>Teresina</w:t>
            </w:r>
          </w:p>
        </w:tc>
        <w:tc>
          <w:tcPr>
            <w:tcW w:w="945" w:type="dxa"/>
            <w:noWrap/>
            <w:hideMark/>
          </w:tcPr>
          <w:p w14:paraId="677FA7BC"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10%</w:t>
            </w:r>
          </w:p>
        </w:tc>
        <w:tc>
          <w:tcPr>
            <w:tcW w:w="945" w:type="dxa"/>
            <w:noWrap/>
            <w:hideMark/>
          </w:tcPr>
          <w:p w14:paraId="2752B8A1"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11%</w:t>
            </w:r>
          </w:p>
        </w:tc>
        <w:tc>
          <w:tcPr>
            <w:tcW w:w="945" w:type="dxa"/>
            <w:noWrap/>
            <w:hideMark/>
          </w:tcPr>
          <w:p w14:paraId="2B81D075"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16%</w:t>
            </w:r>
          </w:p>
        </w:tc>
        <w:tc>
          <w:tcPr>
            <w:tcW w:w="945" w:type="dxa"/>
            <w:noWrap/>
            <w:hideMark/>
          </w:tcPr>
          <w:p w14:paraId="2E26D56C"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16%</w:t>
            </w:r>
          </w:p>
        </w:tc>
        <w:tc>
          <w:tcPr>
            <w:tcW w:w="945" w:type="dxa"/>
            <w:noWrap/>
            <w:hideMark/>
          </w:tcPr>
          <w:p w14:paraId="22D65D90"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14D0222D"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0FBBC90E"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7%</w:t>
            </w:r>
          </w:p>
        </w:tc>
        <w:tc>
          <w:tcPr>
            <w:tcW w:w="945" w:type="dxa"/>
            <w:noWrap/>
            <w:hideMark/>
          </w:tcPr>
          <w:p w14:paraId="321CD41C"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7%</w:t>
            </w:r>
          </w:p>
        </w:tc>
      </w:tr>
      <w:tr w:rsidR="00136578" w:rsidRPr="004347B7" w14:paraId="063FBA5C" w14:textId="77777777" w:rsidTr="00136578">
        <w:trPr>
          <w:trHeight w:val="300"/>
        </w:trPr>
        <w:tc>
          <w:tcPr>
            <w:tcW w:w="1908" w:type="dxa"/>
            <w:noWrap/>
            <w:hideMark/>
          </w:tcPr>
          <w:p w14:paraId="44F67738" w14:textId="77777777" w:rsidR="00136578" w:rsidRPr="004347B7" w:rsidRDefault="00136578" w:rsidP="00136578">
            <w:pPr>
              <w:rPr>
                <w:rFonts w:cs="Arial"/>
                <w:color w:val="000000"/>
                <w:spacing w:val="0"/>
                <w:sz w:val="22"/>
                <w:szCs w:val="22"/>
                <w:lang w:val="en-US"/>
              </w:rPr>
            </w:pPr>
            <w:r w:rsidRPr="004347B7">
              <w:rPr>
                <w:rFonts w:cs="Arial"/>
                <w:color w:val="000000"/>
                <w:spacing w:val="0"/>
                <w:sz w:val="22"/>
                <w:szCs w:val="22"/>
                <w:lang w:val="en-US"/>
              </w:rPr>
              <w:t>Belo Horizonte</w:t>
            </w:r>
          </w:p>
        </w:tc>
        <w:tc>
          <w:tcPr>
            <w:tcW w:w="945" w:type="dxa"/>
            <w:noWrap/>
            <w:hideMark/>
          </w:tcPr>
          <w:p w14:paraId="3E487A4F"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7D88EFCE"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09649A24"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737A048F"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2B0DC59B"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4A629543"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43050FE5"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33%</w:t>
            </w:r>
          </w:p>
        </w:tc>
        <w:tc>
          <w:tcPr>
            <w:tcW w:w="945" w:type="dxa"/>
            <w:noWrap/>
            <w:hideMark/>
          </w:tcPr>
          <w:p w14:paraId="343F94E4"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33%</w:t>
            </w:r>
          </w:p>
        </w:tc>
      </w:tr>
      <w:tr w:rsidR="00136578" w:rsidRPr="004347B7" w14:paraId="1B7F81E1" w14:textId="77777777" w:rsidTr="00136578">
        <w:trPr>
          <w:trHeight w:val="300"/>
        </w:trPr>
        <w:tc>
          <w:tcPr>
            <w:tcW w:w="1908" w:type="dxa"/>
            <w:noWrap/>
            <w:hideMark/>
          </w:tcPr>
          <w:p w14:paraId="55DD127E" w14:textId="77777777" w:rsidR="00136578" w:rsidRPr="004347B7" w:rsidRDefault="00136578" w:rsidP="00136578">
            <w:pPr>
              <w:rPr>
                <w:rFonts w:cs="Arial"/>
                <w:color w:val="000000"/>
                <w:spacing w:val="0"/>
                <w:sz w:val="22"/>
                <w:szCs w:val="22"/>
                <w:lang w:val="en-US"/>
              </w:rPr>
            </w:pPr>
            <w:r w:rsidRPr="004347B7">
              <w:rPr>
                <w:rFonts w:cs="Arial"/>
                <w:color w:val="000000"/>
                <w:spacing w:val="0"/>
                <w:sz w:val="22"/>
                <w:szCs w:val="22"/>
                <w:lang w:val="en-US"/>
              </w:rPr>
              <w:t>Joao Pessoa</w:t>
            </w:r>
          </w:p>
        </w:tc>
        <w:tc>
          <w:tcPr>
            <w:tcW w:w="945" w:type="dxa"/>
            <w:noWrap/>
            <w:hideMark/>
          </w:tcPr>
          <w:p w14:paraId="1D1B5905"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3D32E836"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65033FD3"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48B4642F"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4B743371"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43E6641F"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789BCC94"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0C04495F" w14:textId="77777777" w:rsidR="00136578" w:rsidRPr="004347B7" w:rsidRDefault="00136578" w:rsidP="00136578">
            <w:pPr>
              <w:jc w:val="center"/>
              <w:rPr>
                <w:rFonts w:cs="Arial"/>
                <w:color w:val="000000"/>
                <w:spacing w:val="0"/>
                <w:sz w:val="22"/>
                <w:szCs w:val="22"/>
                <w:lang w:val="en-US"/>
              </w:rPr>
            </w:pPr>
          </w:p>
        </w:tc>
      </w:tr>
      <w:tr w:rsidR="00136578" w:rsidRPr="004347B7" w14:paraId="7E5AE775" w14:textId="77777777" w:rsidTr="00136578">
        <w:trPr>
          <w:trHeight w:val="300"/>
        </w:trPr>
        <w:tc>
          <w:tcPr>
            <w:tcW w:w="1908" w:type="dxa"/>
            <w:noWrap/>
            <w:hideMark/>
          </w:tcPr>
          <w:p w14:paraId="05A64958" w14:textId="77777777" w:rsidR="00136578" w:rsidRPr="004347B7" w:rsidRDefault="00136578" w:rsidP="00136578">
            <w:pPr>
              <w:rPr>
                <w:rFonts w:cs="Arial"/>
                <w:color w:val="000000"/>
                <w:spacing w:val="0"/>
                <w:sz w:val="22"/>
                <w:szCs w:val="22"/>
                <w:lang w:val="en-US"/>
              </w:rPr>
            </w:pPr>
            <w:r w:rsidRPr="004347B7">
              <w:rPr>
                <w:rFonts w:cs="Arial"/>
                <w:color w:val="000000"/>
                <w:spacing w:val="0"/>
                <w:sz w:val="22"/>
                <w:szCs w:val="22"/>
                <w:lang w:val="en-US"/>
              </w:rPr>
              <w:t>Recife</w:t>
            </w:r>
          </w:p>
        </w:tc>
        <w:tc>
          <w:tcPr>
            <w:tcW w:w="945" w:type="dxa"/>
            <w:noWrap/>
            <w:hideMark/>
          </w:tcPr>
          <w:p w14:paraId="575855B6"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42%</w:t>
            </w:r>
          </w:p>
        </w:tc>
        <w:tc>
          <w:tcPr>
            <w:tcW w:w="945" w:type="dxa"/>
            <w:noWrap/>
            <w:hideMark/>
          </w:tcPr>
          <w:p w14:paraId="72DD0F6A"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40%</w:t>
            </w:r>
          </w:p>
        </w:tc>
        <w:tc>
          <w:tcPr>
            <w:tcW w:w="945" w:type="dxa"/>
            <w:noWrap/>
            <w:hideMark/>
          </w:tcPr>
          <w:p w14:paraId="25A54FB8"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22%</w:t>
            </w:r>
          </w:p>
        </w:tc>
        <w:tc>
          <w:tcPr>
            <w:tcW w:w="945" w:type="dxa"/>
            <w:noWrap/>
            <w:hideMark/>
          </w:tcPr>
          <w:p w14:paraId="51F00336"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25%</w:t>
            </w:r>
          </w:p>
        </w:tc>
        <w:tc>
          <w:tcPr>
            <w:tcW w:w="945" w:type="dxa"/>
            <w:noWrap/>
            <w:hideMark/>
          </w:tcPr>
          <w:p w14:paraId="7FB7FF63"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69%</w:t>
            </w:r>
          </w:p>
        </w:tc>
        <w:tc>
          <w:tcPr>
            <w:tcW w:w="945" w:type="dxa"/>
            <w:noWrap/>
            <w:hideMark/>
          </w:tcPr>
          <w:p w14:paraId="50CD71D3"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69%</w:t>
            </w:r>
          </w:p>
        </w:tc>
        <w:tc>
          <w:tcPr>
            <w:tcW w:w="945" w:type="dxa"/>
            <w:noWrap/>
            <w:hideMark/>
          </w:tcPr>
          <w:p w14:paraId="7494850A"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23%</w:t>
            </w:r>
          </w:p>
        </w:tc>
        <w:tc>
          <w:tcPr>
            <w:tcW w:w="945" w:type="dxa"/>
            <w:noWrap/>
            <w:hideMark/>
          </w:tcPr>
          <w:p w14:paraId="00C0C53A"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23%</w:t>
            </w:r>
          </w:p>
        </w:tc>
      </w:tr>
      <w:tr w:rsidR="00136578" w:rsidRPr="004347B7" w14:paraId="35771E22" w14:textId="77777777" w:rsidTr="00136578">
        <w:trPr>
          <w:trHeight w:val="300"/>
        </w:trPr>
        <w:tc>
          <w:tcPr>
            <w:tcW w:w="1908" w:type="dxa"/>
            <w:noWrap/>
            <w:hideMark/>
          </w:tcPr>
          <w:p w14:paraId="006E65DA" w14:textId="77777777" w:rsidR="00136578" w:rsidRPr="004347B7" w:rsidRDefault="00136578" w:rsidP="00136578">
            <w:pPr>
              <w:rPr>
                <w:rFonts w:cs="Arial"/>
                <w:color w:val="000000"/>
                <w:spacing w:val="0"/>
                <w:sz w:val="22"/>
                <w:szCs w:val="22"/>
                <w:lang w:val="en-US"/>
              </w:rPr>
            </w:pPr>
            <w:r w:rsidRPr="004347B7">
              <w:rPr>
                <w:rFonts w:cs="Arial"/>
                <w:color w:val="000000"/>
                <w:spacing w:val="0"/>
                <w:sz w:val="22"/>
                <w:szCs w:val="22"/>
                <w:lang w:val="en-US"/>
              </w:rPr>
              <w:t>Natal</w:t>
            </w:r>
          </w:p>
        </w:tc>
        <w:tc>
          <w:tcPr>
            <w:tcW w:w="945" w:type="dxa"/>
            <w:noWrap/>
            <w:hideMark/>
          </w:tcPr>
          <w:p w14:paraId="2645FBE4"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6%</w:t>
            </w:r>
          </w:p>
        </w:tc>
        <w:tc>
          <w:tcPr>
            <w:tcW w:w="945" w:type="dxa"/>
            <w:noWrap/>
            <w:hideMark/>
          </w:tcPr>
          <w:p w14:paraId="65DD2D4C"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10%</w:t>
            </w:r>
          </w:p>
        </w:tc>
        <w:tc>
          <w:tcPr>
            <w:tcW w:w="945" w:type="dxa"/>
            <w:noWrap/>
            <w:hideMark/>
          </w:tcPr>
          <w:p w14:paraId="711FAF49"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w:t>
            </w:r>
          </w:p>
        </w:tc>
        <w:tc>
          <w:tcPr>
            <w:tcW w:w="945" w:type="dxa"/>
            <w:noWrap/>
            <w:hideMark/>
          </w:tcPr>
          <w:p w14:paraId="6794709D"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44B122DB"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5A931402"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57737282"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10%</w:t>
            </w:r>
          </w:p>
        </w:tc>
        <w:tc>
          <w:tcPr>
            <w:tcW w:w="945" w:type="dxa"/>
            <w:noWrap/>
            <w:hideMark/>
          </w:tcPr>
          <w:p w14:paraId="02FCC0A5"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10%</w:t>
            </w:r>
          </w:p>
        </w:tc>
      </w:tr>
      <w:tr w:rsidR="00136578" w:rsidRPr="004347B7" w14:paraId="47EC8D4B" w14:textId="77777777" w:rsidTr="00136578">
        <w:trPr>
          <w:trHeight w:val="300"/>
        </w:trPr>
        <w:tc>
          <w:tcPr>
            <w:tcW w:w="1908" w:type="dxa"/>
            <w:noWrap/>
            <w:hideMark/>
          </w:tcPr>
          <w:p w14:paraId="35CBCDEE" w14:textId="77777777" w:rsidR="00136578" w:rsidRPr="004347B7" w:rsidRDefault="00136578" w:rsidP="00136578">
            <w:pPr>
              <w:rPr>
                <w:rFonts w:cs="Arial"/>
                <w:color w:val="000000"/>
                <w:spacing w:val="0"/>
                <w:sz w:val="22"/>
                <w:szCs w:val="22"/>
                <w:lang w:val="en-US"/>
              </w:rPr>
            </w:pPr>
            <w:r w:rsidRPr="004347B7">
              <w:rPr>
                <w:rFonts w:cs="Arial"/>
                <w:color w:val="000000"/>
                <w:spacing w:val="0"/>
                <w:sz w:val="22"/>
                <w:szCs w:val="22"/>
                <w:lang w:val="en-US"/>
              </w:rPr>
              <w:t>Brasilia</w:t>
            </w:r>
          </w:p>
        </w:tc>
        <w:tc>
          <w:tcPr>
            <w:tcW w:w="945" w:type="dxa"/>
            <w:noWrap/>
            <w:hideMark/>
          </w:tcPr>
          <w:p w14:paraId="66A7EA31"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18%</w:t>
            </w:r>
          </w:p>
        </w:tc>
        <w:tc>
          <w:tcPr>
            <w:tcW w:w="945" w:type="dxa"/>
            <w:noWrap/>
            <w:hideMark/>
          </w:tcPr>
          <w:p w14:paraId="52D0459F"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17%</w:t>
            </w:r>
          </w:p>
        </w:tc>
        <w:tc>
          <w:tcPr>
            <w:tcW w:w="945" w:type="dxa"/>
            <w:noWrap/>
            <w:hideMark/>
          </w:tcPr>
          <w:p w14:paraId="1B0BCD37"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14%</w:t>
            </w:r>
          </w:p>
        </w:tc>
        <w:tc>
          <w:tcPr>
            <w:tcW w:w="945" w:type="dxa"/>
            <w:noWrap/>
            <w:hideMark/>
          </w:tcPr>
          <w:p w14:paraId="2ECC7266"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17%</w:t>
            </w:r>
          </w:p>
        </w:tc>
        <w:tc>
          <w:tcPr>
            <w:tcW w:w="945" w:type="dxa"/>
            <w:noWrap/>
            <w:hideMark/>
          </w:tcPr>
          <w:p w14:paraId="744D8E77"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5E5F5C25" w14:textId="77777777" w:rsidR="00136578" w:rsidRPr="004347B7" w:rsidRDefault="00136578" w:rsidP="00136578">
            <w:pPr>
              <w:jc w:val="center"/>
              <w:rPr>
                <w:rFonts w:cs="Arial"/>
                <w:color w:val="000000"/>
                <w:spacing w:val="0"/>
                <w:sz w:val="22"/>
                <w:szCs w:val="22"/>
                <w:lang w:val="en-US"/>
              </w:rPr>
            </w:pPr>
          </w:p>
        </w:tc>
        <w:tc>
          <w:tcPr>
            <w:tcW w:w="945" w:type="dxa"/>
            <w:noWrap/>
            <w:hideMark/>
          </w:tcPr>
          <w:p w14:paraId="0B5EED75"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0%</w:t>
            </w:r>
          </w:p>
        </w:tc>
        <w:tc>
          <w:tcPr>
            <w:tcW w:w="945" w:type="dxa"/>
            <w:noWrap/>
            <w:hideMark/>
          </w:tcPr>
          <w:p w14:paraId="53C85833" w14:textId="77777777" w:rsidR="00136578" w:rsidRPr="004347B7" w:rsidRDefault="00136578" w:rsidP="00136578">
            <w:pPr>
              <w:jc w:val="center"/>
              <w:rPr>
                <w:rFonts w:cs="Arial"/>
                <w:color w:val="000000"/>
                <w:spacing w:val="0"/>
                <w:sz w:val="22"/>
                <w:szCs w:val="22"/>
                <w:lang w:val="en-US"/>
              </w:rPr>
            </w:pPr>
          </w:p>
        </w:tc>
      </w:tr>
      <w:tr w:rsidR="00136578" w:rsidRPr="004347B7" w14:paraId="2977C57A" w14:textId="77777777" w:rsidTr="00136578">
        <w:trPr>
          <w:trHeight w:val="300"/>
        </w:trPr>
        <w:tc>
          <w:tcPr>
            <w:tcW w:w="1908" w:type="dxa"/>
            <w:noWrap/>
            <w:hideMark/>
          </w:tcPr>
          <w:p w14:paraId="58F55E3F" w14:textId="77777777" w:rsidR="00136578" w:rsidRPr="004347B7" w:rsidRDefault="00136578" w:rsidP="00136578">
            <w:pPr>
              <w:rPr>
                <w:rFonts w:cs="Arial"/>
                <w:color w:val="000000"/>
                <w:spacing w:val="0"/>
                <w:sz w:val="22"/>
                <w:szCs w:val="22"/>
                <w:lang w:val="en-US"/>
              </w:rPr>
            </w:pPr>
            <w:r w:rsidRPr="004347B7">
              <w:rPr>
                <w:rFonts w:cs="Arial"/>
                <w:color w:val="000000"/>
                <w:spacing w:val="0"/>
                <w:sz w:val="22"/>
                <w:szCs w:val="22"/>
                <w:lang w:val="en-US"/>
              </w:rPr>
              <w:t>Salvador</w:t>
            </w:r>
          </w:p>
        </w:tc>
        <w:tc>
          <w:tcPr>
            <w:tcW w:w="945" w:type="dxa"/>
            <w:noWrap/>
            <w:hideMark/>
          </w:tcPr>
          <w:p w14:paraId="582D7538"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25%</w:t>
            </w:r>
          </w:p>
        </w:tc>
        <w:tc>
          <w:tcPr>
            <w:tcW w:w="945" w:type="dxa"/>
            <w:noWrap/>
            <w:hideMark/>
          </w:tcPr>
          <w:p w14:paraId="62F6D97B"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22%</w:t>
            </w:r>
          </w:p>
        </w:tc>
        <w:tc>
          <w:tcPr>
            <w:tcW w:w="945" w:type="dxa"/>
            <w:noWrap/>
            <w:hideMark/>
          </w:tcPr>
          <w:p w14:paraId="3302325B"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24%</w:t>
            </w:r>
          </w:p>
        </w:tc>
        <w:tc>
          <w:tcPr>
            <w:tcW w:w="945" w:type="dxa"/>
            <w:noWrap/>
            <w:hideMark/>
          </w:tcPr>
          <w:p w14:paraId="76528B65"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30%</w:t>
            </w:r>
          </w:p>
        </w:tc>
        <w:tc>
          <w:tcPr>
            <w:tcW w:w="945" w:type="dxa"/>
            <w:noWrap/>
            <w:hideMark/>
          </w:tcPr>
          <w:p w14:paraId="57BAA6B0"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25%</w:t>
            </w:r>
          </w:p>
        </w:tc>
        <w:tc>
          <w:tcPr>
            <w:tcW w:w="945" w:type="dxa"/>
            <w:noWrap/>
            <w:hideMark/>
          </w:tcPr>
          <w:p w14:paraId="2E9997AA"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25%</w:t>
            </w:r>
          </w:p>
        </w:tc>
        <w:tc>
          <w:tcPr>
            <w:tcW w:w="945" w:type="dxa"/>
            <w:noWrap/>
            <w:hideMark/>
          </w:tcPr>
          <w:p w14:paraId="555C138C"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28%</w:t>
            </w:r>
          </w:p>
        </w:tc>
        <w:tc>
          <w:tcPr>
            <w:tcW w:w="945" w:type="dxa"/>
            <w:noWrap/>
            <w:hideMark/>
          </w:tcPr>
          <w:p w14:paraId="4866C3F1" w14:textId="77777777" w:rsidR="00136578" w:rsidRPr="004347B7" w:rsidRDefault="00136578" w:rsidP="00136578">
            <w:pPr>
              <w:jc w:val="center"/>
              <w:rPr>
                <w:rFonts w:cs="Arial"/>
                <w:color w:val="000000"/>
                <w:spacing w:val="0"/>
                <w:sz w:val="22"/>
                <w:szCs w:val="22"/>
                <w:lang w:val="en-US"/>
              </w:rPr>
            </w:pPr>
            <w:r w:rsidRPr="004347B7">
              <w:rPr>
                <w:rFonts w:cs="Arial"/>
                <w:color w:val="000000"/>
                <w:spacing w:val="0"/>
                <w:sz w:val="22"/>
                <w:szCs w:val="22"/>
                <w:lang w:val="en-US"/>
              </w:rPr>
              <w:t>28%</w:t>
            </w:r>
          </w:p>
        </w:tc>
      </w:tr>
    </w:tbl>
    <w:p w14:paraId="72DF9363" w14:textId="77777777" w:rsidR="00136578" w:rsidRDefault="00136578" w:rsidP="00136578">
      <w:pPr>
        <w:pStyle w:val="AutoNumpara"/>
        <w:numPr>
          <w:ilvl w:val="0"/>
          <w:numId w:val="0"/>
        </w:numPr>
        <w:ind w:left="900"/>
        <w:rPr>
          <w:rFonts w:cs="Arial"/>
          <w:noProof w:val="0"/>
          <w:color w:val="000000"/>
          <w:sz w:val="18"/>
          <w:szCs w:val="18"/>
          <w:lang w:val="es-ES"/>
        </w:rPr>
      </w:pPr>
      <w:r w:rsidRPr="00E52C43">
        <w:rPr>
          <w:rFonts w:cs="Arial"/>
          <w:noProof w:val="0"/>
          <w:color w:val="000000"/>
          <w:sz w:val="18"/>
          <w:szCs w:val="18"/>
          <w:lang w:val="es-ES"/>
        </w:rPr>
        <w:t>Fuente: Elaboración de los autores.</w:t>
      </w:r>
    </w:p>
    <w:p w14:paraId="06263468" w14:textId="77777777" w:rsidR="00136578" w:rsidRDefault="00136578" w:rsidP="00136578">
      <w:pPr>
        <w:pStyle w:val="AutoNumpara"/>
        <w:numPr>
          <w:ilvl w:val="0"/>
          <w:numId w:val="0"/>
        </w:numPr>
        <w:ind w:left="900"/>
        <w:rPr>
          <w:rFonts w:cs="Arial"/>
          <w:noProof w:val="0"/>
          <w:color w:val="000000"/>
          <w:sz w:val="18"/>
          <w:szCs w:val="18"/>
          <w:lang w:val="es-ES"/>
        </w:rPr>
      </w:pPr>
    </w:p>
    <w:p w14:paraId="47EE6486" w14:textId="77777777" w:rsidR="007E3AE0" w:rsidRDefault="007E3AE0" w:rsidP="00136578">
      <w:pPr>
        <w:pStyle w:val="AutoNumpara"/>
        <w:numPr>
          <w:ilvl w:val="0"/>
          <w:numId w:val="0"/>
        </w:numPr>
        <w:ind w:left="900"/>
        <w:rPr>
          <w:rFonts w:cs="Arial"/>
          <w:noProof w:val="0"/>
          <w:color w:val="000000"/>
          <w:sz w:val="18"/>
          <w:szCs w:val="18"/>
          <w:lang w:val="es-ES"/>
        </w:rPr>
      </w:pPr>
    </w:p>
    <w:p w14:paraId="1F933C27" w14:textId="77777777" w:rsidR="007E3AE0" w:rsidRDefault="007E3AE0" w:rsidP="00136578">
      <w:pPr>
        <w:pStyle w:val="AutoNumpara"/>
        <w:numPr>
          <w:ilvl w:val="0"/>
          <w:numId w:val="0"/>
        </w:numPr>
        <w:ind w:left="900"/>
        <w:rPr>
          <w:rFonts w:cs="Arial"/>
          <w:noProof w:val="0"/>
          <w:color w:val="000000"/>
          <w:sz w:val="18"/>
          <w:szCs w:val="18"/>
          <w:lang w:val="es-ES"/>
        </w:rPr>
      </w:pPr>
    </w:p>
    <w:p w14:paraId="6E7764FA" w14:textId="77777777" w:rsidR="007E3AE0" w:rsidRDefault="007E3AE0" w:rsidP="00136578">
      <w:pPr>
        <w:pStyle w:val="AutoNumpara"/>
        <w:numPr>
          <w:ilvl w:val="0"/>
          <w:numId w:val="0"/>
        </w:numPr>
        <w:ind w:left="900"/>
        <w:rPr>
          <w:rFonts w:cs="Arial"/>
          <w:noProof w:val="0"/>
          <w:color w:val="000000"/>
          <w:sz w:val="18"/>
          <w:szCs w:val="18"/>
          <w:lang w:val="es-ES"/>
        </w:rPr>
      </w:pPr>
    </w:p>
    <w:p w14:paraId="02B51B94" w14:textId="77777777" w:rsidR="00136578" w:rsidRDefault="00136578" w:rsidP="00136578">
      <w:pPr>
        <w:pStyle w:val="AutoNumpara"/>
        <w:numPr>
          <w:ilvl w:val="0"/>
          <w:numId w:val="0"/>
        </w:numPr>
        <w:ind w:left="900"/>
        <w:rPr>
          <w:rFonts w:cs="Arial"/>
          <w:noProof w:val="0"/>
          <w:color w:val="000000"/>
          <w:sz w:val="18"/>
          <w:szCs w:val="18"/>
          <w:lang w:val="es-ES"/>
        </w:rPr>
      </w:pPr>
    </w:p>
    <w:p w14:paraId="78EFAD2B" w14:textId="77777777" w:rsidR="009927E6" w:rsidRPr="00E52C43" w:rsidRDefault="009927E6" w:rsidP="007C7CD4">
      <w:pPr>
        <w:pStyle w:val="AutoNumpara"/>
        <w:numPr>
          <w:ilvl w:val="0"/>
          <w:numId w:val="0"/>
        </w:numPr>
        <w:ind w:left="900"/>
        <w:rPr>
          <w:rFonts w:cs="Arial"/>
          <w:noProof w:val="0"/>
          <w:color w:val="000000"/>
          <w:sz w:val="18"/>
          <w:szCs w:val="18"/>
          <w:lang w:val="es-ES"/>
        </w:rPr>
      </w:pPr>
    </w:p>
    <w:p w14:paraId="1DD33181" w14:textId="77777777" w:rsidR="00C635F9" w:rsidRDefault="00C635F9" w:rsidP="000D0810">
      <w:pPr>
        <w:pStyle w:val="Caption"/>
      </w:pPr>
    </w:p>
    <w:bookmarkEnd w:id="5"/>
    <w:p w14:paraId="4A1ED50A" w14:textId="77777777" w:rsidR="00136578" w:rsidRPr="00E52C43" w:rsidRDefault="00136578" w:rsidP="00136578">
      <w:pPr>
        <w:pStyle w:val="Caption"/>
        <w:rPr>
          <w:rFonts w:cs="Arial"/>
          <w:color w:val="000000"/>
          <w:sz w:val="22"/>
          <w:szCs w:val="22"/>
          <w:lang w:val="es-ES"/>
        </w:rPr>
      </w:pPr>
      <w:r>
        <w:lastRenderedPageBreak/>
        <w:t xml:space="preserve">Figura </w:t>
      </w:r>
      <w:r>
        <w:fldChar w:fldCharType="begin"/>
      </w:r>
      <w:r>
        <w:instrText xml:space="preserve"> SEQ Figura \* ARABIC </w:instrText>
      </w:r>
      <w:r>
        <w:fldChar w:fldCharType="separate"/>
      </w:r>
      <w:r>
        <w:rPr>
          <w:noProof/>
        </w:rPr>
        <w:t>5</w:t>
      </w:r>
      <w:r>
        <w:fldChar w:fldCharType="end"/>
      </w:r>
      <w:r>
        <w:t xml:space="preserve">. </w:t>
      </w:r>
      <w:r>
        <w:rPr>
          <w:rFonts w:cs="Arial"/>
          <w:sz w:val="22"/>
          <w:szCs w:val="22"/>
          <w:lang w:val="es-ES"/>
        </w:rPr>
        <w:t>Ajuste de los controles sintéticos para Ceará no metropolitano</w:t>
      </w:r>
    </w:p>
    <w:p w14:paraId="1BDFBCCC" w14:textId="77777777" w:rsidR="00136578" w:rsidRDefault="00136578" w:rsidP="00136578">
      <w:pPr>
        <w:rPr>
          <w:rFonts w:cs="Arial"/>
          <w:sz w:val="22"/>
          <w:szCs w:val="22"/>
          <w:lang w:val="es-ES"/>
        </w:rPr>
      </w:pPr>
      <w:r w:rsidRPr="00E52C43">
        <w:rPr>
          <w:rFonts w:cs="Arial"/>
          <w:sz w:val="22"/>
          <w:szCs w:val="22"/>
          <w:lang w:val="es-ES"/>
        </w:rPr>
        <w:t xml:space="preserve">   </w:t>
      </w:r>
      <w:r>
        <w:rPr>
          <w:rFonts w:cs="Arial"/>
          <w:noProof/>
          <w:sz w:val="22"/>
          <w:szCs w:val="22"/>
          <w:lang w:val="en-US"/>
        </w:rPr>
        <w:t xml:space="preserve">a) </w:t>
      </w:r>
      <w:r>
        <w:rPr>
          <w:rFonts w:cs="Arial"/>
          <w:sz w:val="22"/>
          <w:szCs w:val="22"/>
          <w:lang w:val="es-ES"/>
        </w:rPr>
        <w:t>Internaciones prevenibles</w:t>
      </w:r>
    </w:p>
    <w:p w14:paraId="715AA19E" w14:textId="77777777" w:rsidR="00136578" w:rsidRDefault="00136578" w:rsidP="00136578">
      <w:pPr>
        <w:pStyle w:val="Caption"/>
        <w:rPr>
          <w:rFonts w:cs="Arial"/>
          <w:sz w:val="22"/>
          <w:szCs w:val="22"/>
        </w:rPr>
      </w:pPr>
      <w:r>
        <w:rPr>
          <w:rFonts w:cs="Arial"/>
          <w:noProof/>
          <w:sz w:val="22"/>
          <w:szCs w:val="22"/>
          <w:lang w:val="en-US"/>
        </w:rPr>
        <w:drawing>
          <wp:inline distT="0" distB="0" distL="0" distR="0" wp14:anchorId="73E356B1" wp14:editId="7381CBFE">
            <wp:extent cx="4914900" cy="3273622"/>
            <wp:effectExtent l="0" t="0" r="0" b="3175"/>
            <wp:docPr id="35" name="Picture 35" descr="MacOSX:Users:nadin:Dropbox:Social Protection:DATASUS:proc:results:nometro:model comparisonicsab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OSX:Users:nadin:Dropbox:Social Protection:DATASUS:proc:results:nometro:model comparisonicsabs.pd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4900" cy="3273622"/>
                    </a:xfrm>
                    <a:prstGeom prst="rect">
                      <a:avLst/>
                    </a:prstGeom>
                    <a:noFill/>
                    <a:ln>
                      <a:noFill/>
                    </a:ln>
                  </pic:spPr>
                </pic:pic>
              </a:graphicData>
            </a:graphic>
          </wp:inline>
        </w:drawing>
      </w:r>
    </w:p>
    <w:p w14:paraId="3CF71D7D" w14:textId="77777777" w:rsidR="00136578" w:rsidRDefault="00136578" w:rsidP="00136578">
      <w:pPr>
        <w:rPr>
          <w:rFonts w:cs="Arial"/>
          <w:sz w:val="22"/>
          <w:szCs w:val="22"/>
          <w:lang w:val="es-ES"/>
        </w:rPr>
      </w:pPr>
      <w:r>
        <w:rPr>
          <w:rFonts w:cs="Arial"/>
          <w:sz w:val="22"/>
          <w:szCs w:val="22"/>
          <w:lang w:val="es-ES"/>
        </w:rPr>
        <w:t>b) Muertes prematuras por ACV</w:t>
      </w:r>
    </w:p>
    <w:p w14:paraId="6F331E3F" w14:textId="77777777" w:rsidR="00136578" w:rsidRPr="00D83D25" w:rsidRDefault="00136578" w:rsidP="00136578">
      <w:r>
        <w:rPr>
          <w:noProof/>
          <w:lang w:val="en-US"/>
        </w:rPr>
        <w:drawing>
          <wp:inline distT="0" distB="0" distL="0" distR="0" wp14:anchorId="557BCDAD" wp14:editId="098E502D">
            <wp:extent cx="4914900" cy="3273622"/>
            <wp:effectExtent l="0" t="0" r="0" b="3175"/>
            <wp:docPr id="36" name="Picture 36" descr="MacOSX:Users:nadin:Dropbox:Social Protection:DATASUS:proc:results:nometro:model comparisoncerebr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OSX:Users:nadin:Dropbox:Social Protection:DATASUS:proc:results:nometro:model comparisoncerebro.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4900" cy="3273622"/>
                    </a:xfrm>
                    <a:prstGeom prst="rect">
                      <a:avLst/>
                    </a:prstGeom>
                    <a:noFill/>
                    <a:ln>
                      <a:noFill/>
                    </a:ln>
                  </pic:spPr>
                </pic:pic>
              </a:graphicData>
            </a:graphic>
          </wp:inline>
        </w:drawing>
      </w:r>
    </w:p>
    <w:p w14:paraId="171C4EED" w14:textId="77777777" w:rsidR="00136578" w:rsidRDefault="00136578" w:rsidP="00136578">
      <w:pPr>
        <w:pStyle w:val="AutoNumpara"/>
        <w:numPr>
          <w:ilvl w:val="0"/>
          <w:numId w:val="0"/>
        </w:numPr>
        <w:ind w:left="900"/>
        <w:rPr>
          <w:rFonts w:cs="Arial"/>
          <w:noProof w:val="0"/>
          <w:color w:val="000000"/>
          <w:sz w:val="18"/>
          <w:szCs w:val="18"/>
          <w:lang w:val="es-ES"/>
        </w:rPr>
      </w:pPr>
      <w:r w:rsidRPr="00E52C43">
        <w:rPr>
          <w:rFonts w:cs="Arial"/>
          <w:noProof w:val="0"/>
          <w:color w:val="000000"/>
          <w:sz w:val="18"/>
          <w:szCs w:val="18"/>
          <w:lang w:val="es-ES"/>
        </w:rPr>
        <w:t>Fuente: Elaboración de los autores.</w:t>
      </w:r>
    </w:p>
    <w:p w14:paraId="340C8D46" w14:textId="77777777" w:rsidR="00136578" w:rsidRDefault="00136578" w:rsidP="00136578">
      <w:pPr>
        <w:pStyle w:val="Caption"/>
        <w:rPr>
          <w:rFonts w:cs="Arial"/>
          <w:sz w:val="22"/>
          <w:szCs w:val="22"/>
          <w:lang w:val="es-ES"/>
        </w:rPr>
      </w:pPr>
    </w:p>
    <w:p w14:paraId="60949297" w14:textId="77777777" w:rsidR="00136578" w:rsidRDefault="00136578" w:rsidP="00136578">
      <w:pPr>
        <w:pStyle w:val="Caption"/>
        <w:rPr>
          <w:rFonts w:cs="Arial"/>
          <w:sz w:val="22"/>
          <w:szCs w:val="22"/>
          <w:lang w:val="es-ES"/>
        </w:rPr>
      </w:pPr>
    </w:p>
    <w:p w14:paraId="3EC894BB" w14:textId="77777777" w:rsidR="00136578" w:rsidRPr="00E52C43" w:rsidRDefault="00136578" w:rsidP="00136578">
      <w:pPr>
        <w:pStyle w:val="Caption"/>
        <w:rPr>
          <w:rFonts w:cs="Arial"/>
          <w:color w:val="000000"/>
          <w:sz w:val="22"/>
          <w:szCs w:val="22"/>
          <w:lang w:val="es-ES"/>
        </w:rPr>
      </w:pPr>
      <w:r w:rsidRPr="00E52C43">
        <w:rPr>
          <w:rFonts w:cs="Arial"/>
          <w:sz w:val="22"/>
          <w:szCs w:val="22"/>
          <w:lang w:val="es-ES"/>
        </w:rPr>
        <w:lastRenderedPageBreak/>
        <w:t xml:space="preserve">Figura </w:t>
      </w:r>
      <w:r w:rsidRPr="00E52C43">
        <w:rPr>
          <w:rFonts w:cs="Arial"/>
          <w:sz w:val="22"/>
          <w:szCs w:val="22"/>
          <w:lang w:val="es-ES"/>
        </w:rPr>
        <w:fldChar w:fldCharType="begin"/>
      </w:r>
      <w:r w:rsidRPr="00E52C43">
        <w:rPr>
          <w:rFonts w:cs="Arial"/>
          <w:sz w:val="22"/>
          <w:szCs w:val="22"/>
          <w:lang w:val="es-ES"/>
        </w:rPr>
        <w:instrText xml:space="preserve"> SEQ Figura \* ARABIC </w:instrText>
      </w:r>
      <w:r w:rsidRPr="00E52C43">
        <w:rPr>
          <w:rFonts w:cs="Arial"/>
          <w:sz w:val="22"/>
          <w:szCs w:val="22"/>
          <w:lang w:val="es-ES"/>
        </w:rPr>
        <w:fldChar w:fldCharType="separate"/>
      </w:r>
      <w:r>
        <w:rPr>
          <w:rFonts w:cs="Arial"/>
          <w:noProof/>
          <w:sz w:val="22"/>
          <w:szCs w:val="22"/>
          <w:lang w:val="es-ES"/>
        </w:rPr>
        <w:t>6</w:t>
      </w:r>
      <w:r w:rsidRPr="00E52C43">
        <w:rPr>
          <w:rFonts w:cs="Arial"/>
          <w:sz w:val="22"/>
          <w:szCs w:val="22"/>
          <w:lang w:val="es-ES"/>
        </w:rPr>
        <w:fldChar w:fldCharType="end"/>
      </w:r>
      <w:r w:rsidRPr="00E52C43">
        <w:rPr>
          <w:rFonts w:cs="Arial"/>
          <w:sz w:val="22"/>
          <w:szCs w:val="22"/>
          <w:lang w:val="es-ES"/>
        </w:rPr>
        <w:t xml:space="preserve"> </w:t>
      </w:r>
      <w:r>
        <w:rPr>
          <w:rFonts w:cs="Arial"/>
          <w:sz w:val="22"/>
          <w:szCs w:val="22"/>
          <w:lang w:val="es-ES"/>
        </w:rPr>
        <w:t>Ajuste de los controles sintéticos para Fortaleza</w:t>
      </w:r>
    </w:p>
    <w:p w14:paraId="2FFE96A9" w14:textId="77777777" w:rsidR="00136578" w:rsidRDefault="00136578" w:rsidP="00136578">
      <w:pPr>
        <w:rPr>
          <w:rFonts w:cs="Arial"/>
          <w:sz w:val="22"/>
          <w:szCs w:val="22"/>
          <w:lang w:val="es-ES"/>
        </w:rPr>
      </w:pPr>
      <w:r w:rsidRPr="00E52C43">
        <w:rPr>
          <w:rFonts w:cs="Arial"/>
          <w:sz w:val="22"/>
          <w:szCs w:val="22"/>
          <w:lang w:val="es-ES"/>
        </w:rPr>
        <w:t xml:space="preserve">   </w:t>
      </w:r>
      <w:r>
        <w:rPr>
          <w:rFonts w:cs="Arial"/>
          <w:noProof/>
          <w:sz w:val="22"/>
          <w:szCs w:val="22"/>
          <w:lang w:val="en-US"/>
        </w:rPr>
        <w:t xml:space="preserve">a) </w:t>
      </w:r>
      <w:r>
        <w:rPr>
          <w:rFonts w:cs="Arial"/>
          <w:sz w:val="22"/>
          <w:szCs w:val="22"/>
          <w:lang w:val="es-ES"/>
        </w:rPr>
        <w:t>Internaciones prevenibles</w:t>
      </w:r>
    </w:p>
    <w:p w14:paraId="54E6AB3C" w14:textId="77777777" w:rsidR="00136578" w:rsidRPr="007F488A" w:rsidRDefault="00136578" w:rsidP="00136578">
      <w:pPr>
        <w:rPr>
          <w:rFonts w:cs="Arial"/>
          <w:noProof/>
          <w:sz w:val="22"/>
          <w:szCs w:val="22"/>
        </w:rPr>
      </w:pPr>
      <w:r>
        <w:rPr>
          <w:rFonts w:cs="Arial"/>
          <w:noProof/>
          <w:sz w:val="22"/>
          <w:szCs w:val="22"/>
          <w:lang w:val="en-US"/>
        </w:rPr>
        <w:drawing>
          <wp:inline distT="0" distB="0" distL="0" distR="0" wp14:anchorId="33A67829" wp14:editId="145C7E03">
            <wp:extent cx="4800600" cy="3200400"/>
            <wp:effectExtent l="0" t="0" r="0" b="0"/>
            <wp:docPr id="28" name="Picture 28" descr="MacOSX:Users:nadin:Dropbox:Social Protection:DATASUS:proc:results:metro:model comparisonicsab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OSX:Users:nadin:Dropbox:Social Protection:DATASUS:proc:results:metro:model comparisonicsabs.pd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0600" cy="3200400"/>
                    </a:xfrm>
                    <a:prstGeom prst="rect">
                      <a:avLst/>
                    </a:prstGeom>
                    <a:noFill/>
                    <a:ln>
                      <a:noFill/>
                    </a:ln>
                  </pic:spPr>
                </pic:pic>
              </a:graphicData>
            </a:graphic>
          </wp:inline>
        </w:drawing>
      </w:r>
    </w:p>
    <w:p w14:paraId="3043EE78" w14:textId="77777777" w:rsidR="00136578" w:rsidRDefault="00136578" w:rsidP="00136578">
      <w:pPr>
        <w:rPr>
          <w:rFonts w:cs="Arial"/>
          <w:sz w:val="22"/>
          <w:szCs w:val="22"/>
          <w:lang w:val="es-ES"/>
        </w:rPr>
      </w:pPr>
      <w:r>
        <w:rPr>
          <w:rFonts w:cs="Arial"/>
          <w:sz w:val="22"/>
          <w:szCs w:val="22"/>
          <w:lang w:val="es-ES"/>
        </w:rPr>
        <w:t>b) Muertes prematuras por ACV</w:t>
      </w:r>
    </w:p>
    <w:p w14:paraId="39204AFC" w14:textId="77777777" w:rsidR="00136578" w:rsidRPr="00EE2257" w:rsidRDefault="00136578" w:rsidP="00136578">
      <w:pPr>
        <w:rPr>
          <w:rFonts w:cs="Arial"/>
          <w:noProof/>
          <w:sz w:val="22"/>
          <w:szCs w:val="22"/>
        </w:rPr>
      </w:pPr>
      <w:r>
        <w:rPr>
          <w:rFonts w:cs="Arial"/>
          <w:noProof/>
          <w:sz w:val="22"/>
          <w:szCs w:val="22"/>
          <w:lang w:val="en-US"/>
        </w:rPr>
        <w:drawing>
          <wp:inline distT="0" distB="0" distL="0" distR="0" wp14:anchorId="3B5AE6A6" wp14:editId="294F3291">
            <wp:extent cx="4686300" cy="3124200"/>
            <wp:effectExtent l="0" t="0" r="12700" b="0"/>
            <wp:docPr id="30" name="Picture 30" descr="MacOSX:Users:nadin:Dropbox:Social Protection:DATASUS:proc:results:metro:model comparisoncerebr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OSX:Users:nadin:Dropbox:Social Protection:DATASUS:proc:results:metro:model comparisoncerebro.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6300" cy="3124200"/>
                    </a:xfrm>
                    <a:prstGeom prst="rect">
                      <a:avLst/>
                    </a:prstGeom>
                    <a:noFill/>
                    <a:ln>
                      <a:noFill/>
                    </a:ln>
                  </pic:spPr>
                </pic:pic>
              </a:graphicData>
            </a:graphic>
          </wp:inline>
        </w:drawing>
      </w:r>
    </w:p>
    <w:p w14:paraId="26E973C6" w14:textId="77777777" w:rsidR="00136578" w:rsidRPr="00CE7B74" w:rsidRDefault="00136578" w:rsidP="00136578">
      <w:pPr>
        <w:rPr>
          <w:rFonts w:cs="Arial"/>
          <w:noProof/>
          <w:sz w:val="22"/>
          <w:szCs w:val="22"/>
        </w:rPr>
      </w:pPr>
    </w:p>
    <w:p w14:paraId="650B3EAE" w14:textId="77777777" w:rsidR="00136578" w:rsidRPr="00E52C43" w:rsidRDefault="00136578" w:rsidP="00136578">
      <w:pPr>
        <w:rPr>
          <w:rFonts w:cs="Arial"/>
          <w:sz w:val="22"/>
          <w:szCs w:val="22"/>
          <w:lang w:val="es-ES"/>
        </w:rPr>
      </w:pPr>
    </w:p>
    <w:p w14:paraId="7B708B8C" w14:textId="77777777" w:rsidR="00136578" w:rsidRPr="00E52C43" w:rsidRDefault="00136578" w:rsidP="00136578">
      <w:pPr>
        <w:ind w:left="450"/>
        <w:rPr>
          <w:rFonts w:cs="Arial"/>
          <w:sz w:val="18"/>
          <w:szCs w:val="18"/>
          <w:lang w:val="es-ES"/>
        </w:rPr>
      </w:pPr>
      <w:r w:rsidRPr="00E52C43">
        <w:rPr>
          <w:rFonts w:cs="Arial"/>
          <w:sz w:val="18"/>
          <w:szCs w:val="18"/>
          <w:lang w:val="es-ES"/>
        </w:rPr>
        <w:t>Fuente: Elaboración de los autores./Notas: CE=Ceará no metropolitano.</w:t>
      </w:r>
    </w:p>
    <w:p w14:paraId="27A6811B" w14:textId="77777777" w:rsidR="00136578" w:rsidRDefault="00136578" w:rsidP="00136578">
      <w:pPr>
        <w:pStyle w:val="Caption"/>
        <w:rPr>
          <w:rFonts w:cs="Arial"/>
          <w:sz w:val="22"/>
          <w:szCs w:val="22"/>
          <w:lang w:val="es-ES"/>
        </w:rPr>
      </w:pPr>
      <w:bookmarkStart w:id="6" w:name="_Ref296242068"/>
    </w:p>
    <w:p w14:paraId="39B3BD67" w14:textId="77777777" w:rsidR="00136578" w:rsidRDefault="00136578" w:rsidP="00136578"/>
    <w:p w14:paraId="3F75F508" w14:textId="77777777" w:rsidR="00136578" w:rsidRDefault="00136578" w:rsidP="00136578"/>
    <w:p w14:paraId="2B45FADD" w14:textId="77777777" w:rsidR="00136578" w:rsidRDefault="00136578" w:rsidP="00136578"/>
    <w:p w14:paraId="7296C53B" w14:textId="77777777" w:rsidR="00136578" w:rsidRDefault="00136578" w:rsidP="00136578">
      <w:pPr>
        <w:pStyle w:val="Caption"/>
        <w:rPr>
          <w:rFonts w:cs="Arial"/>
          <w:sz w:val="22"/>
          <w:szCs w:val="22"/>
          <w:lang w:val="es-ES"/>
        </w:rPr>
      </w:pPr>
      <w:r w:rsidRPr="00E52C43">
        <w:rPr>
          <w:rFonts w:cs="Arial"/>
          <w:sz w:val="22"/>
          <w:szCs w:val="22"/>
          <w:lang w:val="es-ES"/>
        </w:rPr>
        <w:lastRenderedPageBreak/>
        <w:t xml:space="preserve">Figura </w:t>
      </w:r>
      <w:r w:rsidRPr="00E52C43">
        <w:rPr>
          <w:rFonts w:cs="Arial"/>
          <w:sz w:val="22"/>
          <w:szCs w:val="22"/>
          <w:lang w:val="es-ES"/>
        </w:rPr>
        <w:fldChar w:fldCharType="begin"/>
      </w:r>
      <w:r w:rsidRPr="00E52C43">
        <w:rPr>
          <w:rFonts w:cs="Arial"/>
          <w:sz w:val="22"/>
          <w:szCs w:val="22"/>
          <w:lang w:val="es-ES"/>
        </w:rPr>
        <w:instrText xml:space="preserve"> SEQ Figura \* ARABIC </w:instrText>
      </w:r>
      <w:r w:rsidRPr="00E52C43">
        <w:rPr>
          <w:rFonts w:cs="Arial"/>
          <w:sz w:val="22"/>
          <w:szCs w:val="22"/>
          <w:lang w:val="es-ES"/>
        </w:rPr>
        <w:fldChar w:fldCharType="separate"/>
      </w:r>
      <w:r>
        <w:rPr>
          <w:rFonts w:cs="Arial"/>
          <w:noProof/>
          <w:sz w:val="22"/>
          <w:szCs w:val="22"/>
          <w:lang w:val="es-ES"/>
        </w:rPr>
        <w:t>7</w:t>
      </w:r>
      <w:r w:rsidRPr="00E52C43">
        <w:rPr>
          <w:rFonts w:cs="Arial"/>
          <w:sz w:val="22"/>
          <w:szCs w:val="22"/>
          <w:lang w:val="es-ES"/>
        </w:rPr>
        <w:fldChar w:fldCharType="end"/>
      </w:r>
      <w:r w:rsidRPr="00E52C43">
        <w:rPr>
          <w:rFonts w:cs="Arial"/>
          <w:sz w:val="22"/>
          <w:szCs w:val="22"/>
          <w:lang w:val="es-ES"/>
        </w:rPr>
        <w:t>. Distribución de los error</w:t>
      </w:r>
      <w:r>
        <w:rPr>
          <w:rFonts w:cs="Arial"/>
          <w:sz w:val="22"/>
          <w:szCs w:val="22"/>
          <w:lang w:val="es-ES"/>
        </w:rPr>
        <w:t>es de los modelos Ceará no metropolitano</w:t>
      </w:r>
    </w:p>
    <w:tbl>
      <w:tblPr>
        <w:tblStyle w:val="TableGrid"/>
        <w:tblW w:w="0" w:type="auto"/>
        <w:tblLook w:val="04A0" w:firstRow="1" w:lastRow="0" w:firstColumn="1" w:lastColumn="0" w:noHBand="0" w:noVBand="1"/>
      </w:tblPr>
      <w:tblGrid>
        <w:gridCol w:w="4788"/>
        <w:gridCol w:w="4788"/>
      </w:tblGrid>
      <w:tr w:rsidR="00136578" w14:paraId="00A648D9" w14:textId="77777777" w:rsidTr="00136578">
        <w:tc>
          <w:tcPr>
            <w:tcW w:w="4788" w:type="dxa"/>
          </w:tcPr>
          <w:p w14:paraId="1D195FA6" w14:textId="77777777" w:rsidR="00136578" w:rsidRDefault="00136578" w:rsidP="00136578">
            <w:r>
              <w:rPr>
                <w:rFonts w:cs="Arial"/>
                <w:noProof/>
                <w:sz w:val="22"/>
                <w:szCs w:val="22"/>
                <w:lang w:val="en-US"/>
              </w:rPr>
              <w:t xml:space="preserve">a) </w:t>
            </w:r>
            <w:r>
              <w:rPr>
                <w:rFonts w:cs="Arial"/>
                <w:sz w:val="22"/>
                <w:szCs w:val="22"/>
                <w:lang w:val="es-ES"/>
              </w:rPr>
              <w:t>Internaciones prevenibles</w:t>
            </w:r>
          </w:p>
        </w:tc>
        <w:tc>
          <w:tcPr>
            <w:tcW w:w="4788" w:type="dxa"/>
          </w:tcPr>
          <w:p w14:paraId="7177167A" w14:textId="77777777" w:rsidR="00136578" w:rsidRPr="00642AEB" w:rsidRDefault="00136578" w:rsidP="00136578">
            <w:pPr>
              <w:rPr>
                <w:rFonts w:cs="Arial"/>
                <w:sz w:val="22"/>
                <w:szCs w:val="22"/>
              </w:rPr>
            </w:pPr>
            <w:r>
              <w:rPr>
                <w:rFonts w:cs="Arial"/>
                <w:sz w:val="22"/>
                <w:szCs w:val="22"/>
                <w:lang w:val="es-ES"/>
              </w:rPr>
              <w:t>b) Muertes prematuras por ACV</w:t>
            </w:r>
          </w:p>
        </w:tc>
      </w:tr>
      <w:tr w:rsidR="00136578" w14:paraId="6BC1E1C7" w14:textId="77777777" w:rsidTr="00136578">
        <w:tc>
          <w:tcPr>
            <w:tcW w:w="4788" w:type="dxa"/>
          </w:tcPr>
          <w:p w14:paraId="0645707F" w14:textId="77777777" w:rsidR="00136578" w:rsidRDefault="00136578" w:rsidP="00136578">
            <w:r>
              <w:rPr>
                <w:noProof/>
                <w:lang w:val="en-US"/>
              </w:rPr>
              <w:drawing>
                <wp:inline distT="0" distB="0" distL="0" distR="0" wp14:anchorId="5E53AA5C" wp14:editId="4ABB626A">
                  <wp:extent cx="2743200" cy="1995055"/>
                  <wp:effectExtent l="0" t="0" r="0" b="12065"/>
                  <wp:docPr id="39" name="Picture 39" descr="MacOSX:Users:nadin:Dropbox:Social Protection:DATASUS:proc:results:nometro:histograms comparisonicsab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OSX:Users:nadin:Dropbox:Social Protection:DATASUS:proc:results:nometro:histograms comparisonicsabs.pd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1995055"/>
                          </a:xfrm>
                          <a:prstGeom prst="rect">
                            <a:avLst/>
                          </a:prstGeom>
                          <a:noFill/>
                          <a:ln>
                            <a:noFill/>
                          </a:ln>
                        </pic:spPr>
                      </pic:pic>
                    </a:graphicData>
                  </a:graphic>
                </wp:inline>
              </w:drawing>
            </w:r>
          </w:p>
        </w:tc>
        <w:tc>
          <w:tcPr>
            <w:tcW w:w="4788" w:type="dxa"/>
          </w:tcPr>
          <w:p w14:paraId="30F96C70" w14:textId="77777777" w:rsidR="00136578" w:rsidRDefault="00136578" w:rsidP="00136578">
            <w:r>
              <w:rPr>
                <w:noProof/>
                <w:lang w:val="en-US"/>
              </w:rPr>
              <w:drawing>
                <wp:inline distT="0" distB="0" distL="0" distR="0" wp14:anchorId="11BB51EE" wp14:editId="5A42CDA2">
                  <wp:extent cx="2691912" cy="1957754"/>
                  <wp:effectExtent l="0" t="0" r="635" b="0"/>
                  <wp:docPr id="40" name="Picture 40" descr="MacOSX:Users:nadin:Dropbox:Social Protection:DATASUS:proc:results:nometro:histograms comparisoncerebr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OSX:Users:nadin:Dropbox:Social Protection:DATASUS:proc:results:nometro:histograms comparisoncerebro.pd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1912" cy="1957754"/>
                          </a:xfrm>
                          <a:prstGeom prst="rect">
                            <a:avLst/>
                          </a:prstGeom>
                          <a:noFill/>
                          <a:ln>
                            <a:noFill/>
                          </a:ln>
                        </pic:spPr>
                      </pic:pic>
                    </a:graphicData>
                  </a:graphic>
                </wp:inline>
              </w:drawing>
            </w:r>
          </w:p>
        </w:tc>
      </w:tr>
    </w:tbl>
    <w:p w14:paraId="07FF8F16" w14:textId="77777777" w:rsidR="00136578" w:rsidRPr="00CE7B74" w:rsidRDefault="00136578" w:rsidP="00136578"/>
    <w:p w14:paraId="7220FD8E" w14:textId="77777777" w:rsidR="00136578" w:rsidRPr="00CE7B74" w:rsidRDefault="00136578" w:rsidP="00136578">
      <w:pPr>
        <w:rPr>
          <w:rFonts w:cs="Arial"/>
          <w:sz w:val="22"/>
          <w:szCs w:val="22"/>
        </w:rPr>
      </w:pPr>
      <w:r w:rsidRPr="00E52C43">
        <w:rPr>
          <w:rFonts w:cs="Arial"/>
          <w:sz w:val="22"/>
          <w:szCs w:val="22"/>
          <w:lang w:val="es-ES"/>
        </w:rPr>
        <w:t xml:space="preserve">               </w:t>
      </w:r>
    </w:p>
    <w:p w14:paraId="76AC241F" w14:textId="77777777" w:rsidR="00136578" w:rsidRPr="00E52C43" w:rsidRDefault="00136578" w:rsidP="00136578">
      <w:pPr>
        <w:rPr>
          <w:rFonts w:cs="Arial"/>
          <w:sz w:val="18"/>
          <w:szCs w:val="18"/>
          <w:lang w:val="es-ES"/>
        </w:rPr>
      </w:pPr>
      <w:r w:rsidRPr="00E52C43">
        <w:rPr>
          <w:rFonts w:cs="Arial"/>
          <w:sz w:val="18"/>
          <w:szCs w:val="18"/>
          <w:lang w:val="es-ES"/>
        </w:rPr>
        <w:t>Fuente: Elaboración de los autores.</w:t>
      </w:r>
    </w:p>
    <w:p w14:paraId="44F2BD10" w14:textId="77777777" w:rsidR="00136578" w:rsidRPr="00E52C43" w:rsidRDefault="00136578" w:rsidP="00136578">
      <w:pPr>
        <w:rPr>
          <w:rFonts w:cs="Arial"/>
          <w:sz w:val="18"/>
          <w:szCs w:val="18"/>
          <w:lang w:val="es-ES"/>
        </w:rPr>
      </w:pPr>
      <w:r w:rsidRPr="00E52C43">
        <w:rPr>
          <w:rFonts w:cs="Arial"/>
          <w:sz w:val="18"/>
          <w:szCs w:val="18"/>
          <w:lang w:val="es-ES"/>
        </w:rPr>
        <w:t>Notas: error1=Error del modelo 1 error2=Error del modelo 2 error3=Error del modelo 3 error4=Error del modelo 4.</w:t>
      </w:r>
    </w:p>
    <w:p w14:paraId="2F4BD5C5" w14:textId="77777777" w:rsidR="00136578" w:rsidRDefault="00136578" w:rsidP="00136578">
      <w:pPr>
        <w:pStyle w:val="Caption"/>
        <w:rPr>
          <w:rFonts w:cs="Arial"/>
          <w:sz w:val="22"/>
          <w:szCs w:val="22"/>
          <w:lang w:val="es-ES"/>
        </w:rPr>
      </w:pPr>
    </w:p>
    <w:p w14:paraId="0B54C0EF" w14:textId="77777777" w:rsidR="00136578" w:rsidRDefault="00136578" w:rsidP="00136578">
      <w:pPr>
        <w:pStyle w:val="Caption"/>
        <w:rPr>
          <w:rFonts w:cs="Arial"/>
          <w:sz w:val="22"/>
          <w:szCs w:val="22"/>
          <w:lang w:val="es-ES"/>
        </w:rPr>
      </w:pPr>
      <w:r w:rsidRPr="00E52C43">
        <w:rPr>
          <w:rFonts w:cs="Arial"/>
          <w:sz w:val="22"/>
          <w:szCs w:val="22"/>
          <w:lang w:val="es-ES"/>
        </w:rPr>
        <w:t xml:space="preserve">Figura </w:t>
      </w:r>
      <w:r w:rsidRPr="00E52C43">
        <w:rPr>
          <w:rFonts w:cs="Arial"/>
          <w:sz w:val="22"/>
          <w:szCs w:val="22"/>
          <w:lang w:val="es-ES"/>
        </w:rPr>
        <w:fldChar w:fldCharType="begin"/>
      </w:r>
      <w:r w:rsidRPr="00E52C43">
        <w:rPr>
          <w:rFonts w:cs="Arial"/>
          <w:sz w:val="22"/>
          <w:szCs w:val="22"/>
          <w:lang w:val="es-ES"/>
        </w:rPr>
        <w:instrText xml:space="preserve"> SEQ Figura \* ARABIC </w:instrText>
      </w:r>
      <w:r w:rsidRPr="00E52C43">
        <w:rPr>
          <w:rFonts w:cs="Arial"/>
          <w:sz w:val="22"/>
          <w:szCs w:val="22"/>
          <w:lang w:val="es-ES"/>
        </w:rPr>
        <w:fldChar w:fldCharType="separate"/>
      </w:r>
      <w:r>
        <w:rPr>
          <w:rFonts w:cs="Arial"/>
          <w:noProof/>
          <w:sz w:val="22"/>
          <w:szCs w:val="22"/>
          <w:lang w:val="es-ES"/>
        </w:rPr>
        <w:t>8</w:t>
      </w:r>
      <w:r w:rsidRPr="00E52C43">
        <w:rPr>
          <w:rFonts w:cs="Arial"/>
          <w:sz w:val="22"/>
          <w:szCs w:val="22"/>
          <w:lang w:val="es-ES"/>
        </w:rPr>
        <w:fldChar w:fldCharType="end"/>
      </w:r>
      <w:bookmarkEnd w:id="6"/>
      <w:r w:rsidRPr="00E52C43">
        <w:rPr>
          <w:rFonts w:cs="Arial"/>
          <w:sz w:val="22"/>
          <w:szCs w:val="22"/>
          <w:lang w:val="es-ES"/>
        </w:rPr>
        <w:t>. Distribución de los error</w:t>
      </w:r>
      <w:r>
        <w:rPr>
          <w:rFonts w:cs="Arial"/>
          <w:sz w:val="22"/>
          <w:szCs w:val="22"/>
          <w:lang w:val="es-ES"/>
        </w:rPr>
        <w:t>es de los modelos Fortaleza</w:t>
      </w:r>
    </w:p>
    <w:tbl>
      <w:tblPr>
        <w:tblStyle w:val="TableGrid"/>
        <w:tblW w:w="0" w:type="auto"/>
        <w:tblLook w:val="04A0" w:firstRow="1" w:lastRow="0" w:firstColumn="1" w:lastColumn="0" w:noHBand="0" w:noVBand="1"/>
      </w:tblPr>
      <w:tblGrid>
        <w:gridCol w:w="4788"/>
        <w:gridCol w:w="4788"/>
      </w:tblGrid>
      <w:tr w:rsidR="00136578" w14:paraId="51F46F0D" w14:textId="77777777" w:rsidTr="00136578">
        <w:tc>
          <w:tcPr>
            <w:tcW w:w="4788" w:type="dxa"/>
          </w:tcPr>
          <w:p w14:paraId="4D7A468C" w14:textId="77777777" w:rsidR="00136578" w:rsidRDefault="00136578" w:rsidP="00136578">
            <w:r>
              <w:rPr>
                <w:rFonts w:cs="Arial"/>
                <w:noProof/>
                <w:sz w:val="22"/>
                <w:szCs w:val="22"/>
                <w:lang w:val="en-US"/>
              </w:rPr>
              <w:t xml:space="preserve">a) </w:t>
            </w:r>
            <w:r>
              <w:rPr>
                <w:rFonts w:cs="Arial"/>
                <w:sz w:val="22"/>
                <w:szCs w:val="22"/>
                <w:lang w:val="es-ES"/>
              </w:rPr>
              <w:t>Internaciones prevenibles</w:t>
            </w:r>
          </w:p>
        </w:tc>
        <w:tc>
          <w:tcPr>
            <w:tcW w:w="4788" w:type="dxa"/>
          </w:tcPr>
          <w:p w14:paraId="66F14BC3" w14:textId="77777777" w:rsidR="00136578" w:rsidRPr="00642AEB" w:rsidRDefault="00136578" w:rsidP="00136578">
            <w:pPr>
              <w:rPr>
                <w:rFonts w:cs="Arial"/>
                <w:sz w:val="22"/>
                <w:szCs w:val="22"/>
              </w:rPr>
            </w:pPr>
            <w:r>
              <w:rPr>
                <w:rFonts w:cs="Arial"/>
                <w:sz w:val="22"/>
                <w:szCs w:val="22"/>
                <w:lang w:val="es-ES"/>
              </w:rPr>
              <w:t>b) Muertes prematuras por ACV</w:t>
            </w:r>
          </w:p>
        </w:tc>
      </w:tr>
      <w:tr w:rsidR="00136578" w14:paraId="5707937B" w14:textId="77777777" w:rsidTr="00136578">
        <w:tc>
          <w:tcPr>
            <w:tcW w:w="4788" w:type="dxa"/>
          </w:tcPr>
          <w:p w14:paraId="29551F30" w14:textId="77777777" w:rsidR="00136578" w:rsidRDefault="00136578" w:rsidP="00136578">
            <w:r>
              <w:rPr>
                <w:noProof/>
                <w:lang w:val="en-US"/>
              </w:rPr>
              <w:drawing>
                <wp:inline distT="0" distB="0" distL="0" distR="0" wp14:anchorId="4FD7A634" wp14:editId="1F0FF761">
                  <wp:extent cx="2857500" cy="2075823"/>
                  <wp:effectExtent l="0" t="0" r="0" b="6985"/>
                  <wp:docPr id="32" name="Picture 32" descr="MacOSX:Users:nadin:Dropbox:Social Protection:DATASUS:proc:results:metro:histograms comparisonicsab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OSX:Users:nadin:Dropbox:Social Protection:DATASUS:proc:results:metro:histograms comparisonicsabs.pd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974" cy="2076167"/>
                          </a:xfrm>
                          <a:prstGeom prst="rect">
                            <a:avLst/>
                          </a:prstGeom>
                          <a:noFill/>
                          <a:ln>
                            <a:noFill/>
                          </a:ln>
                        </pic:spPr>
                      </pic:pic>
                    </a:graphicData>
                  </a:graphic>
                </wp:inline>
              </w:drawing>
            </w:r>
          </w:p>
        </w:tc>
        <w:tc>
          <w:tcPr>
            <w:tcW w:w="4788" w:type="dxa"/>
          </w:tcPr>
          <w:p w14:paraId="419A49A2" w14:textId="77777777" w:rsidR="00136578" w:rsidRDefault="00136578" w:rsidP="00136578">
            <w:r>
              <w:rPr>
                <w:noProof/>
                <w:lang w:val="en-US"/>
              </w:rPr>
              <w:drawing>
                <wp:inline distT="0" distB="0" distL="0" distR="0" wp14:anchorId="4291F996" wp14:editId="7520D5EB">
                  <wp:extent cx="2899458" cy="2106304"/>
                  <wp:effectExtent l="0" t="0" r="0" b="1905"/>
                  <wp:docPr id="31" name="Picture 31" descr="MacOSX:Users:nadin:Dropbox:Social Protection:DATASUS:proc:results:metro:histograms comparisoncerebr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OSX:Users:nadin:Dropbox:Social Protection:DATASUS:proc:results:metro:histograms comparisoncerebro.pd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9888" cy="2106617"/>
                          </a:xfrm>
                          <a:prstGeom prst="rect">
                            <a:avLst/>
                          </a:prstGeom>
                          <a:noFill/>
                          <a:ln>
                            <a:noFill/>
                          </a:ln>
                        </pic:spPr>
                      </pic:pic>
                    </a:graphicData>
                  </a:graphic>
                </wp:inline>
              </w:drawing>
            </w:r>
          </w:p>
        </w:tc>
      </w:tr>
    </w:tbl>
    <w:p w14:paraId="58B1C866" w14:textId="77777777" w:rsidR="00136578" w:rsidRPr="00CE7B74" w:rsidRDefault="00136578" w:rsidP="00136578"/>
    <w:p w14:paraId="3761CE6B" w14:textId="77777777" w:rsidR="00136578" w:rsidRPr="008F426F" w:rsidRDefault="00136578" w:rsidP="00136578">
      <w:pPr>
        <w:rPr>
          <w:rFonts w:cs="Arial"/>
          <w:sz w:val="22"/>
          <w:szCs w:val="22"/>
        </w:rPr>
      </w:pPr>
      <w:r w:rsidRPr="00E52C43">
        <w:rPr>
          <w:rFonts w:cs="Arial"/>
          <w:sz w:val="18"/>
          <w:szCs w:val="18"/>
          <w:lang w:val="es-ES"/>
        </w:rPr>
        <w:t>Fuente: Elaboración de los autores.</w:t>
      </w:r>
    </w:p>
    <w:p w14:paraId="3E389EC9" w14:textId="77777777" w:rsidR="00136578" w:rsidRPr="00E52C43" w:rsidRDefault="00136578" w:rsidP="00136578">
      <w:pPr>
        <w:rPr>
          <w:rFonts w:cs="Arial"/>
          <w:sz w:val="18"/>
          <w:szCs w:val="18"/>
          <w:lang w:val="es-ES"/>
        </w:rPr>
      </w:pPr>
      <w:r w:rsidRPr="00E52C43">
        <w:rPr>
          <w:rFonts w:cs="Arial"/>
          <w:sz w:val="18"/>
          <w:szCs w:val="18"/>
          <w:lang w:val="es-ES"/>
        </w:rPr>
        <w:t>Notas: error1=Error del modelo 1 error2=Error del modelo 2 error3=Error del modelo 3 error4=Error del modelo 4.</w:t>
      </w:r>
    </w:p>
    <w:p w14:paraId="1D305C8A" w14:textId="77777777" w:rsidR="00136578" w:rsidRPr="00E52C43" w:rsidRDefault="00136578" w:rsidP="00136578">
      <w:pPr>
        <w:rPr>
          <w:rFonts w:cs="Arial"/>
          <w:sz w:val="22"/>
          <w:szCs w:val="22"/>
          <w:lang w:val="es-ES"/>
        </w:rPr>
      </w:pPr>
      <w:r w:rsidRPr="00E52C43">
        <w:rPr>
          <w:rFonts w:cs="Arial"/>
          <w:sz w:val="22"/>
          <w:szCs w:val="22"/>
          <w:lang w:val="es-ES"/>
        </w:rPr>
        <w:t xml:space="preserve"> </w:t>
      </w:r>
    </w:p>
    <w:p w14:paraId="635AD39A" w14:textId="77777777" w:rsidR="00136578" w:rsidRPr="00D46714" w:rsidRDefault="00136578" w:rsidP="00136578">
      <w:pPr>
        <w:jc w:val="both"/>
        <w:rPr>
          <w:rFonts w:cs="Arial"/>
          <w:sz w:val="22"/>
          <w:szCs w:val="22"/>
          <w:lang w:val="es-ES"/>
        </w:rPr>
      </w:pPr>
      <w:r w:rsidRPr="00136578">
        <w:rPr>
          <w:rFonts w:cs="Arial"/>
          <w:sz w:val="22"/>
          <w:szCs w:val="22"/>
          <w:lang w:val="es-ES"/>
        </w:rPr>
        <w:t>A modo de ejemplo, en al panel a de la figura 5 se observa que la segunda familia de modelos muestran un mejor ajuste al comportamiento de las internaciones prevenibles en Ceará no metropolitano (en azul) en comparación a la primera familia de modelos (en gris). Los histogramas presentados en el panel a de la Figura 7 muestran la distribución de los errores entre el valor predicho por los modelos y el comportamiento de Ceará no metropolitano. En base a estos análisis se concluye que el modelo que minimiza los errores y que por tanto corresponde al mejor grupo de control es el control sintético 4.</w:t>
      </w:r>
    </w:p>
    <w:p w14:paraId="2E74A100" w14:textId="77777777" w:rsidR="00C85D57" w:rsidRPr="00E52C43" w:rsidRDefault="00C85D57" w:rsidP="001B1D3E">
      <w:pPr>
        <w:rPr>
          <w:rFonts w:cs="Arial"/>
          <w:sz w:val="22"/>
          <w:szCs w:val="22"/>
          <w:lang w:val="es-ES"/>
        </w:rPr>
      </w:pPr>
    </w:p>
    <w:p w14:paraId="4B513F9C" w14:textId="77777777" w:rsidR="001A5628" w:rsidRPr="00E52C43" w:rsidRDefault="001A5628">
      <w:pPr>
        <w:rPr>
          <w:rFonts w:cs="Arial"/>
          <w:sz w:val="22"/>
          <w:szCs w:val="22"/>
          <w:lang w:val="es-ES"/>
        </w:rPr>
      </w:pPr>
    </w:p>
    <w:p w14:paraId="07022FDF" w14:textId="77777777" w:rsidR="005B1839" w:rsidRPr="00E52C43" w:rsidRDefault="00D169D4" w:rsidP="005B1839">
      <w:pPr>
        <w:jc w:val="both"/>
        <w:rPr>
          <w:rFonts w:cs="Arial"/>
          <w:sz w:val="22"/>
          <w:szCs w:val="22"/>
          <w:lang w:val="es-ES"/>
        </w:rPr>
      </w:pPr>
      <w:r w:rsidRPr="00E52C43">
        <w:rPr>
          <w:rFonts w:cs="Arial"/>
          <w:sz w:val="22"/>
          <w:szCs w:val="22"/>
          <w:lang w:val="es-ES"/>
        </w:rPr>
        <w:lastRenderedPageBreak/>
        <w:t xml:space="preserve">En resumen, los elementos centrales para la evaluación son la metodología descrita anteriormente que permite construir un grupo de comparación sintético para identificar el impacto de la intervención. Esta metodología es flexible y permitirá evaluar los indicadores de impacto contenidos en la matriz de resultados. Adicionalmente las fuente de información es un sistema </w:t>
      </w:r>
      <w:r w:rsidR="008F69C7" w:rsidRPr="00E52C43">
        <w:rPr>
          <w:rFonts w:cs="Arial"/>
          <w:sz w:val="22"/>
          <w:szCs w:val="22"/>
          <w:lang w:val="es-ES"/>
        </w:rPr>
        <w:t xml:space="preserve">de información establecido y confiable que recoge información de todo el SUS. Cada semestre se actualizarán las series disponibles en los sistemas del SUS para los estados seleccionados y del IBGE para actualizar la información sobre población y PIB. </w:t>
      </w:r>
      <w:bookmarkStart w:id="7" w:name="_Toc296257190"/>
      <w:bookmarkStart w:id="8" w:name="_Toc296257280"/>
    </w:p>
    <w:p w14:paraId="79F33C93" w14:textId="77777777" w:rsidR="005B1839" w:rsidRPr="00E52C43" w:rsidRDefault="005B1839" w:rsidP="005B1839">
      <w:pPr>
        <w:jc w:val="both"/>
        <w:rPr>
          <w:rFonts w:cs="Arial"/>
          <w:sz w:val="22"/>
          <w:szCs w:val="22"/>
          <w:lang w:val="es-ES"/>
        </w:rPr>
      </w:pPr>
    </w:p>
    <w:p w14:paraId="0367C6F2" w14:textId="77777777" w:rsidR="00C950CB" w:rsidRPr="00E52C43" w:rsidRDefault="00C950CB" w:rsidP="00090E5E">
      <w:pPr>
        <w:spacing w:line="360" w:lineRule="auto"/>
        <w:jc w:val="center"/>
        <w:rPr>
          <w:rFonts w:cs="Arial"/>
          <w:b/>
          <w:sz w:val="22"/>
          <w:szCs w:val="22"/>
          <w:lang w:val="es-ES"/>
        </w:rPr>
      </w:pPr>
      <w:r w:rsidRPr="00E52C43">
        <w:rPr>
          <w:rFonts w:cs="Arial"/>
          <w:b/>
          <w:sz w:val="22"/>
          <w:szCs w:val="22"/>
          <w:lang w:val="es-ES"/>
        </w:rPr>
        <w:t>Plan de trabajo de la evaluación de impacto componente</w:t>
      </w:r>
    </w:p>
    <w:tbl>
      <w:tblPr>
        <w:tblW w:w="11015" w:type="dxa"/>
        <w:jc w:val="center"/>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630"/>
        <w:gridCol w:w="665"/>
        <w:gridCol w:w="665"/>
        <w:gridCol w:w="748"/>
        <w:gridCol w:w="1475"/>
        <w:gridCol w:w="1585"/>
        <w:gridCol w:w="2430"/>
      </w:tblGrid>
      <w:tr w:rsidR="00C950CB" w:rsidRPr="00E52C43" w14:paraId="27EF0D53" w14:textId="77777777" w:rsidTr="004347B7">
        <w:trPr>
          <w:trHeight w:val="631"/>
          <w:jc w:val="center"/>
        </w:trPr>
        <w:tc>
          <w:tcPr>
            <w:tcW w:w="2817" w:type="dxa"/>
            <w:shd w:val="clear" w:color="auto" w:fill="8DB3E2" w:themeFill="text2" w:themeFillTint="66"/>
          </w:tcPr>
          <w:p w14:paraId="3F47E8FD" w14:textId="77777777" w:rsidR="00C950CB" w:rsidRPr="00E52C43" w:rsidRDefault="00C950CB" w:rsidP="00090E5E">
            <w:pPr>
              <w:jc w:val="center"/>
              <w:rPr>
                <w:rFonts w:cs="Arial"/>
                <w:b/>
                <w:sz w:val="18"/>
                <w:szCs w:val="18"/>
                <w:lang w:val="es-ES"/>
              </w:rPr>
            </w:pPr>
            <w:r w:rsidRPr="00E52C43">
              <w:rPr>
                <w:rFonts w:cs="Arial"/>
                <w:b/>
                <w:sz w:val="18"/>
                <w:szCs w:val="18"/>
                <w:lang w:val="es-ES"/>
              </w:rPr>
              <w:t>Actividades clave de la evaluación / Productos por actividad</w:t>
            </w:r>
          </w:p>
        </w:tc>
        <w:tc>
          <w:tcPr>
            <w:tcW w:w="630" w:type="dxa"/>
            <w:shd w:val="clear" w:color="auto" w:fill="8DB3E2" w:themeFill="text2" w:themeFillTint="66"/>
          </w:tcPr>
          <w:p w14:paraId="44C1F8CB" w14:textId="77777777" w:rsidR="00C950CB" w:rsidRPr="00E52C43" w:rsidRDefault="00C950CB" w:rsidP="00090E5E">
            <w:pPr>
              <w:jc w:val="center"/>
              <w:rPr>
                <w:rFonts w:cs="Arial"/>
                <w:b/>
                <w:sz w:val="18"/>
                <w:szCs w:val="18"/>
                <w:lang w:val="es-ES"/>
              </w:rPr>
            </w:pPr>
            <w:r w:rsidRPr="00E52C43">
              <w:rPr>
                <w:rFonts w:cs="Arial"/>
                <w:b/>
                <w:sz w:val="18"/>
                <w:szCs w:val="18"/>
                <w:lang w:val="es-ES"/>
              </w:rPr>
              <w:t>Año 1</w:t>
            </w:r>
          </w:p>
        </w:tc>
        <w:tc>
          <w:tcPr>
            <w:tcW w:w="665" w:type="dxa"/>
            <w:shd w:val="clear" w:color="auto" w:fill="8DB3E2" w:themeFill="text2" w:themeFillTint="66"/>
          </w:tcPr>
          <w:p w14:paraId="60725724" w14:textId="77777777" w:rsidR="00C950CB" w:rsidRPr="00E52C43" w:rsidRDefault="00C950CB" w:rsidP="00090E5E">
            <w:pPr>
              <w:jc w:val="center"/>
              <w:rPr>
                <w:rFonts w:cs="Arial"/>
                <w:b/>
                <w:sz w:val="18"/>
                <w:szCs w:val="18"/>
                <w:lang w:val="es-ES"/>
              </w:rPr>
            </w:pPr>
            <w:r w:rsidRPr="00E52C43">
              <w:rPr>
                <w:rFonts w:cs="Arial"/>
                <w:b/>
                <w:sz w:val="18"/>
                <w:szCs w:val="18"/>
                <w:lang w:val="es-ES"/>
              </w:rPr>
              <w:t>Año 2</w:t>
            </w:r>
          </w:p>
        </w:tc>
        <w:tc>
          <w:tcPr>
            <w:tcW w:w="665" w:type="dxa"/>
            <w:shd w:val="clear" w:color="auto" w:fill="8DB3E2" w:themeFill="text2" w:themeFillTint="66"/>
          </w:tcPr>
          <w:p w14:paraId="1D85E04A" w14:textId="77777777" w:rsidR="00C950CB" w:rsidRPr="00E52C43" w:rsidRDefault="00C950CB" w:rsidP="00090E5E">
            <w:pPr>
              <w:jc w:val="center"/>
              <w:rPr>
                <w:rFonts w:cs="Arial"/>
                <w:b/>
                <w:sz w:val="18"/>
                <w:szCs w:val="18"/>
                <w:lang w:val="es-ES"/>
              </w:rPr>
            </w:pPr>
            <w:r w:rsidRPr="00E52C43">
              <w:rPr>
                <w:rFonts w:cs="Arial"/>
                <w:b/>
                <w:sz w:val="18"/>
                <w:szCs w:val="18"/>
                <w:lang w:val="es-ES"/>
              </w:rPr>
              <w:t>Año 3</w:t>
            </w:r>
          </w:p>
        </w:tc>
        <w:tc>
          <w:tcPr>
            <w:tcW w:w="748" w:type="dxa"/>
            <w:shd w:val="clear" w:color="auto" w:fill="8DB3E2" w:themeFill="text2" w:themeFillTint="66"/>
          </w:tcPr>
          <w:p w14:paraId="33FA330D" w14:textId="77777777" w:rsidR="00C950CB" w:rsidRPr="00E52C43" w:rsidRDefault="00C950CB" w:rsidP="00090E5E">
            <w:pPr>
              <w:jc w:val="center"/>
              <w:rPr>
                <w:rFonts w:cs="Arial"/>
                <w:b/>
                <w:sz w:val="18"/>
                <w:szCs w:val="18"/>
                <w:lang w:val="es-ES"/>
              </w:rPr>
            </w:pPr>
            <w:r w:rsidRPr="00E52C43">
              <w:rPr>
                <w:rFonts w:cs="Arial"/>
                <w:b/>
                <w:sz w:val="18"/>
                <w:szCs w:val="18"/>
                <w:lang w:val="es-ES"/>
              </w:rPr>
              <w:t>Año 4</w:t>
            </w:r>
          </w:p>
        </w:tc>
        <w:tc>
          <w:tcPr>
            <w:tcW w:w="1475" w:type="dxa"/>
            <w:shd w:val="clear" w:color="auto" w:fill="8DB3E2"/>
          </w:tcPr>
          <w:p w14:paraId="20854E18" w14:textId="77777777" w:rsidR="00C950CB" w:rsidRPr="00E52C43" w:rsidRDefault="00C950CB" w:rsidP="00090E5E">
            <w:pPr>
              <w:jc w:val="center"/>
              <w:rPr>
                <w:rFonts w:cs="Arial"/>
                <w:b/>
                <w:sz w:val="18"/>
                <w:szCs w:val="18"/>
                <w:lang w:val="es-ES"/>
              </w:rPr>
            </w:pPr>
            <w:r w:rsidRPr="00E52C43">
              <w:rPr>
                <w:rFonts w:cs="Arial"/>
                <w:b/>
                <w:sz w:val="18"/>
                <w:szCs w:val="18"/>
                <w:lang w:val="es-ES"/>
              </w:rPr>
              <w:t>Responsable</w:t>
            </w:r>
          </w:p>
        </w:tc>
        <w:tc>
          <w:tcPr>
            <w:tcW w:w="1585" w:type="dxa"/>
            <w:shd w:val="clear" w:color="auto" w:fill="8DB3E2" w:themeFill="text2" w:themeFillTint="66"/>
          </w:tcPr>
          <w:p w14:paraId="3511B66D" w14:textId="77777777" w:rsidR="00C950CB" w:rsidRPr="00E52C43" w:rsidRDefault="00C950CB" w:rsidP="00090E5E">
            <w:pPr>
              <w:jc w:val="center"/>
              <w:rPr>
                <w:rFonts w:cs="Arial"/>
                <w:b/>
                <w:sz w:val="18"/>
                <w:szCs w:val="18"/>
                <w:lang w:val="es-ES"/>
              </w:rPr>
            </w:pPr>
            <w:r w:rsidRPr="00E52C43">
              <w:rPr>
                <w:rFonts w:cs="Arial"/>
                <w:b/>
                <w:sz w:val="18"/>
                <w:szCs w:val="18"/>
                <w:lang w:val="es-ES"/>
              </w:rPr>
              <w:t>Costo</w:t>
            </w:r>
          </w:p>
          <w:p w14:paraId="039046EC" w14:textId="77777777" w:rsidR="00C950CB" w:rsidRPr="00E52C43" w:rsidRDefault="00C950CB" w:rsidP="00090E5E">
            <w:pPr>
              <w:jc w:val="center"/>
              <w:rPr>
                <w:rFonts w:cs="Arial"/>
                <w:b/>
                <w:sz w:val="18"/>
                <w:szCs w:val="18"/>
                <w:lang w:val="es-ES"/>
              </w:rPr>
            </w:pPr>
          </w:p>
        </w:tc>
        <w:tc>
          <w:tcPr>
            <w:tcW w:w="2430" w:type="dxa"/>
            <w:shd w:val="clear" w:color="auto" w:fill="8DB3E2" w:themeFill="text2" w:themeFillTint="66"/>
          </w:tcPr>
          <w:p w14:paraId="50FD7E9C" w14:textId="77777777" w:rsidR="00C950CB" w:rsidRPr="00E52C43" w:rsidRDefault="00C950CB" w:rsidP="00090E5E">
            <w:pPr>
              <w:jc w:val="center"/>
              <w:rPr>
                <w:rFonts w:cs="Arial"/>
                <w:b/>
                <w:sz w:val="18"/>
                <w:szCs w:val="18"/>
                <w:lang w:val="es-ES"/>
              </w:rPr>
            </w:pPr>
            <w:r w:rsidRPr="00E52C43">
              <w:rPr>
                <w:rFonts w:cs="Arial"/>
                <w:b/>
                <w:sz w:val="18"/>
                <w:szCs w:val="18"/>
                <w:lang w:val="es-ES"/>
              </w:rPr>
              <w:t>Financiamiento</w:t>
            </w:r>
          </w:p>
        </w:tc>
      </w:tr>
      <w:tr w:rsidR="00C950CB" w:rsidRPr="00E52C43" w14:paraId="43DC2523" w14:textId="77777777" w:rsidTr="00F46846">
        <w:trPr>
          <w:jc w:val="center"/>
        </w:trPr>
        <w:tc>
          <w:tcPr>
            <w:tcW w:w="2817" w:type="dxa"/>
          </w:tcPr>
          <w:p w14:paraId="18DEFD26" w14:textId="77777777" w:rsidR="00C950CB" w:rsidRPr="00E52C43" w:rsidRDefault="00C950CB" w:rsidP="00090E5E">
            <w:pPr>
              <w:rPr>
                <w:rFonts w:cs="Arial"/>
                <w:sz w:val="18"/>
                <w:szCs w:val="18"/>
                <w:lang w:val="es-ES"/>
              </w:rPr>
            </w:pPr>
            <w:r w:rsidRPr="00E52C43">
              <w:rPr>
                <w:rFonts w:cs="Arial"/>
                <w:sz w:val="18"/>
                <w:szCs w:val="18"/>
                <w:lang w:val="es-ES"/>
              </w:rPr>
              <w:t>Contratación de consultoría para la evaluación de impacto en salud</w:t>
            </w:r>
          </w:p>
        </w:tc>
        <w:tc>
          <w:tcPr>
            <w:tcW w:w="630" w:type="dxa"/>
            <w:shd w:val="clear" w:color="auto" w:fill="D9D9D9"/>
          </w:tcPr>
          <w:p w14:paraId="3DA26608" w14:textId="77777777" w:rsidR="00C950CB" w:rsidRPr="00E52C43" w:rsidRDefault="00C950CB" w:rsidP="00090E5E">
            <w:pPr>
              <w:rPr>
                <w:rFonts w:cs="Arial"/>
                <w:sz w:val="18"/>
                <w:szCs w:val="18"/>
                <w:lang w:val="es-ES"/>
              </w:rPr>
            </w:pPr>
          </w:p>
        </w:tc>
        <w:tc>
          <w:tcPr>
            <w:tcW w:w="665" w:type="dxa"/>
          </w:tcPr>
          <w:p w14:paraId="1A3128D6" w14:textId="77777777" w:rsidR="00C950CB" w:rsidRPr="00E52C43" w:rsidRDefault="00C950CB" w:rsidP="00090E5E">
            <w:pPr>
              <w:rPr>
                <w:rFonts w:cs="Arial"/>
                <w:sz w:val="18"/>
                <w:szCs w:val="18"/>
                <w:lang w:val="es-ES"/>
              </w:rPr>
            </w:pPr>
          </w:p>
        </w:tc>
        <w:tc>
          <w:tcPr>
            <w:tcW w:w="665" w:type="dxa"/>
          </w:tcPr>
          <w:p w14:paraId="6AF84ABE" w14:textId="77777777" w:rsidR="00C950CB" w:rsidRPr="00E52C43" w:rsidRDefault="00C950CB" w:rsidP="00090E5E">
            <w:pPr>
              <w:rPr>
                <w:rFonts w:cs="Arial"/>
                <w:sz w:val="18"/>
                <w:szCs w:val="18"/>
                <w:lang w:val="es-ES"/>
              </w:rPr>
            </w:pPr>
          </w:p>
        </w:tc>
        <w:tc>
          <w:tcPr>
            <w:tcW w:w="748" w:type="dxa"/>
          </w:tcPr>
          <w:p w14:paraId="52585348" w14:textId="77777777" w:rsidR="00C950CB" w:rsidRPr="00E52C43" w:rsidRDefault="00C950CB" w:rsidP="00090E5E">
            <w:pPr>
              <w:rPr>
                <w:rFonts w:cs="Arial"/>
                <w:sz w:val="18"/>
                <w:szCs w:val="18"/>
                <w:lang w:val="es-ES"/>
              </w:rPr>
            </w:pPr>
          </w:p>
        </w:tc>
        <w:tc>
          <w:tcPr>
            <w:tcW w:w="1475" w:type="dxa"/>
            <w:vMerge w:val="restart"/>
          </w:tcPr>
          <w:p w14:paraId="217FDF87" w14:textId="77777777" w:rsidR="00C950CB" w:rsidRPr="00E52C43" w:rsidRDefault="00C950CB" w:rsidP="00090E5E">
            <w:pPr>
              <w:rPr>
                <w:rFonts w:cs="Arial"/>
                <w:sz w:val="18"/>
                <w:szCs w:val="18"/>
                <w:lang w:val="es-ES"/>
              </w:rPr>
            </w:pPr>
            <w:r w:rsidRPr="00E52C43">
              <w:rPr>
                <w:rFonts w:cs="Arial"/>
                <w:sz w:val="18"/>
                <w:szCs w:val="18"/>
                <w:lang w:val="es-ES"/>
              </w:rPr>
              <w:t>UGP-SESA / con asistencia técnica del BID</w:t>
            </w:r>
          </w:p>
          <w:p w14:paraId="41AF06E0" w14:textId="77777777" w:rsidR="00C950CB" w:rsidRPr="00E52C43" w:rsidRDefault="00C950CB" w:rsidP="00090E5E">
            <w:pPr>
              <w:rPr>
                <w:rFonts w:cs="Arial"/>
                <w:sz w:val="18"/>
                <w:szCs w:val="18"/>
                <w:lang w:val="es-ES"/>
              </w:rPr>
            </w:pPr>
          </w:p>
        </w:tc>
        <w:tc>
          <w:tcPr>
            <w:tcW w:w="1585" w:type="dxa"/>
          </w:tcPr>
          <w:p w14:paraId="72A78821" w14:textId="77777777" w:rsidR="00C950CB" w:rsidRPr="00E52C43" w:rsidRDefault="00C950CB" w:rsidP="00090E5E">
            <w:pPr>
              <w:rPr>
                <w:rFonts w:cs="Arial"/>
                <w:sz w:val="18"/>
                <w:szCs w:val="18"/>
                <w:lang w:val="es-ES"/>
              </w:rPr>
            </w:pPr>
            <w:r w:rsidRPr="00E52C43">
              <w:rPr>
                <w:rFonts w:cs="Arial"/>
                <w:sz w:val="18"/>
                <w:szCs w:val="18"/>
                <w:lang w:val="es-ES"/>
              </w:rPr>
              <w:t>US$150,000</w:t>
            </w:r>
          </w:p>
        </w:tc>
        <w:tc>
          <w:tcPr>
            <w:tcW w:w="2430" w:type="dxa"/>
            <w:vMerge w:val="restart"/>
          </w:tcPr>
          <w:p w14:paraId="201E4224" w14:textId="77777777" w:rsidR="00C950CB" w:rsidRPr="00E52C43" w:rsidRDefault="00C950CB" w:rsidP="00090E5E">
            <w:pPr>
              <w:rPr>
                <w:rFonts w:cs="Arial"/>
                <w:sz w:val="18"/>
                <w:szCs w:val="18"/>
                <w:lang w:val="es-ES"/>
              </w:rPr>
            </w:pPr>
            <w:r w:rsidRPr="00E52C43">
              <w:rPr>
                <w:rFonts w:cs="Arial"/>
                <w:sz w:val="18"/>
                <w:szCs w:val="18"/>
                <w:lang w:val="es-ES"/>
              </w:rPr>
              <w:t xml:space="preserve">BR-L1408. PEP componente 3 de análisis de datos la evaluación de impacto  </w:t>
            </w:r>
          </w:p>
        </w:tc>
      </w:tr>
      <w:tr w:rsidR="00C950CB" w:rsidRPr="00E52C43" w14:paraId="08348A12" w14:textId="77777777" w:rsidTr="00F46846">
        <w:trPr>
          <w:jc w:val="center"/>
        </w:trPr>
        <w:tc>
          <w:tcPr>
            <w:tcW w:w="2817" w:type="dxa"/>
          </w:tcPr>
          <w:p w14:paraId="6F89832F" w14:textId="77777777" w:rsidR="00C950CB" w:rsidRPr="00E52C43" w:rsidRDefault="00C950CB" w:rsidP="00090E5E">
            <w:pPr>
              <w:rPr>
                <w:rFonts w:cs="Arial"/>
                <w:sz w:val="18"/>
                <w:szCs w:val="18"/>
                <w:lang w:val="es-ES"/>
              </w:rPr>
            </w:pPr>
            <w:r w:rsidRPr="00E52C43">
              <w:rPr>
                <w:rFonts w:cs="Arial"/>
                <w:sz w:val="18"/>
                <w:szCs w:val="18"/>
                <w:lang w:val="es-ES"/>
              </w:rPr>
              <w:t xml:space="preserve">Diseño final de la evaluación </w:t>
            </w:r>
          </w:p>
        </w:tc>
        <w:tc>
          <w:tcPr>
            <w:tcW w:w="630" w:type="dxa"/>
            <w:shd w:val="clear" w:color="auto" w:fill="D9D9D9"/>
          </w:tcPr>
          <w:p w14:paraId="097A8941" w14:textId="77777777" w:rsidR="00C950CB" w:rsidRPr="00E52C43" w:rsidRDefault="00C950CB" w:rsidP="00090E5E">
            <w:pPr>
              <w:rPr>
                <w:rFonts w:cs="Arial"/>
                <w:sz w:val="18"/>
                <w:szCs w:val="18"/>
                <w:lang w:val="es-ES"/>
              </w:rPr>
            </w:pPr>
          </w:p>
        </w:tc>
        <w:tc>
          <w:tcPr>
            <w:tcW w:w="665" w:type="dxa"/>
          </w:tcPr>
          <w:p w14:paraId="3CF03ABC" w14:textId="77777777" w:rsidR="00C950CB" w:rsidRPr="00E52C43" w:rsidRDefault="00C950CB" w:rsidP="00090E5E">
            <w:pPr>
              <w:rPr>
                <w:rFonts w:cs="Arial"/>
                <w:sz w:val="18"/>
                <w:szCs w:val="18"/>
                <w:lang w:val="es-ES"/>
              </w:rPr>
            </w:pPr>
          </w:p>
        </w:tc>
        <w:tc>
          <w:tcPr>
            <w:tcW w:w="665" w:type="dxa"/>
          </w:tcPr>
          <w:p w14:paraId="670A1A02" w14:textId="77777777" w:rsidR="00C950CB" w:rsidRPr="00E52C43" w:rsidRDefault="00C950CB" w:rsidP="00090E5E">
            <w:pPr>
              <w:rPr>
                <w:rFonts w:cs="Arial"/>
                <w:sz w:val="18"/>
                <w:szCs w:val="18"/>
                <w:lang w:val="es-ES"/>
              </w:rPr>
            </w:pPr>
          </w:p>
        </w:tc>
        <w:tc>
          <w:tcPr>
            <w:tcW w:w="748" w:type="dxa"/>
          </w:tcPr>
          <w:p w14:paraId="0994A528" w14:textId="77777777" w:rsidR="00C950CB" w:rsidRPr="00E52C43" w:rsidRDefault="00C950CB" w:rsidP="00090E5E">
            <w:pPr>
              <w:rPr>
                <w:rFonts w:cs="Arial"/>
                <w:sz w:val="18"/>
                <w:szCs w:val="18"/>
                <w:lang w:val="es-ES"/>
              </w:rPr>
            </w:pPr>
          </w:p>
        </w:tc>
        <w:tc>
          <w:tcPr>
            <w:tcW w:w="1475" w:type="dxa"/>
            <w:vMerge/>
          </w:tcPr>
          <w:p w14:paraId="2690AE9F" w14:textId="77777777" w:rsidR="00C950CB" w:rsidRPr="00E52C43" w:rsidRDefault="00C950CB" w:rsidP="00090E5E">
            <w:pPr>
              <w:rPr>
                <w:rFonts w:cs="Arial"/>
                <w:sz w:val="18"/>
                <w:szCs w:val="18"/>
                <w:lang w:val="es-ES"/>
              </w:rPr>
            </w:pPr>
          </w:p>
        </w:tc>
        <w:tc>
          <w:tcPr>
            <w:tcW w:w="1585" w:type="dxa"/>
            <w:vMerge w:val="restart"/>
          </w:tcPr>
          <w:p w14:paraId="1787E15B" w14:textId="77777777" w:rsidR="00C950CB" w:rsidRPr="00E52C43" w:rsidRDefault="00C950CB" w:rsidP="00090E5E">
            <w:pPr>
              <w:rPr>
                <w:rFonts w:cs="Arial"/>
                <w:sz w:val="18"/>
                <w:szCs w:val="18"/>
                <w:lang w:val="es-ES"/>
              </w:rPr>
            </w:pPr>
            <w:r w:rsidRPr="00E52C43">
              <w:rPr>
                <w:rFonts w:cs="Arial"/>
                <w:sz w:val="18"/>
                <w:szCs w:val="18"/>
                <w:lang w:val="es-ES"/>
              </w:rPr>
              <w:t>Incluido en el costo de consultoría para la evaluación de impacto. Supervisión en presupuesto ordinario de UGP y presupuesto de supervisión del BID</w:t>
            </w:r>
          </w:p>
        </w:tc>
        <w:tc>
          <w:tcPr>
            <w:tcW w:w="2430" w:type="dxa"/>
            <w:vMerge/>
          </w:tcPr>
          <w:p w14:paraId="52DD207F" w14:textId="77777777" w:rsidR="00C950CB" w:rsidRPr="00E52C43" w:rsidRDefault="00C950CB" w:rsidP="00090E5E">
            <w:pPr>
              <w:rPr>
                <w:rFonts w:cs="Arial"/>
                <w:sz w:val="18"/>
                <w:szCs w:val="18"/>
                <w:lang w:val="es-ES"/>
              </w:rPr>
            </w:pPr>
          </w:p>
        </w:tc>
      </w:tr>
      <w:tr w:rsidR="00C950CB" w:rsidRPr="00E52C43" w14:paraId="3F7F1F92" w14:textId="77777777" w:rsidTr="00F46846">
        <w:trPr>
          <w:jc w:val="center"/>
        </w:trPr>
        <w:tc>
          <w:tcPr>
            <w:tcW w:w="2817" w:type="dxa"/>
          </w:tcPr>
          <w:p w14:paraId="62A19786" w14:textId="77777777" w:rsidR="00C950CB" w:rsidRPr="00E52C43" w:rsidRDefault="00C950CB" w:rsidP="00090E5E">
            <w:pPr>
              <w:rPr>
                <w:rFonts w:cs="Arial"/>
                <w:sz w:val="18"/>
                <w:szCs w:val="18"/>
                <w:lang w:val="es-ES"/>
              </w:rPr>
            </w:pPr>
            <w:r w:rsidRPr="00E52C43">
              <w:rPr>
                <w:rFonts w:cs="Arial"/>
                <w:sz w:val="18"/>
                <w:szCs w:val="18"/>
                <w:lang w:val="es-ES"/>
              </w:rPr>
              <w:t>Generación de controles sintéticos y definición y análisis de línea de base</w:t>
            </w:r>
          </w:p>
        </w:tc>
        <w:tc>
          <w:tcPr>
            <w:tcW w:w="630" w:type="dxa"/>
            <w:shd w:val="clear" w:color="auto" w:fill="D9D9D9"/>
          </w:tcPr>
          <w:p w14:paraId="6C3ED85A" w14:textId="77777777" w:rsidR="00C950CB" w:rsidRPr="00E52C43" w:rsidRDefault="00C950CB" w:rsidP="00090E5E">
            <w:pPr>
              <w:rPr>
                <w:rFonts w:cs="Arial"/>
                <w:sz w:val="18"/>
                <w:szCs w:val="18"/>
                <w:lang w:val="es-ES"/>
              </w:rPr>
            </w:pPr>
          </w:p>
        </w:tc>
        <w:tc>
          <w:tcPr>
            <w:tcW w:w="665" w:type="dxa"/>
          </w:tcPr>
          <w:p w14:paraId="41FEEB62" w14:textId="77777777" w:rsidR="00C950CB" w:rsidRPr="00E52C43" w:rsidRDefault="00C950CB" w:rsidP="00090E5E">
            <w:pPr>
              <w:rPr>
                <w:rFonts w:cs="Arial"/>
                <w:sz w:val="18"/>
                <w:szCs w:val="18"/>
                <w:lang w:val="es-ES"/>
              </w:rPr>
            </w:pPr>
          </w:p>
        </w:tc>
        <w:tc>
          <w:tcPr>
            <w:tcW w:w="665" w:type="dxa"/>
            <w:tcBorders>
              <w:bottom w:val="single" w:sz="4" w:space="0" w:color="000000"/>
            </w:tcBorders>
          </w:tcPr>
          <w:p w14:paraId="6B98DDA6" w14:textId="77777777" w:rsidR="00C950CB" w:rsidRPr="00E52C43" w:rsidRDefault="00C950CB" w:rsidP="00090E5E">
            <w:pPr>
              <w:rPr>
                <w:rFonts w:cs="Arial"/>
                <w:sz w:val="18"/>
                <w:szCs w:val="18"/>
                <w:lang w:val="es-ES"/>
              </w:rPr>
            </w:pPr>
          </w:p>
        </w:tc>
        <w:tc>
          <w:tcPr>
            <w:tcW w:w="748" w:type="dxa"/>
            <w:tcBorders>
              <w:bottom w:val="single" w:sz="4" w:space="0" w:color="000000"/>
            </w:tcBorders>
          </w:tcPr>
          <w:p w14:paraId="627C1B58" w14:textId="77777777" w:rsidR="00C950CB" w:rsidRPr="00E52C43" w:rsidRDefault="00C950CB" w:rsidP="00090E5E">
            <w:pPr>
              <w:rPr>
                <w:rFonts w:cs="Arial"/>
                <w:sz w:val="18"/>
                <w:szCs w:val="18"/>
                <w:lang w:val="es-ES"/>
              </w:rPr>
            </w:pPr>
          </w:p>
        </w:tc>
        <w:tc>
          <w:tcPr>
            <w:tcW w:w="1475" w:type="dxa"/>
            <w:vMerge/>
          </w:tcPr>
          <w:p w14:paraId="4E31EA7E" w14:textId="77777777" w:rsidR="00C950CB" w:rsidRPr="00E52C43" w:rsidRDefault="00C950CB" w:rsidP="00090E5E">
            <w:pPr>
              <w:rPr>
                <w:rFonts w:cs="Arial"/>
                <w:sz w:val="18"/>
                <w:szCs w:val="18"/>
                <w:lang w:val="es-ES"/>
              </w:rPr>
            </w:pPr>
          </w:p>
        </w:tc>
        <w:tc>
          <w:tcPr>
            <w:tcW w:w="1585" w:type="dxa"/>
            <w:vMerge/>
          </w:tcPr>
          <w:p w14:paraId="6BFDB059" w14:textId="77777777" w:rsidR="00C950CB" w:rsidRPr="00E52C43" w:rsidRDefault="00C950CB" w:rsidP="00090E5E">
            <w:pPr>
              <w:rPr>
                <w:rFonts w:cs="Arial"/>
                <w:sz w:val="18"/>
                <w:szCs w:val="18"/>
                <w:lang w:val="es-ES"/>
              </w:rPr>
            </w:pPr>
          </w:p>
        </w:tc>
        <w:tc>
          <w:tcPr>
            <w:tcW w:w="2430" w:type="dxa"/>
            <w:vMerge/>
          </w:tcPr>
          <w:p w14:paraId="7E633898" w14:textId="77777777" w:rsidR="00C950CB" w:rsidRPr="00E52C43" w:rsidRDefault="00C950CB" w:rsidP="00090E5E">
            <w:pPr>
              <w:rPr>
                <w:rFonts w:cs="Arial"/>
                <w:sz w:val="18"/>
                <w:szCs w:val="18"/>
                <w:lang w:val="es-ES"/>
              </w:rPr>
            </w:pPr>
          </w:p>
        </w:tc>
      </w:tr>
      <w:tr w:rsidR="00C950CB" w:rsidRPr="00E52C43" w14:paraId="4F902E78" w14:textId="77777777" w:rsidTr="00F46846">
        <w:trPr>
          <w:jc w:val="center"/>
        </w:trPr>
        <w:tc>
          <w:tcPr>
            <w:tcW w:w="2817" w:type="dxa"/>
          </w:tcPr>
          <w:p w14:paraId="0AEB03BA" w14:textId="77777777" w:rsidR="00C950CB" w:rsidRPr="00E52C43" w:rsidRDefault="00C950CB" w:rsidP="00090E5E">
            <w:pPr>
              <w:rPr>
                <w:rFonts w:cs="Arial"/>
                <w:sz w:val="18"/>
                <w:szCs w:val="18"/>
                <w:lang w:val="es-ES"/>
              </w:rPr>
            </w:pPr>
            <w:r w:rsidRPr="00E52C43">
              <w:rPr>
                <w:rFonts w:cs="Arial"/>
                <w:sz w:val="18"/>
                <w:szCs w:val="18"/>
                <w:lang w:val="es-ES"/>
              </w:rPr>
              <w:t>Recolección de datos y actualización de los indicadores utilizados en la metodología de controles sintéticos</w:t>
            </w:r>
          </w:p>
        </w:tc>
        <w:tc>
          <w:tcPr>
            <w:tcW w:w="630" w:type="dxa"/>
            <w:shd w:val="clear" w:color="auto" w:fill="auto"/>
          </w:tcPr>
          <w:p w14:paraId="74FAA852" w14:textId="77777777" w:rsidR="00C950CB" w:rsidRPr="00E52C43" w:rsidRDefault="00C950CB" w:rsidP="00090E5E">
            <w:pPr>
              <w:rPr>
                <w:rFonts w:cs="Arial"/>
                <w:sz w:val="18"/>
                <w:szCs w:val="18"/>
                <w:lang w:val="es-ES"/>
              </w:rPr>
            </w:pPr>
          </w:p>
        </w:tc>
        <w:tc>
          <w:tcPr>
            <w:tcW w:w="665" w:type="dxa"/>
            <w:shd w:val="clear" w:color="auto" w:fill="D9D9D9"/>
          </w:tcPr>
          <w:p w14:paraId="4F184301" w14:textId="77777777" w:rsidR="00C950CB" w:rsidRPr="00E52C43" w:rsidRDefault="00C950CB" w:rsidP="00090E5E">
            <w:pPr>
              <w:rPr>
                <w:rFonts w:cs="Arial"/>
                <w:sz w:val="18"/>
                <w:szCs w:val="18"/>
                <w:highlight w:val="lightGray"/>
                <w:lang w:val="es-ES"/>
              </w:rPr>
            </w:pPr>
          </w:p>
        </w:tc>
        <w:tc>
          <w:tcPr>
            <w:tcW w:w="665" w:type="dxa"/>
            <w:shd w:val="clear" w:color="auto" w:fill="D9D9D9"/>
          </w:tcPr>
          <w:p w14:paraId="70CF68E2" w14:textId="77777777" w:rsidR="00C950CB" w:rsidRPr="00E52C43" w:rsidRDefault="00C950CB" w:rsidP="00090E5E">
            <w:pPr>
              <w:rPr>
                <w:rFonts w:cs="Arial"/>
                <w:sz w:val="18"/>
                <w:szCs w:val="18"/>
                <w:highlight w:val="lightGray"/>
                <w:lang w:val="es-ES"/>
              </w:rPr>
            </w:pPr>
          </w:p>
        </w:tc>
        <w:tc>
          <w:tcPr>
            <w:tcW w:w="748" w:type="dxa"/>
            <w:shd w:val="clear" w:color="auto" w:fill="D9D9D9"/>
          </w:tcPr>
          <w:p w14:paraId="5FF7990A" w14:textId="77777777" w:rsidR="00C950CB" w:rsidRPr="00E52C43" w:rsidRDefault="00C950CB" w:rsidP="00090E5E">
            <w:pPr>
              <w:rPr>
                <w:rFonts w:cs="Arial"/>
                <w:sz w:val="18"/>
                <w:szCs w:val="18"/>
                <w:highlight w:val="lightGray"/>
                <w:lang w:val="es-ES"/>
              </w:rPr>
            </w:pPr>
          </w:p>
        </w:tc>
        <w:tc>
          <w:tcPr>
            <w:tcW w:w="1475" w:type="dxa"/>
            <w:vMerge/>
          </w:tcPr>
          <w:p w14:paraId="38B7070D" w14:textId="77777777" w:rsidR="00C950CB" w:rsidRPr="00E52C43" w:rsidRDefault="00C950CB" w:rsidP="00090E5E">
            <w:pPr>
              <w:rPr>
                <w:rFonts w:cs="Arial"/>
                <w:sz w:val="18"/>
                <w:szCs w:val="18"/>
                <w:lang w:val="es-ES"/>
              </w:rPr>
            </w:pPr>
          </w:p>
        </w:tc>
        <w:tc>
          <w:tcPr>
            <w:tcW w:w="1585" w:type="dxa"/>
            <w:vMerge/>
          </w:tcPr>
          <w:p w14:paraId="60963F35" w14:textId="77777777" w:rsidR="00C950CB" w:rsidRPr="00E52C43" w:rsidRDefault="00C950CB" w:rsidP="00090E5E">
            <w:pPr>
              <w:rPr>
                <w:rFonts w:cs="Arial"/>
                <w:sz w:val="18"/>
                <w:szCs w:val="18"/>
                <w:lang w:val="es-ES"/>
              </w:rPr>
            </w:pPr>
          </w:p>
        </w:tc>
        <w:tc>
          <w:tcPr>
            <w:tcW w:w="2430" w:type="dxa"/>
            <w:vMerge/>
          </w:tcPr>
          <w:p w14:paraId="7F03CB03" w14:textId="77777777" w:rsidR="00C950CB" w:rsidRPr="00E52C43" w:rsidRDefault="00C950CB" w:rsidP="00090E5E">
            <w:pPr>
              <w:rPr>
                <w:rFonts w:cs="Arial"/>
                <w:sz w:val="18"/>
                <w:szCs w:val="18"/>
                <w:lang w:val="es-ES"/>
              </w:rPr>
            </w:pPr>
          </w:p>
        </w:tc>
      </w:tr>
      <w:tr w:rsidR="00C950CB" w:rsidRPr="00E52C43" w14:paraId="15158EED" w14:textId="77777777" w:rsidTr="00F46846">
        <w:trPr>
          <w:jc w:val="center"/>
        </w:trPr>
        <w:tc>
          <w:tcPr>
            <w:tcW w:w="2817" w:type="dxa"/>
          </w:tcPr>
          <w:p w14:paraId="69539F83" w14:textId="77777777" w:rsidR="00C950CB" w:rsidRPr="00E52C43" w:rsidRDefault="00C950CB" w:rsidP="00090E5E">
            <w:pPr>
              <w:rPr>
                <w:rFonts w:cs="Arial"/>
                <w:sz w:val="18"/>
                <w:szCs w:val="18"/>
                <w:lang w:val="es-ES"/>
              </w:rPr>
            </w:pPr>
            <w:r w:rsidRPr="00E52C43">
              <w:rPr>
                <w:rFonts w:cs="Arial"/>
                <w:sz w:val="18"/>
                <w:szCs w:val="18"/>
                <w:lang w:val="es-ES"/>
              </w:rPr>
              <w:t>Reporte final de evaluación de impacto</w:t>
            </w:r>
          </w:p>
        </w:tc>
        <w:tc>
          <w:tcPr>
            <w:tcW w:w="630" w:type="dxa"/>
          </w:tcPr>
          <w:p w14:paraId="481B5056" w14:textId="77777777" w:rsidR="00C950CB" w:rsidRPr="00E52C43" w:rsidRDefault="00C950CB" w:rsidP="00090E5E">
            <w:pPr>
              <w:rPr>
                <w:rFonts w:cs="Arial"/>
                <w:sz w:val="18"/>
                <w:szCs w:val="18"/>
                <w:lang w:val="es-ES"/>
              </w:rPr>
            </w:pPr>
          </w:p>
        </w:tc>
        <w:tc>
          <w:tcPr>
            <w:tcW w:w="665" w:type="dxa"/>
          </w:tcPr>
          <w:p w14:paraId="5AE5D4B9" w14:textId="77777777" w:rsidR="00C950CB" w:rsidRPr="00E52C43" w:rsidRDefault="00C950CB" w:rsidP="00090E5E">
            <w:pPr>
              <w:rPr>
                <w:rFonts w:cs="Arial"/>
                <w:sz w:val="18"/>
                <w:szCs w:val="18"/>
                <w:lang w:val="es-ES"/>
              </w:rPr>
            </w:pPr>
          </w:p>
        </w:tc>
        <w:tc>
          <w:tcPr>
            <w:tcW w:w="665" w:type="dxa"/>
          </w:tcPr>
          <w:p w14:paraId="3E1EA31C" w14:textId="77777777" w:rsidR="00C950CB" w:rsidRPr="00E52C43" w:rsidRDefault="00C950CB" w:rsidP="00090E5E">
            <w:pPr>
              <w:rPr>
                <w:rFonts w:cs="Arial"/>
                <w:sz w:val="18"/>
                <w:szCs w:val="18"/>
                <w:lang w:val="es-ES"/>
              </w:rPr>
            </w:pPr>
          </w:p>
        </w:tc>
        <w:tc>
          <w:tcPr>
            <w:tcW w:w="748" w:type="dxa"/>
            <w:shd w:val="clear" w:color="auto" w:fill="D9D9D9"/>
          </w:tcPr>
          <w:p w14:paraId="38644436" w14:textId="77777777" w:rsidR="00C950CB" w:rsidRPr="00E52C43" w:rsidRDefault="00C950CB" w:rsidP="00090E5E">
            <w:pPr>
              <w:rPr>
                <w:rFonts w:cs="Arial"/>
                <w:sz w:val="18"/>
                <w:szCs w:val="18"/>
                <w:lang w:val="es-ES"/>
              </w:rPr>
            </w:pPr>
          </w:p>
        </w:tc>
        <w:tc>
          <w:tcPr>
            <w:tcW w:w="1475" w:type="dxa"/>
            <w:vMerge/>
          </w:tcPr>
          <w:p w14:paraId="799999B0" w14:textId="77777777" w:rsidR="00C950CB" w:rsidRPr="00E52C43" w:rsidRDefault="00C950CB" w:rsidP="00090E5E">
            <w:pPr>
              <w:rPr>
                <w:rFonts w:cs="Arial"/>
                <w:sz w:val="18"/>
                <w:szCs w:val="18"/>
                <w:lang w:val="es-ES"/>
              </w:rPr>
            </w:pPr>
          </w:p>
        </w:tc>
        <w:tc>
          <w:tcPr>
            <w:tcW w:w="1585" w:type="dxa"/>
            <w:vMerge/>
          </w:tcPr>
          <w:p w14:paraId="14A9FF7C" w14:textId="77777777" w:rsidR="00C950CB" w:rsidRPr="00E52C43" w:rsidRDefault="00C950CB" w:rsidP="00090E5E">
            <w:pPr>
              <w:rPr>
                <w:rFonts w:cs="Arial"/>
                <w:sz w:val="18"/>
                <w:szCs w:val="18"/>
                <w:lang w:val="es-ES"/>
              </w:rPr>
            </w:pPr>
          </w:p>
        </w:tc>
        <w:tc>
          <w:tcPr>
            <w:tcW w:w="2430" w:type="dxa"/>
            <w:vMerge/>
          </w:tcPr>
          <w:p w14:paraId="58BAE5FA" w14:textId="77777777" w:rsidR="00C950CB" w:rsidRPr="00E52C43" w:rsidRDefault="00C950CB" w:rsidP="00090E5E">
            <w:pPr>
              <w:rPr>
                <w:rFonts w:cs="Arial"/>
                <w:sz w:val="18"/>
                <w:szCs w:val="18"/>
                <w:lang w:val="es-ES"/>
              </w:rPr>
            </w:pPr>
          </w:p>
        </w:tc>
      </w:tr>
    </w:tbl>
    <w:p w14:paraId="7718CB2C" w14:textId="77777777" w:rsidR="005B1839" w:rsidRPr="00E52C43" w:rsidRDefault="00C950CB" w:rsidP="00090E5E">
      <w:pPr>
        <w:tabs>
          <w:tab w:val="left" w:pos="450"/>
        </w:tabs>
        <w:rPr>
          <w:rFonts w:cs="Arial"/>
          <w:b/>
          <w:sz w:val="22"/>
          <w:szCs w:val="22"/>
          <w:lang w:val="es-ES"/>
        </w:rPr>
      </w:pPr>
      <w:r w:rsidRPr="00E52C43">
        <w:rPr>
          <w:rFonts w:cs="Arial"/>
          <w:color w:val="000000"/>
          <w:sz w:val="22"/>
          <w:szCs w:val="22"/>
          <w:lang w:val="es-ES"/>
        </w:rPr>
        <w:br w:type="page"/>
      </w:r>
      <w:r w:rsidR="00090E5E" w:rsidRPr="00E52C43">
        <w:rPr>
          <w:rFonts w:cs="Arial"/>
          <w:b/>
          <w:sz w:val="22"/>
          <w:szCs w:val="22"/>
          <w:lang w:val="es-ES"/>
        </w:rPr>
        <w:lastRenderedPageBreak/>
        <w:t>E</w:t>
      </w:r>
      <w:r w:rsidR="00090E5E" w:rsidRPr="00E52C43">
        <w:rPr>
          <w:rFonts w:cs="Arial"/>
          <w:b/>
          <w:sz w:val="22"/>
          <w:szCs w:val="22"/>
          <w:lang w:val="es-ES"/>
        </w:rPr>
        <w:tab/>
      </w:r>
      <w:r w:rsidR="005B1839" w:rsidRPr="00E52C43">
        <w:rPr>
          <w:rFonts w:cs="Arial"/>
          <w:b/>
          <w:sz w:val="22"/>
          <w:szCs w:val="22"/>
          <w:lang w:val="es-ES"/>
        </w:rPr>
        <w:t>Estudios complementarios</w:t>
      </w:r>
    </w:p>
    <w:bookmarkEnd w:id="7"/>
    <w:bookmarkEnd w:id="8"/>
    <w:p w14:paraId="0D375637" w14:textId="77777777" w:rsidR="005B1839" w:rsidRPr="00E52C43" w:rsidRDefault="005B1839" w:rsidP="005B1839">
      <w:pPr>
        <w:autoSpaceDE w:val="0"/>
        <w:autoSpaceDN w:val="0"/>
        <w:adjustRightInd w:val="0"/>
        <w:spacing w:before="120" w:after="120"/>
        <w:jc w:val="both"/>
        <w:rPr>
          <w:rFonts w:cs="Arial"/>
          <w:sz w:val="22"/>
          <w:szCs w:val="22"/>
          <w:lang w:val="es-ES"/>
        </w:rPr>
      </w:pPr>
      <w:r w:rsidRPr="00E52C43">
        <w:rPr>
          <w:rFonts w:cs="Arial"/>
          <w:sz w:val="22"/>
          <w:szCs w:val="22"/>
          <w:lang w:val="es-ES"/>
        </w:rPr>
        <w:t>Adicionalmente se llevará a cabo un estudio comparando la situación antes y después de la implementación del proyecto en siete hospitales: el Hospital General de Fo</w:t>
      </w:r>
      <w:r w:rsidR="00305F29" w:rsidRPr="00E52C43">
        <w:rPr>
          <w:rFonts w:cs="Arial"/>
          <w:sz w:val="22"/>
          <w:szCs w:val="22"/>
          <w:lang w:val="es-ES"/>
        </w:rPr>
        <w:t>rtaleza, El Hospital Dr. Carlos Alberto Studart-Messejana, Hospital General Dr. Cesar Calls, Hospital São José, Hospital Infantil Albert Sabin, Hospital de Salud Mental, Hospital de la Policía Militar.</w:t>
      </w:r>
      <w:r w:rsidR="00C950CB" w:rsidRPr="00E52C43">
        <w:rPr>
          <w:rFonts w:cs="Arial"/>
          <w:sz w:val="22"/>
          <w:szCs w:val="22"/>
          <w:lang w:val="es-ES"/>
        </w:rPr>
        <w:t xml:space="preserve"> La siguiente tabla muestra los indicadores preliminares.</w:t>
      </w:r>
      <w:r w:rsidR="00305F29" w:rsidRPr="00E52C43">
        <w:rPr>
          <w:rFonts w:cs="Arial"/>
          <w:sz w:val="22"/>
          <w:szCs w:val="22"/>
          <w:lang w:val="es-ES"/>
        </w:rPr>
        <w:t xml:space="preserve"> </w:t>
      </w:r>
    </w:p>
    <w:p w14:paraId="1EF33FF1" w14:textId="77777777" w:rsidR="00090E5E" w:rsidRPr="00E52C43" w:rsidRDefault="00090E5E" w:rsidP="005B1839">
      <w:pPr>
        <w:autoSpaceDE w:val="0"/>
        <w:autoSpaceDN w:val="0"/>
        <w:adjustRightInd w:val="0"/>
        <w:spacing w:before="120" w:after="120"/>
        <w:jc w:val="both"/>
        <w:rPr>
          <w:rFonts w:cs="Arial"/>
          <w:sz w:val="22"/>
          <w:szCs w:val="22"/>
          <w:lang w:val="es-ES"/>
        </w:rPr>
      </w:pPr>
    </w:p>
    <w:tbl>
      <w:tblPr>
        <w:tblStyle w:val="MediumShading1-Accent1"/>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5"/>
        <w:gridCol w:w="1915"/>
        <w:gridCol w:w="5638"/>
      </w:tblGrid>
      <w:tr w:rsidR="00090E5E" w:rsidRPr="00E52C43" w14:paraId="10521545" w14:textId="77777777" w:rsidTr="00090E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4" w:space="0" w:color="auto"/>
              <w:left w:val="none" w:sz="0" w:space="0" w:color="auto"/>
              <w:bottom w:val="single" w:sz="4" w:space="0" w:color="auto"/>
              <w:right w:val="single" w:sz="4" w:space="0" w:color="auto"/>
            </w:tcBorders>
            <w:shd w:val="clear" w:color="auto" w:fill="8DB3E2" w:themeFill="text2" w:themeFillTint="66"/>
          </w:tcPr>
          <w:p w14:paraId="74E8D0B9" w14:textId="77777777" w:rsidR="00AD7434" w:rsidRPr="00E52C43" w:rsidRDefault="00AD7434" w:rsidP="00090E5E">
            <w:pPr>
              <w:jc w:val="center"/>
              <w:rPr>
                <w:rFonts w:cs="Arial"/>
                <w:color w:val="auto"/>
                <w:sz w:val="18"/>
                <w:szCs w:val="18"/>
                <w:lang w:val="es-ES"/>
              </w:rPr>
            </w:pPr>
            <w:r w:rsidRPr="00E52C43">
              <w:rPr>
                <w:rFonts w:cs="Arial"/>
                <w:color w:val="auto"/>
                <w:sz w:val="18"/>
                <w:szCs w:val="18"/>
                <w:lang w:val="es-ES"/>
              </w:rPr>
              <w:t>Indicador</w:t>
            </w:r>
          </w:p>
        </w:tc>
        <w:tc>
          <w:tcPr>
            <w:tcW w:w="191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9C30AF" w14:textId="77777777" w:rsidR="00AD7434" w:rsidRPr="00E52C43" w:rsidRDefault="00AD7434" w:rsidP="00090E5E">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ES"/>
              </w:rPr>
            </w:pPr>
            <w:r w:rsidRPr="00E52C43">
              <w:rPr>
                <w:rFonts w:cs="Arial"/>
                <w:color w:val="auto"/>
                <w:sz w:val="18"/>
                <w:szCs w:val="18"/>
                <w:lang w:val="es-ES"/>
              </w:rPr>
              <w:t>Descripción del indicador</w:t>
            </w:r>
          </w:p>
        </w:tc>
        <w:tc>
          <w:tcPr>
            <w:tcW w:w="5638" w:type="dxa"/>
            <w:tcBorders>
              <w:top w:val="single" w:sz="4" w:space="0" w:color="auto"/>
              <w:left w:val="single" w:sz="4" w:space="0" w:color="auto"/>
              <w:bottom w:val="single" w:sz="4" w:space="0" w:color="auto"/>
              <w:right w:val="none" w:sz="0" w:space="0" w:color="auto"/>
            </w:tcBorders>
            <w:shd w:val="clear" w:color="auto" w:fill="8DB3E2" w:themeFill="text2" w:themeFillTint="66"/>
          </w:tcPr>
          <w:p w14:paraId="5D047D91" w14:textId="77777777" w:rsidR="00AD7434" w:rsidRPr="00E52C43" w:rsidRDefault="00AD7434" w:rsidP="00090E5E">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ES"/>
              </w:rPr>
            </w:pPr>
            <w:r w:rsidRPr="00E52C43">
              <w:rPr>
                <w:rFonts w:cs="Arial"/>
                <w:color w:val="auto"/>
                <w:sz w:val="18"/>
                <w:szCs w:val="18"/>
                <w:lang w:val="es-ES"/>
              </w:rPr>
              <w:t>Fórmula</w:t>
            </w:r>
          </w:p>
        </w:tc>
      </w:tr>
      <w:tr w:rsidR="00953D52" w:rsidRPr="00E52C43" w14:paraId="77EF1382" w14:textId="77777777" w:rsidTr="00090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4" w:space="0" w:color="auto"/>
              <w:right w:val="single" w:sz="4" w:space="0" w:color="auto"/>
            </w:tcBorders>
          </w:tcPr>
          <w:p w14:paraId="3806B9A1" w14:textId="77777777" w:rsidR="00AD7434" w:rsidRPr="00E52C43" w:rsidRDefault="00AD7434" w:rsidP="00E71ADB">
            <w:pPr>
              <w:rPr>
                <w:rFonts w:cs="Arial"/>
                <w:sz w:val="18"/>
                <w:szCs w:val="18"/>
                <w:lang w:val="es-ES"/>
              </w:rPr>
            </w:pPr>
            <w:r w:rsidRPr="00E52C43">
              <w:rPr>
                <w:rFonts w:cs="Arial"/>
                <w:sz w:val="18"/>
                <w:szCs w:val="18"/>
                <w:lang w:val="es-ES"/>
              </w:rPr>
              <w:t>Tiempo medio de espera para cirugía (ajustado por perfil)</w:t>
            </w:r>
          </w:p>
        </w:tc>
        <w:tc>
          <w:tcPr>
            <w:tcW w:w="1915" w:type="dxa"/>
            <w:tcBorders>
              <w:top w:val="single" w:sz="4" w:space="0" w:color="auto"/>
              <w:left w:val="single" w:sz="4" w:space="0" w:color="auto"/>
              <w:bottom w:val="single" w:sz="8" w:space="0" w:color="7BA0CD" w:themeColor="accent1" w:themeTint="BF"/>
              <w:right w:val="single" w:sz="4" w:space="0" w:color="auto"/>
            </w:tcBorders>
          </w:tcPr>
          <w:p w14:paraId="750C2CDA" w14:textId="77777777" w:rsidR="00AD7434" w:rsidRPr="00E52C43" w:rsidRDefault="00AD7434" w:rsidP="00E71ADB">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E52C43">
              <w:rPr>
                <w:rFonts w:cs="Arial"/>
                <w:sz w:val="18"/>
                <w:szCs w:val="18"/>
                <w:lang w:val="es-ES"/>
              </w:rPr>
              <w:t>Representa el tiempo en días de espera para tener una cirugía</w:t>
            </w:r>
          </w:p>
        </w:tc>
        <w:tc>
          <w:tcPr>
            <w:tcW w:w="5638" w:type="dxa"/>
            <w:tcBorders>
              <w:top w:val="single" w:sz="4" w:space="0" w:color="auto"/>
              <w:left w:val="single" w:sz="4" w:space="0" w:color="auto"/>
            </w:tcBorders>
          </w:tcPr>
          <w:p w14:paraId="6F219F74" w14:textId="77777777" w:rsidR="00AD7434" w:rsidRPr="00E52C43" w:rsidRDefault="00AD7434" w:rsidP="00E71ADB">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E52C43">
              <w:rPr>
                <w:rFonts w:cs="Arial"/>
                <w:sz w:val="18"/>
                <w:szCs w:val="18"/>
                <w:lang w:val="es-ES"/>
              </w:rPr>
              <w:t xml:space="preserve">Sumatoria de la diferencia entre el día de realización de la cirugía y el día programado de la cirugía/ número de procedimientos realizados en el </w:t>
            </w:r>
            <w:r w:rsidR="00953D52" w:rsidRPr="00E52C43">
              <w:rPr>
                <w:rFonts w:cs="Arial"/>
                <w:sz w:val="18"/>
                <w:szCs w:val="18"/>
                <w:lang w:val="es-ES"/>
              </w:rPr>
              <w:t>periodo</w:t>
            </w:r>
          </w:p>
        </w:tc>
      </w:tr>
      <w:tr w:rsidR="00953D52" w:rsidRPr="00E52C43" w14:paraId="79D91B4F" w14:textId="77777777" w:rsidTr="00090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right w:val="single" w:sz="4" w:space="0" w:color="auto"/>
            </w:tcBorders>
          </w:tcPr>
          <w:p w14:paraId="29CC517F" w14:textId="77777777" w:rsidR="00953D52" w:rsidRPr="00E52C43" w:rsidRDefault="00953D52" w:rsidP="00E71ADB">
            <w:pPr>
              <w:rPr>
                <w:rFonts w:cs="Arial"/>
                <w:sz w:val="18"/>
                <w:szCs w:val="18"/>
                <w:lang w:val="es-ES"/>
              </w:rPr>
            </w:pPr>
            <w:r w:rsidRPr="00E52C43">
              <w:rPr>
                <w:rFonts w:cs="Arial"/>
                <w:sz w:val="18"/>
                <w:szCs w:val="18"/>
                <w:lang w:val="es-ES"/>
              </w:rPr>
              <w:t>Tiempo medio de permanencia</w:t>
            </w:r>
          </w:p>
        </w:tc>
        <w:tc>
          <w:tcPr>
            <w:tcW w:w="1915" w:type="dxa"/>
            <w:tcBorders>
              <w:top w:val="single" w:sz="8" w:space="0" w:color="7BA0CD" w:themeColor="accent1" w:themeTint="BF"/>
              <w:left w:val="single" w:sz="4" w:space="0" w:color="auto"/>
              <w:bottom w:val="single" w:sz="8" w:space="0" w:color="7BA0CD" w:themeColor="accent1" w:themeTint="BF"/>
              <w:right w:val="single" w:sz="4" w:space="0" w:color="auto"/>
            </w:tcBorders>
          </w:tcPr>
          <w:p w14:paraId="1E5F44F0" w14:textId="77777777" w:rsidR="00953D52" w:rsidRPr="00E52C43" w:rsidRDefault="00953D52" w:rsidP="00E71ADB">
            <w:pPr>
              <w:cnfStyle w:val="000000010000" w:firstRow="0" w:lastRow="0" w:firstColumn="0" w:lastColumn="0" w:oddVBand="0" w:evenVBand="0" w:oddHBand="0" w:evenHBand="1" w:firstRowFirstColumn="0" w:firstRowLastColumn="0" w:lastRowFirstColumn="0" w:lastRowLastColumn="0"/>
              <w:rPr>
                <w:rFonts w:cs="Arial"/>
                <w:sz w:val="18"/>
                <w:szCs w:val="18"/>
                <w:lang w:val="es-ES"/>
              </w:rPr>
            </w:pPr>
            <w:r w:rsidRPr="00E52C43">
              <w:rPr>
                <w:rFonts w:cs="Arial"/>
                <w:sz w:val="18"/>
                <w:szCs w:val="18"/>
                <w:lang w:val="es-ES"/>
              </w:rPr>
              <w:t xml:space="preserve">Representa el tiempo de permanencia en el hospital en </w:t>
            </w:r>
          </w:p>
          <w:p w14:paraId="47E46FD2" w14:textId="77777777" w:rsidR="00953D52" w:rsidRPr="00E52C43" w:rsidRDefault="00953D52" w:rsidP="00E71ADB">
            <w:pPr>
              <w:cnfStyle w:val="000000010000" w:firstRow="0" w:lastRow="0" w:firstColumn="0" w:lastColumn="0" w:oddVBand="0" w:evenVBand="0" w:oddHBand="0" w:evenHBand="1" w:firstRowFirstColumn="0" w:firstRowLastColumn="0" w:lastRowFirstColumn="0" w:lastRowLastColumn="0"/>
              <w:rPr>
                <w:rFonts w:cs="Arial"/>
                <w:sz w:val="18"/>
                <w:szCs w:val="18"/>
                <w:lang w:val="es-ES"/>
              </w:rPr>
            </w:pPr>
            <w:r w:rsidRPr="00E52C43">
              <w:rPr>
                <w:rFonts w:cs="Arial"/>
                <w:sz w:val="18"/>
                <w:szCs w:val="18"/>
                <w:lang w:val="es-ES"/>
              </w:rPr>
              <w:t>días</w:t>
            </w:r>
          </w:p>
        </w:tc>
        <w:tc>
          <w:tcPr>
            <w:tcW w:w="5638" w:type="dxa"/>
            <w:tcBorders>
              <w:left w:val="single" w:sz="4" w:space="0" w:color="auto"/>
            </w:tcBorders>
          </w:tcPr>
          <w:p w14:paraId="21A2B3D1" w14:textId="77777777" w:rsidR="00953D52" w:rsidRPr="00E52C43" w:rsidRDefault="00953D52" w:rsidP="00E71ADB">
            <w:pPr>
              <w:cnfStyle w:val="000000010000" w:firstRow="0" w:lastRow="0" w:firstColumn="0" w:lastColumn="0" w:oddVBand="0" w:evenVBand="0" w:oddHBand="0" w:evenHBand="1" w:firstRowFirstColumn="0" w:firstRowLastColumn="0" w:lastRowFirstColumn="0" w:lastRowLastColumn="0"/>
              <w:rPr>
                <w:rFonts w:cs="Arial"/>
                <w:sz w:val="18"/>
                <w:szCs w:val="18"/>
                <w:lang w:val="es-ES"/>
              </w:rPr>
            </w:pPr>
            <w:r w:rsidRPr="00E52C43">
              <w:rPr>
                <w:rFonts w:cs="Arial"/>
                <w:sz w:val="18"/>
                <w:szCs w:val="18"/>
                <w:lang w:val="es-ES"/>
              </w:rPr>
              <w:t>Sumatoria de los días de internación de los pacientes/ egresos hospitalarios en el periodo de análisis</w:t>
            </w:r>
          </w:p>
        </w:tc>
      </w:tr>
      <w:tr w:rsidR="00953D52" w:rsidRPr="00E52C43" w14:paraId="6C32B41B" w14:textId="77777777" w:rsidTr="00090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right w:val="single" w:sz="4" w:space="0" w:color="auto"/>
            </w:tcBorders>
          </w:tcPr>
          <w:p w14:paraId="18F9A35B" w14:textId="77777777" w:rsidR="00953D52" w:rsidRPr="00E52C43" w:rsidRDefault="00953D52" w:rsidP="00E71ADB">
            <w:pPr>
              <w:rPr>
                <w:rFonts w:cs="Arial"/>
                <w:sz w:val="18"/>
                <w:szCs w:val="18"/>
                <w:lang w:val="es-ES"/>
              </w:rPr>
            </w:pPr>
            <w:r w:rsidRPr="00E52C43">
              <w:rPr>
                <w:rFonts w:cs="Arial"/>
                <w:sz w:val="18"/>
                <w:szCs w:val="18"/>
                <w:lang w:val="es-ES"/>
              </w:rPr>
              <w:t>Número de salidas hospitalarias por cama por mes</w:t>
            </w:r>
          </w:p>
        </w:tc>
        <w:tc>
          <w:tcPr>
            <w:tcW w:w="1915" w:type="dxa"/>
            <w:tcBorders>
              <w:top w:val="single" w:sz="8" w:space="0" w:color="7BA0CD" w:themeColor="accent1" w:themeTint="BF"/>
              <w:left w:val="single" w:sz="4" w:space="0" w:color="auto"/>
              <w:bottom w:val="single" w:sz="8" w:space="0" w:color="7BA0CD" w:themeColor="accent1" w:themeTint="BF"/>
              <w:right w:val="single" w:sz="4" w:space="0" w:color="auto"/>
            </w:tcBorders>
          </w:tcPr>
          <w:p w14:paraId="3BFCA510" w14:textId="77777777" w:rsidR="00953D52" w:rsidRPr="00E52C43" w:rsidRDefault="00953D52" w:rsidP="00953D52">
            <w:pPr>
              <w:ind w:right="-76"/>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E52C43">
              <w:rPr>
                <w:rFonts w:cs="Arial"/>
                <w:sz w:val="18"/>
                <w:szCs w:val="18"/>
                <w:lang w:val="es-ES"/>
              </w:rPr>
              <w:t xml:space="preserve">Mide las salidas de unidad asistencial. Se consideran salidas: alta, salida, rechazo del tratamiento, transferencia interna, transferencia externa y muerte. </w:t>
            </w:r>
          </w:p>
        </w:tc>
        <w:tc>
          <w:tcPr>
            <w:tcW w:w="5638" w:type="dxa"/>
            <w:tcBorders>
              <w:left w:val="single" w:sz="4" w:space="0" w:color="auto"/>
            </w:tcBorders>
          </w:tcPr>
          <w:p w14:paraId="665529D5" w14:textId="77777777" w:rsidR="00953D52" w:rsidRPr="00E52C43" w:rsidRDefault="00953D52" w:rsidP="00E71ADB">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E52C43">
              <w:rPr>
                <w:rFonts w:cs="Arial"/>
                <w:sz w:val="18"/>
                <w:szCs w:val="18"/>
                <w:lang w:val="es-ES"/>
              </w:rPr>
              <w:t>Salidas de la unidad/ camas de la unidad</w:t>
            </w:r>
          </w:p>
        </w:tc>
      </w:tr>
      <w:tr w:rsidR="00953D52" w:rsidRPr="00E52C43" w14:paraId="42AC8EC7" w14:textId="77777777" w:rsidTr="00090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right w:val="single" w:sz="4" w:space="0" w:color="auto"/>
            </w:tcBorders>
          </w:tcPr>
          <w:p w14:paraId="703466F1" w14:textId="77777777" w:rsidR="00953D52" w:rsidRPr="00E52C43" w:rsidRDefault="00953D52" w:rsidP="00E71ADB">
            <w:pPr>
              <w:rPr>
                <w:rFonts w:cs="Arial"/>
                <w:sz w:val="18"/>
                <w:szCs w:val="18"/>
                <w:lang w:val="es-ES"/>
              </w:rPr>
            </w:pPr>
            <w:r w:rsidRPr="00E52C43">
              <w:rPr>
                <w:rFonts w:cs="Arial"/>
                <w:sz w:val="18"/>
                <w:szCs w:val="18"/>
                <w:lang w:val="es-ES"/>
              </w:rPr>
              <w:t>Densidad de infección relacionada a salud en la Unidad de Terapia Intensiva (UTI)</w:t>
            </w:r>
          </w:p>
        </w:tc>
        <w:tc>
          <w:tcPr>
            <w:tcW w:w="1915" w:type="dxa"/>
            <w:tcBorders>
              <w:top w:val="single" w:sz="8" w:space="0" w:color="7BA0CD" w:themeColor="accent1" w:themeTint="BF"/>
              <w:left w:val="single" w:sz="4" w:space="0" w:color="auto"/>
              <w:bottom w:val="single" w:sz="8" w:space="0" w:color="7BA0CD" w:themeColor="accent1" w:themeTint="BF"/>
              <w:right w:val="single" w:sz="4" w:space="0" w:color="auto"/>
            </w:tcBorders>
          </w:tcPr>
          <w:p w14:paraId="255E2490" w14:textId="77777777" w:rsidR="00953D52" w:rsidRPr="00E52C43" w:rsidRDefault="00953D52" w:rsidP="00753CB3">
            <w:pPr>
              <w:ind w:right="-76"/>
              <w:cnfStyle w:val="000000010000" w:firstRow="0" w:lastRow="0" w:firstColumn="0" w:lastColumn="0" w:oddVBand="0" w:evenVBand="0" w:oddHBand="0" w:evenHBand="1" w:firstRowFirstColumn="0" w:firstRowLastColumn="0" w:lastRowFirstColumn="0" w:lastRowLastColumn="0"/>
              <w:rPr>
                <w:rFonts w:cs="Arial"/>
                <w:sz w:val="18"/>
                <w:szCs w:val="18"/>
                <w:lang w:val="es-ES"/>
              </w:rPr>
            </w:pPr>
            <w:r w:rsidRPr="00E52C43">
              <w:rPr>
                <w:rFonts w:cs="Arial"/>
                <w:sz w:val="18"/>
                <w:szCs w:val="18"/>
                <w:lang w:val="es-ES"/>
              </w:rPr>
              <w:t>Mide</w:t>
            </w:r>
            <w:r w:rsidR="00753CB3" w:rsidRPr="00E52C43">
              <w:rPr>
                <w:rFonts w:cs="Arial"/>
                <w:sz w:val="18"/>
                <w:szCs w:val="18"/>
                <w:lang w:val="es-ES"/>
              </w:rPr>
              <w:t xml:space="preserve"> la tasa de pacientes infectados en la UTI </w:t>
            </w:r>
          </w:p>
        </w:tc>
        <w:tc>
          <w:tcPr>
            <w:tcW w:w="5638" w:type="dxa"/>
            <w:tcBorders>
              <w:left w:val="single" w:sz="4" w:space="0" w:color="auto"/>
            </w:tcBorders>
          </w:tcPr>
          <w:p w14:paraId="27AD6947" w14:textId="77777777" w:rsidR="00953D52" w:rsidRPr="00E52C43" w:rsidRDefault="00753CB3" w:rsidP="00E71ADB">
            <w:pPr>
              <w:cnfStyle w:val="000000010000" w:firstRow="0" w:lastRow="0" w:firstColumn="0" w:lastColumn="0" w:oddVBand="0" w:evenVBand="0" w:oddHBand="0" w:evenHBand="1" w:firstRowFirstColumn="0" w:firstRowLastColumn="0" w:lastRowFirstColumn="0" w:lastRowLastColumn="0"/>
              <w:rPr>
                <w:rFonts w:cs="Arial"/>
                <w:sz w:val="18"/>
                <w:szCs w:val="18"/>
                <w:lang w:val="es-ES"/>
              </w:rPr>
            </w:pPr>
            <w:r w:rsidRPr="00E52C43">
              <w:rPr>
                <w:rFonts w:cs="Arial"/>
                <w:sz w:val="18"/>
                <w:szCs w:val="18"/>
                <w:lang w:val="es-ES"/>
              </w:rPr>
              <w:t>(Número de pacientes infectados de la UTI/ número de pacientes de la UTI) x 1.000</w:t>
            </w:r>
          </w:p>
        </w:tc>
      </w:tr>
      <w:tr w:rsidR="00753CB3" w:rsidRPr="00E52C43" w14:paraId="7D75523E" w14:textId="77777777" w:rsidTr="00090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right w:val="single" w:sz="4" w:space="0" w:color="auto"/>
            </w:tcBorders>
          </w:tcPr>
          <w:p w14:paraId="70EE34CB" w14:textId="77777777" w:rsidR="00753CB3" w:rsidRPr="00E52C43" w:rsidRDefault="00753CB3" w:rsidP="00E71ADB">
            <w:pPr>
              <w:rPr>
                <w:rFonts w:cs="Arial"/>
                <w:sz w:val="18"/>
                <w:szCs w:val="18"/>
                <w:lang w:val="es-ES"/>
              </w:rPr>
            </w:pPr>
            <w:r w:rsidRPr="00E52C43">
              <w:rPr>
                <w:rFonts w:cs="Arial"/>
                <w:sz w:val="18"/>
                <w:szCs w:val="18"/>
                <w:lang w:val="es-ES"/>
              </w:rPr>
              <w:t>Tasa de utilización de los centros quirúrgicos</w:t>
            </w:r>
          </w:p>
        </w:tc>
        <w:tc>
          <w:tcPr>
            <w:tcW w:w="1915" w:type="dxa"/>
            <w:tcBorders>
              <w:top w:val="single" w:sz="8" w:space="0" w:color="7BA0CD" w:themeColor="accent1" w:themeTint="BF"/>
              <w:left w:val="single" w:sz="4" w:space="0" w:color="auto"/>
              <w:bottom w:val="single" w:sz="8" w:space="0" w:color="7BA0CD" w:themeColor="accent1" w:themeTint="BF"/>
              <w:right w:val="single" w:sz="4" w:space="0" w:color="auto"/>
            </w:tcBorders>
          </w:tcPr>
          <w:p w14:paraId="7D6C3B0A" w14:textId="77777777" w:rsidR="00753CB3" w:rsidRPr="00E52C43" w:rsidRDefault="00753CB3" w:rsidP="00753CB3">
            <w:pPr>
              <w:ind w:right="-76"/>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E52C43">
              <w:rPr>
                <w:rFonts w:cs="Arial"/>
                <w:sz w:val="18"/>
                <w:szCs w:val="18"/>
                <w:lang w:val="es-ES"/>
              </w:rPr>
              <w:t>Mide la eficacia de la capacidad operacional que el centro quirúrgico tiene durante la prestación de servicios.</w:t>
            </w:r>
          </w:p>
        </w:tc>
        <w:tc>
          <w:tcPr>
            <w:tcW w:w="5638" w:type="dxa"/>
            <w:tcBorders>
              <w:left w:val="single" w:sz="4" w:space="0" w:color="auto"/>
            </w:tcBorders>
          </w:tcPr>
          <w:p w14:paraId="3C21F308" w14:textId="77777777" w:rsidR="00753CB3" w:rsidRPr="00E52C43" w:rsidRDefault="00753CB3" w:rsidP="00E71ADB">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E52C43">
              <w:rPr>
                <w:rFonts w:cs="Arial"/>
                <w:sz w:val="18"/>
                <w:szCs w:val="18"/>
                <w:lang w:val="es-ES"/>
              </w:rPr>
              <w:t>(Total de horas quirúrgicas/total de horas de capacidad instalada de tiempo quirúrgico) x100</w:t>
            </w:r>
          </w:p>
        </w:tc>
      </w:tr>
      <w:tr w:rsidR="00753CB3" w:rsidRPr="00E52C43" w14:paraId="592B8708" w14:textId="77777777" w:rsidTr="00090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right w:val="single" w:sz="4" w:space="0" w:color="auto"/>
            </w:tcBorders>
          </w:tcPr>
          <w:p w14:paraId="18E11AA6" w14:textId="77777777" w:rsidR="00753CB3" w:rsidRPr="00E52C43" w:rsidRDefault="00753CB3" w:rsidP="00E71ADB">
            <w:pPr>
              <w:rPr>
                <w:rFonts w:cs="Arial"/>
                <w:sz w:val="18"/>
                <w:szCs w:val="18"/>
                <w:lang w:val="es-ES"/>
              </w:rPr>
            </w:pPr>
            <w:r w:rsidRPr="00E52C43">
              <w:rPr>
                <w:rFonts w:cs="Arial"/>
                <w:sz w:val="18"/>
                <w:szCs w:val="18"/>
                <w:lang w:val="es-ES"/>
              </w:rPr>
              <w:t>Tasa de mortalidad hospitalaria</w:t>
            </w:r>
          </w:p>
        </w:tc>
        <w:tc>
          <w:tcPr>
            <w:tcW w:w="1915" w:type="dxa"/>
            <w:tcBorders>
              <w:top w:val="single" w:sz="8" w:space="0" w:color="7BA0CD" w:themeColor="accent1" w:themeTint="BF"/>
              <w:left w:val="single" w:sz="4" w:space="0" w:color="auto"/>
              <w:bottom w:val="single" w:sz="4" w:space="0" w:color="auto"/>
              <w:right w:val="single" w:sz="4" w:space="0" w:color="auto"/>
            </w:tcBorders>
          </w:tcPr>
          <w:p w14:paraId="0EC80B2E" w14:textId="77777777" w:rsidR="00753CB3" w:rsidRPr="00E52C43" w:rsidRDefault="00753CB3" w:rsidP="00753CB3">
            <w:pPr>
              <w:ind w:right="-76"/>
              <w:cnfStyle w:val="000000010000" w:firstRow="0" w:lastRow="0" w:firstColumn="0" w:lastColumn="0" w:oddVBand="0" w:evenVBand="0" w:oddHBand="0" w:evenHBand="1" w:firstRowFirstColumn="0" w:firstRowLastColumn="0" w:lastRowFirstColumn="0" w:lastRowLastColumn="0"/>
              <w:rPr>
                <w:rFonts w:cs="Arial"/>
                <w:sz w:val="18"/>
                <w:szCs w:val="18"/>
                <w:lang w:val="es-ES"/>
              </w:rPr>
            </w:pPr>
            <w:r w:rsidRPr="00E52C43">
              <w:rPr>
                <w:rFonts w:cs="Arial"/>
                <w:sz w:val="18"/>
                <w:szCs w:val="18"/>
                <w:lang w:val="es-ES"/>
              </w:rPr>
              <w:t>Mide la proporción de pacientes que mueren durante la internación hospitalaria</w:t>
            </w:r>
          </w:p>
        </w:tc>
        <w:tc>
          <w:tcPr>
            <w:tcW w:w="5638" w:type="dxa"/>
            <w:tcBorders>
              <w:left w:val="single" w:sz="4" w:space="0" w:color="auto"/>
            </w:tcBorders>
          </w:tcPr>
          <w:p w14:paraId="2B619205" w14:textId="77777777" w:rsidR="00753CB3" w:rsidRPr="00E52C43" w:rsidRDefault="00753CB3" w:rsidP="00E71ADB">
            <w:pPr>
              <w:cnfStyle w:val="000000010000" w:firstRow="0" w:lastRow="0" w:firstColumn="0" w:lastColumn="0" w:oddVBand="0" w:evenVBand="0" w:oddHBand="0" w:evenHBand="1" w:firstRowFirstColumn="0" w:firstRowLastColumn="0" w:lastRowFirstColumn="0" w:lastRowLastColumn="0"/>
              <w:rPr>
                <w:rFonts w:cs="Arial"/>
                <w:sz w:val="18"/>
                <w:szCs w:val="18"/>
                <w:lang w:val="es-ES"/>
              </w:rPr>
            </w:pPr>
            <w:r w:rsidRPr="00E52C43">
              <w:rPr>
                <w:rFonts w:cs="Arial"/>
                <w:sz w:val="18"/>
                <w:szCs w:val="18"/>
                <w:lang w:val="es-ES"/>
              </w:rPr>
              <w:t>(Número de muertes en la unidad /número de salidas hospitalarias) x100</w:t>
            </w:r>
          </w:p>
        </w:tc>
      </w:tr>
    </w:tbl>
    <w:p w14:paraId="75E8271A" w14:textId="77777777" w:rsidR="00E71ADB" w:rsidRPr="00E52C43" w:rsidRDefault="00E71ADB" w:rsidP="00E71ADB">
      <w:pPr>
        <w:rPr>
          <w:rFonts w:cs="Arial"/>
          <w:sz w:val="22"/>
          <w:szCs w:val="22"/>
          <w:lang w:val="es-ES"/>
        </w:rPr>
      </w:pPr>
    </w:p>
    <w:p w14:paraId="6631118B" w14:textId="77777777" w:rsidR="00F70166" w:rsidRPr="00E52C43" w:rsidRDefault="00F70166">
      <w:pPr>
        <w:rPr>
          <w:rFonts w:cs="Arial"/>
          <w:sz w:val="22"/>
          <w:szCs w:val="22"/>
          <w:lang w:val="es-ES"/>
        </w:rPr>
      </w:pPr>
      <w:r w:rsidRPr="00E52C43">
        <w:rPr>
          <w:rFonts w:cs="Arial"/>
          <w:sz w:val="22"/>
          <w:szCs w:val="22"/>
          <w:lang w:val="es-ES"/>
        </w:rPr>
        <w:br w:type="page"/>
      </w:r>
    </w:p>
    <w:p w14:paraId="037B0081" w14:textId="77777777" w:rsidR="00F70166" w:rsidRPr="009E1BB3" w:rsidRDefault="00F70166" w:rsidP="00F70166">
      <w:pPr>
        <w:jc w:val="both"/>
        <w:rPr>
          <w:rFonts w:cs="Arial"/>
          <w:sz w:val="22"/>
          <w:szCs w:val="22"/>
          <w:lang w:val="en-US"/>
        </w:rPr>
      </w:pPr>
      <w:r w:rsidRPr="009E1BB3">
        <w:rPr>
          <w:rFonts w:cs="Arial"/>
          <w:b/>
          <w:sz w:val="22"/>
          <w:szCs w:val="22"/>
          <w:lang w:val="en-US"/>
        </w:rPr>
        <w:lastRenderedPageBreak/>
        <w:t>Referencias</w:t>
      </w:r>
      <w:r w:rsidRPr="009E1BB3">
        <w:rPr>
          <w:rFonts w:cs="Arial"/>
          <w:sz w:val="22"/>
          <w:szCs w:val="22"/>
          <w:lang w:val="en-US"/>
        </w:rPr>
        <w:t xml:space="preserve"> </w:t>
      </w:r>
    </w:p>
    <w:p w14:paraId="20CF03C5" w14:textId="77777777" w:rsidR="00F70166" w:rsidRPr="009E1BB3" w:rsidRDefault="00F70166" w:rsidP="00F70166">
      <w:pPr>
        <w:autoSpaceDE w:val="0"/>
        <w:autoSpaceDN w:val="0"/>
        <w:adjustRightInd w:val="0"/>
        <w:rPr>
          <w:rFonts w:eastAsia="Calibri" w:cs="Arial"/>
          <w:spacing w:val="0"/>
          <w:sz w:val="22"/>
          <w:szCs w:val="22"/>
          <w:lang w:val="en-US" w:eastAsia="es-ES"/>
        </w:rPr>
      </w:pPr>
      <w:r w:rsidRPr="009E1BB3">
        <w:rPr>
          <w:rFonts w:eastAsia="Calibri" w:cs="Arial"/>
          <w:spacing w:val="0"/>
          <w:sz w:val="22"/>
          <w:szCs w:val="22"/>
          <w:lang w:val="en-US" w:eastAsia="es-ES"/>
        </w:rPr>
        <w:t xml:space="preserve">Abadie, A., A. Diamond, and J. Hainmueller. </w:t>
      </w:r>
      <w:r w:rsidRPr="00A0562D">
        <w:rPr>
          <w:rFonts w:eastAsia="Calibri" w:cs="Arial"/>
          <w:spacing w:val="0"/>
          <w:sz w:val="22"/>
          <w:szCs w:val="22"/>
          <w:lang w:val="en-US" w:eastAsia="es-ES"/>
        </w:rPr>
        <w:t xml:space="preserve">2010. “Synthetic Control Methods for Comparative Case Studies: Estimating the Effect of California's Tobacco Control Program." </w:t>
      </w:r>
      <w:r w:rsidRPr="009E1BB3">
        <w:rPr>
          <w:rFonts w:eastAsia="Calibri" w:cs="Arial"/>
          <w:i/>
          <w:spacing w:val="0"/>
          <w:sz w:val="22"/>
          <w:szCs w:val="22"/>
          <w:lang w:val="en-US" w:eastAsia="es-ES"/>
        </w:rPr>
        <w:t>Journal of the American Statistical Association</w:t>
      </w:r>
      <w:r w:rsidRPr="009E1BB3">
        <w:rPr>
          <w:rFonts w:eastAsia="Calibri" w:cs="Arial"/>
          <w:spacing w:val="0"/>
          <w:sz w:val="22"/>
          <w:szCs w:val="22"/>
          <w:lang w:val="en-US" w:eastAsia="es-ES"/>
        </w:rPr>
        <w:t>. 105(490): 493-505.</w:t>
      </w:r>
    </w:p>
    <w:p w14:paraId="40D06B2B" w14:textId="77777777" w:rsidR="00F70166" w:rsidRPr="009E1BB3" w:rsidRDefault="00F70166" w:rsidP="00F70166">
      <w:pPr>
        <w:autoSpaceDE w:val="0"/>
        <w:autoSpaceDN w:val="0"/>
        <w:adjustRightInd w:val="0"/>
        <w:rPr>
          <w:rFonts w:eastAsia="Calibri" w:cs="Arial"/>
          <w:spacing w:val="0"/>
          <w:sz w:val="22"/>
          <w:szCs w:val="22"/>
          <w:lang w:val="en-US" w:eastAsia="es-ES"/>
        </w:rPr>
      </w:pPr>
    </w:p>
    <w:p w14:paraId="16AC18DB" w14:textId="77777777" w:rsidR="00F70166" w:rsidRPr="007502BE" w:rsidRDefault="00F70166" w:rsidP="00F70166">
      <w:pPr>
        <w:autoSpaceDE w:val="0"/>
        <w:autoSpaceDN w:val="0"/>
        <w:adjustRightInd w:val="0"/>
        <w:rPr>
          <w:rFonts w:eastAsia="Calibri" w:cs="Arial"/>
          <w:spacing w:val="0"/>
          <w:sz w:val="22"/>
          <w:szCs w:val="22"/>
          <w:lang w:val="pt-BR" w:eastAsia="es-ES"/>
        </w:rPr>
      </w:pPr>
      <w:r w:rsidRPr="009E1BB3">
        <w:rPr>
          <w:rFonts w:eastAsia="Calibri" w:cs="Arial"/>
          <w:spacing w:val="0"/>
          <w:sz w:val="22"/>
          <w:szCs w:val="22"/>
          <w:lang w:val="en-US" w:eastAsia="es-ES"/>
        </w:rPr>
        <w:t xml:space="preserve">Abadie, A. and J. Gardeazabal. </w:t>
      </w:r>
      <w:r w:rsidRPr="00A0562D">
        <w:rPr>
          <w:rFonts w:eastAsia="Calibri" w:cs="Arial"/>
          <w:spacing w:val="0"/>
          <w:sz w:val="22"/>
          <w:szCs w:val="22"/>
          <w:lang w:val="en-US" w:eastAsia="es-ES"/>
        </w:rPr>
        <w:t xml:space="preserve">2003. “The Economic Costs of Conflict: A Case Study of the Basque Country." </w:t>
      </w:r>
      <w:r w:rsidRPr="007E3AE0">
        <w:rPr>
          <w:rFonts w:eastAsia="Calibri" w:cs="Arial"/>
          <w:i/>
          <w:spacing w:val="0"/>
          <w:sz w:val="22"/>
          <w:szCs w:val="22"/>
          <w:lang w:val="pt-BR" w:eastAsia="es-ES"/>
        </w:rPr>
        <w:t>American Economic Review</w:t>
      </w:r>
      <w:r w:rsidRPr="007E3AE0">
        <w:rPr>
          <w:rFonts w:eastAsia="Calibri" w:cs="Arial"/>
          <w:spacing w:val="0"/>
          <w:sz w:val="22"/>
          <w:szCs w:val="22"/>
          <w:lang w:val="pt-BR" w:eastAsia="es-ES"/>
        </w:rPr>
        <w:t xml:space="preserve">. </w:t>
      </w:r>
      <w:r w:rsidRPr="007502BE">
        <w:rPr>
          <w:rFonts w:eastAsia="Calibri" w:cs="Arial"/>
          <w:spacing w:val="0"/>
          <w:sz w:val="22"/>
          <w:szCs w:val="22"/>
          <w:lang w:val="pt-BR" w:eastAsia="es-ES"/>
        </w:rPr>
        <w:t>93(1): 112-132.</w:t>
      </w:r>
    </w:p>
    <w:p w14:paraId="634240EE" w14:textId="77777777" w:rsidR="00F70166" w:rsidRPr="009E1BB3" w:rsidRDefault="00F70166" w:rsidP="00F70166">
      <w:pPr>
        <w:spacing w:after="240"/>
        <w:rPr>
          <w:rFonts w:cs="Arial"/>
          <w:sz w:val="22"/>
          <w:szCs w:val="22"/>
          <w:lang w:val="pt-BR"/>
        </w:rPr>
      </w:pPr>
      <w:r w:rsidRPr="007502BE">
        <w:rPr>
          <w:rFonts w:cs="Arial"/>
          <w:sz w:val="22"/>
          <w:szCs w:val="22"/>
          <w:lang w:val="pt-BR"/>
        </w:rPr>
        <w:t xml:space="preserve">Alfradique ME, de Fátima Bonolo P, Dourado I, et al. (2009).  </w:t>
      </w:r>
      <w:r w:rsidRPr="00A0562D">
        <w:rPr>
          <w:rFonts w:cs="Arial"/>
          <w:sz w:val="22"/>
          <w:szCs w:val="22"/>
          <w:lang w:val="pt-BR"/>
        </w:rPr>
        <w:t xml:space="preserve">“Internações por condições sensíveis à atenção primária: a construção da lista brasileira como ferramenta para medir o desempenho do sistema de saúde (Projeto ICSAP – Brasil).” </w:t>
      </w:r>
      <w:r w:rsidRPr="009E1BB3">
        <w:rPr>
          <w:rFonts w:cs="Arial"/>
          <w:i/>
          <w:sz w:val="22"/>
          <w:szCs w:val="22"/>
          <w:lang w:val="pt-BR"/>
        </w:rPr>
        <w:t>Cad. Saúde Pública</w:t>
      </w:r>
      <w:r w:rsidRPr="009E1BB3">
        <w:rPr>
          <w:rFonts w:cs="Arial"/>
          <w:sz w:val="22"/>
          <w:szCs w:val="22"/>
          <w:lang w:val="pt-BR"/>
        </w:rPr>
        <w:t>, Rio de Janeiro, 25(6):1337-1349.</w:t>
      </w:r>
    </w:p>
    <w:p w14:paraId="7FC1CD36" w14:textId="77777777" w:rsidR="00F70166" w:rsidRPr="009E1BB3" w:rsidRDefault="00F70166" w:rsidP="00F70166">
      <w:pPr>
        <w:spacing w:after="240"/>
        <w:rPr>
          <w:rFonts w:cs="Arial"/>
          <w:sz w:val="22"/>
          <w:szCs w:val="22"/>
          <w:lang w:val="en-US"/>
        </w:rPr>
      </w:pPr>
      <w:r w:rsidRPr="009E1BB3">
        <w:rPr>
          <w:rFonts w:cs="Arial"/>
          <w:sz w:val="22"/>
          <w:szCs w:val="22"/>
          <w:lang w:val="pt-BR"/>
        </w:rPr>
        <w:t xml:space="preserve">Ansari Z, Laditka JN, Laditka SB (2006). </w:t>
      </w:r>
      <w:r w:rsidRPr="009E1BB3">
        <w:rPr>
          <w:rFonts w:cs="Arial"/>
          <w:sz w:val="22"/>
          <w:szCs w:val="22"/>
          <w:lang w:val="en-US"/>
        </w:rPr>
        <w:t>“Access to health care and hospitalization for ambulatory care sensitive conditions.”</w:t>
      </w:r>
      <w:r w:rsidRPr="009E1BB3">
        <w:rPr>
          <w:rFonts w:cs="Arial"/>
          <w:i/>
          <w:sz w:val="22"/>
          <w:szCs w:val="22"/>
          <w:lang w:val="en-US"/>
        </w:rPr>
        <w:t xml:space="preserve"> Med Care Res Rev.</w:t>
      </w:r>
      <w:r w:rsidRPr="009E1BB3">
        <w:rPr>
          <w:rFonts w:cs="Arial"/>
          <w:sz w:val="22"/>
          <w:szCs w:val="22"/>
          <w:lang w:val="en-US"/>
        </w:rPr>
        <w:t xml:space="preserve"> 63(6):719-41.</w:t>
      </w:r>
    </w:p>
    <w:p w14:paraId="48EAA041" w14:textId="77777777" w:rsidR="00F70166" w:rsidRPr="009E1BB3" w:rsidRDefault="00F70166" w:rsidP="00F70166">
      <w:pPr>
        <w:spacing w:after="240"/>
        <w:rPr>
          <w:rFonts w:cs="Arial"/>
          <w:sz w:val="22"/>
          <w:szCs w:val="22"/>
          <w:lang w:val="en-US"/>
        </w:rPr>
      </w:pPr>
      <w:r w:rsidRPr="009E1BB3">
        <w:rPr>
          <w:rFonts w:cs="Arial"/>
          <w:sz w:val="22"/>
          <w:szCs w:val="22"/>
          <w:lang w:val="en-US"/>
        </w:rPr>
        <w:t>Billings J, Anderson GM, Newman LS. (1996) “Recent findings on preventable hospitalization.” Health Affairs (Millwood) 15:239-249.</w:t>
      </w:r>
    </w:p>
    <w:p w14:paraId="6C12BF64" w14:textId="77777777" w:rsidR="00F70166" w:rsidRPr="009E1BB3" w:rsidRDefault="00F70166" w:rsidP="00F70166">
      <w:pPr>
        <w:spacing w:after="240"/>
        <w:rPr>
          <w:rFonts w:cs="Arial"/>
          <w:sz w:val="22"/>
          <w:szCs w:val="22"/>
          <w:lang w:val="en-US"/>
        </w:rPr>
      </w:pPr>
      <w:r w:rsidRPr="007502BE">
        <w:rPr>
          <w:rFonts w:cs="Arial"/>
          <w:sz w:val="22"/>
          <w:szCs w:val="22"/>
          <w:lang w:val="en-US"/>
        </w:rPr>
        <w:t xml:space="preserve">Caminal J, Starfield B, Sánchez E, Casanova C, Morales M. (2004). </w:t>
      </w:r>
      <w:r w:rsidRPr="009E1BB3">
        <w:rPr>
          <w:rFonts w:cs="Arial"/>
          <w:sz w:val="22"/>
          <w:szCs w:val="22"/>
          <w:lang w:val="en-US"/>
        </w:rPr>
        <w:t xml:space="preserve">“The role of primary care in preventing ambulatory care sensitive conditions.” </w:t>
      </w:r>
      <w:r w:rsidRPr="009E1BB3">
        <w:rPr>
          <w:rFonts w:cs="Arial"/>
          <w:i/>
          <w:sz w:val="22"/>
          <w:szCs w:val="22"/>
          <w:lang w:val="en-US"/>
        </w:rPr>
        <w:t>Eur J Public Health</w:t>
      </w:r>
      <w:r w:rsidRPr="009E1BB3">
        <w:rPr>
          <w:rFonts w:cs="Arial"/>
          <w:sz w:val="22"/>
          <w:szCs w:val="22"/>
          <w:lang w:val="en-US"/>
        </w:rPr>
        <w:t>, 14:246-51.</w:t>
      </w:r>
    </w:p>
    <w:p w14:paraId="2645611B" w14:textId="77777777" w:rsidR="00F70166" w:rsidRPr="009E1BB3" w:rsidRDefault="00F70166" w:rsidP="00F70166">
      <w:pPr>
        <w:spacing w:after="240"/>
        <w:rPr>
          <w:rFonts w:cs="Arial"/>
          <w:sz w:val="22"/>
          <w:szCs w:val="22"/>
          <w:lang w:val="en-US"/>
        </w:rPr>
      </w:pPr>
      <w:r w:rsidRPr="009E1BB3">
        <w:rPr>
          <w:rFonts w:cs="Arial"/>
          <w:sz w:val="22"/>
          <w:szCs w:val="22"/>
          <w:lang w:val="en-US"/>
        </w:rPr>
        <w:t xml:space="preserve">Frenk J. (2009). “Reinventing primary health care: the need for systems integration” </w:t>
      </w:r>
      <w:r w:rsidRPr="009E1BB3">
        <w:rPr>
          <w:rFonts w:cs="Arial"/>
          <w:i/>
          <w:sz w:val="22"/>
          <w:szCs w:val="22"/>
          <w:lang w:val="en-US"/>
        </w:rPr>
        <w:t>Lancet</w:t>
      </w:r>
      <w:r w:rsidRPr="009E1BB3">
        <w:rPr>
          <w:rFonts w:cs="Arial"/>
          <w:sz w:val="22"/>
          <w:szCs w:val="22"/>
          <w:lang w:val="en-US"/>
        </w:rPr>
        <w:t>; 374: 170–73.</w:t>
      </w:r>
    </w:p>
    <w:p w14:paraId="4EAB135D" w14:textId="77777777" w:rsidR="00F70166" w:rsidRPr="009E1BB3" w:rsidRDefault="00F70166" w:rsidP="00F70166">
      <w:pPr>
        <w:spacing w:after="240"/>
        <w:rPr>
          <w:rFonts w:cs="Arial"/>
          <w:sz w:val="22"/>
          <w:szCs w:val="22"/>
          <w:lang w:val="en-US"/>
        </w:rPr>
      </w:pPr>
      <w:r w:rsidRPr="009E1BB3">
        <w:rPr>
          <w:rFonts w:cs="Arial"/>
          <w:sz w:val="22"/>
          <w:szCs w:val="22"/>
          <w:lang w:val="en-US"/>
        </w:rPr>
        <w:t xml:space="preserve">Guanais F (2010). “Health Equity in Brazil” </w:t>
      </w:r>
      <w:r w:rsidRPr="009E1BB3">
        <w:rPr>
          <w:rFonts w:cs="Arial"/>
          <w:i/>
          <w:sz w:val="22"/>
          <w:szCs w:val="22"/>
          <w:lang w:val="en-US"/>
        </w:rPr>
        <w:t>BMJ</w:t>
      </w:r>
      <w:r w:rsidRPr="009E1BB3">
        <w:rPr>
          <w:rFonts w:cs="Arial"/>
          <w:sz w:val="22"/>
          <w:szCs w:val="22"/>
          <w:lang w:val="en-US"/>
        </w:rPr>
        <w:t xml:space="preserve"> 341:c6542..</w:t>
      </w:r>
    </w:p>
    <w:p w14:paraId="1412A65D" w14:textId="77777777" w:rsidR="00F70166" w:rsidRPr="009E1BB3" w:rsidRDefault="00F70166" w:rsidP="00F70166">
      <w:pPr>
        <w:spacing w:after="240"/>
        <w:rPr>
          <w:rFonts w:cs="Arial"/>
          <w:sz w:val="22"/>
          <w:szCs w:val="22"/>
          <w:lang w:val="en-US"/>
        </w:rPr>
      </w:pPr>
      <w:r w:rsidRPr="009E1BB3">
        <w:rPr>
          <w:rFonts w:cs="Arial"/>
          <w:sz w:val="22"/>
          <w:szCs w:val="22"/>
          <w:lang w:val="en-US"/>
        </w:rPr>
        <w:t>Guanais F, Macinko J. (2009). “Primary Care and Avoidable Hospitalizations: Evidence from Brazil.”</w:t>
      </w:r>
      <w:r w:rsidRPr="009E1BB3">
        <w:rPr>
          <w:rFonts w:cs="Arial"/>
          <w:i/>
          <w:sz w:val="22"/>
          <w:szCs w:val="22"/>
          <w:lang w:val="en-US"/>
        </w:rPr>
        <w:t xml:space="preserve"> The Journal of Ambulatory Care Management</w:t>
      </w:r>
      <w:r w:rsidRPr="009E1BB3">
        <w:rPr>
          <w:rFonts w:cs="Arial"/>
          <w:sz w:val="22"/>
          <w:szCs w:val="22"/>
          <w:lang w:val="en-US"/>
        </w:rPr>
        <w:t>, 32(2): 115-122.</w:t>
      </w:r>
    </w:p>
    <w:p w14:paraId="2A84ED84" w14:textId="77777777" w:rsidR="00F70166" w:rsidRPr="009E1BB3" w:rsidRDefault="00F70166" w:rsidP="00F70166">
      <w:pPr>
        <w:spacing w:after="240"/>
        <w:rPr>
          <w:rFonts w:cs="Arial"/>
          <w:sz w:val="22"/>
          <w:szCs w:val="22"/>
          <w:lang w:val="en-US"/>
        </w:rPr>
      </w:pPr>
      <w:r w:rsidRPr="009E1BB3">
        <w:rPr>
          <w:rFonts w:cs="Arial"/>
          <w:sz w:val="22"/>
          <w:szCs w:val="22"/>
          <w:lang w:val="en-US"/>
        </w:rPr>
        <w:t>Macinko J, Guanais FC, de Fátima M, de Souza M. (2006) “Evaluation of the impact of the Family Health Program on infant mortality in Brazil, 1990-2002.” J Epidemiol Community Health. 2006 Jan;60(1):13-9.</w:t>
      </w:r>
    </w:p>
    <w:p w14:paraId="4898AF7A" w14:textId="77777777" w:rsidR="00F70166" w:rsidRDefault="00F70166" w:rsidP="00F70166">
      <w:pPr>
        <w:spacing w:after="240"/>
        <w:rPr>
          <w:rFonts w:cs="Arial"/>
          <w:sz w:val="22"/>
          <w:szCs w:val="22"/>
          <w:lang w:val="en-US"/>
        </w:rPr>
      </w:pPr>
      <w:r w:rsidRPr="009E1BB3">
        <w:rPr>
          <w:rFonts w:cs="Arial"/>
          <w:sz w:val="22"/>
          <w:szCs w:val="22"/>
          <w:lang w:val="en-US"/>
        </w:rPr>
        <w:t>Macinko J, Oliveira V, Turci M, Guanais F, Bonolo P, Lima-Costa M. (2011) “The Influence of Primary Care and Hospital Supply on Ambulatory Care Sensitive Hospitalizations among Adults in Brazil, 1999-2007.” American Journal of Public Health. Feb 17. [Epub ahead of print]</w:t>
      </w:r>
    </w:p>
    <w:p w14:paraId="2490C2F3" w14:textId="77777777" w:rsidR="00136578" w:rsidRPr="00A33466" w:rsidRDefault="00136578" w:rsidP="00136578">
      <w:pPr>
        <w:pStyle w:val="NormalWeb"/>
        <w:ind w:hanging="30"/>
        <w:rPr>
          <w:rFonts w:ascii="Arial" w:hAnsi="Arial"/>
          <w:sz w:val="22"/>
          <w:szCs w:val="22"/>
        </w:rPr>
      </w:pPr>
      <w:r w:rsidRPr="00A33466">
        <w:rPr>
          <w:rFonts w:ascii="Arial" w:hAnsi="Arial"/>
          <w:sz w:val="22"/>
          <w:szCs w:val="22"/>
        </w:rPr>
        <w:t xml:space="preserve">Mathers, Colin D., Doris Ma Fat, Mie Inoue, Chalapati Rao, and Alan D. Lopez. 2015. “Counting the Dead and What They Died from: An Assessment of the Global Status of Cause of Death Data.” </w:t>
      </w:r>
      <w:r w:rsidRPr="00A33466">
        <w:rPr>
          <w:rFonts w:ascii="Arial" w:hAnsi="Arial"/>
          <w:i/>
          <w:iCs/>
          <w:sz w:val="22"/>
          <w:szCs w:val="22"/>
        </w:rPr>
        <w:t>Bulletin of the World Health Organization</w:t>
      </w:r>
      <w:r w:rsidRPr="00A33466">
        <w:rPr>
          <w:rFonts w:ascii="Arial" w:hAnsi="Arial"/>
          <w:sz w:val="22"/>
          <w:szCs w:val="22"/>
        </w:rPr>
        <w:t xml:space="preserve"> 83 (3). World Health Organization: 171–77c. Accessed July 24. doi:10.1590/S0042-96862005000300009.</w:t>
      </w:r>
    </w:p>
    <w:p w14:paraId="60939FC5" w14:textId="77777777" w:rsidR="00F70166" w:rsidRPr="009E1BB3" w:rsidRDefault="00F70166" w:rsidP="00F70166">
      <w:pPr>
        <w:spacing w:after="240"/>
        <w:rPr>
          <w:rFonts w:cs="Arial"/>
          <w:sz w:val="22"/>
          <w:szCs w:val="22"/>
          <w:lang w:val="en-US"/>
        </w:rPr>
      </w:pPr>
      <w:r w:rsidRPr="009E1BB3">
        <w:rPr>
          <w:rFonts w:cs="Arial"/>
          <w:sz w:val="22"/>
          <w:szCs w:val="22"/>
          <w:lang w:val="en-US"/>
        </w:rPr>
        <w:t xml:space="preserve">Pan American Health Organization (2007).  </w:t>
      </w:r>
      <w:r w:rsidRPr="009E1BB3">
        <w:rPr>
          <w:rFonts w:cs="Arial"/>
          <w:i/>
          <w:sz w:val="22"/>
          <w:szCs w:val="22"/>
          <w:lang w:val="en-US"/>
        </w:rPr>
        <w:t xml:space="preserve">Renewing Primary Health Care in the Americas: A Position Paper of the Pan American Health Organization. </w:t>
      </w:r>
      <w:r w:rsidRPr="009E1BB3">
        <w:rPr>
          <w:rFonts w:cs="Arial"/>
          <w:sz w:val="22"/>
          <w:szCs w:val="22"/>
          <w:lang w:val="en-US"/>
        </w:rPr>
        <w:t>Washington, D.C: PAHO.</w:t>
      </w:r>
    </w:p>
    <w:p w14:paraId="1A652AF3" w14:textId="77777777" w:rsidR="00F70166" w:rsidRPr="009E1BB3" w:rsidRDefault="00F70166" w:rsidP="00F70166">
      <w:pPr>
        <w:spacing w:after="240"/>
        <w:rPr>
          <w:rFonts w:cs="Arial"/>
          <w:sz w:val="22"/>
          <w:szCs w:val="22"/>
          <w:lang w:val="en-US"/>
        </w:rPr>
      </w:pPr>
      <w:r w:rsidRPr="009E1BB3">
        <w:rPr>
          <w:rFonts w:cs="Arial"/>
          <w:sz w:val="22"/>
          <w:szCs w:val="22"/>
          <w:lang w:val="en-US"/>
        </w:rPr>
        <w:t xml:space="preserve">Rocha R; Soares R. (2010) “Evaluating the Impact of Community-Based Health Interventions: Evidence from Brazil’s Family Health Program” </w:t>
      </w:r>
      <w:r w:rsidRPr="009E1BB3">
        <w:rPr>
          <w:rFonts w:cs="Arial"/>
          <w:i/>
          <w:sz w:val="22"/>
          <w:szCs w:val="22"/>
          <w:lang w:val="en-US"/>
        </w:rPr>
        <w:t>Health Econ.</w:t>
      </w:r>
      <w:r w:rsidRPr="009E1BB3">
        <w:rPr>
          <w:rFonts w:cs="Arial"/>
          <w:sz w:val="22"/>
          <w:szCs w:val="22"/>
          <w:lang w:val="en-US"/>
        </w:rPr>
        <w:t xml:space="preserve"> 19: 126–158.</w:t>
      </w:r>
    </w:p>
    <w:p w14:paraId="362D72B6" w14:textId="77777777" w:rsidR="00F70166" w:rsidRPr="009E1BB3" w:rsidRDefault="00F70166" w:rsidP="00F70166">
      <w:pPr>
        <w:spacing w:after="240"/>
        <w:rPr>
          <w:rFonts w:cs="Arial"/>
          <w:sz w:val="22"/>
          <w:szCs w:val="22"/>
          <w:lang w:val="en-US"/>
        </w:rPr>
      </w:pPr>
      <w:r w:rsidRPr="009E1BB3">
        <w:rPr>
          <w:rFonts w:cs="Arial"/>
          <w:sz w:val="22"/>
          <w:szCs w:val="22"/>
          <w:lang w:val="en-US"/>
        </w:rPr>
        <w:t>Starfield B. (2009). “Toward international primary care reform.”</w:t>
      </w:r>
      <w:r w:rsidRPr="009E1BB3">
        <w:rPr>
          <w:rFonts w:cs="Arial"/>
          <w:i/>
          <w:sz w:val="22"/>
          <w:szCs w:val="22"/>
          <w:lang w:val="en-US"/>
        </w:rPr>
        <w:t xml:space="preserve"> CMAJ.</w:t>
      </w:r>
      <w:r w:rsidRPr="009E1BB3">
        <w:rPr>
          <w:rFonts w:cs="Arial"/>
          <w:sz w:val="22"/>
          <w:szCs w:val="22"/>
          <w:lang w:val="en-US"/>
        </w:rPr>
        <w:t xml:space="preserve"> May 26;180(11):1091-2. </w:t>
      </w:r>
    </w:p>
    <w:p w14:paraId="10BBDEC0" w14:textId="73A79797" w:rsidR="00F70166" w:rsidRPr="00E52C43" w:rsidRDefault="00F70166" w:rsidP="005F4F53">
      <w:pPr>
        <w:spacing w:after="240"/>
        <w:rPr>
          <w:rFonts w:cs="Arial"/>
          <w:sz w:val="22"/>
          <w:szCs w:val="22"/>
          <w:lang w:val="es-ES"/>
        </w:rPr>
      </w:pPr>
      <w:r w:rsidRPr="009E1BB3">
        <w:rPr>
          <w:rFonts w:cs="Arial"/>
          <w:sz w:val="22"/>
          <w:szCs w:val="22"/>
          <w:lang w:val="en-US"/>
        </w:rPr>
        <w:t xml:space="preserve">Starfield B. (2010). “Reinventing primary care: lessons from Canada for the United States.” </w:t>
      </w:r>
      <w:bookmarkStart w:id="9" w:name="_GoBack"/>
      <w:bookmarkEnd w:id="9"/>
      <w:r w:rsidRPr="00E52C43">
        <w:rPr>
          <w:rFonts w:cs="Arial"/>
          <w:i/>
          <w:sz w:val="22"/>
          <w:szCs w:val="22"/>
          <w:lang w:val="es-ES"/>
        </w:rPr>
        <w:t>Health Aff (Millwood).</w:t>
      </w:r>
      <w:r w:rsidRPr="00E52C43">
        <w:rPr>
          <w:rFonts w:cs="Arial"/>
          <w:sz w:val="22"/>
          <w:szCs w:val="22"/>
          <w:lang w:val="es-ES"/>
        </w:rPr>
        <w:t xml:space="preserve"> May;29(5):1030-6.</w:t>
      </w:r>
    </w:p>
    <w:sectPr w:rsidR="00F70166" w:rsidRPr="00E52C43" w:rsidSect="005F49D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4D62" w14:textId="77777777" w:rsidR="00136578" w:rsidRDefault="00136578" w:rsidP="008E7742">
      <w:r>
        <w:separator/>
      </w:r>
    </w:p>
  </w:endnote>
  <w:endnote w:type="continuationSeparator" w:id="0">
    <w:p w14:paraId="2E57ED46" w14:textId="77777777" w:rsidR="00136578" w:rsidRDefault="00136578" w:rsidP="008E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otham Book">
    <w:panose1 w:val="00000000000000000000"/>
    <w:charset w:val="00"/>
    <w:family w:val="modern"/>
    <w:notTrueType/>
    <w:pitch w:val="variable"/>
    <w:sig w:usb0="A10000FF" w:usb1="4000005B" w:usb2="00000000" w:usb3="00000000" w:csb0="0000009B"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77C3" w14:textId="77777777" w:rsidR="00136578" w:rsidRPr="00A97923" w:rsidRDefault="00136578">
    <w:pPr>
      <w:pStyle w:val="Footer"/>
      <w:jc w:val="center"/>
      <w:rPr>
        <w:rFonts w:ascii="Arial" w:hAnsi="Arial" w:cs="Arial"/>
      </w:rPr>
    </w:pPr>
  </w:p>
  <w:p w14:paraId="5BE957DE" w14:textId="77777777" w:rsidR="00136578" w:rsidRDefault="00136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B7DD4" w14:textId="77777777" w:rsidR="00136578" w:rsidRDefault="00136578" w:rsidP="008E7742">
      <w:r>
        <w:separator/>
      </w:r>
    </w:p>
  </w:footnote>
  <w:footnote w:type="continuationSeparator" w:id="0">
    <w:p w14:paraId="5444F411" w14:textId="77777777" w:rsidR="00136578" w:rsidRDefault="00136578" w:rsidP="008E7742">
      <w:r>
        <w:continuationSeparator/>
      </w:r>
    </w:p>
  </w:footnote>
  <w:footnote w:id="1">
    <w:p w14:paraId="6A4025EF" w14:textId="77777777" w:rsidR="00136578" w:rsidRPr="0088018B" w:rsidRDefault="00136578" w:rsidP="007E3AE0">
      <w:pPr>
        <w:pStyle w:val="FootnoteText"/>
        <w:spacing w:after="0"/>
        <w:ind w:left="270" w:hanging="270"/>
        <w:rPr>
          <w:rFonts w:cs="Arial"/>
          <w:sz w:val="16"/>
          <w:szCs w:val="16"/>
        </w:rPr>
      </w:pPr>
      <w:r w:rsidRPr="0088018B">
        <w:rPr>
          <w:rStyle w:val="FootnoteReference"/>
          <w:rFonts w:cs="Arial"/>
          <w:sz w:val="16"/>
          <w:szCs w:val="16"/>
        </w:rPr>
        <w:footnoteRef/>
      </w:r>
      <w:r w:rsidRPr="0088018B">
        <w:rPr>
          <w:rFonts w:cs="Arial"/>
          <w:sz w:val="16"/>
          <w:szCs w:val="16"/>
        </w:rPr>
        <w:t xml:space="preserve"> </w:t>
      </w:r>
      <w:r w:rsidRPr="0088018B">
        <w:rPr>
          <w:rFonts w:cs="Arial"/>
          <w:sz w:val="16"/>
          <w:szCs w:val="16"/>
        </w:rPr>
        <w:tab/>
        <w:t>Esta sección presenta los antecedentes y descripción del programa, y está basada en el documento de propuesta de préstamo. Por tanto, puede si el lector ya revisó la propuesta de préstamo, puede pasar a la sección II.</w:t>
      </w:r>
    </w:p>
  </w:footnote>
  <w:footnote w:id="2">
    <w:p w14:paraId="39FC325E"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t>Programa Naciones Unidas para el Desarrollo (PNUD), 2010.</w:t>
      </w:r>
    </w:p>
  </w:footnote>
  <w:footnote w:id="3">
    <w:p w14:paraId="1B25133F"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t>Federación de las Industrias de Rio de Janeiro (FIRJAN), 2010.</w:t>
      </w:r>
    </w:p>
  </w:footnote>
  <w:footnote w:id="4">
    <w:p w14:paraId="78601C38" w14:textId="77777777" w:rsidR="00136578" w:rsidRPr="00C02D3A" w:rsidRDefault="00136578" w:rsidP="007E3AE0">
      <w:pPr>
        <w:pStyle w:val="FootnoteText"/>
        <w:spacing w:after="0"/>
        <w:rPr>
          <w:rFonts w:cs="Arial"/>
          <w:sz w:val="18"/>
          <w:szCs w:val="18"/>
        </w:rPr>
      </w:pPr>
      <w:r w:rsidRPr="00C03B7C">
        <w:rPr>
          <w:rStyle w:val="FootnoteReference"/>
          <w:rFonts w:cs="Arial"/>
          <w:sz w:val="18"/>
          <w:szCs w:val="18"/>
        </w:rPr>
        <w:footnoteRef/>
      </w:r>
      <w:r w:rsidRPr="00C02D3A">
        <w:rPr>
          <w:rFonts w:cs="Arial"/>
          <w:sz w:val="18"/>
          <w:szCs w:val="18"/>
          <w:lang w:val="es-ES"/>
        </w:rPr>
        <w:tab/>
        <w:t xml:space="preserve">Fuente, </w:t>
      </w:r>
      <w:r w:rsidRPr="00901E50">
        <w:rPr>
          <w:rFonts w:cs="Arial"/>
          <w:sz w:val="18"/>
          <w:szCs w:val="18"/>
          <w:lang w:val="es-ES"/>
        </w:rPr>
        <w:t xml:space="preserve">Instituto de </w:t>
      </w:r>
      <w:r w:rsidRPr="00901E50">
        <w:rPr>
          <w:rFonts w:cs="Arial"/>
          <w:i/>
          <w:sz w:val="18"/>
          <w:szCs w:val="18"/>
          <w:lang w:val="es-ES"/>
        </w:rPr>
        <w:t>Pesquisa Estratégica Econômica</w:t>
      </w:r>
      <w:r w:rsidRPr="00901E50">
        <w:rPr>
          <w:rFonts w:cs="Arial"/>
          <w:sz w:val="18"/>
          <w:szCs w:val="18"/>
          <w:lang w:val="es-ES"/>
        </w:rPr>
        <w:t xml:space="preserve"> do Ceará–IPECE, </w:t>
      </w:r>
      <w:r w:rsidRPr="00C02D3A">
        <w:rPr>
          <w:rFonts w:cs="Arial"/>
          <w:sz w:val="18"/>
          <w:szCs w:val="18"/>
          <w:lang w:val="es-ES"/>
        </w:rPr>
        <w:t xml:space="preserve"> a partir de datos de la </w:t>
      </w:r>
      <w:r w:rsidRPr="00C02D3A">
        <w:rPr>
          <w:rFonts w:cs="Arial"/>
          <w:i/>
          <w:sz w:val="18"/>
          <w:szCs w:val="18"/>
          <w:lang w:val="es-ES"/>
        </w:rPr>
        <w:t>Pesquisa Nacional por Amostra de Domicílios</w:t>
      </w:r>
      <w:r w:rsidRPr="00C02D3A">
        <w:rPr>
          <w:rFonts w:cs="Arial"/>
          <w:sz w:val="18"/>
          <w:szCs w:val="18"/>
          <w:lang w:val="es-ES"/>
        </w:rPr>
        <w:t xml:space="preserve"> (PNAD) e Instituto Brasileño de Geografía y Estadística -IBGE, 2012.</w:t>
      </w:r>
      <w:r w:rsidRPr="00AA5C83">
        <w:rPr>
          <w:rFonts w:cs="Arial"/>
          <w:sz w:val="18"/>
          <w:szCs w:val="18"/>
          <w:lang w:val="es-ES"/>
        </w:rPr>
        <w:t xml:space="preserve"> En Brasil, 3,9% de la población vive en pobreza extrema.</w:t>
      </w:r>
      <w:r w:rsidRPr="00C02D3A">
        <w:rPr>
          <w:rFonts w:cs="Arial"/>
          <w:sz w:val="18"/>
          <w:szCs w:val="18"/>
        </w:rPr>
        <w:t xml:space="preserve"> </w:t>
      </w:r>
    </w:p>
  </w:footnote>
  <w:footnote w:id="5">
    <w:p w14:paraId="1A27835C" w14:textId="77777777" w:rsidR="00136578" w:rsidRPr="00C02D3A" w:rsidRDefault="00136578" w:rsidP="007E3AE0">
      <w:pPr>
        <w:pStyle w:val="FootnoteText"/>
        <w:spacing w:after="0"/>
        <w:rPr>
          <w:rFonts w:cs="Arial"/>
          <w:sz w:val="18"/>
          <w:szCs w:val="18"/>
        </w:rPr>
      </w:pPr>
      <w:r w:rsidRPr="00D47AB7">
        <w:rPr>
          <w:rStyle w:val="FootnoteReference"/>
          <w:rFonts w:cs="Arial"/>
          <w:sz w:val="18"/>
          <w:szCs w:val="18"/>
        </w:rPr>
        <w:footnoteRef/>
      </w:r>
      <w:r w:rsidRPr="00C02D3A">
        <w:rPr>
          <w:rFonts w:cs="Arial"/>
          <w:sz w:val="18"/>
          <w:szCs w:val="18"/>
        </w:rPr>
        <w:t xml:space="preserve"> </w:t>
      </w:r>
      <w:r w:rsidRPr="00C02D3A">
        <w:rPr>
          <w:rFonts w:cs="Arial"/>
          <w:sz w:val="18"/>
          <w:szCs w:val="18"/>
        </w:rPr>
        <w:tab/>
        <w:t>Personas mayores de 15 años. Fuente: IPECE, a partir de datos de la PNAD e IBGE, 2012.</w:t>
      </w:r>
    </w:p>
  </w:footnote>
  <w:footnote w:id="6">
    <w:p w14:paraId="78E7335D"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t xml:space="preserve">Programa Naciones Unidas para el Desarrollo (PNUD), 2010. Estos municipios están dispersos en todo </w:t>
      </w:r>
      <w:r>
        <w:rPr>
          <w:rFonts w:cs="Arial"/>
          <w:sz w:val="18"/>
          <w:szCs w:val="18"/>
          <w:lang w:val="es-ES"/>
        </w:rPr>
        <w:t xml:space="preserve">el </w:t>
      </w:r>
      <w:r w:rsidRPr="007D394C">
        <w:rPr>
          <w:rFonts w:cs="Arial"/>
          <w:sz w:val="18"/>
          <w:szCs w:val="18"/>
          <w:lang w:val="es-ES"/>
        </w:rPr>
        <w:t>territorio del Estado, pero se observa</w:t>
      </w:r>
      <w:r>
        <w:rPr>
          <w:rFonts w:cs="Arial"/>
          <w:sz w:val="18"/>
          <w:szCs w:val="18"/>
          <w:lang w:val="es-ES"/>
        </w:rPr>
        <w:t>n</w:t>
      </w:r>
      <w:r w:rsidRPr="007D394C">
        <w:rPr>
          <w:rFonts w:cs="Arial"/>
          <w:sz w:val="18"/>
          <w:szCs w:val="18"/>
          <w:lang w:val="es-ES"/>
        </w:rPr>
        <w:t xml:space="preserve"> concentraciones en las regiones Sertão Central, Fortaleza y Norte.</w:t>
      </w:r>
    </w:p>
  </w:footnote>
  <w:footnote w:id="7">
    <w:p w14:paraId="58AA79E9"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t xml:space="preserve">La diferencia entre el peor PIB </w:t>
      </w:r>
      <w:r w:rsidRPr="00C03B7C">
        <w:rPr>
          <w:rFonts w:cs="Arial"/>
          <w:sz w:val="18"/>
          <w:szCs w:val="18"/>
          <w:lang w:val="es-ES"/>
        </w:rPr>
        <w:t>per cápita</w:t>
      </w:r>
      <w:r w:rsidRPr="007D394C">
        <w:rPr>
          <w:rFonts w:cs="Arial"/>
          <w:sz w:val="18"/>
          <w:szCs w:val="18"/>
          <w:lang w:val="es-ES"/>
        </w:rPr>
        <w:t xml:space="preserve"> municipal y el mejor</w:t>
      </w:r>
      <w:r>
        <w:rPr>
          <w:rFonts w:cs="Arial"/>
          <w:sz w:val="18"/>
          <w:szCs w:val="18"/>
          <w:lang w:val="es-ES"/>
        </w:rPr>
        <w:t>,</w:t>
      </w:r>
      <w:r w:rsidRPr="007D394C">
        <w:rPr>
          <w:rFonts w:cs="Arial"/>
          <w:sz w:val="18"/>
          <w:szCs w:val="18"/>
          <w:lang w:val="es-ES"/>
        </w:rPr>
        <w:t xml:space="preserve"> llega a más de 1.000% (R$3.169 y R$39.997). Asimismo, 30% de los municipios de Ceará presentan un valor entre 0,56 y 0,65 para el Índice Gini, mientras que el promedio de Ceará es 0,53 y Brasil 0,52 (Instituto de Pesquisa Económica Aplicada–IPEA 2010).</w:t>
      </w:r>
    </w:p>
  </w:footnote>
  <w:footnote w:id="8">
    <w:p w14:paraId="1F13B4B1"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t>Son prevalentes los cánceres de mama para las mujeres y de próstata para los hombres, cuyas tasas de mortalidad fueron de 14,8 y 12/ 100.000 habitantes, respectivamente, en 2013.</w:t>
      </w:r>
    </w:p>
  </w:footnote>
  <w:footnote w:id="9">
    <w:p w14:paraId="5207A3FF"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t>Encuesta Nacional de Factores de Riesgo, Vigitel, Ministerio de Salud.</w:t>
      </w:r>
    </w:p>
  </w:footnote>
  <w:footnote w:id="10">
    <w:p w14:paraId="0A2B423C" w14:textId="77777777" w:rsidR="00136578" w:rsidRPr="00C02D3A" w:rsidRDefault="00136578" w:rsidP="007E3AE0">
      <w:pPr>
        <w:pStyle w:val="FootnoteText"/>
        <w:spacing w:after="0"/>
        <w:ind w:left="270" w:hanging="270"/>
        <w:rPr>
          <w:rFonts w:cs="Arial"/>
          <w:sz w:val="18"/>
          <w:szCs w:val="18"/>
        </w:rPr>
      </w:pPr>
      <w:r w:rsidRPr="00C03B7C">
        <w:rPr>
          <w:rStyle w:val="FootnoteReference"/>
          <w:rFonts w:eastAsiaTheme="majorEastAsia" w:cs="Arial"/>
          <w:sz w:val="18"/>
          <w:szCs w:val="18"/>
        </w:rPr>
        <w:footnoteRef/>
      </w:r>
      <w:r w:rsidRPr="00C03B7C">
        <w:rPr>
          <w:rFonts w:cs="Arial"/>
          <w:sz w:val="18"/>
          <w:szCs w:val="18"/>
          <w:lang w:val="es-ES"/>
        </w:rPr>
        <w:t xml:space="preserve"> </w:t>
      </w:r>
      <w:r w:rsidRPr="00C03B7C">
        <w:rPr>
          <w:rFonts w:cs="Arial"/>
          <w:sz w:val="18"/>
          <w:szCs w:val="18"/>
          <w:lang w:val="es-ES"/>
        </w:rPr>
        <w:tab/>
        <w:t>OPS (2012), Mejora de Cuidados Crónicos a través de las Redes Integradas de Servicios de Salud http://www.paho.org/hq/index.php?option=com_docman&amp;task=doc_view&amp;gid=21400&amp;Itemid), SFD de Salud y Nutrición (GN-2735-3)</w:t>
      </w:r>
    </w:p>
  </w:footnote>
  <w:footnote w:id="11">
    <w:p w14:paraId="3898AE0C" w14:textId="77777777" w:rsidR="00136578" w:rsidRPr="00DB373A" w:rsidRDefault="00136578" w:rsidP="007E3AE0">
      <w:pPr>
        <w:pStyle w:val="FootnoteText"/>
        <w:tabs>
          <w:tab w:val="left" w:pos="270"/>
        </w:tabs>
        <w:spacing w:after="0"/>
        <w:ind w:left="274" w:hanging="274"/>
        <w:rPr>
          <w:rFonts w:cs="Arial"/>
          <w:sz w:val="18"/>
          <w:szCs w:val="18"/>
          <w:lang w:val="en-US"/>
        </w:rPr>
      </w:pPr>
      <w:r w:rsidRPr="007D394C">
        <w:rPr>
          <w:rStyle w:val="FootnoteReference"/>
          <w:rFonts w:eastAsiaTheme="majorEastAsia" w:cs="Arial"/>
          <w:sz w:val="18"/>
          <w:szCs w:val="18"/>
          <w:lang w:val="es-ES"/>
        </w:rPr>
        <w:footnoteRef/>
      </w:r>
      <w:r w:rsidRPr="00DB373A">
        <w:rPr>
          <w:rFonts w:cs="Arial"/>
          <w:sz w:val="18"/>
          <w:szCs w:val="18"/>
          <w:lang w:val="en-US"/>
        </w:rPr>
        <w:t xml:space="preserve"> </w:t>
      </w:r>
      <w:r w:rsidRPr="00DB373A">
        <w:rPr>
          <w:rFonts w:cs="Arial"/>
          <w:sz w:val="18"/>
          <w:szCs w:val="18"/>
          <w:lang w:val="en-US"/>
        </w:rPr>
        <w:tab/>
        <w:t>WHO, 2009; Schramm, J. et al., Stevens, A. et al., 2012 ; Barker, G., Ricardo, C. and M. Nascimento, 2007; WHO, 2007; Pathania, V.S., 2011; DeVon, HA, et al., 2008.</w:t>
      </w:r>
    </w:p>
  </w:footnote>
  <w:footnote w:id="12">
    <w:p w14:paraId="5459C951"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t xml:space="preserve">La </w:t>
      </w:r>
      <w:r>
        <w:rPr>
          <w:rFonts w:cs="Arial"/>
          <w:sz w:val="18"/>
          <w:szCs w:val="18"/>
          <w:lang w:val="es-ES"/>
        </w:rPr>
        <w:t>tasa de mortalidad infantil</w:t>
      </w:r>
      <w:r w:rsidRPr="007D394C">
        <w:rPr>
          <w:rFonts w:cs="Arial"/>
          <w:sz w:val="18"/>
          <w:szCs w:val="18"/>
          <w:lang w:val="es-ES"/>
        </w:rPr>
        <w:t xml:space="preserve"> para Brasil en 2013 fue de 15,02 por 1.000 nacidos vivos.</w:t>
      </w:r>
    </w:p>
  </w:footnote>
  <w:footnote w:id="13">
    <w:p w14:paraId="138D02CB"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t>Entre 2001 y 2013, mientras que la tasa de mortalidad pos-neonatal (después de 28 días de vida)</w:t>
      </w:r>
      <w:r>
        <w:rPr>
          <w:rFonts w:cs="Arial"/>
          <w:sz w:val="18"/>
          <w:szCs w:val="18"/>
          <w:lang w:val="es-ES"/>
        </w:rPr>
        <w:t>,</w:t>
      </w:r>
      <w:r w:rsidRPr="007D394C">
        <w:rPr>
          <w:rFonts w:cs="Arial"/>
          <w:sz w:val="18"/>
          <w:szCs w:val="18"/>
          <w:lang w:val="es-ES"/>
        </w:rPr>
        <w:t xml:space="preserve"> </w:t>
      </w:r>
      <w:r>
        <w:rPr>
          <w:rFonts w:cs="Arial"/>
          <w:sz w:val="18"/>
          <w:szCs w:val="18"/>
          <w:lang w:val="es-ES"/>
        </w:rPr>
        <w:t xml:space="preserve">se </w:t>
      </w:r>
      <w:r w:rsidRPr="007D394C">
        <w:rPr>
          <w:rFonts w:cs="Arial"/>
          <w:sz w:val="18"/>
          <w:szCs w:val="18"/>
          <w:lang w:val="es-ES"/>
        </w:rPr>
        <w:t>redujo más de 50%, la tasa de mortalidad neonatal (hasta 28 días de vida) bajó apenas 24%.</w:t>
      </w:r>
    </w:p>
  </w:footnote>
  <w:footnote w:id="14">
    <w:p w14:paraId="23B0DB79" w14:textId="77777777" w:rsidR="00136578" w:rsidRPr="007D394C" w:rsidRDefault="00136578" w:rsidP="007E3AE0">
      <w:pPr>
        <w:autoSpaceDE w:val="0"/>
        <w:autoSpaceDN w:val="0"/>
        <w:adjustRightInd w:val="0"/>
        <w:ind w:left="274" w:hanging="274"/>
        <w:jc w:val="both"/>
        <w:rPr>
          <w:rFonts w:cs="Arial"/>
          <w:sz w:val="18"/>
          <w:szCs w:val="18"/>
          <w:lang w:val="es-ES"/>
        </w:rPr>
      </w:pPr>
      <w:r w:rsidRPr="007D394C">
        <w:rPr>
          <w:rStyle w:val="FootnoteReference"/>
          <w:rFonts w:eastAsiaTheme="majorEastAsia" w:cs="Arial"/>
          <w:sz w:val="18"/>
          <w:szCs w:val="18"/>
          <w:lang w:val="es-ES"/>
        </w:rPr>
        <w:footnoteRef/>
      </w:r>
      <w:r w:rsidRPr="007D394C">
        <w:rPr>
          <w:rFonts w:cs="Arial"/>
          <w:sz w:val="18"/>
          <w:szCs w:val="18"/>
          <w:lang w:val="es-ES"/>
        </w:rPr>
        <w:tab/>
        <w:t>Las dos principales causas directas específicas de muerte materna en Brasil son la hipertensión y el shock hemorrágico, que correspondieron en 2010, a 19,7% y 10,9% del total de óbitos maternos, respectivamente. Otras causas obstétricas directas importantes son la infección puerperal y el aborto, que correspondieron, respectivamente, a 6,5% y 4,6% del total de óbitos maternos.</w:t>
      </w:r>
    </w:p>
  </w:footnote>
  <w:footnote w:id="15">
    <w:p w14:paraId="52E06D80" w14:textId="77777777" w:rsidR="00136578" w:rsidRPr="007D394C" w:rsidRDefault="00136578" w:rsidP="007E3AE0">
      <w:pPr>
        <w:pStyle w:val="FootnoteText"/>
        <w:spacing w:after="0"/>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r>
      <w:r w:rsidRPr="007D394C">
        <w:rPr>
          <w:rFonts w:cs="Arial"/>
          <w:spacing w:val="0"/>
          <w:sz w:val="18"/>
          <w:szCs w:val="18"/>
          <w:lang w:val="es-ES"/>
        </w:rPr>
        <w:t>Las RAS son arreglos organizativos de acciones y servicios de salud, de diferentes complejidades, integradas por medio de sistemas de apoyo técnico y logístico, que buscan generar mayor eficiencia en los gastos y garantizar la integralidad de la atención (Ministerio de Salud Brasil, 2010).</w:t>
      </w:r>
    </w:p>
  </w:footnote>
  <w:footnote w:id="16">
    <w:p w14:paraId="06D5985A"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eastAsiaTheme="majorEastAsia" w:cs="Arial"/>
          <w:sz w:val="18"/>
          <w:szCs w:val="18"/>
          <w:lang w:val="es-ES"/>
        </w:rPr>
        <w:footnoteRef/>
      </w:r>
      <w:r w:rsidRPr="007D394C">
        <w:rPr>
          <w:rFonts w:cs="Arial"/>
          <w:sz w:val="18"/>
          <w:szCs w:val="18"/>
          <w:lang w:val="es-ES"/>
        </w:rPr>
        <w:t xml:space="preserve"> </w:t>
      </w:r>
      <w:r w:rsidRPr="007D394C">
        <w:rPr>
          <w:rFonts w:cs="Arial"/>
          <w:sz w:val="18"/>
          <w:szCs w:val="18"/>
          <w:lang w:val="es-ES"/>
        </w:rPr>
        <w:tab/>
        <w:t xml:space="preserve">El Estado de Ceará tuvo un rol clave en el modelaje  de la estrategia nacional de salud familiar (Tendler et al., 1998). </w:t>
      </w:r>
    </w:p>
  </w:footnote>
  <w:footnote w:id="17">
    <w:p w14:paraId="4B4267CC"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t>Ceará posee en promedio una cobertura de 80% del PSF (DATASUS, 2014).</w:t>
      </w:r>
    </w:p>
  </w:footnote>
  <w:footnote w:id="18">
    <w:p w14:paraId="4D94D24D" w14:textId="77777777" w:rsidR="00136578" w:rsidRPr="007D394C" w:rsidRDefault="00136578" w:rsidP="007E3AE0">
      <w:pPr>
        <w:pStyle w:val="FootnoteText"/>
        <w:tabs>
          <w:tab w:val="left" w:pos="270"/>
        </w:tabs>
        <w:spacing w:after="0"/>
        <w:ind w:left="274" w:hanging="274"/>
        <w:rPr>
          <w:rFonts w:cs="Arial"/>
          <w:sz w:val="18"/>
          <w:szCs w:val="18"/>
          <w:lang w:val="es-ES"/>
        </w:rPr>
      </w:pPr>
      <w:r w:rsidRPr="007D394C">
        <w:rPr>
          <w:rStyle w:val="FootnoteReference"/>
          <w:rFonts w:eastAsiaTheme="majorEastAsia" w:cs="Arial"/>
          <w:sz w:val="18"/>
          <w:szCs w:val="18"/>
          <w:lang w:val="es-ES"/>
        </w:rPr>
        <w:footnoteRef/>
      </w:r>
      <w:r w:rsidRPr="007D394C">
        <w:rPr>
          <w:rFonts w:cs="Arial"/>
          <w:sz w:val="18"/>
          <w:szCs w:val="18"/>
          <w:lang w:val="es-ES"/>
        </w:rPr>
        <w:t xml:space="preserve"> </w:t>
      </w:r>
      <w:r w:rsidRPr="007D394C">
        <w:rPr>
          <w:rFonts w:cs="Arial"/>
          <w:sz w:val="18"/>
          <w:szCs w:val="18"/>
          <w:lang w:val="es-ES"/>
        </w:rPr>
        <w:tab/>
        <w:t>El PSF es un modelo centrado en Atención Primaria en Salud (APS) que prioriza facilitar el acceso, y es un punto de partida para consolidar las redes. Para resultados del</w:t>
      </w:r>
      <w:r w:rsidRPr="009A7589">
        <w:rPr>
          <w:rFonts w:cs="Arial"/>
          <w:sz w:val="22"/>
          <w:szCs w:val="22"/>
        </w:rPr>
        <w:t xml:space="preserve"> </w:t>
      </w:r>
      <w:r w:rsidRPr="009A7589">
        <w:rPr>
          <w:rFonts w:cs="Arial"/>
          <w:sz w:val="18"/>
          <w:szCs w:val="18"/>
        </w:rPr>
        <w:t>Programa Salud Familiar</w:t>
      </w:r>
      <w:r w:rsidRPr="00D47AB7">
        <w:rPr>
          <w:rFonts w:cs="Arial"/>
          <w:sz w:val="18"/>
          <w:szCs w:val="18"/>
          <w:lang w:val="es-ES"/>
        </w:rPr>
        <w:t xml:space="preserve"> (PSF), ver Macinko et al., 2006. </w:t>
      </w:r>
    </w:p>
  </w:footnote>
  <w:footnote w:id="19">
    <w:p w14:paraId="6154C1F7"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t>El primer Plan Director de Regionalización (PDR) de Ceará (1998) previa 3 macro regiones de salud. Actualmente (PDR 2014) están contempladas 5 macro regiones.</w:t>
      </w:r>
    </w:p>
  </w:footnote>
  <w:footnote w:id="20">
    <w:p w14:paraId="0BA21373"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Ceará fue considerado el primer estado a desarrollar la experiencia de regionalización con base en el concepto de RAS (Mendes, EV., 2007).  </w:t>
      </w:r>
    </w:p>
  </w:footnote>
  <w:footnote w:id="21">
    <w:p w14:paraId="63D0D9C6"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cs="Arial"/>
          <w:sz w:val="18"/>
          <w:szCs w:val="18"/>
          <w:lang w:val="es-ES"/>
        </w:rPr>
        <w:footnoteRef/>
      </w:r>
      <w:r w:rsidRPr="007D394C">
        <w:rPr>
          <w:rFonts w:cs="Arial"/>
          <w:sz w:val="18"/>
          <w:szCs w:val="18"/>
          <w:lang w:val="es-ES"/>
        </w:rPr>
        <w:t xml:space="preserve"> </w:t>
      </w:r>
      <w:r w:rsidRPr="007D394C">
        <w:rPr>
          <w:rFonts w:cs="Arial"/>
          <w:sz w:val="18"/>
          <w:szCs w:val="18"/>
          <w:lang w:val="es-ES"/>
        </w:rPr>
        <w:tab/>
        <w:t xml:space="preserve">El programa obtuvo elegibilidad en diciembre de 2010 y finalizará en diciembre de 2016, y ya alcanza 95% de ejecución. </w:t>
      </w:r>
    </w:p>
  </w:footnote>
  <w:footnote w:id="22">
    <w:p w14:paraId="5E3F6735"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eastAsiaTheme="majorEastAsia" w:cs="Arial"/>
          <w:sz w:val="18"/>
          <w:szCs w:val="18"/>
          <w:lang w:val="es-ES"/>
        </w:rPr>
        <w:footnoteRef/>
      </w:r>
      <w:r w:rsidRPr="007D394C">
        <w:rPr>
          <w:rFonts w:cs="Arial"/>
          <w:sz w:val="18"/>
          <w:szCs w:val="18"/>
          <w:lang w:val="es-ES"/>
        </w:rPr>
        <w:t xml:space="preserve"> </w:t>
      </w:r>
      <w:r w:rsidRPr="007D394C">
        <w:rPr>
          <w:rFonts w:cs="Arial"/>
          <w:sz w:val="18"/>
          <w:szCs w:val="18"/>
          <w:lang w:val="es-ES"/>
        </w:rPr>
        <w:tab/>
        <w:t xml:space="preserve">Esto incluye estudios y consultorías para reestructurar procesos y flujos del nivel central de SESA y sus unidades regionales, así como para mejorar aspectos de gestión de redes como desempeño de las unidades, costo-efectividad, mejora de la eficiencia, entre otros. </w:t>
      </w:r>
    </w:p>
  </w:footnote>
  <w:footnote w:id="23">
    <w:p w14:paraId="416733C5" w14:textId="77777777" w:rsidR="00136578" w:rsidRPr="007D394C" w:rsidRDefault="00136578" w:rsidP="007E3AE0">
      <w:pPr>
        <w:pStyle w:val="FootnoteText"/>
        <w:spacing w:after="0"/>
        <w:ind w:left="274" w:hanging="274"/>
        <w:rPr>
          <w:rFonts w:cs="Arial"/>
          <w:sz w:val="18"/>
          <w:szCs w:val="18"/>
          <w:lang w:val="es-ES"/>
        </w:rPr>
      </w:pPr>
      <w:r w:rsidRPr="007D394C">
        <w:rPr>
          <w:rStyle w:val="FootnoteReference"/>
          <w:rFonts w:eastAsiaTheme="majorEastAsia" w:cs="Arial"/>
          <w:sz w:val="18"/>
          <w:szCs w:val="18"/>
          <w:lang w:val="es-ES"/>
        </w:rPr>
        <w:footnoteRef/>
      </w:r>
      <w:r w:rsidRPr="007D394C">
        <w:rPr>
          <w:rFonts w:cs="Arial"/>
          <w:sz w:val="18"/>
          <w:szCs w:val="18"/>
          <w:lang w:val="es-ES"/>
        </w:rPr>
        <w:t xml:space="preserve"> </w:t>
      </w:r>
      <w:r w:rsidRPr="007D394C">
        <w:rPr>
          <w:rFonts w:cs="Arial"/>
          <w:sz w:val="18"/>
          <w:szCs w:val="18"/>
          <w:lang w:val="es-ES"/>
        </w:rPr>
        <w:tab/>
        <w:t>Son líneas de cuidado prioritarias: hipertensión arterial, diabetes mellitus y materno-infantil.</w:t>
      </w:r>
    </w:p>
  </w:footnote>
  <w:footnote w:id="24">
    <w:p w14:paraId="2F39EC67" w14:textId="77777777" w:rsidR="00136578" w:rsidRPr="007D394C" w:rsidRDefault="00136578" w:rsidP="007E3AE0">
      <w:pPr>
        <w:pStyle w:val="FootnoteText"/>
        <w:spacing w:after="0"/>
        <w:rPr>
          <w:rFonts w:cs="Arial"/>
          <w:sz w:val="18"/>
          <w:szCs w:val="18"/>
          <w:lang w:val="es-ES"/>
        </w:rPr>
      </w:pPr>
      <w:r w:rsidRPr="00C03B7C">
        <w:rPr>
          <w:rStyle w:val="FootnoteReference"/>
          <w:rFonts w:cs="Arial"/>
          <w:sz w:val="18"/>
          <w:szCs w:val="18"/>
        </w:rPr>
        <w:footnoteRef/>
      </w:r>
      <w:r w:rsidRPr="009A7589">
        <w:rPr>
          <w:rFonts w:cs="Arial"/>
          <w:sz w:val="18"/>
          <w:szCs w:val="18"/>
        </w:rPr>
        <w:t xml:space="preserve"> </w:t>
      </w:r>
      <w:r w:rsidRPr="007D394C">
        <w:rPr>
          <w:rFonts w:cs="Arial"/>
          <w:sz w:val="18"/>
          <w:szCs w:val="18"/>
          <w:lang w:val="es-ES"/>
        </w:rPr>
        <w:t>De acuerdo al diagnóstico de necesidades realizado en la Red Cigüeña, con apoyo del MS.</w:t>
      </w:r>
    </w:p>
  </w:footnote>
  <w:footnote w:id="25">
    <w:p w14:paraId="5C2EEB1B" w14:textId="77777777" w:rsidR="002E2259" w:rsidRPr="004E29B7" w:rsidRDefault="002E2259" w:rsidP="007E3AE0">
      <w:pPr>
        <w:pStyle w:val="FootnoteText"/>
        <w:spacing w:after="0"/>
        <w:rPr>
          <w:rFonts w:cs="Arial"/>
          <w:sz w:val="18"/>
          <w:szCs w:val="18"/>
          <w:lang w:val="es-ES"/>
        </w:rPr>
      </w:pPr>
      <w:r w:rsidRPr="004E29B7">
        <w:rPr>
          <w:rStyle w:val="FootnoteReference"/>
          <w:rFonts w:ascii="Arial" w:hAnsi="Arial" w:cs="Arial"/>
          <w:sz w:val="18"/>
          <w:szCs w:val="18"/>
        </w:rPr>
        <w:footnoteRef/>
      </w:r>
      <w:r w:rsidRPr="004E29B7">
        <w:rPr>
          <w:rFonts w:cs="Arial"/>
          <w:sz w:val="18"/>
          <w:szCs w:val="18"/>
          <w:lang w:val="es-ES"/>
        </w:rPr>
        <w:t xml:space="preserve"> </w:t>
      </w:r>
      <w:r>
        <w:rPr>
          <w:rFonts w:cs="Arial"/>
          <w:sz w:val="18"/>
          <w:szCs w:val="18"/>
          <w:lang w:val="es-ES"/>
        </w:rPr>
        <w:tab/>
      </w:r>
      <w:r w:rsidRPr="004E29B7">
        <w:rPr>
          <w:rFonts w:cs="Arial"/>
          <w:sz w:val="18"/>
          <w:szCs w:val="18"/>
          <w:lang w:val="es-ES"/>
        </w:rPr>
        <w:t xml:space="preserve">Líneas de cuidado: Materno-Infantil, </w:t>
      </w:r>
      <w:r>
        <w:rPr>
          <w:rFonts w:cs="Arial"/>
          <w:sz w:val="18"/>
          <w:szCs w:val="18"/>
          <w:lang w:val="es-ES"/>
        </w:rPr>
        <w:t>DM</w:t>
      </w:r>
      <w:r w:rsidRPr="004E29B7">
        <w:rPr>
          <w:rFonts w:cs="Arial"/>
          <w:sz w:val="18"/>
          <w:szCs w:val="18"/>
          <w:lang w:val="es-ES"/>
        </w:rPr>
        <w:t xml:space="preserve"> e Hipertensión Arterial Sistémica.</w:t>
      </w:r>
    </w:p>
  </w:footnote>
  <w:footnote w:id="26">
    <w:p w14:paraId="0EFE53C9" w14:textId="77777777" w:rsidR="002E2259" w:rsidRPr="004E29B7" w:rsidRDefault="002E2259" w:rsidP="007E3AE0">
      <w:pPr>
        <w:pStyle w:val="FootnoteText"/>
        <w:spacing w:after="0"/>
        <w:rPr>
          <w:rFonts w:cs="Arial"/>
          <w:sz w:val="18"/>
          <w:szCs w:val="18"/>
          <w:lang w:val="es-ES"/>
        </w:rPr>
      </w:pPr>
    </w:p>
  </w:footnote>
  <w:footnote w:id="27">
    <w:p w14:paraId="4DE10BDA" w14:textId="77777777" w:rsidR="00136578" w:rsidRPr="004E29B7" w:rsidRDefault="00136578" w:rsidP="007E3AE0">
      <w:pPr>
        <w:pStyle w:val="FootnoteText"/>
        <w:spacing w:after="0"/>
        <w:rPr>
          <w:rFonts w:cs="Arial"/>
          <w:sz w:val="18"/>
          <w:szCs w:val="18"/>
          <w:lang w:val="es-ES"/>
        </w:rPr>
      </w:pPr>
      <w:r w:rsidRPr="004E29B7">
        <w:rPr>
          <w:rStyle w:val="FootnoteReference"/>
          <w:rFonts w:ascii="Arial" w:hAnsi="Arial" w:cs="Arial"/>
          <w:sz w:val="18"/>
          <w:szCs w:val="18"/>
        </w:rPr>
        <w:footnoteRef/>
      </w:r>
      <w:r w:rsidRPr="004E29B7">
        <w:rPr>
          <w:rFonts w:cs="Arial"/>
          <w:sz w:val="18"/>
          <w:szCs w:val="18"/>
          <w:lang w:val="es-ES"/>
        </w:rPr>
        <w:t xml:space="preserve"> </w:t>
      </w:r>
      <w:r>
        <w:rPr>
          <w:rFonts w:cs="Arial"/>
          <w:sz w:val="18"/>
          <w:szCs w:val="18"/>
          <w:lang w:val="es-ES"/>
        </w:rPr>
        <w:tab/>
      </w:r>
      <w:r w:rsidRPr="004E29B7">
        <w:rPr>
          <w:rFonts w:cs="Arial"/>
          <w:sz w:val="18"/>
          <w:szCs w:val="18"/>
          <w:lang w:val="es-ES"/>
        </w:rPr>
        <w:t>Para este resultado, serán tomados los exámenes de urea, creatinina, t4, tsh y hemoglobina glicosilada.</w:t>
      </w:r>
    </w:p>
  </w:footnote>
  <w:footnote w:id="28">
    <w:p w14:paraId="4D908F20" w14:textId="77777777" w:rsidR="00136578" w:rsidRDefault="00136578" w:rsidP="007E3AE0">
      <w:pPr>
        <w:pStyle w:val="FootnoteText"/>
        <w:spacing w:after="0"/>
      </w:pPr>
      <w:r>
        <w:rPr>
          <w:rStyle w:val="FootnoteReference"/>
        </w:rPr>
        <w:footnoteRef/>
      </w:r>
      <w:r>
        <w:t xml:space="preserve"> </w:t>
      </w:r>
      <w:r w:rsidRPr="00025A3B">
        <w:t>ftp://ftp.data</w:t>
      </w:r>
      <w:r>
        <w:t>sus.gov.br/dissemin/publicos</w:t>
      </w:r>
    </w:p>
  </w:footnote>
  <w:footnote w:id="29">
    <w:p w14:paraId="3DCF8BCD" w14:textId="77777777" w:rsidR="00136578" w:rsidRDefault="00136578" w:rsidP="007E3AE0">
      <w:pPr>
        <w:pStyle w:val="FootnoteText"/>
        <w:spacing w:after="0"/>
      </w:pPr>
      <w:r>
        <w:rPr>
          <w:rStyle w:val="FootnoteReference"/>
        </w:rPr>
        <w:footnoteRef/>
      </w:r>
      <w:r>
        <w:t xml:space="preserve"> Más información sobre el SIM está disponible en: </w:t>
      </w:r>
      <w:r w:rsidRPr="00BE3153">
        <w:t>http://svs.aids.gov.br/cgiae/sim/</w:t>
      </w:r>
    </w:p>
  </w:footnote>
  <w:footnote w:id="30">
    <w:p w14:paraId="5E3314C2" w14:textId="77777777" w:rsidR="00136578" w:rsidRDefault="00136578" w:rsidP="007E3AE0">
      <w:pPr>
        <w:pStyle w:val="FootnoteText"/>
        <w:spacing w:after="0"/>
      </w:pPr>
      <w:r>
        <w:rPr>
          <w:rStyle w:val="FootnoteReference"/>
        </w:rPr>
        <w:footnoteRef/>
      </w:r>
      <w:r>
        <w:t xml:space="preserve"> Sin embargo la información era recopilada utilizando otro registro, la extinta Guía de Internação Hospitalar y no están disponibles a nivel municipal hasta 1992. </w:t>
      </w:r>
    </w:p>
  </w:footnote>
  <w:footnote w:id="31">
    <w:p w14:paraId="68B035C8" w14:textId="77777777" w:rsidR="00136578" w:rsidRDefault="00136578" w:rsidP="007E3AE0">
      <w:pPr>
        <w:pStyle w:val="FootnoteText"/>
        <w:spacing w:after="0"/>
      </w:pPr>
      <w:r>
        <w:rPr>
          <w:rStyle w:val="FootnoteReference"/>
        </w:rPr>
        <w:footnoteRef/>
      </w:r>
      <w:r>
        <w:t xml:space="preserve"> Se consideran áreas metropolitanas aquellas aglomeraciones que se expanden sobre el territorio de más de un municipio y cuya población es mayor a un millón de habitantes.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A4E6" w14:textId="77777777" w:rsidR="00136578" w:rsidRPr="002027F0" w:rsidRDefault="00136578" w:rsidP="002027F0">
    <w:pPr>
      <w:tabs>
        <w:tab w:val="center" w:pos="4680"/>
        <w:tab w:val="right" w:pos="9360"/>
      </w:tabs>
      <w:rPr>
        <w:rFonts w:eastAsia="Calibri" w:cs="Arial"/>
        <w:spacing w:val="0"/>
        <w:sz w:val="18"/>
        <w:szCs w:val="18"/>
        <w:lang w:val="es-ES"/>
      </w:rPr>
    </w:pPr>
    <w:r w:rsidRPr="002027F0">
      <w:rPr>
        <w:rFonts w:eastAsia="Calibri" w:cs="Arial"/>
        <w:spacing w:val="0"/>
        <w:sz w:val="18"/>
        <w:szCs w:val="18"/>
        <w:lang w:val="es-ES"/>
      </w:rPr>
      <w:t>EER #</w:t>
    </w:r>
    <w:r>
      <w:rPr>
        <w:rFonts w:eastAsia="Calibri" w:cs="Arial"/>
        <w:spacing w:val="0"/>
        <w:sz w:val="18"/>
        <w:szCs w:val="18"/>
        <w:lang w:val="es-ES"/>
      </w:rPr>
      <w:t>3</w:t>
    </w:r>
    <w:r w:rsidRPr="002027F0">
      <w:rPr>
        <w:rFonts w:eastAsia="Calibri" w:cs="Arial"/>
        <w:spacing w:val="0"/>
        <w:sz w:val="18"/>
        <w:szCs w:val="18"/>
        <w:lang w:val="es-ES"/>
      </w:rPr>
      <w:t>-BR-L1408</w:t>
    </w:r>
  </w:p>
  <w:p w14:paraId="3E15C254" w14:textId="77777777" w:rsidR="00136578" w:rsidRPr="002027F0" w:rsidRDefault="00136578" w:rsidP="002027F0">
    <w:pPr>
      <w:tabs>
        <w:tab w:val="center" w:pos="4680"/>
        <w:tab w:val="right" w:pos="9360"/>
      </w:tabs>
      <w:rPr>
        <w:rFonts w:ascii="Times New Roman" w:eastAsia="Calibri" w:hAnsi="Times New Roman"/>
        <w:spacing w:val="0"/>
        <w:szCs w:val="24"/>
        <w:lang w:val="es-ES"/>
      </w:rPr>
    </w:pPr>
    <w:r w:rsidRPr="002027F0">
      <w:rPr>
        <w:rFonts w:eastAsia="Calibri" w:cs="Arial"/>
        <w:spacing w:val="0"/>
        <w:sz w:val="18"/>
        <w:szCs w:val="18"/>
        <w:lang w:val="es-ES"/>
      </w:rPr>
      <w:t xml:space="preserve">Página </w:t>
    </w:r>
    <w:r w:rsidRPr="002027F0">
      <w:rPr>
        <w:rFonts w:eastAsia="Calibri" w:cs="Arial"/>
        <w:bCs/>
        <w:spacing w:val="0"/>
        <w:sz w:val="18"/>
        <w:szCs w:val="18"/>
        <w:lang w:val="es-ES"/>
      </w:rPr>
      <w:fldChar w:fldCharType="begin"/>
    </w:r>
    <w:r w:rsidRPr="002027F0">
      <w:rPr>
        <w:rFonts w:eastAsia="Calibri" w:cs="Arial"/>
        <w:bCs/>
        <w:spacing w:val="0"/>
        <w:sz w:val="18"/>
        <w:szCs w:val="18"/>
        <w:lang w:val="es-ES"/>
      </w:rPr>
      <w:instrText xml:space="preserve"> PAGE </w:instrText>
    </w:r>
    <w:r w:rsidRPr="002027F0">
      <w:rPr>
        <w:rFonts w:eastAsia="Calibri" w:cs="Arial"/>
        <w:bCs/>
        <w:spacing w:val="0"/>
        <w:sz w:val="18"/>
        <w:szCs w:val="18"/>
        <w:lang w:val="es-ES"/>
      </w:rPr>
      <w:fldChar w:fldCharType="separate"/>
    </w:r>
    <w:r w:rsidR="00ED34DF">
      <w:rPr>
        <w:rFonts w:eastAsia="Calibri" w:cs="Arial"/>
        <w:bCs/>
        <w:noProof/>
        <w:spacing w:val="0"/>
        <w:sz w:val="18"/>
        <w:szCs w:val="18"/>
        <w:lang w:val="es-ES"/>
      </w:rPr>
      <w:t>26</w:t>
    </w:r>
    <w:r w:rsidRPr="002027F0">
      <w:rPr>
        <w:rFonts w:eastAsia="Calibri" w:cs="Arial"/>
        <w:bCs/>
        <w:spacing w:val="0"/>
        <w:sz w:val="18"/>
        <w:szCs w:val="18"/>
        <w:lang w:val="es-ES"/>
      </w:rPr>
      <w:fldChar w:fldCharType="end"/>
    </w:r>
    <w:r w:rsidRPr="002027F0">
      <w:rPr>
        <w:rFonts w:eastAsia="Calibri" w:cs="Arial"/>
        <w:spacing w:val="0"/>
        <w:sz w:val="18"/>
        <w:szCs w:val="18"/>
        <w:lang w:val="es-ES"/>
      </w:rPr>
      <w:t xml:space="preserve"> de </w:t>
    </w:r>
    <w:r w:rsidRPr="002027F0">
      <w:rPr>
        <w:rFonts w:eastAsia="Calibri" w:cs="Arial"/>
        <w:bCs/>
        <w:spacing w:val="0"/>
        <w:sz w:val="18"/>
        <w:szCs w:val="18"/>
        <w:lang w:val="es-ES"/>
      </w:rPr>
      <w:fldChar w:fldCharType="begin"/>
    </w:r>
    <w:r w:rsidRPr="002027F0">
      <w:rPr>
        <w:rFonts w:eastAsia="Calibri" w:cs="Arial"/>
        <w:bCs/>
        <w:spacing w:val="0"/>
        <w:sz w:val="18"/>
        <w:szCs w:val="18"/>
        <w:lang w:val="es-ES"/>
      </w:rPr>
      <w:instrText xml:space="preserve"> NUMPAGES  </w:instrText>
    </w:r>
    <w:r w:rsidRPr="002027F0">
      <w:rPr>
        <w:rFonts w:eastAsia="Calibri" w:cs="Arial"/>
        <w:bCs/>
        <w:spacing w:val="0"/>
        <w:sz w:val="18"/>
        <w:szCs w:val="18"/>
        <w:lang w:val="es-ES"/>
      </w:rPr>
      <w:fldChar w:fldCharType="separate"/>
    </w:r>
    <w:r w:rsidR="00ED34DF">
      <w:rPr>
        <w:rFonts w:eastAsia="Calibri" w:cs="Arial"/>
        <w:bCs/>
        <w:noProof/>
        <w:spacing w:val="0"/>
        <w:sz w:val="18"/>
        <w:szCs w:val="18"/>
        <w:lang w:val="es-ES"/>
      </w:rPr>
      <w:t>26</w:t>
    </w:r>
    <w:r w:rsidRPr="002027F0">
      <w:rPr>
        <w:rFonts w:eastAsia="Calibri" w:cs="Arial"/>
        <w:bCs/>
        <w:spacing w:val="0"/>
        <w:sz w:val="18"/>
        <w:szCs w:val="18"/>
        <w:lang w:val="es-ES"/>
      </w:rPr>
      <w:fldChar w:fldCharType="end"/>
    </w:r>
  </w:p>
  <w:p w14:paraId="63CCE1E3" w14:textId="77777777" w:rsidR="00136578" w:rsidRPr="002027F0" w:rsidRDefault="00136578">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FFAD" w14:textId="77777777" w:rsidR="00136578" w:rsidRPr="002027F0" w:rsidRDefault="00136578" w:rsidP="002027F0">
    <w:pPr>
      <w:tabs>
        <w:tab w:val="center" w:pos="4680"/>
        <w:tab w:val="right" w:pos="9360"/>
      </w:tabs>
      <w:jc w:val="right"/>
      <w:rPr>
        <w:rFonts w:eastAsia="Calibri" w:cs="Arial"/>
        <w:spacing w:val="0"/>
        <w:sz w:val="18"/>
        <w:szCs w:val="18"/>
        <w:lang w:val="es-ES"/>
      </w:rPr>
    </w:pPr>
    <w:r w:rsidRPr="002027F0">
      <w:rPr>
        <w:rFonts w:eastAsia="Calibri" w:cs="Arial"/>
        <w:spacing w:val="0"/>
        <w:sz w:val="18"/>
        <w:szCs w:val="18"/>
        <w:lang w:val="es-ES"/>
      </w:rPr>
      <w:t>EER #</w:t>
    </w:r>
    <w:r>
      <w:rPr>
        <w:rFonts w:eastAsia="Calibri" w:cs="Arial"/>
        <w:spacing w:val="0"/>
        <w:sz w:val="18"/>
        <w:szCs w:val="18"/>
        <w:lang w:val="es-ES"/>
      </w:rPr>
      <w:t>3</w:t>
    </w:r>
    <w:r w:rsidRPr="002027F0">
      <w:rPr>
        <w:rFonts w:eastAsia="Calibri" w:cs="Arial"/>
        <w:spacing w:val="0"/>
        <w:sz w:val="18"/>
        <w:szCs w:val="18"/>
        <w:lang w:val="es-ES"/>
      </w:rPr>
      <w:t>-BR-L1408</w:t>
    </w:r>
  </w:p>
  <w:p w14:paraId="58968077" w14:textId="77777777" w:rsidR="00136578" w:rsidRPr="002027F0" w:rsidRDefault="00136578" w:rsidP="002027F0">
    <w:pPr>
      <w:tabs>
        <w:tab w:val="center" w:pos="4680"/>
        <w:tab w:val="right" w:pos="9360"/>
      </w:tabs>
      <w:jc w:val="right"/>
      <w:rPr>
        <w:rFonts w:ascii="Times New Roman" w:eastAsia="Calibri" w:hAnsi="Times New Roman"/>
        <w:spacing w:val="0"/>
        <w:szCs w:val="24"/>
        <w:lang w:val="es-ES"/>
      </w:rPr>
    </w:pPr>
    <w:r w:rsidRPr="002027F0">
      <w:rPr>
        <w:rFonts w:eastAsia="Calibri" w:cs="Arial"/>
        <w:spacing w:val="0"/>
        <w:sz w:val="18"/>
        <w:szCs w:val="18"/>
        <w:lang w:val="es-ES"/>
      </w:rPr>
      <w:t xml:space="preserve">Página </w:t>
    </w:r>
    <w:r w:rsidRPr="002027F0">
      <w:rPr>
        <w:rFonts w:eastAsia="Calibri" w:cs="Arial"/>
        <w:bCs/>
        <w:spacing w:val="0"/>
        <w:sz w:val="18"/>
        <w:szCs w:val="18"/>
        <w:lang w:val="es-ES"/>
      </w:rPr>
      <w:fldChar w:fldCharType="begin"/>
    </w:r>
    <w:r w:rsidRPr="002027F0">
      <w:rPr>
        <w:rFonts w:eastAsia="Calibri" w:cs="Arial"/>
        <w:bCs/>
        <w:spacing w:val="0"/>
        <w:sz w:val="18"/>
        <w:szCs w:val="18"/>
        <w:lang w:val="es-ES"/>
      </w:rPr>
      <w:instrText xml:space="preserve"> PAGE </w:instrText>
    </w:r>
    <w:r w:rsidRPr="002027F0">
      <w:rPr>
        <w:rFonts w:eastAsia="Calibri" w:cs="Arial"/>
        <w:bCs/>
        <w:spacing w:val="0"/>
        <w:sz w:val="18"/>
        <w:szCs w:val="18"/>
        <w:lang w:val="es-ES"/>
      </w:rPr>
      <w:fldChar w:fldCharType="separate"/>
    </w:r>
    <w:r w:rsidR="00ED34DF">
      <w:rPr>
        <w:rFonts w:eastAsia="Calibri" w:cs="Arial"/>
        <w:bCs/>
        <w:noProof/>
        <w:spacing w:val="0"/>
        <w:sz w:val="18"/>
        <w:szCs w:val="18"/>
        <w:lang w:val="es-ES"/>
      </w:rPr>
      <w:t>25</w:t>
    </w:r>
    <w:r w:rsidRPr="002027F0">
      <w:rPr>
        <w:rFonts w:eastAsia="Calibri" w:cs="Arial"/>
        <w:bCs/>
        <w:spacing w:val="0"/>
        <w:sz w:val="18"/>
        <w:szCs w:val="18"/>
        <w:lang w:val="es-ES"/>
      </w:rPr>
      <w:fldChar w:fldCharType="end"/>
    </w:r>
    <w:r w:rsidRPr="002027F0">
      <w:rPr>
        <w:rFonts w:eastAsia="Calibri" w:cs="Arial"/>
        <w:spacing w:val="0"/>
        <w:sz w:val="18"/>
        <w:szCs w:val="18"/>
        <w:lang w:val="es-ES"/>
      </w:rPr>
      <w:t xml:space="preserve"> de </w:t>
    </w:r>
    <w:r w:rsidRPr="002027F0">
      <w:rPr>
        <w:rFonts w:eastAsia="Calibri" w:cs="Arial"/>
        <w:bCs/>
        <w:spacing w:val="0"/>
        <w:sz w:val="18"/>
        <w:szCs w:val="18"/>
        <w:lang w:val="es-ES"/>
      </w:rPr>
      <w:fldChar w:fldCharType="begin"/>
    </w:r>
    <w:r w:rsidRPr="002027F0">
      <w:rPr>
        <w:rFonts w:eastAsia="Calibri" w:cs="Arial"/>
        <w:bCs/>
        <w:spacing w:val="0"/>
        <w:sz w:val="18"/>
        <w:szCs w:val="18"/>
        <w:lang w:val="es-ES"/>
      </w:rPr>
      <w:instrText xml:space="preserve"> NUMPAGES  </w:instrText>
    </w:r>
    <w:r w:rsidRPr="002027F0">
      <w:rPr>
        <w:rFonts w:eastAsia="Calibri" w:cs="Arial"/>
        <w:bCs/>
        <w:spacing w:val="0"/>
        <w:sz w:val="18"/>
        <w:szCs w:val="18"/>
        <w:lang w:val="es-ES"/>
      </w:rPr>
      <w:fldChar w:fldCharType="separate"/>
    </w:r>
    <w:r w:rsidR="00ED34DF">
      <w:rPr>
        <w:rFonts w:eastAsia="Calibri" w:cs="Arial"/>
        <w:bCs/>
        <w:noProof/>
        <w:spacing w:val="0"/>
        <w:sz w:val="18"/>
        <w:szCs w:val="18"/>
        <w:lang w:val="es-ES"/>
      </w:rPr>
      <w:t>26</w:t>
    </w:r>
    <w:r w:rsidRPr="002027F0">
      <w:rPr>
        <w:rFonts w:eastAsia="Calibri" w:cs="Arial"/>
        <w:bCs/>
        <w:spacing w:val="0"/>
        <w:sz w:val="18"/>
        <w:szCs w:val="18"/>
        <w:lang w:val="es-ES"/>
      </w:rPr>
      <w:fldChar w:fldCharType="end"/>
    </w:r>
  </w:p>
  <w:p w14:paraId="20CB2F5F" w14:textId="77777777" w:rsidR="00136578" w:rsidRPr="002027F0" w:rsidRDefault="00136578" w:rsidP="002027F0">
    <w:pPr>
      <w:tabs>
        <w:tab w:val="center" w:pos="4680"/>
        <w:tab w:val="right" w:pos="9360"/>
      </w:tabs>
      <w:jc w:val="right"/>
      <w:rPr>
        <w:rFonts w:ascii="Times New Roman" w:eastAsia="Calibri" w:hAnsi="Times New Roman"/>
        <w:spacing w:val="0"/>
        <w:szCs w:val="24"/>
        <w:lang w:val="es-ES"/>
      </w:rPr>
    </w:pPr>
  </w:p>
  <w:p w14:paraId="2DE516B2" w14:textId="77777777" w:rsidR="00136578" w:rsidRDefault="00ED34DF">
    <w:pPr>
      <w:pStyle w:val="Header"/>
    </w:pPr>
    <w:r>
      <w:rPr>
        <w:noProof/>
      </w:rPr>
      <w:pict w14:anchorId="55604B93">
        <v:rect id="Rectangle 3" o:spid="_x0000_s2049" style="position:absolute;margin-left:550.7pt;margin-top:548.1pt;width:40.2pt;height:171.9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14:paraId="58457270" w14:textId="77777777" w:rsidR="00136578" w:rsidRPr="000653BB" w:rsidRDefault="00136578">
                <w:pPr>
                  <w:pStyle w:val="Footer"/>
                  <w:rPr>
                    <w:rFonts w:ascii="Cambria" w:hAnsi="Cambria"/>
                    <w:sz w:val="44"/>
                    <w:szCs w:val="44"/>
                    <w:lang w:val="en-US"/>
                  </w:rPr>
                </w:pPr>
              </w:p>
            </w:txbxContent>
          </v:textbox>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D23C46"/>
    <w:multiLevelType w:val="hybridMultilevel"/>
    <w:tmpl w:val="03728952"/>
    <w:lvl w:ilvl="0" w:tplc="1FCEA6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96D86"/>
    <w:multiLevelType w:val="hybridMultilevel"/>
    <w:tmpl w:val="2A6AA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363A2"/>
    <w:multiLevelType w:val="multilevel"/>
    <w:tmpl w:val="8C10B84C"/>
    <w:lvl w:ilvl="0">
      <w:start w:val="1"/>
      <w:numFmt w:val="none"/>
      <w:lvlRestart w:val="0"/>
      <w:suff w:val="nothing"/>
      <w:lvlText w:val=""/>
      <w:lvlJc w:val="left"/>
      <w:pPr>
        <w:ind w:left="8928" w:hanging="720"/>
      </w:pPr>
    </w:lvl>
    <w:lvl w:ilvl="1">
      <w:start w:val="1"/>
      <w:numFmt w:val="decimal"/>
      <w:lvlText w:val="%2."/>
      <w:lvlJc w:val="left"/>
      <w:pPr>
        <w:tabs>
          <w:tab w:val="num" w:pos="9504"/>
        </w:tabs>
        <w:ind w:left="9504" w:hanging="576"/>
      </w:pPr>
      <w:rPr>
        <w:b/>
      </w:rPr>
    </w:lvl>
    <w:lvl w:ilvl="2">
      <w:start w:val="1"/>
      <w:numFmt w:val="lowerLetter"/>
      <w:lvlText w:val="%3)"/>
      <w:lvlJc w:val="left"/>
      <w:pPr>
        <w:tabs>
          <w:tab w:val="num" w:pos="10080"/>
        </w:tabs>
        <w:ind w:left="10080" w:hanging="576"/>
      </w:pPr>
      <w:rPr>
        <w:b/>
      </w:rPr>
    </w:lvl>
    <w:lvl w:ilvl="3">
      <w:start w:val="1"/>
      <w:numFmt w:val="lowerRoman"/>
      <w:lvlText w:val="(%4)"/>
      <w:lvlJc w:val="right"/>
      <w:pPr>
        <w:tabs>
          <w:tab w:val="num" w:pos="10584"/>
        </w:tabs>
        <w:ind w:left="10584" w:hanging="288"/>
      </w:pPr>
      <w:rPr>
        <w:b/>
      </w:rPr>
    </w:lvl>
    <w:lvl w:ilvl="4">
      <w:start w:val="1"/>
      <w:numFmt w:val="decimal"/>
      <w:lvlText w:val="%5)"/>
      <w:lvlJc w:val="left"/>
      <w:pPr>
        <w:ind w:left="9216" w:hanging="432"/>
      </w:pPr>
    </w:lvl>
    <w:lvl w:ilvl="5">
      <w:start w:val="1"/>
      <w:numFmt w:val="lowerLetter"/>
      <w:lvlText w:val="%6)"/>
      <w:lvlJc w:val="left"/>
      <w:pPr>
        <w:ind w:left="9360" w:hanging="432"/>
      </w:pPr>
    </w:lvl>
    <w:lvl w:ilvl="6">
      <w:start w:val="1"/>
      <w:numFmt w:val="lowerRoman"/>
      <w:lvlText w:val="%7)"/>
      <w:lvlJc w:val="right"/>
      <w:pPr>
        <w:ind w:left="9504" w:hanging="288"/>
      </w:pPr>
    </w:lvl>
    <w:lvl w:ilvl="7">
      <w:start w:val="1"/>
      <w:numFmt w:val="lowerLetter"/>
      <w:lvlText w:val="%8."/>
      <w:lvlJc w:val="left"/>
      <w:pPr>
        <w:ind w:left="9648" w:hanging="432"/>
      </w:pPr>
    </w:lvl>
    <w:lvl w:ilvl="8">
      <w:start w:val="1"/>
      <w:numFmt w:val="lowerRoman"/>
      <w:lvlText w:val="%9."/>
      <w:lvlJc w:val="right"/>
      <w:pPr>
        <w:ind w:left="9792" w:hanging="144"/>
      </w:pPr>
    </w:lvl>
  </w:abstractNum>
  <w:abstractNum w:abstractNumId="4">
    <w:nsid w:val="3C6E07F4"/>
    <w:multiLevelType w:val="singleLevel"/>
    <w:tmpl w:val="CC42BB9A"/>
    <w:lvl w:ilvl="0">
      <w:start w:val="1"/>
      <w:numFmt w:val="upperLetter"/>
      <w:lvlRestart w:val="0"/>
      <w:lvlText w:val="%1."/>
      <w:lvlJc w:val="left"/>
      <w:pPr>
        <w:tabs>
          <w:tab w:val="num" w:pos="720"/>
        </w:tabs>
        <w:ind w:left="720" w:hanging="720"/>
      </w:pPr>
      <w:rPr>
        <w:rFonts w:ascii="Times New Roman Bold" w:hAnsi="Times New Roman Bold" w:hint="default"/>
        <w:b/>
        <w:i w:val="0"/>
        <w:sz w:val="24"/>
      </w:rPr>
    </w:lvl>
  </w:abstractNum>
  <w:abstractNum w:abstractNumId="5">
    <w:nsid w:val="57FC335B"/>
    <w:multiLevelType w:val="hybridMultilevel"/>
    <w:tmpl w:val="940C3CDC"/>
    <w:lvl w:ilvl="0" w:tplc="0EF6758A">
      <w:start w:val="3"/>
      <w:numFmt w:val="upperRoman"/>
      <w:pStyle w:val="FirstHeading"/>
      <w:lvlText w:val="%1."/>
      <w:lvlJc w:val="righ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9A5721"/>
    <w:multiLevelType w:val="hybridMultilevel"/>
    <w:tmpl w:val="C8200668"/>
    <w:lvl w:ilvl="0" w:tplc="039E2C60">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A7602"/>
    <w:multiLevelType w:val="hybridMultilevel"/>
    <w:tmpl w:val="4F9EB800"/>
    <w:lvl w:ilvl="0" w:tplc="76541A5C">
      <w:start w:val="1"/>
      <w:numFmt w:val="upperRoman"/>
      <w:lvlText w:val="%1."/>
      <w:lvlJc w:val="left"/>
      <w:pPr>
        <w:ind w:left="1080" w:hanging="720"/>
      </w:pPr>
      <w:rPr>
        <w:rFonts w:hint="default"/>
      </w:rPr>
    </w:lvl>
    <w:lvl w:ilvl="1" w:tplc="75407C58">
      <w:start w:val="1"/>
      <w:numFmt w:val="upperLetter"/>
      <w:lvlText w:val="%2."/>
      <w:lvlJc w:val="left"/>
      <w:pPr>
        <w:ind w:left="1440" w:hanging="360"/>
      </w:pPr>
      <w:rPr>
        <w:rFonts w:ascii="Arial" w:eastAsia="Calibri" w:hAnsi="Arial" w:cs="Arial"/>
      </w:r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923C8"/>
    <w:multiLevelType w:val="multilevel"/>
    <w:tmpl w:val="6AB406E0"/>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nsid w:val="61CE7320"/>
    <w:multiLevelType w:val="hybridMultilevel"/>
    <w:tmpl w:val="B336A63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66BC794F"/>
    <w:multiLevelType w:val="hybridMultilevel"/>
    <w:tmpl w:val="A4C6A8D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A3DE6"/>
    <w:multiLevelType w:val="hybridMultilevel"/>
    <w:tmpl w:val="D08E5E02"/>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C08228E"/>
    <w:multiLevelType w:val="hybridMultilevel"/>
    <w:tmpl w:val="C710295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7"/>
  </w:num>
  <w:num w:numId="2">
    <w:abstractNumId w:val="12"/>
  </w:num>
  <w:num w:numId="3">
    <w:abstractNumId w:val="0"/>
  </w:num>
  <w:num w:numId="4">
    <w:abstractNumId w:val="8"/>
  </w:num>
  <w:num w:numId="5">
    <w:abstractNumId w:val="11"/>
  </w:num>
  <w:num w:numId="6">
    <w:abstractNumId w:val="5"/>
  </w:num>
  <w:num w:numId="7">
    <w:abstractNumId w:val="3"/>
  </w:num>
  <w:num w:numId="8">
    <w:abstractNumId w:val="4"/>
  </w:num>
  <w:num w:numId="9">
    <w:abstractNumId w:val="9"/>
  </w:num>
  <w:num w:numId="10">
    <w:abstractNumId w:val="2"/>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42"/>
    <w:rsid w:val="00025A3B"/>
    <w:rsid w:val="00064E1B"/>
    <w:rsid w:val="00072ED3"/>
    <w:rsid w:val="00090E5E"/>
    <w:rsid w:val="000A3E02"/>
    <w:rsid w:val="000C247D"/>
    <w:rsid w:val="000D0810"/>
    <w:rsid w:val="000D13F4"/>
    <w:rsid w:val="00122A7D"/>
    <w:rsid w:val="00124650"/>
    <w:rsid w:val="001349E0"/>
    <w:rsid w:val="00136578"/>
    <w:rsid w:val="00140BAD"/>
    <w:rsid w:val="00164F52"/>
    <w:rsid w:val="0017354D"/>
    <w:rsid w:val="001A5628"/>
    <w:rsid w:val="001B1D3E"/>
    <w:rsid w:val="001B4C57"/>
    <w:rsid w:val="001E65AA"/>
    <w:rsid w:val="002027F0"/>
    <w:rsid w:val="00210295"/>
    <w:rsid w:val="0024754E"/>
    <w:rsid w:val="00265D5C"/>
    <w:rsid w:val="002713CE"/>
    <w:rsid w:val="00296B5C"/>
    <w:rsid w:val="002B33D8"/>
    <w:rsid w:val="002E2259"/>
    <w:rsid w:val="002F1337"/>
    <w:rsid w:val="00305F29"/>
    <w:rsid w:val="00311CE3"/>
    <w:rsid w:val="003343BF"/>
    <w:rsid w:val="00362899"/>
    <w:rsid w:val="003E5450"/>
    <w:rsid w:val="003E555C"/>
    <w:rsid w:val="003F578F"/>
    <w:rsid w:val="004319D0"/>
    <w:rsid w:val="004347B7"/>
    <w:rsid w:val="00482EDE"/>
    <w:rsid w:val="004A24B5"/>
    <w:rsid w:val="004D656B"/>
    <w:rsid w:val="005418BE"/>
    <w:rsid w:val="0056225E"/>
    <w:rsid w:val="00592854"/>
    <w:rsid w:val="00592A0A"/>
    <w:rsid w:val="005B1839"/>
    <w:rsid w:val="005C4277"/>
    <w:rsid w:val="005F49DB"/>
    <w:rsid w:val="005F4F53"/>
    <w:rsid w:val="00624957"/>
    <w:rsid w:val="00642AEB"/>
    <w:rsid w:val="00692B89"/>
    <w:rsid w:val="006B3B0D"/>
    <w:rsid w:val="006E077A"/>
    <w:rsid w:val="0070048B"/>
    <w:rsid w:val="00723E4E"/>
    <w:rsid w:val="00725373"/>
    <w:rsid w:val="0073322E"/>
    <w:rsid w:val="007502BE"/>
    <w:rsid w:val="00753CB3"/>
    <w:rsid w:val="007810DD"/>
    <w:rsid w:val="007C7CD4"/>
    <w:rsid w:val="007E3AE0"/>
    <w:rsid w:val="007F2EE7"/>
    <w:rsid w:val="007F488A"/>
    <w:rsid w:val="007F7798"/>
    <w:rsid w:val="00894EE3"/>
    <w:rsid w:val="008B2A96"/>
    <w:rsid w:val="008D2A57"/>
    <w:rsid w:val="008E7742"/>
    <w:rsid w:val="008F2118"/>
    <w:rsid w:val="008F426F"/>
    <w:rsid w:val="008F69C7"/>
    <w:rsid w:val="009060D5"/>
    <w:rsid w:val="009352A8"/>
    <w:rsid w:val="00945E27"/>
    <w:rsid w:val="00953D52"/>
    <w:rsid w:val="00966ECA"/>
    <w:rsid w:val="00982BE8"/>
    <w:rsid w:val="009927E6"/>
    <w:rsid w:val="009D7AFE"/>
    <w:rsid w:val="009D7E5C"/>
    <w:rsid w:val="009E1BB3"/>
    <w:rsid w:val="009E1BB7"/>
    <w:rsid w:val="009F5BB7"/>
    <w:rsid w:val="00A04FE7"/>
    <w:rsid w:val="00A0562D"/>
    <w:rsid w:val="00A05A21"/>
    <w:rsid w:val="00A12DB9"/>
    <w:rsid w:val="00A2638A"/>
    <w:rsid w:val="00A27347"/>
    <w:rsid w:val="00A278BB"/>
    <w:rsid w:val="00A33466"/>
    <w:rsid w:val="00A33EA7"/>
    <w:rsid w:val="00A37883"/>
    <w:rsid w:val="00A45816"/>
    <w:rsid w:val="00A91C8E"/>
    <w:rsid w:val="00A9272D"/>
    <w:rsid w:val="00A97923"/>
    <w:rsid w:val="00AB6BDA"/>
    <w:rsid w:val="00AC125F"/>
    <w:rsid w:val="00AD7434"/>
    <w:rsid w:val="00B5105E"/>
    <w:rsid w:val="00B61D8D"/>
    <w:rsid w:val="00B91502"/>
    <w:rsid w:val="00BA3F54"/>
    <w:rsid w:val="00BE3153"/>
    <w:rsid w:val="00C03445"/>
    <w:rsid w:val="00C4541B"/>
    <w:rsid w:val="00C635F9"/>
    <w:rsid w:val="00C70418"/>
    <w:rsid w:val="00C85D57"/>
    <w:rsid w:val="00C950CB"/>
    <w:rsid w:val="00CA21ED"/>
    <w:rsid w:val="00CB3D3A"/>
    <w:rsid w:val="00CD75F7"/>
    <w:rsid w:val="00CE7B74"/>
    <w:rsid w:val="00D15D3F"/>
    <w:rsid w:val="00D169D4"/>
    <w:rsid w:val="00D1794D"/>
    <w:rsid w:val="00D46714"/>
    <w:rsid w:val="00D47DEC"/>
    <w:rsid w:val="00D80F31"/>
    <w:rsid w:val="00D81A77"/>
    <w:rsid w:val="00D83D25"/>
    <w:rsid w:val="00D8569D"/>
    <w:rsid w:val="00D914AC"/>
    <w:rsid w:val="00D92C23"/>
    <w:rsid w:val="00DA4DB7"/>
    <w:rsid w:val="00DB373A"/>
    <w:rsid w:val="00DB767D"/>
    <w:rsid w:val="00DD6845"/>
    <w:rsid w:val="00DF668A"/>
    <w:rsid w:val="00E52C43"/>
    <w:rsid w:val="00E54C29"/>
    <w:rsid w:val="00E71ADB"/>
    <w:rsid w:val="00E800D4"/>
    <w:rsid w:val="00EC109C"/>
    <w:rsid w:val="00ED34DF"/>
    <w:rsid w:val="00EE2257"/>
    <w:rsid w:val="00EE74CF"/>
    <w:rsid w:val="00F1553D"/>
    <w:rsid w:val="00F41655"/>
    <w:rsid w:val="00F46846"/>
    <w:rsid w:val="00F47463"/>
    <w:rsid w:val="00F70166"/>
    <w:rsid w:val="00F80724"/>
    <w:rsid w:val="00FA1E0D"/>
    <w:rsid w:val="00FD0313"/>
    <w:rsid w:val="00FD6FB5"/>
    <w:rsid w:val="00FE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B061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28"/>
    <w:rPr>
      <w:rFonts w:ascii="Arial" w:eastAsia="Times New Roman" w:hAnsi="Arial" w:cs="Times New Roman"/>
      <w:spacing w:val="-3"/>
      <w:szCs w:val="20"/>
      <w:lang w:val="es-ES_tradnl"/>
    </w:rPr>
  </w:style>
  <w:style w:type="paragraph" w:styleId="Heading1">
    <w:name w:val="heading 1"/>
    <w:aliases w:val="Heading 1.I"/>
    <w:next w:val="Normal"/>
    <w:link w:val="Heading1Char"/>
    <w:uiPriority w:val="9"/>
    <w:qFormat/>
    <w:rsid w:val="00A9272D"/>
    <w:pPr>
      <w:keepNext/>
      <w:numPr>
        <w:numId w:val="4"/>
      </w:numPr>
      <w:spacing w:before="240" w:after="240"/>
      <w:jc w:val="center"/>
      <w:outlineLvl w:val="0"/>
    </w:pPr>
    <w:rPr>
      <w:rFonts w:ascii="Times New Roman Bold" w:eastAsia="Times New Roman" w:hAnsi="Times New Roman Bold" w:cs="Times New Roman"/>
      <w:b/>
      <w:smallCaps/>
      <w:noProof/>
      <w:sz w:val="28"/>
      <w:szCs w:val="20"/>
      <w:lang w:val="es-ES" w:eastAsia="es-ES"/>
    </w:rPr>
  </w:style>
  <w:style w:type="paragraph" w:styleId="Heading2">
    <w:name w:val="heading 2"/>
    <w:aliases w:val="Heading 2.A"/>
    <w:basedOn w:val="Normal"/>
    <w:next w:val="Normal"/>
    <w:link w:val="Heading2Char"/>
    <w:unhideWhenUsed/>
    <w:qFormat/>
    <w:rsid w:val="00DB3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Heading 4.a"/>
    <w:next w:val="Normal"/>
    <w:link w:val="Heading4Char"/>
    <w:uiPriority w:val="9"/>
    <w:qFormat/>
    <w:rsid w:val="00A9272D"/>
    <w:pPr>
      <w:keepNext/>
      <w:numPr>
        <w:ilvl w:val="2"/>
        <w:numId w:val="4"/>
      </w:numPr>
      <w:tabs>
        <w:tab w:val="left" w:pos="1440"/>
      </w:tabs>
      <w:spacing w:before="120" w:after="120"/>
      <w:jc w:val="both"/>
      <w:outlineLvl w:val="3"/>
    </w:pPr>
    <w:rPr>
      <w:rFonts w:ascii="Times New Roman Bold" w:eastAsia="Times New Roman" w:hAnsi="Times New Roman Bold" w:cs="Times New Roman"/>
      <w:b/>
      <w:noProof/>
      <w:szCs w:val="20"/>
      <w:lang w:val="es-ES" w:eastAsia="es-ES"/>
    </w:rPr>
  </w:style>
  <w:style w:type="paragraph" w:styleId="Heading5">
    <w:name w:val="heading 5"/>
    <w:aliases w:val="Heading 5.(i)"/>
    <w:next w:val="Normal"/>
    <w:link w:val="Heading5Char"/>
    <w:uiPriority w:val="9"/>
    <w:qFormat/>
    <w:rsid w:val="00A9272D"/>
    <w:pPr>
      <w:keepNext/>
      <w:numPr>
        <w:ilvl w:val="3"/>
        <w:numId w:val="4"/>
      </w:numPr>
      <w:spacing w:before="120" w:after="120"/>
      <w:jc w:val="both"/>
      <w:outlineLvl w:val="4"/>
    </w:pPr>
    <w:rPr>
      <w:rFonts w:ascii="Times New Roman Bold" w:eastAsia="Times New Roman" w:hAnsi="Times New Roman Bold" w:cs="Times New Roman"/>
      <w:b/>
      <w:noProof/>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BB7"/>
    <w:pPr>
      <w:spacing w:after="300"/>
      <w:contextualSpacing/>
    </w:pPr>
    <w:rPr>
      <w:rFonts w:ascii="Gotham Book" w:eastAsiaTheme="majorEastAsia" w:hAnsi="Gotham Book" w:cstheme="majorBidi"/>
      <w:b/>
      <w:spacing w:val="5"/>
      <w:kern w:val="28"/>
      <w:szCs w:val="52"/>
    </w:rPr>
  </w:style>
  <w:style w:type="character" w:customStyle="1" w:styleId="TitleChar">
    <w:name w:val="Title Char"/>
    <w:basedOn w:val="DefaultParagraphFont"/>
    <w:link w:val="Title"/>
    <w:uiPriority w:val="10"/>
    <w:rsid w:val="009E1BB7"/>
    <w:rPr>
      <w:rFonts w:ascii="Gotham Book" w:eastAsiaTheme="majorEastAsia" w:hAnsi="Gotham Book" w:cstheme="majorBidi"/>
      <w:b/>
      <w:spacing w:val="5"/>
      <w:kern w:val="28"/>
      <w:szCs w:val="52"/>
      <w:lang w:val="es-ES_tradnl"/>
    </w:rPr>
  </w:style>
  <w:style w:type="paragraph" w:styleId="FootnoteText">
    <w:name w:val="footnote text"/>
    <w:aliases w:val="fn,Texto nota pie IIRSA,footnote,foottextfra,F,Texto nota pie Car Car,Car,Car3 Car Car,Car3 Car,Car3 Car Car Car Car Car Car Car Car Car Car,Car3 Car Car Car Car Car Car Car Car Car Car Car Car Car,ft,Style 25,Texto de rodapé,nota_rodapé,f"/>
    <w:basedOn w:val="Normal"/>
    <w:link w:val="FootnoteTextChar"/>
    <w:qFormat/>
    <w:rsid w:val="008E7742"/>
    <w:pPr>
      <w:keepNext/>
      <w:keepLines/>
      <w:spacing w:after="120"/>
      <w:ind w:left="288" w:hanging="288"/>
      <w:jc w:val="both"/>
    </w:pPr>
    <w:rPr>
      <w:sz w:val="20"/>
      <w:lang w:eastAsia="x-none"/>
    </w:rPr>
  </w:style>
  <w:style w:type="character" w:customStyle="1" w:styleId="FootnoteTextChar">
    <w:name w:val="Footnote Text Char"/>
    <w:aliases w:val="fn Char,Texto nota pie IIRSA Char,footnote Char,foottextfra Char,F Char,Texto nota pie Car Car Char,Car Char,Car3 Car Car Char,Car3 Car Char,Car3 Car Car Car Car Car Car Car Car Car Car Char,ft Char,Style 25 Char,Texto de rodapé Char"/>
    <w:basedOn w:val="DefaultParagraphFont"/>
    <w:link w:val="FootnoteText"/>
    <w:rsid w:val="008E7742"/>
    <w:rPr>
      <w:rFonts w:ascii="Times New Roman" w:eastAsia="Times New Roman" w:hAnsi="Times New Roman" w:cs="Times New Roman"/>
      <w:spacing w:val="-3"/>
      <w:sz w:val="20"/>
      <w:szCs w:val="20"/>
      <w:lang w:val="es-ES_tradnl" w:eastAsia="x-none"/>
    </w:rPr>
  </w:style>
  <w:style w:type="character" w:styleId="FootnoteReference">
    <w:name w:val="footnote reference"/>
    <w:aliases w:val="referencia nota al pie,titulo 2,Fußnotenzeichen DISS,16 Point,Superscript 6 Point,ftref,BVI fnr,Знак сноски 1,Footnote Referencefra,FC,Style 24,pie pddes,Ref,de nota al pie,Ref. de nota al pie.,Footnote Reference.SES"/>
    <w:qFormat/>
    <w:rsid w:val="008E7742"/>
    <w:rPr>
      <w:rFonts w:ascii="Times New Roman" w:hAnsi="Times New Roman"/>
      <w:sz w:val="20"/>
      <w:vertAlign w:val="superscript"/>
    </w:rPr>
  </w:style>
  <w:style w:type="character" w:customStyle="1" w:styleId="ColorfulList-Accent1Char">
    <w:name w:val="Colorful List - Accent 1 Char"/>
    <w:link w:val="ColorfulList-Accent1"/>
    <w:uiPriority w:val="34"/>
    <w:rsid w:val="008E7742"/>
    <w:rPr>
      <w:sz w:val="22"/>
      <w:szCs w:val="22"/>
    </w:rPr>
  </w:style>
  <w:style w:type="paragraph" w:customStyle="1" w:styleId="ColorfulList-Accent11">
    <w:name w:val="Colorful List - Accent 11"/>
    <w:basedOn w:val="Normal"/>
    <w:uiPriority w:val="34"/>
    <w:qFormat/>
    <w:rsid w:val="008E7742"/>
    <w:pPr>
      <w:ind w:left="720"/>
      <w:contextualSpacing/>
    </w:pPr>
    <w:rPr>
      <w:rFonts w:ascii="Calibri" w:eastAsia="Calibri" w:hAnsi="Calibri"/>
      <w:spacing w:val="0"/>
      <w:sz w:val="22"/>
      <w:szCs w:val="22"/>
    </w:rPr>
  </w:style>
  <w:style w:type="table" w:styleId="ColorfulList-Accent1">
    <w:name w:val="Colorful List Accent 1"/>
    <w:basedOn w:val="TableNormal"/>
    <w:link w:val="ColorfulList-Accent1Char"/>
    <w:uiPriority w:val="34"/>
    <w:rsid w:val="008E7742"/>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8E7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742"/>
    <w:rPr>
      <w:rFonts w:ascii="Lucida Grande" w:eastAsia="Times New Roman" w:hAnsi="Lucida Grande" w:cs="Lucida Grande"/>
      <w:spacing w:val="-3"/>
      <w:sz w:val="18"/>
      <w:szCs w:val="18"/>
      <w:lang w:val="es-ES_tradnl"/>
    </w:rPr>
  </w:style>
  <w:style w:type="paragraph" w:styleId="ListParagraph">
    <w:name w:val="List Paragraph"/>
    <w:basedOn w:val="Normal"/>
    <w:uiPriority w:val="99"/>
    <w:qFormat/>
    <w:rsid w:val="008E7742"/>
    <w:pPr>
      <w:ind w:left="720"/>
      <w:contextualSpacing/>
    </w:pPr>
  </w:style>
  <w:style w:type="character" w:customStyle="1" w:styleId="Heading1Char">
    <w:name w:val="Heading 1 Char"/>
    <w:aliases w:val="Heading 1.I Char"/>
    <w:basedOn w:val="DefaultParagraphFont"/>
    <w:link w:val="Heading1"/>
    <w:uiPriority w:val="9"/>
    <w:rsid w:val="00A9272D"/>
    <w:rPr>
      <w:rFonts w:ascii="Times New Roman Bold" w:eastAsia="Times New Roman" w:hAnsi="Times New Roman Bold" w:cs="Times New Roman"/>
      <w:b/>
      <w:smallCaps/>
      <w:noProof/>
      <w:sz w:val="28"/>
      <w:szCs w:val="20"/>
      <w:lang w:val="es-ES" w:eastAsia="es-ES"/>
    </w:rPr>
  </w:style>
  <w:style w:type="character" w:customStyle="1" w:styleId="Heading4Char">
    <w:name w:val="Heading 4 Char"/>
    <w:aliases w:val="Heading 4.a Char"/>
    <w:basedOn w:val="DefaultParagraphFont"/>
    <w:link w:val="Heading4"/>
    <w:uiPriority w:val="9"/>
    <w:rsid w:val="00A9272D"/>
    <w:rPr>
      <w:rFonts w:ascii="Times New Roman Bold" w:eastAsia="Times New Roman" w:hAnsi="Times New Roman Bold" w:cs="Times New Roman"/>
      <w:b/>
      <w:noProof/>
      <w:szCs w:val="20"/>
      <w:lang w:val="es-ES" w:eastAsia="es-ES"/>
    </w:rPr>
  </w:style>
  <w:style w:type="character" w:customStyle="1" w:styleId="Heading5Char">
    <w:name w:val="Heading 5 Char"/>
    <w:aliases w:val="Heading 5.(i) Char"/>
    <w:basedOn w:val="DefaultParagraphFont"/>
    <w:link w:val="Heading5"/>
    <w:uiPriority w:val="9"/>
    <w:rsid w:val="00A9272D"/>
    <w:rPr>
      <w:rFonts w:ascii="Times New Roman Bold" w:eastAsia="Times New Roman" w:hAnsi="Times New Roman Bold" w:cs="Times New Roman"/>
      <w:b/>
      <w:noProof/>
      <w:szCs w:val="20"/>
      <w:lang w:val="es-ES" w:eastAsia="es-ES"/>
    </w:rPr>
  </w:style>
  <w:style w:type="paragraph" w:customStyle="1" w:styleId="AutoNumpara">
    <w:name w:val="AutoNumpara"/>
    <w:basedOn w:val="BodyTextIndent"/>
    <w:rsid w:val="00A9272D"/>
    <w:pPr>
      <w:numPr>
        <w:ilvl w:val="1"/>
        <w:numId w:val="4"/>
      </w:numPr>
      <w:tabs>
        <w:tab w:val="clear" w:pos="720"/>
        <w:tab w:val="num" w:pos="360"/>
      </w:tabs>
      <w:spacing w:before="120"/>
      <w:ind w:left="360" w:firstLine="0"/>
      <w:jc w:val="both"/>
    </w:pPr>
    <w:rPr>
      <w:noProof/>
      <w:spacing w:val="-2"/>
      <w:lang w:eastAsia="x-none"/>
    </w:rPr>
  </w:style>
  <w:style w:type="paragraph" w:styleId="BodyTextIndent">
    <w:name w:val="Body Text Indent"/>
    <w:basedOn w:val="Normal"/>
    <w:link w:val="BodyTextIndentChar"/>
    <w:uiPriority w:val="99"/>
    <w:semiHidden/>
    <w:unhideWhenUsed/>
    <w:rsid w:val="00A9272D"/>
    <w:pPr>
      <w:spacing w:after="120"/>
      <w:ind w:left="360"/>
    </w:pPr>
  </w:style>
  <w:style w:type="character" w:customStyle="1" w:styleId="BodyTextIndentChar">
    <w:name w:val="Body Text Indent Char"/>
    <w:basedOn w:val="DefaultParagraphFont"/>
    <w:link w:val="BodyTextIndent"/>
    <w:uiPriority w:val="99"/>
    <w:semiHidden/>
    <w:rsid w:val="00A9272D"/>
    <w:rPr>
      <w:rFonts w:ascii="Times New Roman" w:eastAsia="Times New Roman" w:hAnsi="Times New Roman" w:cs="Times New Roman"/>
      <w:spacing w:val="-3"/>
      <w:szCs w:val="20"/>
      <w:lang w:val="es-ES_tradnl"/>
    </w:rPr>
  </w:style>
  <w:style w:type="paragraph" w:styleId="Caption">
    <w:name w:val="caption"/>
    <w:basedOn w:val="Normal"/>
    <w:next w:val="Normal"/>
    <w:autoRedefine/>
    <w:uiPriority w:val="35"/>
    <w:unhideWhenUsed/>
    <w:qFormat/>
    <w:rsid w:val="0070048B"/>
    <w:pPr>
      <w:spacing w:after="200"/>
    </w:pPr>
    <w:rPr>
      <w:b/>
      <w:bCs/>
      <w:szCs w:val="18"/>
    </w:rPr>
  </w:style>
  <w:style w:type="table" w:styleId="LightShading">
    <w:name w:val="Light Shading"/>
    <w:basedOn w:val="TableNormal"/>
    <w:uiPriority w:val="60"/>
    <w:rsid w:val="00296B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296B5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0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D52"/>
    <w:rPr>
      <w:sz w:val="18"/>
      <w:szCs w:val="18"/>
    </w:rPr>
  </w:style>
  <w:style w:type="paragraph" w:styleId="CommentText">
    <w:name w:val="annotation text"/>
    <w:basedOn w:val="Normal"/>
    <w:link w:val="CommentTextChar"/>
    <w:uiPriority w:val="99"/>
    <w:semiHidden/>
    <w:unhideWhenUsed/>
    <w:rsid w:val="00953D52"/>
    <w:rPr>
      <w:szCs w:val="24"/>
    </w:rPr>
  </w:style>
  <w:style w:type="character" w:customStyle="1" w:styleId="CommentTextChar">
    <w:name w:val="Comment Text Char"/>
    <w:basedOn w:val="DefaultParagraphFont"/>
    <w:link w:val="CommentText"/>
    <w:uiPriority w:val="99"/>
    <w:semiHidden/>
    <w:rsid w:val="00953D52"/>
    <w:rPr>
      <w:rFonts w:ascii="Arial" w:eastAsia="Times New Roman" w:hAnsi="Arial" w:cs="Times New Roman"/>
      <w:spacing w:val="-3"/>
      <w:lang w:val="es-ES_tradnl"/>
    </w:rPr>
  </w:style>
  <w:style w:type="paragraph" w:styleId="CommentSubject">
    <w:name w:val="annotation subject"/>
    <w:basedOn w:val="CommentText"/>
    <w:next w:val="CommentText"/>
    <w:link w:val="CommentSubjectChar"/>
    <w:uiPriority w:val="99"/>
    <w:semiHidden/>
    <w:unhideWhenUsed/>
    <w:rsid w:val="00953D52"/>
    <w:rPr>
      <w:b/>
      <w:bCs/>
      <w:sz w:val="20"/>
      <w:szCs w:val="20"/>
    </w:rPr>
  </w:style>
  <w:style w:type="character" w:customStyle="1" w:styleId="CommentSubjectChar">
    <w:name w:val="Comment Subject Char"/>
    <w:basedOn w:val="CommentTextChar"/>
    <w:link w:val="CommentSubject"/>
    <w:uiPriority w:val="99"/>
    <w:semiHidden/>
    <w:rsid w:val="00953D52"/>
    <w:rPr>
      <w:rFonts w:ascii="Arial" w:eastAsia="Times New Roman" w:hAnsi="Arial" w:cs="Times New Roman"/>
      <w:b/>
      <w:bCs/>
      <w:spacing w:val="-3"/>
      <w:sz w:val="20"/>
      <w:szCs w:val="20"/>
      <w:lang w:val="es-ES_tradnl"/>
    </w:rPr>
  </w:style>
  <w:style w:type="character" w:customStyle="1" w:styleId="Heading2Char">
    <w:name w:val="Heading 2 Char"/>
    <w:aliases w:val="Heading 2.A Char"/>
    <w:basedOn w:val="DefaultParagraphFont"/>
    <w:link w:val="Heading2"/>
    <w:uiPriority w:val="9"/>
    <w:semiHidden/>
    <w:rsid w:val="00DB373A"/>
    <w:rPr>
      <w:rFonts w:asciiTheme="majorHAnsi" w:eastAsiaTheme="majorEastAsia" w:hAnsiTheme="majorHAnsi" w:cstheme="majorBidi"/>
      <w:b/>
      <w:bCs/>
      <w:color w:val="4F81BD" w:themeColor="accent1"/>
      <w:spacing w:val="-3"/>
      <w:sz w:val="26"/>
      <w:szCs w:val="26"/>
      <w:lang w:val="es-ES_tradnl"/>
    </w:rPr>
  </w:style>
  <w:style w:type="paragraph" w:customStyle="1" w:styleId="FirstHeading">
    <w:name w:val="FirstHeading"/>
    <w:basedOn w:val="Normal"/>
    <w:next w:val="Normal"/>
    <w:link w:val="FirstHeadingChar"/>
    <w:rsid w:val="00DB373A"/>
    <w:pPr>
      <w:keepNext/>
      <w:numPr>
        <w:numId w:val="6"/>
      </w:numPr>
      <w:tabs>
        <w:tab w:val="left" w:pos="0"/>
        <w:tab w:val="left" w:pos="86"/>
      </w:tabs>
      <w:spacing w:before="120" w:after="120"/>
    </w:pPr>
    <w:rPr>
      <w:rFonts w:ascii="Times New Roman" w:eastAsia="Calibri" w:hAnsi="Times New Roman"/>
      <w:b/>
      <w:spacing w:val="0"/>
      <w:szCs w:val="22"/>
      <w:lang w:val="es-ES"/>
    </w:rPr>
  </w:style>
  <w:style w:type="character" w:customStyle="1" w:styleId="FirstHeadingChar">
    <w:name w:val="FirstHeading Char"/>
    <w:link w:val="FirstHeading"/>
    <w:rsid w:val="00DB373A"/>
    <w:rPr>
      <w:rFonts w:ascii="Times New Roman" w:eastAsia="Calibri" w:hAnsi="Times New Roman" w:cs="Times New Roman"/>
      <w:b/>
      <w:szCs w:val="22"/>
      <w:lang w:val="es-ES"/>
    </w:rPr>
  </w:style>
  <w:style w:type="paragraph" w:customStyle="1" w:styleId="Paragraph">
    <w:name w:val="Paragraph"/>
    <w:aliases w:val="paragraph,p,PARAGRAPH,PG,pa,at"/>
    <w:basedOn w:val="BodyTextIndent"/>
    <w:link w:val="ParagraphChar"/>
    <w:qFormat/>
    <w:rsid w:val="00DB373A"/>
    <w:pPr>
      <w:tabs>
        <w:tab w:val="num" w:pos="720"/>
      </w:tabs>
      <w:spacing w:before="120"/>
      <w:ind w:left="720" w:hanging="720"/>
      <w:jc w:val="both"/>
      <w:outlineLvl w:val="1"/>
    </w:pPr>
    <w:rPr>
      <w:rFonts w:ascii="Times New Roman" w:eastAsia="Calibri" w:hAnsi="Times New Roman"/>
      <w:spacing w:val="0"/>
      <w:szCs w:val="22"/>
      <w:lang w:val="es-ES"/>
    </w:rPr>
  </w:style>
  <w:style w:type="character" w:customStyle="1" w:styleId="ParagraphChar">
    <w:name w:val="Paragraph Char"/>
    <w:link w:val="Paragraph"/>
    <w:rsid w:val="00DB373A"/>
    <w:rPr>
      <w:rFonts w:ascii="Times New Roman" w:eastAsia="Calibri" w:hAnsi="Times New Roman" w:cs="Times New Roman"/>
      <w:szCs w:val="22"/>
      <w:lang w:val="es-ES"/>
    </w:rPr>
  </w:style>
  <w:style w:type="paragraph" w:styleId="Header">
    <w:name w:val="header"/>
    <w:basedOn w:val="Normal"/>
    <w:link w:val="HeaderChar"/>
    <w:rsid w:val="00DB373A"/>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DB373A"/>
    <w:rPr>
      <w:rFonts w:ascii="Times New Roman" w:eastAsia="Times New Roman" w:hAnsi="Times New Roman" w:cs="Times New Roman"/>
      <w:spacing w:val="-3"/>
      <w:sz w:val="20"/>
      <w:szCs w:val="20"/>
      <w:lang w:val="es-ES_tradnl"/>
    </w:rPr>
  </w:style>
  <w:style w:type="paragraph" w:styleId="Footer">
    <w:name w:val="footer"/>
    <w:basedOn w:val="Normal"/>
    <w:link w:val="FooterChar"/>
    <w:uiPriority w:val="99"/>
    <w:rsid w:val="00DB373A"/>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DB373A"/>
    <w:rPr>
      <w:rFonts w:ascii="Times New Roman" w:eastAsia="Times New Roman" w:hAnsi="Times New Roman" w:cs="Times New Roman"/>
      <w:spacing w:val="-3"/>
      <w:sz w:val="20"/>
      <w:szCs w:val="20"/>
      <w:lang w:val="es-ES_tradnl"/>
    </w:rPr>
  </w:style>
  <w:style w:type="character" w:styleId="Hyperlink">
    <w:name w:val="Hyperlink"/>
    <w:rsid w:val="00DB373A"/>
    <w:rPr>
      <w:rFonts w:ascii="Times New Roman" w:hAnsi="Times New Roman"/>
      <w:color w:val="0000FF"/>
      <w:sz w:val="24"/>
      <w:u w:val="single"/>
    </w:rPr>
  </w:style>
  <w:style w:type="paragraph" w:customStyle="1" w:styleId="xl29">
    <w:name w:val="xl29"/>
    <w:basedOn w:val="Normal"/>
    <w:rsid w:val="00A12DB9"/>
    <w:pPr>
      <w:pBdr>
        <w:left w:val="single" w:sz="4" w:space="0" w:color="auto"/>
        <w:bottom w:val="single" w:sz="4" w:space="0" w:color="auto"/>
      </w:pBdr>
      <w:spacing w:before="100" w:beforeAutospacing="1" w:after="100" w:afterAutospacing="1"/>
      <w:jc w:val="center"/>
    </w:pPr>
    <w:rPr>
      <w:rFonts w:eastAsia="Arial Unicode MS" w:cs="Arial"/>
      <w:b/>
      <w:bCs/>
      <w:spacing w:val="0"/>
      <w:szCs w:val="24"/>
      <w:lang w:val="en-US"/>
    </w:rPr>
  </w:style>
  <w:style w:type="table" w:styleId="LightList-Accent1">
    <w:name w:val="Light List Accent 1"/>
    <w:basedOn w:val="TableNormal"/>
    <w:uiPriority w:val="61"/>
    <w:rsid w:val="004347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A33466"/>
    <w:pPr>
      <w:spacing w:before="100" w:beforeAutospacing="1" w:after="100" w:afterAutospacing="1"/>
    </w:pPr>
    <w:rPr>
      <w:rFonts w:ascii="Times" w:eastAsiaTheme="minorEastAsia" w:hAnsi="Times"/>
      <w:spacing w:val="0"/>
      <w:sz w:val="20"/>
      <w:lang w:val="en-US"/>
    </w:rPr>
  </w:style>
  <w:style w:type="paragraph" w:styleId="Revision">
    <w:name w:val="Revision"/>
    <w:hidden/>
    <w:uiPriority w:val="99"/>
    <w:semiHidden/>
    <w:rsid w:val="00136578"/>
    <w:rPr>
      <w:rFonts w:ascii="Arial" w:eastAsia="Times New Roman" w:hAnsi="Arial" w:cs="Times New Roman"/>
      <w:spacing w:val="-3"/>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28"/>
    <w:rPr>
      <w:rFonts w:ascii="Arial" w:eastAsia="Times New Roman" w:hAnsi="Arial" w:cs="Times New Roman"/>
      <w:spacing w:val="-3"/>
      <w:szCs w:val="20"/>
      <w:lang w:val="es-ES_tradnl"/>
    </w:rPr>
  </w:style>
  <w:style w:type="paragraph" w:styleId="Heading1">
    <w:name w:val="heading 1"/>
    <w:aliases w:val="Heading 1.I"/>
    <w:next w:val="Normal"/>
    <w:link w:val="Heading1Char"/>
    <w:uiPriority w:val="9"/>
    <w:qFormat/>
    <w:rsid w:val="00A9272D"/>
    <w:pPr>
      <w:keepNext/>
      <w:numPr>
        <w:numId w:val="4"/>
      </w:numPr>
      <w:spacing w:before="240" w:after="240"/>
      <w:jc w:val="center"/>
      <w:outlineLvl w:val="0"/>
    </w:pPr>
    <w:rPr>
      <w:rFonts w:ascii="Times New Roman Bold" w:eastAsia="Times New Roman" w:hAnsi="Times New Roman Bold" w:cs="Times New Roman"/>
      <w:b/>
      <w:smallCaps/>
      <w:noProof/>
      <w:sz w:val="28"/>
      <w:szCs w:val="20"/>
      <w:lang w:val="es-ES" w:eastAsia="es-ES"/>
    </w:rPr>
  </w:style>
  <w:style w:type="paragraph" w:styleId="Heading2">
    <w:name w:val="heading 2"/>
    <w:aliases w:val="Heading 2.A"/>
    <w:basedOn w:val="Normal"/>
    <w:next w:val="Normal"/>
    <w:link w:val="Heading2Char"/>
    <w:unhideWhenUsed/>
    <w:qFormat/>
    <w:rsid w:val="00DB3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Heading 4.a"/>
    <w:next w:val="Normal"/>
    <w:link w:val="Heading4Char"/>
    <w:uiPriority w:val="9"/>
    <w:qFormat/>
    <w:rsid w:val="00A9272D"/>
    <w:pPr>
      <w:keepNext/>
      <w:numPr>
        <w:ilvl w:val="2"/>
        <w:numId w:val="4"/>
      </w:numPr>
      <w:tabs>
        <w:tab w:val="left" w:pos="1440"/>
      </w:tabs>
      <w:spacing w:before="120" w:after="120"/>
      <w:jc w:val="both"/>
      <w:outlineLvl w:val="3"/>
    </w:pPr>
    <w:rPr>
      <w:rFonts w:ascii="Times New Roman Bold" w:eastAsia="Times New Roman" w:hAnsi="Times New Roman Bold" w:cs="Times New Roman"/>
      <w:b/>
      <w:noProof/>
      <w:szCs w:val="20"/>
      <w:lang w:val="es-ES" w:eastAsia="es-ES"/>
    </w:rPr>
  </w:style>
  <w:style w:type="paragraph" w:styleId="Heading5">
    <w:name w:val="heading 5"/>
    <w:aliases w:val="Heading 5.(i)"/>
    <w:next w:val="Normal"/>
    <w:link w:val="Heading5Char"/>
    <w:uiPriority w:val="9"/>
    <w:qFormat/>
    <w:rsid w:val="00A9272D"/>
    <w:pPr>
      <w:keepNext/>
      <w:numPr>
        <w:ilvl w:val="3"/>
        <w:numId w:val="4"/>
      </w:numPr>
      <w:spacing w:before="120" w:after="120"/>
      <w:jc w:val="both"/>
      <w:outlineLvl w:val="4"/>
    </w:pPr>
    <w:rPr>
      <w:rFonts w:ascii="Times New Roman Bold" w:eastAsia="Times New Roman" w:hAnsi="Times New Roman Bold" w:cs="Times New Roman"/>
      <w:b/>
      <w:noProof/>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BB7"/>
    <w:pPr>
      <w:spacing w:after="300"/>
      <w:contextualSpacing/>
    </w:pPr>
    <w:rPr>
      <w:rFonts w:ascii="Gotham Book" w:eastAsiaTheme="majorEastAsia" w:hAnsi="Gotham Book" w:cstheme="majorBidi"/>
      <w:b/>
      <w:spacing w:val="5"/>
      <w:kern w:val="28"/>
      <w:szCs w:val="52"/>
    </w:rPr>
  </w:style>
  <w:style w:type="character" w:customStyle="1" w:styleId="TitleChar">
    <w:name w:val="Title Char"/>
    <w:basedOn w:val="DefaultParagraphFont"/>
    <w:link w:val="Title"/>
    <w:uiPriority w:val="10"/>
    <w:rsid w:val="009E1BB7"/>
    <w:rPr>
      <w:rFonts w:ascii="Gotham Book" w:eastAsiaTheme="majorEastAsia" w:hAnsi="Gotham Book" w:cstheme="majorBidi"/>
      <w:b/>
      <w:spacing w:val="5"/>
      <w:kern w:val="28"/>
      <w:szCs w:val="52"/>
      <w:lang w:val="es-ES_tradnl"/>
    </w:rPr>
  </w:style>
  <w:style w:type="paragraph" w:styleId="FootnoteText">
    <w:name w:val="footnote text"/>
    <w:aliases w:val="fn,Texto nota pie IIRSA,footnote,foottextfra,F,Texto nota pie Car Car,Car,Car3 Car Car,Car3 Car,Car3 Car Car Car Car Car Car Car Car Car Car,Car3 Car Car Car Car Car Car Car Car Car Car Car Car Car,ft,Style 25,Texto de rodapé,nota_rodapé,f"/>
    <w:basedOn w:val="Normal"/>
    <w:link w:val="FootnoteTextChar"/>
    <w:qFormat/>
    <w:rsid w:val="008E7742"/>
    <w:pPr>
      <w:keepNext/>
      <w:keepLines/>
      <w:spacing w:after="120"/>
      <w:ind w:left="288" w:hanging="288"/>
      <w:jc w:val="both"/>
    </w:pPr>
    <w:rPr>
      <w:sz w:val="20"/>
      <w:lang w:eastAsia="x-none"/>
    </w:rPr>
  </w:style>
  <w:style w:type="character" w:customStyle="1" w:styleId="FootnoteTextChar">
    <w:name w:val="Footnote Text Char"/>
    <w:aliases w:val="fn Char,Texto nota pie IIRSA Char,footnote Char,foottextfra Char,F Char,Texto nota pie Car Car Char,Car Char,Car3 Car Car Char,Car3 Car Char,Car3 Car Car Car Car Car Car Car Car Car Car Char,ft Char,Style 25 Char,Texto de rodapé Char"/>
    <w:basedOn w:val="DefaultParagraphFont"/>
    <w:link w:val="FootnoteText"/>
    <w:rsid w:val="008E7742"/>
    <w:rPr>
      <w:rFonts w:ascii="Times New Roman" w:eastAsia="Times New Roman" w:hAnsi="Times New Roman" w:cs="Times New Roman"/>
      <w:spacing w:val="-3"/>
      <w:sz w:val="20"/>
      <w:szCs w:val="20"/>
      <w:lang w:val="es-ES_tradnl" w:eastAsia="x-none"/>
    </w:rPr>
  </w:style>
  <w:style w:type="character" w:styleId="FootnoteReference">
    <w:name w:val="footnote reference"/>
    <w:aliases w:val="referencia nota al pie,titulo 2,Fußnotenzeichen DISS,16 Point,Superscript 6 Point,ftref,BVI fnr,Знак сноски 1,Footnote Referencefra,FC,Style 24,pie pddes,Ref,de nota al pie,Ref. de nota al pie.,Footnote Reference.SES"/>
    <w:qFormat/>
    <w:rsid w:val="008E7742"/>
    <w:rPr>
      <w:rFonts w:ascii="Times New Roman" w:hAnsi="Times New Roman"/>
      <w:sz w:val="20"/>
      <w:vertAlign w:val="superscript"/>
    </w:rPr>
  </w:style>
  <w:style w:type="character" w:customStyle="1" w:styleId="ColorfulList-Accent1Char">
    <w:name w:val="Colorful List - Accent 1 Char"/>
    <w:link w:val="ColorfulList-Accent1"/>
    <w:uiPriority w:val="34"/>
    <w:rsid w:val="008E7742"/>
    <w:rPr>
      <w:sz w:val="22"/>
      <w:szCs w:val="22"/>
    </w:rPr>
  </w:style>
  <w:style w:type="paragraph" w:customStyle="1" w:styleId="ColorfulList-Accent11">
    <w:name w:val="Colorful List - Accent 11"/>
    <w:basedOn w:val="Normal"/>
    <w:uiPriority w:val="34"/>
    <w:qFormat/>
    <w:rsid w:val="008E7742"/>
    <w:pPr>
      <w:ind w:left="720"/>
      <w:contextualSpacing/>
    </w:pPr>
    <w:rPr>
      <w:rFonts w:ascii="Calibri" w:eastAsia="Calibri" w:hAnsi="Calibri"/>
      <w:spacing w:val="0"/>
      <w:sz w:val="22"/>
      <w:szCs w:val="22"/>
    </w:rPr>
  </w:style>
  <w:style w:type="table" w:styleId="ColorfulList-Accent1">
    <w:name w:val="Colorful List Accent 1"/>
    <w:basedOn w:val="TableNormal"/>
    <w:link w:val="ColorfulList-Accent1Char"/>
    <w:uiPriority w:val="34"/>
    <w:rsid w:val="008E7742"/>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8E7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742"/>
    <w:rPr>
      <w:rFonts w:ascii="Lucida Grande" w:eastAsia="Times New Roman" w:hAnsi="Lucida Grande" w:cs="Lucida Grande"/>
      <w:spacing w:val="-3"/>
      <w:sz w:val="18"/>
      <w:szCs w:val="18"/>
      <w:lang w:val="es-ES_tradnl"/>
    </w:rPr>
  </w:style>
  <w:style w:type="paragraph" w:styleId="ListParagraph">
    <w:name w:val="List Paragraph"/>
    <w:basedOn w:val="Normal"/>
    <w:uiPriority w:val="99"/>
    <w:qFormat/>
    <w:rsid w:val="008E7742"/>
    <w:pPr>
      <w:ind w:left="720"/>
      <w:contextualSpacing/>
    </w:pPr>
  </w:style>
  <w:style w:type="character" w:customStyle="1" w:styleId="Heading1Char">
    <w:name w:val="Heading 1 Char"/>
    <w:aliases w:val="Heading 1.I Char"/>
    <w:basedOn w:val="DefaultParagraphFont"/>
    <w:link w:val="Heading1"/>
    <w:uiPriority w:val="9"/>
    <w:rsid w:val="00A9272D"/>
    <w:rPr>
      <w:rFonts w:ascii="Times New Roman Bold" w:eastAsia="Times New Roman" w:hAnsi="Times New Roman Bold" w:cs="Times New Roman"/>
      <w:b/>
      <w:smallCaps/>
      <w:noProof/>
      <w:sz w:val="28"/>
      <w:szCs w:val="20"/>
      <w:lang w:val="es-ES" w:eastAsia="es-ES"/>
    </w:rPr>
  </w:style>
  <w:style w:type="character" w:customStyle="1" w:styleId="Heading4Char">
    <w:name w:val="Heading 4 Char"/>
    <w:aliases w:val="Heading 4.a Char"/>
    <w:basedOn w:val="DefaultParagraphFont"/>
    <w:link w:val="Heading4"/>
    <w:uiPriority w:val="9"/>
    <w:rsid w:val="00A9272D"/>
    <w:rPr>
      <w:rFonts w:ascii="Times New Roman Bold" w:eastAsia="Times New Roman" w:hAnsi="Times New Roman Bold" w:cs="Times New Roman"/>
      <w:b/>
      <w:noProof/>
      <w:szCs w:val="20"/>
      <w:lang w:val="es-ES" w:eastAsia="es-ES"/>
    </w:rPr>
  </w:style>
  <w:style w:type="character" w:customStyle="1" w:styleId="Heading5Char">
    <w:name w:val="Heading 5 Char"/>
    <w:aliases w:val="Heading 5.(i) Char"/>
    <w:basedOn w:val="DefaultParagraphFont"/>
    <w:link w:val="Heading5"/>
    <w:uiPriority w:val="9"/>
    <w:rsid w:val="00A9272D"/>
    <w:rPr>
      <w:rFonts w:ascii="Times New Roman Bold" w:eastAsia="Times New Roman" w:hAnsi="Times New Roman Bold" w:cs="Times New Roman"/>
      <w:b/>
      <w:noProof/>
      <w:szCs w:val="20"/>
      <w:lang w:val="es-ES" w:eastAsia="es-ES"/>
    </w:rPr>
  </w:style>
  <w:style w:type="paragraph" w:customStyle="1" w:styleId="AutoNumpara">
    <w:name w:val="AutoNumpara"/>
    <w:basedOn w:val="BodyTextIndent"/>
    <w:rsid w:val="00A9272D"/>
    <w:pPr>
      <w:numPr>
        <w:ilvl w:val="1"/>
        <w:numId w:val="4"/>
      </w:numPr>
      <w:tabs>
        <w:tab w:val="clear" w:pos="720"/>
        <w:tab w:val="num" w:pos="360"/>
      </w:tabs>
      <w:spacing w:before="120"/>
      <w:ind w:left="360" w:firstLine="0"/>
      <w:jc w:val="both"/>
    </w:pPr>
    <w:rPr>
      <w:noProof/>
      <w:spacing w:val="-2"/>
      <w:lang w:eastAsia="x-none"/>
    </w:rPr>
  </w:style>
  <w:style w:type="paragraph" w:styleId="BodyTextIndent">
    <w:name w:val="Body Text Indent"/>
    <w:basedOn w:val="Normal"/>
    <w:link w:val="BodyTextIndentChar"/>
    <w:uiPriority w:val="99"/>
    <w:semiHidden/>
    <w:unhideWhenUsed/>
    <w:rsid w:val="00A9272D"/>
    <w:pPr>
      <w:spacing w:after="120"/>
      <w:ind w:left="360"/>
    </w:pPr>
  </w:style>
  <w:style w:type="character" w:customStyle="1" w:styleId="BodyTextIndentChar">
    <w:name w:val="Body Text Indent Char"/>
    <w:basedOn w:val="DefaultParagraphFont"/>
    <w:link w:val="BodyTextIndent"/>
    <w:uiPriority w:val="99"/>
    <w:semiHidden/>
    <w:rsid w:val="00A9272D"/>
    <w:rPr>
      <w:rFonts w:ascii="Times New Roman" w:eastAsia="Times New Roman" w:hAnsi="Times New Roman" w:cs="Times New Roman"/>
      <w:spacing w:val="-3"/>
      <w:szCs w:val="20"/>
      <w:lang w:val="es-ES_tradnl"/>
    </w:rPr>
  </w:style>
  <w:style w:type="paragraph" w:styleId="Caption">
    <w:name w:val="caption"/>
    <w:basedOn w:val="Normal"/>
    <w:next w:val="Normal"/>
    <w:autoRedefine/>
    <w:uiPriority w:val="35"/>
    <w:unhideWhenUsed/>
    <w:qFormat/>
    <w:rsid w:val="0070048B"/>
    <w:pPr>
      <w:spacing w:after="200"/>
    </w:pPr>
    <w:rPr>
      <w:b/>
      <w:bCs/>
      <w:szCs w:val="18"/>
    </w:rPr>
  </w:style>
  <w:style w:type="table" w:styleId="LightShading">
    <w:name w:val="Light Shading"/>
    <w:basedOn w:val="TableNormal"/>
    <w:uiPriority w:val="60"/>
    <w:rsid w:val="00296B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296B5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0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D52"/>
    <w:rPr>
      <w:sz w:val="18"/>
      <w:szCs w:val="18"/>
    </w:rPr>
  </w:style>
  <w:style w:type="paragraph" w:styleId="CommentText">
    <w:name w:val="annotation text"/>
    <w:basedOn w:val="Normal"/>
    <w:link w:val="CommentTextChar"/>
    <w:uiPriority w:val="99"/>
    <w:semiHidden/>
    <w:unhideWhenUsed/>
    <w:rsid w:val="00953D52"/>
    <w:rPr>
      <w:szCs w:val="24"/>
    </w:rPr>
  </w:style>
  <w:style w:type="character" w:customStyle="1" w:styleId="CommentTextChar">
    <w:name w:val="Comment Text Char"/>
    <w:basedOn w:val="DefaultParagraphFont"/>
    <w:link w:val="CommentText"/>
    <w:uiPriority w:val="99"/>
    <w:semiHidden/>
    <w:rsid w:val="00953D52"/>
    <w:rPr>
      <w:rFonts w:ascii="Arial" w:eastAsia="Times New Roman" w:hAnsi="Arial" w:cs="Times New Roman"/>
      <w:spacing w:val="-3"/>
      <w:lang w:val="es-ES_tradnl"/>
    </w:rPr>
  </w:style>
  <w:style w:type="paragraph" w:styleId="CommentSubject">
    <w:name w:val="annotation subject"/>
    <w:basedOn w:val="CommentText"/>
    <w:next w:val="CommentText"/>
    <w:link w:val="CommentSubjectChar"/>
    <w:uiPriority w:val="99"/>
    <w:semiHidden/>
    <w:unhideWhenUsed/>
    <w:rsid w:val="00953D52"/>
    <w:rPr>
      <w:b/>
      <w:bCs/>
      <w:sz w:val="20"/>
      <w:szCs w:val="20"/>
    </w:rPr>
  </w:style>
  <w:style w:type="character" w:customStyle="1" w:styleId="CommentSubjectChar">
    <w:name w:val="Comment Subject Char"/>
    <w:basedOn w:val="CommentTextChar"/>
    <w:link w:val="CommentSubject"/>
    <w:uiPriority w:val="99"/>
    <w:semiHidden/>
    <w:rsid w:val="00953D52"/>
    <w:rPr>
      <w:rFonts w:ascii="Arial" w:eastAsia="Times New Roman" w:hAnsi="Arial" w:cs="Times New Roman"/>
      <w:b/>
      <w:bCs/>
      <w:spacing w:val="-3"/>
      <w:sz w:val="20"/>
      <w:szCs w:val="20"/>
      <w:lang w:val="es-ES_tradnl"/>
    </w:rPr>
  </w:style>
  <w:style w:type="character" w:customStyle="1" w:styleId="Heading2Char">
    <w:name w:val="Heading 2 Char"/>
    <w:aliases w:val="Heading 2.A Char"/>
    <w:basedOn w:val="DefaultParagraphFont"/>
    <w:link w:val="Heading2"/>
    <w:uiPriority w:val="9"/>
    <w:semiHidden/>
    <w:rsid w:val="00DB373A"/>
    <w:rPr>
      <w:rFonts w:asciiTheme="majorHAnsi" w:eastAsiaTheme="majorEastAsia" w:hAnsiTheme="majorHAnsi" w:cstheme="majorBidi"/>
      <w:b/>
      <w:bCs/>
      <w:color w:val="4F81BD" w:themeColor="accent1"/>
      <w:spacing w:val="-3"/>
      <w:sz w:val="26"/>
      <w:szCs w:val="26"/>
      <w:lang w:val="es-ES_tradnl"/>
    </w:rPr>
  </w:style>
  <w:style w:type="paragraph" w:customStyle="1" w:styleId="FirstHeading">
    <w:name w:val="FirstHeading"/>
    <w:basedOn w:val="Normal"/>
    <w:next w:val="Normal"/>
    <w:link w:val="FirstHeadingChar"/>
    <w:rsid w:val="00DB373A"/>
    <w:pPr>
      <w:keepNext/>
      <w:numPr>
        <w:numId w:val="6"/>
      </w:numPr>
      <w:tabs>
        <w:tab w:val="left" w:pos="0"/>
        <w:tab w:val="left" w:pos="86"/>
      </w:tabs>
      <w:spacing w:before="120" w:after="120"/>
    </w:pPr>
    <w:rPr>
      <w:rFonts w:ascii="Times New Roman" w:eastAsia="Calibri" w:hAnsi="Times New Roman"/>
      <w:b/>
      <w:spacing w:val="0"/>
      <w:szCs w:val="22"/>
      <w:lang w:val="es-ES"/>
    </w:rPr>
  </w:style>
  <w:style w:type="character" w:customStyle="1" w:styleId="FirstHeadingChar">
    <w:name w:val="FirstHeading Char"/>
    <w:link w:val="FirstHeading"/>
    <w:rsid w:val="00DB373A"/>
    <w:rPr>
      <w:rFonts w:ascii="Times New Roman" w:eastAsia="Calibri" w:hAnsi="Times New Roman" w:cs="Times New Roman"/>
      <w:b/>
      <w:szCs w:val="22"/>
      <w:lang w:val="es-ES"/>
    </w:rPr>
  </w:style>
  <w:style w:type="paragraph" w:customStyle="1" w:styleId="Paragraph">
    <w:name w:val="Paragraph"/>
    <w:aliases w:val="paragraph,p,PARAGRAPH,PG,pa,at"/>
    <w:basedOn w:val="BodyTextIndent"/>
    <w:link w:val="ParagraphChar"/>
    <w:qFormat/>
    <w:rsid w:val="00DB373A"/>
    <w:pPr>
      <w:tabs>
        <w:tab w:val="num" w:pos="720"/>
      </w:tabs>
      <w:spacing w:before="120"/>
      <w:ind w:left="720" w:hanging="720"/>
      <w:jc w:val="both"/>
      <w:outlineLvl w:val="1"/>
    </w:pPr>
    <w:rPr>
      <w:rFonts w:ascii="Times New Roman" w:eastAsia="Calibri" w:hAnsi="Times New Roman"/>
      <w:spacing w:val="0"/>
      <w:szCs w:val="22"/>
      <w:lang w:val="es-ES"/>
    </w:rPr>
  </w:style>
  <w:style w:type="character" w:customStyle="1" w:styleId="ParagraphChar">
    <w:name w:val="Paragraph Char"/>
    <w:link w:val="Paragraph"/>
    <w:rsid w:val="00DB373A"/>
    <w:rPr>
      <w:rFonts w:ascii="Times New Roman" w:eastAsia="Calibri" w:hAnsi="Times New Roman" w:cs="Times New Roman"/>
      <w:szCs w:val="22"/>
      <w:lang w:val="es-ES"/>
    </w:rPr>
  </w:style>
  <w:style w:type="paragraph" w:styleId="Header">
    <w:name w:val="header"/>
    <w:basedOn w:val="Normal"/>
    <w:link w:val="HeaderChar"/>
    <w:rsid w:val="00DB373A"/>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DB373A"/>
    <w:rPr>
      <w:rFonts w:ascii="Times New Roman" w:eastAsia="Times New Roman" w:hAnsi="Times New Roman" w:cs="Times New Roman"/>
      <w:spacing w:val="-3"/>
      <w:sz w:val="20"/>
      <w:szCs w:val="20"/>
      <w:lang w:val="es-ES_tradnl"/>
    </w:rPr>
  </w:style>
  <w:style w:type="paragraph" w:styleId="Footer">
    <w:name w:val="footer"/>
    <w:basedOn w:val="Normal"/>
    <w:link w:val="FooterChar"/>
    <w:uiPriority w:val="99"/>
    <w:rsid w:val="00DB373A"/>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DB373A"/>
    <w:rPr>
      <w:rFonts w:ascii="Times New Roman" w:eastAsia="Times New Roman" w:hAnsi="Times New Roman" w:cs="Times New Roman"/>
      <w:spacing w:val="-3"/>
      <w:sz w:val="20"/>
      <w:szCs w:val="20"/>
      <w:lang w:val="es-ES_tradnl"/>
    </w:rPr>
  </w:style>
  <w:style w:type="character" w:styleId="Hyperlink">
    <w:name w:val="Hyperlink"/>
    <w:rsid w:val="00DB373A"/>
    <w:rPr>
      <w:rFonts w:ascii="Times New Roman" w:hAnsi="Times New Roman"/>
      <w:color w:val="0000FF"/>
      <w:sz w:val="24"/>
      <w:u w:val="single"/>
    </w:rPr>
  </w:style>
  <w:style w:type="paragraph" w:customStyle="1" w:styleId="xl29">
    <w:name w:val="xl29"/>
    <w:basedOn w:val="Normal"/>
    <w:rsid w:val="00A12DB9"/>
    <w:pPr>
      <w:pBdr>
        <w:left w:val="single" w:sz="4" w:space="0" w:color="auto"/>
        <w:bottom w:val="single" w:sz="4" w:space="0" w:color="auto"/>
      </w:pBdr>
      <w:spacing w:before="100" w:beforeAutospacing="1" w:after="100" w:afterAutospacing="1"/>
      <w:jc w:val="center"/>
    </w:pPr>
    <w:rPr>
      <w:rFonts w:eastAsia="Arial Unicode MS" w:cs="Arial"/>
      <w:b/>
      <w:bCs/>
      <w:spacing w:val="0"/>
      <w:szCs w:val="24"/>
      <w:lang w:val="en-US"/>
    </w:rPr>
  </w:style>
  <w:style w:type="table" w:styleId="LightList-Accent1">
    <w:name w:val="Light List Accent 1"/>
    <w:basedOn w:val="TableNormal"/>
    <w:uiPriority w:val="61"/>
    <w:rsid w:val="004347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A33466"/>
    <w:pPr>
      <w:spacing w:before="100" w:beforeAutospacing="1" w:after="100" w:afterAutospacing="1"/>
    </w:pPr>
    <w:rPr>
      <w:rFonts w:ascii="Times" w:eastAsiaTheme="minorEastAsia" w:hAnsi="Times"/>
      <w:spacing w:val="0"/>
      <w:sz w:val="20"/>
      <w:lang w:val="en-US"/>
    </w:rPr>
  </w:style>
  <w:style w:type="paragraph" w:styleId="Revision">
    <w:name w:val="Revision"/>
    <w:hidden/>
    <w:uiPriority w:val="99"/>
    <w:semiHidden/>
    <w:rsid w:val="00136578"/>
    <w:rPr>
      <w:rFonts w:ascii="Arial" w:eastAsia="Times New Roman" w:hAnsi="Arial" w:cs="Times New Roman"/>
      <w:spacing w:val="-3"/>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2883">
      <w:bodyDiv w:val="1"/>
      <w:marLeft w:val="0"/>
      <w:marRight w:val="0"/>
      <w:marTop w:val="0"/>
      <w:marBottom w:val="0"/>
      <w:divBdr>
        <w:top w:val="none" w:sz="0" w:space="0" w:color="auto"/>
        <w:left w:val="none" w:sz="0" w:space="0" w:color="auto"/>
        <w:bottom w:val="none" w:sz="0" w:space="0" w:color="auto"/>
        <w:right w:val="none" w:sz="0" w:space="0" w:color="auto"/>
      </w:divBdr>
    </w:div>
    <w:div w:id="1064986536">
      <w:bodyDiv w:val="1"/>
      <w:marLeft w:val="0"/>
      <w:marRight w:val="0"/>
      <w:marTop w:val="0"/>
      <w:marBottom w:val="0"/>
      <w:divBdr>
        <w:top w:val="none" w:sz="0" w:space="0" w:color="auto"/>
        <w:left w:val="none" w:sz="0" w:space="0" w:color="auto"/>
        <w:bottom w:val="none" w:sz="0" w:space="0" w:color="auto"/>
        <w:right w:val="none" w:sz="0" w:space="0" w:color="auto"/>
      </w:divBdr>
    </w:div>
    <w:div w:id="1215972557">
      <w:bodyDiv w:val="1"/>
      <w:marLeft w:val="0"/>
      <w:marRight w:val="0"/>
      <w:marTop w:val="0"/>
      <w:marBottom w:val="0"/>
      <w:divBdr>
        <w:top w:val="none" w:sz="0" w:space="0" w:color="auto"/>
        <w:left w:val="none" w:sz="0" w:space="0" w:color="auto"/>
        <w:bottom w:val="none" w:sz="0" w:space="0" w:color="auto"/>
        <w:right w:val="none" w:sz="0" w:space="0" w:color="auto"/>
      </w:divBdr>
    </w:div>
    <w:div w:id="1259290953">
      <w:bodyDiv w:val="1"/>
      <w:marLeft w:val="0"/>
      <w:marRight w:val="0"/>
      <w:marTop w:val="0"/>
      <w:marBottom w:val="0"/>
      <w:divBdr>
        <w:top w:val="none" w:sz="0" w:space="0" w:color="auto"/>
        <w:left w:val="none" w:sz="0" w:space="0" w:color="auto"/>
        <w:bottom w:val="none" w:sz="0" w:space="0" w:color="auto"/>
        <w:right w:val="none" w:sz="0" w:space="0" w:color="auto"/>
      </w:divBdr>
    </w:div>
    <w:div w:id="1344625004">
      <w:bodyDiv w:val="1"/>
      <w:marLeft w:val="0"/>
      <w:marRight w:val="0"/>
      <w:marTop w:val="0"/>
      <w:marBottom w:val="0"/>
      <w:divBdr>
        <w:top w:val="none" w:sz="0" w:space="0" w:color="auto"/>
        <w:left w:val="none" w:sz="0" w:space="0" w:color="auto"/>
        <w:bottom w:val="none" w:sz="0" w:space="0" w:color="auto"/>
        <w:right w:val="none" w:sz="0" w:space="0" w:color="auto"/>
      </w:divBdr>
    </w:div>
    <w:div w:id="1506088948">
      <w:bodyDiv w:val="1"/>
      <w:marLeft w:val="0"/>
      <w:marRight w:val="0"/>
      <w:marTop w:val="0"/>
      <w:marBottom w:val="0"/>
      <w:divBdr>
        <w:top w:val="none" w:sz="0" w:space="0" w:color="auto"/>
        <w:left w:val="none" w:sz="0" w:space="0" w:color="auto"/>
        <w:bottom w:val="none" w:sz="0" w:space="0" w:color="auto"/>
        <w:right w:val="none" w:sz="0" w:space="0" w:color="auto"/>
      </w:divBdr>
    </w:div>
    <w:div w:id="152450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tasus.gov.br" TargetMode="Externa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customXml" Target="../customXml/item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A975974CC910D43B4A0FA0359B488E7" ma:contentTypeVersion="0" ma:contentTypeDescription="A content type to manage public (operations) IDB documents" ma:contentTypeScope="" ma:versionID="6252e2957d2e01b40184855ceae1b64c">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Region xmlns="9c571b2f-e523-4ab2-ba2e-09e151a03ef4" xsi:nil="true"/>
    <Document_x0020_Author xmlns="9c571b2f-e523-4ab2-ba2e-09e151a03ef4">Rocha, Marcia Gomes</Document_x0020_Author>
    <m555d3814edf4817b4410a4e57f94ce9 xmlns="9c571b2f-e523-4ab2-ba2e-09e151a03ef4">
      <Terms xmlns="http://schemas.microsoft.com/office/infopath/2007/PartnerControls"/>
    </m555d3814edf4817b4410a4e57f94ce9>
    <Project_x0020_Number xmlns="9c571b2f-e523-4ab2-ba2e-09e151a03ef4">BR-L1408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SA-ENF</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Other_x0020_Author xmlns="9c571b2f-e523-4ab2-ba2e-09e151a03ef4" xsi:nil="true"/>
    <IDBDocs_x0020_Number xmlns="9c571b2f-e523-4ab2-ba2e-09e151a03ef4">39694756</IDBDocs_x0020_Numbe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2015</Fiscal_x0020_Year_x0020_IDB>
    <Issue_x0020_Date xmlns="9c571b2f-e523-4ab2-ba2e-09e151a03ef4" xsi:nil="true"/>
  </documentManagement>
</p:properties>
</file>

<file path=customXml/itemProps1.xml><?xml version="1.0" encoding="utf-8"?>
<ds:datastoreItem xmlns:ds="http://schemas.openxmlformats.org/officeDocument/2006/customXml" ds:itemID="{EBF69823-69BF-4D25-8FFC-447892AC1AC2}"/>
</file>

<file path=customXml/itemProps2.xml><?xml version="1.0" encoding="utf-8"?>
<ds:datastoreItem xmlns:ds="http://schemas.openxmlformats.org/officeDocument/2006/customXml" ds:itemID="{4F1019C4-AC3C-48B1-96EE-24D71BF42EF3}"/>
</file>

<file path=customXml/itemProps3.xml><?xml version="1.0" encoding="utf-8"?>
<ds:datastoreItem xmlns:ds="http://schemas.openxmlformats.org/officeDocument/2006/customXml" ds:itemID="{D7990FF9-5AD0-4CDF-B93D-B3817690709F}"/>
</file>

<file path=customXml/itemProps4.xml><?xml version="1.0" encoding="utf-8"?>
<ds:datastoreItem xmlns:ds="http://schemas.openxmlformats.org/officeDocument/2006/customXml" ds:itemID="{DBEAD245-A303-49F8-AE87-2CB26E8548A1}"/>
</file>

<file path=customXml/itemProps5.xml><?xml version="1.0" encoding="utf-8"?>
<ds:datastoreItem xmlns:ds="http://schemas.openxmlformats.org/officeDocument/2006/customXml" ds:itemID="{A0EFE7BB-A9E3-4F55-9BA8-3B1AC5F0BB38}"/>
</file>

<file path=customXml/itemProps6.xml><?xml version="1.0" encoding="utf-8"?>
<ds:datastoreItem xmlns:ds="http://schemas.openxmlformats.org/officeDocument/2006/customXml" ds:itemID="{C2707C9E-5604-4AEF-AA6B-06F05EDE9300}"/>
</file>

<file path=docProps/app.xml><?xml version="1.0" encoding="utf-8"?>
<Properties xmlns="http://schemas.openxmlformats.org/officeDocument/2006/extended-properties" xmlns:vt="http://schemas.openxmlformats.org/officeDocument/2006/docPropsVTypes">
  <Template>Normal.dotm</Template>
  <TotalTime>6</TotalTime>
  <Pages>26</Pages>
  <Words>8962</Words>
  <Characters>51089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enlace requerido _3 Plan de Monitoreo y Evaluación</dc:title>
  <dc:creator>Nadin Fabiola Medellin Almanza</dc:creator>
  <cp:lastModifiedBy>Inter-American Development Bank</cp:lastModifiedBy>
  <cp:revision>8</cp:revision>
  <cp:lastPrinted>2015-06-24T15:07:00Z</cp:lastPrinted>
  <dcterms:created xsi:type="dcterms:W3CDTF">2015-08-24T15:45:00Z</dcterms:created>
  <dcterms:modified xsi:type="dcterms:W3CDTF">2016-06-17T23:01:00Z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nadin.medellin@gmail.com@www.mendeley.com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16th edition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TaxKeyword">
    <vt:lpwstr/>
  </property>
  <property fmtid="{D5CDD505-2E9C-101B-9397-08002B2CF9AE}" pid="26" name="Sub_x002d_Sector">
    <vt:lpwstr/>
  </property>
  <property fmtid="{D5CDD505-2E9C-101B-9397-08002B2CF9AE}" pid="27" name="ContentTypeId">
    <vt:lpwstr>0x01010046CF21643EE8D14686A648AA6DAD089200DA975974CC910D43B4A0FA0359B488E7</vt:lpwstr>
  </property>
  <property fmtid="{D5CDD505-2E9C-101B-9397-08002B2CF9AE}" pid="28" name="TaxKeywordTaxHTField">
    <vt:lpwstr/>
  </property>
  <property fmtid="{D5CDD505-2E9C-101B-9397-08002B2CF9AE}" pid="29" name="Series Operations IDB">
    <vt:lpwstr>3;#Unclassified|a6dff32e-d477-44cd-a56b-85efe9e0a56c</vt:lpwstr>
  </property>
  <property fmtid="{D5CDD505-2E9C-101B-9397-08002B2CF9AE}" pid="30" name="Sub-Sector">
    <vt:lpwstr/>
  </property>
  <property fmtid="{D5CDD505-2E9C-101B-9397-08002B2CF9AE}" pid="31" name="Country">
    <vt:lpwstr/>
  </property>
  <property fmtid="{D5CDD505-2E9C-101B-9397-08002B2CF9AE}" pid="32" name="Fund IDB">
    <vt:lpwstr/>
  </property>
  <property fmtid="{D5CDD505-2E9C-101B-9397-08002B2CF9AE}" pid="33" name="Series_x0020_Operations_x0020_IDB">
    <vt:lpwstr>3;#Unclassified|a6dff32e-d477-44cd-a56b-85efe9e0a56c</vt:lpwstr>
  </property>
  <property fmtid="{D5CDD505-2E9C-101B-9397-08002B2CF9AE}" pid="34" name="To:">
    <vt:lpwstr/>
  </property>
  <property fmtid="{D5CDD505-2E9C-101B-9397-08002B2CF9AE}" pid="35" name="From:">
    <vt:lpwstr/>
  </property>
  <property fmtid="{D5CDD505-2E9C-101B-9397-08002B2CF9AE}" pid="36" name="Sector IDB">
    <vt:lpwstr/>
  </property>
  <property fmtid="{D5CDD505-2E9C-101B-9397-08002B2CF9AE}" pid="37" name="Function Operations IDB">
    <vt:lpwstr>4;#IDBDocs|cca77002-e150-4b2d-ab1f-1d7a7cdcae16</vt:lpwstr>
  </property>
</Properties>
</file>