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609E" w14:textId="77777777" w:rsidR="00E51814" w:rsidRDefault="00E51814" w:rsidP="00D73591">
      <w:pPr>
        <w:pStyle w:val="Title"/>
        <w:spacing w:after="0"/>
        <w:ind w:left="0" w:right="0"/>
        <w:rPr>
          <w:rFonts w:ascii="Times New Roman" w:hAnsi="Times New Roman" w:cs="Times New Roman"/>
          <w:b w:val="0"/>
          <w:bCs w:val="0"/>
          <w:smallCaps/>
          <w:kern w:val="0"/>
          <w:sz w:val="24"/>
          <w:szCs w:val="24"/>
          <w:lang w:eastAsia="en-US"/>
        </w:rPr>
      </w:pPr>
      <w:bookmarkStart w:id="0" w:name="_GoBack"/>
      <w:bookmarkEnd w:id="0"/>
    </w:p>
    <w:p w14:paraId="0BBE8463" w14:textId="77777777" w:rsidR="00DB52D0" w:rsidRPr="00914260" w:rsidRDefault="00DB52D0" w:rsidP="00E51814">
      <w:pPr>
        <w:pStyle w:val="Title"/>
        <w:spacing w:after="0"/>
        <w:ind w:left="360" w:right="0"/>
        <w:rPr>
          <w:rFonts w:ascii="Arial" w:hAnsi="Arial"/>
          <w:b w:val="0"/>
          <w:bCs w:val="0"/>
          <w:smallCaps/>
          <w:kern w:val="0"/>
          <w:sz w:val="22"/>
          <w:szCs w:val="24"/>
          <w:lang w:eastAsia="en-US"/>
        </w:rPr>
      </w:pPr>
      <w:r w:rsidRPr="00914260">
        <w:rPr>
          <w:rFonts w:ascii="Arial" w:hAnsi="Arial"/>
          <w:b w:val="0"/>
          <w:bCs w:val="0"/>
          <w:smallCaps/>
          <w:kern w:val="0"/>
          <w:sz w:val="22"/>
          <w:szCs w:val="24"/>
          <w:lang w:eastAsia="en-US"/>
        </w:rPr>
        <w:t>Document of the Inter-American Development Bank</w:t>
      </w:r>
    </w:p>
    <w:p w14:paraId="26E98E87"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690D8C3C"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47C9C6AB" w14:textId="77777777" w:rsidR="00DB52D0" w:rsidRPr="00914260" w:rsidRDefault="00DB52D0" w:rsidP="00E51814">
      <w:pPr>
        <w:pStyle w:val="Title"/>
        <w:spacing w:after="0"/>
        <w:ind w:left="360" w:right="0"/>
        <w:rPr>
          <w:rFonts w:ascii="Arial" w:hAnsi="Arial"/>
          <w:b w:val="0"/>
          <w:bCs w:val="0"/>
          <w:smallCaps/>
          <w:kern w:val="0"/>
          <w:sz w:val="24"/>
          <w:szCs w:val="24"/>
          <w:lang w:eastAsia="en-US"/>
        </w:rPr>
      </w:pPr>
    </w:p>
    <w:p w14:paraId="22D7650A" w14:textId="77777777" w:rsidR="00DB52D0" w:rsidRPr="00914260" w:rsidRDefault="00DB52D0" w:rsidP="00E51814">
      <w:pPr>
        <w:pStyle w:val="Title"/>
        <w:spacing w:after="0"/>
        <w:ind w:left="360" w:right="0"/>
        <w:rPr>
          <w:rFonts w:ascii="Arial" w:hAnsi="Arial"/>
          <w:b w:val="0"/>
          <w:bCs w:val="0"/>
          <w:smallCaps/>
          <w:kern w:val="0"/>
          <w:sz w:val="24"/>
          <w:szCs w:val="24"/>
          <w:lang w:eastAsia="en-US"/>
        </w:rPr>
      </w:pPr>
    </w:p>
    <w:p w14:paraId="3C4BFF15"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4A85A949"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04BC3B80" w14:textId="78402633" w:rsidR="001B6B76" w:rsidRPr="00914260" w:rsidRDefault="002772EC" w:rsidP="00E51814">
      <w:pPr>
        <w:pStyle w:val="Title"/>
        <w:spacing w:after="0"/>
        <w:ind w:left="360" w:right="0"/>
        <w:rPr>
          <w:rFonts w:ascii="Arial" w:hAnsi="Arial"/>
          <w:b w:val="0"/>
          <w:bCs w:val="0"/>
          <w:smallCaps/>
          <w:kern w:val="0"/>
          <w:sz w:val="24"/>
          <w:szCs w:val="24"/>
          <w:lang w:eastAsia="en-US"/>
        </w:rPr>
      </w:pPr>
      <w:r w:rsidRPr="00914260">
        <w:rPr>
          <w:rFonts w:ascii="Arial" w:hAnsi="Arial"/>
          <w:b w:val="0"/>
          <w:bCs w:val="0"/>
          <w:smallCaps/>
          <w:kern w:val="0"/>
          <w:sz w:val="24"/>
          <w:szCs w:val="24"/>
          <w:lang w:eastAsia="en-US"/>
        </w:rPr>
        <w:t>Regional</w:t>
      </w:r>
    </w:p>
    <w:p w14:paraId="44435925"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66BFAA65" w14:textId="77777777" w:rsidR="00DB52D0" w:rsidRPr="00914260" w:rsidRDefault="00DB52D0" w:rsidP="00E51814">
      <w:pPr>
        <w:pStyle w:val="Title"/>
        <w:spacing w:after="0"/>
        <w:ind w:left="360" w:right="0"/>
        <w:rPr>
          <w:rFonts w:ascii="Arial" w:hAnsi="Arial"/>
          <w:b w:val="0"/>
          <w:bCs w:val="0"/>
          <w:smallCaps/>
          <w:kern w:val="0"/>
          <w:sz w:val="24"/>
          <w:szCs w:val="24"/>
          <w:lang w:eastAsia="en-US"/>
        </w:rPr>
      </w:pPr>
    </w:p>
    <w:p w14:paraId="61F8C93E" w14:textId="77777777" w:rsidR="00DB52D0" w:rsidRPr="00914260" w:rsidRDefault="00DB52D0" w:rsidP="00E51814">
      <w:pPr>
        <w:pStyle w:val="Title"/>
        <w:spacing w:after="0"/>
        <w:ind w:left="360" w:right="0"/>
        <w:rPr>
          <w:rFonts w:ascii="Arial" w:hAnsi="Arial"/>
          <w:b w:val="0"/>
          <w:bCs w:val="0"/>
          <w:smallCaps/>
          <w:kern w:val="0"/>
          <w:sz w:val="24"/>
          <w:szCs w:val="24"/>
          <w:lang w:eastAsia="en-US"/>
        </w:rPr>
      </w:pPr>
    </w:p>
    <w:p w14:paraId="4F99B405"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569C0140"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39E8E17F"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361F9888" w14:textId="77777777" w:rsidR="001B6B76" w:rsidRPr="00914260" w:rsidRDefault="001B6B76" w:rsidP="00E51814">
      <w:pPr>
        <w:pStyle w:val="Title"/>
        <w:spacing w:after="0"/>
        <w:ind w:left="360" w:right="0"/>
        <w:rPr>
          <w:rFonts w:ascii="Arial" w:hAnsi="Arial"/>
          <w:b w:val="0"/>
          <w:bCs w:val="0"/>
          <w:smallCaps/>
          <w:kern w:val="0"/>
          <w:sz w:val="24"/>
          <w:szCs w:val="24"/>
          <w:lang w:eastAsia="en-US"/>
        </w:rPr>
      </w:pPr>
    </w:p>
    <w:p w14:paraId="752B799C" w14:textId="77777777" w:rsidR="001B6B76" w:rsidRPr="00914260" w:rsidRDefault="00DB52D0" w:rsidP="00E51814">
      <w:pPr>
        <w:pStyle w:val="Title"/>
        <w:spacing w:after="0"/>
        <w:ind w:left="360" w:right="0"/>
        <w:rPr>
          <w:rFonts w:ascii="Arial" w:hAnsi="Arial"/>
          <w:bCs w:val="0"/>
          <w:smallCaps/>
          <w:kern w:val="0"/>
          <w:sz w:val="24"/>
          <w:szCs w:val="24"/>
          <w:lang w:eastAsia="en-US"/>
        </w:rPr>
      </w:pPr>
      <w:r w:rsidRPr="00914260">
        <w:rPr>
          <w:rFonts w:ascii="Arial" w:hAnsi="Arial"/>
          <w:bCs w:val="0"/>
          <w:smallCaps/>
          <w:kern w:val="0"/>
          <w:sz w:val="24"/>
          <w:szCs w:val="24"/>
          <w:lang w:eastAsia="en-US"/>
        </w:rPr>
        <w:t>SUSTAINABILITY ENERGY FACILITY FOR THE EASTERN CARIBBEAN</w:t>
      </w:r>
    </w:p>
    <w:p w14:paraId="1FE55E91" w14:textId="77777777" w:rsidR="001B6B76" w:rsidRPr="00914260" w:rsidRDefault="001B6B76" w:rsidP="00E51814">
      <w:pPr>
        <w:ind w:left="360"/>
        <w:jc w:val="center"/>
        <w:rPr>
          <w:rFonts w:ascii="Arial" w:hAnsi="Arial" w:cs="Arial"/>
          <w:b/>
        </w:rPr>
      </w:pPr>
    </w:p>
    <w:p w14:paraId="3D69B51F" w14:textId="77777777" w:rsidR="001B6B76" w:rsidRPr="00914260" w:rsidRDefault="001B6B76" w:rsidP="00E51814">
      <w:pPr>
        <w:ind w:left="360"/>
        <w:jc w:val="center"/>
        <w:rPr>
          <w:rFonts w:ascii="Arial" w:hAnsi="Arial" w:cs="Arial"/>
          <w:b/>
        </w:rPr>
      </w:pPr>
    </w:p>
    <w:p w14:paraId="1B5634F0" w14:textId="77777777" w:rsidR="00DB52D0" w:rsidRPr="00914260" w:rsidRDefault="00DB52D0" w:rsidP="00E51814">
      <w:pPr>
        <w:tabs>
          <w:tab w:val="left" w:pos="1440"/>
          <w:tab w:val="left" w:pos="3060"/>
        </w:tabs>
        <w:ind w:left="360"/>
        <w:jc w:val="center"/>
        <w:rPr>
          <w:rFonts w:ascii="Arial" w:hAnsi="Arial" w:cs="Arial"/>
          <w:b/>
          <w:smallCaps/>
        </w:rPr>
      </w:pPr>
      <w:r w:rsidRPr="00914260">
        <w:rPr>
          <w:rFonts w:ascii="Arial" w:hAnsi="Arial" w:cs="Arial"/>
          <w:b/>
          <w:smallCaps/>
        </w:rPr>
        <w:t>(RG-L1071)</w:t>
      </w:r>
    </w:p>
    <w:p w14:paraId="5539AA63" w14:textId="77777777" w:rsidR="001B6B76" w:rsidRPr="00914260" w:rsidRDefault="001B6B76" w:rsidP="00E51814">
      <w:pPr>
        <w:ind w:left="360"/>
        <w:jc w:val="center"/>
        <w:rPr>
          <w:rFonts w:ascii="Arial" w:hAnsi="Arial" w:cs="Arial"/>
        </w:rPr>
      </w:pPr>
    </w:p>
    <w:p w14:paraId="204A7195" w14:textId="77777777" w:rsidR="00DB52D0" w:rsidRPr="00914260" w:rsidRDefault="00DB52D0" w:rsidP="00E51814">
      <w:pPr>
        <w:ind w:left="360"/>
        <w:jc w:val="center"/>
        <w:rPr>
          <w:rFonts w:ascii="Arial" w:hAnsi="Arial" w:cs="Arial"/>
        </w:rPr>
      </w:pPr>
    </w:p>
    <w:p w14:paraId="62F41DE5" w14:textId="77777777" w:rsidR="00DB52D0" w:rsidRPr="00914260" w:rsidRDefault="00DB52D0" w:rsidP="00E51814">
      <w:pPr>
        <w:ind w:left="360"/>
        <w:jc w:val="center"/>
        <w:rPr>
          <w:rFonts w:ascii="Arial" w:hAnsi="Arial" w:cs="Arial"/>
        </w:rPr>
      </w:pPr>
    </w:p>
    <w:p w14:paraId="4A2BBFF2" w14:textId="77777777" w:rsidR="00DB52D0" w:rsidRPr="00914260" w:rsidRDefault="00DB52D0" w:rsidP="00E51814">
      <w:pPr>
        <w:ind w:left="360"/>
        <w:jc w:val="center"/>
        <w:rPr>
          <w:rFonts w:ascii="Arial" w:hAnsi="Arial" w:cs="Arial"/>
        </w:rPr>
      </w:pPr>
    </w:p>
    <w:p w14:paraId="0B6F7405" w14:textId="77777777" w:rsidR="00DB52D0" w:rsidRPr="00914260" w:rsidRDefault="00DB52D0" w:rsidP="00E51814">
      <w:pPr>
        <w:ind w:left="360"/>
        <w:jc w:val="center"/>
        <w:rPr>
          <w:rFonts w:ascii="Arial" w:hAnsi="Arial" w:cs="Arial"/>
        </w:rPr>
      </w:pPr>
    </w:p>
    <w:p w14:paraId="3CABCFFF" w14:textId="77777777" w:rsidR="001B6B76" w:rsidRPr="00914260" w:rsidRDefault="001B6B76" w:rsidP="0068353C">
      <w:pPr>
        <w:pStyle w:val="Title"/>
        <w:spacing w:after="0"/>
        <w:ind w:left="360" w:right="0"/>
        <w:rPr>
          <w:rFonts w:ascii="Arial" w:hAnsi="Arial"/>
          <w:b w:val="0"/>
          <w:bCs w:val="0"/>
          <w:smallCaps/>
          <w:kern w:val="0"/>
          <w:sz w:val="24"/>
          <w:szCs w:val="24"/>
          <w:lang w:eastAsia="en-US"/>
        </w:rPr>
      </w:pPr>
    </w:p>
    <w:p w14:paraId="265744E7" w14:textId="77777777" w:rsidR="00DB52D0" w:rsidRPr="00914260" w:rsidRDefault="00DB52D0" w:rsidP="0068353C">
      <w:pPr>
        <w:pStyle w:val="Title"/>
        <w:spacing w:after="0"/>
        <w:ind w:left="360" w:right="0"/>
        <w:rPr>
          <w:rFonts w:ascii="Arial" w:hAnsi="Arial"/>
          <w:bCs w:val="0"/>
          <w:smallCaps/>
          <w:kern w:val="0"/>
          <w:sz w:val="24"/>
          <w:szCs w:val="24"/>
          <w:lang w:eastAsia="en-US"/>
        </w:rPr>
      </w:pPr>
      <w:r w:rsidRPr="00914260">
        <w:rPr>
          <w:rFonts w:ascii="Arial" w:hAnsi="Arial"/>
          <w:bCs w:val="0"/>
          <w:smallCaps/>
          <w:kern w:val="0"/>
          <w:sz w:val="24"/>
          <w:szCs w:val="24"/>
          <w:lang w:eastAsia="en-US"/>
        </w:rPr>
        <w:t>MONITORING AND EVALUATION PLAN</w:t>
      </w:r>
    </w:p>
    <w:p w14:paraId="7CFB0E88" w14:textId="77777777" w:rsidR="001B6B76" w:rsidRPr="00914260" w:rsidRDefault="001B6B76" w:rsidP="0068353C">
      <w:pPr>
        <w:pStyle w:val="Title"/>
        <w:spacing w:after="0"/>
        <w:ind w:left="360" w:right="0"/>
        <w:rPr>
          <w:rFonts w:ascii="Arial" w:hAnsi="Arial"/>
          <w:b w:val="0"/>
          <w:bCs w:val="0"/>
          <w:smallCaps/>
          <w:kern w:val="0"/>
          <w:sz w:val="24"/>
          <w:szCs w:val="24"/>
          <w:lang w:eastAsia="en-US"/>
        </w:rPr>
      </w:pPr>
    </w:p>
    <w:p w14:paraId="56D0D0D6" w14:textId="77777777" w:rsidR="0068353C" w:rsidRPr="00914260" w:rsidRDefault="0068353C" w:rsidP="0068353C">
      <w:pPr>
        <w:pStyle w:val="Title"/>
        <w:spacing w:after="0"/>
        <w:ind w:left="360" w:right="0"/>
        <w:rPr>
          <w:rFonts w:ascii="Arial" w:hAnsi="Arial"/>
          <w:b w:val="0"/>
          <w:bCs w:val="0"/>
          <w:smallCaps/>
          <w:kern w:val="0"/>
          <w:sz w:val="24"/>
          <w:szCs w:val="24"/>
          <w:lang w:eastAsia="en-US"/>
        </w:rPr>
      </w:pPr>
    </w:p>
    <w:p w14:paraId="2835FC2D" w14:textId="77777777" w:rsidR="0068353C" w:rsidRPr="00914260" w:rsidRDefault="0068353C" w:rsidP="0068353C">
      <w:pPr>
        <w:pStyle w:val="Title"/>
        <w:spacing w:after="0"/>
        <w:ind w:left="360" w:right="0"/>
        <w:rPr>
          <w:rFonts w:ascii="Arial" w:hAnsi="Arial"/>
          <w:b w:val="0"/>
          <w:bCs w:val="0"/>
          <w:smallCaps/>
          <w:kern w:val="0"/>
          <w:sz w:val="24"/>
          <w:szCs w:val="24"/>
          <w:lang w:eastAsia="en-US"/>
        </w:rPr>
      </w:pPr>
    </w:p>
    <w:p w14:paraId="3A180218" w14:textId="77777777" w:rsidR="0068353C" w:rsidRPr="00914260" w:rsidRDefault="0068353C" w:rsidP="0068353C">
      <w:pPr>
        <w:pStyle w:val="Title"/>
        <w:spacing w:after="0"/>
        <w:ind w:left="360" w:right="0"/>
        <w:rPr>
          <w:rFonts w:ascii="Arial" w:hAnsi="Arial"/>
          <w:b w:val="0"/>
          <w:bCs w:val="0"/>
          <w:smallCaps/>
          <w:kern w:val="0"/>
          <w:sz w:val="24"/>
          <w:szCs w:val="24"/>
          <w:lang w:eastAsia="en-US"/>
        </w:rPr>
      </w:pPr>
    </w:p>
    <w:p w14:paraId="461531F4" w14:textId="77777777" w:rsidR="0068353C" w:rsidRPr="00914260" w:rsidRDefault="0068353C" w:rsidP="0068353C">
      <w:pPr>
        <w:pStyle w:val="Title"/>
        <w:spacing w:after="0"/>
        <w:ind w:left="360" w:right="0"/>
        <w:rPr>
          <w:rFonts w:ascii="Arial" w:hAnsi="Arial"/>
          <w:b w:val="0"/>
          <w:bCs w:val="0"/>
          <w:smallCaps/>
          <w:kern w:val="0"/>
          <w:sz w:val="24"/>
          <w:szCs w:val="24"/>
          <w:lang w:eastAsia="en-US"/>
        </w:rPr>
      </w:pPr>
    </w:p>
    <w:p w14:paraId="362A324F" w14:textId="39EB2BB7" w:rsidR="005034D9" w:rsidRPr="00914260" w:rsidRDefault="006110D9" w:rsidP="0068353C">
      <w:pPr>
        <w:pStyle w:val="Title"/>
        <w:spacing w:after="0"/>
        <w:ind w:left="360" w:right="0"/>
        <w:rPr>
          <w:rFonts w:ascii="Arial" w:hAnsi="Arial"/>
          <w:b w:val="0"/>
          <w:bCs w:val="0"/>
          <w:smallCaps/>
          <w:kern w:val="0"/>
          <w:sz w:val="24"/>
          <w:szCs w:val="24"/>
          <w:lang w:val="es-ES" w:eastAsia="en-US"/>
        </w:rPr>
      </w:pPr>
      <w:r>
        <w:rPr>
          <w:rFonts w:ascii="Arial" w:hAnsi="Arial"/>
          <w:b w:val="0"/>
          <w:bCs w:val="0"/>
          <w:smallCaps/>
          <w:kern w:val="0"/>
          <w:sz w:val="24"/>
          <w:szCs w:val="24"/>
          <w:lang w:val="es-ES" w:eastAsia="en-US"/>
        </w:rPr>
        <w:t>August</w:t>
      </w:r>
      <w:r w:rsidR="00DB52D0" w:rsidRPr="00914260">
        <w:rPr>
          <w:rFonts w:ascii="Arial" w:hAnsi="Arial"/>
          <w:b w:val="0"/>
          <w:bCs w:val="0"/>
          <w:smallCaps/>
          <w:kern w:val="0"/>
          <w:sz w:val="24"/>
          <w:szCs w:val="24"/>
          <w:lang w:val="es-ES" w:eastAsia="en-US"/>
        </w:rPr>
        <w:t xml:space="preserve"> 2015</w:t>
      </w:r>
    </w:p>
    <w:p w14:paraId="0BD8E448" w14:textId="77777777" w:rsidR="004D3633" w:rsidRDefault="004D3633" w:rsidP="00E51814">
      <w:pPr>
        <w:ind w:left="360"/>
        <w:jc w:val="center"/>
      </w:pPr>
    </w:p>
    <w:p w14:paraId="1CF8E617" w14:textId="77777777" w:rsidR="00914260" w:rsidRDefault="00914260" w:rsidP="00E51814">
      <w:pPr>
        <w:ind w:left="360"/>
        <w:jc w:val="center"/>
      </w:pPr>
    </w:p>
    <w:p w14:paraId="139FD088" w14:textId="77777777" w:rsidR="00914260" w:rsidRDefault="00914260" w:rsidP="00E51814">
      <w:pPr>
        <w:ind w:left="360"/>
        <w:jc w:val="center"/>
      </w:pPr>
    </w:p>
    <w:p w14:paraId="1ABA60FF" w14:textId="77777777" w:rsidR="00DB52D0" w:rsidRDefault="00DB52D0" w:rsidP="00D73591">
      <w:pPr>
        <w:jc w:val="center"/>
      </w:pPr>
    </w:p>
    <w:p w14:paraId="7B27CB02" w14:textId="77777777" w:rsidR="00DB52D0" w:rsidRDefault="00DB52D0" w:rsidP="00D73591">
      <w:pPr>
        <w:jc w:val="center"/>
      </w:pPr>
      <w:r>
        <w:rPr>
          <w:noProof/>
          <w:lang w:eastAsia="en-US"/>
        </w:rPr>
        <mc:AlternateContent>
          <mc:Choice Requires="wps">
            <w:drawing>
              <wp:anchor distT="0" distB="0" distL="114300" distR="114300" simplePos="0" relativeHeight="251658240" behindDoc="0" locked="0" layoutInCell="1" allowOverlap="1" wp14:anchorId="3648EA23" wp14:editId="24E16839">
                <wp:simplePos x="0" y="0"/>
                <wp:positionH relativeFrom="column">
                  <wp:posOffset>49530</wp:posOffset>
                </wp:positionH>
                <wp:positionV relativeFrom="paragraph">
                  <wp:posOffset>95885</wp:posOffset>
                </wp:positionV>
                <wp:extent cx="559117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14:paraId="6458E7BB" w14:textId="614C5F91" w:rsidR="0094404E" w:rsidRPr="000179A4" w:rsidRDefault="0094404E">
                            <w:pPr>
                              <w:rPr>
                                <w:rFonts w:ascii="Arial" w:hAnsi="Arial" w:cs="Arial"/>
                                <w:sz w:val="22"/>
                              </w:rPr>
                            </w:pPr>
                            <w:r w:rsidRPr="000179A4">
                              <w:rPr>
                                <w:rFonts w:ascii="Arial" w:hAnsi="Arial" w:cs="Arial"/>
                                <w:sz w:val="22"/>
                              </w:rPr>
                              <w:t>This document was prepared by the project team consisting of: Christiaan Gischler (INE/ENE), Project Team Leader; Jaiwattie Anganu (CMF/CJA), Alternate Team Leader; Emilio Sawada (INE/CUR); Adriana Valencia, Shohei Tada, Camila Gonzalez, Stephanie Suber, and Wilkferg Vanegas (INE/ENE); Maria Florencia Attademo (IFD/CMF); Maria Isabel Haro (IFD/CMF); Claudio Alatorre and Christoph Tagwerker (INE/CCS); Betina Hennig (LEG/SGO); Colin McKee and Genevieve Beaulac (VPS/ESG); Jacob Veverka (INE/TSP); Seth Stevens Colby (VPP/VPP); Paloma Marcos (SCL/GDI); Lesley Cassar (CCB/CCB); Christel Saab (CCB/CBA); Denise Salabie (FMP/CBA); Roy Parahoo (FMP/CBA); Maria Camila Padilla (FMP/CBA); Camilo Osorio (CCB/CBA); and Rochelle Franklin (CCB/CBA).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7.55pt;width:440.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y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">
                <v:textbox style="mso-fit-shape-to-text:t">
                  <w:txbxContent>
                    <w:p w14:paraId="6458E7BB" w14:textId="614C5F91" w:rsidR="0094404E" w:rsidRPr="000179A4" w:rsidRDefault="0094404E">
                      <w:pPr>
                        <w:rPr>
                          <w:rFonts w:ascii="Arial" w:hAnsi="Arial" w:cs="Arial"/>
                          <w:sz w:val="22"/>
                        </w:rPr>
                      </w:pPr>
                      <w:r w:rsidRPr="000179A4">
                        <w:rPr>
                          <w:rFonts w:ascii="Arial" w:hAnsi="Arial" w:cs="Arial"/>
                          <w:sz w:val="22"/>
                        </w:rPr>
                        <w:t>This document was prepared by the project team consisting of: Christiaan Gischler (INE/ENE), Project Team Leader; Jaiwattie Anganu (CMF/CJA), Alternate Team Leader; Emilio Sawada (INE/CUR); Adriana Valencia, Shohei Tada, Camila Gonzalez, Stephanie Suber, and Wilkferg Vanegas (INE/ENE); Maria Florencia Attademo (IFD/CMF); Maria Isabel Haro (IFD/CMF); Claudio Alatorre and Christoph Tagwerker (INE/CCS); Betina Hennig (LEG/SGO); Colin McKee and Genevieve Beaulac (VPS/ESG); Jacob Veverka (INE/TSP); Seth Stevens Colby (VPP/VPP); Paloma Marcos (SCL/GDI); Lesley Cassar (CCB/CCB); Christel Saab (CCB/CBA); Denise Salabie (FMP/CBA); Roy Parahoo (FMP/CBA); Maria Camila Padilla (FMP/CBA); Camilo Osorio (CCB/CBA); and Rochelle Franklin (CCB/CBA).</w:t>
                      </w:r>
                    </w:p>
                  </w:txbxContent>
                </v:textbox>
              </v:shape>
            </w:pict>
          </mc:Fallback>
        </mc:AlternateContent>
      </w:r>
    </w:p>
    <w:p w14:paraId="41BEE0F4" w14:textId="77777777" w:rsidR="00DB52D0" w:rsidRDefault="00DB52D0" w:rsidP="00D73591">
      <w:pPr>
        <w:jc w:val="center"/>
      </w:pPr>
      <w:r>
        <w:t>.</w:t>
      </w:r>
    </w:p>
    <w:p w14:paraId="52C8B952" w14:textId="77777777" w:rsidR="00DB52D0" w:rsidRDefault="00DB52D0" w:rsidP="00D73591">
      <w:pPr>
        <w:jc w:val="center"/>
      </w:pPr>
    </w:p>
    <w:p w14:paraId="5FDE7B9B" w14:textId="77777777" w:rsidR="00DB52D0" w:rsidRDefault="00DB52D0" w:rsidP="005B689B">
      <w:pPr>
        <w:sectPr w:rsidR="00DB52D0" w:rsidSect="00D73591">
          <w:footerReference w:type="even" r:id="rId12"/>
          <w:pgSz w:w="12242" w:h="15842" w:code="1"/>
          <w:pgMar w:top="1440" w:right="1797" w:bottom="1440" w:left="1350" w:header="709" w:footer="709" w:gutter="0"/>
          <w:cols w:space="708"/>
          <w:titlePg/>
          <w:docGrid w:linePitch="360"/>
        </w:sectPr>
      </w:pPr>
    </w:p>
    <w:p w14:paraId="7538E490" w14:textId="77777777" w:rsidR="00186192" w:rsidRDefault="00186192" w:rsidP="00186192">
      <w:pPr>
        <w:pStyle w:val="BoldHeading"/>
      </w:pPr>
      <w:r>
        <w:lastRenderedPageBreak/>
        <w:t>Table of Contents</w:t>
      </w:r>
    </w:p>
    <w:p w14:paraId="22A560CD" w14:textId="77777777" w:rsidR="008F0B3C" w:rsidRDefault="008F0B3C" w:rsidP="008F0B3C">
      <w:pPr>
        <w:pStyle w:val="TableText"/>
        <w:spacing w:before="0" w:after="0"/>
        <w:jc w:val="both"/>
      </w:pPr>
    </w:p>
    <w:p w14:paraId="1F5ED4EF" w14:textId="77777777" w:rsidR="00AF0B13" w:rsidRDefault="00F04717">
      <w:pPr>
        <w:pStyle w:val="TOC1"/>
        <w:rPr>
          <w:rFonts w:asciiTheme="minorHAnsi" w:eastAsiaTheme="minorEastAsia" w:hAnsiTheme="minorHAnsi" w:cstheme="minorBidi"/>
          <w:b w:val="0"/>
          <w:noProof/>
          <w:sz w:val="22"/>
          <w:szCs w:val="22"/>
          <w:lang w:eastAsia="en-US"/>
        </w:rPr>
      </w:pPr>
      <w:r>
        <w:fldChar w:fldCharType="begin"/>
      </w:r>
      <w:r w:rsidR="003775DE">
        <w:instrText xml:space="preserve"> TOC \f \h \z \t "Heading 1,1,Heading 2,2,Heading 3,3</w:instrText>
      </w:r>
      <w:r w:rsidR="00B9689E">
        <w:instrText xml:space="preserve">,Part Heading,1" </w:instrText>
      </w:r>
      <w:r>
        <w:fldChar w:fldCharType="separate"/>
      </w:r>
      <w:hyperlink w:anchor="_Toc424286965" w:history="1">
        <w:r w:rsidR="00AF0B13" w:rsidRPr="00974C0C">
          <w:rPr>
            <w:rStyle w:val="Hyperlink"/>
            <w:noProof/>
          </w:rPr>
          <w:t>Abbreviations</w:t>
        </w:r>
        <w:r w:rsidR="00AF0B13">
          <w:rPr>
            <w:noProof/>
            <w:webHidden/>
          </w:rPr>
          <w:tab/>
        </w:r>
        <w:r w:rsidR="00AF0B13">
          <w:rPr>
            <w:noProof/>
            <w:webHidden/>
          </w:rPr>
          <w:fldChar w:fldCharType="begin"/>
        </w:r>
        <w:r w:rsidR="00AF0B13">
          <w:rPr>
            <w:noProof/>
            <w:webHidden/>
          </w:rPr>
          <w:instrText xml:space="preserve"> PAGEREF _Toc424286965 \h </w:instrText>
        </w:r>
        <w:r w:rsidR="00AF0B13">
          <w:rPr>
            <w:noProof/>
            <w:webHidden/>
          </w:rPr>
        </w:r>
        <w:r w:rsidR="00AF0B13">
          <w:rPr>
            <w:noProof/>
            <w:webHidden/>
          </w:rPr>
          <w:fldChar w:fldCharType="separate"/>
        </w:r>
        <w:r w:rsidR="00AF0B13">
          <w:rPr>
            <w:noProof/>
            <w:webHidden/>
          </w:rPr>
          <w:t>2</w:t>
        </w:r>
        <w:r w:rsidR="00AF0B13">
          <w:rPr>
            <w:noProof/>
            <w:webHidden/>
          </w:rPr>
          <w:fldChar w:fldCharType="end"/>
        </w:r>
      </w:hyperlink>
    </w:p>
    <w:p w14:paraId="141BA42D" w14:textId="77777777" w:rsidR="00AF0B13" w:rsidRDefault="007A04D5">
      <w:pPr>
        <w:pStyle w:val="TOC1"/>
        <w:rPr>
          <w:rFonts w:asciiTheme="minorHAnsi" w:eastAsiaTheme="minorEastAsia" w:hAnsiTheme="minorHAnsi" w:cstheme="minorBidi"/>
          <w:b w:val="0"/>
          <w:noProof/>
          <w:sz w:val="22"/>
          <w:szCs w:val="22"/>
          <w:lang w:eastAsia="en-US"/>
        </w:rPr>
      </w:pPr>
      <w:hyperlink w:anchor="_Toc424286966" w:history="1">
        <w:r w:rsidR="00AF0B13" w:rsidRPr="00974C0C">
          <w:rPr>
            <w:rStyle w:val="Hyperlink"/>
            <w:noProof/>
          </w:rPr>
          <w:t>1</w:t>
        </w:r>
        <w:r w:rsidR="00AF0B13">
          <w:rPr>
            <w:rFonts w:asciiTheme="minorHAnsi" w:eastAsiaTheme="minorEastAsia" w:hAnsiTheme="minorHAnsi" w:cstheme="minorBidi"/>
            <w:b w:val="0"/>
            <w:noProof/>
            <w:sz w:val="22"/>
            <w:szCs w:val="22"/>
            <w:lang w:eastAsia="en-US"/>
          </w:rPr>
          <w:tab/>
        </w:r>
        <w:r w:rsidR="00AF0B13" w:rsidRPr="00974C0C">
          <w:rPr>
            <w:rStyle w:val="Hyperlink"/>
            <w:noProof/>
          </w:rPr>
          <w:t>Introduction</w:t>
        </w:r>
        <w:r w:rsidR="00AF0B13">
          <w:rPr>
            <w:noProof/>
            <w:webHidden/>
          </w:rPr>
          <w:tab/>
        </w:r>
        <w:r w:rsidR="00AF0B13">
          <w:rPr>
            <w:noProof/>
            <w:webHidden/>
          </w:rPr>
          <w:fldChar w:fldCharType="begin"/>
        </w:r>
        <w:r w:rsidR="00AF0B13">
          <w:rPr>
            <w:noProof/>
            <w:webHidden/>
          </w:rPr>
          <w:instrText xml:space="preserve"> PAGEREF _Toc424286966 \h </w:instrText>
        </w:r>
        <w:r w:rsidR="00AF0B13">
          <w:rPr>
            <w:noProof/>
            <w:webHidden/>
          </w:rPr>
        </w:r>
        <w:r w:rsidR="00AF0B13">
          <w:rPr>
            <w:noProof/>
            <w:webHidden/>
          </w:rPr>
          <w:fldChar w:fldCharType="separate"/>
        </w:r>
        <w:r w:rsidR="00AF0B13">
          <w:rPr>
            <w:noProof/>
            <w:webHidden/>
          </w:rPr>
          <w:t>3</w:t>
        </w:r>
        <w:r w:rsidR="00AF0B13">
          <w:rPr>
            <w:noProof/>
            <w:webHidden/>
          </w:rPr>
          <w:fldChar w:fldCharType="end"/>
        </w:r>
      </w:hyperlink>
    </w:p>
    <w:p w14:paraId="0376138A" w14:textId="77777777" w:rsidR="00AF0B13" w:rsidRDefault="007A04D5">
      <w:pPr>
        <w:pStyle w:val="TOC1"/>
        <w:rPr>
          <w:rFonts w:asciiTheme="minorHAnsi" w:eastAsiaTheme="minorEastAsia" w:hAnsiTheme="minorHAnsi" w:cstheme="minorBidi"/>
          <w:b w:val="0"/>
          <w:noProof/>
          <w:sz w:val="22"/>
          <w:szCs w:val="22"/>
          <w:lang w:eastAsia="en-US"/>
        </w:rPr>
      </w:pPr>
      <w:hyperlink w:anchor="_Toc424286967" w:history="1">
        <w:r w:rsidR="00AF0B13" w:rsidRPr="00974C0C">
          <w:rPr>
            <w:rStyle w:val="Hyperlink"/>
            <w:noProof/>
            <w:lang w:eastAsia="ja-JP"/>
          </w:rPr>
          <w:t>2</w:t>
        </w:r>
        <w:r w:rsidR="00AF0B13">
          <w:rPr>
            <w:rFonts w:asciiTheme="minorHAnsi" w:eastAsiaTheme="minorEastAsia" w:hAnsiTheme="minorHAnsi" w:cstheme="minorBidi"/>
            <w:b w:val="0"/>
            <w:noProof/>
            <w:sz w:val="22"/>
            <w:szCs w:val="22"/>
            <w:lang w:eastAsia="en-US"/>
          </w:rPr>
          <w:tab/>
        </w:r>
        <w:r w:rsidR="00AF0B13" w:rsidRPr="00974C0C">
          <w:rPr>
            <w:rStyle w:val="Hyperlink"/>
            <w:noProof/>
            <w:lang w:eastAsia="ja-JP"/>
          </w:rPr>
          <w:t>Monitoring</w:t>
        </w:r>
        <w:r w:rsidR="00AF0B13">
          <w:rPr>
            <w:noProof/>
            <w:webHidden/>
          </w:rPr>
          <w:tab/>
        </w:r>
        <w:r w:rsidR="00AF0B13">
          <w:rPr>
            <w:noProof/>
            <w:webHidden/>
          </w:rPr>
          <w:fldChar w:fldCharType="begin"/>
        </w:r>
        <w:r w:rsidR="00AF0B13">
          <w:rPr>
            <w:noProof/>
            <w:webHidden/>
          </w:rPr>
          <w:instrText xml:space="preserve"> PAGEREF _Toc424286967 \h </w:instrText>
        </w:r>
        <w:r w:rsidR="00AF0B13">
          <w:rPr>
            <w:noProof/>
            <w:webHidden/>
          </w:rPr>
        </w:r>
        <w:r w:rsidR="00AF0B13">
          <w:rPr>
            <w:noProof/>
            <w:webHidden/>
          </w:rPr>
          <w:fldChar w:fldCharType="separate"/>
        </w:r>
        <w:r w:rsidR="00AF0B13">
          <w:rPr>
            <w:noProof/>
            <w:webHidden/>
          </w:rPr>
          <w:t>5</w:t>
        </w:r>
        <w:r w:rsidR="00AF0B13">
          <w:rPr>
            <w:noProof/>
            <w:webHidden/>
          </w:rPr>
          <w:fldChar w:fldCharType="end"/>
        </w:r>
      </w:hyperlink>
    </w:p>
    <w:p w14:paraId="63D849A8"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68" w:history="1">
        <w:r w:rsidR="00AF0B13" w:rsidRPr="00974C0C">
          <w:rPr>
            <w:rStyle w:val="Hyperlink"/>
            <w:noProof/>
            <w:lang w:eastAsia="ja-JP"/>
          </w:rPr>
          <w:t>2.1</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Output Indicators</w:t>
        </w:r>
        <w:r w:rsidR="00AF0B13">
          <w:rPr>
            <w:noProof/>
            <w:webHidden/>
          </w:rPr>
          <w:tab/>
        </w:r>
        <w:r w:rsidR="00AF0B13">
          <w:rPr>
            <w:noProof/>
            <w:webHidden/>
          </w:rPr>
          <w:fldChar w:fldCharType="begin"/>
        </w:r>
        <w:r w:rsidR="00AF0B13">
          <w:rPr>
            <w:noProof/>
            <w:webHidden/>
          </w:rPr>
          <w:instrText xml:space="preserve"> PAGEREF _Toc424286968 \h </w:instrText>
        </w:r>
        <w:r w:rsidR="00AF0B13">
          <w:rPr>
            <w:noProof/>
            <w:webHidden/>
          </w:rPr>
        </w:r>
        <w:r w:rsidR="00AF0B13">
          <w:rPr>
            <w:noProof/>
            <w:webHidden/>
          </w:rPr>
          <w:fldChar w:fldCharType="separate"/>
        </w:r>
        <w:r w:rsidR="00AF0B13">
          <w:rPr>
            <w:noProof/>
            <w:webHidden/>
          </w:rPr>
          <w:t>5</w:t>
        </w:r>
        <w:r w:rsidR="00AF0B13">
          <w:rPr>
            <w:noProof/>
            <w:webHidden/>
          </w:rPr>
          <w:fldChar w:fldCharType="end"/>
        </w:r>
      </w:hyperlink>
    </w:p>
    <w:p w14:paraId="7B8E9888"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69" w:history="1">
        <w:r w:rsidR="00AF0B13" w:rsidRPr="00974C0C">
          <w:rPr>
            <w:rStyle w:val="Hyperlink"/>
            <w:noProof/>
          </w:rPr>
          <w:t>2.2</w:t>
        </w:r>
        <w:r w:rsidR="00AF0B13">
          <w:rPr>
            <w:rFonts w:asciiTheme="minorHAnsi" w:eastAsiaTheme="minorEastAsia" w:hAnsiTheme="minorHAnsi" w:cstheme="minorBidi"/>
            <w:noProof/>
            <w:sz w:val="22"/>
            <w:szCs w:val="22"/>
            <w:lang w:eastAsia="en-US"/>
          </w:rPr>
          <w:tab/>
        </w:r>
        <w:r w:rsidR="00AF0B13" w:rsidRPr="00974C0C">
          <w:rPr>
            <w:rStyle w:val="Hyperlink"/>
            <w:noProof/>
          </w:rPr>
          <w:t>Data Collection and Instruments</w:t>
        </w:r>
        <w:r w:rsidR="00AF0B13">
          <w:rPr>
            <w:noProof/>
            <w:webHidden/>
          </w:rPr>
          <w:tab/>
        </w:r>
        <w:r w:rsidR="00AF0B13">
          <w:rPr>
            <w:noProof/>
            <w:webHidden/>
          </w:rPr>
          <w:fldChar w:fldCharType="begin"/>
        </w:r>
        <w:r w:rsidR="00AF0B13">
          <w:rPr>
            <w:noProof/>
            <w:webHidden/>
          </w:rPr>
          <w:instrText xml:space="preserve"> PAGEREF _Toc424286969 \h </w:instrText>
        </w:r>
        <w:r w:rsidR="00AF0B13">
          <w:rPr>
            <w:noProof/>
            <w:webHidden/>
          </w:rPr>
        </w:r>
        <w:r w:rsidR="00AF0B13">
          <w:rPr>
            <w:noProof/>
            <w:webHidden/>
          </w:rPr>
          <w:fldChar w:fldCharType="separate"/>
        </w:r>
        <w:r w:rsidR="00AF0B13">
          <w:rPr>
            <w:noProof/>
            <w:webHidden/>
          </w:rPr>
          <w:t>7</w:t>
        </w:r>
        <w:r w:rsidR="00AF0B13">
          <w:rPr>
            <w:noProof/>
            <w:webHidden/>
          </w:rPr>
          <w:fldChar w:fldCharType="end"/>
        </w:r>
      </w:hyperlink>
    </w:p>
    <w:p w14:paraId="287E85D4"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0" w:history="1">
        <w:r w:rsidR="00AF0B13" w:rsidRPr="00974C0C">
          <w:rPr>
            <w:rStyle w:val="Hyperlink"/>
            <w:noProof/>
            <w:lang w:eastAsia="ja-JP"/>
          </w:rPr>
          <w:t>2.3</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Reporting Monitoring Results</w:t>
        </w:r>
        <w:r w:rsidR="00AF0B13">
          <w:rPr>
            <w:noProof/>
            <w:webHidden/>
          </w:rPr>
          <w:tab/>
        </w:r>
        <w:r w:rsidR="00AF0B13">
          <w:rPr>
            <w:noProof/>
            <w:webHidden/>
          </w:rPr>
          <w:fldChar w:fldCharType="begin"/>
        </w:r>
        <w:r w:rsidR="00AF0B13">
          <w:rPr>
            <w:noProof/>
            <w:webHidden/>
          </w:rPr>
          <w:instrText xml:space="preserve"> PAGEREF _Toc424286970 \h </w:instrText>
        </w:r>
        <w:r w:rsidR="00AF0B13">
          <w:rPr>
            <w:noProof/>
            <w:webHidden/>
          </w:rPr>
        </w:r>
        <w:r w:rsidR="00AF0B13">
          <w:rPr>
            <w:noProof/>
            <w:webHidden/>
          </w:rPr>
          <w:fldChar w:fldCharType="separate"/>
        </w:r>
        <w:r w:rsidR="00AF0B13">
          <w:rPr>
            <w:noProof/>
            <w:webHidden/>
          </w:rPr>
          <w:t>8</w:t>
        </w:r>
        <w:r w:rsidR="00AF0B13">
          <w:rPr>
            <w:noProof/>
            <w:webHidden/>
          </w:rPr>
          <w:fldChar w:fldCharType="end"/>
        </w:r>
      </w:hyperlink>
    </w:p>
    <w:p w14:paraId="18E0E990" w14:textId="77777777" w:rsidR="00AF0B13" w:rsidRDefault="007A04D5">
      <w:pPr>
        <w:pStyle w:val="TOC3"/>
        <w:tabs>
          <w:tab w:val="left" w:pos="2160"/>
        </w:tabs>
        <w:rPr>
          <w:rFonts w:asciiTheme="minorHAnsi" w:eastAsiaTheme="minorEastAsia" w:hAnsiTheme="minorHAnsi" w:cstheme="minorBidi"/>
          <w:noProof/>
          <w:sz w:val="22"/>
          <w:szCs w:val="22"/>
          <w:lang w:eastAsia="en-US"/>
        </w:rPr>
      </w:pPr>
      <w:hyperlink w:anchor="_Toc424286971" w:history="1">
        <w:r w:rsidR="00AF0B13" w:rsidRPr="00974C0C">
          <w:rPr>
            <w:rStyle w:val="Hyperlink"/>
            <w:noProof/>
            <w:lang w:eastAsia="ja-JP"/>
          </w:rPr>
          <w:t>2.3.1</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Semi-Annual Reports</w:t>
        </w:r>
        <w:r w:rsidR="00AF0B13">
          <w:rPr>
            <w:noProof/>
            <w:webHidden/>
          </w:rPr>
          <w:tab/>
        </w:r>
        <w:r w:rsidR="00AF0B13">
          <w:rPr>
            <w:noProof/>
            <w:webHidden/>
          </w:rPr>
          <w:fldChar w:fldCharType="begin"/>
        </w:r>
        <w:r w:rsidR="00AF0B13">
          <w:rPr>
            <w:noProof/>
            <w:webHidden/>
          </w:rPr>
          <w:instrText xml:space="preserve"> PAGEREF _Toc424286971 \h </w:instrText>
        </w:r>
        <w:r w:rsidR="00AF0B13">
          <w:rPr>
            <w:noProof/>
            <w:webHidden/>
          </w:rPr>
        </w:r>
        <w:r w:rsidR="00AF0B13">
          <w:rPr>
            <w:noProof/>
            <w:webHidden/>
          </w:rPr>
          <w:fldChar w:fldCharType="separate"/>
        </w:r>
        <w:r w:rsidR="00AF0B13">
          <w:rPr>
            <w:noProof/>
            <w:webHidden/>
          </w:rPr>
          <w:t>8</w:t>
        </w:r>
        <w:r w:rsidR="00AF0B13">
          <w:rPr>
            <w:noProof/>
            <w:webHidden/>
          </w:rPr>
          <w:fldChar w:fldCharType="end"/>
        </w:r>
      </w:hyperlink>
    </w:p>
    <w:p w14:paraId="076D0119" w14:textId="77777777" w:rsidR="00AF0B13" w:rsidRDefault="007A04D5">
      <w:pPr>
        <w:pStyle w:val="TOC3"/>
        <w:tabs>
          <w:tab w:val="left" w:pos="2160"/>
        </w:tabs>
        <w:rPr>
          <w:rFonts w:asciiTheme="minorHAnsi" w:eastAsiaTheme="minorEastAsia" w:hAnsiTheme="minorHAnsi" w:cstheme="minorBidi"/>
          <w:noProof/>
          <w:sz w:val="22"/>
          <w:szCs w:val="22"/>
          <w:lang w:eastAsia="en-US"/>
        </w:rPr>
      </w:pPr>
      <w:hyperlink w:anchor="_Toc424286972" w:history="1">
        <w:r w:rsidR="00AF0B13" w:rsidRPr="00974C0C">
          <w:rPr>
            <w:rStyle w:val="Hyperlink"/>
            <w:noProof/>
            <w:lang w:eastAsia="ja-JP"/>
          </w:rPr>
          <w:t>2.3.2</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Field Inspections</w:t>
        </w:r>
        <w:r w:rsidR="00AF0B13">
          <w:rPr>
            <w:noProof/>
            <w:webHidden/>
          </w:rPr>
          <w:tab/>
        </w:r>
        <w:r w:rsidR="00AF0B13">
          <w:rPr>
            <w:noProof/>
            <w:webHidden/>
          </w:rPr>
          <w:fldChar w:fldCharType="begin"/>
        </w:r>
        <w:r w:rsidR="00AF0B13">
          <w:rPr>
            <w:noProof/>
            <w:webHidden/>
          </w:rPr>
          <w:instrText xml:space="preserve"> PAGEREF _Toc424286972 \h </w:instrText>
        </w:r>
        <w:r w:rsidR="00AF0B13">
          <w:rPr>
            <w:noProof/>
            <w:webHidden/>
          </w:rPr>
        </w:r>
        <w:r w:rsidR="00AF0B13">
          <w:rPr>
            <w:noProof/>
            <w:webHidden/>
          </w:rPr>
          <w:fldChar w:fldCharType="separate"/>
        </w:r>
        <w:r w:rsidR="00AF0B13">
          <w:rPr>
            <w:noProof/>
            <w:webHidden/>
          </w:rPr>
          <w:t>9</w:t>
        </w:r>
        <w:r w:rsidR="00AF0B13">
          <w:rPr>
            <w:noProof/>
            <w:webHidden/>
          </w:rPr>
          <w:fldChar w:fldCharType="end"/>
        </w:r>
      </w:hyperlink>
    </w:p>
    <w:p w14:paraId="7BCFD001" w14:textId="77777777" w:rsidR="00AF0B13" w:rsidRDefault="007A04D5">
      <w:pPr>
        <w:pStyle w:val="TOC3"/>
        <w:tabs>
          <w:tab w:val="left" w:pos="2160"/>
        </w:tabs>
        <w:rPr>
          <w:rFonts w:asciiTheme="minorHAnsi" w:eastAsiaTheme="minorEastAsia" w:hAnsiTheme="minorHAnsi" w:cstheme="minorBidi"/>
          <w:noProof/>
          <w:sz w:val="22"/>
          <w:szCs w:val="22"/>
          <w:lang w:eastAsia="en-US"/>
        </w:rPr>
      </w:pPr>
      <w:hyperlink w:anchor="_Toc424286973" w:history="1">
        <w:r w:rsidR="00AF0B13" w:rsidRPr="00974C0C">
          <w:rPr>
            <w:rStyle w:val="Hyperlink"/>
            <w:noProof/>
            <w:lang w:eastAsia="ja-JP"/>
          </w:rPr>
          <w:t>2.3.3</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Audited Financial Statements</w:t>
        </w:r>
        <w:r w:rsidR="00AF0B13">
          <w:rPr>
            <w:noProof/>
            <w:webHidden/>
          </w:rPr>
          <w:tab/>
        </w:r>
        <w:r w:rsidR="00AF0B13">
          <w:rPr>
            <w:noProof/>
            <w:webHidden/>
          </w:rPr>
          <w:fldChar w:fldCharType="begin"/>
        </w:r>
        <w:r w:rsidR="00AF0B13">
          <w:rPr>
            <w:noProof/>
            <w:webHidden/>
          </w:rPr>
          <w:instrText xml:space="preserve"> PAGEREF _Toc424286973 \h </w:instrText>
        </w:r>
        <w:r w:rsidR="00AF0B13">
          <w:rPr>
            <w:noProof/>
            <w:webHidden/>
          </w:rPr>
        </w:r>
        <w:r w:rsidR="00AF0B13">
          <w:rPr>
            <w:noProof/>
            <w:webHidden/>
          </w:rPr>
          <w:fldChar w:fldCharType="separate"/>
        </w:r>
        <w:r w:rsidR="00AF0B13">
          <w:rPr>
            <w:noProof/>
            <w:webHidden/>
          </w:rPr>
          <w:t>9</w:t>
        </w:r>
        <w:r w:rsidR="00AF0B13">
          <w:rPr>
            <w:noProof/>
            <w:webHidden/>
          </w:rPr>
          <w:fldChar w:fldCharType="end"/>
        </w:r>
      </w:hyperlink>
    </w:p>
    <w:p w14:paraId="6E6BB1D8"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4" w:history="1">
        <w:r w:rsidR="00AF0B13" w:rsidRPr="00974C0C">
          <w:rPr>
            <w:rStyle w:val="Hyperlink"/>
            <w:noProof/>
            <w:lang w:eastAsia="ja-JP"/>
          </w:rPr>
          <w:t>2.4</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Monitoring Coordination, Work Plan, and Budget</w:t>
        </w:r>
        <w:r w:rsidR="00AF0B13">
          <w:rPr>
            <w:noProof/>
            <w:webHidden/>
          </w:rPr>
          <w:tab/>
        </w:r>
        <w:r w:rsidR="00AF0B13">
          <w:rPr>
            <w:noProof/>
            <w:webHidden/>
          </w:rPr>
          <w:fldChar w:fldCharType="begin"/>
        </w:r>
        <w:r w:rsidR="00AF0B13">
          <w:rPr>
            <w:noProof/>
            <w:webHidden/>
          </w:rPr>
          <w:instrText xml:space="preserve"> PAGEREF _Toc424286974 \h </w:instrText>
        </w:r>
        <w:r w:rsidR="00AF0B13">
          <w:rPr>
            <w:noProof/>
            <w:webHidden/>
          </w:rPr>
        </w:r>
        <w:r w:rsidR="00AF0B13">
          <w:rPr>
            <w:noProof/>
            <w:webHidden/>
          </w:rPr>
          <w:fldChar w:fldCharType="separate"/>
        </w:r>
        <w:r w:rsidR="00AF0B13">
          <w:rPr>
            <w:noProof/>
            <w:webHidden/>
          </w:rPr>
          <w:t>10</w:t>
        </w:r>
        <w:r w:rsidR="00AF0B13">
          <w:rPr>
            <w:noProof/>
            <w:webHidden/>
          </w:rPr>
          <w:fldChar w:fldCharType="end"/>
        </w:r>
      </w:hyperlink>
    </w:p>
    <w:p w14:paraId="3492927F" w14:textId="77777777" w:rsidR="00AF0B13" w:rsidRDefault="007A04D5">
      <w:pPr>
        <w:pStyle w:val="TOC1"/>
        <w:rPr>
          <w:rFonts w:asciiTheme="minorHAnsi" w:eastAsiaTheme="minorEastAsia" w:hAnsiTheme="minorHAnsi" w:cstheme="minorBidi"/>
          <w:b w:val="0"/>
          <w:noProof/>
          <w:sz w:val="22"/>
          <w:szCs w:val="22"/>
          <w:lang w:eastAsia="en-US"/>
        </w:rPr>
      </w:pPr>
      <w:hyperlink w:anchor="_Toc424286975" w:history="1">
        <w:r w:rsidR="00AF0B13" w:rsidRPr="00974C0C">
          <w:rPr>
            <w:rStyle w:val="Hyperlink"/>
            <w:noProof/>
            <w:lang w:eastAsia="ja-JP"/>
          </w:rPr>
          <w:t>3</w:t>
        </w:r>
        <w:r w:rsidR="00AF0B13">
          <w:rPr>
            <w:rFonts w:asciiTheme="minorHAnsi" w:eastAsiaTheme="minorEastAsia" w:hAnsiTheme="minorHAnsi" w:cstheme="minorBidi"/>
            <w:b w:val="0"/>
            <w:noProof/>
            <w:sz w:val="22"/>
            <w:szCs w:val="22"/>
            <w:lang w:eastAsia="en-US"/>
          </w:rPr>
          <w:tab/>
        </w:r>
        <w:r w:rsidR="00AF0B13" w:rsidRPr="00974C0C">
          <w:rPr>
            <w:rStyle w:val="Hyperlink"/>
            <w:noProof/>
            <w:lang w:eastAsia="ja-JP"/>
          </w:rPr>
          <w:t>Evaluation</w:t>
        </w:r>
        <w:r w:rsidR="00AF0B13">
          <w:rPr>
            <w:noProof/>
            <w:webHidden/>
          </w:rPr>
          <w:tab/>
        </w:r>
        <w:r w:rsidR="00AF0B13">
          <w:rPr>
            <w:noProof/>
            <w:webHidden/>
          </w:rPr>
          <w:fldChar w:fldCharType="begin"/>
        </w:r>
        <w:r w:rsidR="00AF0B13">
          <w:rPr>
            <w:noProof/>
            <w:webHidden/>
          </w:rPr>
          <w:instrText xml:space="preserve"> PAGEREF _Toc424286975 \h </w:instrText>
        </w:r>
        <w:r w:rsidR="00AF0B13">
          <w:rPr>
            <w:noProof/>
            <w:webHidden/>
          </w:rPr>
        </w:r>
        <w:r w:rsidR="00AF0B13">
          <w:rPr>
            <w:noProof/>
            <w:webHidden/>
          </w:rPr>
          <w:fldChar w:fldCharType="separate"/>
        </w:r>
        <w:r w:rsidR="00AF0B13">
          <w:rPr>
            <w:noProof/>
            <w:webHidden/>
          </w:rPr>
          <w:t>12</w:t>
        </w:r>
        <w:r w:rsidR="00AF0B13">
          <w:rPr>
            <w:noProof/>
            <w:webHidden/>
          </w:rPr>
          <w:fldChar w:fldCharType="end"/>
        </w:r>
      </w:hyperlink>
    </w:p>
    <w:p w14:paraId="760AE2AF"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6" w:history="1">
        <w:r w:rsidR="00AF0B13" w:rsidRPr="00974C0C">
          <w:rPr>
            <w:rStyle w:val="Hyperlink"/>
            <w:noProof/>
          </w:rPr>
          <w:t>3.1</w:t>
        </w:r>
        <w:r w:rsidR="00AF0B13">
          <w:rPr>
            <w:rFonts w:asciiTheme="minorHAnsi" w:eastAsiaTheme="minorEastAsia" w:hAnsiTheme="minorHAnsi" w:cstheme="minorBidi"/>
            <w:noProof/>
            <w:sz w:val="22"/>
            <w:szCs w:val="22"/>
            <w:lang w:eastAsia="en-US"/>
          </w:rPr>
          <w:tab/>
        </w:r>
        <w:r w:rsidR="00AF0B13" w:rsidRPr="00974C0C">
          <w:rPr>
            <w:rStyle w:val="Hyperlink"/>
            <w:noProof/>
          </w:rPr>
          <w:t>Main Evaluation Questions</w:t>
        </w:r>
        <w:r w:rsidR="00AF0B13">
          <w:rPr>
            <w:noProof/>
            <w:webHidden/>
          </w:rPr>
          <w:tab/>
        </w:r>
        <w:r w:rsidR="00AF0B13">
          <w:rPr>
            <w:noProof/>
            <w:webHidden/>
          </w:rPr>
          <w:fldChar w:fldCharType="begin"/>
        </w:r>
        <w:r w:rsidR="00AF0B13">
          <w:rPr>
            <w:noProof/>
            <w:webHidden/>
          </w:rPr>
          <w:instrText xml:space="preserve"> PAGEREF _Toc424286976 \h </w:instrText>
        </w:r>
        <w:r w:rsidR="00AF0B13">
          <w:rPr>
            <w:noProof/>
            <w:webHidden/>
          </w:rPr>
        </w:r>
        <w:r w:rsidR="00AF0B13">
          <w:rPr>
            <w:noProof/>
            <w:webHidden/>
          </w:rPr>
          <w:fldChar w:fldCharType="separate"/>
        </w:r>
        <w:r w:rsidR="00AF0B13">
          <w:rPr>
            <w:noProof/>
            <w:webHidden/>
          </w:rPr>
          <w:t>12</w:t>
        </w:r>
        <w:r w:rsidR="00AF0B13">
          <w:rPr>
            <w:noProof/>
            <w:webHidden/>
          </w:rPr>
          <w:fldChar w:fldCharType="end"/>
        </w:r>
      </w:hyperlink>
    </w:p>
    <w:p w14:paraId="1AA73788"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7" w:history="1">
        <w:r w:rsidR="00AF0B13" w:rsidRPr="00974C0C">
          <w:rPr>
            <w:rStyle w:val="Hyperlink"/>
            <w:noProof/>
            <w:lang w:eastAsia="ja-JP"/>
          </w:rPr>
          <w:t>3.2</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Existing Knowledge</w:t>
        </w:r>
        <w:r w:rsidR="00AF0B13">
          <w:rPr>
            <w:noProof/>
            <w:webHidden/>
          </w:rPr>
          <w:tab/>
        </w:r>
        <w:r w:rsidR="00AF0B13">
          <w:rPr>
            <w:noProof/>
            <w:webHidden/>
          </w:rPr>
          <w:fldChar w:fldCharType="begin"/>
        </w:r>
        <w:r w:rsidR="00AF0B13">
          <w:rPr>
            <w:noProof/>
            <w:webHidden/>
          </w:rPr>
          <w:instrText xml:space="preserve"> PAGEREF _Toc424286977 \h </w:instrText>
        </w:r>
        <w:r w:rsidR="00AF0B13">
          <w:rPr>
            <w:noProof/>
            <w:webHidden/>
          </w:rPr>
        </w:r>
        <w:r w:rsidR="00AF0B13">
          <w:rPr>
            <w:noProof/>
            <w:webHidden/>
          </w:rPr>
          <w:fldChar w:fldCharType="separate"/>
        </w:r>
        <w:r w:rsidR="00AF0B13">
          <w:rPr>
            <w:noProof/>
            <w:webHidden/>
          </w:rPr>
          <w:t>12</w:t>
        </w:r>
        <w:r w:rsidR="00AF0B13">
          <w:rPr>
            <w:noProof/>
            <w:webHidden/>
          </w:rPr>
          <w:fldChar w:fldCharType="end"/>
        </w:r>
      </w:hyperlink>
    </w:p>
    <w:p w14:paraId="1C0A1BB9"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8" w:history="1">
        <w:r w:rsidR="00AF0B13" w:rsidRPr="00974C0C">
          <w:rPr>
            <w:rStyle w:val="Hyperlink"/>
            <w:noProof/>
            <w:lang w:eastAsia="ja-JP"/>
          </w:rPr>
          <w:t>3.3</w:t>
        </w:r>
        <w:r w:rsidR="00AF0B13">
          <w:rPr>
            <w:rFonts w:asciiTheme="minorHAnsi" w:eastAsiaTheme="minorEastAsia" w:hAnsiTheme="minorHAnsi" w:cstheme="minorBidi"/>
            <w:noProof/>
            <w:sz w:val="22"/>
            <w:szCs w:val="22"/>
            <w:lang w:eastAsia="en-US"/>
          </w:rPr>
          <w:tab/>
        </w:r>
        <w:r w:rsidR="00AF0B13" w:rsidRPr="00974C0C">
          <w:rPr>
            <w:rStyle w:val="Hyperlink"/>
            <w:noProof/>
            <w:lang w:eastAsia="ja-JP"/>
          </w:rPr>
          <w:t>Outcome Indicators</w:t>
        </w:r>
        <w:r w:rsidR="00AF0B13">
          <w:rPr>
            <w:noProof/>
            <w:webHidden/>
          </w:rPr>
          <w:tab/>
        </w:r>
        <w:r w:rsidR="00AF0B13">
          <w:rPr>
            <w:noProof/>
            <w:webHidden/>
          </w:rPr>
          <w:fldChar w:fldCharType="begin"/>
        </w:r>
        <w:r w:rsidR="00AF0B13">
          <w:rPr>
            <w:noProof/>
            <w:webHidden/>
          </w:rPr>
          <w:instrText xml:space="preserve"> PAGEREF _Toc424286978 \h </w:instrText>
        </w:r>
        <w:r w:rsidR="00AF0B13">
          <w:rPr>
            <w:noProof/>
            <w:webHidden/>
          </w:rPr>
        </w:r>
        <w:r w:rsidR="00AF0B13">
          <w:rPr>
            <w:noProof/>
            <w:webHidden/>
          </w:rPr>
          <w:fldChar w:fldCharType="separate"/>
        </w:r>
        <w:r w:rsidR="00AF0B13">
          <w:rPr>
            <w:noProof/>
            <w:webHidden/>
          </w:rPr>
          <w:t>16</w:t>
        </w:r>
        <w:r w:rsidR="00AF0B13">
          <w:rPr>
            <w:noProof/>
            <w:webHidden/>
          </w:rPr>
          <w:fldChar w:fldCharType="end"/>
        </w:r>
      </w:hyperlink>
    </w:p>
    <w:p w14:paraId="4AD64E57"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79" w:history="1">
        <w:r w:rsidR="00AF0B13" w:rsidRPr="00974C0C">
          <w:rPr>
            <w:rStyle w:val="Hyperlink"/>
            <w:noProof/>
          </w:rPr>
          <w:t>3.4</w:t>
        </w:r>
        <w:r w:rsidR="00AF0B13">
          <w:rPr>
            <w:rFonts w:asciiTheme="minorHAnsi" w:eastAsiaTheme="minorEastAsia" w:hAnsiTheme="minorHAnsi" w:cstheme="minorBidi"/>
            <w:noProof/>
            <w:sz w:val="22"/>
            <w:szCs w:val="22"/>
            <w:lang w:eastAsia="en-US"/>
          </w:rPr>
          <w:tab/>
        </w:r>
        <w:r w:rsidR="00AF0B13" w:rsidRPr="00974C0C">
          <w:rPr>
            <w:rStyle w:val="Hyperlink"/>
            <w:noProof/>
          </w:rPr>
          <w:t>Evaluation Methodology</w:t>
        </w:r>
        <w:r w:rsidR="00AF0B13">
          <w:rPr>
            <w:noProof/>
            <w:webHidden/>
          </w:rPr>
          <w:tab/>
        </w:r>
        <w:r w:rsidR="00AF0B13">
          <w:rPr>
            <w:noProof/>
            <w:webHidden/>
          </w:rPr>
          <w:fldChar w:fldCharType="begin"/>
        </w:r>
        <w:r w:rsidR="00AF0B13">
          <w:rPr>
            <w:noProof/>
            <w:webHidden/>
          </w:rPr>
          <w:instrText xml:space="preserve"> PAGEREF _Toc424286979 \h </w:instrText>
        </w:r>
        <w:r w:rsidR="00AF0B13">
          <w:rPr>
            <w:noProof/>
            <w:webHidden/>
          </w:rPr>
        </w:r>
        <w:r w:rsidR="00AF0B13">
          <w:rPr>
            <w:noProof/>
            <w:webHidden/>
          </w:rPr>
          <w:fldChar w:fldCharType="separate"/>
        </w:r>
        <w:r w:rsidR="00AF0B13">
          <w:rPr>
            <w:noProof/>
            <w:webHidden/>
          </w:rPr>
          <w:t>18</w:t>
        </w:r>
        <w:r w:rsidR="00AF0B13">
          <w:rPr>
            <w:noProof/>
            <w:webHidden/>
          </w:rPr>
          <w:fldChar w:fldCharType="end"/>
        </w:r>
      </w:hyperlink>
    </w:p>
    <w:p w14:paraId="1A883A0C"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80" w:history="1">
        <w:r w:rsidR="00AF0B13" w:rsidRPr="00974C0C">
          <w:rPr>
            <w:rStyle w:val="Hyperlink"/>
            <w:noProof/>
          </w:rPr>
          <w:t>3.5</w:t>
        </w:r>
        <w:r w:rsidR="00AF0B13">
          <w:rPr>
            <w:rFonts w:asciiTheme="minorHAnsi" w:eastAsiaTheme="minorEastAsia" w:hAnsiTheme="minorHAnsi" w:cstheme="minorBidi"/>
            <w:noProof/>
            <w:sz w:val="22"/>
            <w:szCs w:val="22"/>
            <w:lang w:eastAsia="en-US"/>
          </w:rPr>
          <w:tab/>
        </w:r>
        <w:r w:rsidR="00AF0B13" w:rsidRPr="00974C0C">
          <w:rPr>
            <w:rStyle w:val="Hyperlink"/>
            <w:noProof/>
          </w:rPr>
          <w:t>Reporting Results</w:t>
        </w:r>
        <w:r w:rsidR="00AF0B13">
          <w:rPr>
            <w:noProof/>
            <w:webHidden/>
          </w:rPr>
          <w:tab/>
        </w:r>
        <w:r w:rsidR="00AF0B13">
          <w:rPr>
            <w:noProof/>
            <w:webHidden/>
          </w:rPr>
          <w:fldChar w:fldCharType="begin"/>
        </w:r>
        <w:r w:rsidR="00AF0B13">
          <w:rPr>
            <w:noProof/>
            <w:webHidden/>
          </w:rPr>
          <w:instrText xml:space="preserve"> PAGEREF _Toc424286980 \h </w:instrText>
        </w:r>
        <w:r w:rsidR="00AF0B13">
          <w:rPr>
            <w:noProof/>
            <w:webHidden/>
          </w:rPr>
        </w:r>
        <w:r w:rsidR="00AF0B13">
          <w:rPr>
            <w:noProof/>
            <w:webHidden/>
          </w:rPr>
          <w:fldChar w:fldCharType="separate"/>
        </w:r>
        <w:r w:rsidR="00AF0B13">
          <w:rPr>
            <w:noProof/>
            <w:webHidden/>
          </w:rPr>
          <w:t>18</w:t>
        </w:r>
        <w:r w:rsidR="00AF0B13">
          <w:rPr>
            <w:noProof/>
            <w:webHidden/>
          </w:rPr>
          <w:fldChar w:fldCharType="end"/>
        </w:r>
      </w:hyperlink>
    </w:p>
    <w:p w14:paraId="77279B0C" w14:textId="77777777" w:rsidR="00AF0B13" w:rsidRDefault="007A04D5">
      <w:pPr>
        <w:pStyle w:val="TOC2"/>
        <w:tabs>
          <w:tab w:val="left" w:pos="1440"/>
        </w:tabs>
        <w:rPr>
          <w:rFonts w:asciiTheme="minorHAnsi" w:eastAsiaTheme="minorEastAsia" w:hAnsiTheme="minorHAnsi" w:cstheme="minorBidi"/>
          <w:noProof/>
          <w:sz w:val="22"/>
          <w:szCs w:val="22"/>
          <w:lang w:eastAsia="en-US"/>
        </w:rPr>
      </w:pPr>
      <w:hyperlink w:anchor="_Toc424286981" w:history="1">
        <w:r w:rsidR="00AF0B13" w:rsidRPr="00974C0C">
          <w:rPr>
            <w:rStyle w:val="Hyperlink"/>
            <w:noProof/>
          </w:rPr>
          <w:t>3.6</w:t>
        </w:r>
        <w:r w:rsidR="00AF0B13">
          <w:rPr>
            <w:rFonts w:asciiTheme="minorHAnsi" w:eastAsiaTheme="minorEastAsia" w:hAnsiTheme="minorHAnsi" w:cstheme="minorBidi"/>
            <w:noProof/>
            <w:sz w:val="22"/>
            <w:szCs w:val="22"/>
            <w:lang w:eastAsia="en-US"/>
          </w:rPr>
          <w:tab/>
        </w:r>
        <w:r w:rsidR="00AF0B13" w:rsidRPr="00974C0C">
          <w:rPr>
            <w:rStyle w:val="Hyperlink"/>
            <w:noProof/>
          </w:rPr>
          <w:t>Evaluation Coordination, Work Plan, and Budget</w:t>
        </w:r>
        <w:r w:rsidR="00AF0B13">
          <w:rPr>
            <w:noProof/>
            <w:webHidden/>
          </w:rPr>
          <w:tab/>
        </w:r>
        <w:r w:rsidR="00AF0B13">
          <w:rPr>
            <w:noProof/>
            <w:webHidden/>
          </w:rPr>
          <w:fldChar w:fldCharType="begin"/>
        </w:r>
        <w:r w:rsidR="00AF0B13">
          <w:rPr>
            <w:noProof/>
            <w:webHidden/>
          </w:rPr>
          <w:instrText xml:space="preserve"> PAGEREF _Toc424286981 \h </w:instrText>
        </w:r>
        <w:r w:rsidR="00AF0B13">
          <w:rPr>
            <w:noProof/>
            <w:webHidden/>
          </w:rPr>
        </w:r>
        <w:r w:rsidR="00AF0B13">
          <w:rPr>
            <w:noProof/>
            <w:webHidden/>
          </w:rPr>
          <w:fldChar w:fldCharType="separate"/>
        </w:r>
        <w:r w:rsidR="00AF0B13">
          <w:rPr>
            <w:noProof/>
            <w:webHidden/>
          </w:rPr>
          <w:t>21</w:t>
        </w:r>
        <w:r w:rsidR="00AF0B13">
          <w:rPr>
            <w:noProof/>
            <w:webHidden/>
          </w:rPr>
          <w:fldChar w:fldCharType="end"/>
        </w:r>
      </w:hyperlink>
    </w:p>
    <w:p w14:paraId="3E7AE2A2" w14:textId="77777777" w:rsidR="004E4BE2" w:rsidRPr="004E4BE2" w:rsidRDefault="00F04717" w:rsidP="00BC22A3">
      <w:pPr>
        <w:pStyle w:val="TableText"/>
        <w:spacing w:before="0" w:after="0"/>
        <w:jc w:val="both"/>
      </w:pPr>
      <w:r>
        <w:rPr>
          <w:noProof/>
          <w:sz w:val="24"/>
        </w:rPr>
        <w:fldChar w:fldCharType="end"/>
      </w:r>
    </w:p>
    <w:p w14:paraId="0B5545DC" w14:textId="77777777" w:rsidR="004E4BE2" w:rsidRDefault="004E4BE2" w:rsidP="004E4BE2">
      <w:pPr>
        <w:pStyle w:val="BoldHeading"/>
      </w:pPr>
      <w:r>
        <w:t>Appendices</w:t>
      </w:r>
    </w:p>
    <w:p w14:paraId="6165B6B4" w14:textId="77777777" w:rsidR="003475B9" w:rsidRDefault="00F04717">
      <w:pPr>
        <w:pStyle w:val="TOC1"/>
        <w:rPr>
          <w:rFonts w:asciiTheme="minorHAnsi" w:eastAsiaTheme="minorEastAsia" w:hAnsiTheme="minorHAnsi" w:cstheme="minorBidi"/>
          <w:b w:val="0"/>
          <w:noProof/>
          <w:sz w:val="22"/>
          <w:szCs w:val="22"/>
          <w:lang w:eastAsia="en-US"/>
        </w:rPr>
      </w:pPr>
      <w:r>
        <w:rPr>
          <w:smallCaps/>
        </w:rPr>
        <w:fldChar w:fldCharType="begin"/>
      </w:r>
      <w:r w:rsidR="00E205AE">
        <w:rPr>
          <w:smallCaps/>
        </w:rPr>
        <w:instrText xml:space="preserve"> TOC \h \z \</w:instrText>
      </w:r>
      <w:r w:rsidR="00B54527">
        <w:rPr>
          <w:smallCaps/>
        </w:rPr>
        <w:instrText>T</w:instrText>
      </w:r>
      <w:r w:rsidR="00E205AE">
        <w:rPr>
          <w:smallCaps/>
        </w:rPr>
        <w:instrText xml:space="preserve"> "Heading 4,</w:instrText>
      </w:r>
      <w:r w:rsidR="003775DE">
        <w:rPr>
          <w:smallCaps/>
        </w:rPr>
        <w:instrText>1</w:instrText>
      </w:r>
      <w:r w:rsidR="00E205AE">
        <w:rPr>
          <w:smallCaps/>
        </w:rPr>
        <w:instrText xml:space="preserve">" </w:instrText>
      </w:r>
      <w:r>
        <w:rPr>
          <w:smallCaps/>
        </w:rPr>
        <w:fldChar w:fldCharType="separate"/>
      </w:r>
      <w:hyperlink w:anchor="_Toc423458250" w:history="1">
        <w:r w:rsidR="003475B9" w:rsidRPr="007131B6">
          <w:rPr>
            <w:rStyle w:val="Hyperlink"/>
            <w:noProof/>
          </w:rPr>
          <w:t>Appendix A Results Matrix</w:t>
        </w:r>
        <w:r w:rsidR="003475B9">
          <w:rPr>
            <w:noProof/>
            <w:webHidden/>
          </w:rPr>
          <w:tab/>
        </w:r>
        <w:r w:rsidR="003475B9">
          <w:rPr>
            <w:noProof/>
            <w:webHidden/>
          </w:rPr>
          <w:fldChar w:fldCharType="begin"/>
        </w:r>
        <w:r w:rsidR="003475B9">
          <w:rPr>
            <w:noProof/>
            <w:webHidden/>
          </w:rPr>
          <w:instrText xml:space="preserve"> PAGEREF _Toc423458250 \h </w:instrText>
        </w:r>
        <w:r w:rsidR="003475B9">
          <w:rPr>
            <w:noProof/>
            <w:webHidden/>
          </w:rPr>
        </w:r>
        <w:r w:rsidR="003475B9">
          <w:rPr>
            <w:noProof/>
            <w:webHidden/>
          </w:rPr>
          <w:fldChar w:fldCharType="separate"/>
        </w:r>
        <w:r w:rsidR="006745B9">
          <w:rPr>
            <w:noProof/>
            <w:webHidden/>
          </w:rPr>
          <w:t>22</w:t>
        </w:r>
        <w:r w:rsidR="003475B9">
          <w:rPr>
            <w:noProof/>
            <w:webHidden/>
          </w:rPr>
          <w:fldChar w:fldCharType="end"/>
        </w:r>
      </w:hyperlink>
    </w:p>
    <w:p w14:paraId="161EF08F" w14:textId="77777777" w:rsidR="004E4BE2" w:rsidRDefault="00F04717" w:rsidP="004E4BE2">
      <w:pPr>
        <w:pStyle w:val="BodyText"/>
      </w:pPr>
      <w:r>
        <w:rPr>
          <w:b/>
          <w:smallCaps/>
          <w:noProof/>
        </w:rPr>
        <w:fldChar w:fldCharType="end"/>
      </w:r>
    </w:p>
    <w:p w14:paraId="3BFF5745" w14:textId="77777777" w:rsidR="004E4BE2" w:rsidRDefault="004E4BE2" w:rsidP="004E4BE2">
      <w:pPr>
        <w:pStyle w:val="BoldHeading"/>
      </w:pPr>
      <w:r>
        <w:t>Tables</w:t>
      </w:r>
    </w:p>
    <w:p w14:paraId="4DC3CA2E" w14:textId="77777777" w:rsidR="003475B9" w:rsidRDefault="00F04717">
      <w:pPr>
        <w:pStyle w:val="TableofFigures"/>
        <w:rPr>
          <w:rFonts w:asciiTheme="minorHAnsi" w:eastAsiaTheme="minorEastAsia" w:hAnsiTheme="minorHAnsi" w:cstheme="minorBidi"/>
          <w:b w:val="0"/>
          <w:noProof/>
          <w:sz w:val="22"/>
          <w:szCs w:val="22"/>
          <w:lang w:eastAsia="en-US"/>
        </w:rPr>
      </w:pPr>
      <w:r>
        <w:fldChar w:fldCharType="begin"/>
      </w:r>
      <w:r w:rsidR="00E205AE">
        <w:instrText xml:space="preserve"> TOC \h \z \c "Table" </w:instrText>
      </w:r>
      <w:r>
        <w:fldChar w:fldCharType="separate"/>
      </w:r>
      <w:hyperlink w:anchor="_Toc423458251" w:history="1">
        <w:r w:rsidR="003475B9" w:rsidRPr="00D3640A">
          <w:rPr>
            <w:rStyle w:val="Hyperlink"/>
            <w:noProof/>
          </w:rPr>
          <w:t>Table 2.1: Output Indicators</w:t>
        </w:r>
        <w:r w:rsidR="003475B9">
          <w:rPr>
            <w:noProof/>
            <w:webHidden/>
          </w:rPr>
          <w:tab/>
        </w:r>
        <w:r w:rsidR="003475B9">
          <w:rPr>
            <w:noProof/>
            <w:webHidden/>
          </w:rPr>
          <w:fldChar w:fldCharType="begin"/>
        </w:r>
        <w:r w:rsidR="003475B9">
          <w:rPr>
            <w:noProof/>
            <w:webHidden/>
          </w:rPr>
          <w:instrText xml:space="preserve"> PAGEREF _Toc423458251 \h </w:instrText>
        </w:r>
        <w:r w:rsidR="003475B9">
          <w:rPr>
            <w:noProof/>
            <w:webHidden/>
          </w:rPr>
        </w:r>
        <w:r w:rsidR="003475B9">
          <w:rPr>
            <w:noProof/>
            <w:webHidden/>
          </w:rPr>
          <w:fldChar w:fldCharType="separate"/>
        </w:r>
        <w:r w:rsidR="006745B9">
          <w:rPr>
            <w:noProof/>
            <w:webHidden/>
          </w:rPr>
          <w:t>5</w:t>
        </w:r>
        <w:r w:rsidR="003475B9">
          <w:rPr>
            <w:noProof/>
            <w:webHidden/>
          </w:rPr>
          <w:fldChar w:fldCharType="end"/>
        </w:r>
      </w:hyperlink>
    </w:p>
    <w:p w14:paraId="6B3037ED" w14:textId="77777777" w:rsidR="003475B9" w:rsidRDefault="007A04D5">
      <w:pPr>
        <w:pStyle w:val="TableofFigures"/>
        <w:rPr>
          <w:rFonts w:asciiTheme="minorHAnsi" w:eastAsiaTheme="minorEastAsia" w:hAnsiTheme="minorHAnsi" w:cstheme="minorBidi"/>
          <w:b w:val="0"/>
          <w:noProof/>
          <w:sz w:val="22"/>
          <w:szCs w:val="22"/>
          <w:lang w:eastAsia="en-US"/>
        </w:rPr>
      </w:pPr>
      <w:hyperlink w:anchor="_Toc423458252" w:history="1">
        <w:r w:rsidR="003475B9" w:rsidRPr="00D3640A">
          <w:rPr>
            <w:rStyle w:val="Hyperlink"/>
            <w:noProof/>
          </w:rPr>
          <w:t>Table 2.2: Annual Costs by Output (US$ millions)</w:t>
        </w:r>
        <w:r w:rsidR="003475B9">
          <w:rPr>
            <w:noProof/>
            <w:webHidden/>
          </w:rPr>
          <w:tab/>
        </w:r>
        <w:r w:rsidR="003475B9">
          <w:rPr>
            <w:noProof/>
            <w:webHidden/>
          </w:rPr>
          <w:fldChar w:fldCharType="begin"/>
        </w:r>
        <w:r w:rsidR="003475B9">
          <w:rPr>
            <w:noProof/>
            <w:webHidden/>
          </w:rPr>
          <w:instrText xml:space="preserve"> PAGEREF _Toc423458252 \h </w:instrText>
        </w:r>
        <w:r w:rsidR="003475B9">
          <w:rPr>
            <w:noProof/>
            <w:webHidden/>
          </w:rPr>
        </w:r>
        <w:r w:rsidR="003475B9">
          <w:rPr>
            <w:noProof/>
            <w:webHidden/>
          </w:rPr>
          <w:fldChar w:fldCharType="separate"/>
        </w:r>
        <w:r w:rsidR="006745B9">
          <w:rPr>
            <w:noProof/>
            <w:webHidden/>
          </w:rPr>
          <w:t>7</w:t>
        </w:r>
        <w:r w:rsidR="003475B9">
          <w:rPr>
            <w:noProof/>
            <w:webHidden/>
          </w:rPr>
          <w:fldChar w:fldCharType="end"/>
        </w:r>
      </w:hyperlink>
    </w:p>
    <w:p w14:paraId="33DE6A8C" w14:textId="77777777" w:rsidR="003475B9" w:rsidRDefault="007A04D5">
      <w:pPr>
        <w:pStyle w:val="TableofFigures"/>
        <w:rPr>
          <w:rFonts w:asciiTheme="minorHAnsi" w:eastAsiaTheme="minorEastAsia" w:hAnsiTheme="minorHAnsi" w:cstheme="minorBidi"/>
          <w:b w:val="0"/>
          <w:noProof/>
          <w:sz w:val="22"/>
          <w:szCs w:val="22"/>
          <w:lang w:eastAsia="en-US"/>
        </w:rPr>
      </w:pPr>
      <w:hyperlink w:anchor="_Toc423458253" w:history="1">
        <w:r w:rsidR="003475B9" w:rsidRPr="00D3640A">
          <w:rPr>
            <w:rStyle w:val="Hyperlink"/>
            <w:noProof/>
          </w:rPr>
          <w:t>Table 2.3: Monitoring Work Plan</w:t>
        </w:r>
        <w:r w:rsidR="003475B9">
          <w:rPr>
            <w:noProof/>
            <w:webHidden/>
          </w:rPr>
          <w:tab/>
        </w:r>
        <w:r w:rsidR="003475B9">
          <w:rPr>
            <w:noProof/>
            <w:webHidden/>
          </w:rPr>
          <w:fldChar w:fldCharType="begin"/>
        </w:r>
        <w:r w:rsidR="003475B9">
          <w:rPr>
            <w:noProof/>
            <w:webHidden/>
          </w:rPr>
          <w:instrText xml:space="preserve"> PAGEREF _Toc423458253 \h </w:instrText>
        </w:r>
        <w:r w:rsidR="003475B9">
          <w:rPr>
            <w:noProof/>
            <w:webHidden/>
          </w:rPr>
        </w:r>
        <w:r w:rsidR="003475B9">
          <w:rPr>
            <w:noProof/>
            <w:webHidden/>
          </w:rPr>
          <w:fldChar w:fldCharType="separate"/>
        </w:r>
        <w:r w:rsidR="006745B9">
          <w:rPr>
            <w:noProof/>
            <w:webHidden/>
          </w:rPr>
          <w:t>11</w:t>
        </w:r>
        <w:r w:rsidR="003475B9">
          <w:rPr>
            <w:noProof/>
            <w:webHidden/>
          </w:rPr>
          <w:fldChar w:fldCharType="end"/>
        </w:r>
      </w:hyperlink>
    </w:p>
    <w:p w14:paraId="76AA429D" w14:textId="77777777" w:rsidR="003475B9" w:rsidRDefault="007A04D5">
      <w:pPr>
        <w:pStyle w:val="TableofFigures"/>
        <w:rPr>
          <w:rFonts w:asciiTheme="minorHAnsi" w:eastAsiaTheme="minorEastAsia" w:hAnsiTheme="minorHAnsi" w:cstheme="minorBidi"/>
          <w:b w:val="0"/>
          <w:noProof/>
          <w:sz w:val="22"/>
          <w:szCs w:val="22"/>
          <w:lang w:eastAsia="en-US"/>
        </w:rPr>
      </w:pPr>
      <w:hyperlink w:anchor="_Toc423458254" w:history="1">
        <w:r w:rsidR="003475B9" w:rsidRPr="00D3640A">
          <w:rPr>
            <w:rStyle w:val="Hyperlink"/>
            <w:noProof/>
          </w:rPr>
          <w:t>Table 3.1: Key Results Indictors</w:t>
        </w:r>
        <w:r w:rsidR="003475B9">
          <w:rPr>
            <w:noProof/>
            <w:webHidden/>
          </w:rPr>
          <w:tab/>
        </w:r>
        <w:r w:rsidR="003475B9">
          <w:rPr>
            <w:noProof/>
            <w:webHidden/>
          </w:rPr>
          <w:fldChar w:fldCharType="begin"/>
        </w:r>
        <w:r w:rsidR="003475B9">
          <w:rPr>
            <w:noProof/>
            <w:webHidden/>
          </w:rPr>
          <w:instrText xml:space="preserve"> PAGEREF _Toc423458254 \h </w:instrText>
        </w:r>
        <w:r w:rsidR="003475B9">
          <w:rPr>
            <w:noProof/>
            <w:webHidden/>
          </w:rPr>
        </w:r>
        <w:r w:rsidR="003475B9">
          <w:rPr>
            <w:noProof/>
            <w:webHidden/>
          </w:rPr>
          <w:fldChar w:fldCharType="separate"/>
        </w:r>
        <w:r w:rsidR="006745B9">
          <w:rPr>
            <w:noProof/>
            <w:webHidden/>
          </w:rPr>
          <w:t>14</w:t>
        </w:r>
        <w:r w:rsidR="003475B9">
          <w:rPr>
            <w:noProof/>
            <w:webHidden/>
          </w:rPr>
          <w:fldChar w:fldCharType="end"/>
        </w:r>
      </w:hyperlink>
    </w:p>
    <w:p w14:paraId="7CCA855B" w14:textId="77777777" w:rsidR="003475B9" w:rsidRDefault="007A04D5">
      <w:pPr>
        <w:pStyle w:val="TableofFigures"/>
        <w:rPr>
          <w:rFonts w:asciiTheme="minorHAnsi" w:eastAsiaTheme="minorEastAsia" w:hAnsiTheme="minorHAnsi" w:cstheme="minorBidi"/>
          <w:b w:val="0"/>
          <w:noProof/>
          <w:sz w:val="22"/>
          <w:szCs w:val="22"/>
          <w:lang w:eastAsia="en-US"/>
        </w:rPr>
      </w:pPr>
      <w:hyperlink w:anchor="_Toc423458255" w:history="1">
        <w:r w:rsidR="003475B9" w:rsidRPr="00D3640A">
          <w:rPr>
            <w:rStyle w:val="Hyperlink"/>
            <w:noProof/>
          </w:rPr>
          <w:t>Table 3.2: Evaluation Work Plan</w:t>
        </w:r>
        <w:r w:rsidR="003475B9">
          <w:rPr>
            <w:noProof/>
            <w:webHidden/>
          </w:rPr>
          <w:tab/>
        </w:r>
        <w:r w:rsidR="003475B9">
          <w:rPr>
            <w:noProof/>
            <w:webHidden/>
          </w:rPr>
          <w:fldChar w:fldCharType="begin"/>
        </w:r>
        <w:r w:rsidR="003475B9">
          <w:rPr>
            <w:noProof/>
            <w:webHidden/>
          </w:rPr>
          <w:instrText xml:space="preserve"> PAGEREF _Toc423458255 \h </w:instrText>
        </w:r>
        <w:r w:rsidR="003475B9">
          <w:rPr>
            <w:noProof/>
            <w:webHidden/>
          </w:rPr>
        </w:r>
        <w:r w:rsidR="003475B9">
          <w:rPr>
            <w:noProof/>
            <w:webHidden/>
          </w:rPr>
          <w:fldChar w:fldCharType="separate"/>
        </w:r>
        <w:r w:rsidR="006745B9">
          <w:rPr>
            <w:noProof/>
            <w:webHidden/>
          </w:rPr>
          <w:t>21</w:t>
        </w:r>
        <w:r w:rsidR="003475B9">
          <w:rPr>
            <w:noProof/>
            <w:webHidden/>
          </w:rPr>
          <w:fldChar w:fldCharType="end"/>
        </w:r>
      </w:hyperlink>
    </w:p>
    <w:p w14:paraId="006AEBE0" w14:textId="77777777" w:rsidR="00E205AE" w:rsidRDefault="00F04717" w:rsidP="008C1772">
      <w:pPr>
        <w:pStyle w:val="TableofFigures"/>
      </w:pPr>
      <w:r>
        <w:fldChar w:fldCharType="end"/>
      </w:r>
    </w:p>
    <w:p w14:paraId="20E78E93" w14:textId="77777777" w:rsidR="007C386C" w:rsidRDefault="007C386C" w:rsidP="00EE0647">
      <w:pPr>
        <w:pStyle w:val="BodyText"/>
      </w:pPr>
      <w:r>
        <w:br w:type="page"/>
      </w:r>
    </w:p>
    <w:p w14:paraId="6E555898" w14:textId="77777777" w:rsidR="005F713E" w:rsidRDefault="00E614A4" w:rsidP="005F713E">
      <w:pPr>
        <w:pStyle w:val="Heading1"/>
        <w:numPr>
          <w:ilvl w:val="0"/>
          <w:numId w:val="0"/>
        </w:numPr>
        <w:ind w:left="720" w:hanging="720"/>
      </w:pPr>
      <w:bookmarkStart w:id="1" w:name="_Toc424286965"/>
      <w:bookmarkStart w:id="2" w:name="_Toc135470855"/>
      <w:bookmarkStart w:id="3" w:name="_Toc110929703"/>
      <w:r>
        <w:lastRenderedPageBreak/>
        <w:t>Abbreviations</w:t>
      </w:r>
      <w:bookmarkEnd w:id="1"/>
      <w:r w:rsidR="005F713E">
        <w:t xml:space="preserve"> </w:t>
      </w:r>
    </w:p>
    <w:p w14:paraId="5B34B797" w14:textId="77777777" w:rsidR="005F713E" w:rsidRDefault="005F713E" w:rsidP="005F713E">
      <w:pPr>
        <w:pStyle w:val="BodyText"/>
      </w:pPr>
    </w:p>
    <w:p w14:paraId="10740189" w14:textId="77777777" w:rsidR="005F713E" w:rsidRPr="00C0141A" w:rsidRDefault="005F713E" w:rsidP="005F713E">
      <w:pPr>
        <w:pStyle w:val="Newpage"/>
        <w:spacing w:before="0" w:line="360" w:lineRule="auto"/>
        <w:jc w:val="both"/>
        <w:rPr>
          <w:b w:val="0"/>
          <w:szCs w:val="24"/>
        </w:rPr>
      </w:pPr>
      <w:r w:rsidRPr="00C0141A">
        <w:rPr>
          <w:b w:val="0"/>
          <w:szCs w:val="24"/>
        </w:rPr>
        <w:t>CBA</w:t>
      </w:r>
      <w:r w:rsidRPr="00C0141A">
        <w:rPr>
          <w:b w:val="0"/>
          <w:szCs w:val="24"/>
        </w:rPr>
        <w:tab/>
      </w:r>
      <w:r w:rsidRPr="00C0141A">
        <w:rPr>
          <w:b w:val="0"/>
          <w:szCs w:val="24"/>
        </w:rPr>
        <w:tab/>
        <w:t>Cost Benefit Analysis</w:t>
      </w:r>
    </w:p>
    <w:p w14:paraId="4D6BAAE7" w14:textId="77777777" w:rsidR="007467E2" w:rsidRPr="00C0141A" w:rsidRDefault="007467E2" w:rsidP="007467E2">
      <w:pPr>
        <w:pStyle w:val="Newpage"/>
        <w:spacing w:before="0" w:line="360" w:lineRule="auto"/>
        <w:jc w:val="both"/>
        <w:rPr>
          <w:b w:val="0"/>
          <w:szCs w:val="24"/>
        </w:rPr>
      </w:pPr>
      <w:r>
        <w:rPr>
          <w:b w:val="0"/>
          <w:szCs w:val="24"/>
        </w:rPr>
        <w:t>CDB</w:t>
      </w:r>
      <w:r w:rsidRPr="00C0141A">
        <w:rPr>
          <w:b w:val="0"/>
          <w:szCs w:val="24"/>
        </w:rPr>
        <w:tab/>
      </w:r>
      <w:r w:rsidRPr="00C0141A">
        <w:rPr>
          <w:b w:val="0"/>
          <w:szCs w:val="24"/>
        </w:rPr>
        <w:tab/>
      </w:r>
      <w:r>
        <w:rPr>
          <w:b w:val="0"/>
          <w:szCs w:val="24"/>
        </w:rPr>
        <w:t>Caribbean Development bank</w:t>
      </w:r>
    </w:p>
    <w:p w14:paraId="36883A5B" w14:textId="77777777" w:rsidR="00CB15F1" w:rsidRPr="00C0141A" w:rsidRDefault="00CB15F1" w:rsidP="00CB15F1">
      <w:pPr>
        <w:pStyle w:val="Newpage"/>
        <w:spacing w:before="0" w:line="360" w:lineRule="auto"/>
        <w:jc w:val="both"/>
        <w:rPr>
          <w:b w:val="0"/>
          <w:szCs w:val="24"/>
        </w:rPr>
      </w:pPr>
      <w:r>
        <w:rPr>
          <w:b w:val="0"/>
          <w:szCs w:val="24"/>
        </w:rPr>
        <w:t>CTF</w:t>
      </w:r>
      <w:r w:rsidRPr="00C0141A">
        <w:rPr>
          <w:b w:val="0"/>
          <w:szCs w:val="24"/>
        </w:rPr>
        <w:tab/>
      </w:r>
      <w:r w:rsidRPr="00C0141A">
        <w:rPr>
          <w:b w:val="0"/>
          <w:szCs w:val="24"/>
        </w:rPr>
        <w:tab/>
      </w:r>
      <w:r>
        <w:rPr>
          <w:b w:val="0"/>
          <w:szCs w:val="24"/>
        </w:rPr>
        <w:t>Clean Technology Fund</w:t>
      </w:r>
    </w:p>
    <w:p w14:paraId="2333981E" w14:textId="77777777" w:rsidR="005F713E" w:rsidRPr="00C0141A" w:rsidRDefault="005F713E" w:rsidP="005F713E">
      <w:pPr>
        <w:pStyle w:val="Newpage"/>
        <w:spacing w:before="0" w:line="360" w:lineRule="auto"/>
        <w:jc w:val="both"/>
        <w:rPr>
          <w:b w:val="0"/>
          <w:szCs w:val="24"/>
        </w:rPr>
      </w:pPr>
      <w:r w:rsidRPr="00C0141A">
        <w:rPr>
          <w:b w:val="0"/>
          <w:szCs w:val="24"/>
        </w:rPr>
        <w:t>EA</w:t>
      </w:r>
      <w:r w:rsidRPr="00C0141A">
        <w:rPr>
          <w:b w:val="0"/>
          <w:szCs w:val="24"/>
        </w:rPr>
        <w:tab/>
      </w:r>
      <w:r w:rsidRPr="00C0141A">
        <w:rPr>
          <w:b w:val="0"/>
          <w:szCs w:val="24"/>
        </w:rPr>
        <w:tab/>
        <w:t>Executing Agency</w:t>
      </w:r>
    </w:p>
    <w:p w14:paraId="0D5F6F53" w14:textId="77777777" w:rsidR="005F713E" w:rsidRPr="00C0141A" w:rsidRDefault="005F713E" w:rsidP="005F713E">
      <w:pPr>
        <w:pStyle w:val="Newpage"/>
        <w:spacing w:before="0" w:line="360" w:lineRule="auto"/>
        <w:jc w:val="both"/>
        <w:rPr>
          <w:b w:val="0"/>
          <w:szCs w:val="24"/>
        </w:rPr>
      </w:pPr>
      <w:r>
        <w:rPr>
          <w:b w:val="0"/>
          <w:szCs w:val="24"/>
        </w:rPr>
        <w:t>EC</w:t>
      </w:r>
      <w:r w:rsidRPr="00C0141A">
        <w:rPr>
          <w:b w:val="0"/>
          <w:szCs w:val="24"/>
        </w:rPr>
        <w:tab/>
      </w:r>
      <w:r w:rsidRPr="00C0141A">
        <w:rPr>
          <w:b w:val="0"/>
          <w:szCs w:val="24"/>
        </w:rPr>
        <w:tab/>
      </w:r>
      <w:r>
        <w:rPr>
          <w:b w:val="0"/>
          <w:szCs w:val="24"/>
        </w:rPr>
        <w:t>eastern caribbean</w:t>
      </w:r>
    </w:p>
    <w:p w14:paraId="213E6E03" w14:textId="77777777" w:rsidR="005F713E" w:rsidRPr="00C0141A" w:rsidRDefault="005F713E" w:rsidP="005F713E">
      <w:pPr>
        <w:pStyle w:val="Newpage"/>
        <w:spacing w:before="0" w:line="360" w:lineRule="auto"/>
        <w:jc w:val="both"/>
        <w:rPr>
          <w:b w:val="0"/>
          <w:szCs w:val="24"/>
        </w:rPr>
      </w:pPr>
      <w:r w:rsidRPr="00C0141A">
        <w:rPr>
          <w:b w:val="0"/>
          <w:szCs w:val="24"/>
        </w:rPr>
        <w:t>EE</w:t>
      </w:r>
      <w:r w:rsidRPr="00C0141A">
        <w:rPr>
          <w:b w:val="0"/>
          <w:szCs w:val="24"/>
        </w:rPr>
        <w:tab/>
      </w:r>
      <w:r w:rsidRPr="00C0141A">
        <w:rPr>
          <w:b w:val="0"/>
          <w:szCs w:val="24"/>
        </w:rPr>
        <w:tab/>
        <w:t>Energy Efficiency</w:t>
      </w:r>
    </w:p>
    <w:p w14:paraId="730F3F08" w14:textId="77777777" w:rsidR="005F713E" w:rsidRPr="00C0141A" w:rsidRDefault="005F713E" w:rsidP="005F713E">
      <w:pPr>
        <w:pStyle w:val="Newpage"/>
        <w:spacing w:before="0" w:line="360" w:lineRule="auto"/>
        <w:jc w:val="both"/>
        <w:rPr>
          <w:b w:val="0"/>
          <w:szCs w:val="24"/>
        </w:rPr>
      </w:pPr>
      <w:r w:rsidRPr="00C0141A">
        <w:rPr>
          <w:b w:val="0"/>
          <w:szCs w:val="24"/>
        </w:rPr>
        <w:t>IDB</w:t>
      </w:r>
      <w:r w:rsidRPr="00C0141A">
        <w:rPr>
          <w:b w:val="0"/>
          <w:szCs w:val="24"/>
        </w:rPr>
        <w:tab/>
      </w:r>
      <w:r w:rsidRPr="00C0141A">
        <w:rPr>
          <w:b w:val="0"/>
          <w:szCs w:val="24"/>
        </w:rPr>
        <w:tab/>
        <w:t>Inter-American Development Bank</w:t>
      </w:r>
    </w:p>
    <w:p w14:paraId="2AF1FCDC" w14:textId="77777777" w:rsidR="007467E2" w:rsidRPr="00C0141A" w:rsidRDefault="007467E2" w:rsidP="007467E2">
      <w:pPr>
        <w:pStyle w:val="Newpage"/>
        <w:spacing w:before="0" w:line="360" w:lineRule="auto"/>
        <w:jc w:val="both"/>
        <w:rPr>
          <w:b w:val="0"/>
          <w:szCs w:val="24"/>
        </w:rPr>
      </w:pPr>
      <w:r>
        <w:rPr>
          <w:b w:val="0"/>
          <w:szCs w:val="24"/>
        </w:rPr>
        <w:t>JICA</w:t>
      </w:r>
      <w:r w:rsidRPr="00C0141A">
        <w:rPr>
          <w:b w:val="0"/>
          <w:szCs w:val="24"/>
        </w:rPr>
        <w:tab/>
      </w:r>
      <w:r w:rsidRPr="00C0141A">
        <w:rPr>
          <w:b w:val="0"/>
          <w:szCs w:val="24"/>
        </w:rPr>
        <w:tab/>
      </w:r>
      <w:r>
        <w:rPr>
          <w:b w:val="0"/>
          <w:szCs w:val="24"/>
        </w:rPr>
        <w:t>Japanese International Cooperation Agency</w:t>
      </w:r>
    </w:p>
    <w:p w14:paraId="207E4D94" w14:textId="77777777" w:rsidR="005F713E" w:rsidRPr="00C0141A" w:rsidRDefault="005F713E" w:rsidP="005F713E">
      <w:pPr>
        <w:pStyle w:val="Newpage"/>
        <w:spacing w:before="0" w:line="360" w:lineRule="auto"/>
        <w:jc w:val="both"/>
        <w:rPr>
          <w:b w:val="0"/>
          <w:szCs w:val="24"/>
        </w:rPr>
      </w:pPr>
      <w:r w:rsidRPr="00C0141A">
        <w:rPr>
          <w:b w:val="0"/>
          <w:szCs w:val="24"/>
        </w:rPr>
        <w:t>MW</w:t>
      </w:r>
      <w:r w:rsidRPr="00C0141A">
        <w:rPr>
          <w:b w:val="0"/>
          <w:szCs w:val="24"/>
        </w:rPr>
        <w:tab/>
      </w:r>
      <w:r w:rsidRPr="00C0141A">
        <w:rPr>
          <w:b w:val="0"/>
          <w:szCs w:val="24"/>
        </w:rPr>
        <w:tab/>
        <w:t>MegaWatt</w:t>
      </w:r>
    </w:p>
    <w:p w14:paraId="2872EF73" w14:textId="77777777" w:rsidR="005F713E" w:rsidRPr="00C0141A" w:rsidRDefault="005F713E" w:rsidP="005F713E">
      <w:pPr>
        <w:pStyle w:val="Newpage"/>
        <w:spacing w:before="0" w:line="360" w:lineRule="auto"/>
        <w:jc w:val="both"/>
        <w:rPr>
          <w:b w:val="0"/>
          <w:szCs w:val="24"/>
        </w:rPr>
      </w:pPr>
      <w:r w:rsidRPr="00C0141A">
        <w:rPr>
          <w:b w:val="0"/>
          <w:szCs w:val="24"/>
        </w:rPr>
        <w:t>MWh</w:t>
      </w:r>
      <w:r w:rsidRPr="00C0141A">
        <w:rPr>
          <w:b w:val="0"/>
          <w:szCs w:val="24"/>
        </w:rPr>
        <w:tab/>
      </w:r>
      <w:r w:rsidRPr="00C0141A">
        <w:rPr>
          <w:b w:val="0"/>
          <w:szCs w:val="24"/>
        </w:rPr>
        <w:tab/>
        <w:t>MegaWatt hour</w:t>
      </w:r>
    </w:p>
    <w:p w14:paraId="5C58C998" w14:textId="77777777" w:rsidR="005F713E" w:rsidRPr="00C0141A" w:rsidRDefault="005F713E" w:rsidP="005F713E">
      <w:pPr>
        <w:pStyle w:val="Newpage"/>
        <w:spacing w:before="0" w:line="360" w:lineRule="auto"/>
        <w:jc w:val="both"/>
        <w:rPr>
          <w:b w:val="0"/>
          <w:szCs w:val="24"/>
        </w:rPr>
      </w:pPr>
      <w:r w:rsidRPr="00C0141A">
        <w:rPr>
          <w:b w:val="0"/>
          <w:szCs w:val="24"/>
        </w:rPr>
        <w:t>PCR</w:t>
      </w:r>
      <w:r w:rsidRPr="00C0141A">
        <w:rPr>
          <w:b w:val="0"/>
          <w:szCs w:val="24"/>
        </w:rPr>
        <w:tab/>
      </w:r>
      <w:r w:rsidRPr="00C0141A">
        <w:rPr>
          <w:b w:val="0"/>
          <w:szCs w:val="24"/>
        </w:rPr>
        <w:tab/>
        <w:t>Project Completion Report</w:t>
      </w:r>
    </w:p>
    <w:p w14:paraId="553ABC9C" w14:textId="77777777" w:rsidR="005F713E" w:rsidRPr="00C0141A" w:rsidRDefault="005F713E" w:rsidP="005F713E">
      <w:pPr>
        <w:pStyle w:val="Newpage"/>
        <w:spacing w:before="0" w:line="360" w:lineRule="auto"/>
        <w:jc w:val="both"/>
        <w:rPr>
          <w:b w:val="0"/>
          <w:szCs w:val="24"/>
        </w:rPr>
      </w:pPr>
      <w:r w:rsidRPr="00C0141A">
        <w:rPr>
          <w:b w:val="0"/>
          <w:szCs w:val="24"/>
        </w:rPr>
        <w:t>PBL</w:t>
      </w:r>
      <w:r w:rsidRPr="00C0141A">
        <w:rPr>
          <w:b w:val="0"/>
          <w:szCs w:val="24"/>
        </w:rPr>
        <w:tab/>
      </w:r>
      <w:r w:rsidRPr="00C0141A">
        <w:rPr>
          <w:b w:val="0"/>
          <w:szCs w:val="24"/>
        </w:rPr>
        <w:tab/>
        <w:t>Policy-Based Loan</w:t>
      </w:r>
    </w:p>
    <w:p w14:paraId="49629832" w14:textId="77777777" w:rsidR="006A2F8F" w:rsidRDefault="006A2F8F" w:rsidP="005F713E">
      <w:pPr>
        <w:pStyle w:val="Newpage"/>
        <w:spacing w:before="0" w:line="360" w:lineRule="auto"/>
        <w:jc w:val="both"/>
        <w:rPr>
          <w:b w:val="0"/>
          <w:szCs w:val="24"/>
        </w:rPr>
      </w:pPr>
      <w:r>
        <w:rPr>
          <w:b w:val="0"/>
          <w:szCs w:val="24"/>
        </w:rPr>
        <w:t>POD</w:t>
      </w:r>
      <w:r>
        <w:rPr>
          <w:b w:val="0"/>
          <w:szCs w:val="24"/>
        </w:rPr>
        <w:tab/>
      </w:r>
      <w:r>
        <w:rPr>
          <w:b w:val="0"/>
          <w:szCs w:val="24"/>
        </w:rPr>
        <w:tab/>
      </w:r>
      <w:r w:rsidRPr="006A2F8F">
        <w:rPr>
          <w:b w:val="0"/>
          <w:szCs w:val="24"/>
        </w:rPr>
        <w:t>Pro</w:t>
      </w:r>
      <w:r>
        <w:rPr>
          <w:b w:val="0"/>
          <w:szCs w:val="24"/>
        </w:rPr>
        <w:t>posal for Operation Development</w:t>
      </w:r>
    </w:p>
    <w:p w14:paraId="667582BD" w14:textId="77777777" w:rsidR="005F713E" w:rsidRDefault="005F713E" w:rsidP="005F713E">
      <w:pPr>
        <w:pStyle w:val="Newpage"/>
        <w:spacing w:before="0" w:line="360" w:lineRule="auto"/>
        <w:jc w:val="both"/>
        <w:rPr>
          <w:b w:val="0"/>
          <w:szCs w:val="24"/>
        </w:rPr>
      </w:pPr>
      <w:r w:rsidRPr="00C0141A">
        <w:rPr>
          <w:b w:val="0"/>
          <w:szCs w:val="24"/>
        </w:rPr>
        <w:t>RE</w:t>
      </w:r>
      <w:r w:rsidRPr="00C0141A">
        <w:rPr>
          <w:b w:val="0"/>
          <w:szCs w:val="24"/>
        </w:rPr>
        <w:tab/>
      </w:r>
      <w:r w:rsidRPr="00C0141A">
        <w:rPr>
          <w:b w:val="0"/>
          <w:szCs w:val="24"/>
        </w:rPr>
        <w:tab/>
        <w:t>Renewable Energy</w:t>
      </w:r>
    </w:p>
    <w:p w14:paraId="45257EED" w14:textId="77777777" w:rsidR="00AB6CAC" w:rsidRPr="00C0141A" w:rsidRDefault="00AB6CAC" w:rsidP="00AB6CAC">
      <w:pPr>
        <w:pStyle w:val="Newpage"/>
        <w:spacing w:before="0" w:line="360" w:lineRule="auto"/>
        <w:jc w:val="both"/>
        <w:rPr>
          <w:b w:val="0"/>
          <w:szCs w:val="24"/>
        </w:rPr>
      </w:pPr>
      <w:r>
        <w:rPr>
          <w:b w:val="0"/>
          <w:szCs w:val="24"/>
        </w:rPr>
        <w:t>SEF</w:t>
      </w:r>
      <w:r w:rsidRPr="00C0141A">
        <w:rPr>
          <w:b w:val="0"/>
          <w:szCs w:val="24"/>
        </w:rPr>
        <w:tab/>
      </w:r>
      <w:r w:rsidRPr="00C0141A">
        <w:rPr>
          <w:b w:val="0"/>
          <w:szCs w:val="24"/>
        </w:rPr>
        <w:tab/>
      </w:r>
      <w:r>
        <w:rPr>
          <w:b w:val="0"/>
          <w:szCs w:val="24"/>
        </w:rPr>
        <w:t xml:space="preserve">Sustainable Energy Facility </w:t>
      </w:r>
    </w:p>
    <w:p w14:paraId="4A832403" w14:textId="77777777" w:rsidR="007467E2" w:rsidRPr="00C0141A" w:rsidRDefault="007467E2" w:rsidP="005F713E">
      <w:pPr>
        <w:pStyle w:val="Newpage"/>
        <w:spacing w:before="0" w:line="360" w:lineRule="auto"/>
        <w:jc w:val="both"/>
        <w:rPr>
          <w:b w:val="0"/>
          <w:szCs w:val="24"/>
        </w:rPr>
      </w:pPr>
    </w:p>
    <w:p w14:paraId="24095FBB" w14:textId="77777777" w:rsidR="005F713E" w:rsidRPr="005F713E" w:rsidRDefault="005F713E" w:rsidP="005F713E">
      <w:pPr>
        <w:pStyle w:val="BodyText"/>
      </w:pPr>
    </w:p>
    <w:p w14:paraId="16AA5E34" w14:textId="77777777" w:rsidR="005F713E" w:rsidRDefault="005F713E">
      <w:pPr>
        <w:jc w:val="left"/>
        <w:rPr>
          <w:rFonts w:cs="Arial"/>
          <w:b/>
          <w:bCs/>
          <w:kern w:val="28"/>
          <w:sz w:val="36"/>
          <w:szCs w:val="36"/>
        </w:rPr>
      </w:pPr>
      <w:r>
        <w:br w:type="page"/>
      </w:r>
    </w:p>
    <w:p w14:paraId="20ECBF7E" w14:textId="77777777" w:rsidR="00CA0032" w:rsidRPr="00537303" w:rsidRDefault="005979DA" w:rsidP="00DE2526">
      <w:pPr>
        <w:pStyle w:val="Heading1"/>
      </w:pPr>
      <w:bookmarkStart w:id="4" w:name="_Toc424286966"/>
      <w:r>
        <w:lastRenderedPageBreak/>
        <w:t>I</w:t>
      </w:r>
      <w:r w:rsidR="004455AA" w:rsidRPr="00537303">
        <w:t>ntroduction</w:t>
      </w:r>
      <w:bookmarkEnd w:id="2"/>
      <w:bookmarkEnd w:id="4"/>
    </w:p>
    <w:p w14:paraId="357B0D01" w14:textId="77777777" w:rsidR="005034D9" w:rsidRPr="001D48D0" w:rsidRDefault="00ED10BE" w:rsidP="007B2319">
      <w:pPr>
        <w:pStyle w:val="BodyText"/>
      </w:pPr>
      <w:r>
        <w:t>This document presents the M</w:t>
      </w:r>
      <w:r w:rsidR="001D48D0" w:rsidRPr="001D48D0">
        <w:t xml:space="preserve">onitoring and Evaluation Plan for the </w:t>
      </w:r>
      <w:r w:rsidR="001D48D0">
        <w:t xml:space="preserve">Sustainable Energy Facility Program (‘the Program’). The purpose of this document is to establish the </w:t>
      </w:r>
      <w:r>
        <w:t xml:space="preserve">framework, processes, and institutional arrangements that will be used to monitor and evaluate the Program. </w:t>
      </w:r>
      <w:r w:rsidR="001D48D0">
        <w:t xml:space="preserve">  </w:t>
      </w:r>
    </w:p>
    <w:p w14:paraId="4CAEBD19" w14:textId="77777777" w:rsidR="00577188" w:rsidRDefault="001408B7" w:rsidP="007B2319">
      <w:pPr>
        <w:pStyle w:val="BodyText"/>
      </w:pPr>
      <w:r w:rsidRPr="00537303">
        <w:t>The Program’s</w:t>
      </w:r>
      <w:r w:rsidR="00F459B9">
        <w:t xml:space="preserve"> </w:t>
      </w:r>
      <w:r w:rsidRPr="00537303">
        <w:t>general objective</w:t>
      </w:r>
      <w:r w:rsidR="00F459B9">
        <w:t xml:space="preserve"> </w:t>
      </w:r>
      <w:r w:rsidRPr="00537303">
        <w:t>is to reduce the Eastern Caribbean</w:t>
      </w:r>
      <w:r w:rsidR="00537303" w:rsidRPr="00537303">
        <w:t>’s</w:t>
      </w:r>
      <w:r w:rsidRPr="00537303">
        <w:t xml:space="preserve"> (‘EC’) dependency on fossil fuels and the cost of power generation and electricity tariffs</w:t>
      </w:r>
      <w:r w:rsidR="00794FEB">
        <w:t xml:space="preserve">. The </w:t>
      </w:r>
      <w:r w:rsidR="00F459B9">
        <w:t>Program</w:t>
      </w:r>
      <w:r w:rsidR="00794FEB">
        <w:t xml:space="preserve"> seeks to achieve these objective</w:t>
      </w:r>
      <w:r w:rsidRPr="00537303">
        <w:t xml:space="preserve"> by: (i) reducing the demand of and expenditures in electricity for street lighting; ii) implementing a regulatory framework and developing the institutional capacity necessary for sustainable energy development; and iii) diversifying the energy matrix. </w:t>
      </w:r>
    </w:p>
    <w:p w14:paraId="66994AD6" w14:textId="77777777" w:rsidR="00794FEB" w:rsidRDefault="001408B7" w:rsidP="007B2319">
      <w:pPr>
        <w:pStyle w:val="BodyText"/>
      </w:pPr>
      <w:r>
        <w:t>The specific objectives</w:t>
      </w:r>
      <w:r w:rsidR="00577188">
        <w:t xml:space="preserve"> of the </w:t>
      </w:r>
      <w:r w:rsidR="00ED10BE">
        <w:t>Program</w:t>
      </w:r>
      <w:r>
        <w:t xml:space="preserve"> are to: (i) </w:t>
      </w:r>
      <w:r w:rsidR="00C045EF">
        <w:t>promote energy efficiency interventions such as installing efficient streetlights or retrofitting government buildings</w:t>
      </w:r>
      <w:r>
        <w:t xml:space="preserve">, ii) develop the institutional and regulatory framework necessary to enable sustainable energy development, and iii) </w:t>
      </w:r>
      <w:r w:rsidR="00537303">
        <w:t xml:space="preserve">push forward the </w:t>
      </w:r>
      <w:r w:rsidR="00577188">
        <w:t xml:space="preserve">development of </w:t>
      </w:r>
      <w:r w:rsidR="00537303">
        <w:t xml:space="preserve">geothermal </w:t>
      </w:r>
      <w:r w:rsidR="00577188">
        <w:t>and other renewable energies</w:t>
      </w:r>
      <w:r w:rsidR="00ED10BE">
        <w:t>.</w:t>
      </w:r>
    </w:p>
    <w:p w14:paraId="21D8DD05" w14:textId="77777777" w:rsidR="001408B7" w:rsidRDefault="001408B7" w:rsidP="007B2319">
      <w:pPr>
        <w:pStyle w:val="BodyText"/>
      </w:pPr>
      <w:r>
        <w:t xml:space="preserve">The </w:t>
      </w:r>
      <w:r w:rsidR="001D48D0">
        <w:t>Program</w:t>
      </w:r>
      <w:r>
        <w:t xml:space="preserve"> consists of the following components: </w:t>
      </w:r>
    </w:p>
    <w:p w14:paraId="17A3C42A" w14:textId="77777777" w:rsidR="00ED10BE" w:rsidRPr="00ED10BE" w:rsidRDefault="001408B7" w:rsidP="00ED10BE">
      <w:pPr>
        <w:pStyle w:val="ListBullet"/>
        <w:rPr>
          <w:sz w:val="23"/>
          <w:szCs w:val="23"/>
        </w:rPr>
      </w:pPr>
      <w:r w:rsidRPr="00ED10BE">
        <w:rPr>
          <w:b/>
          <w:lang w:eastAsia="ja-JP"/>
        </w:rPr>
        <w:t xml:space="preserve">Component I. Energy Efficiency. </w:t>
      </w:r>
      <w:r w:rsidRPr="00ED10BE">
        <w:rPr>
          <w:rStyle w:val="BodyTextChar"/>
          <w:lang w:eastAsia="ja-JP"/>
        </w:rPr>
        <w:t xml:space="preserve">Component I will provide loans </w:t>
      </w:r>
      <w:r w:rsidR="00ED10BE" w:rsidRPr="00ED10BE">
        <w:rPr>
          <w:rStyle w:val="BodyTextChar"/>
        </w:rPr>
        <w:t>to public sector actors to promote EE measures such as: (i) retrofitting government buildings; (ii) installing new or replacing existing streetlights with more efficient ones; (iii) increasing power generation efficiency; and (iv) implementing EE programs for small and medium enterprises (SMEs) and housing projects.</w:t>
      </w:r>
      <w:r w:rsidR="00ED10BE" w:rsidRPr="00ED10BE">
        <w:rPr>
          <w:sz w:val="23"/>
          <w:szCs w:val="23"/>
        </w:rPr>
        <w:t xml:space="preserve"> </w:t>
      </w:r>
    </w:p>
    <w:p w14:paraId="00A92D58" w14:textId="77777777" w:rsidR="001408B7" w:rsidRDefault="001408B7" w:rsidP="001408B7">
      <w:pPr>
        <w:pStyle w:val="ListBullet"/>
        <w:rPr>
          <w:b/>
          <w:lang w:eastAsia="ja-JP"/>
        </w:rPr>
      </w:pPr>
      <w:r>
        <w:rPr>
          <w:b/>
          <w:lang w:eastAsia="ja-JP"/>
        </w:rPr>
        <w:t xml:space="preserve">Component II. Regulatory Framework, Institutional Strengthening, and Capacity Building. </w:t>
      </w:r>
      <w:r>
        <w:rPr>
          <w:lang w:eastAsia="ja-JP"/>
        </w:rPr>
        <w:t>Component II will provide technical assistance to the Executing Agency (‘the EA’) to strengthen its capacity to implement the Sustainable Energy Fund (‘the SEF’), particularly for lending to private sponsors, and to EC countries for: (i) developing an effective legal, policy, and regulatory framework for the implementation of sustainable energy (‘SE’) projects in the region; (ii) strengthen their technical, institutional, environmental, and regulatory capacity; and (iii) acquiring the skills to enable SE development</w:t>
      </w:r>
    </w:p>
    <w:p w14:paraId="753D3147" w14:textId="77777777" w:rsidR="00F30C1E" w:rsidRPr="00FD0F42" w:rsidRDefault="001408B7" w:rsidP="00FD0F42">
      <w:pPr>
        <w:pStyle w:val="ListBullet"/>
        <w:rPr>
          <w:b/>
          <w:lang w:eastAsia="ja-JP"/>
        </w:rPr>
      </w:pPr>
      <w:r w:rsidRPr="00FD0F42">
        <w:rPr>
          <w:b/>
          <w:lang w:eastAsia="ja-JP"/>
        </w:rPr>
        <w:t>Component III. Renewable Energ</w:t>
      </w:r>
      <w:r w:rsidRPr="000A4CBE">
        <w:rPr>
          <w:b/>
          <w:lang w:eastAsia="ja-JP"/>
        </w:rPr>
        <w:t>y</w:t>
      </w:r>
      <w:r w:rsidRPr="00FD0F42">
        <w:rPr>
          <w:b/>
          <w:lang w:eastAsia="ja-JP"/>
        </w:rPr>
        <w:t>.</w:t>
      </w:r>
      <w:r w:rsidRPr="000A4CBE">
        <w:rPr>
          <w:b/>
          <w:lang w:eastAsia="ja-JP"/>
        </w:rPr>
        <w:t xml:space="preserve"> </w:t>
      </w:r>
      <w:r w:rsidR="00FD0F42">
        <w:rPr>
          <w:lang w:eastAsia="ja-JP"/>
        </w:rPr>
        <w:t xml:space="preserve">Component III will provide loans </w:t>
      </w:r>
      <w:r w:rsidR="00F30C1E">
        <w:t xml:space="preserve">to implement RE projects. </w:t>
      </w:r>
      <w:r w:rsidR="00F30C1E" w:rsidRPr="00FD0F42">
        <w:rPr>
          <w:b/>
          <w:bCs/>
        </w:rPr>
        <w:t xml:space="preserve">Sub-component 3A </w:t>
      </w:r>
      <w:r w:rsidR="00F30C1E">
        <w:t xml:space="preserve">will finance intermittent RE public sector projects such as wind power and solar PV. </w:t>
      </w:r>
      <w:r w:rsidR="00F30C1E" w:rsidRPr="00FD0F42">
        <w:rPr>
          <w:b/>
          <w:bCs/>
        </w:rPr>
        <w:t xml:space="preserve">Sub-component 3B </w:t>
      </w:r>
      <w:r w:rsidR="00F30C1E">
        <w:t xml:space="preserve">will finance base-load projects such as GE, hydro and waste to energy projects. Funds for geothermal projects will be made available through a facility called the </w:t>
      </w:r>
      <w:r w:rsidR="00F30C1E" w:rsidRPr="00FD0F42">
        <w:rPr>
          <w:b/>
          <w:bCs/>
        </w:rPr>
        <w:t xml:space="preserve">GeoSmart Facility </w:t>
      </w:r>
      <w:r w:rsidR="00F30C1E">
        <w:t>to address the specific challenges that GE developme</w:t>
      </w:r>
      <w:r w:rsidR="00FD0F42">
        <w:t>nt faces given its risk profile.</w:t>
      </w:r>
      <w:r w:rsidR="00FD0F42">
        <w:rPr>
          <w:rStyle w:val="FootnoteReference"/>
        </w:rPr>
        <w:footnoteReference w:id="2"/>
      </w:r>
      <w:r w:rsidR="00FD0F42">
        <w:t xml:space="preserve"> </w:t>
      </w:r>
      <w:r w:rsidR="00F30C1E">
        <w:t>The GeoSmart Facility will provide a range of financial products to public sector actors and/or public-private partnerships (PPP</w:t>
      </w:r>
      <w:r w:rsidR="00FD0F42">
        <w:t>)</w:t>
      </w:r>
      <w:r w:rsidR="00FD0F42">
        <w:rPr>
          <w:rStyle w:val="FootnoteReference"/>
        </w:rPr>
        <w:footnoteReference w:id="3"/>
      </w:r>
      <w:r w:rsidR="00F30C1E">
        <w:t xml:space="preserve">, customized for each stage of geothermal development: </w:t>
      </w:r>
      <w:r w:rsidR="00FD0F42">
        <w:rPr>
          <w:b/>
          <w:bCs/>
        </w:rPr>
        <w:t>(i</w:t>
      </w:r>
      <w:r w:rsidR="00F30C1E" w:rsidRPr="00FD0F42">
        <w:rPr>
          <w:b/>
          <w:bCs/>
        </w:rPr>
        <w:t xml:space="preserve">) Pre-investment activities </w:t>
      </w:r>
      <w:r w:rsidR="00F30C1E">
        <w:t>for which a mix of grants and concessional lending are best suited to unlock investments will include: (</w:t>
      </w:r>
      <w:r w:rsidR="00FD0F42">
        <w:t>a</w:t>
      </w:r>
      <w:r w:rsidR="00F30C1E">
        <w:t xml:space="preserve">) surface studies (3Gs), including social and </w:t>
      </w:r>
      <w:r w:rsidR="00F30C1E">
        <w:lastRenderedPageBreak/>
        <w:t>environmental impact assessment, and their integratio</w:t>
      </w:r>
      <w:r w:rsidR="00FD0F42">
        <w:t>n; and (b</w:t>
      </w:r>
      <w:r w:rsidR="00F30C1E">
        <w:t xml:space="preserve">) drilling of early exploration wells (slim holes); </w:t>
      </w:r>
      <w:r w:rsidR="00FD0F42">
        <w:rPr>
          <w:b/>
          <w:bCs/>
        </w:rPr>
        <w:t>(ii</w:t>
      </w:r>
      <w:r w:rsidR="00F30C1E" w:rsidRPr="00FD0F42">
        <w:rPr>
          <w:b/>
          <w:bCs/>
        </w:rPr>
        <w:t xml:space="preserve">) exploration activities </w:t>
      </w:r>
      <w:r w:rsidR="00F30C1E">
        <w:t>for which risk mitigation instruments such as contingent recovery grant</w:t>
      </w:r>
      <w:r w:rsidR="00FD0F42">
        <w:t>s are essential will include: (a</w:t>
      </w:r>
      <w:r w:rsidR="00F30C1E">
        <w:t>) exploration drilling p</w:t>
      </w:r>
      <w:r w:rsidR="00FD0F42">
        <w:t>rogram (full size wells); and (b</w:t>
      </w:r>
      <w:r w:rsidR="00F30C1E">
        <w:t xml:space="preserve">) feasibility studies for targeted reservoirs, including social and environmental impact assessment; and </w:t>
      </w:r>
      <w:r w:rsidR="00FD0F42">
        <w:rPr>
          <w:b/>
          <w:bCs/>
        </w:rPr>
        <w:t>(iii</w:t>
      </w:r>
      <w:r w:rsidR="00F30C1E" w:rsidRPr="00FD0F42">
        <w:rPr>
          <w:b/>
          <w:bCs/>
        </w:rPr>
        <w:t xml:space="preserve">) field and power plant development activities </w:t>
      </w:r>
      <w:r w:rsidR="00F30C1E">
        <w:t>for which concessional lending is called for will include: (</w:t>
      </w:r>
      <w:r w:rsidR="00FD0F42">
        <w:t>a</w:t>
      </w:r>
      <w:r w:rsidR="00F30C1E">
        <w:t>) production drilling (production and reinjectio</w:t>
      </w:r>
      <w:r w:rsidR="00FD0F42">
        <w:t>n wells); (b</w:t>
      </w:r>
      <w:r w:rsidR="00F30C1E">
        <w:t>) engineering and constr</w:t>
      </w:r>
      <w:r w:rsidR="00FD0F42">
        <w:t>uction of power plants; and (c</w:t>
      </w:r>
      <w:r w:rsidR="00F30C1E">
        <w:t xml:space="preserve">) substations and transmission lines. </w:t>
      </w:r>
    </w:p>
    <w:p w14:paraId="5AE948D7" w14:textId="77777777" w:rsidR="00373867" w:rsidRDefault="001408B7" w:rsidP="001408B7">
      <w:pPr>
        <w:pStyle w:val="BodyText"/>
        <w:rPr>
          <w:lang w:eastAsia="ja-JP"/>
        </w:rPr>
      </w:pPr>
      <w:r>
        <w:rPr>
          <w:lang w:eastAsia="ja-JP"/>
        </w:rPr>
        <w:t xml:space="preserve">This </w:t>
      </w:r>
      <w:r w:rsidR="00C045EF">
        <w:rPr>
          <w:lang w:eastAsia="ja-JP"/>
        </w:rPr>
        <w:t>M</w:t>
      </w:r>
      <w:r>
        <w:rPr>
          <w:lang w:eastAsia="ja-JP"/>
        </w:rPr>
        <w:t xml:space="preserve">onitoring and </w:t>
      </w:r>
      <w:r w:rsidR="00C045EF">
        <w:rPr>
          <w:lang w:eastAsia="ja-JP"/>
        </w:rPr>
        <w:t>E</w:t>
      </w:r>
      <w:r>
        <w:rPr>
          <w:lang w:eastAsia="ja-JP"/>
        </w:rPr>
        <w:t xml:space="preserve">valuation </w:t>
      </w:r>
      <w:r w:rsidR="00373867">
        <w:rPr>
          <w:lang w:eastAsia="ja-JP"/>
        </w:rPr>
        <w:t xml:space="preserve">(M&amp;E) </w:t>
      </w:r>
      <w:r w:rsidR="00C045EF">
        <w:rPr>
          <w:lang w:eastAsia="ja-JP"/>
        </w:rPr>
        <w:t>P</w:t>
      </w:r>
      <w:r w:rsidR="00373867">
        <w:rPr>
          <w:lang w:eastAsia="ja-JP"/>
        </w:rPr>
        <w:t>lan is organized in two main sections:</w:t>
      </w:r>
    </w:p>
    <w:p w14:paraId="429C40EA" w14:textId="77777777" w:rsidR="00373867" w:rsidRDefault="00373867" w:rsidP="00373867">
      <w:pPr>
        <w:pStyle w:val="ListBullet"/>
        <w:rPr>
          <w:lang w:eastAsia="ja-JP"/>
        </w:rPr>
      </w:pPr>
      <w:r>
        <w:rPr>
          <w:lang w:eastAsia="ja-JP"/>
        </w:rPr>
        <w:t xml:space="preserve">the </w:t>
      </w:r>
      <w:r w:rsidRPr="00377174">
        <w:rPr>
          <w:b/>
          <w:lang w:eastAsia="ja-JP"/>
        </w:rPr>
        <w:t>Monitoring Plan</w:t>
      </w:r>
      <w:r>
        <w:rPr>
          <w:lang w:eastAsia="ja-JP"/>
        </w:rPr>
        <w:t xml:space="preserve"> (Section </w:t>
      </w:r>
      <w:r>
        <w:rPr>
          <w:lang w:eastAsia="ja-JP"/>
        </w:rPr>
        <w:fldChar w:fldCharType="begin"/>
      </w:r>
      <w:r>
        <w:rPr>
          <w:lang w:eastAsia="ja-JP"/>
        </w:rPr>
        <w:instrText xml:space="preserve"> REF _Ref422460354 \r \h </w:instrText>
      </w:r>
      <w:r>
        <w:rPr>
          <w:lang w:eastAsia="ja-JP"/>
        </w:rPr>
      </w:r>
      <w:r>
        <w:rPr>
          <w:lang w:eastAsia="ja-JP"/>
        </w:rPr>
        <w:fldChar w:fldCharType="separate"/>
      </w:r>
      <w:r w:rsidR="006745B9">
        <w:rPr>
          <w:lang w:eastAsia="ja-JP"/>
        </w:rPr>
        <w:t>2</w:t>
      </w:r>
      <w:r>
        <w:rPr>
          <w:lang w:eastAsia="ja-JP"/>
        </w:rPr>
        <w:fldChar w:fldCharType="end"/>
      </w:r>
      <w:r>
        <w:rPr>
          <w:lang w:eastAsia="ja-JP"/>
        </w:rPr>
        <w:t xml:space="preserve">)—presents </w:t>
      </w:r>
      <w:r w:rsidR="008A1381">
        <w:rPr>
          <w:lang w:eastAsia="ja-JP"/>
        </w:rPr>
        <w:t>the indicators used to monitor the Program</w:t>
      </w:r>
      <w:r w:rsidR="003F0208">
        <w:rPr>
          <w:lang w:eastAsia="ja-JP"/>
        </w:rPr>
        <w:t>’s outputs</w:t>
      </w:r>
      <w:r w:rsidR="008A1381">
        <w:rPr>
          <w:lang w:eastAsia="ja-JP"/>
        </w:rPr>
        <w:t xml:space="preserve">, </w:t>
      </w:r>
      <w:r w:rsidR="003F0208">
        <w:rPr>
          <w:lang w:eastAsia="ja-JP"/>
        </w:rPr>
        <w:t>assigns the responsibility for collecting data, defines the instruments used to monitor the Program, and establishes the work plan and budget for monitoring the Program</w:t>
      </w:r>
    </w:p>
    <w:p w14:paraId="7F731E8E" w14:textId="77777777" w:rsidR="00373867" w:rsidRDefault="00373867" w:rsidP="00373867">
      <w:pPr>
        <w:pStyle w:val="ListBullet"/>
        <w:rPr>
          <w:lang w:eastAsia="ja-JP"/>
        </w:rPr>
      </w:pPr>
      <w:r>
        <w:rPr>
          <w:lang w:eastAsia="ja-JP"/>
        </w:rPr>
        <w:t xml:space="preserve">the </w:t>
      </w:r>
      <w:r w:rsidRPr="00377174">
        <w:rPr>
          <w:b/>
          <w:lang w:eastAsia="ja-JP"/>
        </w:rPr>
        <w:t xml:space="preserve">Evaluation Plan </w:t>
      </w:r>
      <w:r>
        <w:rPr>
          <w:lang w:eastAsia="ja-JP"/>
        </w:rPr>
        <w:t xml:space="preserve">(Section </w:t>
      </w:r>
      <w:r>
        <w:rPr>
          <w:lang w:eastAsia="ja-JP"/>
        </w:rPr>
        <w:fldChar w:fldCharType="begin"/>
      </w:r>
      <w:r>
        <w:rPr>
          <w:lang w:eastAsia="ja-JP"/>
        </w:rPr>
        <w:instrText xml:space="preserve"> REF _Ref422460381 \r \h </w:instrText>
      </w:r>
      <w:r>
        <w:rPr>
          <w:lang w:eastAsia="ja-JP"/>
        </w:rPr>
      </w:r>
      <w:r>
        <w:rPr>
          <w:lang w:eastAsia="ja-JP"/>
        </w:rPr>
        <w:fldChar w:fldCharType="separate"/>
      </w:r>
      <w:r w:rsidR="006745B9">
        <w:rPr>
          <w:lang w:eastAsia="ja-JP"/>
        </w:rPr>
        <w:t>3</w:t>
      </w:r>
      <w:r>
        <w:rPr>
          <w:lang w:eastAsia="ja-JP"/>
        </w:rPr>
        <w:fldChar w:fldCharType="end"/>
      </w:r>
      <w:r>
        <w:rPr>
          <w:lang w:eastAsia="ja-JP"/>
        </w:rPr>
        <w:t>)</w:t>
      </w:r>
      <w:r w:rsidR="003F0208">
        <w:rPr>
          <w:lang w:eastAsia="ja-JP"/>
        </w:rPr>
        <w:t xml:space="preserve">—presents the main questions </w:t>
      </w:r>
      <w:r w:rsidR="0002441B">
        <w:rPr>
          <w:lang w:eastAsia="ja-JP"/>
        </w:rPr>
        <w:t xml:space="preserve">the Evaluation Plan addresses, mentions the studies that the Evaluation Plan builds upon, identifies the indicators used to evaluate the Program, and describes the methodology and instruments used to evaluate the results of the Program. </w:t>
      </w:r>
    </w:p>
    <w:p w14:paraId="7E682DB6" w14:textId="77777777" w:rsidR="001408B7" w:rsidRDefault="001408B7" w:rsidP="00373867">
      <w:pPr>
        <w:pStyle w:val="ListBullet"/>
        <w:numPr>
          <w:ilvl w:val="0"/>
          <w:numId w:val="0"/>
        </w:numPr>
        <w:ind w:left="1004" w:hanging="284"/>
        <w:jc w:val="left"/>
        <w:rPr>
          <w:lang w:eastAsia="ja-JP"/>
        </w:rPr>
      </w:pPr>
      <w:r>
        <w:rPr>
          <w:lang w:eastAsia="ja-JP"/>
        </w:rPr>
        <w:br w:type="page"/>
      </w:r>
    </w:p>
    <w:p w14:paraId="7DAE9055" w14:textId="77777777" w:rsidR="001408B7" w:rsidRDefault="001408B7" w:rsidP="00373867">
      <w:pPr>
        <w:pStyle w:val="Heading1"/>
        <w:rPr>
          <w:lang w:eastAsia="ja-JP"/>
        </w:rPr>
      </w:pPr>
      <w:bookmarkStart w:id="5" w:name="_Ref422460354"/>
      <w:bookmarkStart w:id="6" w:name="_Toc424286967"/>
      <w:r>
        <w:rPr>
          <w:lang w:eastAsia="ja-JP"/>
        </w:rPr>
        <w:lastRenderedPageBreak/>
        <w:t>Monitoring</w:t>
      </w:r>
      <w:bookmarkEnd w:id="5"/>
      <w:bookmarkEnd w:id="6"/>
    </w:p>
    <w:p w14:paraId="2CE3F867" w14:textId="77777777" w:rsidR="002F71E8" w:rsidRDefault="002F71E8" w:rsidP="003017C4">
      <w:pPr>
        <w:pStyle w:val="BodyText"/>
        <w:rPr>
          <w:rStyle w:val="SubtleEmphasis"/>
          <w:i w:val="0"/>
          <w:iCs w:val="0"/>
          <w:color w:val="auto"/>
        </w:rPr>
      </w:pPr>
      <w:r>
        <w:rPr>
          <w:rStyle w:val="SubtleEmphasis"/>
          <w:i w:val="0"/>
          <w:iCs w:val="0"/>
          <w:color w:val="auto"/>
        </w:rPr>
        <w:t xml:space="preserve">The Program will be monitored by tracking a set of indicators that measure performance. The monitoring plan defines these indicators and establishes </w:t>
      </w:r>
      <w:r w:rsidR="002925E3">
        <w:rPr>
          <w:rStyle w:val="SubtleEmphasis"/>
          <w:i w:val="0"/>
          <w:iCs w:val="0"/>
          <w:color w:val="auto"/>
        </w:rPr>
        <w:t>the process and institutional arrangemen</w:t>
      </w:r>
      <w:r w:rsidR="003017C4">
        <w:rPr>
          <w:rStyle w:val="SubtleEmphasis"/>
          <w:i w:val="0"/>
          <w:iCs w:val="0"/>
          <w:color w:val="auto"/>
        </w:rPr>
        <w:t xml:space="preserve">ts to monitor these indicators. </w:t>
      </w:r>
      <w:r w:rsidR="002925E3">
        <w:rPr>
          <w:rStyle w:val="SubtleEmphasis"/>
          <w:i w:val="0"/>
          <w:iCs w:val="0"/>
          <w:color w:val="auto"/>
        </w:rPr>
        <w:t xml:space="preserve">Specifically, the monitoring plan describes the instruments </w:t>
      </w:r>
      <w:r w:rsidR="003017C4">
        <w:rPr>
          <w:rStyle w:val="SubtleEmphasis"/>
          <w:i w:val="0"/>
          <w:iCs w:val="0"/>
          <w:color w:val="auto"/>
        </w:rPr>
        <w:t>used to track these indicators, d</w:t>
      </w:r>
      <w:r w:rsidR="002925E3">
        <w:rPr>
          <w:rStyle w:val="SubtleEmphasis"/>
          <w:i w:val="0"/>
          <w:iCs w:val="0"/>
          <w:color w:val="auto"/>
        </w:rPr>
        <w:t>efines the tasks</w:t>
      </w:r>
      <w:r w:rsidR="003017C4">
        <w:rPr>
          <w:rStyle w:val="SubtleEmphasis"/>
          <w:i w:val="0"/>
          <w:iCs w:val="0"/>
          <w:color w:val="auto"/>
        </w:rPr>
        <w:t>, assigns responsibilities,</w:t>
      </w:r>
      <w:r w:rsidR="002925E3">
        <w:rPr>
          <w:rStyle w:val="SubtleEmphasis"/>
          <w:i w:val="0"/>
          <w:iCs w:val="0"/>
          <w:color w:val="auto"/>
        </w:rPr>
        <w:t xml:space="preserve"> and </w:t>
      </w:r>
      <w:r w:rsidR="003017C4">
        <w:rPr>
          <w:rStyle w:val="SubtleEmphasis"/>
          <w:i w:val="0"/>
          <w:iCs w:val="0"/>
          <w:color w:val="auto"/>
        </w:rPr>
        <w:t xml:space="preserve">defines </w:t>
      </w:r>
      <w:r w:rsidR="002925E3">
        <w:rPr>
          <w:rStyle w:val="SubtleEmphasis"/>
          <w:i w:val="0"/>
          <w:iCs w:val="0"/>
          <w:color w:val="auto"/>
        </w:rPr>
        <w:t>budget necessary for preparing these instruments</w:t>
      </w:r>
      <w:r w:rsidR="006531CC">
        <w:rPr>
          <w:rStyle w:val="SubtleEmphasis"/>
          <w:i w:val="0"/>
          <w:iCs w:val="0"/>
          <w:color w:val="auto"/>
        </w:rPr>
        <w:t>.</w:t>
      </w:r>
    </w:p>
    <w:p w14:paraId="40BD5412" w14:textId="77777777" w:rsidR="001408B7" w:rsidRDefault="003D63CA" w:rsidP="001408B7">
      <w:pPr>
        <w:pStyle w:val="Heading2"/>
        <w:rPr>
          <w:lang w:eastAsia="ja-JP"/>
        </w:rPr>
      </w:pPr>
      <w:bookmarkStart w:id="7" w:name="_Ref422239841"/>
      <w:bookmarkStart w:id="8" w:name="_Toc424286968"/>
      <w:r>
        <w:rPr>
          <w:lang w:eastAsia="ja-JP"/>
        </w:rPr>
        <w:t xml:space="preserve">Output </w:t>
      </w:r>
      <w:r w:rsidR="001408B7">
        <w:rPr>
          <w:lang w:eastAsia="ja-JP"/>
        </w:rPr>
        <w:t>Indicators</w:t>
      </w:r>
      <w:bookmarkEnd w:id="7"/>
      <w:bookmarkEnd w:id="8"/>
    </w:p>
    <w:p w14:paraId="3A4F0969" w14:textId="77777777" w:rsidR="00F459B9" w:rsidRDefault="003D63CA" w:rsidP="003017C4">
      <w:pPr>
        <w:pStyle w:val="BodyText"/>
        <w:rPr>
          <w:lang w:eastAsia="ja-JP"/>
        </w:rPr>
      </w:pPr>
      <w:r>
        <w:fldChar w:fldCharType="begin"/>
      </w:r>
      <w:r>
        <w:instrText xml:space="preserve"> REF _Ref422467765 \h </w:instrText>
      </w:r>
      <w:r>
        <w:fldChar w:fldCharType="separate"/>
      </w:r>
      <w:r w:rsidR="006745B9">
        <w:t xml:space="preserve">Table </w:t>
      </w:r>
      <w:r w:rsidR="006745B9">
        <w:rPr>
          <w:noProof/>
        </w:rPr>
        <w:t>2</w:t>
      </w:r>
      <w:r w:rsidR="006745B9">
        <w:t>.</w:t>
      </w:r>
      <w:r w:rsidR="006745B9">
        <w:rPr>
          <w:noProof/>
        </w:rPr>
        <w:t>1</w:t>
      </w:r>
      <w:r>
        <w:fldChar w:fldCharType="end"/>
      </w:r>
      <w:r>
        <w:t xml:space="preserve"> </w:t>
      </w:r>
      <w:r w:rsidR="002F71E8">
        <w:t>present</w:t>
      </w:r>
      <w:r>
        <w:t>s</w:t>
      </w:r>
      <w:r w:rsidR="00CD454D">
        <w:t xml:space="preserve"> the indicators that will be used to measure whether the Program’s outputs are fulfilled. The Program’s outputs are not fixed </w:t>
      </w:r>
      <w:r w:rsidR="003017C4">
        <w:t>in advance as they</w:t>
      </w:r>
      <w:r w:rsidR="00D17782">
        <w:t xml:space="preserve"> will depend on the </w:t>
      </w:r>
      <w:r w:rsidR="003017C4">
        <w:t xml:space="preserve">actual </w:t>
      </w:r>
      <w:r w:rsidR="00D17782">
        <w:t>demand</w:t>
      </w:r>
      <w:r w:rsidR="00F459B9">
        <w:t xml:space="preserve"> of SEF resources</w:t>
      </w:r>
      <w:r w:rsidR="00D17782">
        <w:t xml:space="preserve"> fro</w:t>
      </w:r>
      <w:r w:rsidR="00CD454D">
        <w:t xml:space="preserve">m </w:t>
      </w:r>
      <w:r w:rsidR="00D17782">
        <w:t xml:space="preserve">the </w:t>
      </w:r>
      <w:r w:rsidR="001179B3">
        <w:t>Governments and private sponsors from EC countries</w:t>
      </w:r>
      <w:r w:rsidR="00CD454D">
        <w:t xml:space="preserve">. </w:t>
      </w:r>
      <w:r w:rsidR="00C73539">
        <w:t xml:space="preserve">For example, the exact number of streetlights installed will depend on the </w:t>
      </w:r>
      <w:r w:rsidR="003017C4">
        <w:t xml:space="preserve">street lighting </w:t>
      </w:r>
      <w:r w:rsidR="00D17782">
        <w:t>project</w:t>
      </w:r>
      <w:r w:rsidR="003017C4">
        <w:t>s</w:t>
      </w:r>
      <w:r w:rsidR="00D17782">
        <w:t xml:space="preserve"> defined and </w:t>
      </w:r>
      <w:r w:rsidR="003017C4">
        <w:t xml:space="preserve">resources </w:t>
      </w:r>
      <w:r w:rsidR="00D17782">
        <w:t>requested by th</w:t>
      </w:r>
      <w:r w:rsidR="00C73539">
        <w:t xml:space="preserve">e </w:t>
      </w:r>
      <w:r w:rsidR="001179B3">
        <w:t xml:space="preserve">Governments in </w:t>
      </w:r>
      <w:r w:rsidR="00C73539">
        <w:t xml:space="preserve">EC countries. </w:t>
      </w:r>
      <w:r w:rsidR="00CD454D">
        <w:t xml:space="preserve">As such, the indicators </w:t>
      </w:r>
      <w:r w:rsidR="00083283">
        <w:t xml:space="preserve">are </w:t>
      </w:r>
      <w:r w:rsidR="00CD454D">
        <w:t xml:space="preserve">designed to be </w:t>
      </w:r>
      <w:r w:rsidR="00C73539">
        <w:t xml:space="preserve">flexible </w:t>
      </w:r>
      <w:r w:rsidR="008B154C">
        <w:t>enough</w:t>
      </w:r>
      <w:r w:rsidR="00C73539">
        <w:t xml:space="preserve"> to allow for this variability in quantity of outputs. </w:t>
      </w:r>
      <w:r w:rsidR="00F459B9">
        <w:rPr>
          <w:rStyle w:val="SubtleEmphasis"/>
          <w:i w:val="0"/>
          <w:iCs w:val="0"/>
          <w:color w:val="auto"/>
        </w:rPr>
        <w:t xml:space="preserve">The CDB will be the Executing Agency (‘EA) of the Program </w:t>
      </w:r>
      <w:r w:rsidR="006F4482">
        <w:rPr>
          <w:rStyle w:val="SubtleEmphasis"/>
          <w:i w:val="0"/>
          <w:iCs w:val="0"/>
          <w:color w:val="auto"/>
        </w:rPr>
        <w:t>and therefore the main party responsible for</w:t>
      </w:r>
      <w:r w:rsidR="00F459B9">
        <w:rPr>
          <w:rStyle w:val="SubtleEmphasis"/>
          <w:i w:val="0"/>
          <w:iCs w:val="0"/>
          <w:color w:val="auto"/>
        </w:rPr>
        <w:t xml:space="preserve"> providing inputs to monitor the Program. </w:t>
      </w:r>
    </w:p>
    <w:p w14:paraId="0528D6F1" w14:textId="77777777" w:rsidR="001408B7" w:rsidRDefault="001408B7" w:rsidP="00C73539">
      <w:pPr>
        <w:pStyle w:val="Caption"/>
        <w:spacing w:before="240"/>
      </w:pPr>
      <w:bookmarkStart w:id="9" w:name="_Ref422467765"/>
      <w:bookmarkStart w:id="10" w:name="_Toc423458251"/>
      <w:r>
        <w:t xml:space="preserve">Table </w:t>
      </w:r>
      <w:r w:rsidR="007A04D5">
        <w:fldChar w:fldCharType="begin"/>
      </w:r>
      <w:r w:rsidR="007A04D5">
        <w:instrText xml:space="preserve"> STYLEREF 1 \s </w:instrText>
      </w:r>
      <w:r w:rsidR="007A04D5">
        <w:fldChar w:fldCharType="separate"/>
      </w:r>
      <w:r w:rsidR="006745B9">
        <w:rPr>
          <w:noProof/>
        </w:rPr>
        <w:t>2</w:t>
      </w:r>
      <w:r w:rsidR="007A04D5">
        <w:rPr>
          <w:noProof/>
        </w:rPr>
        <w:fldChar w:fldCharType="end"/>
      </w:r>
      <w:r>
        <w:t>.</w:t>
      </w:r>
      <w:fldSimple w:instr=" SEQ Table \* ARABIC \s 1 ">
        <w:r w:rsidR="006745B9">
          <w:rPr>
            <w:noProof/>
          </w:rPr>
          <w:t>1</w:t>
        </w:r>
      </w:fldSimple>
      <w:bookmarkEnd w:id="9"/>
      <w:r>
        <w:t>: Output</w:t>
      </w:r>
      <w:r w:rsidR="003B063D">
        <w:t xml:space="preserve"> Indicators</w:t>
      </w:r>
      <w:bookmarkEnd w:id="10"/>
    </w:p>
    <w:tbl>
      <w:tblPr>
        <w:tblStyle w:val="TableGrid"/>
        <w:tblW w:w="0" w:type="auto"/>
        <w:tblBorders>
          <w:insideH w:val="single" w:sz="4" w:space="0" w:color="000000"/>
          <w:insideV w:val="single" w:sz="4" w:space="0" w:color="000000"/>
        </w:tblBorders>
        <w:tblLook w:val="04A0" w:firstRow="1" w:lastRow="0" w:firstColumn="1" w:lastColumn="0" w:noHBand="0" w:noVBand="1"/>
      </w:tblPr>
      <w:tblGrid>
        <w:gridCol w:w="2204"/>
        <w:gridCol w:w="2204"/>
        <w:gridCol w:w="2205"/>
        <w:gridCol w:w="2205"/>
      </w:tblGrid>
      <w:tr w:rsidR="001408B7" w14:paraId="32B5A36E" w14:textId="77777777" w:rsidTr="00826246">
        <w:trPr>
          <w:trHeight w:val="305"/>
          <w:tblHeader/>
        </w:trPr>
        <w:tc>
          <w:tcPr>
            <w:tcW w:w="2204" w:type="dxa"/>
            <w:shd w:val="clear" w:color="auto" w:fill="D9D9D9" w:themeFill="background1" w:themeFillShade="D9"/>
            <w:hideMark/>
          </w:tcPr>
          <w:p w14:paraId="0ACA8E35" w14:textId="77777777" w:rsidR="001408B7" w:rsidRPr="00D77A6A" w:rsidRDefault="001408B7" w:rsidP="00C73539">
            <w:pPr>
              <w:pStyle w:val="TableText"/>
              <w:spacing w:before="240"/>
              <w:rPr>
                <w:rFonts w:ascii="Times New Roman" w:hAnsi="Times New Roman"/>
                <w:b/>
              </w:rPr>
            </w:pPr>
            <w:r w:rsidRPr="00D77A6A">
              <w:rPr>
                <w:b/>
              </w:rPr>
              <w:t>Indicator</w:t>
            </w:r>
          </w:p>
        </w:tc>
        <w:tc>
          <w:tcPr>
            <w:tcW w:w="2204" w:type="dxa"/>
            <w:shd w:val="clear" w:color="auto" w:fill="D9D9D9" w:themeFill="background1" w:themeFillShade="D9"/>
            <w:hideMark/>
          </w:tcPr>
          <w:p w14:paraId="17BE32A4" w14:textId="77777777" w:rsidR="001408B7" w:rsidRPr="00D77A6A" w:rsidRDefault="001408B7" w:rsidP="00C73539">
            <w:pPr>
              <w:pStyle w:val="TableText"/>
              <w:spacing w:before="240"/>
              <w:rPr>
                <w:rFonts w:ascii="Times New Roman" w:hAnsi="Times New Roman"/>
                <w:b/>
              </w:rPr>
            </w:pPr>
            <w:r w:rsidRPr="00D77A6A">
              <w:rPr>
                <w:b/>
              </w:rPr>
              <w:t>Description</w:t>
            </w:r>
          </w:p>
        </w:tc>
        <w:tc>
          <w:tcPr>
            <w:tcW w:w="2205" w:type="dxa"/>
            <w:shd w:val="clear" w:color="auto" w:fill="D9D9D9" w:themeFill="background1" w:themeFillShade="D9"/>
            <w:hideMark/>
          </w:tcPr>
          <w:p w14:paraId="76A97792" w14:textId="77777777" w:rsidR="001408B7" w:rsidRPr="00D77A6A" w:rsidRDefault="001408B7" w:rsidP="00C73539">
            <w:pPr>
              <w:pStyle w:val="TableText"/>
              <w:spacing w:before="240"/>
              <w:rPr>
                <w:rFonts w:ascii="Times New Roman" w:hAnsi="Times New Roman"/>
                <w:b/>
              </w:rPr>
            </w:pPr>
            <w:r w:rsidRPr="00D77A6A">
              <w:rPr>
                <w:b/>
              </w:rPr>
              <w:t xml:space="preserve">Frequency of Measurement </w:t>
            </w:r>
          </w:p>
        </w:tc>
        <w:tc>
          <w:tcPr>
            <w:tcW w:w="2205" w:type="dxa"/>
            <w:shd w:val="clear" w:color="auto" w:fill="D9D9D9" w:themeFill="background1" w:themeFillShade="D9"/>
            <w:hideMark/>
          </w:tcPr>
          <w:p w14:paraId="5E5D0C81" w14:textId="77777777" w:rsidR="001408B7" w:rsidRPr="00D77A6A" w:rsidRDefault="001408B7" w:rsidP="00C73539">
            <w:pPr>
              <w:pStyle w:val="TableText"/>
              <w:spacing w:before="240"/>
              <w:rPr>
                <w:rFonts w:ascii="Times New Roman" w:hAnsi="Times New Roman"/>
                <w:b/>
              </w:rPr>
            </w:pPr>
            <w:r w:rsidRPr="00D77A6A">
              <w:rPr>
                <w:b/>
              </w:rPr>
              <w:t>Source of Verification</w:t>
            </w:r>
          </w:p>
        </w:tc>
      </w:tr>
      <w:tr w:rsidR="001408B7" w14:paraId="54D5D81F" w14:textId="77777777" w:rsidTr="00826246">
        <w:trPr>
          <w:trHeight w:val="68"/>
        </w:trPr>
        <w:tc>
          <w:tcPr>
            <w:tcW w:w="8818" w:type="dxa"/>
            <w:gridSpan w:val="4"/>
            <w:shd w:val="clear" w:color="auto" w:fill="BFBFBF" w:themeFill="background1" w:themeFillShade="BF"/>
            <w:hideMark/>
          </w:tcPr>
          <w:p w14:paraId="7D4B8262" w14:textId="77777777" w:rsidR="001408B7" w:rsidRPr="00D77A6A" w:rsidRDefault="001408B7" w:rsidP="00D77A6A">
            <w:pPr>
              <w:pStyle w:val="TableText"/>
              <w:rPr>
                <w:rFonts w:ascii="Times New Roman" w:hAnsi="Times New Roman"/>
                <w:b/>
              </w:rPr>
            </w:pPr>
            <w:r w:rsidRPr="00D77A6A">
              <w:rPr>
                <w:b/>
              </w:rPr>
              <w:t>Component I: Energy Efficiency</w:t>
            </w:r>
          </w:p>
        </w:tc>
      </w:tr>
      <w:tr w:rsidR="001408B7" w14:paraId="7F77DA29" w14:textId="77777777" w:rsidTr="00826246">
        <w:tc>
          <w:tcPr>
            <w:tcW w:w="2204" w:type="dxa"/>
            <w:hideMark/>
          </w:tcPr>
          <w:p w14:paraId="2AD0F41B" w14:textId="4102D93A" w:rsidR="001C77BB" w:rsidRDefault="003B743B" w:rsidP="00D77A6A">
            <w:pPr>
              <w:pStyle w:val="TableText"/>
              <w:rPr>
                <w:rFonts w:ascii="Times New Roman" w:hAnsi="Times New Roman"/>
              </w:rPr>
            </w:pPr>
            <w:r w:rsidRPr="003B743B">
              <w:t>Loans provided to energy efficiency projects with resources form the Program.</w:t>
            </w:r>
          </w:p>
        </w:tc>
        <w:tc>
          <w:tcPr>
            <w:tcW w:w="2204" w:type="dxa"/>
            <w:hideMark/>
          </w:tcPr>
          <w:p w14:paraId="2D31774B" w14:textId="05D1AE09" w:rsidR="001408B7" w:rsidRDefault="001408B7" w:rsidP="004E7C58">
            <w:pPr>
              <w:pStyle w:val="TableText"/>
              <w:rPr>
                <w:rFonts w:ascii="Times New Roman" w:hAnsi="Times New Roman"/>
              </w:rPr>
            </w:pPr>
            <w:r>
              <w:t xml:space="preserve">Measures the number of loans </w:t>
            </w:r>
            <w:r w:rsidR="004E7C58">
              <w:t xml:space="preserve">provided for </w:t>
            </w:r>
            <w:r w:rsidR="0067679E">
              <w:t>energy efficiency projects</w:t>
            </w:r>
          </w:p>
        </w:tc>
        <w:tc>
          <w:tcPr>
            <w:tcW w:w="2205" w:type="dxa"/>
            <w:hideMark/>
          </w:tcPr>
          <w:p w14:paraId="5DBA36A9" w14:textId="747D7483" w:rsidR="001408B7" w:rsidRDefault="00797CC5" w:rsidP="00366B0D">
            <w:pPr>
              <w:pStyle w:val="TableText"/>
              <w:rPr>
                <w:rFonts w:ascii="Times New Roman" w:hAnsi="Times New Roman"/>
              </w:rPr>
            </w:pPr>
            <w:r>
              <w:t xml:space="preserve">Semi-annually </w:t>
            </w:r>
            <w:r w:rsidR="00366B0D">
              <w:t>and at completion of the execution period</w:t>
            </w:r>
          </w:p>
        </w:tc>
        <w:tc>
          <w:tcPr>
            <w:tcW w:w="2205" w:type="dxa"/>
            <w:hideMark/>
          </w:tcPr>
          <w:p w14:paraId="4BCFD6FF" w14:textId="77777777" w:rsidR="001408B7" w:rsidRDefault="001408B7" w:rsidP="00D77A6A">
            <w:pPr>
              <w:pStyle w:val="TableText"/>
              <w:rPr>
                <w:rFonts w:ascii="Times New Roman" w:hAnsi="Times New Roman"/>
              </w:rPr>
            </w:pPr>
            <w:r>
              <w:t>Reports from CDB</w:t>
            </w:r>
          </w:p>
        </w:tc>
      </w:tr>
      <w:tr w:rsidR="001408B7" w14:paraId="004443C3" w14:textId="77777777" w:rsidTr="00826246">
        <w:trPr>
          <w:trHeight w:val="68"/>
        </w:trPr>
        <w:tc>
          <w:tcPr>
            <w:tcW w:w="8818" w:type="dxa"/>
            <w:gridSpan w:val="4"/>
            <w:shd w:val="clear" w:color="auto" w:fill="BFBFBF" w:themeFill="background1" w:themeFillShade="BF"/>
            <w:hideMark/>
          </w:tcPr>
          <w:p w14:paraId="33F95BD2" w14:textId="77777777" w:rsidR="001408B7" w:rsidRPr="00D77A6A" w:rsidRDefault="001408B7" w:rsidP="00D77A6A">
            <w:pPr>
              <w:pStyle w:val="TableText"/>
              <w:rPr>
                <w:rFonts w:ascii="Times New Roman" w:hAnsi="Times New Roman"/>
                <w:b/>
              </w:rPr>
            </w:pPr>
            <w:r w:rsidRPr="00D77A6A">
              <w:rPr>
                <w:b/>
              </w:rPr>
              <w:t>Component II: Regulatory Framework, Institutional Strengthening, and Capacity Building</w:t>
            </w:r>
          </w:p>
        </w:tc>
      </w:tr>
      <w:tr w:rsidR="003B743B" w14:paraId="2AF44B9E" w14:textId="77777777" w:rsidTr="00826246">
        <w:tc>
          <w:tcPr>
            <w:tcW w:w="2204" w:type="dxa"/>
          </w:tcPr>
          <w:p w14:paraId="54AAA23A" w14:textId="49E41CAA" w:rsidR="003B743B" w:rsidRDefault="00797CC5" w:rsidP="00D77A6A">
            <w:pPr>
              <w:pStyle w:val="TableText"/>
            </w:pPr>
            <w:r w:rsidRPr="00797CC5">
              <w:t>Energy policy reforms or recommendations for energy policy reform provided to and implemented by governments in ECC.</w:t>
            </w:r>
          </w:p>
        </w:tc>
        <w:tc>
          <w:tcPr>
            <w:tcW w:w="2204" w:type="dxa"/>
          </w:tcPr>
          <w:p w14:paraId="311E7C5D" w14:textId="31034E08" w:rsidR="003B743B" w:rsidRPr="002D639B" w:rsidRDefault="003B743B" w:rsidP="00797CC5">
            <w:pPr>
              <w:pStyle w:val="TableText"/>
            </w:pPr>
            <w:r>
              <w:t xml:space="preserve">Measures the number of </w:t>
            </w:r>
            <w:r w:rsidR="00797CC5">
              <w:t>ECC receiving and/or implementing policy reforms</w:t>
            </w:r>
          </w:p>
        </w:tc>
        <w:tc>
          <w:tcPr>
            <w:tcW w:w="2205" w:type="dxa"/>
          </w:tcPr>
          <w:p w14:paraId="7995C7D6" w14:textId="2329CA3C" w:rsidR="003B743B" w:rsidRDefault="00797CC5" w:rsidP="00FB12ED">
            <w:pPr>
              <w:pStyle w:val="TableText"/>
            </w:pPr>
            <w:r>
              <w:t>Semi-annually and at completion of the execution period</w:t>
            </w:r>
          </w:p>
        </w:tc>
        <w:tc>
          <w:tcPr>
            <w:tcW w:w="2205" w:type="dxa"/>
          </w:tcPr>
          <w:p w14:paraId="02204499" w14:textId="0CF87310" w:rsidR="003B743B" w:rsidRDefault="003B743B" w:rsidP="00D77A6A">
            <w:pPr>
              <w:pStyle w:val="TableText"/>
            </w:pPr>
            <w:r>
              <w:t xml:space="preserve">Reports from CDB </w:t>
            </w:r>
          </w:p>
        </w:tc>
      </w:tr>
      <w:tr w:rsidR="003B743B" w14:paraId="11A5143E" w14:textId="77777777" w:rsidTr="00826246">
        <w:tc>
          <w:tcPr>
            <w:tcW w:w="2204" w:type="dxa"/>
            <w:hideMark/>
          </w:tcPr>
          <w:p w14:paraId="55E8335B" w14:textId="4CD27F7D" w:rsidR="003B743B" w:rsidRPr="002D639B" w:rsidRDefault="003B743B" w:rsidP="00D77A6A">
            <w:pPr>
              <w:pStyle w:val="TableText"/>
              <w:rPr>
                <w:rFonts w:ascii="Times New Roman" w:hAnsi="Times New Roman"/>
                <w:sz w:val="24"/>
                <w:szCs w:val="22"/>
              </w:rPr>
            </w:pPr>
            <w:r>
              <w:t xml:space="preserve">Trainings provided to the EA and/or government employees with resources from the Program  </w:t>
            </w:r>
          </w:p>
        </w:tc>
        <w:tc>
          <w:tcPr>
            <w:tcW w:w="2204" w:type="dxa"/>
            <w:hideMark/>
          </w:tcPr>
          <w:p w14:paraId="0F572CD0" w14:textId="096F094C" w:rsidR="003B743B" w:rsidRDefault="003B743B" w:rsidP="0052214A">
            <w:pPr>
              <w:pStyle w:val="TableText"/>
            </w:pPr>
            <w:r w:rsidRPr="002D639B">
              <w:t>Measures the number of trainings provided to the EA</w:t>
            </w:r>
            <w:r>
              <w:t xml:space="preserve"> and/or government employees</w:t>
            </w:r>
          </w:p>
          <w:p w14:paraId="1E5EE9E0" w14:textId="77777777" w:rsidR="003B743B" w:rsidRDefault="003B743B" w:rsidP="0052214A">
            <w:pPr>
              <w:pStyle w:val="TableText"/>
            </w:pPr>
          </w:p>
          <w:p w14:paraId="480707A5" w14:textId="2B4D2ACE" w:rsidR="003B743B" w:rsidRPr="002D639B" w:rsidRDefault="003B743B" w:rsidP="00070CB8">
            <w:pPr>
              <w:pStyle w:val="TableText"/>
              <w:rPr>
                <w:rFonts w:ascii="Times New Roman" w:hAnsi="Times New Roman"/>
              </w:rPr>
            </w:pPr>
          </w:p>
        </w:tc>
        <w:tc>
          <w:tcPr>
            <w:tcW w:w="2205" w:type="dxa"/>
            <w:hideMark/>
          </w:tcPr>
          <w:p w14:paraId="50BD2825" w14:textId="5A468707" w:rsidR="003B743B" w:rsidRDefault="00797CC5" w:rsidP="00FB12ED">
            <w:pPr>
              <w:pStyle w:val="TableText"/>
              <w:rPr>
                <w:rFonts w:ascii="Times New Roman" w:hAnsi="Times New Roman"/>
              </w:rPr>
            </w:pPr>
            <w:r>
              <w:t>Semi-annually and at completion of the execution period</w:t>
            </w:r>
          </w:p>
        </w:tc>
        <w:tc>
          <w:tcPr>
            <w:tcW w:w="2205" w:type="dxa"/>
            <w:hideMark/>
          </w:tcPr>
          <w:p w14:paraId="03BA002B" w14:textId="77777777" w:rsidR="003B743B" w:rsidRDefault="003B743B" w:rsidP="00D77A6A">
            <w:pPr>
              <w:pStyle w:val="TableText"/>
              <w:rPr>
                <w:rFonts w:ascii="Times New Roman" w:hAnsi="Times New Roman"/>
              </w:rPr>
            </w:pPr>
            <w:r>
              <w:t>Reports from CDB</w:t>
            </w:r>
          </w:p>
        </w:tc>
      </w:tr>
      <w:tr w:rsidR="003B743B" w14:paraId="47D13776" w14:textId="77777777" w:rsidTr="00826246">
        <w:tc>
          <w:tcPr>
            <w:tcW w:w="2204" w:type="dxa"/>
            <w:hideMark/>
          </w:tcPr>
          <w:p w14:paraId="1E6DC295" w14:textId="7216F106" w:rsidR="003B743B" w:rsidRPr="00C5467D" w:rsidRDefault="003B743B" w:rsidP="00A5323B">
            <w:pPr>
              <w:pStyle w:val="TableText"/>
              <w:rPr>
                <w:rFonts w:ascii="Times New Roman" w:hAnsi="Times New Roman"/>
                <w:sz w:val="24"/>
                <w:szCs w:val="22"/>
              </w:rPr>
            </w:pPr>
            <w:r>
              <w:t xml:space="preserve">Grants provided for technical assistance to Governments in EC countries </w:t>
            </w:r>
            <w:r w:rsidRPr="00C5467D">
              <w:t xml:space="preserve">with </w:t>
            </w:r>
            <w:r>
              <w:t>resources from the Program</w:t>
            </w:r>
          </w:p>
        </w:tc>
        <w:tc>
          <w:tcPr>
            <w:tcW w:w="2204" w:type="dxa"/>
            <w:hideMark/>
          </w:tcPr>
          <w:p w14:paraId="73CE8606" w14:textId="0E1A4CC0" w:rsidR="003B743B" w:rsidRPr="00C5467D" w:rsidRDefault="003B743B" w:rsidP="003B743B">
            <w:pPr>
              <w:pStyle w:val="TableText"/>
              <w:rPr>
                <w:rFonts w:ascii="Times New Roman" w:hAnsi="Times New Roman"/>
              </w:rPr>
            </w:pPr>
            <w:r w:rsidRPr="00C5467D">
              <w:t xml:space="preserve">Measures the </w:t>
            </w:r>
            <w:r>
              <w:t>number of EC countries receiving grants</w:t>
            </w:r>
          </w:p>
        </w:tc>
        <w:tc>
          <w:tcPr>
            <w:tcW w:w="2205" w:type="dxa"/>
            <w:hideMark/>
          </w:tcPr>
          <w:p w14:paraId="54F88159" w14:textId="2AB055C7" w:rsidR="003B743B" w:rsidRDefault="00797CC5" w:rsidP="003B743B">
            <w:pPr>
              <w:pStyle w:val="TableText"/>
              <w:rPr>
                <w:rFonts w:ascii="Times New Roman" w:hAnsi="Times New Roman"/>
              </w:rPr>
            </w:pPr>
            <w:r>
              <w:t>Semi-annually and at completion of the execution period</w:t>
            </w:r>
          </w:p>
        </w:tc>
        <w:tc>
          <w:tcPr>
            <w:tcW w:w="2205" w:type="dxa"/>
            <w:hideMark/>
          </w:tcPr>
          <w:p w14:paraId="5C872632" w14:textId="77777777" w:rsidR="003B743B" w:rsidRDefault="003B743B" w:rsidP="00FB12ED">
            <w:pPr>
              <w:pStyle w:val="TableText"/>
              <w:rPr>
                <w:rFonts w:ascii="Times New Roman" w:hAnsi="Times New Roman"/>
              </w:rPr>
            </w:pPr>
            <w:r>
              <w:t xml:space="preserve">Reports from CDB </w:t>
            </w:r>
          </w:p>
        </w:tc>
      </w:tr>
      <w:tr w:rsidR="003B743B" w14:paraId="4F712E13" w14:textId="77777777" w:rsidTr="00826246">
        <w:tc>
          <w:tcPr>
            <w:tcW w:w="8818" w:type="dxa"/>
            <w:gridSpan w:val="4"/>
            <w:shd w:val="clear" w:color="auto" w:fill="BFBFBF" w:themeFill="background1" w:themeFillShade="BF"/>
            <w:hideMark/>
          </w:tcPr>
          <w:p w14:paraId="50FE8640" w14:textId="56D7083F" w:rsidR="003B743B" w:rsidRPr="00D77A6A" w:rsidRDefault="003B743B" w:rsidP="003C54B2">
            <w:pPr>
              <w:pStyle w:val="TableText"/>
              <w:rPr>
                <w:rFonts w:ascii="Times New Roman" w:hAnsi="Times New Roman"/>
                <w:b/>
                <w:sz w:val="24"/>
                <w:szCs w:val="22"/>
              </w:rPr>
            </w:pPr>
            <w:r w:rsidRPr="00D77A6A">
              <w:rPr>
                <w:b/>
              </w:rPr>
              <w:lastRenderedPageBreak/>
              <w:t xml:space="preserve">Component </w:t>
            </w:r>
            <w:r w:rsidR="003C54B2">
              <w:rPr>
                <w:b/>
              </w:rPr>
              <w:t>III</w:t>
            </w:r>
            <w:r w:rsidRPr="00D77A6A">
              <w:rPr>
                <w:b/>
              </w:rPr>
              <w:t xml:space="preserve"> – Renewable Energy</w:t>
            </w:r>
          </w:p>
        </w:tc>
      </w:tr>
      <w:tr w:rsidR="003B743B" w14:paraId="23A5622F" w14:textId="77777777" w:rsidTr="00826246">
        <w:tc>
          <w:tcPr>
            <w:tcW w:w="2204" w:type="dxa"/>
            <w:hideMark/>
          </w:tcPr>
          <w:p w14:paraId="76FD4174" w14:textId="7D82A421" w:rsidR="003B743B" w:rsidRDefault="003B743B" w:rsidP="003C54B2">
            <w:pPr>
              <w:pStyle w:val="TableText"/>
              <w:rPr>
                <w:rFonts w:ascii="Times New Roman" w:hAnsi="Times New Roman"/>
              </w:rPr>
            </w:pPr>
            <w:r>
              <w:t xml:space="preserve">Loans </w:t>
            </w:r>
            <w:r w:rsidR="003C54B2">
              <w:t>provided</w:t>
            </w:r>
            <w:r>
              <w:t xml:space="preserve"> to geothermal projects  at any stage of development </w:t>
            </w:r>
            <w:r w:rsidR="003C54B2">
              <w:t xml:space="preserve">with resources from </w:t>
            </w:r>
            <w:r>
              <w:t>the Program</w:t>
            </w:r>
          </w:p>
        </w:tc>
        <w:tc>
          <w:tcPr>
            <w:tcW w:w="2204" w:type="dxa"/>
          </w:tcPr>
          <w:p w14:paraId="6CC4E9FC" w14:textId="77777777" w:rsidR="003B743B" w:rsidRDefault="003B743B" w:rsidP="0067679E">
            <w:pPr>
              <w:pStyle w:val="TableText"/>
            </w:pPr>
            <w:r>
              <w:t>Measures the number of loans granted for geothermal projects</w:t>
            </w:r>
          </w:p>
        </w:tc>
        <w:tc>
          <w:tcPr>
            <w:tcW w:w="2205" w:type="dxa"/>
            <w:hideMark/>
          </w:tcPr>
          <w:p w14:paraId="595169A6" w14:textId="68D056C0" w:rsidR="003B743B" w:rsidRPr="00601D40" w:rsidRDefault="00797CC5" w:rsidP="00FB12ED">
            <w:pPr>
              <w:pStyle w:val="TableText"/>
              <w:rPr>
                <w:rFonts w:ascii="Times New Roman" w:hAnsi="Times New Roman"/>
              </w:rPr>
            </w:pPr>
            <w:r>
              <w:t>Semi-annually and at completion of the execution period</w:t>
            </w:r>
            <w:r w:rsidRPr="00601D40">
              <w:rPr>
                <w:rFonts w:ascii="Times New Roman" w:hAnsi="Times New Roman"/>
              </w:rPr>
              <w:t xml:space="preserve"> </w:t>
            </w:r>
          </w:p>
        </w:tc>
        <w:tc>
          <w:tcPr>
            <w:tcW w:w="2205" w:type="dxa"/>
            <w:hideMark/>
          </w:tcPr>
          <w:p w14:paraId="234EDDF2" w14:textId="77777777" w:rsidR="003B743B" w:rsidRDefault="003B743B" w:rsidP="00D77A6A">
            <w:pPr>
              <w:pStyle w:val="TableText"/>
              <w:rPr>
                <w:rFonts w:ascii="Times New Roman" w:hAnsi="Times New Roman"/>
              </w:rPr>
            </w:pPr>
            <w:r>
              <w:t>Reports from CDB</w:t>
            </w:r>
          </w:p>
        </w:tc>
      </w:tr>
      <w:tr w:rsidR="003C54B2" w14:paraId="31005840" w14:textId="77777777" w:rsidTr="00826246">
        <w:tc>
          <w:tcPr>
            <w:tcW w:w="2204" w:type="dxa"/>
          </w:tcPr>
          <w:p w14:paraId="6EFA432F" w14:textId="2B392D6F" w:rsidR="003C54B2" w:rsidRDefault="003C54B2" w:rsidP="004E7C58">
            <w:pPr>
              <w:pStyle w:val="TableText"/>
            </w:pPr>
            <w:r>
              <w:t xml:space="preserve">Loans provided to finance </w:t>
            </w:r>
            <w:r w:rsidRPr="00C67D03">
              <w:t xml:space="preserve">transmission lines </w:t>
            </w:r>
            <w:r>
              <w:t>required for connecting geothermal plants to the power grid</w:t>
            </w:r>
          </w:p>
        </w:tc>
        <w:tc>
          <w:tcPr>
            <w:tcW w:w="2204" w:type="dxa"/>
          </w:tcPr>
          <w:p w14:paraId="11F05C23" w14:textId="2F3886F2" w:rsidR="003C54B2" w:rsidRDefault="003C54B2" w:rsidP="0067679E">
            <w:pPr>
              <w:pStyle w:val="TableText"/>
            </w:pPr>
            <w:r>
              <w:t>Number of loans for transmission and distribution projects</w:t>
            </w:r>
          </w:p>
        </w:tc>
        <w:tc>
          <w:tcPr>
            <w:tcW w:w="2205" w:type="dxa"/>
          </w:tcPr>
          <w:p w14:paraId="4D0B5A25" w14:textId="716E3C28" w:rsidR="003C54B2" w:rsidRPr="00601D40" w:rsidRDefault="00797CC5" w:rsidP="00366B0D">
            <w:pPr>
              <w:pStyle w:val="TableText"/>
            </w:pPr>
            <w:r>
              <w:t>Semi-annually and at completion of the execution period</w:t>
            </w:r>
            <w:r w:rsidRPr="00601D40">
              <w:t xml:space="preserve"> </w:t>
            </w:r>
          </w:p>
        </w:tc>
        <w:tc>
          <w:tcPr>
            <w:tcW w:w="2205" w:type="dxa"/>
          </w:tcPr>
          <w:p w14:paraId="478E1675" w14:textId="6C905B49" w:rsidR="003C54B2" w:rsidRDefault="003C54B2" w:rsidP="00A5323B">
            <w:pPr>
              <w:pStyle w:val="TableText"/>
            </w:pPr>
            <w:r>
              <w:t>Program report from EA with information from the projects, the utilities, and the Governments in the EC countries</w:t>
            </w:r>
          </w:p>
        </w:tc>
      </w:tr>
    </w:tbl>
    <w:p w14:paraId="64CA17AC" w14:textId="77777777" w:rsidR="001408B7" w:rsidRPr="00BF79E8" w:rsidRDefault="001408B7">
      <w:pPr>
        <w:pStyle w:val="TableText"/>
      </w:pPr>
    </w:p>
    <w:p w14:paraId="37FB0D02" w14:textId="77777777" w:rsidR="001408B7" w:rsidRDefault="001408B7">
      <w:pPr>
        <w:pStyle w:val="TableorFigureEnd"/>
      </w:pPr>
    </w:p>
    <w:p w14:paraId="352ED24E" w14:textId="77777777" w:rsidR="006D4AA4" w:rsidRDefault="006D4AA4" w:rsidP="007B2319">
      <w:pPr>
        <w:pStyle w:val="BodyText"/>
      </w:pPr>
      <w:r w:rsidRPr="006D4AA4">
        <w:fldChar w:fldCharType="begin"/>
      </w:r>
      <w:r w:rsidRPr="006D4AA4">
        <w:instrText xml:space="preserve"> REF _Ref422893208 \h </w:instrText>
      </w:r>
      <w:r>
        <w:instrText xml:space="preserve"> \* MERGEFORMAT </w:instrText>
      </w:r>
      <w:r w:rsidRPr="006D4AA4">
        <w:fldChar w:fldCharType="separate"/>
      </w:r>
      <w:r w:rsidR="006745B9">
        <w:t xml:space="preserve">Table </w:t>
      </w:r>
      <w:r w:rsidR="006745B9">
        <w:rPr>
          <w:noProof/>
        </w:rPr>
        <w:t>2.2</w:t>
      </w:r>
      <w:r w:rsidRPr="006D4AA4">
        <w:fldChar w:fldCharType="end"/>
      </w:r>
      <w:r>
        <w:t xml:space="preserve"> presents the planned annual disbursements from the </w:t>
      </w:r>
      <w:r w:rsidR="007B2319">
        <w:t>Program for each of the outputs.</w:t>
      </w:r>
      <w:r w:rsidR="007C35C5">
        <w:t xml:space="preserve"> </w:t>
      </w:r>
      <w:r w:rsidR="007B2319">
        <w:t>The disbursements are based on the indicative pipeline of projects to be financed by the Program</w:t>
      </w:r>
      <w:r w:rsidR="004F10AE">
        <w:t xml:space="preserve"> and the indicative allocations of Program resources </w:t>
      </w:r>
      <w:r w:rsidR="007516F1">
        <w:t>between</w:t>
      </w:r>
      <w:r w:rsidR="004F10AE">
        <w:t xml:space="preserve"> projects</w:t>
      </w:r>
      <w:r w:rsidR="007516F1">
        <w:t>.</w:t>
      </w:r>
      <w:r w:rsidR="007B2319">
        <w:rPr>
          <w:rStyle w:val="FootnoteReference"/>
        </w:rPr>
        <w:footnoteReference w:id="4"/>
      </w:r>
      <w:r w:rsidR="007B2319">
        <w:t xml:space="preserve"> </w:t>
      </w:r>
      <w:r w:rsidR="007C35C5">
        <w:t>The table shows that the Program</w:t>
      </w:r>
      <w:r w:rsidR="0093137E">
        <w:t>’</w:t>
      </w:r>
      <w:r w:rsidR="007C35C5">
        <w:t xml:space="preserve">s largest disbursements are estimated to occur </w:t>
      </w:r>
      <w:r w:rsidR="0029586D">
        <w:t>in the first two years of Program operation.</w:t>
      </w:r>
      <w:r w:rsidR="007B2319">
        <w:t xml:space="preserve"> </w:t>
      </w:r>
      <w:r w:rsidR="007C35C5">
        <w:t xml:space="preserve">The IDB and </w:t>
      </w:r>
      <w:r w:rsidR="007B2319">
        <w:t xml:space="preserve">the </w:t>
      </w:r>
      <w:r w:rsidR="007C35C5">
        <w:t>EA will refine these planned financial disbursements at the start of the Program</w:t>
      </w:r>
      <w:r w:rsidR="007B2319">
        <w:t xml:space="preserve"> when the project pipeline has been advanced</w:t>
      </w:r>
      <w:r w:rsidR="007C35C5">
        <w:t xml:space="preserve">. The IDB will include these planned disbursements as targets in the Project Monitoring Report </w:t>
      </w:r>
      <w:r w:rsidR="002A4FDD">
        <w:t xml:space="preserve">(PMR) </w:t>
      </w:r>
      <w:r w:rsidR="007C35C5">
        <w:t xml:space="preserve">and will </w:t>
      </w:r>
      <w:r w:rsidR="002A4FDD">
        <w:t xml:space="preserve">track </w:t>
      </w:r>
      <w:r w:rsidR="007C35C5">
        <w:t xml:space="preserve">actual disbursements </w:t>
      </w:r>
      <w:r w:rsidR="002A4FDD">
        <w:t xml:space="preserve">against these targets to monitor the progress of financial disbursements during implementation. </w:t>
      </w:r>
    </w:p>
    <w:p w14:paraId="47806D8B" w14:textId="77777777" w:rsidR="00630CA6" w:rsidRDefault="00630CA6">
      <w:pPr>
        <w:pStyle w:val="Caption"/>
      </w:pPr>
      <w:bookmarkStart w:id="11" w:name="_Ref422893208"/>
      <w:bookmarkStart w:id="12" w:name="_Toc423458252"/>
      <w:r>
        <w:t xml:space="preserve">Table </w:t>
      </w:r>
      <w:r w:rsidR="007A04D5">
        <w:fldChar w:fldCharType="begin"/>
      </w:r>
      <w:r w:rsidR="007A04D5">
        <w:instrText xml:space="preserve"> STYLEREF 1 \s </w:instrText>
      </w:r>
      <w:r w:rsidR="007A04D5">
        <w:fldChar w:fldCharType="separate"/>
      </w:r>
      <w:r w:rsidR="006745B9">
        <w:rPr>
          <w:noProof/>
        </w:rPr>
        <w:t>2</w:t>
      </w:r>
      <w:r w:rsidR="007A04D5">
        <w:rPr>
          <w:noProof/>
        </w:rPr>
        <w:fldChar w:fldCharType="end"/>
      </w:r>
      <w:r>
        <w:t>.</w:t>
      </w:r>
      <w:fldSimple w:instr=" SEQ Table \* ARABIC \s 1 ">
        <w:r w:rsidR="006745B9">
          <w:rPr>
            <w:noProof/>
          </w:rPr>
          <w:t>2</w:t>
        </w:r>
      </w:fldSimple>
      <w:bookmarkEnd w:id="11"/>
      <w:r>
        <w:t>: Annual Costs by Output</w:t>
      </w:r>
      <w:r w:rsidR="00231DB9">
        <w:t xml:space="preserve"> (US$</w:t>
      </w:r>
      <w:r w:rsidR="004F10AE">
        <w:t xml:space="preserve"> millions</w:t>
      </w:r>
      <w:r w:rsidR="00231DB9">
        <w:t>)</w:t>
      </w:r>
      <w:bookmarkEnd w:id="12"/>
    </w:p>
    <w:tbl>
      <w:tblPr>
        <w:tblW w:w="5178" w:type="pct"/>
        <w:tblInd w:w="-252" w:type="dxa"/>
        <w:tblLook w:val="04A0" w:firstRow="1" w:lastRow="0" w:firstColumn="1" w:lastColumn="0" w:noHBand="0" w:noVBand="1"/>
      </w:tblPr>
      <w:tblGrid>
        <w:gridCol w:w="1708"/>
        <w:gridCol w:w="803"/>
        <w:gridCol w:w="810"/>
        <w:gridCol w:w="810"/>
        <w:gridCol w:w="900"/>
        <w:gridCol w:w="810"/>
        <w:gridCol w:w="810"/>
        <w:gridCol w:w="810"/>
        <w:gridCol w:w="810"/>
        <w:gridCol w:w="909"/>
      </w:tblGrid>
      <w:tr w:rsidR="00974951" w:rsidRPr="00974951" w14:paraId="62990A88" w14:textId="77777777" w:rsidTr="00974951">
        <w:trPr>
          <w:trHeight w:val="20"/>
        </w:trPr>
        <w:tc>
          <w:tcPr>
            <w:tcW w:w="931" w:type="pct"/>
            <w:tcBorders>
              <w:top w:val="nil"/>
              <w:left w:val="nil"/>
              <w:bottom w:val="single" w:sz="8" w:space="0" w:color="auto"/>
              <w:right w:val="single" w:sz="8" w:space="0" w:color="auto"/>
            </w:tcBorders>
            <w:shd w:val="clear" w:color="000000" w:fill="D9D9D9"/>
            <w:vAlign w:val="center"/>
            <w:hideMark/>
          </w:tcPr>
          <w:p w14:paraId="0DB442DE"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Outputs</w:t>
            </w:r>
          </w:p>
        </w:tc>
        <w:tc>
          <w:tcPr>
            <w:tcW w:w="438" w:type="pct"/>
            <w:tcBorders>
              <w:top w:val="nil"/>
              <w:left w:val="nil"/>
              <w:bottom w:val="single" w:sz="8" w:space="0" w:color="auto"/>
              <w:right w:val="single" w:sz="8" w:space="0" w:color="auto"/>
            </w:tcBorders>
            <w:shd w:val="clear" w:color="000000" w:fill="D9D9D9"/>
            <w:vAlign w:val="center"/>
            <w:hideMark/>
          </w:tcPr>
          <w:p w14:paraId="5775EB74"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Year 1</w:t>
            </w:r>
          </w:p>
        </w:tc>
        <w:tc>
          <w:tcPr>
            <w:tcW w:w="441" w:type="pct"/>
            <w:tcBorders>
              <w:top w:val="nil"/>
              <w:left w:val="nil"/>
              <w:bottom w:val="single" w:sz="8" w:space="0" w:color="auto"/>
              <w:right w:val="single" w:sz="8" w:space="0" w:color="auto"/>
            </w:tcBorders>
            <w:shd w:val="clear" w:color="000000" w:fill="D9D9D9"/>
            <w:vAlign w:val="center"/>
            <w:hideMark/>
          </w:tcPr>
          <w:p w14:paraId="61D6B2CE"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2</w:t>
            </w:r>
          </w:p>
        </w:tc>
        <w:tc>
          <w:tcPr>
            <w:tcW w:w="441" w:type="pct"/>
            <w:tcBorders>
              <w:top w:val="nil"/>
              <w:left w:val="nil"/>
              <w:bottom w:val="single" w:sz="8" w:space="0" w:color="auto"/>
              <w:right w:val="single" w:sz="8" w:space="0" w:color="auto"/>
            </w:tcBorders>
            <w:shd w:val="clear" w:color="000000" w:fill="D9D9D9"/>
            <w:vAlign w:val="center"/>
            <w:hideMark/>
          </w:tcPr>
          <w:p w14:paraId="049677BC"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3</w:t>
            </w:r>
          </w:p>
        </w:tc>
        <w:tc>
          <w:tcPr>
            <w:tcW w:w="490" w:type="pct"/>
            <w:tcBorders>
              <w:top w:val="nil"/>
              <w:left w:val="nil"/>
              <w:bottom w:val="single" w:sz="8" w:space="0" w:color="auto"/>
              <w:right w:val="single" w:sz="8" w:space="0" w:color="auto"/>
            </w:tcBorders>
            <w:shd w:val="clear" w:color="000000" w:fill="D9D9D9"/>
            <w:vAlign w:val="center"/>
            <w:hideMark/>
          </w:tcPr>
          <w:p w14:paraId="1B7C142E"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4</w:t>
            </w:r>
          </w:p>
        </w:tc>
        <w:tc>
          <w:tcPr>
            <w:tcW w:w="441" w:type="pct"/>
            <w:tcBorders>
              <w:top w:val="nil"/>
              <w:left w:val="nil"/>
              <w:bottom w:val="single" w:sz="8" w:space="0" w:color="auto"/>
              <w:right w:val="single" w:sz="8" w:space="0" w:color="auto"/>
            </w:tcBorders>
            <w:shd w:val="clear" w:color="000000" w:fill="D9D9D9"/>
            <w:vAlign w:val="center"/>
            <w:hideMark/>
          </w:tcPr>
          <w:p w14:paraId="021EFAFC"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5</w:t>
            </w:r>
          </w:p>
        </w:tc>
        <w:tc>
          <w:tcPr>
            <w:tcW w:w="441" w:type="pct"/>
            <w:tcBorders>
              <w:top w:val="nil"/>
              <w:left w:val="nil"/>
              <w:bottom w:val="single" w:sz="8" w:space="0" w:color="auto"/>
              <w:right w:val="single" w:sz="8" w:space="0" w:color="auto"/>
            </w:tcBorders>
            <w:shd w:val="clear" w:color="000000" w:fill="D9D9D9"/>
            <w:vAlign w:val="center"/>
            <w:hideMark/>
          </w:tcPr>
          <w:p w14:paraId="798F59F4"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6</w:t>
            </w:r>
          </w:p>
        </w:tc>
        <w:tc>
          <w:tcPr>
            <w:tcW w:w="441" w:type="pct"/>
            <w:tcBorders>
              <w:top w:val="nil"/>
              <w:left w:val="nil"/>
              <w:bottom w:val="single" w:sz="8" w:space="0" w:color="auto"/>
              <w:right w:val="single" w:sz="8" w:space="0" w:color="auto"/>
            </w:tcBorders>
            <w:shd w:val="clear" w:color="000000" w:fill="D9D9D9"/>
            <w:vAlign w:val="center"/>
            <w:hideMark/>
          </w:tcPr>
          <w:p w14:paraId="0B7ADFA1"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7</w:t>
            </w:r>
          </w:p>
        </w:tc>
        <w:tc>
          <w:tcPr>
            <w:tcW w:w="441" w:type="pct"/>
            <w:tcBorders>
              <w:top w:val="nil"/>
              <w:left w:val="nil"/>
              <w:bottom w:val="single" w:sz="8" w:space="0" w:color="auto"/>
              <w:right w:val="single" w:sz="8" w:space="0" w:color="auto"/>
            </w:tcBorders>
            <w:shd w:val="clear" w:color="000000" w:fill="D9D9D9"/>
            <w:vAlign w:val="center"/>
            <w:hideMark/>
          </w:tcPr>
          <w:p w14:paraId="03E1E2CF"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Year 8</w:t>
            </w:r>
          </w:p>
        </w:tc>
        <w:tc>
          <w:tcPr>
            <w:tcW w:w="493" w:type="pct"/>
            <w:tcBorders>
              <w:top w:val="nil"/>
              <w:left w:val="nil"/>
              <w:bottom w:val="single" w:sz="8" w:space="0" w:color="auto"/>
              <w:right w:val="nil"/>
            </w:tcBorders>
            <w:shd w:val="clear" w:color="000000" w:fill="D9D9D9"/>
            <w:vAlign w:val="center"/>
            <w:hideMark/>
          </w:tcPr>
          <w:p w14:paraId="0BC6BEF9"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Target</w:t>
            </w:r>
          </w:p>
        </w:tc>
      </w:tr>
      <w:tr w:rsidR="00974951" w:rsidRPr="00974951" w14:paraId="42D71BA7" w14:textId="77777777" w:rsidTr="00974951">
        <w:trPr>
          <w:trHeight w:val="20"/>
        </w:trPr>
        <w:tc>
          <w:tcPr>
            <w:tcW w:w="5000" w:type="pct"/>
            <w:gridSpan w:val="10"/>
            <w:tcBorders>
              <w:top w:val="single" w:sz="8" w:space="0" w:color="auto"/>
              <w:left w:val="nil"/>
              <w:bottom w:val="single" w:sz="8" w:space="0" w:color="auto"/>
              <w:right w:val="nil"/>
            </w:tcBorders>
            <w:shd w:val="clear" w:color="000000" w:fill="D9D9D9"/>
            <w:vAlign w:val="center"/>
            <w:hideMark/>
          </w:tcPr>
          <w:p w14:paraId="2435E677"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Component I: Energy Efficiency</w:t>
            </w:r>
          </w:p>
        </w:tc>
      </w:tr>
      <w:tr w:rsidR="00974951" w:rsidRPr="00974951" w14:paraId="06CEB174"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514CA6E4"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Loans provided to energy efficiency projects with resources form the Program. </w:t>
            </w:r>
          </w:p>
        </w:tc>
        <w:tc>
          <w:tcPr>
            <w:tcW w:w="438" w:type="pct"/>
            <w:tcBorders>
              <w:top w:val="nil"/>
              <w:left w:val="nil"/>
              <w:bottom w:val="single" w:sz="8" w:space="0" w:color="auto"/>
              <w:right w:val="single" w:sz="8" w:space="0" w:color="auto"/>
            </w:tcBorders>
            <w:shd w:val="clear" w:color="auto" w:fill="auto"/>
            <w:vAlign w:val="center"/>
            <w:hideMark/>
          </w:tcPr>
          <w:p w14:paraId="04AB4EC6"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3AF9C28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8.0 </w:t>
            </w:r>
          </w:p>
        </w:tc>
        <w:tc>
          <w:tcPr>
            <w:tcW w:w="441" w:type="pct"/>
            <w:tcBorders>
              <w:top w:val="nil"/>
              <w:left w:val="nil"/>
              <w:bottom w:val="single" w:sz="8" w:space="0" w:color="auto"/>
              <w:right w:val="single" w:sz="8" w:space="0" w:color="auto"/>
            </w:tcBorders>
            <w:shd w:val="clear" w:color="auto" w:fill="auto"/>
            <w:vAlign w:val="center"/>
            <w:hideMark/>
          </w:tcPr>
          <w:p w14:paraId="1AA831D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0" w:type="pct"/>
            <w:tcBorders>
              <w:top w:val="nil"/>
              <w:left w:val="nil"/>
              <w:bottom w:val="single" w:sz="8" w:space="0" w:color="auto"/>
              <w:right w:val="single" w:sz="8" w:space="0" w:color="auto"/>
            </w:tcBorders>
            <w:shd w:val="clear" w:color="auto" w:fill="auto"/>
            <w:vAlign w:val="center"/>
            <w:hideMark/>
          </w:tcPr>
          <w:p w14:paraId="418C266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0.3 </w:t>
            </w:r>
          </w:p>
        </w:tc>
        <w:tc>
          <w:tcPr>
            <w:tcW w:w="441" w:type="pct"/>
            <w:tcBorders>
              <w:top w:val="nil"/>
              <w:left w:val="nil"/>
              <w:bottom w:val="single" w:sz="8" w:space="0" w:color="auto"/>
              <w:right w:val="single" w:sz="8" w:space="0" w:color="auto"/>
            </w:tcBorders>
            <w:shd w:val="clear" w:color="auto" w:fill="auto"/>
            <w:vAlign w:val="center"/>
            <w:hideMark/>
          </w:tcPr>
          <w:p w14:paraId="38A9DA1E"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67217A2D"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0A5902E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3D19A6F"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nil"/>
            </w:tcBorders>
            <w:shd w:val="clear" w:color="auto" w:fill="auto"/>
            <w:vAlign w:val="center"/>
            <w:hideMark/>
          </w:tcPr>
          <w:p w14:paraId="6B1E5C7A"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8.3 </w:t>
            </w:r>
          </w:p>
        </w:tc>
      </w:tr>
      <w:tr w:rsidR="00974951" w:rsidRPr="00974951" w14:paraId="6E1A4291" w14:textId="77777777" w:rsidTr="00974951">
        <w:trPr>
          <w:trHeight w:val="20"/>
        </w:trPr>
        <w:tc>
          <w:tcPr>
            <w:tcW w:w="5000" w:type="pct"/>
            <w:gridSpan w:val="10"/>
            <w:tcBorders>
              <w:top w:val="single" w:sz="8" w:space="0" w:color="auto"/>
              <w:left w:val="nil"/>
              <w:bottom w:val="single" w:sz="8" w:space="0" w:color="auto"/>
              <w:right w:val="nil"/>
            </w:tcBorders>
            <w:shd w:val="clear" w:color="000000" w:fill="D9D9D9"/>
            <w:vAlign w:val="center"/>
            <w:hideMark/>
          </w:tcPr>
          <w:p w14:paraId="427A6FA7"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 xml:space="preserve"> Component II: Regulatory Framework, Institutional Strengthening, and Capacity Building </w:t>
            </w:r>
          </w:p>
        </w:tc>
      </w:tr>
      <w:tr w:rsidR="00974951" w:rsidRPr="00974951" w14:paraId="20AB7466"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007899E8"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Policy Based Loans (PBL) provided to Governments in EC countries </w:t>
            </w:r>
          </w:p>
        </w:tc>
        <w:tc>
          <w:tcPr>
            <w:tcW w:w="438" w:type="pct"/>
            <w:tcBorders>
              <w:top w:val="nil"/>
              <w:left w:val="nil"/>
              <w:bottom w:val="single" w:sz="8" w:space="0" w:color="auto"/>
              <w:right w:val="single" w:sz="8" w:space="0" w:color="auto"/>
            </w:tcBorders>
            <w:shd w:val="clear" w:color="auto" w:fill="auto"/>
            <w:vAlign w:val="center"/>
            <w:hideMark/>
          </w:tcPr>
          <w:p w14:paraId="2DB51C0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801A5C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241386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10.0 </w:t>
            </w:r>
          </w:p>
        </w:tc>
        <w:tc>
          <w:tcPr>
            <w:tcW w:w="490" w:type="pct"/>
            <w:tcBorders>
              <w:top w:val="nil"/>
              <w:left w:val="nil"/>
              <w:bottom w:val="single" w:sz="8" w:space="0" w:color="auto"/>
              <w:right w:val="single" w:sz="8" w:space="0" w:color="auto"/>
            </w:tcBorders>
            <w:shd w:val="clear" w:color="auto" w:fill="auto"/>
            <w:vAlign w:val="center"/>
            <w:hideMark/>
          </w:tcPr>
          <w:p w14:paraId="6B1D30E6"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59E9E492"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7CF2A49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03A1B9E9"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6E65CCD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nil"/>
            </w:tcBorders>
            <w:shd w:val="clear" w:color="auto" w:fill="auto"/>
            <w:vAlign w:val="center"/>
            <w:hideMark/>
          </w:tcPr>
          <w:p w14:paraId="526FA8C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10.0 </w:t>
            </w:r>
          </w:p>
        </w:tc>
      </w:tr>
      <w:tr w:rsidR="00974951" w:rsidRPr="00974951" w14:paraId="746F0C60"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6C9D422C"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Trainings provided to the EA and/or </w:t>
            </w:r>
            <w:r w:rsidRPr="00974951">
              <w:rPr>
                <w:color w:val="000000"/>
                <w:sz w:val="20"/>
                <w:szCs w:val="20"/>
                <w:lang w:eastAsia="en-US"/>
              </w:rPr>
              <w:lastRenderedPageBreak/>
              <w:t xml:space="preserve">government employees with resources from the Program  </w:t>
            </w:r>
          </w:p>
        </w:tc>
        <w:tc>
          <w:tcPr>
            <w:tcW w:w="438" w:type="pct"/>
            <w:tcBorders>
              <w:top w:val="nil"/>
              <w:left w:val="nil"/>
              <w:bottom w:val="single" w:sz="8" w:space="0" w:color="auto"/>
              <w:right w:val="single" w:sz="8" w:space="0" w:color="auto"/>
            </w:tcBorders>
            <w:shd w:val="clear" w:color="auto" w:fill="auto"/>
            <w:vAlign w:val="center"/>
            <w:hideMark/>
          </w:tcPr>
          <w:p w14:paraId="68007902" w14:textId="77777777" w:rsidR="00974951" w:rsidRPr="00974951" w:rsidRDefault="00974951" w:rsidP="00974951">
            <w:pPr>
              <w:jc w:val="center"/>
              <w:rPr>
                <w:color w:val="000000"/>
                <w:sz w:val="20"/>
                <w:szCs w:val="20"/>
                <w:lang w:eastAsia="en-US"/>
              </w:rPr>
            </w:pPr>
            <w:r w:rsidRPr="00974951">
              <w:rPr>
                <w:color w:val="000000"/>
                <w:sz w:val="20"/>
                <w:szCs w:val="20"/>
                <w:lang w:eastAsia="en-US"/>
              </w:rPr>
              <w:lastRenderedPageBreak/>
              <w:t xml:space="preserve">            0.2 </w:t>
            </w:r>
          </w:p>
        </w:tc>
        <w:tc>
          <w:tcPr>
            <w:tcW w:w="441" w:type="pct"/>
            <w:tcBorders>
              <w:top w:val="nil"/>
              <w:left w:val="nil"/>
              <w:bottom w:val="single" w:sz="8" w:space="0" w:color="auto"/>
              <w:right w:val="single" w:sz="8" w:space="0" w:color="auto"/>
            </w:tcBorders>
            <w:shd w:val="clear" w:color="auto" w:fill="auto"/>
            <w:vAlign w:val="center"/>
            <w:hideMark/>
          </w:tcPr>
          <w:p w14:paraId="752F38A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0.3 </w:t>
            </w:r>
          </w:p>
        </w:tc>
        <w:tc>
          <w:tcPr>
            <w:tcW w:w="441" w:type="pct"/>
            <w:tcBorders>
              <w:top w:val="nil"/>
              <w:left w:val="nil"/>
              <w:bottom w:val="single" w:sz="8" w:space="0" w:color="auto"/>
              <w:right w:val="single" w:sz="8" w:space="0" w:color="auto"/>
            </w:tcBorders>
            <w:shd w:val="clear" w:color="auto" w:fill="auto"/>
            <w:vAlign w:val="center"/>
            <w:hideMark/>
          </w:tcPr>
          <w:p w14:paraId="2F9CA92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0.1 </w:t>
            </w:r>
          </w:p>
        </w:tc>
        <w:tc>
          <w:tcPr>
            <w:tcW w:w="490" w:type="pct"/>
            <w:tcBorders>
              <w:top w:val="nil"/>
              <w:left w:val="nil"/>
              <w:bottom w:val="single" w:sz="8" w:space="0" w:color="auto"/>
              <w:right w:val="single" w:sz="8" w:space="0" w:color="auto"/>
            </w:tcBorders>
            <w:shd w:val="clear" w:color="auto" w:fill="auto"/>
            <w:vAlign w:val="center"/>
            <w:hideMark/>
          </w:tcPr>
          <w:p w14:paraId="2812BC4D"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0.1 </w:t>
            </w:r>
          </w:p>
        </w:tc>
        <w:tc>
          <w:tcPr>
            <w:tcW w:w="441" w:type="pct"/>
            <w:tcBorders>
              <w:top w:val="nil"/>
              <w:left w:val="nil"/>
              <w:bottom w:val="single" w:sz="8" w:space="0" w:color="auto"/>
              <w:right w:val="single" w:sz="8" w:space="0" w:color="auto"/>
            </w:tcBorders>
            <w:shd w:val="clear" w:color="auto" w:fill="auto"/>
            <w:vAlign w:val="center"/>
            <w:hideMark/>
          </w:tcPr>
          <w:p w14:paraId="71CE9C1A"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0.1 </w:t>
            </w:r>
          </w:p>
        </w:tc>
        <w:tc>
          <w:tcPr>
            <w:tcW w:w="441" w:type="pct"/>
            <w:tcBorders>
              <w:top w:val="nil"/>
              <w:left w:val="nil"/>
              <w:bottom w:val="single" w:sz="8" w:space="0" w:color="auto"/>
              <w:right w:val="single" w:sz="8" w:space="0" w:color="auto"/>
            </w:tcBorders>
            <w:shd w:val="clear" w:color="auto" w:fill="auto"/>
            <w:vAlign w:val="center"/>
            <w:hideMark/>
          </w:tcPr>
          <w:p w14:paraId="1E47924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3AC25E04"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4D9DA53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nil"/>
            </w:tcBorders>
            <w:shd w:val="clear" w:color="auto" w:fill="auto"/>
            <w:vAlign w:val="center"/>
            <w:hideMark/>
          </w:tcPr>
          <w:p w14:paraId="33D7AF5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0.9 </w:t>
            </w:r>
          </w:p>
        </w:tc>
      </w:tr>
      <w:tr w:rsidR="00974951" w:rsidRPr="00974951" w14:paraId="58185A0C"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633AA24E" w14:textId="77777777" w:rsidR="00974951" w:rsidRPr="00974951" w:rsidRDefault="00974951" w:rsidP="00974951">
            <w:pPr>
              <w:jc w:val="left"/>
              <w:rPr>
                <w:color w:val="000000"/>
                <w:sz w:val="20"/>
                <w:szCs w:val="20"/>
                <w:lang w:eastAsia="en-US"/>
              </w:rPr>
            </w:pPr>
            <w:r w:rsidRPr="00974951">
              <w:rPr>
                <w:color w:val="000000"/>
                <w:sz w:val="20"/>
                <w:szCs w:val="20"/>
                <w:lang w:eastAsia="en-US"/>
              </w:rPr>
              <w:lastRenderedPageBreak/>
              <w:t xml:space="preserve"> Grants provided for technical assistance to Governments in EC countries with resources from the Program </w:t>
            </w:r>
          </w:p>
        </w:tc>
        <w:tc>
          <w:tcPr>
            <w:tcW w:w="438" w:type="pct"/>
            <w:tcBorders>
              <w:top w:val="nil"/>
              <w:left w:val="nil"/>
              <w:bottom w:val="single" w:sz="8" w:space="0" w:color="auto"/>
              <w:right w:val="single" w:sz="8" w:space="0" w:color="auto"/>
            </w:tcBorders>
            <w:shd w:val="clear" w:color="auto" w:fill="auto"/>
            <w:vAlign w:val="center"/>
            <w:hideMark/>
          </w:tcPr>
          <w:p w14:paraId="5B7165A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0.6 </w:t>
            </w:r>
          </w:p>
        </w:tc>
        <w:tc>
          <w:tcPr>
            <w:tcW w:w="441" w:type="pct"/>
            <w:tcBorders>
              <w:top w:val="nil"/>
              <w:left w:val="nil"/>
              <w:bottom w:val="single" w:sz="8" w:space="0" w:color="auto"/>
              <w:right w:val="single" w:sz="8" w:space="0" w:color="auto"/>
            </w:tcBorders>
            <w:shd w:val="clear" w:color="auto" w:fill="auto"/>
            <w:vAlign w:val="center"/>
            <w:hideMark/>
          </w:tcPr>
          <w:p w14:paraId="2856616F"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1.3 </w:t>
            </w:r>
          </w:p>
        </w:tc>
        <w:tc>
          <w:tcPr>
            <w:tcW w:w="441" w:type="pct"/>
            <w:tcBorders>
              <w:top w:val="nil"/>
              <w:left w:val="nil"/>
              <w:bottom w:val="single" w:sz="8" w:space="0" w:color="auto"/>
              <w:right w:val="single" w:sz="8" w:space="0" w:color="auto"/>
            </w:tcBorders>
            <w:shd w:val="clear" w:color="auto" w:fill="auto"/>
            <w:vAlign w:val="center"/>
            <w:hideMark/>
          </w:tcPr>
          <w:p w14:paraId="14E4B306"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0.6 </w:t>
            </w:r>
          </w:p>
        </w:tc>
        <w:tc>
          <w:tcPr>
            <w:tcW w:w="490" w:type="pct"/>
            <w:tcBorders>
              <w:top w:val="nil"/>
              <w:left w:val="nil"/>
              <w:bottom w:val="single" w:sz="8" w:space="0" w:color="auto"/>
              <w:right w:val="single" w:sz="8" w:space="0" w:color="auto"/>
            </w:tcBorders>
            <w:shd w:val="clear" w:color="auto" w:fill="auto"/>
            <w:vAlign w:val="center"/>
            <w:hideMark/>
          </w:tcPr>
          <w:p w14:paraId="24B49C89"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0.5 </w:t>
            </w:r>
          </w:p>
        </w:tc>
        <w:tc>
          <w:tcPr>
            <w:tcW w:w="441" w:type="pct"/>
            <w:tcBorders>
              <w:top w:val="nil"/>
              <w:left w:val="nil"/>
              <w:bottom w:val="single" w:sz="8" w:space="0" w:color="auto"/>
              <w:right w:val="single" w:sz="8" w:space="0" w:color="auto"/>
            </w:tcBorders>
            <w:shd w:val="clear" w:color="auto" w:fill="auto"/>
            <w:vAlign w:val="center"/>
            <w:hideMark/>
          </w:tcPr>
          <w:p w14:paraId="3FE605D1"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0.4 </w:t>
            </w:r>
          </w:p>
        </w:tc>
        <w:tc>
          <w:tcPr>
            <w:tcW w:w="441" w:type="pct"/>
            <w:tcBorders>
              <w:top w:val="nil"/>
              <w:left w:val="nil"/>
              <w:bottom w:val="single" w:sz="8" w:space="0" w:color="auto"/>
              <w:right w:val="single" w:sz="8" w:space="0" w:color="auto"/>
            </w:tcBorders>
            <w:shd w:val="clear" w:color="auto" w:fill="auto"/>
            <w:vAlign w:val="center"/>
            <w:hideMark/>
          </w:tcPr>
          <w:p w14:paraId="7679F8CA"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404A63B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00E0CAA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nil"/>
            </w:tcBorders>
            <w:shd w:val="clear" w:color="auto" w:fill="auto"/>
            <w:vAlign w:val="center"/>
            <w:hideMark/>
          </w:tcPr>
          <w:p w14:paraId="4ACA908D"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3.5 </w:t>
            </w:r>
          </w:p>
        </w:tc>
      </w:tr>
      <w:tr w:rsidR="00974951" w:rsidRPr="00974951" w14:paraId="0FC8960F" w14:textId="77777777" w:rsidTr="00974951">
        <w:trPr>
          <w:trHeight w:val="20"/>
        </w:trPr>
        <w:tc>
          <w:tcPr>
            <w:tcW w:w="931" w:type="pct"/>
            <w:tcBorders>
              <w:top w:val="nil"/>
              <w:left w:val="nil"/>
              <w:bottom w:val="single" w:sz="8" w:space="0" w:color="auto"/>
              <w:right w:val="single" w:sz="8" w:space="0" w:color="auto"/>
            </w:tcBorders>
            <w:shd w:val="clear" w:color="000000" w:fill="F2F2F2"/>
            <w:vAlign w:val="center"/>
            <w:hideMark/>
          </w:tcPr>
          <w:p w14:paraId="39436815"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 xml:space="preserve"> Sub-total Component II </w:t>
            </w:r>
          </w:p>
        </w:tc>
        <w:tc>
          <w:tcPr>
            <w:tcW w:w="438" w:type="pct"/>
            <w:tcBorders>
              <w:top w:val="nil"/>
              <w:left w:val="nil"/>
              <w:bottom w:val="single" w:sz="8" w:space="0" w:color="auto"/>
              <w:right w:val="single" w:sz="8" w:space="0" w:color="auto"/>
            </w:tcBorders>
            <w:shd w:val="clear" w:color="000000" w:fill="F2F2F2"/>
            <w:vAlign w:val="center"/>
            <w:hideMark/>
          </w:tcPr>
          <w:p w14:paraId="69FCD2C8"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0.8 </w:t>
            </w:r>
          </w:p>
        </w:tc>
        <w:tc>
          <w:tcPr>
            <w:tcW w:w="441" w:type="pct"/>
            <w:tcBorders>
              <w:top w:val="nil"/>
              <w:left w:val="nil"/>
              <w:bottom w:val="single" w:sz="8" w:space="0" w:color="auto"/>
              <w:right w:val="single" w:sz="8" w:space="0" w:color="auto"/>
            </w:tcBorders>
            <w:shd w:val="clear" w:color="000000" w:fill="F2F2F2"/>
            <w:vAlign w:val="center"/>
            <w:hideMark/>
          </w:tcPr>
          <w:p w14:paraId="232F24BD"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1.7 </w:t>
            </w:r>
          </w:p>
        </w:tc>
        <w:tc>
          <w:tcPr>
            <w:tcW w:w="441" w:type="pct"/>
            <w:tcBorders>
              <w:top w:val="nil"/>
              <w:left w:val="nil"/>
              <w:bottom w:val="single" w:sz="8" w:space="0" w:color="auto"/>
              <w:right w:val="single" w:sz="8" w:space="0" w:color="auto"/>
            </w:tcBorders>
            <w:shd w:val="clear" w:color="000000" w:fill="F2F2F2"/>
            <w:vAlign w:val="center"/>
            <w:hideMark/>
          </w:tcPr>
          <w:p w14:paraId="62A13795"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10.7 </w:t>
            </w:r>
          </w:p>
        </w:tc>
        <w:tc>
          <w:tcPr>
            <w:tcW w:w="490" w:type="pct"/>
            <w:tcBorders>
              <w:top w:val="nil"/>
              <w:left w:val="nil"/>
              <w:bottom w:val="single" w:sz="8" w:space="0" w:color="auto"/>
              <w:right w:val="single" w:sz="8" w:space="0" w:color="auto"/>
            </w:tcBorders>
            <w:shd w:val="clear" w:color="000000" w:fill="F2F2F2"/>
            <w:vAlign w:val="center"/>
            <w:hideMark/>
          </w:tcPr>
          <w:p w14:paraId="5DDE2F8F"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0.6 </w:t>
            </w:r>
          </w:p>
        </w:tc>
        <w:tc>
          <w:tcPr>
            <w:tcW w:w="441" w:type="pct"/>
            <w:tcBorders>
              <w:top w:val="nil"/>
              <w:left w:val="nil"/>
              <w:bottom w:val="single" w:sz="8" w:space="0" w:color="auto"/>
              <w:right w:val="single" w:sz="8" w:space="0" w:color="auto"/>
            </w:tcBorders>
            <w:shd w:val="clear" w:color="000000" w:fill="F2F2F2"/>
            <w:vAlign w:val="center"/>
            <w:hideMark/>
          </w:tcPr>
          <w:p w14:paraId="2FD37863"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0.5 </w:t>
            </w:r>
          </w:p>
        </w:tc>
        <w:tc>
          <w:tcPr>
            <w:tcW w:w="441" w:type="pct"/>
            <w:tcBorders>
              <w:top w:val="nil"/>
              <w:left w:val="nil"/>
              <w:bottom w:val="single" w:sz="8" w:space="0" w:color="auto"/>
              <w:right w:val="single" w:sz="8" w:space="0" w:color="auto"/>
            </w:tcBorders>
            <w:shd w:val="clear" w:color="000000" w:fill="F2F2F2"/>
            <w:vAlign w:val="center"/>
            <w:hideMark/>
          </w:tcPr>
          <w:p w14:paraId="5EBE35F8"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000000" w:fill="F2F2F2"/>
            <w:vAlign w:val="center"/>
            <w:hideMark/>
          </w:tcPr>
          <w:p w14:paraId="42295A4A"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000000" w:fill="F2F2F2"/>
            <w:vAlign w:val="center"/>
            <w:hideMark/>
          </w:tcPr>
          <w:p w14:paraId="477991A3"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93" w:type="pct"/>
            <w:tcBorders>
              <w:top w:val="nil"/>
              <w:left w:val="nil"/>
              <w:bottom w:val="single" w:sz="8" w:space="0" w:color="auto"/>
              <w:right w:val="nil"/>
            </w:tcBorders>
            <w:shd w:val="clear" w:color="000000" w:fill="F2F2F2"/>
            <w:vAlign w:val="center"/>
            <w:hideMark/>
          </w:tcPr>
          <w:p w14:paraId="1DD5025E"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14.3 </w:t>
            </w:r>
          </w:p>
        </w:tc>
      </w:tr>
      <w:tr w:rsidR="00974951" w:rsidRPr="00974951" w14:paraId="0F7AC69B" w14:textId="77777777" w:rsidTr="00974951">
        <w:trPr>
          <w:trHeight w:val="20"/>
        </w:trPr>
        <w:tc>
          <w:tcPr>
            <w:tcW w:w="5000" w:type="pct"/>
            <w:gridSpan w:val="10"/>
            <w:tcBorders>
              <w:top w:val="single" w:sz="8" w:space="0" w:color="auto"/>
              <w:left w:val="nil"/>
              <w:bottom w:val="single" w:sz="8" w:space="0" w:color="auto"/>
              <w:right w:val="nil"/>
            </w:tcBorders>
            <w:shd w:val="clear" w:color="000000" w:fill="D9D9D9"/>
            <w:vAlign w:val="center"/>
            <w:hideMark/>
          </w:tcPr>
          <w:p w14:paraId="1D3182FC"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 xml:space="preserve"> Component III: Renewable Energy </w:t>
            </w:r>
          </w:p>
        </w:tc>
      </w:tr>
      <w:tr w:rsidR="00974951" w:rsidRPr="00974951" w14:paraId="3815DC64"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7421DF9A"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Loans provided to geothermal projects  at any stage of development with resources from the Program </w:t>
            </w:r>
          </w:p>
        </w:tc>
        <w:tc>
          <w:tcPr>
            <w:tcW w:w="438" w:type="pct"/>
            <w:tcBorders>
              <w:top w:val="nil"/>
              <w:left w:val="nil"/>
              <w:bottom w:val="single" w:sz="8" w:space="0" w:color="auto"/>
              <w:right w:val="single" w:sz="8" w:space="0" w:color="auto"/>
            </w:tcBorders>
            <w:shd w:val="clear" w:color="auto" w:fill="auto"/>
            <w:vAlign w:val="center"/>
            <w:hideMark/>
          </w:tcPr>
          <w:p w14:paraId="528C1918"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63AB9B3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496D68BD"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24.8 </w:t>
            </w:r>
          </w:p>
        </w:tc>
        <w:tc>
          <w:tcPr>
            <w:tcW w:w="490" w:type="pct"/>
            <w:tcBorders>
              <w:top w:val="nil"/>
              <w:left w:val="nil"/>
              <w:bottom w:val="single" w:sz="8" w:space="0" w:color="auto"/>
              <w:right w:val="single" w:sz="8" w:space="0" w:color="auto"/>
            </w:tcBorders>
            <w:shd w:val="clear" w:color="auto" w:fill="auto"/>
            <w:vAlign w:val="center"/>
            <w:hideMark/>
          </w:tcPr>
          <w:p w14:paraId="0557EE82"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24.8 </w:t>
            </w:r>
          </w:p>
        </w:tc>
        <w:tc>
          <w:tcPr>
            <w:tcW w:w="441" w:type="pct"/>
            <w:tcBorders>
              <w:top w:val="nil"/>
              <w:left w:val="nil"/>
              <w:bottom w:val="single" w:sz="8" w:space="0" w:color="auto"/>
              <w:right w:val="single" w:sz="8" w:space="0" w:color="auto"/>
            </w:tcBorders>
            <w:shd w:val="clear" w:color="auto" w:fill="auto"/>
            <w:vAlign w:val="center"/>
            <w:hideMark/>
          </w:tcPr>
          <w:p w14:paraId="1965AE8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5.2 </w:t>
            </w:r>
          </w:p>
        </w:tc>
        <w:tc>
          <w:tcPr>
            <w:tcW w:w="441" w:type="pct"/>
            <w:tcBorders>
              <w:top w:val="nil"/>
              <w:left w:val="nil"/>
              <w:bottom w:val="single" w:sz="8" w:space="0" w:color="auto"/>
              <w:right w:val="single" w:sz="8" w:space="0" w:color="auto"/>
            </w:tcBorders>
            <w:shd w:val="clear" w:color="auto" w:fill="auto"/>
            <w:vAlign w:val="center"/>
            <w:hideMark/>
          </w:tcPr>
          <w:p w14:paraId="6CE4EE1E"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5.2 </w:t>
            </w:r>
          </w:p>
        </w:tc>
        <w:tc>
          <w:tcPr>
            <w:tcW w:w="441" w:type="pct"/>
            <w:tcBorders>
              <w:top w:val="nil"/>
              <w:left w:val="nil"/>
              <w:bottom w:val="single" w:sz="8" w:space="0" w:color="auto"/>
              <w:right w:val="single" w:sz="8" w:space="0" w:color="auto"/>
            </w:tcBorders>
            <w:shd w:val="clear" w:color="auto" w:fill="auto"/>
            <w:vAlign w:val="center"/>
            <w:hideMark/>
          </w:tcPr>
          <w:p w14:paraId="258FF1E1"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E3F1DAE"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single" w:sz="8" w:space="0" w:color="auto"/>
            </w:tcBorders>
            <w:shd w:val="clear" w:color="auto" w:fill="auto"/>
            <w:vAlign w:val="center"/>
            <w:hideMark/>
          </w:tcPr>
          <w:p w14:paraId="766266FD"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60.0 </w:t>
            </w:r>
          </w:p>
        </w:tc>
      </w:tr>
      <w:tr w:rsidR="00974951" w:rsidRPr="00974951" w14:paraId="145E04F6"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39B4B222"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Loans provided to finance transmission lines required for connecting geothermal plants to the power grid </w:t>
            </w:r>
          </w:p>
        </w:tc>
        <w:tc>
          <w:tcPr>
            <w:tcW w:w="438" w:type="pct"/>
            <w:tcBorders>
              <w:top w:val="nil"/>
              <w:left w:val="nil"/>
              <w:bottom w:val="single" w:sz="8" w:space="0" w:color="auto"/>
              <w:right w:val="single" w:sz="8" w:space="0" w:color="auto"/>
            </w:tcBorders>
            <w:shd w:val="clear" w:color="auto" w:fill="auto"/>
            <w:vAlign w:val="center"/>
            <w:hideMark/>
          </w:tcPr>
          <w:p w14:paraId="642298F7"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E533B09"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7A0C930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0" w:type="pct"/>
            <w:tcBorders>
              <w:top w:val="nil"/>
              <w:left w:val="nil"/>
              <w:bottom w:val="single" w:sz="8" w:space="0" w:color="auto"/>
              <w:right w:val="single" w:sz="8" w:space="0" w:color="auto"/>
            </w:tcBorders>
            <w:shd w:val="clear" w:color="auto" w:fill="auto"/>
            <w:vAlign w:val="center"/>
            <w:hideMark/>
          </w:tcPr>
          <w:p w14:paraId="4F7217D6"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10.0 </w:t>
            </w:r>
          </w:p>
        </w:tc>
        <w:tc>
          <w:tcPr>
            <w:tcW w:w="441" w:type="pct"/>
            <w:tcBorders>
              <w:top w:val="nil"/>
              <w:left w:val="nil"/>
              <w:bottom w:val="single" w:sz="8" w:space="0" w:color="auto"/>
              <w:right w:val="single" w:sz="8" w:space="0" w:color="auto"/>
            </w:tcBorders>
            <w:shd w:val="clear" w:color="auto" w:fill="auto"/>
            <w:vAlign w:val="center"/>
            <w:hideMark/>
          </w:tcPr>
          <w:p w14:paraId="67095CE8"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6D3E2D42"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055B3C49"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824610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single" w:sz="8" w:space="0" w:color="auto"/>
            </w:tcBorders>
            <w:shd w:val="clear" w:color="auto" w:fill="auto"/>
            <w:vAlign w:val="center"/>
            <w:hideMark/>
          </w:tcPr>
          <w:p w14:paraId="46AA752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10.0 </w:t>
            </w:r>
          </w:p>
        </w:tc>
      </w:tr>
      <w:tr w:rsidR="00974951" w:rsidRPr="00974951" w14:paraId="556DA96C"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75F0FB06"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Loans provided to finance other RE projects </w:t>
            </w:r>
          </w:p>
        </w:tc>
        <w:tc>
          <w:tcPr>
            <w:tcW w:w="438" w:type="pct"/>
            <w:tcBorders>
              <w:top w:val="nil"/>
              <w:left w:val="nil"/>
              <w:bottom w:val="single" w:sz="8" w:space="0" w:color="auto"/>
              <w:right w:val="single" w:sz="8" w:space="0" w:color="auto"/>
            </w:tcBorders>
            <w:shd w:val="clear" w:color="auto" w:fill="auto"/>
            <w:vAlign w:val="center"/>
            <w:hideMark/>
          </w:tcPr>
          <w:p w14:paraId="38DB1515"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47C4A2DE"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5DA8E92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0.2 </w:t>
            </w:r>
          </w:p>
        </w:tc>
        <w:tc>
          <w:tcPr>
            <w:tcW w:w="490" w:type="pct"/>
            <w:tcBorders>
              <w:top w:val="nil"/>
              <w:left w:val="nil"/>
              <w:bottom w:val="single" w:sz="8" w:space="0" w:color="auto"/>
              <w:right w:val="single" w:sz="8" w:space="0" w:color="auto"/>
            </w:tcBorders>
            <w:shd w:val="clear" w:color="auto" w:fill="auto"/>
            <w:vAlign w:val="center"/>
            <w:hideMark/>
          </w:tcPr>
          <w:p w14:paraId="34045F98"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0.2 </w:t>
            </w:r>
          </w:p>
        </w:tc>
        <w:tc>
          <w:tcPr>
            <w:tcW w:w="441" w:type="pct"/>
            <w:tcBorders>
              <w:top w:val="nil"/>
              <w:left w:val="nil"/>
              <w:bottom w:val="single" w:sz="8" w:space="0" w:color="auto"/>
              <w:right w:val="single" w:sz="8" w:space="0" w:color="auto"/>
            </w:tcBorders>
            <w:shd w:val="clear" w:color="auto" w:fill="auto"/>
            <w:vAlign w:val="center"/>
            <w:hideMark/>
          </w:tcPr>
          <w:p w14:paraId="26D4246F"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3386847A"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4A95011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515838E8"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single" w:sz="8" w:space="0" w:color="auto"/>
            </w:tcBorders>
            <w:shd w:val="clear" w:color="auto" w:fill="auto"/>
            <w:vAlign w:val="center"/>
            <w:hideMark/>
          </w:tcPr>
          <w:p w14:paraId="408BFCCA"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0.3 </w:t>
            </w:r>
          </w:p>
        </w:tc>
      </w:tr>
      <w:tr w:rsidR="00974951" w:rsidRPr="00974951" w14:paraId="3A223DDE" w14:textId="77777777" w:rsidTr="00974951">
        <w:trPr>
          <w:trHeight w:val="20"/>
        </w:trPr>
        <w:tc>
          <w:tcPr>
            <w:tcW w:w="931" w:type="pct"/>
            <w:tcBorders>
              <w:top w:val="nil"/>
              <w:left w:val="nil"/>
              <w:bottom w:val="single" w:sz="8" w:space="0" w:color="auto"/>
              <w:right w:val="single" w:sz="8" w:space="0" w:color="auto"/>
            </w:tcBorders>
            <w:shd w:val="clear" w:color="auto" w:fill="auto"/>
            <w:vAlign w:val="center"/>
            <w:hideMark/>
          </w:tcPr>
          <w:p w14:paraId="6B097E7B" w14:textId="77777777" w:rsidR="00974951" w:rsidRPr="00974951" w:rsidRDefault="00974951" w:rsidP="00974951">
            <w:pPr>
              <w:jc w:val="left"/>
              <w:rPr>
                <w:color w:val="000000"/>
                <w:sz w:val="20"/>
                <w:szCs w:val="20"/>
                <w:lang w:eastAsia="en-US"/>
              </w:rPr>
            </w:pPr>
            <w:r w:rsidRPr="00974951">
              <w:rPr>
                <w:color w:val="000000"/>
                <w:sz w:val="20"/>
                <w:szCs w:val="20"/>
                <w:lang w:eastAsia="en-US"/>
              </w:rPr>
              <w:t xml:space="preserve"> Grants (in the form of loan guarantees or grants convertible to loans) provided to geothermal projects with resources from the Program </w:t>
            </w:r>
          </w:p>
        </w:tc>
        <w:tc>
          <w:tcPr>
            <w:tcW w:w="438" w:type="pct"/>
            <w:tcBorders>
              <w:top w:val="nil"/>
              <w:left w:val="nil"/>
              <w:bottom w:val="single" w:sz="8" w:space="0" w:color="auto"/>
              <w:right w:val="single" w:sz="8" w:space="0" w:color="auto"/>
            </w:tcBorders>
            <w:shd w:val="clear" w:color="auto" w:fill="auto"/>
            <w:vAlign w:val="center"/>
            <w:hideMark/>
          </w:tcPr>
          <w:p w14:paraId="6646244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2BE996E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12.7 </w:t>
            </w:r>
          </w:p>
        </w:tc>
        <w:tc>
          <w:tcPr>
            <w:tcW w:w="441" w:type="pct"/>
            <w:tcBorders>
              <w:top w:val="nil"/>
              <w:left w:val="nil"/>
              <w:bottom w:val="single" w:sz="8" w:space="0" w:color="auto"/>
              <w:right w:val="single" w:sz="8" w:space="0" w:color="auto"/>
            </w:tcBorders>
            <w:shd w:val="clear" w:color="auto" w:fill="auto"/>
            <w:vAlign w:val="center"/>
            <w:hideMark/>
          </w:tcPr>
          <w:p w14:paraId="3B4FB64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0" w:type="pct"/>
            <w:tcBorders>
              <w:top w:val="nil"/>
              <w:left w:val="nil"/>
              <w:bottom w:val="single" w:sz="8" w:space="0" w:color="auto"/>
              <w:right w:val="single" w:sz="8" w:space="0" w:color="auto"/>
            </w:tcBorders>
            <w:shd w:val="clear" w:color="auto" w:fill="auto"/>
            <w:vAlign w:val="center"/>
            <w:hideMark/>
          </w:tcPr>
          <w:p w14:paraId="7C0F78E8"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6.4 </w:t>
            </w:r>
          </w:p>
        </w:tc>
        <w:tc>
          <w:tcPr>
            <w:tcW w:w="441" w:type="pct"/>
            <w:tcBorders>
              <w:top w:val="nil"/>
              <w:left w:val="nil"/>
              <w:bottom w:val="single" w:sz="8" w:space="0" w:color="auto"/>
              <w:right w:val="single" w:sz="8" w:space="0" w:color="auto"/>
            </w:tcBorders>
            <w:shd w:val="clear" w:color="auto" w:fill="auto"/>
            <w:vAlign w:val="center"/>
            <w:hideMark/>
          </w:tcPr>
          <w:p w14:paraId="789E5D4E"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6E6E714B"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DFD431C"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auto" w:fill="auto"/>
            <w:vAlign w:val="center"/>
            <w:hideMark/>
          </w:tcPr>
          <w:p w14:paraId="18043C33"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   </w:t>
            </w:r>
          </w:p>
        </w:tc>
        <w:tc>
          <w:tcPr>
            <w:tcW w:w="493" w:type="pct"/>
            <w:tcBorders>
              <w:top w:val="nil"/>
              <w:left w:val="nil"/>
              <w:bottom w:val="single" w:sz="8" w:space="0" w:color="auto"/>
              <w:right w:val="single" w:sz="8" w:space="0" w:color="auto"/>
            </w:tcBorders>
            <w:shd w:val="clear" w:color="auto" w:fill="auto"/>
            <w:vAlign w:val="center"/>
            <w:hideMark/>
          </w:tcPr>
          <w:p w14:paraId="75863EC0" w14:textId="77777777" w:rsidR="00974951" w:rsidRPr="00974951" w:rsidRDefault="00974951" w:rsidP="00974951">
            <w:pPr>
              <w:jc w:val="center"/>
              <w:rPr>
                <w:color w:val="000000"/>
                <w:sz w:val="20"/>
                <w:szCs w:val="20"/>
                <w:lang w:eastAsia="en-US"/>
              </w:rPr>
            </w:pPr>
            <w:r w:rsidRPr="00974951">
              <w:rPr>
                <w:color w:val="000000"/>
                <w:sz w:val="20"/>
                <w:szCs w:val="20"/>
                <w:lang w:eastAsia="en-US"/>
              </w:rPr>
              <w:t xml:space="preserve">          19.1 </w:t>
            </w:r>
          </w:p>
        </w:tc>
      </w:tr>
      <w:tr w:rsidR="00974951" w:rsidRPr="00974951" w14:paraId="07E9476A" w14:textId="77777777" w:rsidTr="00974951">
        <w:trPr>
          <w:trHeight w:val="20"/>
        </w:trPr>
        <w:tc>
          <w:tcPr>
            <w:tcW w:w="931" w:type="pct"/>
            <w:tcBorders>
              <w:top w:val="nil"/>
              <w:left w:val="nil"/>
              <w:bottom w:val="single" w:sz="8" w:space="0" w:color="auto"/>
              <w:right w:val="single" w:sz="8" w:space="0" w:color="auto"/>
            </w:tcBorders>
            <w:shd w:val="clear" w:color="000000" w:fill="F2F2F2"/>
            <w:vAlign w:val="center"/>
            <w:hideMark/>
          </w:tcPr>
          <w:p w14:paraId="4EAC39B3"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 xml:space="preserve"> Sub-total Component III </w:t>
            </w:r>
          </w:p>
        </w:tc>
        <w:tc>
          <w:tcPr>
            <w:tcW w:w="438" w:type="pct"/>
            <w:tcBorders>
              <w:top w:val="nil"/>
              <w:left w:val="nil"/>
              <w:bottom w:val="single" w:sz="8" w:space="0" w:color="auto"/>
              <w:right w:val="single" w:sz="8" w:space="0" w:color="auto"/>
            </w:tcBorders>
            <w:shd w:val="clear" w:color="000000" w:fill="F2F2F2"/>
            <w:vAlign w:val="center"/>
            <w:hideMark/>
          </w:tcPr>
          <w:p w14:paraId="402E6FE1"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000000" w:fill="F2F2F2"/>
            <w:vAlign w:val="center"/>
            <w:hideMark/>
          </w:tcPr>
          <w:p w14:paraId="5086DB23"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12.7 </w:t>
            </w:r>
          </w:p>
        </w:tc>
        <w:tc>
          <w:tcPr>
            <w:tcW w:w="441" w:type="pct"/>
            <w:tcBorders>
              <w:top w:val="nil"/>
              <w:left w:val="nil"/>
              <w:bottom w:val="single" w:sz="8" w:space="0" w:color="auto"/>
              <w:right w:val="single" w:sz="8" w:space="0" w:color="auto"/>
            </w:tcBorders>
            <w:shd w:val="clear" w:color="000000" w:fill="F2F2F2"/>
            <w:vAlign w:val="center"/>
            <w:hideMark/>
          </w:tcPr>
          <w:p w14:paraId="6091A3BB"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25.0 </w:t>
            </w:r>
          </w:p>
        </w:tc>
        <w:tc>
          <w:tcPr>
            <w:tcW w:w="490" w:type="pct"/>
            <w:tcBorders>
              <w:top w:val="nil"/>
              <w:left w:val="nil"/>
              <w:bottom w:val="single" w:sz="8" w:space="0" w:color="auto"/>
              <w:right w:val="single" w:sz="8" w:space="0" w:color="auto"/>
            </w:tcBorders>
            <w:shd w:val="clear" w:color="000000" w:fill="F2F2F2"/>
            <w:vAlign w:val="center"/>
            <w:hideMark/>
          </w:tcPr>
          <w:p w14:paraId="4E432ADA"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41.3 </w:t>
            </w:r>
          </w:p>
        </w:tc>
        <w:tc>
          <w:tcPr>
            <w:tcW w:w="441" w:type="pct"/>
            <w:tcBorders>
              <w:top w:val="nil"/>
              <w:left w:val="nil"/>
              <w:bottom w:val="single" w:sz="8" w:space="0" w:color="auto"/>
              <w:right w:val="single" w:sz="8" w:space="0" w:color="auto"/>
            </w:tcBorders>
            <w:shd w:val="clear" w:color="000000" w:fill="F2F2F2"/>
            <w:vAlign w:val="center"/>
            <w:hideMark/>
          </w:tcPr>
          <w:p w14:paraId="01CFD8F2"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5.2 </w:t>
            </w:r>
          </w:p>
        </w:tc>
        <w:tc>
          <w:tcPr>
            <w:tcW w:w="441" w:type="pct"/>
            <w:tcBorders>
              <w:top w:val="nil"/>
              <w:left w:val="nil"/>
              <w:bottom w:val="single" w:sz="8" w:space="0" w:color="auto"/>
              <w:right w:val="single" w:sz="8" w:space="0" w:color="auto"/>
            </w:tcBorders>
            <w:shd w:val="clear" w:color="000000" w:fill="F2F2F2"/>
            <w:vAlign w:val="center"/>
            <w:hideMark/>
          </w:tcPr>
          <w:p w14:paraId="1DC27709"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5.2 </w:t>
            </w:r>
          </w:p>
        </w:tc>
        <w:tc>
          <w:tcPr>
            <w:tcW w:w="441" w:type="pct"/>
            <w:tcBorders>
              <w:top w:val="nil"/>
              <w:left w:val="nil"/>
              <w:bottom w:val="single" w:sz="8" w:space="0" w:color="auto"/>
              <w:right w:val="single" w:sz="8" w:space="0" w:color="auto"/>
            </w:tcBorders>
            <w:shd w:val="clear" w:color="000000" w:fill="F2F2F2"/>
            <w:vAlign w:val="center"/>
            <w:hideMark/>
          </w:tcPr>
          <w:p w14:paraId="485D53D0"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41" w:type="pct"/>
            <w:tcBorders>
              <w:top w:val="nil"/>
              <w:left w:val="nil"/>
              <w:bottom w:val="single" w:sz="8" w:space="0" w:color="auto"/>
              <w:right w:val="single" w:sz="8" w:space="0" w:color="auto"/>
            </w:tcBorders>
            <w:shd w:val="clear" w:color="000000" w:fill="F2F2F2"/>
            <w:vAlign w:val="center"/>
            <w:hideMark/>
          </w:tcPr>
          <w:p w14:paraId="3F651E3E"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93" w:type="pct"/>
            <w:tcBorders>
              <w:top w:val="nil"/>
              <w:left w:val="nil"/>
              <w:bottom w:val="single" w:sz="8" w:space="0" w:color="auto"/>
              <w:right w:val="single" w:sz="8" w:space="0" w:color="auto"/>
            </w:tcBorders>
            <w:shd w:val="clear" w:color="000000" w:fill="F2F2F2"/>
            <w:vAlign w:val="center"/>
            <w:hideMark/>
          </w:tcPr>
          <w:p w14:paraId="2545F589"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89.4 </w:t>
            </w:r>
          </w:p>
        </w:tc>
      </w:tr>
      <w:tr w:rsidR="00974951" w:rsidRPr="00974951" w14:paraId="6AABB999" w14:textId="77777777" w:rsidTr="00974951">
        <w:trPr>
          <w:trHeight w:val="20"/>
        </w:trPr>
        <w:tc>
          <w:tcPr>
            <w:tcW w:w="931" w:type="pct"/>
            <w:tcBorders>
              <w:top w:val="nil"/>
              <w:left w:val="nil"/>
              <w:bottom w:val="nil"/>
              <w:right w:val="single" w:sz="8" w:space="0" w:color="auto"/>
            </w:tcBorders>
            <w:shd w:val="clear" w:color="000000" w:fill="D9D9D9"/>
            <w:vAlign w:val="center"/>
            <w:hideMark/>
          </w:tcPr>
          <w:p w14:paraId="1B655B4B" w14:textId="77777777" w:rsidR="00974951" w:rsidRPr="00974951" w:rsidRDefault="00974951" w:rsidP="00974951">
            <w:pPr>
              <w:jc w:val="left"/>
              <w:rPr>
                <w:b/>
                <w:bCs/>
                <w:color w:val="000000"/>
                <w:sz w:val="20"/>
                <w:szCs w:val="20"/>
                <w:lang w:eastAsia="en-US"/>
              </w:rPr>
            </w:pPr>
            <w:r w:rsidRPr="00974951">
              <w:rPr>
                <w:b/>
                <w:bCs/>
                <w:color w:val="000000"/>
                <w:sz w:val="20"/>
                <w:szCs w:val="20"/>
                <w:lang w:eastAsia="en-US"/>
              </w:rPr>
              <w:t xml:space="preserve"> Total SEF </w:t>
            </w:r>
          </w:p>
        </w:tc>
        <w:tc>
          <w:tcPr>
            <w:tcW w:w="438" w:type="pct"/>
            <w:tcBorders>
              <w:top w:val="nil"/>
              <w:left w:val="nil"/>
              <w:bottom w:val="nil"/>
              <w:right w:val="single" w:sz="8" w:space="0" w:color="auto"/>
            </w:tcBorders>
            <w:shd w:val="clear" w:color="000000" w:fill="D9D9D9"/>
            <w:vAlign w:val="center"/>
            <w:hideMark/>
          </w:tcPr>
          <w:p w14:paraId="1A6BFF0D"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0.8 </w:t>
            </w:r>
          </w:p>
        </w:tc>
        <w:tc>
          <w:tcPr>
            <w:tcW w:w="441" w:type="pct"/>
            <w:tcBorders>
              <w:top w:val="nil"/>
              <w:left w:val="nil"/>
              <w:bottom w:val="nil"/>
              <w:right w:val="single" w:sz="8" w:space="0" w:color="auto"/>
            </w:tcBorders>
            <w:shd w:val="clear" w:color="000000" w:fill="D9D9D9"/>
            <w:vAlign w:val="center"/>
            <w:hideMark/>
          </w:tcPr>
          <w:p w14:paraId="3C244F0B"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22.4 </w:t>
            </w:r>
          </w:p>
        </w:tc>
        <w:tc>
          <w:tcPr>
            <w:tcW w:w="441" w:type="pct"/>
            <w:tcBorders>
              <w:top w:val="nil"/>
              <w:left w:val="nil"/>
              <w:bottom w:val="nil"/>
              <w:right w:val="single" w:sz="8" w:space="0" w:color="auto"/>
            </w:tcBorders>
            <w:shd w:val="clear" w:color="000000" w:fill="D9D9D9"/>
            <w:vAlign w:val="center"/>
            <w:hideMark/>
          </w:tcPr>
          <w:p w14:paraId="57F9311C"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35.7 </w:t>
            </w:r>
          </w:p>
        </w:tc>
        <w:tc>
          <w:tcPr>
            <w:tcW w:w="490" w:type="pct"/>
            <w:tcBorders>
              <w:top w:val="nil"/>
              <w:left w:val="nil"/>
              <w:bottom w:val="nil"/>
              <w:right w:val="single" w:sz="8" w:space="0" w:color="auto"/>
            </w:tcBorders>
            <w:shd w:val="clear" w:color="000000" w:fill="D9D9D9"/>
            <w:vAlign w:val="center"/>
            <w:hideMark/>
          </w:tcPr>
          <w:p w14:paraId="0DDDF064"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42.3 </w:t>
            </w:r>
          </w:p>
        </w:tc>
        <w:tc>
          <w:tcPr>
            <w:tcW w:w="441" w:type="pct"/>
            <w:tcBorders>
              <w:top w:val="nil"/>
              <w:left w:val="nil"/>
              <w:bottom w:val="nil"/>
              <w:right w:val="single" w:sz="8" w:space="0" w:color="auto"/>
            </w:tcBorders>
            <w:shd w:val="clear" w:color="000000" w:fill="D9D9D9"/>
            <w:vAlign w:val="center"/>
            <w:hideMark/>
          </w:tcPr>
          <w:p w14:paraId="165BF16A"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5.7 </w:t>
            </w:r>
          </w:p>
        </w:tc>
        <w:tc>
          <w:tcPr>
            <w:tcW w:w="441" w:type="pct"/>
            <w:tcBorders>
              <w:top w:val="nil"/>
              <w:left w:val="nil"/>
              <w:bottom w:val="nil"/>
              <w:right w:val="single" w:sz="8" w:space="0" w:color="auto"/>
            </w:tcBorders>
            <w:shd w:val="clear" w:color="000000" w:fill="D9D9D9"/>
            <w:vAlign w:val="center"/>
            <w:hideMark/>
          </w:tcPr>
          <w:p w14:paraId="6049351D"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5.2 </w:t>
            </w:r>
          </w:p>
        </w:tc>
        <w:tc>
          <w:tcPr>
            <w:tcW w:w="441" w:type="pct"/>
            <w:tcBorders>
              <w:top w:val="nil"/>
              <w:left w:val="nil"/>
              <w:bottom w:val="nil"/>
              <w:right w:val="single" w:sz="8" w:space="0" w:color="auto"/>
            </w:tcBorders>
            <w:shd w:val="clear" w:color="000000" w:fill="D9D9D9"/>
            <w:vAlign w:val="center"/>
            <w:hideMark/>
          </w:tcPr>
          <w:p w14:paraId="73878FEB"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41" w:type="pct"/>
            <w:tcBorders>
              <w:top w:val="nil"/>
              <w:left w:val="nil"/>
              <w:bottom w:val="nil"/>
              <w:right w:val="single" w:sz="8" w:space="0" w:color="auto"/>
            </w:tcBorders>
            <w:shd w:val="clear" w:color="000000" w:fill="D9D9D9"/>
            <w:vAlign w:val="center"/>
            <w:hideMark/>
          </w:tcPr>
          <w:p w14:paraId="32A92A46"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   </w:t>
            </w:r>
          </w:p>
        </w:tc>
        <w:tc>
          <w:tcPr>
            <w:tcW w:w="493" w:type="pct"/>
            <w:tcBorders>
              <w:top w:val="nil"/>
              <w:left w:val="nil"/>
              <w:bottom w:val="nil"/>
              <w:right w:val="single" w:sz="8" w:space="0" w:color="auto"/>
            </w:tcBorders>
            <w:shd w:val="clear" w:color="000000" w:fill="D9D9D9"/>
            <w:vAlign w:val="center"/>
            <w:hideMark/>
          </w:tcPr>
          <w:p w14:paraId="1EC79BAB" w14:textId="77777777" w:rsidR="00974951" w:rsidRPr="00974951" w:rsidRDefault="00974951" w:rsidP="00974951">
            <w:pPr>
              <w:jc w:val="center"/>
              <w:rPr>
                <w:b/>
                <w:bCs/>
                <w:color w:val="000000"/>
                <w:sz w:val="20"/>
                <w:szCs w:val="20"/>
                <w:lang w:eastAsia="en-US"/>
              </w:rPr>
            </w:pPr>
            <w:r w:rsidRPr="00974951">
              <w:rPr>
                <w:b/>
                <w:bCs/>
                <w:color w:val="000000"/>
                <w:sz w:val="20"/>
                <w:szCs w:val="20"/>
                <w:lang w:eastAsia="en-US"/>
              </w:rPr>
              <w:t xml:space="preserve">         112.1 </w:t>
            </w:r>
          </w:p>
        </w:tc>
      </w:tr>
    </w:tbl>
    <w:p w14:paraId="2415A488" w14:textId="78C702D2" w:rsidR="004F10AE" w:rsidRPr="00974951" w:rsidRDefault="00054D66" w:rsidP="004F10AE">
      <w:pPr>
        <w:pStyle w:val="TableText"/>
        <w:rPr>
          <w:sz w:val="20"/>
        </w:rPr>
      </w:pPr>
      <w:r w:rsidRPr="00974951">
        <w:rPr>
          <w:sz w:val="20"/>
        </w:rPr>
        <w:t>Notes:  The US$19.05</w:t>
      </w:r>
      <w:r w:rsidR="004F10AE" w:rsidRPr="00974951">
        <w:rPr>
          <w:sz w:val="20"/>
        </w:rPr>
        <w:t xml:space="preserve"> million in grants to geothermal projects are conting</w:t>
      </w:r>
      <w:r w:rsidRPr="00974951">
        <w:rPr>
          <w:sz w:val="20"/>
        </w:rPr>
        <w:t xml:space="preserve">ent grants provided with CTF </w:t>
      </w:r>
      <w:r w:rsidR="004F10AE" w:rsidRPr="00974951">
        <w:rPr>
          <w:sz w:val="20"/>
        </w:rPr>
        <w:t>resources.</w:t>
      </w:r>
    </w:p>
    <w:p w14:paraId="6D55B611" w14:textId="77777777" w:rsidR="004F10AE" w:rsidRPr="00974951" w:rsidRDefault="004F10AE" w:rsidP="004F10AE">
      <w:pPr>
        <w:pStyle w:val="TableText"/>
        <w:rPr>
          <w:sz w:val="20"/>
        </w:rPr>
      </w:pPr>
      <w:r w:rsidRPr="00974951">
        <w:rPr>
          <w:sz w:val="20"/>
        </w:rPr>
        <w:t>Additional grant resources from</w:t>
      </w:r>
      <w:r w:rsidR="00E44CF2" w:rsidRPr="00974951">
        <w:rPr>
          <w:sz w:val="20"/>
        </w:rPr>
        <w:t xml:space="preserve"> other donors might be added to the SEF and disbursed to projects.</w:t>
      </w:r>
    </w:p>
    <w:p w14:paraId="0C36A104" w14:textId="77777777" w:rsidR="00630CA6" w:rsidRDefault="00630CA6">
      <w:pPr>
        <w:pStyle w:val="TableorFigureEnd"/>
      </w:pPr>
    </w:p>
    <w:p w14:paraId="26CBCD3A" w14:textId="77777777" w:rsidR="001408B7" w:rsidRDefault="001408B7" w:rsidP="001408B7">
      <w:pPr>
        <w:pStyle w:val="Heading2"/>
      </w:pPr>
      <w:bookmarkStart w:id="13" w:name="_Toc424286969"/>
      <w:r>
        <w:t>Data Collection and Instruments</w:t>
      </w:r>
      <w:bookmarkEnd w:id="13"/>
    </w:p>
    <w:p w14:paraId="738CFB71" w14:textId="5EE7B32C" w:rsidR="0072409D" w:rsidRDefault="0072409D" w:rsidP="0072409D">
      <w:pPr>
        <w:pStyle w:val="BodyText"/>
        <w:rPr>
          <w:lang w:eastAsia="ja-JP"/>
        </w:rPr>
      </w:pPr>
      <w:r w:rsidRPr="00A74465">
        <w:rPr>
          <w:lang w:eastAsia="ja-JP"/>
        </w:rPr>
        <w:t xml:space="preserve">The EA </w:t>
      </w:r>
      <w:r>
        <w:rPr>
          <w:lang w:eastAsia="ja-JP"/>
        </w:rPr>
        <w:t>(the CDB)</w:t>
      </w:r>
      <w:r w:rsidRPr="00A74465">
        <w:rPr>
          <w:lang w:eastAsia="ja-JP"/>
        </w:rPr>
        <w:t xml:space="preserve"> will be responsible for reporting </w:t>
      </w:r>
      <w:r>
        <w:rPr>
          <w:lang w:eastAsia="ja-JP"/>
        </w:rPr>
        <w:t xml:space="preserve">on the </w:t>
      </w:r>
      <w:r w:rsidRPr="00A74465">
        <w:rPr>
          <w:lang w:eastAsia="ja-JP"/>
        </w:rPr>
        <w:t xml:space="preserve">results of the Program, based on information collected from the EC Governments and private sponsors and on information from its own systems. </w:t>
      </w:r>
      <w:r>
        <w:t xml:space="preserve">The EA will be responsible for reporting progress and results to the </w:t>
      </w:r>
      <w:r>
        <w:lastRenderedPageBreak/>
        <w:t xml:space="preserve">IDB. </w:t>
      </w:r>
      <w:r w:rsidRPr="00A74465">
        <w:rPr>
          <w:lang w:eastAsia="ja-JP"/>
        </w:rPr>
        <w:t>The EA will collect, store, and retain all information to assist the IDB in monitoring performance of the Program.</w:t>
      </w:r>
    </w:p>
    <w:p w14:paraId="029701EF" w14:textId="77777777" w:rsidR="004E020D" w:rsidRDefault="00681A35" w:rsidP="00681A35">
      <w:pPr>
        <w:pStyle w:val="BodyText"/>
      </w:pPr>
      <w:r>
        <w:rPr>
          <w:lang w:eastAsia="ja-JP"/>
        </w:rPr>
        <w:t>T</w:t>
      </w:r>
      <w:r>
        <w:t xml:space="preserve">he INE/ENE Division of the IDB will be responsible for overseeing the execution of the Monitoring and Evaluation Plan for the complete Program, including the funds provided by other donors. As such, they must </w:t>
      </w:r>
      <w:r w:rsidRPr="003F44DC">
        <w:t>report annuall</w:t>
      </w:r>
      <w:r w:rsidRPr="004424E9">
        <w:t>y</w:t>
      </w:r>
      <w:r w:rsidRPr="003F44DC">
        <w:t xml:space="preserve"> to the </w:t>
      </w:r>
      <w:r w:rsidRPr="004424E9">
        <w:t>Clean Technology Fund Trust Fund Committee (</w:t>
      </w:r>
      <w:r w:rsidRPr="003F44DC">
        <w:t>CTF TFC</w:t>
      </w:r>
      <w:r w:rsidRPr="004424E9">
        <w:t>)</w:t>
      </w:r>
      <w:r w:rsidRPr="003F44DC">
        <w:t xml:space="preserve"> </w:t>
      </w:r>
      <w:r>
        <w:t xml:space="preserve">and the Japan International Cooperation Agency (‘JICA’) </w:t>
      </w:r>
      <w:r w:rsidRPr="003F44DC">
        <w:t xml:space="preserve">on </w:t>
      </w:r>
      <w:r>
        <w:t xml:space="preserve">progress towards achieving the results of the Program and </w:t>
      </w:r>
      <w:r w:rsidRPr="003F44DC">
        <w:t>estimation</w:t>
      </w:r>
      <w:r>
        <w:t xml:space="preserve">s </w:t>
      </w:r>
      <w:r w:rsidRPr="003F44DC">
        <w:t>of</w:t>
      </w:r>
      <w:r w:rsidRPr="004424E9">
        <w:t xml:space="preserve"> </w:t>
      </w:r>
      <w:r w:rsidRPr="003F44DC">
        <w:t>results</w:t>
      </w:r>
      <w:r>
        <w:t xml:space="preserve"> (in case of plants in state of construction and non-operational as of reporting date). </w:t>
      </w:r>
    </w:p>
    <w:p w14:paraId="7631E63E" w14:textId="77777777" w:rsidR="004E020D" w:rsidRPr="003A2AFC" w:rsidRDefault="004E020D" w:rsidP="004E020D">
      <w:pPr>
        <w:pStyle w:val="BodyText"/>
      </w:pPr>
      <w:r>
        <w:t>T</w:t>
      </w:r>
      <w:r w:rsidRPr="003A2AFC">
        <w:t>he project team composed by speci</w:t>
      </w:r>
      <w:r>
        <w:t xml:space="preserve">alists from </w:t>
      </w:r>
      <w:r w:rsidRPr="003A2AFC">
        <w:t>INE/ENE</w:t>
      </w:r>
      <w:r w:rsidR="0093137E">
        <w:t xml:space="preserve"> and IFD/CMF</w:t>
      </w:r>
      <w:r w:rsidRPr="003A2AFC">
        <w:t xml:space="preserve">, with support </w:t>
      </w:r>
      <w:r>
        <w:t>from the country office in Barbados</w:t>
      </w:r>
      <w:r w:rsidR="0072409D">
        <w:t>,</w:t>
      </w:r>
      <w:r>
        <w:t xml:space="preserve"> </w:t>
      </w:r>
      <w:r w:rsidRPr="003A2AFC">
        <w:t xml:space="preserve">will be in charge of following up the execution, monitoring and evaluation of the program. The </w:t>
      </w:r>
      <w:r>
        <w:t>EA</w:t>
      </w:r>
      <w:r w:rsidRPr="003A2AFC">
        <w:t xml:space="preserve"> and the </w:t>
      </w:r>
      <w:r>
        <w:t>IDB</w:t>
      </w:r>
      <w:r w:rsidRPr="003A2AFC">
        <w:t xml:space="preserve"> have committed to carry out </w:t>
      </w:r>
      <w:r>
        <w:t xml:space="preserve">field visits </w:t>
      </w:r>
      <w:r w:rsidRPr="003A2AFC">
        <w:t xml:space="preserve">according to a regular schedule to be agreed </w:t>
      </w:r>
      <w:r>
        <w:t xml:space="preserve">upon </w:t>
      </w:r>
      <w:r w:rsidRPr="003A2AFC">
        <w:t>between the two parts</w:t>
      </w:r>
      <w:r>
        <w:t xml:space="preserve"> (see Table 2.2 Monitoring Work Plan for an indicative schedule)</w:t>
      </w:r>
      <w:r w:rsidRPr="003A2AFC">
        <w:t xml:space="preserve">. </w:t>
      </w:r>
    </w:p>
    <w:p w14:paraId="735AD01C" w14:textId="77777777" w:rsidR="001408B7" w:rsidRDefault="001408B7" w:rsidP="001408B7">
      <w:pPr>
        <w:pStyle w:val="BodyText"/>
        <w:rPr>
          <w:lang w:eastAsia="ja-JP"/>
        </w:rPr>
      </w:pPr>
      <w:r w:rsidRPr="00A74465">
        <w:rPr>
          <w:lang w:eastAsia="ja-JP"/>
        </w:rPr>
        <w:t xml:space="preserve">Sources of information for monitoring the </w:t>
      </w:r>
      <w:r w:rsidR="00D77A6A" w:rsidRPr="00A74465">
        <w:rPr>
          <w:lang w:eastAsia="ja-JP"/>
        </w:rPr>
        <w:t>Program</w:t>
      </w:r>
      <w:r w:rsidRPr="00A74465">
        <w:rPr>
          <w:lang w:eastAsia="ja-JP"/>
        </w:rPr>
        <w:t xml:space="preserve"> include </w:t>
      </w:r>
      <w:r w:rsidR="00A52815" w:rsidRPr="00A74465">
        <w:rPr>
          <w:lang w:eastAsia="ja-JP"/>
        </w:rPr>
        <w:t>EA semi-annual reports,</w:t>
      </w:r>
      <w:r w:rsidRPr="00A74465">
        <w:rPr>
          <w:lang w:eastAsia="ja-JP"/>
        </w:rPr>
        <w:t xml:space="preserve"> IDB’s field inspections</w:t>
      </w:r>
      <w:r w:rsidR="00A52815" w:rsidRPr="00A74465">
        <w:rPr>
          <w:lang w:eastAsia="ja-JP"/>
        </w:rPr>
        <w:t>, and EA administrative records and financial statements</w:t>
      </w:r>
      <w:r w:rsidRPr="00A74465">
        <w:rPr>
          <w:lang w:eastAsia="ja-JP"/>
        </w:rPr>
        <w:t>. The EA will be responsible for providing administrative records</w:t>
      </w:r>
      <w:r w:rsidR="00A52815" w:rsidRPr="00A74465">
        <w:rPr>
          <w:lang w:eastAsia="ja-JP"/>
        </w:rPr>
        <w:t>, financial statements,</w:t>
      </w:r>
      <w:r w:rsidRPr="00A74465">
        <w:rPr>
          <w:lang w:eastAsia="ja-JP"/>
        </w:rPr>
        <w:t xml:space="preserve"> and reports, and will participate in the IDB’s field inspections</w:t>
      </w:r>
      <w:r w:rsidR="00A74465">
        <w:rPr>
          <w:lang w:eastAsia="ja-JP"/>
        </w:rPr>
        <w:t>.</w:t>
      </w:r>
    </w:p>
    <w:p w14:paraId="7DEEAF30" w14:textId="77777777" w:rsidR="001408B7" w:rsidRDefault="001408B7" w:rsidP="003F0208">
      <w:pPr>
        <w:pStyle w:val="Heading2"/>
        <w:rPr>
          <w:lang w:eastAsia="ja-JP"/>
        </w:rPr>
      </w:pPr>
      <w:bookmarkStart w:id="14" w:name="_Toc424286970"/>
      <w:r>
        <w:rPr>
          <w:lang w:eastAsia="ja-JP"/>
        </w:rPr>
        <w:t>Reporting Monitoring Results</w:t>
      </w:r>
      <w:bookmarkEnd w:id="14"/>
    </w:p>
    <w:p w14:paraId="48C3CFBB" w14:textId="38E00E98" w:rsidR="001408B7" w:rsidRDefault="00FE293B" w:rsidP="001408B7">
      <w:pPr>
        <w:pStyle w:val="BodyText"/>
        <w:rPr>
          <w:lang w:eastAsia="ja-JP"/>
        </w:rPr>
      </w:pPr>
      <w:r>
        <w:rPr>
          <w:lang w:eastAsia="ja-JP"/>
        </w:rPr>
        <w:t>T</w:t>
      </w:r>
      <w:r w:rsidR="001408B7">
        <w:rPr>
          <w:lang w:eastAsia="ja-JP"/>
        </w:rPr>
        <w:t>he IDB will use</w:t>
      </w:r>
      <w:r>
        <w:rPr>
          <w:lang w:eastAsia="ja-JP"/>
        </w:rPr>
        <w:t xml:space="preserve"> </w:t>
      </w:r>
      <w:r w:rsidR="00797CC5">
        <w:rPr>
          <w:lang w:eastAsia="ja-JP"/>
        </w:rPr>
        <w:t>four</w:t>
      </w:r>
      <w:r>
        <w:rPr>
          <w:lang w:eastAsia="ja-JP"/>
        </w:rPr>
        <w:t xml:space="preserve"> instruments</w:t>
      </w:r>
      <w:r w:rsidR="001408B7">
        <w:rPr>
          <w:lang w:eastAsia="ja-JP"/>
        </w:rPr>
        <w:t xml:space="preserve"> to monitor the Program’s progress </w:t>
      </w:r>
      <w:r w:rsidR="000C6D8C">
        <w:rPr>
          <w:lang w:eastAsia="ja-JP"/>
        </w:rPr>
        <w:t xml:space="preserve">in completing </w:t>
      </w:r>
      <w:r w:rsidR="00A74465">
        <w:rPr>
          <w:lang w:eastAsia="ja-JP"/>
        </w:rPr>
        <w:t xml:space="preserve">the expected </w:t>
      </w:r>
      <w:r w:rsidR="000C6D8C">
        <w:rPr>
          <w:lang w:eastAsia="ja-JP"/>
        </w:rPr>
        <w:t>outputs</w:t>
      </w:r>
      <w:r w:rsidR="001408B7">
        <w:rPr>
          <w:lang w:eastAsia="ja-JP"/>
        </w:rPr>
        <w:t>:</w:t>
      </w:r>
    </w:p>
    <w:p w14:paraId="1B050630" w14:textId="77777777" w:rsidR="001408B7" w:rsidRPr="000C6D8C" w:rsidRDefault="001408B7" w:rsidP="001408B7">
      <w:pPr>
        <w:pStyle w:val="ListBullet"/>
        <w:rPr>
          <w:lang w:eastAsia="ja-JP"/>
        </w:rPr>
      </w:pPr>
      <w:r w:rsidRPr="000C6D8C">
        <w:rPr>
          <w:lang w:eastAsia="ja-JP"/>
        </w:rPr>
        <w:t>Semi-annual Reports</w:t>
      </w:r>
    </w:p>
    <w:p w14:paraId="69BD57EB" w14:textId="35CCC0DD" w:rsidR="00EF18DC" w:rsidRPr="000C6D8C" w:rsidRDefault="00092854" w:rsidP="001408B7">
      <w:pPr>
        <w:pStyle w:val="ListBullet"/>
        <w:rPr>
          <w:lang w:eastAsia="ja-JP"/>
        </w:rPr>
      </w:pPr>
      <w:r>
        <w:rPr>
          <w:lang w:eastAsia="ja-JP"/>
        </w:rPr>
        <w:t>Due D</w:t>
      </w:r>
      <w:r w:rsidR="00EF18DC">
        <w:rPr>
          <w:lang w:eastAsia="ja-JP"/>
        </w:rPr>
        <w:t xml:space="preserve">iligence </w:t>
      </w:r>
      <w:r w:rsidR="007F396C">
        <w:rPr>
          <w:lang w:eastAsia="ja-JP"/>
        </w:rPr>
        <w:t xml:space="preserve">and Annual Supervision </w:t>
      </w:r>
      <w:r w:rsidR="00DD6C16">
        <w:rPr>
          <w:lang w:eastAsia="ja-JP"/>
        </w:rPr>
        <w:t>M</w:t>
      </w:r>
      <w:r w:rsidR="00EF18DC">
        <w:rPr>
          <w:lang w:eastAsia="ja-JP"/>
        </w:rPr>
        <w:t xml:space="preserve">issions </w:t>
      </w:r>
    </w:p>
    <w:p w14:paraId="5631874A" w14:textId="77777777" w:rsidR="00092854" w:rsidRDefault="00092854" w:rsidP="00092854">
      <w:pPr>
        <w:pStyle w:val="ListBullet"/>
        <w:rPr>
          <w:lang w:eastAsia="ja-JP"/>
        </w:rPr>
      </w:pPr>
      <w:r w:rsidRPr="000C6D8C">
        <w:rPr>
          <w:lang w:eastAsia="ja-JP"/>
        </w:rPr>
        <w:t>Field Inspections</w:t>
      </w:r>
    </w:p>
    <w:p w14:paraId="4D30FAB4" w14:textId="77777777" w:rsidR="001408B7" w:rsidRPr="000C6D8C" w:rsidRDefault="00894A42" w:rsidP="001408B7">
      <w:pPr>
        <w:pStyle w:val="ListBullet"/>
        <w:rPr>
          <w:lang w:eastAsia="ja-JP"/>
        </w:rPr>
      </w:pPr>
      <w:r>
        <w:rPr>
          <w:lang w:eastAsia="ja-JP"/>
        </w:rPr>
        <w:t>Audited Financial Statements</w:t>
      </w:r>
      <w:r w:rsidR="003C48E9">
        <w:rPr>
          <w:lang w:eastAsia="ja-JP"/>
        </w:rPr>
        <w:t>.</w:t>
      </w:r>
      <w:r w:rsidR="001408B7" w:rsidRPr="000C6D8C">
        <w:rPr>
          <w:lang w:eastAsia="ja-JP"/>
        </w:rPr>
        <w:t xml:space="preserve"> </w:t>
      </w:r>
    </w:p>
    <w:p w14:paraId="6B0EA766" w14:textId="77777777" w:rsidR="001408B7" w:rsidRDefault="001408B7" w:rsidP="001408B7">
      <w:pPr>
        <w:pStyle w:val="BodyText"/>
      </w:pPr>
      <w:r w:rsidRPr="000C6D8C">
        <w:rPr>
          <w:lang w:eastAsia="ja-JP"/>
        </w:rPr>
        <w:t>For each instrument, the remainder of this section describes</w:t>
      </w:r>
      <w:r w:rsidR="00A22D32" w:rsidRPr="000C6D8C">
        <w:rPr>
          <w:lang w:eastAsia="ja-JP"/>
        </w:rPr>
        <w:t xml:space="preserve"> the instrument, and explains who is responsible for preparing it, when it should be submitted or carried out, its </w:t>
      </w:r>
      <w:r w:rsidR="00216E71" w:rsidRPr="000C6D8C">
        <w:t>purpose</w:t>
      </w:r>
      <w:r w:rsidR="00A22D32" w:rsidRPr="000C6D8C">
        <w:t xml:space="preserve">, and its </w:t>
      </w:r>
      <w:r w:rsidRPr="000C6D8C">
        <w:t>content</w:t>
      </w:r>
      <w:r w:rsidR="00216E71" w:rsidRPr="000C6D8C">
        <w:t>.</w:t>
      </w:r>
    </w:p>
    <w:p w14:paraId="2C38F65B" w14:textId="77777777" w:rsidR="001408B7" w:rsidRDefault="001408B7" w:rsidP="00261A1C">
      <w:pPr>
        <w:pStyle w:val="Heading3"/>
        <w:rPr>
          <w:lang w:eastAsia="ja-JP"/>
        </w:rPr>
      </w:pPr>
      <w:bookmarkStart w:id="15" w:name="_Toc424286971"/>
      <w:r>
        <w:rPr>
          <w:lang w:eastAsia="ja-JP"/>
        </w:rPr>
        <w:t>Semi-Annual Reports</w:t>
      </w:r>
      <w:bookmarkEnd w:id="15"/>
    </w:p>
    <w:p w14:paraId="204FD61B" w14:textId="367929C1" w:rsidR="002446CD" w:rsidRPr="00A248F0" w:rsidRDefault="00DE20B8" w:rsidP="00E35EC2">
      <w:pPr>
        <w:pStyle w:val="BodyText"/>
      </w:pPr>
      <w:r w:rsidRPr="00A248F0">
        <w:t xml:space="preserve">Semi-Annual Reports are designed to monitor </w:t>
      </w:r>
      <w:r w:rsidR="00E35EC2">
        <w:t xml:space="preserve">the progress in implementing </w:t>
      </w:r>
      <w:r>
        <w:t xml:space="preserve">the </w:t>
      </w:r>
      <w:r w:rsidR="0059002C">
        <w:t xml:space="preserve">energy efficiency (‘EE’) </w:t>
      </w:r>
      <w:r>
        <w:t xml:space="preserve">and </w:t>
      </w:r>
      <w:r w:rsidR="0059002C">
        <w:t>renewable energy (‘RE’)</w:t>
      </w:r>
      <w:r>
        <w:t xml:space="preserve"> </w:t>
      </w:r>
      <w:r w:rsidR="00E35EC2">
        <w:t>projects</w:t>
      </w:r>
      <w:r w:rsidRPr="00A248F0">
        <w:t xml:space="preserve"> and </w:t>
      </w:r>
      <w:r w:rsidR="00E35EC2">
        <w:t xml:space="preserve">the technical assistances funded, </w:t>
      </w:r>
      <w:r w:rsidR="00E35EC2" w:rsidRPr="00A248F0">
        <w:t>and measure their impact through various indicators</w:t>
      </w:r>
      <w:r w:rsidR="00E35EC2">
        <w:t>.</w:t>
      </w:r>
      <w:r w:rsidRPr="00A248F0">
        <w:t xml:space="preserve"> The </w:t>
      </w:r>
      <w:r w:rsidR="00E35EC2">
        <w:t xml:space="preserve">EA </w:t>
      </w:r>
      <w:r w:rsidRPr="00A248F0">
        <w:t>is responsible f</w:t>
      </w:r>
      <w:r w:rsidR="00E35EC2">
        <w:t>or preparing them, with input from the</w:t>
      </w:r>
      <w:r w:rsidRPr="00A248F0">
        <w:t xml:space="preserve"> </w:t>
      </w:r>
      <w:r w:rsidR="00A5323B">
        <w:t>Governments, private sponsors, utilities, and projects in EC countries</w:t>
      </w:r>
      <w:r w:rsidR="00E35EC2">
        <w:t xml:space="preserve">. </w:t>
      </w:r>
      <w:r w:rsidRPr="00A248F0">
        <w:t>The IDB is responsible for reviewing the Semi-Annual Reports and giving its non-objection. As their name suggests, these reports are due every six months.</w:t>
      </w:r>
      <w:r w:rsidR="002446CD">
        <w:t xml:space="preserve"> </w:t>
      </w:r>
      <w:r w:rsidR="002446CD" w:rsidRPr="002446CD">
        <w:t xml:space="preserve">The </w:t>
      </w:r>
      <w:r w:rsidR="002446CD">
        <w:t>EA</w:t>
      </w:r>
      <w:r w:rsidR="002446CD" w:rsidRPr="002446CD">
        <w:t xml:space="preserve"> will deliver the reports within 60 calendar days after </w:t>
      </w:r>
      <w:r w:rsidR="002446CD">
        <w:t xml:space="preserve">the </w:t>
      </w:r>
      <w:r w:rsidR="002446CD" w:rsidRPr="002446CD">
        <w:t>end of</w:t>
      </w:r>
      <w:r w:rsidR="002446CD">
        <w:t xml:space="preserve"> each</w:t>
      </w:r>
      <w:r w:rsidR="002446CD" w:rsidRPr="002446CD">
        <w:t xml:space="preserve"> </w:t>
      </w:r>
      <w:r w:rsidR="0093137E">
        <w:t>semester</w:t>
      </w:r>
      <w:r w:rsidR="002446CD" w:rsidRPr="002446CD">
        <w:t xml:space="preserve">. </w:t>
      </w:r>
    </w:p>
    <w:p w14:paraId="31D58381" w14:textId="77777777" w:rsidR="00DE20B8" w:rsidRPr="00A248F0" w:rsidRDefault="00DE20B8" w:rsidP="00DE20B8">
      <w:pPr>
        <w:pStyle w:val="Subheading"/>
      </w:pPr>
      <w:r w:rsidRPr="00A248F0">
        <w:t>Purpose</w:t>
      </w:r>
    </w:p>
    <w:p w14:paraId="6722C075" w14:textId="77777777" w:rsidR="00DE20B8" w:rsidRPr="00A248F0" w:rsidRDefault="00DE20B8" w:rsidP="00DE20B8">
      <w:pPr>
        <w:pStyle w:val="BodyText"/>
      </w:pPr>
      <w:r w:rsidRPr="00A248F0">
        <w:t xml:space="preserve">The purpose of the Semi-Annual Reports is to track the </w:t>
      </w:r>
      <w:r w:rsidR="00E35EC2">
        <w:t>Program’s</w:t>
      </w:r>
      <w:r w:rsidRPr="00A248F0">
        <w:t xml:space="preserve"> progress towards</w:t>
      </w:r>
      <w:r w:rsidR="001002B5">
        <w:t xml:space="preserve"> the</w:t>
      </w:r>
      <w:r w:rsidRPr="00A248F0">
        <w:t xml:space="preserve"> targets </w:t>
      </w:r>
      <w:r w:rsidR="001002B5">
        <w:t xml:space="preserve">established for the </w:t>
      </w:r>
      <w:r w:rsidR="00EB69F1">
        <w:t xml:space="preserve">output </w:t>
      </w:r>
      <w:r w:rsidR="007939BD">
        <w:t xml:space="preserve">indicator described in Section </w:t>
      </w:r>
      <w:r w:rsidR="007939BD">
        <w:fldChar w:fldCharType="begin"/>
      </w:r>
      <w:r w:rsidR="007939BD">
        <w:instrText xml:space="preserve"> REF _Ref422239841 \r \h </w:instrText>
      </w:r>
      <w:r w:rsidR="007939BD">
        <w:fldChar w:fldCharType="separate"/>
      </w:r>
      <w:r w:rsidR="006745B9">
        <w:t>2.1</w:t>
      </w:r>
      <w:r w:rsidR="007939BD">
        <w:fldChar w:fldCharType="end"/>
      </w:r>
      <w:r w:rsidR="007939BD">
        <w:t xml:space="preserve"> and the </w:t>
      </w:r>
      <w:r w:rsidR="00EB69F1">
        <w:t xml:space="preserve">results indicators included Section </w:t>
      </w:r>
      <w:r w:rsidR="00EB69F1">
        <w:fldChar w:fldCharType="begin"/>
      </w:r>
      <w:r w:rsidR="00EB69F1">
        <w:instrText xml:space="preserve"> REF _Ref422463875 \r \h </w:instrText>
      </w:r>
      <w:r w:rsidR="00EB69F1">
        <w:fldChar w:fldCharType="separate"/>
      </w:r>
      <w:r w:rsidR="006745B9">
        <w:t>3.3</w:t>
      </w:r>
      <w:r w:rsidR="00EB69F1">
        <w:fldChar w:fldCharType="end"/>
      </w:r>
      <w:r w:rsidR="007939BD">
        <w:t>.</w:t>
      </w:r>
      <w:r w:rsidR="00F9794C">
        <w:t xml:space="preserve"> The </w:t>
      </w:r>
      <w:r w:rsidR="00374984">
        <w:t>Semiannual</w:t>
      </w:r>
      <w:r w:rsidR="00F9794C">
        <w:t xml:space="preserve"> reports will serve as inputs to completing the Project Monitoring Report (PMR), which is the IDB’s main tool for monitoring progress towards meeting the indicator targets.</w:t>
      </w:r>
    </w:p>
    <w:p w14:paraId="3B3E251E" w14:textId="77777777" w:rsidR="00DE20B8" w:rsidRPr="00A248F0" w:rsidRDefault="00DE20B8" w:rsidP="00DE20B8">
      <w:pPr>
        <w:pStyle w:val="Subheading"/>
      </w:pPr>
      <w:r w:rsidRPr="00A248F0">
        <w:lastRenderedPageBreak/>
        <w:t>Content</w:t>
      </w:r>
    </w:p>
    <w:p w14:paraId="5A22B6DB" w14:textId="77777777" w:rsidR="00DE20B8" w:rsidRDefault="00DE20B8" w:rsidP="00DE20B8">
      <w:pPr>
        <w:pStyle w:val="BodyText"/>
      </w:pPr>
      <w:r w:rsidRPr="00A248F0">
        <w:t xml:space="preserve">Semi-Annual Reports </w:t>
      </w:r>
      <w:r w:rsidR="00B519F2">
        <w:t xml:space="preserve">contain </w:t>
      </w:r>
      <w:r w:rsidR="00CC6AD0">
        <w:t>four</w:t>
      </w:r>
      <w:r w:rsidR="00B519F2">
        <w:t xml:space="preserve"> components:</w:t>
      </w:r>
    </w:p>
    <w:p w14:paraId="00CDC9ED" w14:textId="77777777" w:rsidR="00B205FD" w:rsidRPr="00B205FD" w:rsidRDefault="00CE6669" w:rsidP="003A2673">
      <w:pPr>
        <w:pStyle w:val="ListBullet"/>
      </w:pPr>
      <w:r w:rsidRPr="000755C0">
        <w:rPr>
          <w:b/>
        </w:rPr>
        <w:t>Execution Plans</w:t>
      </w:r>
      <w:r>
        <w:t>—</w:t>
      </w:r>
      <w:r w:rsidR="002D3482">
        <w:t xml:space="preserve">present Gantt charts that show the </w:t>
      </w:r>
      <w:r>
        <w:rPr>
          <w:snapToGrid w:val="0"/>
        </w:rPr>
        <w:t>Pr</w:t>
      </w:r>
      <w:r w:rsidR="002D3482">
        <w:rPr>
          <w:snapToGrid w:val="0"/>
        </w:rPr>
        <w:t xml:space="preserve">ogram’s </w:t>
      </w:r>
      <w:r>
        <w:rPr>
          <w:snapToGrid w:val="0"/>
        </w:rPr>
        <w:t>progress</w:t>
      </w:r>
      <w:r w:rsidR="002D3482">
        <w:rPr>
          <w:snapToGrid w:val="0"/>
        </w:rPr>
        <w:t xml:space="preserve"> towards com</w:t>
      </w:r>
      <w:r w:rsidR="003A2673">
        <w:rPr>
          <w:snapToGrid w:val="0"/>
        </w:rPr>
        <w:t xml:space="preserve">pleting the tasks </w:t>
      </w:r>
      <w:r w:rsidR="00EB69F1">
        <w:rPr>
          <w:snapToGrid w:val="0"/>
        </w:rPr>
        <w:t>for fulfilling</w:t>
      </w:r>
      <w:r w:rsidR="002D3482">
        <w:rPr>
          <w:snapToGrid w:val="0"/>
        </w:rPr>
        <w:t xml:space="preserve"> outputs</w:t>
      </w:r>
      <w:r w:rsidR="003A2673">
        <w:rPr>
          <w:snapToGrid w:val="0"/>
        </w:rPr>
        <w:t xml:space="preserve">. The Gantt charts present updated timelines that show any planned changes in </w:t>
      </w:r>
      <w:r w:rsidR="00ED4CE7">
        <w:rPr>
          <w:snapToGrid w:val="0"/>
        </w:rPr>
        <w:t>carrying out</w:t>
      </w:r>
      <w:r w:rsidR="003A2673">
        <w:rPr>
          <w:snapToGrid w:val="0"/>
        </w:rPr>
        <w:t xml:space="preserve"> the tasks within each Component. </w:t>
      </w:r>
      <w:r w:rsidR="0055371A">
        <w:rPr>
          <w:snapToGrid w:val="0"/>
        </w:rPr>
        <w:t xml:space="preserve">Two execution plans are presented: the Pluri-annual </w:t>
      </w:r>
      <w:r w:rsidR="003A2673">
        <w:rPr>
          <w:snapToGrid w:val="0"/>
        </w:rPr>
        <w:t>Execution Plan (PEP) which</w:t>
      </w:r>
      <w:r w:rsidR="00B4034B">
        <w:rPr>
          <w:snapToGrid w:val="0"/>
        </w:rPr>
        <w:t xml:space="preserve"> covers the complete execution period and the Annual Ope</w:t>
      </w:r>
      <w:r w:rsidR="003A2673">
        <w:rPr>
          <w:snapToGrid w:val="0"/>
        </w:rPr>
        <w:t>ration Plan (POA) which covers the following twelve</w:t>
      </w:r>
      <w:r w:rsidR="00ED4CE7">
        <w:rPr>
          <w:snapToGrid w:val="0"/>
        </w:rPr>
        <w:t>-</w:t>
      </w:r>
      <w:r w:rsidR="003A2673">
        <w:rPr>
          <w:snapToGrid w:val="0"/>
        </w:rPr>
        <w:t>month period. The execution p</w:t>
      </w:r>
      <w:r w:rsidR="00B4034B">
        <w:rPr>
          <w:snapToGrid w:val="0"/>
        </w:rPr>
        <w:t>lan</w:t>
      </w:r>
      <w:r w:rsidR="003A2673">
        <w:rPr>
          <w:snapToGrid w:val="0"/>
        </w:rPr>
        <w:t>s</w:t>
      </w:r>
      <w:r w:rsidR="00ED4CE7">
        <w:rPr>
          <w:snapToGrid w:val="0"/>
        </w:rPr>
        <w:t xml:space="preserve"> should</w:t>
      </w:r>
      <w:r w:rsidR="003A2673">
        <w:rPr>
          <w:snapToGrid w:val="0"/>
        </w:rPr>
        <w:t xml:space="preserve"> assign costs to </w:t>
      </w:r>
      <w:r w:rsidR="007F70B8">
        <w:rPr>
          <w:snapToGrid w:val="0"/>
        </w:rPr>
        <w:t xml:space="preserve">each </w:t>
      </w:r>
      <w:r w:rsidR="003A2673">
        <w:rPr>
          <w:snapToGrid w:val="0"/>
        </w:rPr>
        <w:t>task to track t</w:t>
      </w:r>
      <w:r w:rsidR="007F70B8">
        <w:rPr>
          <w:snapToGrid w:val="0"/>
        </w:rPr>
        <w:t>he financial progress of the Program.</w:t>
      </w:r>
      <w:r w:rsidR="0055371A">
        <w:rPr>
          <w:snapToGrid w:val="0"/>
        </w:rPr>
        <w:t xml:space="preserve"> </w:t>
      </w:r>
      <w:r w:rsidR="00ED4CE7">
        <w:rPr>
          <w:snapToGrid w:val="0"/>
        </w:rPr>
        <w:t>In addition, t</w:t>
      </w:r>
      <w:r w:rsidR="00AD2D17">
        <w:rPr>
          <w:snapToGrid w:val="0"/>
        </w:rPr>
        <w:t>he EA should attach a bank statement</w:t>
      </w:r>
      <w:r w:rsidR="003A2673">
        <w:rPr>
          <w:snapToGrid w:val="0"/>
        </w:rPr>
        <w:t xml:space="preserve"> with the execution plans</w:t>
      </w:r>
      <w:r w:rsidR="00EB69F1">
        <w:rPr>
          <w:snapToGrid w:val="0"/>
        </w:rPr>
        <w:t>, which t</w:t>
      </w:r>
      <w:r w:rsidR="00AD2D17">
        <w:rPr>
          <w:snapToGrid w:val="0"/>
        </w:rPr>
        <w:t>he IDB will use to validate the progress reported in</w:t>
      </w:r>
      <w:r w:rsidR="00EB69F1">
        <w:rPr>
          <w:snapToGrid w:val="0"/>
        </w:rPr>
        <w:t xml:space="preserve"> the execution plans against actual disbursements</w:t>
      </w:r>
    </w:p>
    <w:p w14:paraId="71C83ED2" w14:textId="77777777" w:rsidR="00CE6669" w:rsidRPr="00EB69F1" w:rsidRDefault="00CE6669" w:rsidP="00B519F2">
      <w:pPr>
        <w:pStyle w:val="ListBullet"/>
      </w:pPr>
      <w:r w:rsidRPr="000755C0">
        <w:rPr>
          <w:b/>
        </w:rPr>
        <w:t>Financial and Procurement Plans</w:t>
      </w:r>
      <w:r>
        <w:t>—</w:t>
      </w:r>
      <w:r w:rsidR="007F70B8">
        <w:t>show the planned disbursements and procurement acti</w:t>
      </w:r>
      <w:r w:rsidR="00ED4CE7">
        <w:t>vities for the following twelve-</w:t>
      </w:r>
      <w:r w:rsidR="007F70B8">
        <w:t>month period. The Financial Plan presents a financial projection o</w:t>
      </w:r>
      <w:r w:rsidR="00AD2D17">
        <w:t xml:space="preserve">f the planned disbursements that should coincide with the planned </w:t>
      </w:r>
      <w:r w:rsidR="00ED4CE7">
        <w:t>tasks</w:t>
      </w:r>
      <w:r w:rsidR="00AD2D17">
        <w:t xml:space="preserve"> included in the execution plans. The Procurement Plan shows </w:t>
      </w:r>
      <w:r w:rsidR="00AD2D17" w:rsidRPr="00EB69F1">
        <w:t>procurement activities</w:t>
      </w:r>
      <w:r w:rsidR="00B14691" w:rsidRPr="00EB69F1">
        <w:t xml:space="preserve"> the EA</w:t>
      </w:r>
      <w:r w:rsidR="00B641B8" w:rsidRPr="00EB69F1">
        <w:t xml:space="preserve"> </w:t>
      </w:r>
      <w:r w:rsidR="000755C0" w:rsidRPr="00EB69F1">
        <w:t xml:space="preserve">will </w:t>
      </w:r>
      <w:r w:rsidR="00B641B8" w:rsidRPr="00EB69F1">
        <w:t xml:space="preserve">carry out directly. </w:t>
      </w:r>
      <w:r w:rsidR="00B14691" w:rsidRPr="00EB69F1">
        <w:t xml:space="preserve"> </w:t>
      </w:r>
      <w:r w:rsidR="00EB69F1" w:rsidRPr="00EB69F1">
        <w:t xml:space="preserve">Generally, </w:t>
      </w:r>
      <w:r w:rsidR="00B641B8" w:rsidRPr="00EB69F1">
        <w:t>the EA’s procurement</w:t>
      </w:r>
      <w:r w:rsidR="000755C0" w:rsidRPr="00EB69F1">
        <w:t xml:space="preserve"> activities</w:t>
      </w:r>
      <w:r w:rsidR="00B641B8" w:rsidRPr="00EB69F1">
        <w:t xml:space="preserve"> will take place </w:t>
      </w:r>
      <w:r w:rsidR="000755C0" w:rsidRPr="00EB69F1">
        <w:t xml:space="preserve">at the beginning </w:t>
      </w:r>
      <w:r w:rsidR="00B641B8" w:rsidRPr="00EB69F1">
        <w:t>and towards the end</w:t>
      </w:r>
      <w:r w:rsidR="000755C0" w:rsidRPr="00EB69F1">
        <w:t xml:space="preserve"> of the Program’s execution period</w:t>
      </w:r>
      <w:r w:rsidR="00B14691" w:rsidRPr="00EB69F1">
        <w:t xml:space="preserve">. </w:t>
      </w:r>
      <w:r w:rsidR="000755C0" w:rsidRPr="00EB69F1">
        <w:t>T</w:t>
      </w:r>
      <w:r w:rsidR="00B14691" w:rsidRPr="00EB69F1">
        <w:t xml:space="preserve">he EA would only </w:t>
      </w:r>
      <w:r w:rsidR="00B641B8" w:rsidRPr="00EB69F1">
        <w:t xml:space="preserve">need to submit Procurement Plans when there are procurement activities planned for the following year </w:t>
      </w:r>
    </w:p>
    <w:p w14:paraId="2A1EE132" w14:textId="77777777" w:rsidR="0031373C" w:rsidRPr="00EB69F1" w:rsidRDefault="00CC6AD0" w:rsidP="0031373C">
      <w:pPr>
        <w:pStyle w:val="ListBullet"/>
        <w:rPr>
          <w:lang w:eastAsia="ja-JP"/>
        </w:rPr>
      </w:pPr>
      <w:r w:rsidRPr="00EB69F1">
        <w:rPr>
          <w:b/>
          <w:lang w:eastAsia="ja-JP"/>
        </w:rPr>
        <w:t xml:space="preserve">Updated </w:t>
      </w:r>
      <w:r w:rsidRPr="00EB69F1">
        <w:rPr>
          <w:b/>
        </w:rPr>
        <w:t>Risk Matrix</w:t>
      </w:r>
      <w:r w:rsidR="00CE6669" w:rsidRPr="00EB69F1">
        <w:t>—</w:t>
      </w:r>
      <w:r w:rsidR="0031373C" w:rsidRPr="00EB69F1">
        <w:t xml:space="preserve">shows the </w:t>
      </w:r>
      <w:r w:rsidR="0031373C" w:rsidRPr="00EB69F1">
        <w:rPr>
          <w:snapToGrid w:val="0"/>
        </w:rPr>
        <w:t xml:space="preserve">status of risks identified </w:t>
      </w:r>
      <w:r w:rsidR="00435A21">
        <w:rPr>
          <w:snapToGrid w:val="0"/>
        </w:rPr>
        <w:t>in the Risk Matrix of the Program</w:t>
      </w:r>
      <w:r w:rsidR="0031373C" w:rsidRPr="00EB69F1">
        <w:rPr>
          <w:snapToGrid w:val="0"/>
        </w:rPr>
        <w:t>, as well as proposed actions or mitigation measures</w:t>
      </w:r>
      <w:r w:rsidR="00781152">
        <w:rPr>
          <w:snapToGrid w:val="0"/>
        </w:rPr>
        <w:t>. It also identifies any</w:t>
      </w:r>
      <w:r w:rsidR="0031373C" w:rsidRPr="00EB69F1">
        <w:rPr>
          <w:snapToGrid w:val="0"/>
        </w:rPr>
        <w:t xml:space="preserve"> new issues</w:t>
      </w:r>
      <w:r w:rsidR="00781152">
        <w:rPr>
          <w:snapToGrid w:val="0"/>
        </w:rPr>
        <w:t>,</w:t>
      </w:r>
      <w:r w:rsidR="0031373C" w:rsidRPr="00EB69F1">
        <w:rPr>
          <w:snapToGrid w:val="0"/>
        </w:rPr>
        <w:t xml:space="preserve"> risks</w:t>
      </w:r>
      <w:r w:rsidR="00781152">
        <w:rPr>
          <w:snapToGrid w:val="0"/>
        </w:rPr>
        <w:t>,</w:t>
      </w:r>
      <w:r w:rsidR="0031373C" w:rsidRPr="00EB69F1">
        <w:rPr>
          <w:snapToGrid w:val="0"/>
        </w:rPr>
        <w:t xml:space="preserve"> </w:t>
      </w:r>
      <w:r w:rsidR="00781152">
        <w:rPr>
          <w:snapToGrid w:val="0"/>
        </w:rPr>
        <w:t xml:space="preserve">and </w:t>
      </w:r>
      <w:r w:rsidR="0031373C" w:rsidRPr="00EB69F1">
        <w:rPr>
          <w:snapToGrid w:val="0"/>
        </w:rPr>
        <w:t xml:space="preserve">events that </w:t>
      </w:r>
      <w:r w:rsidR="00781152">
        <w:rPr>
          <w:snapToGrid w:val="0"/>
        </w:rPr>
        <w:t xml:space="preserve">affect or </w:t>
      </w:r>
      <w:r w:rsidR="0031373C" w:rsidRPr="00EB69F1">
        <w:rPr>
          <w:snapToGrid w:val="0"/>
        </w:rPr>
        <w:t>may potentially affect the future</w:t>
      </w:r>
      <w:r w:rsidR="00EB69F1">
        <w:rPr>
          <w:snapToGrid w:val="0"/>
        </w:rPr>
        <w:t xml:space="preserve"> implementation of the Project</w:t>
      </w:r>
    </w:p>
    <w:p w14:paraId="7DB2178C" w14:textId="77777777" w:rsidR="0031373C" w:rsidRPr="00EB69F1" w:rsidRDefault="002D3482" w:rsidP="0031373C">
      <w:pPr>
        <w:pStyle w:val="ListBullet"/>
        <w:rPr>
          <w:lang w:eastAsia="ja-JP"/>
        </w:rPr>
      </w:pPr>
      <w:r w:rsidRPr="00EB69F1">
        <w:rPr>
          <w:b/>
          <w:lang w:eastAsia="ja-JP"/>
        </w:rPr>
        <w:t xml:space="preserve">Updated </w:t>
      </w:r>
      <w:r w:rsidR="0031373C" w:rsidRPr="00EB69F1">
        <w:rPr>
          <w:b/>
          <w:lang w:eastAsia="ja-JP"/>
        </w:rPr>
        <w:t>Results Matrix</w:t>
      </w:r>
      <w:r w:rsidR="0031373C" w:rsidRPr="00EB69F1">
        <w:rPr>
          <w:lang w:eastAsia="ja-JP"/>
        </w:rPr>
        <w:t>—</w:t>
      </w:r>
      <w:r w:rsidR="00CC6AD0" w:rsidRPr="00EB69F1">
        <w:rPr>
          <w:lang w:eastAsia="ja-JP"/>
        </w:rPr>
        <w:t>s</w:t>
      </w:r>
      <w:r w:rsidRPr="00EB69F1">
        <w:rPr>
          <w:lang w:eastAsia="ja-JP"/>
        </w:rPr>
        <w:t>hows the progress towards the targets listed for each indicator in t</w:t>
      </w:r>
      <w:r w:rsidR="00435A21">
        <w:rPr>
          <w:lang w:eastAsia="ja-JP"/>
        </w:rPr>
        <w:t>he Results Matrix of the Program</w:t>
      </w:r>
      <w:r w:rsidRPr="00EB69F1">
        <w:rPr>
          <w:lang w:eastAsia="ja-JP"/>
        </w:rPr>
        <w:t xml:space="preserve">. </w:t>
      </w:r>
    </w:p>
    <w:p w14:paraId="343E54A4" w14:textId="77777777" w:rsidR="0031373C" w:rsidRDefault="002D3482" w:rsidP="0031373C">
      <w:pPr>
        <w:pStyle w:val="ListBullet"/>
        <w:rPr>
          <w:lang w:eastAsia="ja-JP"/>
        </w:rPr>
      </w:pPr>
      <w:r w:rsidRPr="00EB69F1">
        <w:rPr>
          <w:b/>
        </w:rPr>
        <w:t>Lessons L</w:t>
      </w:r>
      <w:r w:rsidR="000755C0" w:rsidRPr="00EB69F1">
        <w:rPr>
          <w:b/>
        </w:rPr>
        <w:t>earned</w:t>
      </w:r>
      <w:r w:rsidR="000755C0" w:rsidRPr="00EB69F1">
        <w:t>—</w:t>
      </w:r>
      <w:r w:rsidR="000003EC" w:rsidRPr="00EB69F1">
        <w:rPr>
          <w:snapToGrid w:val="0"/>
        </w:rPr>
        <w:t>present</w:t>
      </w:r>
      <w:r w:rsidRPr="00EB69F1">
        <w:rPr>
          <w:snapToGrid w:val="0"/>
        </w:rPr>
        <w:t>s</w:t>
      </w:r>
      <w:r w:rsidR="000003EC" w:rsidRPr="00EB69F1">
        <w:rPr>
          <w:snapToGrid w:val="0"/>
        </w:rPr>
        <w:t xml:space="preserve"> the </w:t>
      </w:r>
      <w:r w:rsidR="0031373C" w:rsidRPr="00EB69F1">
        <w:rPr>
          <w:snapToGrid w:val="0"/>
        </w:rPr>
        <w:t>lessons learned and</w:t>
      </w:r>
      <w:r w:rsidR="000003EC" w:rsidRPr="00EB69F1">
        <w:rPr>
          <w:snapToGrid w:val="0"/>
        </w:rPr>
        <w:t xml:space="preserve"> </w:t>
      </w:r>
      <w:r w:rsidR="0031373C" w:rsidRPr="00EB69F1">
        <w:rPr>
          <w:snapToGrid w:val="0"/>
        </w:rPr>
        <w:t xml:space="preserve">any other information required to ensure the successful implementation of the Project. </w:t>
      </w:r>
      <w:r w:rsidR="0031373C" w:rsidRPr="00EB69F1">
        <w:rPr>
          <w:lang w:eastAsia="ja-JP"/>
        </w:rPr>
        <w:t xml:space="preserve"> </w:t>
      </w:r>
    </w:p>
    <w:p w14:paraId="5241FF49" w14:textId="5A5E5D38" w:rsidR="00092854" w:rsidRDefault="00092854" w:rsidP="00261A1C">
      <w:pPr>
        <w:pStyle w:val="Heading3"/>
        <w:rPr>
          <w:lang w:eastAsia="ja-JP"/>
        </w:rPr>
      </w:pPr>
      <w:bookmarkStart w:id="16" w:name="_Toc424286972"/>
      <w:r>
        <w:rPr>
          <w:lang w:eastAsia="ja-JP"/>
        </w:rPr>
        <w:t xml:space="preserve">Due Diligence </w:t>
      </w:r>
      <w:r w:rsidR="006C72B4">
        <w:rPr>
          <w:lang w:eastAsia="ja-JP"/>
        </w:rPr>
        <w:t>and Annual Supervision</w:t>
      </w:r>
      <w:r w:rsidR="007F396C">
        <w:rPr>
          <w:lang w:eastAsia="ja-JP"/>
        </w:rPr>
        <w:t xml:space="preserve"> Missions</w:t>
      </w:r>
    </w:p>
    <w:p w14:paraId="541B3A54" w14:textId="77777777" w:rsidR="00723FB6" w:rsidRDefault="00092854" w:rsidP="00092854">
      <w:pPr>
        <w:pStyle w:val="BodyText"/>
        <w:rPr>
          <w:lang w:eastAsia="ja-JP"/>
        </w:rPr>
      </w:pPr>
      <w:r>
        <w:rPr>
          <w:lang w:eastAsia="ja-JP"/>
        </w:rPr>
        <w:t xml:space="preserve">There will be due diligence for each </w:t>
      </w:r>
      <w:r w:rsidR="00346E4F">
        <w:rPr>
          <w:lang w:eastAsia="ja-JP"/>
        </w:rPr>
        <w:t>Category A proposed</w:t>
      </w:r>
      <w:r>
        <w:rPr>
          <w:lang w:eastAsia="ja-JP"/>
        </w:rPr>
        <w:t xml:space="preserve"> renewable energy </w:t>
      </w:r>
      <w:r w:rsidR="00346E4F">
        <w:rPr>
          <w:lang w:eastAsia="ja-JP"/>
        </w:rPr>
        <w:t>project</w:t>
      </w:r>
      <w:r>
        <w:rPr>
          <w:lang w:eastAsia="ja-JP"/>
        </w:rPr>
        <w:t>.</w:t>
      </w:r>
      <w:r w:rsidR="00346E4F">
        <w:rPr>
          <w:lang w:eastAsia="ja-JP"/>
        </w:rPr>
        <w:t xml:space="preserve"> There will be one due diligence mission at the beginning of the projects.</w:t>
      </w:r>
      <w:r>
        <w:rPr>
          <w:lang w:eastAsia="ja-JP"/>
        </w:rPr>
        <w:t xml:space="preserve"> </w:t>
      </w:r>
      <w:r w:rsidR="006C72B4">
        <w:rPr>
          <w:lang w:eastAsia="ja-JP"/>
        </w:rPr>
        <w:t xml:space="preserve">Following that, there will be annual supervision missions </w:t>
      </w:r>
      <w:r w:rsidR="00723FB6">
        <w:rPr>
          <w:lang w:eastAsia="ja-JP"/>
        </w:rPr>
        <w:t>for the following</w:t>
      </w:r>
      <w:r w:rsidR="006C72B4">
        <w:rPr>
          <w:lang w:eastAsia="ja-JP"/>
        </w:rPr>
        <w:t xml:space="preserve"> five years, ending in </w:t>
      </w:r>
      <w:r w:rsidR="00164759">
        <w:rPr>
          <w:lang w:eastAsia="ja-JP"/>
        </w:rPr>
        <w:t xml:space="preserve">year six of the Program. </w:t>
      </w:r>
    </w:p>
    <w:p w14:paraId="521FF801" w14:textId="5FDA5954" w:rsidR="00092854" w:rsidRDefault="0000737F" w:rsidP="00092854">
      <w:pPr>
        <w:pStyle w:val="BodyText"/>
        <w:rPr>
          <w:lang w:eastAsia="ja-JP"/>
        </w:rPr>
      </w:pPr>
      <w:r>
        <w:rPr>
          <w:lang w:eastAsia="ja-JP"/>
        </w:rPr>
        <w:t xml:space="preserve">The IDB will be responsible for hiring </w:t>
      </w:r>
      <w:r w:rsidR="00723FB6">
        <w:rPr>
          <w:lang w:eastAsia="ja-JP"/>
        </w:rPr>
        <w:t>external</w:t>
      </w:r>
      <w:r>
        <w:rPr>
          <w:lang w:eastAsia="ja-JP"/>
        </w:rPr>
        <w:t xml:space="preserve"> consultant</w:t>
      </w:r>
      <w:r w:rsidR="00723FB6">
        <w:rPr>
          <w:lang w:eastAsia="ja-JP"/>
        </w:rPr>
        <w:t>s</w:t>
      </w:r>
      <w:r>
        <w:rPr>
          <w:lang w:eastAsia="ja-JP"/>
        </w:rPr>
        <w:t xml:space="preserve"> </w:t>
      </w:r>
      <w:r w:rsidR="00723FB6">
        <w:rPr>
          <w:lang w:eastAsia="ja-JP"/>
        </w:rPr>
        <w:t>to</w:t>
      </w:r>
      <w:r>
        <w:rPr>
          <w:lang w:eastAsia="ja-JP"/>
        </w:rPr>
        <w:t xml:space="preserve"> carry out the due diligence </w:t>
      </w:r>
      <w:r w:rsidR="00164759">
        <w:rPr>
          <w:lang w:eastAsia="ja-JP"/>
        </w:rPr>
        <w:t xml:space="preserve">and supervisions missions </w:t>
      </w:r>
      <w:r>
        <w:rPr>
          <w:lang w:eastAsia="ja-JP"/>
        </w:rPr>
        <w:t>for the renewable energy projects financed through the Program. The due diligence missions should occur during year 1 of the Program</w:t>
      </w:r>
      <w:r w:rsidR="00723FB6">
        <w:rPr>
          <w:lang w:eastAsia="ja-JP"/>
        </w:rPr>
        <w:t>,</w:t>
      </w:r>
      <w:r>
        <w:rPr>
          <w:lang w:eastAsia="ja-JP"/>
        </w:rPr>
        <w:t xml:space="preserve"> prior to </w:t>
      </w:r>
      <w:r w:rsidR="00723FB6">
        <w:rPr>
          <w:lang w:eastAsia="ja-JP"/>
        </w:rPr>
        <w:t>the</w:t>
      </w:r>
      <w:r>
        <w:rPr>
          <w:lang w:eastAsia="ja-JP"/>
        </w:rPr>
        <w:t xml:space="preserve"> first disbursements made to the projects. </w:t>
      </w:r>
      <w:r w:rsidR="00164759">
        <w:rPr>
          <w:lang w:eastAsia="ja-JP"/>
        </w:rPr>
        <w:t>The supervision missions will occur on an annual basis</w:t>
      </w:r>
      <w:r w:rsidR="00723FB6">
        <w:rPr>
          <w:lang w:eastAsia="ja-JP"/>
        </w:rPr>
        <w:t>,</w:t>
      </w:r>
      <w:r w:rsidR="00164759">
        <w:rPr>
          <w:lang w:eastAsia="ja-JP"/>
        </w:rPr>
        <w:t xml:space="preserve"> starting in year two and </w:t>
      </w:r>
      <w:r w:rsidR="005C08C9">
        <w:rPr>
          <w:lang w:eastAsia="ja-JP"/>
        </w:rPr>
        <w:t>until program completion</w:t>
      </w:r>
      <w:r w:rsidR="00164759">
        <w:rPr>
          <w:lang w:eastAsia="ja-JP"/>
        </w:rPr>
        <w:t xml:space="preserve">. </w:t>
      </w:r>
    </w:p>
    <w:p w14:paraId="786F2D5C" w14:textId="0B3FC64A" w:rsidR="0000737F" w:rsidRPr="00A248F0" w:rsidRDefault="0000737F" w:rsidP="0000737F">
      <w:pPr>
        <w:pStyle w:val="Subheading"/>
      </w:pPr>
      <w:r w:rsidRPr="00A248F0">
        <w:t>Purpose</w:t>
      </w:r>
    </w:p>
    <w:p w14:paraId="5C2C1510" w14:textId="18673F8A" w:rsidR="0000737F" w:rsidRPr="00A248F0" w:rsidRDefault="00723FB6" w:rsidP="0000737F">
      <w:pPr>
        <w:pStyle w:val="BodyText"/>
      </w:pPr>
      <w:r>
        <w:rPr>
          <w:lang w:eastAsia="ja-JP"/>
        </w:rPr>
        <w:t xml:space="preserve">The purpose of the due diligence missions is to provide an </w:t>
      </w:r>
      <w:r w:rsidR="00B476DA">
        <w:rPr>
          <w:lang w:eastAsia="ja-JP"/>
        </w:rPr>
        <w:t>independent</w:t>
      </w:r>
      <w:r>
        <w:rPr>
          <w:lang w:eastAsia="ja-JP"/>
        </w:rPr>
        <w:t xml:space="preserve"> opinion about the viability of the projects</w:t>
      </w:r>
      <w:r w:rsidR="00B476DA">
        <w:rPr>
          <w:lang w:eastAsia="ja-JP"/>
        </w:rPr>
        <w:t xml:space="preserve"> and their progress</w:t>
      </w:r>
      <w:r>
        <w:rPr>
          <w:lang w:eastAsia="ja-JP"/>
        </w:rPr>
        <w:t xml:space="preserve">. Specifically, the due diligence will verify the financial and technical information included in the loan applications and inform the IDB and </w:t>
      </w:r>
      <w:r>
        <w:rPr>
          <w:lang w:eastAsia="ja-JP"/>
        </w:rPr>
        <w:lastRenderedPageBreak/>
        <w:t>other donors of the risks. The supervision missions will provide an unbiased technical opinio</w:t>
      </w:r>
      <w:r w:rsidR="00B476DA">
        <w:rPr>
          <w:lang w:eastAsia="ja-JP"/>
        </w:rPr>
        <w:t>n about the projects’ progress</w:t>
      </w:r>
      <w:r w:rsidR="0000737F">
        <w:rPr>
          <w:lang w:eastAsia="ja-JP"/>
        </w:rPr>
        <w:t xml:space="preserve">. </w:t>
      </w:r>
    </w:p>
    <w:p w14:paraId="2230DD35" w14:textId="77777777" w:rsidR="0000737F" w:rsidRPr="00A248F0" w:rsidRDefault="0000737F" w:rsidP="0000737F">
      <w:pPr>
        <w:pStyle w:val="Subheading"/>
      </w:pPr>
      <w:r w:rsidRPr="00A248F0">
        <w:t>Content</w:t>
      </w:r>
    </w:p>
    <w:p w14:paraId="47A2FE4A" w14:textId="7E31B538" w:rsidR="0000737F" w:rsidRDefault="0000737F" w:rsidP="0000737F">
      <w:pPr>
        <w:pStyle w:val="BodyText"/>
        <w:rPr>
          <w:lang w:eastAsia="ja-JP"/>
        </w:rPr>
      </w:pPr>
      <w:r>
        <w:rPr>
          <w:lang w:eastAsia="ja-JP"/>
        </w:rPr>
        <w:t xml:space="preserve">The IDB </w:t>
      </w:r>
      <w:r w:rsidR="00B476DA">
        <w:rPr>
          <w:lang w:eastAsia="ja-JP"/>
        </w:rPr>
        <w:t xml:space="preserve">will develop the TOR of the </w:t>
      </w:r>
      <w:r>
        <w:rPr>
          <w:lang w:eastAsia="ja-JP"/>
        </w:rPr>
        <w:t>due diligence</w:t>
      </w:r>
      <w:r w:rsidR="00164759">
        <w:rPr>
          <w:lang w:eastAsia="ja-JP"/>
        </w:rPr>
        <w:t xml:space="preserve"> and supervision</w:t>
      </w:r>
      <w:r>
        <w:rPr>
          <w:lang w:eastAsia="ja-JP"/>
        </w:rPr>
        <w:t xml:space="preserve"> missions </w:t>
      </w:r>
      <w:r w:rsidR="00B476DA">
        <w:rPr>
          <w:lang w:eastAsia="ja-JP"/>
        </w:rPr>
        <w:t>and will hire</w:t>
      </w:r>
      <w:r>
        <w:rPr>
          <w:lang w:eastAsia="ja-JP"/>
        </w:rPr>
        <w:t xml:space="preserve"> the consultant</w:t>
      </w:r>
      <w:r w:rsidR="00B476DA">
        <w:rPr>
          <w:lang w:eastAsia="ja-JP"/>
        </w:rPr>
        <w:t>s</w:t>
      </w:r>
      <w:r>
        <w:rPr>
          <w:lang w:eastAsia="ja-JP"/>
        </w:rPr>
        <w:t xml:space="preserve"> that will carry out the due diligence. Once completed, the IDB must review and approve the consultant’s reports</w:t>
      </w:r>
      <w:r w:rsidR="00C56E19">
        <w:rPr>
          <w:lang w:eastAsia="ja-JP"/>
        </w:rPr>
        <w:t>.</w:t>
      </w:r>
    </w:p>
    <w:p w14:paraId="5641D7F1" w14:textId="77777777" w:rsidR="00A10964" w:rsidRPr="00EB69F1" w:rsidRDefault="00A10964" w:rsidP="00261A1C">
      <w:pPr>
        <w:pStyle w:val="Heading3"/>
        <w:rPr>
          <w:lang w:eastAsia="ja-JP"/>
        </w:rPr>
      </w:pPr>
      <w:r w:rsidRPr="00EB69F1">
        <w:rPr>
          <w:lang w:eastAsia="ja-JP"/>
        </w:rPr>
        <w:t>F</w:t>
      </w:r>
      <w:r w:rsidR="00882800" w:rsidRPr="00EB69F1">
        <w:rPr>
          <w:lang w:eastAsia="ja-JP"/>
        </w:rPr>
        <w:t>ield Inspections</w:t>
      </w:r>
      <w:bookmarkEnd w:id="16"/>
    </w:p>
    <w:p w14:paraId="37061384" w14:textId="04408D69" w:rsidR="00882800" w:rsidRDefault="00882800" w:rsidP="00882800">
      <w:pPr>
        <w:pStyle w:val="BodyText"/>
      </w:pPr>
      <w:r w:rsidRPr="00EB69F1">
        <w:t>Field Inspections</w:t>
      </w:r>
      <w:r w:rsidR="00EF18DC">
        <w:t xml:space="preserve"> are </w:t>
      </w:r>
      <w:r w:rsidRPr="00EB69F1">
        <w:t xml:space="preserve">designed to monitor the progress in implementing the EE and RE projects and the technical assistances funded. Field Inspections provide an opportunity for the IDB to validate in the field the progress reported </w:t>
      </w:r>
      <w:r w:rsidRPr="00781152">
        <w:t xml:space="preserve">in the Semi-Annual Reports. The IDB is responsible for coordinating them with support from the </w:t>
      </w:r>
      <w:r w:rsidR="00201E46">
        <w:t>EA,</w:t>
      </w:r>
      <w:r w:rsidR="00781152" w:rsidRPr="00781152">
        <w:t xml:space="preserve"> </w:t>
      </w:r>
      <w:r w:rsidR="00201E46">
        <w:t xml:space="preserve">EC Governments and private sponsors. </w:t>
      </w:r>
      <w:r w:rsidR="00DA307D">
        <w:t xml:space="preserve">Other donors of the SEF that may want to participate in the field inspections will coordinate it with the IDB. </w:t>
      </w:r>
      <w:r w:rsidRPr="00781152">
        <w:t xml:space="preserve">Field inspections are </w:t>
      </w:r>
      <w:r w:rsidR="0072409D">
        <w:t xml:space="preserve">to be </w:t>
      </w:r>
      <w:r w:rsidRPr="00781152">
        <w:t xml:space="preserve">carried out </w:t>
      </w:r>
      <w:r w:rsidR="006C72B4">
        <w:t>semiannually,</w:t>
      </w:r>
      <w:r w:rsidR="00ED4CE7" w:rsidRPr="00781152">
        <w:t xml:space="preserve"> within a 60 day period after </w:t>
      </w:r>
      <w:r w:rsidRPr="00781152">
        <w:t xml:space="preserve">the Semi-Annual Reports are submitted. </w:t>
      </w:r>
    </w:p>
    <w:p w14:paraId="7F27760E" w14:textId="77777777" w:rsidR="00882800" w:rsidRPr="00A248F0" w:rsidRDefault="00882800" w:rsidP="00882800">
      <w:pPr>
        <w:pStyle w:val="Subheading"/>
      </w:pPr>
      <w:r w:rsidRPr="00A248F0">
        <w:t>Purpose</w:t>
      </w:r>
    </w:p>
    <w:p w14:paraId="27E905C0" w14:textId="77777777" w:rsidR="00882800" w:rsidRPr="00A248F0" w:rsidRDefault="00882800" w:rsidP="00882800">
      <w:pPr>
        <w:pStyle w:val="BodyText"/>
      </w:pPr>
      <w:r w:rsidRPr="00A248F0">
        <w:t xml:space="preserve">The purpose of the </w:t>
      </w:r>
      <w:r>
        <w:t>Field Inspections</w:t>
      </w:r>
      <w:r w:rsidRPr="00A248F0">
        <w:t xml:space="preserve"> is to track and </w:t>
      </w:r>
      <w:r>
        <w:t xml:space="preserve">confirm </w:t>
      </w:r>
      <w:r w:rsidRPr="00A248F0">
        <w:t xml:space="preserve">the </w:t>
      </w:r>
      <w:r>
        <w:t>Program’s</w:t>
      </w:r>
      <w:r w:rsidRPr="00A248F0">
        <w:t xml:space="preserve"> progress towards targets listed for </w:t>
      </w:r>
      <w:r>
        <w:t xml:space="preserve">each indicator </w:t>
      </w:r>
      <w:r w:rsidR="00781152">
        <w:t>included in</w:t>
      </w:r>
      <w:r>
        <w:t xml:space="preserve"> the </w:t>
      </w:r>
      <w:r w:rsidRPr="00A248F0">
        <w:t xml:space="preserve">Results </w:t>
      </w:r>
      <w:r>
        <w:t xml:space="preserve">Matrix. </w:t>
      </w:r>
    </w:p>
    <w:p w14:paraId="318E6A99" w14:textId="77777777" w:rsidR="00882800" w:rsidRPr="00A248F0" w:rsidRDefault="00882800" w:rsidP="00882800">
      <w:pPr>
        <w:pStyle w:val="Subheading"/>
      </w:pPr>
      <w:r w:rsidRPr="00A248F0">
        <w:t>Content</w:t>
      </w:r>
    </w:p>
    <w:p w14:paraId="3F9C2CE0" w14:textId="77777777" w:rsidR="00882800" w:rsidRDefault="00B42FB1" w:rsidP="00882800">
      <w:pPr>
        <w:pStyle w:val="BodyText"/>
        <w:rPr>
          <w:lang w:eastAsia="ja-JP"/>
        </w:rPr>
      </w:pPr>
      <w:r w:rsidRPr="00781152">
        <w:rPr>
          <w:lang w:eastAsia="ja-JP"/>
        </w:rPr>
        <w:t>Field Inspections include</w:t>
      </w:r>
      <w:r w:rsidR="00781152" w:rsidRPr="00781152">
        <w:rPr>
          <w:lang w:eastAsia="ja-JP"/>
        </w:rPr>
        <w:t xml:space="preserve"> field visits and </w:t>
      </w:r>
      <w:r w:rsidRPr="00781152">
        <w:rPr>
          <w:lang w:eastAsia="ja-JP"/>
        </w:rPr>
        <w:t>meetings between the</w:t>
      </w:r>
      <w:r w:rsidR="00885E57">
        <w:rPr>
          <w:lang w:eastAsia="ja-JP"/>
        </w:rPr>
        <w:t xml:space="preserve"> IDB, the</w:t>
      </w:r>
      <w:r w:rsidRPr="00781152">
        <w:rPr>
          <w:lang w:eastAsia="ja-JP"/>
        </w:rPr>
        <w:t xml:space="preserve"> EA</w:t>
      </w:r>
      <w:r w:rsidR="00885E57">
        <w:rPr>
          <w:lang w:eastAsia="ja-JP"/>
        </w:rPr>
        <w:t>,</w:t>
      </w:r>
      <w:r w:rsidRPr="00781152">
        <w:rPr>
          <w:lang w:eastAsia="ja-JP"/>
        </w:rPr>
        <w:t xml:space="preserve"> and the EC </w:t>
      </w:r>
      <w:r w:rsidR="00201E46">
        <w:rPr>
          <w:lang w:eastAsia="ja-JP"/>
        </w:rPr>
        <w:t>Governments</w:t>
      </w:r>
      <w:r w:rsidRPr="00781152">
        <w:rPr>
          <w:lang w:eastAsia="ja-JP"/>
        </w:rPr>
        <w:t xml:space="preserve"> and/or private sponsors that signed project agreements with the EA.  </w:t>
      </w:r>
    </w:p>
    <w:p w14:paraId="462414C6" w14:textId="5601F8AF" w:rsidR="00520757" w:rsidRDefault="00894A42" w:rsidP="00520757">
      <w:pPr>
        <w:pStyle w:val="Heading3"/>
        <w:rPr>
          <w:lang w:eastAsia="ja-JP"/>
        </w:rPr>
      </w:pPr>
      <w:bookmarkStart w:id="17" w:name="_Toc424286973"/>
      <w:r>
        <w:rPr>
          <w:lang w:eastAsia="ja-JP"/>
        </w:rPr>
        <w:t>Audited Financial Statements</w:t>
      </w:r>
      <w:bookmarkEnd w:id="17"/>
      <w:r w:rsidR="00A10964">
        <w:rPr>
          <w:lang w:eastAsia="ja-JP"/>
        </w:rPr>
        <w:t xml:space="preserve"> </w:t>
      </w:r>
    </w:p>
    <w:p w14:paraId="38AFB5CF" w14:textId="77777777" w:rsidR="00520757" w:rsidRDefault="00520757" w:rsidP="00520757">
      <w:pPr>
        <w:pStyle w:val="BodyText"/>
        <w:rPr>
          <w:lang w:eastAsia="ja-JP"/>
        </w:rPr>
      </w:pPr>
      <w:r>
        <w:rPr>
          <w:lang w:eastAsia="ja-JP"/>
        </w:rPr>
        <w:t xml:space="preserve">The EA will submit to the IDB: </w:t>
      </w:r>
    </w:p>
    <w:p w14:paraId="42FF04B0" w14:textId="77777777" w:rsidR="00520757" w:rsidRDefault="00520757" w:rsidP="00520757">
      <w:pPr>
        <w:pStyle w:val="BodyText"/>
      </w:pPr>
      <w:r>
        <w:t>(a) Annual Audited Financial Statements (AFS) of the CDB.  These reports are to be presented to the Bank within 180 days following the end of CDB’s fiscal year end, December 31</w:t>
      </w:r>
      <w:r w:rsidRPr="00520757">
        <w:rPr>
          <w:vertAlign w:val="superscript"/>
        </w:rPr>
        <w:t>st</w:t>
      </w:r>
      <w:r>
        <w:t xml:space="preserve">; </w:t>
      </w:r>
    </w:p>
    <w:p w14:paraId="303AE581" w14:textId="39FA680D" w:rsidR="00520757" w:rsidRDefault="00520757" w:rsidP="00520757">
      <w:pPr>
        <w:pStyle w:val="BodyText"/>
      </w:pPr>
      <w:r>
        <w:t xml:space="preserve">(b) Assurance Reports on the Process of Preparation and Submission of Disbursement Requests </w:t>
      </w:r>
      <w:r w:rsidR="00DD26BB">
        <w:t xml:space="preserve">(Assurance Reports) </w:t>
      </w:r>
      <w:r>
        <w:t>to be conducted by an independent audit firm that is eligible to the Bank, and the report submitted within 180 days following the end of CDB’s fiscal year end, December 31st and should be audited by a firm of independent public accountants.</w:t>
      </w:r>
    </w:p>
    <w:p w14:paraId="7FAF923F" w14:textId="164F2C89" w:rsidR="00520757" w:rsidRPr="00520757" w:rsidRDefault="00520757" w:rsidP="00520757">
      <w:pPr>
        <w:pStyle w:val="Subheading"/>
        <w:rPr>
          <w:b w:val="0"/>
        </w:rPr>
      </w:pPr>
      <w:r>
        <w:rPr>
          <w:b w:val="0"/>
        </w:rPr>
        <w:t xml:space="preserve">(c) </w:t>
      </w:r>
      <w:r w:rsidRPr="00520757">
        <w:rPr>
          <w:b w:val="0"/>
        </w:rPr>
        <w:t>Semi</w:t>
      </w:r>
      <w:r w:rsidRPr="00520757">
        <w:rPr>
          <w:rFonts w:ascii="Cambria Math" w:hAnsi="Cambria Math" w:cs="Cambria Math"/>
          <w:b w:val="0"/>
        </w:rPr>
        <w:t>‐</w:t>
      </w:r>
      <w:r w:rsidRPr="00520757">
        <w:rPr>
          <w:b w:val="0"/>
        </w:rPr>
        <w:t>annual Unaudited Financial Reports of the project, including financial status reports on sub</w:t>
      </w:r>
      <w:r w:rsidRPr="00520757">
        <w:rPr>
          <w:rFonts w:ascii="Cambria Math" w:hAnsi="Cambria Math" w:cs="Cambria Math"/>
          <w:b w:val="0"/>
        </w:rPr>
        <w:t>‐</w:t>
      </w:r>
      <w:r w:rsidRPr="00520757">
        <w:rPr>
          <w:b w:val="0"/>
        </w:rPr>
        <w:t>loans. These statements should be submitted within 60 days after the close of each semester.  These statements are intended to supplement the information in CDB’s AFS since the AFS does not include project specific information.</w:t>
      </w:r>
    </w:p>
    <w:p w14:paraId="533E62D6" w14:textId="77777777" w:rsidR="009741BC" w:rsidRPr="00A248F0" w:rsidRDefault="009741BC" w:rsidP="009741BC">
      <w:pPr>
        <w:pStyle w:val="Subheading"/>
      </w:pPr>
      <w:r w:rsidRPr="00A248F0">
        <w:t>Purpose</w:t>
      </w:r>
    </w:p>
    <w:p w14:paraId="1B627BC5" w14:textId="7821EDB4" w:rsidR="009741BC" w:rsidRDefault="009741BC" w:rsidP="009741BC">
      <w:pPr>
        <w:pStyle w:val="BodyText"/>
      </w:pPr>
      <w:r w:rsidRPr="00A248F0">
        <w:t xml:space="preserve">The purpose of the </w:t>
      </w:r>
      <w:r w:rsidR="00894A42">
        <w:t>Audited Financial Statements</w:t>
      </w:r>
      <w:r w:rsidR="00520757">
        <w:t>, Assurance Reports on the Process of Preparation and Submission of Disbursement Requests</w:t>
      </w:r>
      <w:r w:rsidR="00970AFF">
        <w:t xml:space="preserve"> </w:t>
      </w:r>
      <w:r w:rsidR="00520757">
        <w:t xml:space="preserve">and </w:t>
      </w:r>
      <w:r w:rsidR="00520757" w:rsidRPr="00520757">
        <w:t>Semi</w:t>
      </w:r>
      <w:r w:rsidR="00520757" w:rsidRPr="00520757">
        <w:rPr>
          <w:rFonts w:ascii="Cambria Math" w:hAnsi="Cambria Math" w:cs="Cambria Math"/>
        </w:rPr>
        <w:t>‐</w:t>
      </w:r>
      <w:r w:rsidR="00520757" w:rsidRPr="00520757">
        <w:t>annual Unaudited Financial Reports of the project</w:t>
      </w:r>
      <w:r w:rsidR="00520757">
        <w:t xml:space="preserve"> </w:t>
      </w:r>
      <w:r w:rsidR="00970AFF">
        <w:t xml:space="preserve">is to assess the financial performance of the Program. </w:t>
      </w:r>
    </w:p>
    <w:p w14:paraId="3D3834F3" w14:textId="77777777" w:rsidR="00E106E9" w:rsidRDefault="00E106E9" w:rsidP="00E106E9">
      <w:pPr>
        <w:pStyle w:val="Heading2"/>
        <w:rPr>
          <w:lang w:eastAsia="ja-JP"/>
        </w:rPr>
      </w:pPr>
      <w:bookmarkStart w:id="18" w:name="_Toc424286974"/>
      <w:r>
        <w:rPr>
          <w:lang w:eastAsia="ja-JP"/>
        </w:rPr>
        <w:t>Monitoring Coordination</w:t>
      </w:r>
      <w:r w:rsidR="00083283">
        <w:rPr>
          <w:lang w:eastAsia="ja-JP"/>
        </w:rPr>
        <w:t>,</w:t>
      </w:r>
      <w:r>
        <w:rPr>
          <w:lang w:eastAsia="ja-JP"/>
        </w:rPr>
        <w:t xml:space="preserve"> Work Plan</w:t>
      </w:r>
      <w:r w:rsidR="00083283">
        <w:rPr>
          <w:lang w:eastAsia="ja-JP"/>
        </w:rPr>
        <w:t>,</w:t>
      </w:r>
      <w:r>
        <w:rPr>
          <w:lang w:eastAsia="ja-JP"/>
        </w:rPr>
        <w:t xml:space="preserve"> and Budget</w:t>
      </w:r>
      <w:bookmarkEnd w:id="18"/>
    </w:p>
    <w:p w14:paraId="30541B01" w14:textId="77777777" w:rsidR="00EA4351" w:rsidRPr="003A2AFC" w:rsidRDefault="00BD0925" w:rsidP="00EA4351">
      <w:pPr>
        <w:pStyle w:val="BodyText"/>
      </w:pPr>
      <w:r>
        <w:rPr>
          <w:lang w:eastAsia="ja-JP"/>
        </w:rPr>
        <w:t>The</w:t>
      </w:r>
      <w:r w:rsidR="00EA4351">
        <w:t xml:space="preserve"> IDB will be responsible for overseeing the execution of the Monitoring and Evaluation Plan for the complete Program, including the funds provided by other donors. </w:t>
      </w:r>
      <w:r>
        <w:t xml:space="preserve">The IDB will also be </w:t>
      </w:r>
      <w:r w:rsidR="00EA4351">
        <w:t xml:space="preserve">responsible for reporting to the other Donors on the execution and results of the </w:t>
      </w:r>
      <w:r w:rsidR="00EA4351">
        <w:lastRenderedPageBreak/>
        <w:t>Program. The project team at the IDB</w:t>
      </w:r>
      <w:r>
        <w:t xml:space="preserve"> responsible for carrying out these tasks will </w:t>
      </w:r>
      <w:r w:rsidR="00EA4351">
        <w:t xml:space="preserve">be </w:t>
      </w:r>
      <w:r w:rsidR="00EA4351" w:rsidRPr="003A2AFC">
        <w:t>composed by speci</w:t>
      </w:r>
      <w:r w:rsidR="00EA4351">
        <w:t xml:space="preserve">alists from </w:t>
      </w:r>
      <w:r>
        <w:t xml:space="preserve">the </w:t>
      </w:r>
      <w:r w:rsidR="00EA4351" w:rsidRPr="003A2AFC">
        <w:t>INE/ENE</w:t>
      </w:r>
      <w:r>
        <w:t xml:space="preserve"> </w:t>
      </w:r>
      <w:r w:rsidR="00894A42">
        <w:t>and IFD/CMF divisions</w:t>
      </w:r>
      <w:r w:rsidR="00EA4351" w:rsidRPr="003A2AFC">
        <w:t xml:space="preserve">, with support </w:t>
      </w:r>
      <w:r w:rsidR="00EA4351">
        <w:t>from the country office in Barbados.</w:t>
      </w:r>
    </w:p>
    <w:p w14:paraId="259CCF34" w14:textId="77777777" w:rsidR="00EA4351" w:rsidRDefault="00EA4351" w:rsidP="00BD0925">
      <w:pPr>
        <w:pStyle w:val="BodyText"/>
        <w:rPr>
          <w:lang w:eastAsia="ja-JP"/>
        </w:rPr>
      </w:pPr>
      <w:r w:rsidRPr="00A74465">
        <w:rPr>
          <w:lang w:eastAsia="ja-JP"/>
        </w:rPr>
        <w:t xml:space="preserve">The EA </w:t>
      </w:r>
      <w:r>
        <w:rPr>
          <w:lang w:eastAsia="ja-JP"/>
        </w:rPr>
        <w:t>(the CDB)</w:t>
      </w:r>
      <w:r w:rsidRPr="00A74465">
        <w:rPr>
          <w:lang w:eastAsia="ja-JP"/>
        </w:rPr>
        <w:t xml:space="preserve"> will be responsible for</w:t>
      </w:r>
      <w:r w:rsidR="00BD0925">
        <w:rPr>
          <w:lang w:eastAsia="ja-JP"/>
        </w:rPr>
        <w:t xml:space="preserve"> executing the SEF and </w:t>
      </w:r>
      <w:r w:rsidRPr="00A74465">
        <w:rPr>
          <w:lang w:eastAsia="ja-JP"/>
        </w:rPr>
        <w:t xml:space="preserve">reporting </w:t>
      </w:r>
      <w:r>
        <w:rPr>
          <w:lang w:eastAsia="ja-JP"/>
        </w:rPr>
        <w:t xml:space="preserve">on the </w:t>
      </w:r>
      <w:r w:rsidRPr="00A74465">
        <w:rPr>
          <w:lang w:eastAsia="ja-JP"/>
        </w:rPr>
        <w:t>results of the Program</w:t>
      </w:r>
      <w:r>
        <w:rPr>
          <w:lang w:eastAsia="ja-JP"/>
        </w:rPr>
        <w:t>. T</w:t>
      </w:r>
      <w:r w:rsidR="00BD0925">
        <w:rPr>
          <w:lang w:eastAsia="ja-JP"/>
        </w:rPr>
        <w:t xml:space="preserve">he EA will create a </w:t>
      </w:r>
      <w:r>
        <w:rPr>
          <w:lang w:eastAsia="ja-JP"/>
        </w:rPr>
        <w:t xml:space="preserve">Project Management Unit </w:t>
      </w:r>
      <w:r w:rsidR="00BD0925">
        <w:rPr>
          <w:lang w:eastAsia="ja-JP"/>
        </w:rPr>
        <w:t xml:space="preserve">that will be </w:t>
      </w:r>
      <w:r>
        <w:rPr>
          <w:lang w:eastAsia="ja-JP"/>
        </w:rPr>
        <w:t xml:space="preserve">responsible </w:t>
      </w:r>
      <w:r w:rsidR="00BD0925">
        <w:rPr>
          <w:lang w:eastAsia="ja-JP"/>
        </w:rPr>
        <w:t xml:space="preserve">for carrying out these tasks </w:t>
      </w:r>
      <w:r>
        <w:rPr>
          <w:lang w:eastAsia="ja-JP"/>
        </w:rPr>
        <w:t xml:space="preserve">(see </w:t>
      </w:r>
      <w:r w:rsidR="00894A42">
        <w:rPr>
          <w:lang w:eastAsia="ja-JP"/>
        </w:rPr>
        <w:t>Operating Manual</w:t>
      </w:r>
      <w:r>
        <w:rPr>
          <w:lang w:eastAsia="ja-JP"/>
        </w:rPr>
        <w:t xml:space="preserve">). </w:t>
      </w:r>
      <w:r w:rsidR="00BD0925">
        <w:rPr>
          <w:lang w:eastAsia="ja-JP"/>
        </w:rPr>
        <w:t xml:space="preserve">The Project Management Unit </w:t>
      </w:r>
      <w:r>
        <w:t xml:space="preserve">will be responsible for reporting </w:t>
      </w:r>
      <w:r w:rsidR="00BD0925">
        <w:t xml:space="preserve">the Program’s </w:t>
      </w:r>
      <w:r>
        <w:t xml:space="preserve">progress and results to the IDB and the other donors (CTF and JICA). </w:t>
      </w:r>
    </w:p>
    <w:p w14:paraId="0BC5CF91" w14:textId="415B60BB" w:rsidR="009619F1" w:rsidRPr="009619F1" w:rsidRDefault="009619F1" w:rsidP="009619F1">
      <w:pPr>
        <w:pStyle w:val="BodyText"/>
        <w:rPr>
          <w:lang w:eastAsia="ja-JP"/>
        </w:rPr>
      </w:pPr>
      <w:r>
        <w:rPr>
          <w:lang w:eastAsia="ja-JP"/>
        </w:rPr>
        <w:fldChar w:fldCharType="begin"/>
      </w:r>
      <w:r>
        <w:rPr>
          <w:lang w:eastAsia="ja-JP"/>
        </w:rPr>
        <w:instrText xml:space="preserve"> REF _Ref422384357 \h </w:instrText>
      </w:r>
      <w:r>
        <w:rPr>
          <w:lang w:eastAsia="ja-JP"/>
        </w:rPr>
      </w:r>
      <w:r>
        <w:rPr>
          <w:lang w:eastAsia="ja-JP"/>
        </w:rPr>
        <w:fldChar w:fldCharType="separate"/>
      </w:r>
      <w:r w:rsidR="006745B9">
        <w:t xml:space="preserve">Table </w:t>
      </w:r>
      <w:r w:rsidR="006745B9">
        <w:rPr>
          <w:noProof/>
        </w:rPr>
        <w:t>2</w:t>
      </w:r>
      <w:r w:rsidR="006745B9">
        <w:t>.</w:t>
      </w:r>
      <w:r w:rsidR="006745B9">
        <w:rPr>
          <w:noProof/>
        </w:rPr>
        <w:t>3</w:t>
      </w:r>
      <w:r>
        <w:rPr>
          <w:lang w:eastAsia="ja-JP"/>
        </w:rPr>
        <w:fldChar w:fldCharType="end"/>
      </w:r>
      <w:r>
        <w:rPr>
          <w:lang w:eastAsia="ja-JP"/>
        </w:rPr>
        <w:t xml:space="preserve"> shows the timing of the tasks for monitoring the Program, including the cost </w:t>
      </w:r>
      <w:r w:rsidR="00410B99">
        <w:rPr>
          <w:lang w:eastAsia="ja-JP"/>
        </w:rPr>
        <w:t xml:space="preserve">and entity responsible for carrying out each task. </w:t>
      </w:r>
    </w:p>
    <w:p w14:paraId="56818453" w14:textId="77777777" w:rsidR="00CE50C5" w:rsidRDefault="00E106E9" w:rsidP="009619F1">
      <w:pPr>
        <w:pStyle w:val="BodyText"/>
        <w:sectPr w:rsidR="00CE50C5" w:rsidSect="00CE50C5">
          <w:footerReference w:type="default" r:id="rId13"/>
          <w:pgSz w:w="12242" w:h="15842" w:code="1"/>
          <w:pgMar w:top="1440" w:right="1797" w:bottom="1440" w:left="1797" w:header="709" w:footer="709" w:gutter="0"/>
          <w:pgNumType w:start="1"/>
          <w:cols w:space="708"/>
          <w:docGrid w:linePitch="360"/>
        </w:sectPr>
      </w:pPr>
      <w:r>
        <w:br w:type="page"/>
      </w:r>
    </w:p>
    <w:p w14:paraId="41BE38AC" w14:textId="77777777" w:rsidR="00E106E9" w:rsidRDefault="00E106E9">
      <w:pPr>
        <w:pStyle w:val="Caption"/>
      </w:pPr>
      <w:bookmarkStart w:id="19" w:name="_Ref422384357"/>
      <w:bookmarkStart w:id="20" w:name="_Toc423458253"/>
      <w:r>
        <w:lastRenderedPageBreak/>
        <w:t xml:space="preserve">Table </w:t>
      </w:r>
      <w:r w:rsidR="007A04D5">
        <w:fldChar w:fldCharType="begin"/>
      </w:r>
      <w:r w:rsidR="007A04D5">
        <w:instrText xml:space="preserve"> STYLEREF 1 \s </w:instrText>
      </w:r>
      <w:r w:rsidR="007A04D5">
        <w:fldChar w:fldCharType="separate"/>
      </w:r>
      <w:r w:rsidR="006745B9">
        <w:rPr>
          <w:noProof/>
        </w:rPr>
        <w:t>2</w:t>
      </w:r>
      <w:r w:rsidR="007A04D5">
        <w:rPr>
          <w:noProof/>
        </w:rPr>
        <w:fldChar w:fldCharType="end"/>
      </w:r>
      <w:r>
        <w:t>.</w:t>
      </w:r>
      <w:fldSimple w:instr=" SEQ Table \* ARABIC \s 1 ">
        <w:r w:rsidR="006745B9">
          <w:rPr>
            <w:noProof/>
          </w:rPr>
          <w:t>3</w:t>
        </w:r>
      </w:fldSimple>
      <w:bookmarkEnd w:id="19"/>
      <w:r>
        <w:t xml:space="preserve">: </w:t>
      </w:r>
      <w:r w:rsidR="00740020">
        <w:t xml:space="preserve">Monitoring </w:t>
      </w:r>
      <w:r w:rsidR="00410B99">
        <w:t>Work Plan</w:t>
      </w:r>
      <w:bookmarkEnd w:id="20"/>
      <w:r w:rsidR="00410B99">
        <w:t xml:space="preserve"> </w:t>
      </w:r>
    </w:p>
    <w:tbl>
      <w:tblPr>
        <w:tblW w:w="4788" w:type="pct"/>
        <w:tblBorders>
          <w:insideH w:val="single" w:sz="4" w:space="0" w:color="auto"/>
          <w:insideV w:val="single" w:sz="4" w:space="0" w:color="auto"/>
        </w:tblBorders>
        <w:tblLayout w:type="fixed"/>
        <w:tblLook w:val="04A0" w:firstRow="1" w:lastRow="0" w:firstColumn="1" w:lastColumn="0" w:noHBand="0" w:noVBand="1"/>
      </w:tblPr>
      <w:tblGrid>
        <w:gridCol w:w="1061"/>
        <w:gridCol w:w="488"/>
        <w:gridCol w:w="487"/>
        <w:gridCol w:w="487"/>
        <w:gridCol w:w="487"/>
        <w:gridCol w:w="487"/>
        <w:gridCol w:w="487"/>
        <w:gridCol w:w="487"/>
        <w:gridCol w:w="487"/>
        <w:gridCol w:w="487"/>
        <w:gridCol w:w="487"/>
        <w:gridCol w:w="487"/>
        <w:gridCol w:w="487"/>
        <w:gridCol w:w="487"/>
        <w:gridCol w:w="487"/>
        <w:gridCol w:w="487"/>
        <w:gridCol w:w="487"/>
        <w:gridCol w:w="487"/>
        <w:gridCol w:w="487"/>
        <w:gridCol w:w="901"/>
        <w:gridCol w:w="719"/>
        <w:gridCol w:w="1171"/>
      </w:tblGrid>
      <w:tr w:rsidR="00135421" w:rsidRPr="00287B39" w14:paraId="28598965" w14:textId="77777777" w:rsidTr="00863193">
        <w:trPr>
          <w:trHeight w:val="261"/>
        </w:trPr>
        <w:tc>
          <w:tcPr>
            <w:tcW w:w="420" w:type="pct"/>
            <w:vMerge w:val="restart"/>
            <w:shd w:val="clear" w:color="000000" w:fill="D9D9D9"/>
            <w:noWrap/>
            <w:vAlign w:val="center"/>
            <w:hideMark/>
          </w:tcPr>
          <w:p w14:paraId="08F26112" w14:textId="77777777" w:rsidR="00135421" w:rsidRPr="00287B39" w:rsidRDefault="00135421" w:rsidP="00E53900">
            <w:pPr>
              <w:jc w:val="center"/>
              <w:rPr>
                <w:b/>
                <w:bCs/>
                <w:color w:val="000000"/>
                <w:sz w:val="17"/>
                <w:szCs w:val="17"/>
              </w:rPr>
            </w:pPr>
            <w:r w:rsidRPr="00287B39">
              <w:rPr>
                <w:b/>
                <w:bCs/>
                <w:color w:val="000000"/>
                <w:sz w:val="17"/>
                <w:szCs w:val="17"/>
                <w:lang w:val="es-AR"/>
              </w:rPr>
              <w:t>Activity</w:t>
            </w:r>
          </w:p>
        </w:tc>
        <w:tc>
          <w:tcPr>
            <w:tcW w:w="386" w:type="pct"/>
            <w:gridSpan w:val="2"/>
            <w:shd w:val="clear" w:color="auto" w:fill="D9D9D9" w:themeFill="background1" w:themeFillShade="D9"/>
            <w:noWrap/>
            <w:vAlign w:val="center"/>
          </w:tcPr>
          <w:p w14:paraId="5582A32A" w14:textId="77777777" w:rsidR="00135421" w:rsidRPr="00287B39" w:rsidRDefault="00135421" w:rsidP="00E53900">
            <w:pPr>
              <w:jc w:val="center"/>
              <w:rPr>
                <w:b/>
                <w:bCs/>
                <w:color w:val="000000"/>
                <w:sz w:val="17"/>
                <w:szCs w:val="17"/>
              </w:rPr>
            </w:pPr>
            <w:r>
              <w:rPr>
                <w:b/>
                <w:bCs/>
                <w:color w:val="000000"/>
                <w:sz w:val="17"/>
                <w:szCs w:val="17"/>
              </w:rPr>
              <w:t>2016</w:t>
            </w:r>
          </w:p>
        </w:tc>
        <w:tc>
          <w:tcPr>
            <w:tcW w:w="386" w:type="pct"/>
            <w:gridSpan w:val="2"/>
            <w:shd w:val="clear" w:color="auto" w:fill="D9D9D9" w:themeFill="background1" w:themeFillShade="D9"/>
            <w:noWrap/>
            <w:vAlign w:val="center"/>
          </w:tcPr>
          <w:p w14:paraId="0FBA61DF" w14:textId="77777777" w:rsidR="00135421" w:rsidRPr="00287B39" w:rsidRDefault="00135421" w:rsidP="00E53900">
            <w:pPr>
              <w:jc w:val="center"/>
              <w:rPr>
                <w:b/>
                <w:bCs/>
                <w:color w:val="000000"/>
                <w:sz w:val="17"/>
                <w:szCs w:val="17"/>
              </w:rPr>
            </w:pPr>
            <w:r>
              <w:rPr>
                <w:b/>
                <w:bCs/>
                <w:color w:val="000000"/>
                <w:sz w:val="17"/>
                <w:szCs w:val="17"/>
              </w:rPr>
              <w:t>2017</w:t>
            </w:r>
          </w:p>
        </w:tc>
        <w:tc>
          <w:tcPr>
            <w:tcW w:w="386" w:type="pct"/>
            <w:gridSpan w:val="2"/>
            <w:shd w:val="clear" w:color="auto" w:fill="D9D9D9" w:themeFill="background1" w:themeFillShade="D9"/>
          </w:tcPr>
          <w:p w14:paraId="7C4952CB" w14:textId="77777777" w:rsidR="00135421" w:rsidRDefault="00135421" w:rsidP="00E53900">
            <w:pPr>
              <w:jc w:val="center"/>
              <w:rPr>
                <w:b/>
                <w:bCs/>
                <w:color w:val="000000"/>
                <w:sz w:val="17"/>
                <w:szCs w:val="17"/>
              </w:rPr>
            </w:pPr>
            <w:r>
              <w:rPr>
                <w:b/>
                <w:bCs/>
                <w:color w:val="000000"/>
                <w:sz w:val="17"/>
                <w:szCs w:val="17"/>
              </w:rPr>
              <w:t>2018</w:t>
            </w:r>
          </w:p>
        </w:tc>
        <w:tc>
          <w:tcPr>
            <w:tcW w:w="386" w:type="pct"/>
            <w:gridSpan w:val="2"/>
            <w:shd w:val="clear" w:color="auto" w:fill="D9D9D9" w:themeFill="background1" w:themeFillShade="D9"/>
          </w:tcPr>
          <w:p w14:paraId="23FA2B16" w14:textId="77777777" w:rsidR="00135421" w:rsidRDefault="00135421" w:rsidP="00E53900">
            <w:pPr>
              <w:jc w:val="center"/>
              <w:rPr>
                <w:b/>
                <w:bCs/>
                <w:color w:val="000000"/>
                <w:sz w:val="17"/>
                <w:szCs w:val="17"/>
              </w:rPr>
            </w:pPr>
            <w:r>
              <w:rPr>
                <w:b/>
                <w:bCs/>
                <w:color w:val="000000"/>
                <w:sz w:val="17"/>
                <w:szCs w:val="17"/>
              </w:rPr>
              <w:t>2019</w:t>
            </w:r>
          </w:p>
        </w:tc>
        <w:tc>
          <w:tcPr>
            <w:tcW w:w="386" w:type="pct"/>
            <w:gridSpan w:val="2"/>
            <w:shd w:val="clear" w:color="auto" w:fill="D9D9D9" w:themeFill="background1" w:themeFillShade="D9"/>
            <w:noWrap/>
            <w:vAlign w:val="center"/>
          </w:tcPr>
          <w:p w14:paraId="4F53AFDA" w14:textId="77777777" w:rsidR="00135421" w:rsidRPr="00287B39" w:rsidRDefault="00135421" w:rsidP="00E53900">
            <w:pPr>
              <w:jc w:val="center"/>
              <w:rPr>
                <w:b/>
                <w:bCs/>
                <w:color w:val="000000"/>
                <w:sz w:val="17"/>
                <w:szCs w:val="17"/>
              </w:rPr>
            </w:pPr>
            <w:r>
              <w:rPr>
                <w:b/>
                <w:bCs/>
                <w:color w:val="000000"/>
                <w:sz w:val="17"/>
                <w:szCs w:val="17"/>
              </w:rPr>
              <w:t>2020</w:t>
            </w:r>
          </w:p>
        </w:tc>
        <w:tc>
          <w:tcPr>
            <w:tcW w:w="386" w:type="pct"/>
            <w:gridSpan w:val="2"/>
            <w:shd w:val="clear" w:color="auto" w:fill="D9D9D9" w:themeFill="background1" w:themeFillShade="D9"/>
            <w:noWrap/>
            <w:vAlign w:val="center"/>
          </w:tcPr>
          <w:p w14:paraId="588E1543" w14:textId="77777777" w:rsidR="00135421" w:rsidRPr="00287B39" w:rsidRDefault="00135421" w:rsidP="00E53900">
            <w:pPr>
              <w:jc w:val="center"/>
              <w:rPr>
                <w:b/>
                <w:bCs/>
                <w:color w:val="000000"/>
                <w:sz w:val="17"/>
                <w:szCs w:val="17"/>
              </w:rPr>
            </w:pPr>
            <w:r>
              <w:rPr>
                <w:b/>
                <w:bCs/>
                <w:color w:val="000000"/>
                <w:sz w:val="17"/>
                <w:szCs w:val="17"/>
              </w:rPr>
              <w:t>2021</w:t>
            </w:r>
          </w:p>
        </w:tc>
        <w:tc>
          <w:tcPr>
            <w:tcW w:w="386" w:type="pct"/>
            <w:gridSpan w:val="2"/>
            <w:shd w:val="clear" w:color="auto" w:fill="D9D9D9" w:themeFill="background1" w:themeFillShade="D9"/>
            <w:noWrap/>
            <w:vAlign w:val="center"/>
          </w:tcPr>
          <w:p w14:paraId="5DD287BA" w14:textId="77777777" w:rsidR="00135421" w:rsidRPr="00287B39" w:rsidRDefault="00135421" w:rsidP="00E53900">
            <w:pPr>
              <w:jc w:val="center"/>
              <w:rPr>
                <w:b/>
                <w:bCs/>
                <w:color w:val="000000"/>
                <w:sz w:val="17"/>
                <w:szCs w:val="17"/>
              </w:rPr>
            </w:pPr>
            <w:r>
              <w:rPr>
                <w:b/>
                <w:bCs/>
                <w:color w:val="000000"/>
                <w:sz w:val="17"/>
                <w:szCs w:val="17"/>
              </w:rPr>
              <w:t>2022</w:t>
            </w:r>
          </w:p>
        </w:tc>
        <w:tc>
          <w:tcPr>
            <w:tcW w:w="386" w:type="pct"/>
            <w:gridSpan w:val="2"/>
            <w:shd w:val="clear" w:color="auto" w:fill="D9D9D9" w:themeFill="background1" w:themeFillShade="D9"/>
          </w:tcPr>
          <w:p w14:paraId="70ADC2FC" w14:textId="77777777" w:rsidR="00135421" w:rsidRDefault="00135421" w:rsidP="00E53900">
            <w:pPr>
              <w:jc w:val="center"/>
              <w:rPr>
                <w:b/>
                <w:bCs/>
                <w:color w:val="000000"/>
                <w:sz w:val="17"/>
                <w:szCs w:val="17"/>
              </w:rPr>
            </w:pPr>
            <w:r>
              <w:rPr>
                <w:b/>
                <w:bCs/>
                <w:color w:val="000000"/>
                <w:sz w:val="17"/>
                <w:szCs w:val="17"/>
              </w:rPr>
              <w:t>2023</w:t>
            </w:r>
          </w:p>
        </w:tc>
        <w:tc>
          <w:tcPr>
            <w:tcW w:w="386" w:type="pct"/>
            <w:gridSpan w:val="2"/>
            <w:shd w:val="clear" w:color="auto" w:fill="D9D9D9" w:themeFill="background1" w:themeFillShade="D9"/>
          </w:tcPr>
          <w:p w14:paraId="5AE805AB" w14:textId="592E89E5" w:rsidR="00135421" w:rsidRPr="00232BFF" w:rsidRDefault="00135421" w:rsidP="009F4B36">
            <w:pPr>
              <w:jc w:val="center"/>
              <w:rPr>
                <w:b/>
                <w:bCs/>
                <w:color w:val="000000"/>
                <w:sz w:val="17"/>
                <w:szCs w:val="17"/>
              </w:rPr>
            </w:pPr>
            <w:r>
              <w:rPr>
                <w:b/>
                <w:bCs/>
                <w:color w:val="000000"/>
                <w:sz w:val="17"/>
                <w:szCs w:val="17"/>
              </w:rPr>
              <w:t>2024</w:t>
            </w:r>
          </w:p>
        </w:tc>
        <w:tc>
          <w:tcPr>
            <w:tcW w:w="357" w:type="pct"/>
            <w:vMerge w:val="restart"/>
            <w:shd w:val="clear" w:color="auto" w:fill="D9D9D9" w:themeFill="background1" w:themeFillShade="D9"/>
            <w:noWrap/>
            <w:vAlign w:val="center"/>
            <w:hideMark/>
          </w:tcPr>
          <w:p w14:paraId="122E554E" w14:textId="77777777" w:rsidR="00135421" w:rsidRPr="00287B39" w:rsidRDefault="00135421" w:rsidP="00E53900">
            <w:pPr>
              <w:jc w:val="center"/>
              <w:rPr>
                <w:b/>
                <w:bCs/>
                <w:color w:val="000000"/>
                <w:sz w:val="17"/>
                <w:szCs w:val="17"/>
              </w:rPr>
            </w:pPr>
            <w:r w:rsidRPr="00287B39">
              <w:rPr>
                <w:b/>
                <w:bCs/>
                <w:color w:val="000000"/>
                <w:sz w:val="17"/>
                <w:szCs w:val="17"/>
                <w:lang w:val="es-ES"/>
              </w:rPr>
              <w:t>Resp</w:t>
            </w:r>
            <w:r>
              <w:rPr>
                <w:b/>
                <w:bCs/>
                <w:color w:val="000000"/>
                <w:sz w:val="17"/>
                <w:szCs w:val="17"/>
                <w:lang w:val="es-ES"/>
              </w:rPr>
              <w:t>.</w:t>
            </w:r>
          </w:p>
        </w:tc>
        <w:tc>
          <w:tcPr>
            <w:tcW w:w="285" w:type="pct"/>
            <w:vMerge w:val="restart"/>
            <w:shd w:val="clear" w:color="auto" w:fill="D9D9D9" w:themeFill="background1" w:themeFillShade="D9"/>
            <w:noWrap/>
            <w:vAlign w:val="center"/>
            <w:hideMark/>
          </w:tcPr>
          <w:p w14:paraId="168B4D95" w14:textId="77777777" w:rsidR="00135421" w:rsidRPr="00287B39" w:rsidRDefault="00135421" w:rsidP="009D7969">
            <w:pPr>
              <w:jc w:val="center"/>
              <w:rPr>
                <w:b/>
                <w:bCs/>
                <w:color w:val="000000"/>
                <w:sz w:val="17"/>
                <w:szCs w:val="17"/>
              </w:rPr>
            </w:pPr>
            <w:r w:rsidRPr="00287B39">
              <w:rPr>
                <w:b/>
                <w:bCs/>
                <w:color w:val="000000"/>
                <w:sz w:val="17"/>
                <w:szCs w:val="17"/>
                <w:lang w:val="es-AR"/>
              </w:rPr>
              <w:t>Fund</w:t>
            </w:r>
            <w:r>
              <w:rPr>
                <w:b/>
                <w:bCs/>
                <w:color w:val="000000"/>
                <w:sz w:val="17"/>
                <w:szCs w:val="17"/>
                <w:lang w:val="es-AR"/>
              </w:rPr>
              <w:t>.</w:t>
            </w:r>
          </w:p>
        </w:tc>
        <w:tc>
          <w:tcPr>
            <w:tcW w:w="464" w:type="pct"/>
            <w:vMerge w:val="restart"/>
            <w:shd w:val="clear" w:color="auto" w:fill="D9D9D9" w:themeFill="background1" w:themeFillShade="D9"/>
            <w:noWrap/>
            <w:vAlign w:val="center"/>
            <w:hideMark/>
          </w:tcPr>
          <w:p w14:paraId="792C021A" w14:textId="77777777" w:rsidR="00135421" w:rsidRPr="00287B39" w:rsidRDefault="00135421" w:rsidP="00E53900">
            <w:pPr>
              <w:jc w:val="center"/>
              <w:rPr>
                <w:b/>
                <w:bCs/>
                <w:color w:val="000000"/>
                <w:sz w:val="17"/>
                <w:szCs w:val="17"/>
              </w:rPr>
            </w:pPr>
            <w:r>
              <w:rPr>
                <w:b/>
                <w:bCs/>
                <w:color w:val="000000"/>
                <w:sz w:val="17"/>
                <w:szCs w:val="17"/>
                <w:lang w:val="es-AR"/>
              </w:rPr>
              <w:t>US$</w:t>
            </w:r>
          </w:p>
        </w:tc>
      </w:tr>
      <w:tr w:rsidR="00135421" w:rsidRPr="00287B39" w14:paraId="10EB0E80" w14:textId="77777777" w:rsidTr="00863193">
        <w:trPr>
          <w:trHeight w:val="305"/>
        </w:trPr>
        <w:tc>
          <w:tcPr>
            <w:tcW w:w="420" w:type="pct"/>
            <w:vMerge/>
            <w:vAlign w:val="center"/>
            <w:hideMark/>
          </w:tcPr>
          <w:p w14:paraId="0DF8BB8A" w14:textId="77777777" w:rsidR="00135421" w:rsidRPr="00287B39" w:rsidRDefault="00135421" w:rsidP="00E53900">
            <w:pPr>
              <w:rPr>
                <w:b/>
                <w:bCs/>
                <w:color w:val="000000"/>
                <w:sz w:val="17"/>
                <w:szCs w:val="17"/>
              </w:rPr>
            </w:pPr>
          </w:p>
        </w:tc>
        <w:tc>
          <w:tcPr>
            <w:tcW w:w="193" w:type="pct"/>
            <w:shd w:val="clear" w:color="auto" w:fill="D9D9D9" w:themeFill="background1" w:themeFillShade="D9"/>
            <w:noWrap/>
            <w:vAlign w:val="center"/>
            <w:hideMark/>
          </w:tcPr>
          <w:p w14:paraId="1A3F5A6D" w14:textId="77777777" w:rsidR="00135421" w:rsidRPr="00287B39" w:rsidRDefault="00135421" w:rsidP="00E53900">
            <w:pPr>
              <w:jc w:val="center"/>
              <w:rPr>
                <w:b/>
                <w:bCs/>
                <w:color w:val="000000"/>
                <w:sz w:val="17"/>
                <w:szCs w:val="17"/>
              </w:rPr>
            </w:pPr>
            <w:r>
              <w:rPr>
                <w:b/>
                <w:bCs/>
                <w:color w:val="000000"/>
                <w:sz w:val="17"/>
                <w:szCs w:val="17"/>
              </w:rPr>
              <w:t>S1</w:t>
            </w:r>
          </w:p>
        </w:tc>
        <w:tc>
          <w:tcPr>
            <w:tcW w:w="193" w:type="pct"/>
            <w:shd w:val="clear" w:color="auto" w:fill="D9D9D9" w:themeFill="background1" w:themeFillShade="D9"/>
            <w:noWrap/>
            <w:vAlign w:val="center"/>
            <w:hideMark/>
          </w:tcPr>
          <w:p w14:paraId="0B7CD168" w14:textId="77777777" w:rsidR="00135421" w:rsidRPr="00287B39"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noWrap/>
            <w:vAlign w:val="center"/>
            <w:hideMark/>
          </w:tcPr>
          <w:p w14:paraId="4E7A3309" w14:textId="77777777" w:rsidR="00135421" w:rsidRPr="00287B39" w:rsidRDefault="00135421" w:rsidP="00E53900">
            <w:pPr>
              <w:jc w:val="center"/>
              <w:rPr>
                <w:b/>
                <w:bCs/>
                <w:color w:val="000000"/>
                <w:sz w:val="17"/>
                <w:szCs w:val="17"/>
              </w:rPr>
            </w:pPr>
            <w:r>
              <w:rPr>
                <w:b/>
                <w:bCs/>
                <w:color w:val="000000"/>
                <w:sz w:val="17"/>
                <w:szCs w:val="17"/>
              </w:rPr>
              <w:t>S1</w:t>
            </w:r>
          </w:p>
        </w:tc>
        <w:tc>
          <w:tcPr>
            <w:tcW w:w="193" w:type="pct"/>
            <w:shd w:val="clear" w:color="auto" w:fill="D9D9D9" w:themeFill="background1" w:themeFillShade="D9"/>
            <w:noWrap/>
            <w:vAlign w:val="center"/>
            <w:hideMark/>
          </w:tcPr>
          <w:p w14:paraId="4104B936" w14:textId="77777777" w:rsidR="00135421" w:rsidRPr="00287B39"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vAlign w:val="center"/>
          </w:tcPr>
          <w:p w14:paraId="6D421765" w14:textId="77777777" w:rsidR="00135421" w:rsidRPr="00287B39" w:rsidRDefault="00135421" w:rsidP="00E53900">
            <w:pPr>
              <w:rPr>
                <w:b/>
                <w:bCs/>
                <w:color w:val="000000"/>
                <w:sz w:val="17"/>
                <w:szCs w:val="17"/>
              </w:rPr>
            </w:pPr>
            <w:r>
              <w:rPr>
                <w:b/>
                <w:bCs/>
                <w:color w:val="000000"/>
                <w:sz w:val="17"/>
                <w:szCs w:val="17"/>
              </w:rPr>
              <w:t>S1</w:t>
            </w:r>
          </w:p>
        </w:tc>
        <w:tc>
          <w:tcPr>
            <w:tcW w:w="193" w:type="pct"/>
            <w:shd w:val="clear" w:color="auto" w:fill="D9D9D9" w:themeFill="background1" w:themeFillShade="D9"/>
            <w:vAlign w:val="center"/>
          </w:tcPr>
          <w:p w14:paraId="1B88622C" w14:textId="77777777" w:rsidR="00135421" w:rsidRPr="00287B39" w:rsidRDefault="00135421" w:rsidP="00E53900">
            <w:pPr>
              <w:rPr>
                <w:b/>
                <w:bCs/>
                <w:color w:val="000000"/>
                <w:sz w:val="17"/>
                <w:szCs w:val="17"/>
              </w:rPr>
            </w:pPr>
            <w:r>
              <w:rPr>
                <w:b/>
                <w:bCs/>
                <w:color w:val="000000"/>
                <w:sz w:val="17"/>
                <w:szCs w:val="17"/>
              </w:rPr>
              <w:t>S2</w:t>
            </w:r>
          </w:p>
        </w:tc>
        <w:tc>
          <w:tcPr>
            <w:tcW w:w="193" w:type="pct"/>
            <w:shd w:val="clear" w:color="auto" w:fill="D9D9D9" w:themeFill="background1" w:themeFillShade="D9"/>
            <w:vAlign w:val="center"/>
          </w:tcPr>
          <w:p w14:paraId="5A2AFBCA" w14:textId="77777777" w:rsidR="00135421" w:rsidRPr="00287B39" w:rsidRDefault="00135421" w:rsidP="00E53900">
            <w:pPr>
              <w:rPr>
                <w:b/>
                <w:bCs/>
                <w:color w:val="000000"/>
                <w:sz w:val="17"/>
                <w:szCs w:val="17"/>
              </w:rPr>
            </w:pPr>
            <w:r>
              <w:rPr>
                <w:b/>
                <w:bCs/>
                <w:color w:val="000000"/>
                <w:sz w:val="17"/>
                <w:szCs w:val="17"/>
              </w:rPr>
              <w:t>S1</w:t>
            </w:r>
          </w:p>
        </w:tc>
        <w:tc>
          <w:tcPr>
            <w:tcW w:w="193" w:type="pct"/>
            <w:shd w:val="clear" w:color="auto" w:fill="D9D9D9" w:themeFill="background1" w:themeFillShade="D9"/>
            <w:vAlign w:val="center"/>
          </w:tcPr>
          <w:p w14:paraId="3E0A4B00" w14:textId="77777777" w:rsidR="00135421" w:rsidRPr="00287B39" w:rsidRDefault="00135421" w:rsidP="00E53900">
            <w:pPr>
              <w:rPr>
                <w:b/>
                <w:bCs/>
                <w:color w:val="000000"/>
                <w:sz w:val="17"/>
                <w:szCs w:val="17"/>
              </w:rPr>
            </w:pPr>
            <w:r>
              <w:rPr>
                <w:b/>
                <w:bCs/>
                <w:color w:val="000000"/>
                <w:sz w:val="17"/>
                <w:szCs w:val="17"/>
              </w:rPr>
              <w:t>S2</w:t>
            </w:r>
          </w:p>
        </w:tc>
        <w:tc>
          <w:tcPr>
            <w:tcW w:w="193" w:type="pct"/>
            <w:shd w:val="clear" w:color="auto" w:fill="D9D9D9" w:themeFill="background1" w:themeFillShade="D9"/>
            <w:noWrap/>
            <w:vAlign w:val="center"/>
            <w:hideMark/>
          </w:tcPr>
          <w:p w14:paraId="2BEC17F1" w14:textId="77777777" w:rsidR="00135421" w:rsidRPr="00287B39" w:rsidRDefault="00135421" w:rsidP="00E53900">
            <w:pPr>
              <w:jc w:val="center"/>
              <w:rPr>
                <w:b/>
                <w:bCs/>
                <w:color w:val="000000"/>
                <w:sz w:val="17"/>
                <w:szCs w:val="17"/>
              </w:rPr>
            </w:pPr>
            <w:r>
              <w:rPr>
                <w:b/>
                <w:bCs/>
                <w:color w:val="000000"/>
                <w:sz w:val="17"/>
                <w:szCs w:val="17"/>
              </w:rPr>
              <w:t>S1</w:t>
            </w:r>
          </w:p>
        </w:tc>
        <w:tc>
          <w:tcPr>
            <w:tcW w:w="193" w:type="pct"/>
            <w:shd w:val="clear" w:color="auto" w:fill="D9D9D9" w:themeFill="background1" w:themeFillShade="D9"/>
            <w:noWrap/>
            <w:vAlign w:val="center"/>
            <w:hideMark/>
          </w:tcPr>
          <w:p w14:paraId="1B5F4355" w14:textId="77777777" w:rsidR="00135421" w:rsidRPr="00287B39"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noWrap/>
            <w:vAlign w:val="center"/>
            <w:hideMark/>
          </w:tcPr>
          <w:p w14:paraId="30A6D1FF" w14:textId="77777777" w:rsidR="00135421" w:rsidRPr="00287B39" w:rsidRDefault="00135421" w:rsidP="00E53900">
            <w:pPr>
              <w:jc w:val="center"/>
              <w:rPr>
                <w:b/>
                <w:bCs/>
                <w:color w:val="000000"/>
                <w:sz w:val="17"/>
                <w:szCs w:val="17"/>
              </w:rPr>
            </w:pPr>
            <w:r>
              <w:rPr>
                <w:b/>
                <w:bCs/>
                <w:color w:val="000000"/>
                <w:sz w:val="17"/>
                <w:szCs w:val="17"/>
              </w:rPr>
              <w:t>S1</w:t>
            </w:r>
          </w:p>
        </w:tc>
        <w:tc>
          <w:tcPr>
            <w:tcW w:w="193" w:type="pct"/>
            <w:shd w:val="clear" w:color="auto" w:fill="D9D9D9" w:themeFill="background1" w:themeFillShade="D9"/>
            <w:noWrap/>
            <w:vAlign w:val="center"/>
            <w:hideMark/>
          </w:tcPr>
          <w:p w14:paraId="0AD2ED5F" w14:textId="77777777" w:rsidR="00135421" w:rsidRPr="00287B39"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noWrap/>
            <w:vAlign w:val="center"/>
            <w:hideMark/>
          </w:tcPr>
          <w:p w14:paraId="58E8FECC" w14:textId="77777777" w:rsidR="00135421" w:rsidRPr="00287B39" w:rsidRDefault="00135421" w:rsidP="00E53900">
            <w:pPr>
              <w:jc w:val="center"/>
              <w:rPr>
                <w:b/>
                <w:bCs/>
                <w:color w:val="000000"/>
                <w:sz w:val="17"/>
                <w:szCs w:val="17"/>
              </w:rPr>
            </w:pPr>
            <w:r>
              <w:rPr>
                <w:b/>
                <w:bCs/>
                <w:color w:val="000000"/>
                <w:sz w:val="17"/>
                <w:szCs w:val="17"/>
              </w:rPr>
              <w:t>S1</w:t>
            </w:r>
          </w:p>
        </w:tc>
        <w:tc>
          <w:tcPr>
            <w:tcW w:w="193" w:type="pct"/>
            <w:shd w:val="clear" w:color="auto" w:fill="D9D9D9" w:themeFill="background1" w:themeFillShade="D9"/>
            <w:noWrap/>
            <w:vAlign w:val="center"/>
            <w:hideMark/>
          </w:tcPr>
          <w:p w14:paraId="7D83B52B" w14:textId="77777777" w:rsidR="00135421" w:rsidRPr="00287B39"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vAlign w:val="center"/>
          </w:tcPr>
          <w:p w14:paraId="40CA2363" w14:textId="77777777" w:rsidR="00135421" w:rsidRDefault="00135421" w:rsidP="009F4B36">
            <w:pPr>
              <w:rPr>
                <w:b/>
                <w:bCs/>
                <w:color w:val="000000"/>
                <w:sz w:val="17"/>
                <w:szCs w:val="17"/>
              </w:rPr>
            </w:pPr>
            <w:r>
              <w:rPr>
                <w:b/>
                <w:bCs/>
                <w:color w:val="000000"/>
                <w:sz w:val="17"/>
                <w:szCs w:val="17"/>
              </w:rPr>
              <w:t>S1</w:t>
            </w:r>
          </w:p>
        </w:tc>
        <w:tc>
          <w:tcPr>
            <w:tcW w:w="193" w:type="pct"/>
            <w:shd w:val="clear" w:color="auto" w:fill="D9D9D9" w:themeFill="background1" w:themeFillShade="D9"/>
            <w:vAlign w:val="center"/>
          </w:tcPr>
          <w:p w14:paraId="25BC750B" w14:textId="77777777" w:rsidR="00135421" w:rsidRDefault="00135421" w:rsidP="00E53900">
            <w:pPr>
              <w:jc w:val="center"/>
              <w:rPr>
                <w:b/>
                <w:bCs/>
                <w:color w:val="000000"/>
                <w:sz w:val="17"/>
                <w:szCs w:val="17"/>
              </w:rPr>
            </w:pPr>
            <w:r>
              <w:rPr>
                <w:b/>
                <w:bCs/>
                <w:color w:val="000000"/>
                <w:sz w:val="17"/>
                <w:szCs w:val="17"/>
              </w:rPr>
              <w:t>S2</w:t>
            </w:r>
          </w:p>
        </w:tc>
        <w:tc>
          <w:tcPr>
            <w:tcW w:w="193" w:type="pct"/>
            <w:shd w:val="clear" w:color="auto" w:fill="D9D9D9" w:themeFill="background1" w:themeFillShade="D9"/>
            <w:vAlign w:val="center"/>
          </w:tcPr>
          <w:p w14:paraId="123011F1" w14:textId="77777777" w:rsidR="00135421" w:rsidRPr="00287B39" w:rsidRDefault="00135421" w:rsidP="009F4B36">
            <w:pPr>
              <w:jc w:val="center"/>
              <w:rPr>
                <w:b/>
                <w:bCs/>
                <w:color w:val="000000"/>
                <w:sz w:val="17"/>
                <w:szCs w:val="17"/>
              </w:rPr>
            </w:pPr>
            <w:r>
              <w:rPr>
                <w:b/>
                <w:bCs/>
                <w:color w:val="000000"/>
                <w:sz w:val="17"/>
                <w:szCs w:val="17"/>
              </w:rPr>
              <w:t>S1</w:t>
            </w:r>
          </w:p>
        </w:tc>
        <w:tc>
          <w:tcPr>
            <w:tcW w:w="193" w:type="pct"/>
            <w:shd w:val="clear" w:color="auto" w:fill="D9D9D9" w:themeFill="background1" w:themeFillShade="D9"/>
            <w:vAlign w:val="center"/>
          </w:tcPr>
          <w:p w14:paraId="592D0FB5" w14:textId="77777777" w:rsidR="00135421" w:rsidRPr="00287B39" w:rsidRDefault="00135421" w:rsidP="009F4B36">
            <w:pPr>
              <w:jc w:val="center"/>
              <w:rPr>
                <w:b/>
                <w:bCs/>
                <w:color w:val="000000"/>
                <w:sz w:val="17"/>
                <w:szCs w:val="17"/>
              </w:rPr>
            </w:pPr>
            <w:r>
              <w:rPr>
                <w:b/>
                <w:bCs/>
                <w:color w:val="000000"/>
                <w:sz w:val="17"/>
                <w:szCs w:val="17"/>
              </w:rPr>
              <w:t>S2</w:t>
            </w:r>
          </w:p>
        </w:tc>
        <w:tc>
          <w:tcPr>
            <w:tcW w:w="357" w:type="pct"/>
            <w:vMerge/>
            <w:shd w:val="clear" w:color="auto" w:fill="D9D9D9" w:themeFill="background1" w:themeFillShade="D9"/>
            <w:vAlign w:val="center"/>
            <w:hideMark/>
          </w:tcPr>
          <w:p w14:paraId="30C085B2" w14:textId="77777777" w:rsidR="00135421" w:rsidRPr="00287B39" w:rsidRDefault="00135421" w:rsidP="00E53900">
            <w:pPr>
              <w:rPr>
                <w:b/>
                <w:bCs/>
                <w:color w:val="000000"/>
                <w:sz w:val="17"/>
                <w:szCs w:val="17"/>
              </w:rPr>
            </w:pPr>
          </w:p>
        </w:tc>
        <w:tc>
          <w:tcPr>
            <w:tcW w:w="285" w:type="pct"/>
            <w:vMerge/>
            <w:shd w:val="clear" w:color="auto" w:fill="D9D9D9" w:themeFill="background1" w:themeFillShade="D9"/>
            <w:vAlign w:val="center"/>
            <w:hideMark/>
          </w:tcPr>
          <w:p w14:paraId="64D5C991" w14:textId="77777777" w:rsidR="00135421" w:rsidRPr="00287B39" w:rsidRDefault="00135421" w:rsidP="00E53900">
            <w:pPr>
              <w:rPr>
                <w:b/>
                <w:bCs/>
                <w:color w:val="000000"/>
                <w:sz w:val="17"/>
                <w:szCs w:val="17"/>
              </w:rPr>
            </w:pPr>
          </w:p>
        </w:tc>
        <w:tc>
          <w:tcPr>
            <w:tcW w:w="464" w:type="pct"/>
            <w:vMerge/>
            <w:shd w:val="clear" w:color="auto" w:fill="D9D9D9" w:themeFill="background1" w:themeFillShade="D9"/>
            <w:vAlign w:val="center"/>
            <w:hideMark/>
          </w:tcPr>
          <w:p w14:paraId="78A29996" w14:textId="77777777" w:rsidR="00135421" w:rsidRPr="00287B39" w:rsidRDefault="00135421" w:rsidP="00E53900">
            <w:pPr>
              <w:rPr>
                <w:b/>
                <w:bCs/>
                <w:color w:val="000000"/>
                <w:sz w:val="17"/>
                <w:szCs w:val="17"/>
              </w:rPr>
            </w:pPr>
          </w:p>
        </w:tc>
      </w:tr>
      <w:tr w:rsidR="00135421" w:rsidRPr="00287B39" w14:paraId="49550EB8" w14:textId="77777777" w:rsidTr="00863193">
        <w:trPr>
          <w:trHeight w:val="261"/>
        </w:trPr>
        <w:tc>
          <w:tcPr>
            <w:tcW w:w="420" w:type="pct"/>
            <w:shd w:val="clear" w:color="auto" w:fill="auto"/>
            <w:noWrap/>
            <w:vAlign w:val="center"/>
            <w:hideMark/>
          </w:tcPr>
          <w:p w14:paraId="2497F37B" w14:textId="77777777" w:rsidR="00135421" w:rsidRPr="00287B39" w:rsidRDefault="00135421" w:rsidP="00E53900">
            <w:pPr>
              <w:rPr>
                <w:color w:val="000000"/>
                <w:sz w:val="17"/>
                <w:szCs w:val="17"/>
              </w:rPr>
            </w:pPr>
            <w:r w:rsidRPr="00835296">
              <w:rPr>
                <w:sz w:val="18"/>
                <w:szCs w:val="18"/>
              </w:rPr>
              <w:t>Semi-Annual Reports</w:t>
            </w:r>
          </w:p>
        </w:tc>
        <w:tc>
          <w:tcPr>
            <w:tcW w:w="193" w:type="pct"/>
            <w:shd w:val="clear" w:color="auto" w:fill="BFBFBF" w:themeFill="background1" w:themeFillShade="BF"/>
            <w:noWrap/>
            <w:vAlign w:val="center"/>
            <w:hideMark/>
          </w:tcPr>
          <w:p w14:paraId="74648B40"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503F00B9"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1C0B9765"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03BBBD89"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tcPr>
          <w:p w14:paraId="5462DAF4"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6F76A698"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35E1FAE6"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39630FC3" w14:textId="77777777" w:rsidR="00135421" w:rsidRPr="00287B39" w:rsidRDefault="00135421" w:rsidP="00E53900">
            <w:pPr>
              <w:rPr>
                <w:color w:val="000000"/>
                <w:sz w:val="17"/>
                <w:szCs w:val="17"/>
              </w:rPr>
            </w:pPr>
          </w:p>
        </w:tc>
        <w:tc>
          <w:tcPr>
            <w:tcW w:w="193" w:type="pct"/>
            <w:shd w:val="clear" w:color="auto" w:fill="BFBFBF" w:themeFill="background1" w:themeFillShade="BF"/>
            <w:noWrap/>
            <w:vAlign w:val="center"/>
            <w:hideMark/>
          </w:tcPr>
          <w:p w14:paraId="28608D40"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1B1788D3" w14:textId="77777777" w:rsidR="00135421" w:rsidRPr="00287B39" w:rsidRDefault="00135421" w:rsidP="00E53900">
            <w:pPr>
              <w:rPr>
                <w:color w:val="000000"/>
                <w:sz w:val="17"/>
                <w:szCs w:val="17"/>
              </w:rPr>
            </w:pPr>
            <w:r w:rsidRPr="00D46033">
              <w:rPr>
                <w:color w:val="000000"/>
                <w:sz w:val="17"/>
                <w:szCs w:val="17"/>
              </w:rPr>
              <w:t> </w:t>
            </w:r>
          </w:p>
        </w:tc>
        <w:tc>
          <w:tcPr>
            <w:tcW w:w="193" w:type="pct"/>
            <w:shd w:val="clear" w:color="auto" w:fill="BFBFBF" w:themeFill="background1" w:themeFillShade="BF"/>
            <w:noWrap/>
            <w:vAlign w:val="center"/>
            <w:hideMark/>
          </w:tcPr>
          <w:p w14:paraId="70E8BF72"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2C056C7B"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671F6C18"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3B82C483" w14:textId="77777777" w:rsidR="00135421" w:rsidRDefault="00135421" w:rsidP="00E53900">
            <w:pPr>
              <w:jc w:val="center"/>
              <w:rPr>
                <w:b/>
                <w:bCs/>
                <w:color w:val="000000"/>
                <w:sz w:val="17"/>
                <w:szCs w:val="17"/>
              </w:rPr>
            </w:pPr>
            <w:r w:rsidRPr="00232BFF">
              <w:rPr>
                <w:b/>
                <w:bCs/>
                <w:color w:val="000000"/>
                <w:sz w:val="17"/>
                <w:szCs w:val="17"/>
              </w:rPr>
              <w:t> </w:t>
            </w:r>
          </w:p>
          <w:p w14:paraId="22B9AFBB" w14:textId="77777777" w:rsidR="00135421" w:rsidRDefault="00135421" w:rsidP="00E53900">
            <w:pPr>
              <w:rPr>
                <w:sz w:val="17"/>
                <w:szCs w:val="17"/>
              </w:rPr>
            </w:pPr>
          </w:p>
          <w:p w14:paraId="4897601E" w14:textId="77777777" w:rsidR="00135421" w:rsidRPr="00232BFF" w:rsidRDefault="00135421" w:rsidP="00E53900">
            <w:pPr>
              <w:rPr>
                <w:sz w:val="17"/>
                <w:szCs w:val="17"/>
              </w:rPr>
            </w:pPr>
          </w:p>
        </w:tc>
        <w:tc>
          <w:tcPr>
            <w:tcW w:w="193" w:type="pct"/>
            <w:shd w:val="clear" w:color="auto" w:fill="BFBFBF" w:themeFill="background1" w:themeFillShade="BF"/>
          </w:tcPr>
          <w:p w14:paraId="724F27CD" w14:textId="77777777" w:rsidR="00135421" w:rsidRDefault="00135421" w:rsidP="00E53900">
            <w:pPr>
              <w:jc w:val="center"/>
              <w:rPr>
                <w:b/>
                <w:bCs/>
                <w:color w:val="000000"/>
                <w:sz w:val="17"/>
                <w:szCs w:val="17"/>
              </w:rPr>
            </w:pPr>
          </w:p>
        </w:tc>
        <w:tc>
          <w:tcPr>
            <w:tcW w:w="193" w:type="pct"/>
            <w:shd w:val="clear" w:color="auto" w:fill="BFBFBF" w:themeFill="background1" w:themeFillShade="BF"/>
          </w:tcPr>
          <w:p w14:paraId="61B6D98F" w14:textId="77777777" w:rsidR="00135421" w:rsidRDefault="00135421" w:rsidP="00E53900">
            <w:pPr>
              <w:jc w:val="center"/>
              <w:rPr>
                <w:b/>
                <w:bCs/>
                <w:color w:val="000000"/>
                <w:sz w:val="17"/>
                <w:szCs w:val="17"/>
              </w:rPr>
            </w:pPr>
          </w:p>
        </w:tc>
        <w:tc>
          <w:tcPr>
            <w:tcW w:w="193" w:type="pct"/>
            <w:shd w:val="clear" w:color="auto" w:fill="auto"/>
          </w:tcPr>
          <w:p w14:paraId="21887FCC" w14:textId="77777777" w:rsidR="00135421" w:rsidRDefault="00135421" w:rsidP="00E53900">
            <w:pPr>
              <w:jc w:val="center"/>
              <w:rPr>
                <w:b/>
                <w:bCs/>
                <w:color w:val="000000"/>
                <w:sz w:val="17"/>
                <w:szCs w:val="17"/>
              </w:rPr>
            </w:pPr>
          </w:p>
          <w:p w14:paraId="0C9B7F4B" w14:textId="77777777" w:rsidR="00135421" w:rsidRPr="00745E8F" w:rsidRDefault="00135421" w:rsidP="00745E8F">
            <w:pPr>
              <w:rPr>
                <w:sz w:val="17"/>
                <w:szCs w:val="17"/>
              </w:rPr>
            </w:pPr>
          </w:p>
        </w:tc>
        <w:tc>
          <w:tcPr>
            <w:tcW w:w="193" w:type="pct"/>
            <w:shd w:val="clear" w:color="auto" w:fill="auto"/>
          </w:tcPr>
          <w:p w14:paraId="446F187B" w14:textId="77777777" w:rsidR="00135421" w:rsidRPr="00232BFF" w:rsidRDefault="00135421" w:rsidP="00E53900">
            <w:pPr>
              <w:jc w:val="center"/>
              <w:rPr>
                <w:b/>
                <w:bCs/>
                <w:color w:val="000000"/>
                <w:sz w:val="17"/>
                <w:szCs w:val="17"/>
              </w:rPr>
            </w:pPr>
          </w:p>
        </w:tc>
        <w:tc>
          <w:tcPr>
            <w:tcW w:w="357" w:type="pct"/>
            <w:shd w:val="clear" w:color="auto" w:fill="auto"/>
            <w:noWrap/>
            <w:vAlign w:val="center"/>
          </w:tcPr>
          <w:p w14:paraId="750AF9AA" w14:textId="77777777" w:rsidR="00135421" w:rsidRPr="00287B39" w:rsidRDefault="00135421" w:rsidP="00E53900">
            <w:pPr>
              <w:jc w:val="center"/>
              <w:rPr>
                <w:color w:val="000000"/>
                <w:sz w:val="17"/>
                <w:szCs w:val="17"/>
              </w:rPr>
            </w:pPr>
            <w:r w:rsidRPr="00835296">
              <w:rPr>
                <w:sz w:val="18"/>
                <w:szCs w:val="18"/>
              </w:rPr>
              <w:t>EA</w:t>
            </w:r>
          </w:p>
        </w:tc>
        <w:tc>
          <w:tcPr>
            <w:tcW w:w="285" w:type="pct"/>
            <w:shd w:val="clear" w:color="auto" w:fill="auto"/>
            <w:noWrap/>
            <w:vAlign w:val="center"/>
          </w:tcPr>
          <w:p w14:paraId="4118E226" w14:textId="77777777" w:rsidR="00135421" w:rsidRPr="00287B39" w:rsidRDefault="00135421" w:rsidP="009D7969">
            <w:pPr>
              <w:jc w:val="center"/>
              <w:rPr>
                <w:color w:val="000000"/>
                <w:sz w:val="17"/>
                <w:szCs w:val="17"/>
              </w:rPr>
            </w:pPr>
            <w:r>
              <w:rPr>
                <w:color w:val="000000"/>
                <w:sz w:val="17"/>
                <w:szCs w:val="17"/>
              </w:rPr>
              <w:t>Prog.</w:t>
            </w:r>
          </w:p>
        </w:tc>
        <w:tc>
          <w:tcPr>
            <w:tcW w:w="464" w:type="pct"/>
            <w:shd w:val="clear" w:color="auto" w:fill="auto"/>
            <w:noWrap/>
            <w:vAlign w:val="center"/>
          </w:tcPr>
          <w:p w14:paraId="72A89B27" w14:textId="77777777" w:rsidR="00135421" w:rsidRPr="00287B39" w:rsidRDefault="00135421" w:rsidP="00E53900">
            <w:pPr>
              <w:jc w:val="right"/>
              <w:rPr>
                <w:color w:val="000000"/>
                <w:sz w:val="17"/>
                <w:szCs w:val="17"/>
              </w:rPr>
            </w:pPr>
            <w:r>
              <w:rPr>
                <w:sz w:val="18"/>
                <w:szCs w:val="18"/>
              </w:rPr>
              <w:t>0</w:t>
            </w:r>
          </w:p>
        </w:tc>
      </w:tr>
      <w:tr w:rsidR="006C72B4" w:rsidRPr="00287B39" w14:paraId="4EB7D9AC" w14:textId="77777777" w:rsidTr="006C72B4">
        <w:trPr>
          <w:trHeight w:val="261"/>
        </w:trPr>
        <w:tc>
          <w:tcPr>
            <w:tcW w:w="420" w:type="pct"/>
            <w:shd w:val="clear" w:color="auto" w:fill="auto"/>
            <w:noWrap/>
            <w:vAlign w:val="center"/>
            <w:hideMark/>
          </w:tcPr>
          <w:p w14:paraId="5F2283E1" w14:textId="6BA89B97" w:rsidR="00135421" w:rsidRPr="00287B39" w:rsidRDefault="00135421" w:rsidP="006C72B4">
            <w:pPr>
              <w:rPr>
                <w:color w:val="000000"/>
                <w:sz w:val="17"/>
                <w:szCs w:val="17"/>
              </w:rPr>
            </w:pPr>
            <w:r w:rsidRPr="00835296">
              <w:rPr>
                <w:sz w:val="18"/>
                <w:szCs w:val="18"/>
              </w:rPr>
              <w:t>Field Inspections</w:t>
            </w:r>
          </w:p>
        </w:tc>
        <w:tc>
          <w:tcPr>
            <w:tcW w:w="193" w:type="pct"/>
            <w:shd w:val="clear" w:color="auto" w:fill="BFBFBF" w:themeFill="background1" w:themeFillShade="BF"/>
            <w:noWrap/>
            <w:vAlign w:val="center"/>
            <w:hideMark/>
          </w:tcPr>
          <w:p w14:paraId="4A2A432D"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525FF987"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46F48443"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2D82DE79"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tcPr>
          <w:p w14:paraId="109DA386"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0A96FDCF"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5D93B588" w14:textId="77777777" w:rsidR="00135421" w:rsidRPr="00287B39" w:rsidRDefault="00135421" w:rsidP="00E53900">
            <w:pPr>
              <w:rPr>
                <w:color w:val="000000"/>
                <w:sz w:val="17"/>
                <w:szCs w:val="17"/>
              </w:rPr>
            </w:pPr>
          </w:p>
        </w:tc>
        <w:tc>
          <w:tcPr>
            <w:tcW w:w="193" w:type="pct"/>
            <w:shd w:val="clear" w:color="auto" w:fill="BFBFBF" w:themeFill="background1" w:themeFillShade="BF"/>
          </w:tcPr>
          <w:p w14:paraId="06A7F941" w14:textId="77777777" w:rsidR="00135421" w:rsidRPr="00287B39" w:rsidRDefault="00135421" w:rsidP="00E53900">
            <w:pPr>
              <w:rPr>
                <w:color w:val="000000"/>
                <w:sz w:val="17"/>
                <w:szCs w:val="17"/>
              </w:rPr>
            </w:pPr>
          </w:p>
        </w:tc>
        <w:tc>
          <w:tcPr>
            <w:tcW w:w="193" w:type="pct"/>
            <w:shd w:val="clear" w:color="auto" w:fill="BFBFBF" w:themeFill="background1" w:themeFillShade="BF"/>
            <w:noWrap/>
            <w:vAlign w:val="center"/>
            <w:hideMark/>
          </w:tcPr>
          <w:p w14:paraId="7511D3BB"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47F491B6"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0C86D8CC"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2C37D03E"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743CB4F6" w14:textId="77777777" w:rsidR="00135421" w:rsidRPr="00287B39" w:rsidRDefault="00135421" w:rsidP="00E53900">
            <w:pPr>
              <w:rPr>
                <w:color w:val="000000"/>
                <w:sz w:val="17"/>
                <w:szCs w:val="17"/>
              </w:rPr>
            </w:pPr>
            <w:r w:rsidRPr="00287B39">
              <w:rPr>
                <w:color w:val="000000"/>
                <w:sz w:val="17"/>
                <w:szCs w:val="17"/>
              </w:rPr>
              <w:t> </w:t>
            </w:r>
          </w:p>
        </w:tc>
        <w:tc>
          <w:tcPr>
            <w:tcW w:w="193" w:type="pct"/>
            <w:shd w:val="clear" w:color="auto" w:fill="BFBFBF" w:themeFill="background1" w:themeFillShade="BF"/>
            <w:noWrap/>
            <w:vAlign w:val="center"/>
            <w:hideMark/>
          </w:tcPr>
          <w:p w14:paraId="57F7246C" w14:textId="77777777" w:rsidR="00135421" w:rsidRPr="00232BFF" w:rsidRDefault="00135421" w:rsidP="00E53900">
            <w:pPr>
              <w:jc w:val="center"/>
              <w:rPr>
                <w:b/>
                <w:bCs/>
                <w:color w:val="000000"/>
                <w:sz w:val="17"/>
                <w:szCs w:val="17"/>
              </w:rPr>
            </w:pPr>
            <w:r w:rsidRPr="00232BFF">
              <w:rPr>
                <w:b/>
                <w:bCs/>
                <w:color w:val="000000"/>
                <w:sz w:val="17"/>
                <w:szCs w:val="17"/>
              </w:rPr>
              <w:t> </w:t>
            </w:r>
          </w:p>
        </w:tc>
        <w:tc>
          <w:tcPr>
            <w:tcW w:w="193" w:type="pct"/>
            <w:shd w:val="clear" w:color="auto" w:fill="BFBFBF" w:themeFill="background1" w:themeFillShade="BF"/>
          </w:tcPr>
          <w:p w14:paraId="3F3D222B" w14:textId="77777777" w:rsidR="00135421" w:rsidRPr="00232BFF" w:rsidRDefault="00135421" w:rsidP="00E53900">
            <w:pPr>
              <w:jc w:val="center"/>
              <w:rPr>
                <w:b/>
                <w:bCs/>
                <w:color w:val="000000"/>
                <w:sz w:val="17"/>
                <w:szCs w:val="17"/>
              </w:rPr>
            </w:pPr>
          </w:p>
        </w:tc>
        <w:tc>
          <w:tcPr>
            <w:tcW w:w="193" w:type="pct"/>
            <w:shd w:val="clear" w:color="auto" w:fill="BFBFBF" w:themeFill="background1" w:themeFillShade="BF"/>
          </w:tcPr>
          <w:p w14:paraId="2754AAC8" w14:textId="77777777" w:rsidR="00135421" w:rsidRPr="00232BFF" w:rsidRDefault="00135421" w:rsidP="00E53900">
            <w:pPr>
              <w:jc w:val="center"/>
              <w:rPr>
                <w:b/>
                <w:bCs/>
                <w:color w:val="000000"/>
                <w:sz w:val="17"/>
                <w:szCs w:val="17"/>
              </w:rPr>
            </w:pPr>
          </w:p>
        </w:tc>
        <w:tc>
          <w:tcPr>
            <w:tcW w:w="193" w:type="pct"/>
            <w:shd w:val="clear" w:color="auto" w:fill="FFFFFF" w:themeFill="background1"/>
          </w:tcPr>
          <w:p w14:paraId="70CC599A" w14:textId="77777777" w:rsidR="00135421" w:rsidRPr="00232BFF" w:rsidRDefault="00135421" w:rsidP="00E53900">
            <w:pPr>
              <w:jc w:val="center"/>
              <w:rPr>
                <w:b/>
                <w:bCs/>
                <w:color w:val="000000"/>
                <w:sz w:val="17"/>
                <w:szCs w:val="17"/>
              </w:rPr>
            </w:pPr>
          </w:p>
        </w:tc>
        <w:tc>
          <w:tcPr>
            <w:tcW w:w="193" w:type="pct"/>
            <w:shd w:val="clear" w:color="auto" w:fill="FFFFFF" w:themeFill="background1"/>
          </w:tcPr>
          <w:p w14:paraId="6A965BBC" w14:textId="77777777" w:rsidR="00135421" w:rsidRPr="00232BFF" w:rsidRDefault="00135421" w:rsidP="00E53900">
            <w:pPr>
              <w:jc w:val="center"/>
              <w:rPr>
                <w:b/>
                <w:bCs/>
                <w:color w:val="000000"/>
                <w:sz w:val="17"/>
                <w:szCs w:val="17"/>
              </w:rPr>
            </w:pPr>
          </w:p>
        </w:tc>
        <w:tc>
          <w:tcPr>
            <w:tcW w:w="357" w:type="pct"/>
            <w:shd w:val="clear" w:color="auto" w:fill="auto"/>
            <w:noWrap/>
            <w:vAlign w:val="center"/>
          </w:tcPr>
          <w:p w14:paraId="254A1FA1" w14:textId="77777777" w:rsidR="00135421" w:rsidRPr="00287B39" w:rsidRDefault="00135421" w:rsidP="00E53900">
            <w:pPr>
              <w:jc w:val="center"/>
              <w:rPr>
                <w:color w:val="000000"/>
                <w:sz w:val="17"/>
                <w:szCs w:val="17"/>
              </w:rPr>
            </w:pPr>
            <w:r w:rsidRPr="00835296">
              <w:rPr>
                <w:sz w:val="18"/>
                <w:szCs w:val="18"/>
              </w:rPr>
              <w:t>IDB</w:t>
            </w:r>
            <w:r>
              <w:rPr>
                <w:sz w:val="18"/>
                <w:szCs w:val="18"/>
              </w:rPr>
              <w:t xml:space="preserve"> &amp; EA</w:t>
            </w:r>
          </w:p>
        </w:tc>
        <w:tc>
          <w:tcPr>
            <w:tcW w:w="285" w:type="pct"/>
            <w:shd w:val="clear" w:color="auto" w:fill="auto"/>
            <w:noWrap/>
            <w:vAlign w:val="center"/>
          </w:tcPr>
          <w:p w14:paraId="27AC1F48" w14:textId="77777777" w:rsidR="00135421" w:rsidRPr="00287B39" w:rsidRDefault="00135421" w:rsidP="009D7969">
            <w:pPr>
              <w:jc w:val="center"/>
              <w:rPr>
                <w:color w:val="000000"/>
                <w:sz w:val="17"/>
                <w:szCs w:val="17"/>
              </w:rPr>
            </w:pPr>
            <w:r>
              <w:rPr>
                <w:color w:val="000000"/>
                <w:sz w:val="17"/>
                <w:szCs w:val="17"/>
              </w:rPr>
              <w:t>Prog.</w:t>
            </w:r>
          </w:p>
        </w:tc>
        <w:tc>
          <w:tcPr>
            <w:tcW w:w="464" w:type="pct"/>
            <w:shd w:val="clear" w:color="auto" w:fill="auto"/>
            <w:noWrap/>
            <w:vAlign w:val="center"/>
          </w:tcPr>
          <w:p w14:paraId="1138E50D" w14:textId="77777777" w:rsidR="00135421" w:rsidRPr="00E51A16" w:rsidRDefault="00135421" w:rsidP="00E53900">
            <w:pPr>
              <w:jc w:val="right"/>
              <w:rPr>
                <w:color w:val="000000"/>
                <w:sz w:val="17"/>
                <w:szCs w:val="17"/>
              </w:rPr>
            </w:pPr>
            <w:r w:rsidRPr="00E51A16">
              <w:rPr>
                <w:sz w:val="18"/>
                <w:szCs w:val="18"/>
              </w:rPr>
              <w:t>120,000</w:t>
            </w:r>
          </w:p>
        </w:tc>
      </w:tr>
      <w:tr w:rsidR="00DD26BB" w:rsidRPr="00287B39" w14:paraId="38845D59" w14:textId="77777777" w:rsidTr="00863193">
        <w:trPr>
          <w:trHeight w:val="261"/>
        </w:trPr>
        <w:tc>
          <w:tcPr>
            <w:tcW w:w="420" w:type="pct"/>
            <w:shd w:val="clear" w:color="auto" w:fill="auto"/>
            <w:noWrap/>
            <w:vAlign w:val="center"/>
          </w:tcPr>
          <w:p w14:paraId="78DEAF65" w14:textId="53D98CCF" w:rsidR="00DD26BB" w:rsidRDefault="00DD26BB" w:rsidP="00E53900">
            <w:pPr>
              <w:rPr>
                <w:sz w:val="18"/>
                <w:szCs w:val="18"/>
              </w:rPr>
            </w:pPr>
            <w:r>
              <w:rPr>
                <w:sz w:val="18"/>
                <w:szCs w:val="18"/>
              </w:rPr>
              <w:t>Audited Financial Statements</w:t>
            </w:r>
          </w:p>
        </w:tc>
        <w:tc>
          <w:tcPr>
            <w:tcW w:w="193" w:type="pct"/>
            <w:shd w:val="clear" w:color="auto" w:fill="auto"/>
            <w:noWrap/>
            <w:vAlign w:val="center"/>
          </w:tcPr>
          <w:p w14:paraId="11FBBBF7" w14:textId="77777777" w:rsidR="00DD26BB" w:rsidRPr="00287B39" w:rsidRDefault="00DD26BB" w:rsidP="00E53900">
            <w:pPr>
              <w:rPr>
                <w:color w:val="000000"/>
                <w:sz w:val="17"/>
                <w:szCs w:val="17"/>
                <w:lang w:val="es-ES_tradnl"/>
              </w:rPr>
            </w:pPr>
          </w:p>
        </w:tc>
        <w:tc>
          <w:tcPr>
            <w:tcW w:w="193" w:type="pct"/>
            <w:shd w:val="clear" w:color="auto" w:fill="auto"/>
            <w:noWrap/>
            <w:vAlign w:val="center"/>
          </w:tcPr>
          <w:p w14:paraId="0166B964"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noWrap/>
            <w:vAlign w:val="center"/>
          </w:tcPr>
          <w:p w14:paraId="5CE2EFD1" w14:textId="77777777" w:rsidR="00DD26BB" w:rsidRPr="00287B39" w:rsidRDefault="00DD26BB" w:rsidP="00E53900">
            <w:pPr>
              <w:rPr>
                <w:color w:val="000000"/>
                <w:sz w:val="17"/>
                <w:szCs w:val="17"/>
                <w:lang w:val="es-ES_tradnl"/>
              </w:rPr>
            </w:pPr>
          </w:p>
        </w:tc>
        <w:tc>
          <w:tcPr>
            <w:tcW w:w="193" w:type="pct"/>
            <w:shd w:val="clear" w:color="auto" w:fill="auto"/>
            <w:noWrap/>
            <w:vAlign w:val="center"/>
          </w:tcPr>
          <w:p w14:paraId="09171180"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tcPr>
          <w:p w14:paraId="55072202" w14:textId="77777777" w:rsidR="00DD26BB" w:rsidRPr="00287B39" w:rsidRDefault="00DD26BB" w:rsidP="00E53900">
            <w:pPr>
              <w:rPr>
                <w:color w:val="000000"/>
                <w:sz w:val="17"/>
                <w:szCs w:val="17"/>
                <w:lang w:val="es-ES_tradnl"/>
              </w:rPr>
            </w:pPr>
          </w:p>
        </w:tc>
        <w:tc>
          <w:tcPr>
            <w:tcW w:w="193" w:type="pct"/>
            <w:shd w:val="clear" w:color="auto" w:fill="FFFFFF" w:themeFill="background1"/>
          </w:tcPr>
          <w:p w14:paraId="0DB07DA6"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tcPr>
          <w:p w14:paraId="46D0F164" w14:textId="77777777" w:rsidR="00DD26BB" w:rsidRPr="00287B39" w:rsidRDefault="00DD26BB" w:rsidP="00E53900">
            <w:pPr>
              <w:rPr>
                <w:color w:val="000000"/>
                <w:sz w:val="17"/>
                <w:szCs w:val="17"/>
                <w:lang w:val="es-ES_tradnl"/>
              </w:rPr>
            </w:pPr>
          </w:p>
        </w:tc>
        <w:tc>
          <w:tcPr>
            <w:tcW w:w="193" w:type="pct"/>
            <w:shd w:val="clear" w:color="auto" w:fill="FFFFFF" w:themeFill="background1"/>
          </w:tcPr>
          <w:p w14:paraId="58C969FC"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noWrap/>
            <w:vAlign w:val="center"/>
          </w:tcPr>
          <w:p w14:paraId="41F3CE86" w14:textId="77777777" w:rsidR="00DD26BB" w:rsidRPr="00287B39" w:rsidRDefault="00DD26BB" w:rsidP="00E53900">
            <w:pPr>
              <w:rPr>
                <w:color w:val="000000"/>
                <w:sz w:val="17"/>
                <w:szCs w:val="17"/>
                <w:lang w:val="es-ES_tradnl"/>
              </w:rPr>
            </w:pPr>
          </w:p>
        </w:tc>
        <w:tc>
          <w:tcPr>
            <w:tcW w:w="193" w:type="pct"/>
            <w:shd w:val="clear" w:color="auto" w:fill="FFFFFF" w:themeFill="background1"/>
            <w:noWrap/>
            <w:vAlign w:val="center"/>
          </w:tcPr>
          <w:p w14:paraId="4146CCB0"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noWrap/>
            <w:vAlign w:val="center"/>
          </w:tcPr>
          <w:p w14:paraId="542745E4" w14:textId="77777777" w:rsidR="00DD26BB" w:rsidRPr="00287B39" w:rsidRDefault="00DD26BB" w:rsidP="00E53900">
            <w:pPr>
              <w:rPr>
                <w:color w:val="000000"/>
                <w:sz w:val="17"/>
                <w:szCs w:val="17"/>
                <w:lang w:val="es-ES_tradnl"/>
              </w:rPr>
            </w:pPr>
          </w:p>
        </w:tc>
        <w:tc>
          <w:tcPr>
            <w:tcW w:w="193" w:type="pct"/>
            <w:shd w:val="clear" w:color="auto" w:fill="auto"/>
            <w:noWrap/>
            <w:vAlign w:val="center"/>
          </w:tcPr>
          <w:p w14:paraId="01B12063" w14:textId="77777777" w:rsidR="00DD26BB" w:rsidRPr="00287B39" w:rsidRDefault="00DD26BB" w:rsidP="00E53900">
            <w:pPr>
              <w:rPr>
                <w:color w:val="000000"/>
                <w:sz w:val="17"/>
                <w:szCs w:val="17"/>
                <w:lang w:val="es-ES_tradnl"/>
              </w:rPr>
            </w:pPr>
          </w:p>
        </w:tc>
        <w:tc>
          <w:tcPr>
            <w:tcW w:w="193" w:type="pct"/>
            <w:shd w:val="clear" w:color="auto" w:fill="BFBFBF" w:themeFill="background1" w:themeFillShade="BF"/>
            <w:noWrap/>
            <w:vAlign w:val="center"/>
          </w:tcPr>
          <w:p w14:paraId="0334204E" w14:textId="77777777" w:rsidR="00DD26BB" w:rsidRPr="00287B39" w:rsidRDefault="00DD26BB" w:rsidP="00E53900">
            <w:pPr>
              <w:rPr>
                <w:color w:val="000000"/>
                <w:sz w:val="17"/>
                <w:szCs w:val="17"/>
                <w:lang w:val="es-ES_tradnl"/>
              </w:rPr>
            </w:pPr>
          </w:p>
        </w:tc>
        <w:tc>
          <w:tcPr>
            <w:tcW w:w="193" w:type="pct"/>
            <w:shd w:val="clear" w:color="auto" w:fill="FFFFFF" w:themeFill="background1"/>
            <w:noWrap/>
            <w:vAlign w:val="center"/>
          </w:tcPr>
          <w:p w14:paraId="01C7F582" w14:textId="77777777" w:rsidR="00DD26BB" w:rsidRPr="00232BFF" w:rsidRDefault="00DD26BB" w:rsidP="00E53900">
            <w:pPr>
              <w:jc w:val="center"/>
              <w:rPr>
                <w:b/>
                <w:bCs/>
                <w:color w:val="000000"/>
                <w:sz w:val="17"/>
                <w:szCs w:val="17"/>
              </w:rPr>
            </w:pPr>
          </w:p>
        </w:tc>
        <w:tc>
          <w:tcPr>
            <w:tcW w:w="193" w:type="pct"/>
            <w:shd w:val="clear" w:color="auto" w:fill="BFBFBF" w:themeFill="background1" w:themeFillShade="BF"/>
          </w:tcPr>
          <w:p w14:paraId="6F2223EE" w14:textId="77777777" w:rsidR="00DD26BB" w:rsidRPr="00232BFF" w:rsidRDefault="00DD26BB" w:rsidP="00E53900">
            <w:pPr>
              <w:jc w:val="center"/>
              <w:rPr>
                <w:b/>
                <w:bCs/>
                <w:color w:val="000000"/>
                <w:sz w:val="17"/>
                <w:szCs w:val="17"/>
              </w:rPr>
            </w:pPr>
          </w:p>
        </w:tc>
        <w:tc>
          <w:tcPr>
            <w:tcW w:w="193" w:type="pct"/>
            <w:shd w:val="clear" w:color="auto" w:fill="FFFFFF" w:themeFill="background1"/>
          </w:tcPr>
          <w:p w14:paraId="0BC96461" w14:textId="77777777" w:rsidR="00DD26BB" w:rsidRPr="00232BFF" w:rsidRDefault="00DD26BB" w:rsidP="00E53900">
            <w:pPr>
              <w:jc w:val="center"/>
              <w:rPr>
                <w:b/>
                <w:bCs/>
                <w:color w:val="000000"/>
                <w:sz w:val="17"/>
                <w:szCs w:val="17"/>
              </w:rPr>
            </w:pPr>
          </w:p>
        </w:tc>
        <w:tc>
          <w:tcPr>
            <w:tcW w:w="193" w:type="pct"/>
            <w:shd w:val="clear" w:color="auto" w:fill="BFBFBF" w:themeFill="background1" w:themeFillShade="BF"/>
          </w:tcPr>
          <w:p w14:paraId="481CA4CB" w14:textId="77777777" w:rsidR="00DD26BB" w:rsidRPr="00232BFF" w:rsidRDefault="00DD26BB" w:rsidP="00E53900">
            <w:pPr>
              <w:jc w:val="center"/>
              <w:rPr>
                <w:b/>
                <w:bCs/>
                <w:color w:val="000000"/>
                <w:sz w:val="17"/>
                <w:szCs w:val="17"/>
              </w:rPr>
            </w:pPr>
          </w:p>
        </w:tc>
        <w:tc>
          <w:tcPr>
            <w:tcW w:w="193" w:type="pct"/>
            <w:shd w:val="clear" w:color="auto" w:fill="FFFFFF" w:themeFill="background1"/>
          </w:tcPr>
          <w:p w14:paraId="0DEAEB7F" w14:textId="77777777" w:rsidR="00DD26BB" w:rsidRPr="00232BFF" w:rsidRDefault="00DD26BB" w:rsidP="00E53900">
            <w:pPr>
              <w:jc w:val="center"/>
              <w:rPr>
                <w:b/>
                <w:bCs/>
                <w:color w:val="000000"/>
                <w:sz w:val="17"/>
                <w:szCs w:val="17"/>
              </w:rPr>
            </w:pPr>
          </w:p>
        </w:tc>
        <w:tc>
          <w:tcPr>
            <w:tcW w:w="357" w:type="pct"/>
            <w:shd w:val="clear" w:color="auto" w:fill="auto"/>
            <w:noWrap/>
            <w:vAlign w:val="center"/>
          </w:tcPr>
          <w:p w14:paraId="08592242" w14:textId="24109E3D" w:rsidR="00DD26BB" w:rsidRPr="00835296" w:rsidRDefault="00DD26BB" w:rsidP="00E53900">
            <w:pPr>
              <w:jc w:val="center"/>
              <w:rPr>
                <w:sz w:val="18"/>
                <w:szCs w:val="18"/>
              </w:rPr>
            </w:pPr>
            <w:r w:rsidRPr="00835296">
              <w:rPr>
                <w:sz w:val="18"/>
                <w:szCs w:val="18"/>
              </w:rPr>
              <w:t>EA</w:t>
            </w:r>
          </w:p>
        </w:tc>
        <w:tc>
          <w:tcPr>
            <w:tcW w:w="285" w:type="pct"/>
            <w:shd w:val="clear" w:color="auto" w:fill="auto"/>
            <w:noWrap/>
            <w:vAlign w:val="center"/>
          </w:tcPr>
          <w:p w14:paraId="5E83FD84" w14:textId="2C935829" w:rsidR="00DD26BB" w:rsidRDefault="00DD26BB" w:rsidP="009D7969">
            <w:pPr>
              <w:jc w:val="center"/>
              <w:rPr>
                <w:color w:val="000000"/>
                <w:sz w:val="17"/>
                <w:szCs w:val="17"/>
              </w:rPr>
            </w:pPr>
            <w:r>
              <w:rPr>
                <w:color w:val="000000"/>
                <w:sz w:val="17"/>
                <w:szCs w:val="17"/>
              </w:rPr>
              <w:t>Prog.</w:t>
            </w:r>
          </w:p>
        </w:tc>
        <w:tc>
          <w:tcPr>
            <w:tcW w:w="464" w:type="pct"/>
            <w:shd w:val="clear" w:color="auto" w:fill="auto"/>
            <w:noWrap/>
            <w:vAlign w:val="center"/>
          </w:tcPr>
          <w:p w14:paraId="08A18BFF" w14:textId="2BA9FA1B" w:rsidR="00DD26BB" w:rsidRPr="00E51A16" w:rsidRDefault="00DD26BB" w:rsidP="00E53900">
            <w:pPr>
              <w:jc w:val="right"/>
              <w:rPr>
                <w:sz w:val="18"/>
                <w:szCs w:val="18"/>
              </w:rPr>
            </w:pPr>
            <w:r w:rsidRPr="00E51A16">
              <w:rPr>
                <w:sz w:val="18"/>
                <w:szCs w:val="18"/>
              </w:rPr>
              <w:t>140,000</w:t>
            </w:r>
          </w:p>
        </w:tc>
      </w:tr>
      <w:tr w:rsidR="00DD26BB" w:rsidRPr="00287B39" w14:paraId="67C3BCBA" w14:textId="77777777" w:rsidTr="00863193">
        <w:trPr>
          <w:trHeight w:val="261"/>
        </w:trPr>
        <w:tc>
          <w:tcPr>
            <w:tcW w:w="420" w:type="pct"/>
            <w:shd w:val="clear" w:color="auto" w:fill="auto"/>
            <w:noWrap/>
            <w:vAlign w:val="center"/>
            <w:hideMark/>
          </w:tcPr>
          <w:p w14:paraId="7E266CEE" w14:textId="669644B8" w:rsidR="00DD26BB" w:rsidRPr="00287B39" w:rsidRDefault="00DD26BB" w:rsidP="00DD26BB">
            <w:pPr>
              <w:rPr>
                <w:color w:val="000000"/>
                <w:sz w:val="17"/>
                <w:szCs w:val="17"/>
              </w:rPr>
            </w:pPr>
            <w:r w:rsidRPr="00DD26BB">
              <w:rPr>
                <w:color w:val="000000"/>
                <w:sz w:val="17"/>
                <w:szCs w:val="17"/>
              </w:rPr>
              <w:t xml:space="preserve">Assurance Reports </w:t>
            </w:r>
          </w:p>
        </w:tc>
        <w:tc>
          <w:tcPr>
            <w:tcW w:w="193" w:type="pct"/>
            <w:shd w:val="clear" w:color="auto" w:fill="auto"/>
            <w:noWrap/>
            <w:vAlign w:val="center"/>
            <w:hideMark/>
          </w:tcPr>
          <w:p w14:paraId="232DD150"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auto"/>
            <w:noWrap/>
            <w:vAlign w:val="center"/>
            <w:hideMark/>
          </w:tcPr>
          <w:p w14:paraId="2FC39E70"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BFBFBF" w:themeFill="background1" w:themeFillShade="BF"/>
            <w:noWrap/>
            <w:vAlign w:val="center"/>
            <w:hideMark/>
          </w:tcPr>
          <w:p w14:paraId="7EA20740"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auto"/>
            <w:noWrap/>
            <w:vAlign w:val="center"/>
            <w:hideMark/>
          </w:tcPr>
          <w:p w14:paraId="28FD16EA"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BFBFBF" w:themeFill="background1" w:themeFillShade="BF"/>
          </w:tcPr>
          <w:p w14:paraId="1064E1CF" w14:textId="77777777" w:rsidR="00DD26BB" w:rsidRPr="00DD26BB" w:rsidRDefault="00DD26BB" w:rsidP="00E53900">
            <w:pPr>
              <w:rPr>
                <w:color w:val="000000"/>
                <w:sz w:val="17"/>
                <w:szCs w:val="17"/>
              </w:rPr>
            </w:pPr>
          </w:p>
        </w:tc>
        <w:tc>
          <w:tcPr>
            <w:tcW w:w="193" w:type="pct"/>
            <w:shd w:val="clear" w:color="auto" w:fill="FFFFFF" w:themeFill="background1"/>
          </w:tcPr>
          <w:p w14:paraId="09376AAA" w14:textId="77777777" w:rsidR="00DD26BB" w:rsidRPr="00DD26BB" w:rsidRDefault="00DD26BB" w:rsidP="00E53900">
            <w:pPr>
              <w:rPr>
                <w:color w:val="000000"/>
                <w:sz w:val="17"/>
                <w:szCs w:val="17"/>
              </w:rPr>
            </w:pPr>
          </w:p>
        </w:tc>
        <w:tc>
          <w:tcPr>
            <w:tcW w:w="193" w:type="pct"/>
            <w:shd w:val="clear" w:color="auto" w:fill="BFBFBF" w:themeFill="background1" w:themeFillShade="BF"/>
          </w:tcPr>
          <w:p w14:paraId="2E03B288" w14:textId="77777777" w:rsidR="00DD26BB" w:rsidRPr="00DD26BB" w:rsidRDefault="00DD26BB" w:rsidP="00E53900">
            <w:pPr>
              <w:rPr>
                <w:color w:val="000000"/>
                <w:sz w:val="17"/>
                <w:szCs w:val="17"/>
              </w:rPr>
            </w:pPr>
          </w:p>
        </w:tc>
        <w:tc>
          <w:tcPr>
            <w:tcW w:w="193" w:type="pct"/>
            <w:shd w:val="clear" w:color="auto" w:fill="FFFFFF" w:themeFill="background1"/>
          </w:tcPr>
          <w:p w14:paraId="5EE4DCC7" w14:textId="77777777" w:rsidR="00DD26BB" w:rsidRPr="00DD26BB" w:rsidRDefault="00DD26BB" w:rsidP="00E53900">
            <w:pPr>
              <w:rPr>
                <w:color w:val="000000"/>
                <w:sz w:val="17"/>
                <w:szCs w:val="17"/>
              </w:rPr>
            </w:pPr>
          </w:p>
        </w:tc>
        <w:tc>
          <w:tcPr>
            <w:tcW w:w="193" w:type="pct"/>
            <w:shd w:val="clear" w:color="auto" w:fill="BFBFBF" w:themeFill="background1" w:themeFillShade="BF"/>
            <w:noWrap/>
            <w:vAlign w:val="center"/>
            <w:hideMark/>
          </w:tcPr>
          <w:p w14:paraId="0CF6A22D"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FFFFFF" w:themeFill="background1"/>
            <w:noWrap/>
            <w:vAlign w:val="center"/>
            <w:hideMark/>
          </w:tcPr>
          <w:p w14:paraId="6CB850B1"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BFBFBF" w:themeFill="background1" w:themeFillShade="BF"/>
            <w:noWrap/>
            <w:vAlign w:val="center"/>
            <w:hideMark/>
          </w:tcPr>
          <w:p w14:paraId="75FC86EA"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auto"/>
            <w:noWrap/>
            <w:vAlign w:val="center"/>
            <w:hideMark/>
          </w:tcPr>
          <w:p w14:paraId="73D0BF82"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BFBFBF" w:themeFill="background1" w:themeFillShade="BF"/>
            <w:noWrap/>
            <w:vAlign w:val="center"/>
            <w:hideMark/>
          </w:tcPr>
          <w:p w14:paraId="2A4FCBD9" w14:textId="77777777" w:rsidR="00DD26BB" w:rsidRPr="00287B39" w:rsidRDefault="00DD26BB" w:rsidP="00E53900">
            <w:pPr>
              <w:rPr>
                <w:color w:val="000000"/>
                <w:sz w:val="17"/>
                <w:szCs w:val="17"/>
              </w:rPr>
            </w:pPr>
            <w:r w:rsidRPr="00DD26BB">
              <w:rPr>
                <w:color w:val="000000"/>
                <w:sz w:val="17"/>
                <w:szCs w:val="17"/>
              </w:rPr>
              <w:t> </w:t>
            </w:r>
          </w:p>
        </w:tc>
        <w:tc>
          <w:tcPr>
            <w:tcW w:w="193" w:type="pct"/>
            <w:shd w:val="clear" w:color="auto" w:fill="FFFFFF" w:themeFill="background1"/>
            <w:noWrap/>
            <w:vAlign w:val="center"/>
            <w:hideMark/>
          </w:tcPr>
          <w:p w14:paraId="524C13C8" w14:textId="77777777" w:rsidR="00DD26BB" w:rsidRPr="00232BFF" w:rsidRDefault="00DD26BB" w:rsidP="00E53900">
            <w:pPr>
              <w:jc w:val="center"/>
              <w:rPr>
                <w:b/>
                <w:bCs/>
                <w:color w:val="000000"/>
                <w:sz w:val="17"/>
                <w:szCs w:val="17"/>
              </w:rPr>
            </w:pPr>
            <w:r w:rsidRPr="00232BFF">
              <w:rPr>
                <w:b/>
                <w:bCs/>
                <w:color w:val="000000"/>
                <w:sz w:val="17"/>
                <w:szCs w:val="17"/>
              </w:rPr>
              <w:t> </w:t>
            </w:r>
          </w:p>
        </w:tc>
        <w:tc>
          <w:tcPr>
            <w:tcW w:w="193" w:type="pct"/>
            <w:shd w:val="clear" w:color="auto" w:fill="BFBFBF" w:themeFill="background1" w:themeFillShade="BF"/>
          </w:tcPr>
          <w:p w14:paraId="4B9FB23A" w14:textId="77777777" w:rsidR="00DD26BB" w:rsidRPr="00232BFF" w:rsidRDefault="00DD26BB" w:rsidP="00E53900">
            <w:pPr>
              <w:jc w:val="center"/>
              <w:rPr>
                <w:b/>
                <w:bCs/>
                <w:color w:val="000000"/>
                <w:sz w:val="17"/>
                <w:szCs w:val="17"/>
              </w:rPr>
            </w:pPr>
          </w:p>
        </w:tc>
        <w:tc>
          <w:tcPr>
            <w:tcW w:w="193" w:type="pct"/>
            <w:shd w:val="clear" w:color="auto" w:fill="FFFFFF" w:themeFill="background1"/>
          </w:tcPr>
          <w:p w14:paraId="48853B5A" w14:textId="77777777" w:rsidR="00DD26BB" w:rsidRPr="00232BFF" w:rsidRDefault="00DD26BB" w:rsidP="00E53900">
            <w:pPr>
              <w:jc w:val="center"/>
              <w:rPr>
                <w:b/>
                <w:bCs/>
                <w:color w:val="000000"/>
                <w:sz w:val="17"/>
                <w:szCs w:val="17"/>
              </w:rPr>
            </w:pPr>
          </w:p>
        </w:tc>
        <w:tc>
          <w:tcPr>
            <w:tcW w:w="193" w:type="pct"/>
            <w:shd w:val="clear" w:color="auto" w:fill="BFBFBF" w:themeFill="background1" w:themeFillShade="BF"/>
          </w:tcPr>
          <w:p w14:paraId="454186BE" w14:textId="77777777" w:rsidR="00DD26BB" w:rsidRPr="00232BFF" w:rsidRDefault="00DD26BB" w:rsidP="00E53900">
            <w:pPr>
              <w:jc w:val="center"/>
              <w:rPr>
                <w:b/>
                <w:bCs/>
                <w:color w:val="000000"/>
                <w:sz w:val="17"/>
                <w:szCs w:val="17"/>
              </w:rPr>
            </w:pPr>
          </w:p>
        </w:tc>
        <w:tc>
          <w:tcPr>
            <w:tcW w:w="193" w:type="pct"/>
            <w:shd w:val="clear" w:color="auto" w:fill="FFFFFF" w:themeFill="background1"/>
          </w:tcPr>
          <w:p w14:paraId="7DDAF026" w14:textId="77777777" w:rsidR="00DD26BB" w:rsidRPr="00232BFF" w:rsidRDefault="00DD26BB" w:rsidP="00E53900">
            <w:pPr>
              <w:jc w:val="center"/>
              <w:rPr>
                <w:b/>
                <w:bCs/>
                <w:color w:val="000000"/>
                <w:sz w:val="17"/>
                <w:szCs w:val="17"/>
              </w:rPr>
            </w:pPr>
          </w:p>
        </w:tc>
        <w:tc>
          <w:tcPr>
            <w:tcW w:w="357" w:type="pct"/>
            <w:shd w:val="clear" w:color="auto" w:fill="auto"/>
            <w:noWrap/>
            <w:vAlign w:val="center"/>
          </w:tcPr>
          <w:p w14:paraId="533BECCC" w14:textId="0EE0B9AF" w:rsidR="00DD26BB" w:rsidRPr="00287B39" w:rsidRDefault="00DD26BB" w:rsidP="00E53900">
            <w:pPr>
              <w:jc w:val="center"/>
              <w:rPr>
                <w:color w:val="000000"/>
                <w:sz w:val="17"/>
                <w:szCs w:val="17"/>
              </w:rPr>
            </w:pPr>
            <w:r w:rsidRPr="00835296">
              <w:rPr>
                <w:sz w:val="18"/>
                <w:szCs w:val="18"/>
              </w:rPr>
              <w:t>EA</w:t>
            </w:r>
          </w:p>
        </w:tc>
        <w:tc>
          <w:tcPr>
            <w:tcW w:w="285" w:type="pct"/>
            <w:shd w:val="clear" w:color="auto" w:fill="auto"/>
            <w:noWrap/>
            <w:vAlign w:val="center"/>
          </w:tcPr>
          <w:p w14:paraId="3CF825DA" w14:textId="5E401D07" w:rsidR="00DD26BB" w:rsidRPr="00287B39" w:rsidRDefault="00DD26BB" w:rsidP="009D7969">
            <w:pPr>
              <w:jc w:val="center"/>
              <w:rPr>
                <w:color w:val="000000"/>
                <w:sz w:val="17"/>
                <w:szCs w:val="17"/>
              </w:rPr>
            </w:pPr>
            <w:r>
              <w:rPr>
                <w:color w:val="000000"/>
                <w:sz w:val="17"/>
                <w:szCs w:val="17"/>
              </w:rPr>
              <w:t>Prog.</w:t>
            </w:r>
          </w:p>
        </w:tc>
        <w:tc>
          <w:tcPr>
            <w:tcW w:w="464" w:type="pct"/>
            <w:shd w:val="clear" w:color="auto" w:fill="auto"/>
            <w:noWrap/>
            <w:vAlign w:val="center"/>
          </w:tcPr>
          <w:p w14:paraId="16D0EA93" w14:textId="246AF8AA" w:rsidR="00DD26BB" w:rsidRPr="00E51A16" w:rsidRDefault="00DD26BB" w:rsidP="00DD26BB">
            <w:pPr>
              <w:jc w:val="right"/>
              <w:rPr>
                <w:color w:val="000000"/>
                <w:sz w:val="17"/>
                <w:szCs w:val="17"/>
              </w:rPr>
            </w:pPr>
            <w:r w:rsidRPr="00E51A16">
              <w:rPr>
                <w:sz w:val="18"/>
                <w:szCs w:val="18"/>
              </w:rPr>
              <w:t>1</w:t>
            </w:r>
            <w:r>
              <w:rPr>
                <w:sz w:val="18"/>
                <w:szCs w:val="18"/>
              </w:rPr>
              <w:t>95</w:t>
            </w:r>
            <w:r w:rsidRPr="00E51A16">
              <w:rPr>
                <w:sz w:val="18"/>
                <w:szCs w:val="18"/>
              </w:rPr>
              <w:t>,000</w:t>
            </w:r>
          </w:p>
        </w:tc>
      </w:tr>
      <w:tr w:rsidR="00252054" w:rsidRPr="00287B39" w14:paraId="079B266E" w14:textId="77777777" w:rsidTr="00252054">
        <w:trPr>
          <w:trHeight w:val="261"/>
        </w:trPr>
        <w:tc>
          <w:tcPr>
            <w:tcW w:w="420" w:type="pct"/>
            <w:shd w:val="clear" w:color="auto" w:fill="auto"/>
            <w:noWrap/>
            <w:vAlign w:val="center"/>
          </w:tcPr>
          <w:p w14:paraId="36F9EFCE" w14:textId="53D2A647" w:rsidR="00252054" w:rsidRDefault="00C9762E" w:rsidP="003F0315">
            <w:pPr>
              <w:rPr>
                <w:sz w:val="18"/>
                <w:szCs w:val="18"/>
              </w:rPr>
            </w:pPr>
            <w:r>
              <w:rPr>
                <w:sz w:val="18"/>
                <w:szCs w:val="18"/>
              </w:rPr>
              <w:t>ES</w:t>
            </w:r>
            <w:r w:rsidR="003F0315">
              <w:rPr>
                <w:sz w:val="18"/>
                <w:szCs w:val="18"/>
              </w:rPr>
              <w:t>G</w:t>
            </w:r>
            <w:r>
              <w:rPr>
                <w:sz w:val="18"/>
                <w:szCs w:val="18"/>
              </w:rPr>
              <w:t xml:space="preserve"> </w:t>
            </w:r>
            <w:r w:rsidR="00252054">
              <w:rPr>
                <w:sz w:val="18"/>
                <w:szCs w:val="18"/>
              </w:rPr>
              <w:t>Due Diligence and Annual Supervision Missions by External Consultant</w:t>
            </w:r>
          </w:p>
        </w:tc>
        <w:tc>
          <w:tcPr>
            <w:tcW w:w="193" w:type="pct"/>
            <w:shd w:val="clear" w:color="auto" w:fill="auto"/>
            <w:noWrap/>
            <w:vAlign w:val="center"/>
          </w:tcPr>
          <w:p w14:paraId="2D718934" w14:textId="77777777" w:rsidR="00252054" w:rsidRPr="006C72B4" w:rsidRDefault="00252054" w:rsidP="00E53900">
            <w:pPr>
              <w:rPr>
                <w:color w:val="000000"/>
                <w:sz w:val="17"/>
                <w:szCs w:val="17"/>
              </w:rPr>
            </w:pPr>
          </w:p>
        </w:tc>
        <w:tc>
          <w:tcPr>
            <w:tcW w:w="193" w:type="pct"/>
            <w:shd w:val="clear" w:color="auto" w:fill="BFBFBF" w:themeFill="background1" w:themeFillShade="BF"/>
            <w:noWrap/>
            <w:vAlign w:val="center"/>
          </w:tcPr>
          <w:p w14:paraId="77A961C9" w14:textId="77777777" w:rsidR="00252054" w:rsidRPr="006C72B4" w:rsidRDefault="00252054" w:rsidP="00E53900">
            <w:pPr>
              <w:rPr>
                <w:color w:val="000000"/>
                <w:sz w:val="17"/>
                <w:szCs w:val="17"/>
              </w:rPr>
            </w:pPr>
          </w:p>
        </w:tc>
        <w:tc>
          <w:tcPr>
            <w:tcW w:w="193" w:type="pct"/>
            <w:shd w:val="clear" w:color="auto" w:fill="auto"/>
            <w:noWrap/>
            <w:vAlign w:val="center"/>
          </w:tcPr>
          <w:p w14:paraId="38194A51" w14:textId="77777777" w:rsidR="00252054" w:rsidRPr="006C72B4" w:rsidRDefault="00252054" w:rsidP="00E53900">
            <w:pPr>
              <w:rPr>
                <w:color w:val="000000"/>
                <w:sz w:val="17"/>
                <w:szCs w:val="17"/>
              </w:rPr>
            </w:pPr>
          </w:p>
        </w:tc>
        <w:tc>
          <w:tcPr>
            <w:tcW w:w="193" w:type="pct"/>
            <w:shd w:val="clear" w:color="auto" w:fill="BFBFBF" w:themeFill="background1" w:themeFillShade="BF"/>
            <w:noWrap/>
            <w:vAlign w:val="center"/>
          </w:tcPr>
          <w:p w14:paraId="3D44C74A" w14:textId="77777777" w:rsidR="00252054" w:rsidRPr="006C72B4" w:rsidRDefault="00252054" w:rsidP="00E53900">
            <w:pPr>
              <w:rPr>
                <w:color w:val="000000"/>
                <w:sz w:val="17"/>
                <w:szCs w:val="17"/>
              </w:rPr>
            </w:pPr>
          </w:p>
        </w:tc>
        <w:tc>
          <w:tcPr>
            <w:tcW w:w="193" w:type="pct"/>
            <w:shd w:val="clear" w:color="auto" w:fill="auto"/>
          </w:tcPr>
          <w:p w14:paraId="129E2EC3" w14:textId="77777777" w:rsidR="00252054" w:rsidRPr="006C72B4" w:rsidRDefault="00252054" w:rsidP="00E53900">
            <w:pPr>
              <w:rPr>
                <w:color w:val="000000"/>
                <w:sz w:val="17"/>
                <w:szCs w:val="17"/>
              </w:rPr>
            </w:pPr>
          </w:p>
        </w:tc>
        <w:tc>
          <w:tcPr>
            <w:tcW w:w="193" w:type="pct"/>
            <w:shd w:val="clear" w:color="auto" w:fill="BFBFBF" w:themeFill="background1" w:themeFillShade="BF"/>
          </w:tcPr>
          <w:p w14:paraId="5974B040" w14:textId="77777777" w:rsidR="00252054" w:rsidRPr="006C72B4" w:rsidRDefault="00252054" w:rsidP="00E53900">
            <w:pPr>
              <w:rPr>
                <w:color w:val="000000"/>
                <w:sz w:val="17"/>
                <w:szCs w:val="17"/>
              </w:rPr>
            </w:pPr>
          </w:p>
        </w:tc>
        <w:tc>
          <w:tcPr>
            <w:tcW w:w="193" w:type="pct"/>
            <w:shd w:val="clear" w:color="auto" w:fill="auto"/>
          </w:tcPr>
          <w:p w14:paraId="6C9A770A" w14:textId="77777777" w:rsidR="00252054" w:rsidRPr="006C72B4" w:rsidRDefault="00252054" w:rsidP="00E53900">
            <w:pPr>
              <w:rPr>
                <w:color w:val="000000"/>
                <w:sz w:val="17"/>
                <w:szCs w:val="17"/>
              </w:rPr>
            </w:pPr>
          </w:p>
        </w:tc>
        <w:tc>
          <w:tcPr>
            <w:tcW w:w="193" w:type="pct"/>
            <w:shd w:val="clear" w:color="auto" w:fill="BFBFBF" w:themeFill="background1" w:themeFillShade="BF"/>
          </w:tcPr>
          <w:p w14:paraId="7CD5BB22" w14:textId="77777777" w:rsidR="00252054" w:rsidRPr="006C72B4" w:rsidRDefault="00252054" w:rsidP="00E53900">
            <w:pPr>
              <w:rPr>
                <w:color w:val="000000"/>
                <w:sz w:val="17"/>
                <w:szCs w:val="17"/>
              </w:rPr>
            </w:pPr>
          </w:p>
        </w:tc>
        <w:tc>
          <w:tcPr>
            <w:tcW w:w="193" w:type="pct"/>
            <w:shd w:val="clear" w:color="auto" w:fill="auto"/>
            <w:noWrap/>
            <w:vAlign w:val="center"/>
          </w:tcPr>
          <w:p w14:paraId="2E78F4F9" w14:textId="77777777" w:rsidR="00252054" w:rsidRPr="006C72B4" w:rsidRDefault="00252054" w:rsidP="00E53900">
            <w:pPr>
              <w:rPr>
                <w:color w:val="000000"/>
                <w:sz w:val="17"/>
                <w:szCs w:val="17"/>
              </w:rPr>
            </w:pPr>
          </w:p>
        </w:tc>
        <w:tc>
          <w:tcPr>
            <w:tcW w:w="193" w:type="pct"/>
            <w:shd w:val="clear" w:color="auto" w:fill="BFBFBF" w:themeFill="background1" w:themeFillShade="BF"/>
            <w:noWrap/>
            <w:vAlign w:val="center"/>
          </w:tcPr>
          <w:p w14:paraId="715AC467" w14:textId="77777777" w:rsidR="00252054" w:rsidRPr="006C72B4" w:rsidRDefault="00252054" w:rsidP="00E53900">
            <w:pPr>
              <w:rPr>
                <w:color w:val="000000"/>
                <w:sz w:val="17"/>
                <w:szCs w:val="17"/>
              </w:rPr>
            </w:pPr>
          </w:p>
        </w:tc>
        <w:tc>
          <w:tcPr>
            <w:tcW w:w="193" w:type="pct"/>
            <w:shd w:val="clear" w:color="auto" w:fill="auto"/>
            <w:noWrap/>
            <w:vAlign w:val="center"/>
          </w:tcPr>
          <w:p w14:paraId="422D9C5A" w14:textId="77777777" w:rsidR="00252054" w:rsidRPr="006C72B4" w:rsidRDefault="00252054" w:rsidP="00E53900">
            <w:pPr>
              <w:rPr>
                <w:color w:val="000000"/>
                <w:sz w:val="17"/>
                <w:szCs w:val="17"/>
              </w:rPr>
            </w:pPr>
          </w:p>
        </w:tc>
        <w:tc>
          <w:tcPr>
            <w:tcW w:w="193" w:type="pct"/>
            <w:shd w:val="clear" w:color="auto" w:fill="BFBFBF" w:themeFill="background1" w:themeFillShade="BF"/>
            <w:noWrap/>
            <w:vAlign w:val="center"/>
          </w:tcPr>
          <w:p w14:paraId="6AD408FA" w14:textId="77777777" w:rsidR="00252054" w:rsidRPr="006C72B4" w:rsidRDefault="00252054" w:rsidP="00E53900">
            <w:pPr>
              <w:rPr>
                <w:color w:val="000000"/>
                <w:sz w:val="17"/>
                <w:szCs w:val="17"/>
              </w:rPr>
            </w:pPr>
          </w:p>
        </w:tc>
        <w:tc>
          <w:tcPr>
            <w:tcW w:w="193" w:type="pct"/>
            <w:shd w:val="clear" w:color="auto" w:fill="auto"/>
            <w:noWrap/>
            <w:vAlign w:val="center"/>
          </w:tcPr>
          <w:p w14:paraId="63694851" w14:textId="77777777" w:rsidR="00252054" w:rsidRPr="006C72B4" w:rsidRDefault="00252054" w:rsidP="00E53900">
            <w:pPr>
              <w:rPr>
                <w:color w:val="000000"/>
                <w:sz w:val="17"/>
                <w:szCs w:val="17"/>
              </w:rPr>
            </w:pPr>
          </w:p>
        </w:tc>
        <w:tc>
          <w:tcPr>
            <w:tcW w:w="193" w:type="pct"/>
            <w:shd w:val="clear" w:color="auto" w:fill="FFFFFF" w:themeFill="background1"/>
            <w:noWrap/>
            <w:vAlign w:val="center"/>
          </w:tcPr>
          <w:p w14:paraId="59084209" w14:textId="77777777" w:rsidR="00252054" w:rsidRPr="00232BFF" w:rsidRDefault="00252054" w:rsidP="00E53900">
            <w:pPr>
              <w:jc w:val="center"/>
              <w:rPr>
                <w:b/>
                <w:bCs/>
                <w:color w:val="000000"/>
                <w:sz w:val="17"/>
                <w:szCs w:val="17"/>
              </w:rPr>
            </w:pPr>
          </w:p>
        </w:tc>
        <w:tc>
          <w:tcPr>
            <w:tcW w:w="193" w:type="pct"/>
            <w:shd w:val="clear" w:color="auto" w:fill="auto"/>
          </w:tcPr>
          <w:p w14:paraId="2CDA41B7" w14:textId="77777777" w:rsidR="00252054" w:rsidRPr="00232BFF" w:rsidRDefault="00252054" w:rsidP="00E53900">
            <w:pPr>
              <w:jc w:val="center"/>
              <w:rPr>
                <w:b/>
                <w:bCs/>
                <w:color w:val="000000"/>
                <w:sz w:val="17"/>
                <w:szCs w:val="17"/>
              </w:rPr>
            </w:pPr>
          </w:p>
        </w:tc>
        <w:tc>
          <w:tcPr>
            <w:tcW w:w="193" w:type="pct"/>
            <w:shd w:val="clear" w:color="auto" w:fill="auto"/>
          </w:tcPr>
          <w:p w14:paraId="4C17D947" w14:textId="77777777" w:rsidR="00252054" w:rsidRPr="00232BFF" w:rsidRDefault="00252054" w:rsidP="00E53900">
            <w:pPr>
              <w:jc w:val="center"/>
              <w:rPr>
                <w:b/>
                <w:bCs/>
                <w:color w:val="000000"/>
                <w:sz w:val="17"/>
                <w:szCs w:val="17"/>
              </w:rPr>
            </w:pPr>
          </w:p>
        </w:tc>
        <w:tc>
          <w:tcPr>
            <w:tcW w:w="193" w:type="pct"/>
            <w:shd w:val="clear" w:color="auto" w:fill="auto"/>
          </w:tcPr>
          <w:p w14:paraId="49F763CA" w14:textId="77777777" w:rsidR="00252054" w:rsidRPr="00232BFF" w:rsidRDefault="00252054" w:rsidP="00E53900">
            <w:pPr>
              <w:jc w:val="center"/>
              <w:rPr>
                <w:b/>
                <w:bCs/>
                <w:color w:val="000000"/>
                <w:sz w:val="17"/>
                <w:szCs w:val="17"/>
              </w:rPr>
            </w:pPr>
          </w:p>
        </w:tc>
        <w:tc>
          <w:tcPr>
            <w:tcW w:w="193" w:type="pct"/>
            <w:shd w:val="clear" w:color="auto" w:fill="auto"/>
          </w:tcPr>
          <w:p w14:paraId="32BC24E9" w14:textId="77777777" w:rsidR="00252054" w:rsidRPr="00232BFF" w:rsidRDefault="00252054" w:rsidP="00E53900">
            <w:pPr>
              <w:jc w:val="center"/>
              <w:rPr>
                <w:b/>
                <w:bCs/>
                <w:color w:val="000000"/>
                <w:sz w:val="17"/>
                <w:szCs w:val="17"/>
              </w:rPr>
            </w:pPr>
          </w:p>
        </w:tc>
        <w:tc>
          <w:tcPr>
            <w:tcW w:w="357" w:type="pct"/>
            <w:shd w:val="clear" w:color="auto" w:fill="auto"/>
            <w:noWrap/>
            <w:vAlign w:val="center"/>
          </w:tcPr>
          <w:p w14:paraId="76E0C107" w14:textId="176CF284" w:rsidR="00252054" w:rsidRPr="00835296" w:rsidRDefault="00252054" w:rsidP="00E53900">
            <w:pPr>
              <w:jc w:val="center"/>
              <w:rPr>
                <w:sz w:val="18"/>
                <w:szCs w:val="18"/>
              </w:rPr>
            </w:pPr>
            <w:r>
              <w:rPr>
                <w:sz w:val="18"/>
                <w:szCs w:val="18"/>
              </w:rPr>
              <w:t xml:space="preserve">IDB </w:t>
            </w:r>
          </w:p>
        </w:tc>
        <w:tc>
          <w:tcPr>
            <w:tcW w:w="285" w:type="pct"/>
            <w:shd w:val="clear" w:color="auto" w:fill="auto"/>
            <w:noWrap/>
            <w:vAlign w:val="center"/>
          </w:tcPr>
          <w:p w14:paraId="275A2733" w14:textId="2F782BA7" w:rsidR="00252054" w:rsidRDefault="00252054" w:rsidP="009D7969">
            <w:pPr>
              <w:jc w:val="center"/>
              <w:rPr>
                <w:color w:val="000000"/>
                <w:sz w:val="17"/>
                <w:szCs w:val="17"/>
              </w:rPr>
            </w:pPr>
            <w:r>
              <w:rPr>
                <w:color w:val="000000"/>
                <w:sz w:val="17"/>
                <w:szCs w:val="17"/>
              </w:rPr>
              <w:t>Prog.</w:t>
            </w:r>
          </w:p>
        </w:tc>
        <w:tc>
          <w:tcPr>
            <w:tcW w:w="464" w:type="pct"/>
            <w:shd w:val="clear" w:color="auto" w:fill="auto"/>
            <w:noWrap/>
            <w:vAlign w:val="center"/>
          </w:tcPr>
          <w:p w14:paraId="489E9A88" w14:textId="158A6170" w:rsidR="00252054" w:rsidRPr="00E51A16" w:rsidRDefault="00252054" w:rsidP="00E53900">
            <w:pPr>
              <w:jc w:val="right"/>
              <w:rPr>
                <w:sz w:val="18"/>
                <w:szCs w:val="18"/>
              </w:rPr>
            </w:pPr>
            <w:r>
              <w:rPr>
                <w:sz w:val="18"/>
                <w:szCs w:val="18"/>
              </w:rPr>
              <w:t>150,000</w:t>
            </w:r>
          </w:p>
        </w:tc>
      </w:tr>
      <w:tr w:rsidR="00252054" w:rsidRPr="00287B39" w14:paraId="1996824C" w14:textId="77777777" w:rsidTr="00964326">
        <w:trPr>
          <w:trHeight w:val="261"/>
        </w:trPr>
        <w:tc>
          <w:tcPr>
            <w:tcW w:w="420" w:type="pct"/>
            <w:shd w:val="clear" w:color="auto" w:fill="auto"/>
            <w:noWrap/>
            <w:vAlign w:val="center"/>
          </w:tcPr>
          <w:p w14:paraId="4ED22EA4" w14:textId="3DB58C67" w:rsidR="00252054" w:rsidRPr="00964326" w:rsidRDefault="00252054" w:rsidP="006C72B4">
            <w:pPr>
              <w:rPr>
                <w:b/>
                <w:sz w:val="18"/>
                <w:szCs w:val="18"/>
              </w:rPr>
            </w:pPr>
            <w:r w:rsidRPr="00964326">
              <w:rPr>
                <w:b/>
                <w:sz w:val="18"/>
                <w:szCs w:val="18"/>
              </w:rPr>
              <w:t>Total</w:t>
            </w:r>
          </w:p>
        </w:tc>
        <w:tc>
          <w:tcPr>
            <w:tcW w:w="4116" w:type="pct"/>
            <w:gridSpan w:val="20"/>
            <w:shd w:val="clear" w:color="auto" w:fill="auto"/>
            <w:noWrap/>
            <w:vAlign w:val="center"/>
          </w:tcPr>
          <w:p w14:paraId="522C7F1C" w14:textId="77777777" w:rsidR="00252054" w:rsidRDefault="00252054" w:rsidP="009D7969">
            <w:pPr>
              <w:jc w:val="center"/>
              <w:rPr>
                <w:color w:val="000000"/>
                <w:sz w:val="17"/>
                <w:szCs w:val="17"/>
              </w:rPr>
            </w:pPr>
          </w:p>
        </w:tc>
        <w:tc>
          <w:tcPr>
            <w:tcW w:w="464" w:type="pct"/>
            <w:shd w:val="clear" w:color="auto" w:fill="auto"/>
            <w:noWrap/>
            <w:vAlign w:val="center"/>
          </w:tcPr>
          <w:p w14:paraId="10153B74" w14:textId="787EB57F" w:rsidR="00252054" w:rsidRPr="009F3925" w:rsidRDefault="00DD26BB" w:rsidP="00E53900">
            <w:pPr>
              <w:jc w:val="right"/>
              <w:rPr>
                <w:b/>
                <w:sz w:val="18"/>
                <w:szCs w:val="18"/>
              </w:rPr>
            </w:pPr>
            <w:r>
              <w:rPr>
                <w:b/>
                <w:sz w:val="18"/>
                <w:szCs w:val="18"/>
              </w:rPr>
              <w:t>605</w:t>
            </w:r>
            <w:r w:rsidR="00252054" w:rsidRPr="009F3925">
              <w:rPr>
                <w:b/>
                <w:sz w:val="18"/>
                <w:szCs w:val="18"/>
              </w:rPr>
              <w:t>,000</w:t>
            </w:r>
          </w:p>
        </w:tc>
      </w:tr>
      <w:tr w:rsidR="00252054" w:rsidRPr="00287B39" w14:paraId="2F7E5AA7" w14:textId="77777777" w:rsidTr="00863193">
        <w:trPr>
          <w:gridAfter w:val="21"/>
          <w:wAfter w:w="4580" w:type="pct"/>
          <w:trHeight w:val="261"/>
        </w:trPr>
        <w:tc>
          <w:tcPr>
            <w:tcW w:w="420" w:type="pct"/>
            <w:shd w:val="clear" w:color="auto" w:fill="auto"/>
            <w:noWrap/>
            <w:vAlign w:val="center"/>
            <w:hideMark/>
          </w:tcPr>
          <w:p w14:paraId="5B2C15AB" w14:textId="55858998" w:rsidR="00252054" w:rsidRPr="00287B39" w:rsidRDefault="00252054" w:rsidP="00E53900">
            <w:pPr>
              <w:rPr>
                <w:b/>
                <w:bCs/>
                <w:color w:val="000000"/>
                <w:sz w:val="17"/>
                <w:szCs w:val="17"/>
              </w:rPr>
            </w:pPr>
          </w:p>
        </w:tc>
      </w:tr>
    </w:tbl>
    <w:p w14:paraId="1D688792" w14:textId="77777777" w:rsidR="00E106E9" w:rsidRDefault="00E106E9">
      <w:pPr>
        <w:pStyle w:val="TableorFigureEnd"/>
      </w:pPr>
    </w:p>
    <w:p w14:paraId="4E25A9C8" w14:textId="77777777" w:rsidR="00E106E9" w:rsidRPr="00E106E9" w:rsidRDefault="00E106E9" w:rsidP="00E106E9">
      <w:pPr>
        <w:pStyle w:val="BodyText"/>
        <w:rPr>
          <w:lang w:eastAsia="ja-JP"/>
        </w:rPr>
      </w:pPr>
    </w:p>
    <w:p w14:paraId="15EF2AE9" w14:textId="77777777" w:rsidR="00CE50C5" w:rsidRPr="00CE50C5" w:rsidRDefault="00CE50C5" w:rsidP="00CE50C5">
      <w:pPr>
        <w:pStyle w:val="BodyText"/>
        <w:rPr>
          <w:lang w:eastAsia="ja-JP"/>
        </w:rPr>
        <w:sectPr w:rsidR="00CE50C5" w:rsidRPr="00CE50C5" w:rsidSect="00810778">
          <w:pgSz w:w="15842" w:h="12242" w:orient="landscape" w:code="1"/>
          <w:pgMar w:top="1800" w:right="1440" w:bottom="1800" w:left="1440" w:header="706" w:footer="706" w:gutter="0"/>
          <w:cols w:space="708"/>
          <w:docGrid w:linePitch="360"/>
        </w:sectPr>
      </w:pPr>
    </w:p>
    <w:p w14:paraId="134DEA8A" w14:textId="77777777" w:rsidR="00CE50C5" w:rsidRDefault="00CE50C5" w:rsidP="00CE50C5">
      <w:pPr>
        <w:pStyle w:val="Heading1"/>
        <w:rPr>
          <w:lang w:eastAsia="ja-JP"/>
        </w:rPr>
      </w:pPr>
      <w:bookmarkStart w:id="21" w:name="_Ref422460381"/>
      <w:bookmarkStart w:id="22" w:name="_Toc424286975"/>
      <w:bookmarkEnd w:id="3"/>
      <w:r>
        <w:rPr>
          <w:lang w:eastAsia="ja-JP"/>
        </w:rPr>
        <w:lastRenderedPageBreak/>
        <w:t>Evaluation</w:t>
      </w:r>
      <w:bookmarkEnd w:id="21"/>
      <w:bookmarkEnd w:id="22"/>
    </w:p>
    <w:p w14:paraId="2F2B64F5" w14:textId="40C867B0" w:rsidR="000E36BC" w:rsidRDefault="000E36BC" w:rsidP="00745C67">
      <w:pPr>
        <w:pStyle w:val="BodyText"/>
      </w:pPr>
      <w:r>
        <w:t>The Program will be evaluated by measuring compliance with targets for a set of indicators. The Evaluation Plan first defines what questions the indicators address. Then it mentions the studies that t</w:t>
      </w:r>
      <w:r w:rsidR="005F698F">
        <w:t>he Evaluation Plan builds upon and describes the indi</w:t>
      </w:r>
      <w:r>
        <w:t xml:space="preserve">cators </w:t>
      </w:r>
      <w:r w:rsidR="005F698F">
        <w:t xml:space="preserve">that will be </w:t>
      </w:r>
      <w:r>
        <w:t>used to evaluate the results of the Program</w:t>
      </w:r>
      <w:r w:rsidR="005F698F">
        <w:t xml:space="preserve">. It also explains the before and after </w:t>
      </w:r>
      <w:r w:rsidR="00C578BF">
        <w:t xml:space="preserve">evaluation </w:t>
      </w:r>
      <w:r w:rsidR="005F698F">
        <w:t xml:space="preserve">methodology and the instruments that will be used to evaluate the Program. Lastly, it describes the institutional arrangements, work plan, and budget to carry out the Evaluation Plan. </w:t>
      </w:r>
      <w:r w:rsidR="00745C67">
        <w:t>In addition to this, an impact evaluation of the SEF will be conducted using synthetic control method. This method will be used to compare units (ECC) exposed to the intervention of interest (the SEF) to one or more unexposed units.</w:t>
      </w:r>
    </w:p>
    <w:p w14:paraId="2ECCE704" w14:textId="77777777" w:rsidR="00CE50C5" w:rsidRDefault="00CE50C5" w:rsidP="00CE50C5">
      <w:pPr>
        <w:pStyle w:val="Heading2"/>
      </w:pPr>
      <w:bookmarkStart w:id="23" w:name="_Toc424286976"/>
      <w:r>
        <w:t>Main Evaluation Questions</w:t>
      </w:r>
      <w:bookmarkEnd w:id="23"/>
    </w:p>
    <w:p w14:paraId="05C76065" w14:textId="77777777" w:rsidR="00784FD1" w:rsidRPr="00C0141A" w:rsidRDefault="00784FD1" w:rsidP="00784FD1">
      <w:r w:rsidRPr="00C0141A">
        <w:t xml:space="preserve">The </w:t>
      </w:r>
      <w:r>
        <w:t xml:space="preserve">purpose of the </w:t>
      </w:r>
      <w:r w:rsidRPr="00C0141A">
        <w:t xml:space="preserve">evaluation is to assess the outcomes of the </w:t>
      </w:r>
      <w:r>
        <w:t>Project</w:t>
      </w:r>
      <w:r w:rsidRPr="00C0141A">
        <w:t xml:space="preserve">. The main evaluation questions are as follows: </w:t>
      </w:r>
    </w:p>
    <w:p w14:paraId="4CC9B14C" w14:textId="77777777" w:rsidR="00784FD1" w:rsidRPr="002B7681" w:rsidRDefault="00B04770" w:rsidP="00784FD1">
      <w:pPr>
        <w:pStyle w:val="ListBullet"/>
      </w:pPr>
      <w:r>
        <w:t>Did</w:t>
      </w:r>
      <w:r w:rsidR="00784FD1" w:rsidRPr="002B7681">
        <w:t xml:space="preserve"> electricity demand</w:t>
      </w:r>
      <w:r w:rsidR="0049035F">
        <w:t xml:space="preserve"> from streetlights </w:t>
      </w:r>
      <w:r>
        <w:t>decrease</w:t>
      </w:r>
      <w:r w:rsidRPr="002B7681">
        <w:t xml:space="preserve"> </w:t>
      </w:r>
      <w:r w:rsidR="0049035F">
        <w:t>where</w:t>
      </w:r>
      <w:r w:rsidR="00C578BF">
        <w:t xml:space="preserve"> energy efficiency </w:t>
      </w:r>
      <w:r w:rsidR="0049035F">
        <w:t>projects</w:t>
      </w:r>
      <w:r w:rsidR="00C578BF">
        <w:t xml:space="preserve"> were financed by the Program</w:t>
      </w:r>
      <w:r w:rsidR="00784FD1" w:rsidRPr="002B7681">
        <w:t>?</w:t>
      </w:r>
    </w:p>
    <w:p w14:paraId="70A389B2" w14:textId="77777777" w:rsidR="00784FD1" w:rsidRDefault="00C578BF" w:rsidP="00784FD1">
      <w:pPr>
        <w:pStyle w:val="ListBullet"/>
      </w:pPr>
      <w:r>
        <w:t>How many geothermal projects financed by the program moved or are projected to move from the current to the next stage of development</w:t>
      </w:r>
      <w:r w:rsidR="007C48EE" w:rsidRPr="002B7681">
        <w:t>?</w:t>
      </w:r>
    </w:p>
    <w:p w14:paraId="4CE670BE" w14:textId="77777777" w:rsidR="0074369A" w:rsidRPr="00B04770" w:rsidRDefault="0074369A" w:rsidP="00B04770">
      <w:pPr>
        <w:pStyle w:val="ListBullet"/>
        <w:rPr>
          <w:b/>
        </w:rPr>
      </w:pPr>
      <w:r>
        <w:t xml:space="preserve">What is the electricity </w:t>
      </w:r>
      <w:r w:rsidR="0049035F">
        <w:t>generation</w:t>
      </w:r>
      <w:r>
        <w:t xml:space="preserve"> from geothermal projects financed </w:t>
      </w:r>
      <w:r w:rsidR="00C578BF">
        <w:t xml:space="preserve">at some stage </w:t>
      </w:r>
      <w:r>
        <w:t xml:space="preserve">by the Program? </w:t>
      </w:r>
    </w:p>
    <w:p w14:paraId="3F800543" w14:textId="77777777" w:rsidR="00B66139" w:rsidRDefault="0049035F" w:rsidP="00B04770">
      <w:pPr>
        <w:pStyle w:val="ListBullet"/>
      </w:pPr>
      <w:r>
        <w:t>What was t</w:t>
      </w:r>
      <w:r w:rsidR="00B66139" w:rsidRPr="00B87BBA">
        <w:t>he</w:t>
      </w:r>
      <w:r>
        <w:t xml:space="preserve"> impact of the</w:t>
      </w:r>
      <w:r w:rsidR="00B66139" w:rsidRPr="00B87BBA">
        <w:t xml:space="preserve"> Program towards decreasing the amount of </w:t>
      </w:r>
      <w:r w:rsidR="00893EEE">
        <w:t xml:space="preserve">greenhouse gas </w:t>
      </w:r>
      <w:r w:rsidR="00B66139" w:rsidRPr="00B87BBA">
        <w:t>emissions</w:t>
      </w:r>
      <w:r w:rsidR="00B04770">
        <w:t xml:space="preserve">, </w:t>
      </w:r>
      <w:r w:rsidR="00B66139" w:rsidRPr="00B87BBA">
        <w:t>the cost of electricity service</w:t>
      </w:r>
      <w:r w:rsidR="00B04770">
        <w:t>, and</w:t>
      </w:r>
      <w:r w:rsidR="00B66139" w:rsidRPr="00B87BBA">
        <w:t xml:space="preserve"> the amount of fuel oil imports?</w:t>
      </w:r>
    </w:p>
    <w:p w14:paraId="2D56A5D2" w14:textId="77777777" w:rsidR="00B04770" w:rsidRPr="00B04770" w:rsidRDefault="00B04770" w:rsidP="00B04770">
      <w:pPr>
        <w:pStyle w:val="ListBullet"/>
      </w:pPr>
      <w:r w:rsidRPr="00B04770">
        <w:t>How much additional public and private</w:t>
      </w:r>
      <w:r>
        <w:t xml:space="preserve"> </w:t>
      </w:r>
      <w:r w:rsidRPr="00B04770">
        <w:t xml:space="preserve">resources was the </w:t>
      </w:r>
      <w:r>
        <w:t>P</w:t>
      </w:r>
      <w:r w:rsidRPr="00B04770">
        <w:t xml:space="preserve">rogram able to leverage in the development of </w:t>
      </w:r>
      <w:r>
        <w:t xml:space="preserve">energy efficiency and renewable </w:t>
      </w:r>
      <w:r w:rsidRPr="00B04770">
        <w:t xml:space="preserve">projects financed at some stage by the program? </w:t>
      </w:r>
    </w:p>
    <w:p w14:paraId="702431E4" w14:textId="77777777" w:rsidR="00CE50C5" w:rsidRPr="00B87BBA" w:rsidRDefault="00995E3A" w:rsidP="00995E3A">
      <w:pPr>
        <w:pStyle w:val="Heading2"/>
        <w:rPr>
          <w:lang w:eastAsia="ja-JP"/>
        </w:rPr>
      </w:pPr>
      <w:bookmarkStart w:id="24" w:name="_Ref423617652"/>
      <w:bookmarkStart w:id="25" w:name="_Ref423623496"/>
      <w:bookmarkStart w:id="26" w:name="_Toc424286977"/>
      <w:r w:rsidRPr="00B87BBA">
        <w:rPr>
          <w:lang w:eastAsia="ja-JP"/>
        </w:rPr>
        <w:t>Existing Knowledge</w:t>
      </w:r>
      <w:bookmarkEnd w:id="24"/>
      <w:bookmarkEnd w:id="25"/>
      <w:bookmarkEnd w:id="26"/>
    </w:p>
    <w:p w14:paraId="5ECBB0FA" w14:textId="77777777" w:rsidR="00A848AA" w:rsidRDefault="00995E3A" w:rsidP="00FC670E">
      <w:pPr>
        <w:pStyle w:val="BodyText"/>
      </w:pPr>
      <w:r w:rsidRPr="004F025F">
        <w:t>An ex ante Cost Benefit Analysis (CBA)</w:t>
      </w:r>
      <w:r w:rsidR="00643A33">
        <w:t xml:space="preserve"> and financial analysis of the geothermal projects that may be funded by the Program have been prepared</w:t>
      </w:r>
      <w:r>
        <w:t xml:space="preserve">. </w:t>
      </w:r>
      <w:r w:rsidR="00B87BBA">
        <w:t>The CBA is an economic analysis that presents the net economic benefits to the EC</w:t>
      </w:r>
      <w:r w:rsidR="00C90575">
        <w:t xml:space="preserve"> region </w:t>
      </w:r>
      <w:r w:rsidR="00643A33">
        <w:t xml:space="preserve">and to each country </w:t>
      </w:r>
      <w:r w:rsidR="00C90575">
        <w:t>from implementing the</w:t>
      </w:r>
      <w:r w:rsidR="00DC2A62">
        <w:t xml:space="preserve"> Components I and III of the </w:t>
      </w:r>
      <w:r w:rsidR="00C90575">
        <w:t xml:space="preserve">Program. The financial analysis estimates the </w:t>
      </w:r>
      <w:r w:rsidR="00643A33">
        <w:t>rate that the geothermal projects would charge to utilities and its impact on the tariff in the countries, as well as the cost of debt of the projects.</w:t>
      </w:r>
      <w:r w:rsidR="00C90575">
        <w:t xml:space="preserve"> </w:t>
      </w:r>
      <w:r w:rsidR="00643A33">
        <w:t xml:space="preserve">The financial analysis includes projected financial statements for each of the geothermal projects. </w:t>
      </w:r>
    </w:p>
    <w:p w14:paraId="7FE3BF6C" w14:textId="77777777" w:rsidR="00BA6F43" w:rsidRDefault="006E3FA9" w:rsidP="00FC670E">
      <w:pPr>
        <w:pStyle w:val="BodyText"/>
      </w:pPr>
      <w:r w:rsidRPr="004F025F">
        <w:t xml:space="preserve">The </w:t>
      </w:r>
      <w:r>
        <w:t xml:space="preserve">CBA, financial analysis, and a description of the methodology used in their preparation and their </w:t>
      </w:r>
      <w:r w:rsidRPr="004F025F">
        <w:t>main conclusions</w:t>
      </w:r>
      <w:r>
        <w:t xml:space="preserve"> are </w:t>
      </w:r>
      <w:r w:rsidR="001E04CC">
        <w:t>explained</w:t>
      </w:r>
      <w:r w:rsidR="00FC670E">
        <w:t xml:space="preserve"> in further detail in </w:t>
      </w:r>
      <w:r w:rsidR="00894A42">
        <w:t xml:space="preserve">the </w:t>
      </w:r>
      <w:hyperlink r:id="rId14" w:history="1">
        <w:r w:rsidR="00894A42" w:rsidRPr="00894A42">
          <w:rPr>
            <w:rStyle w:val="Hyperlink"/>
          </w:rPr>
          <w:t>Cost Benefit Analysis Report</w:t>
        </w:r>
      </w:hyperlink>
      <w:r w:rsidR="00894A42">
        <w:t xml:space="preserve"> which is </w:t>
      </w:r>
      <w:r w:rsidR="008D747F">
        <w:t xml:space="preserve">an </w:t>
      </w:r>
      <w:r w:rsidR="00894A42">
        <w:t xml:space="preserve">Optional Electronic Link </w:t>
      </w:r>
      <w:r w:rsidR="008D747F">
        <w:t>of</w:t>
      </w:r>
      <w:r>
        <w:t xml:space="preserve"> the Proposal for </w:t>
      </w:r>
      <w:r w:rsidR="00894A42">
        <w:t xml:space="preserve">Operation </w:t>
      </w:r>
      <w:r>
        <w:t xml:space="preserve">Development </w:t>
      </w:r>
      <w:r w:rsidR="00894A42">
        <w:t>(POD)</w:t>
      </w:r>
      <w:r w:rsidRPr="008D747F">
        <w:t>.</w:t>
      </w:r>
      <w:r w:rsidR="00FC670E">
        <w:t xml:space="preserve"> A summary of the methodology, assumptions, and main results of the ex-ante CBA are discussed below. </w:t>
      </w:r>
    </w:p>
    <w:p w14:paraId="6E918AC0" w14:textId="0741A3BF" w:rsidR="00FC670E" w:rsidRDefault="00BA6F43" w:rsidP="00BA6F43">
      <w:pPr>
        <w:pStyle w:val="Subheading"/>
      </w:pPr>
      <w:r>
        <w:t xml:space="preserve">Cost Benefit Analysis </w:t>
      </w:r>
      <w:r w:rsidR="00FC670E">
        <w:t xml:space="preserve"> </w:t>
      </w:r>
    </w:p>
    <w:p w14:paraId="6084D72B" w14:textId="77777777" w:rsidR="00FC670E" w:rsidRDefault="00FC670E" w:rsidP="00FC670E">
      <w:pPr>
        <w:pStyle w:val="BodyText"/>
      </w:pPr>
      <w:r w:rsidRPr="00D817BA">
        <w:t xml:space="preserve">The objective of the CBA methodology is to determine whether or not Component I and Component III of the Program are economically viable. </w:t>
      </w:r>
      <w:r w:rsidRPr="0010361E">
        <w:t xml:space="preserve">To do so, a CBA is carried out for </w:t>
      </w:r>
      <w:r w:rsidRPr="0010361E">
        <w:lastRenderedPageBreak/>
        <w:t>the street light retrofitting and geothermal power projects included in the indicative project pipeline. The IDB and Castalia identified the indicative project pipeline in meetings with local Governments, the Caribbean Development Bank, and potential private project sponsors during a mission to the EC in June</w:t>
      </w:r>
      <w:r>
        <w:t xml:space="preserve"> 2015. As such, the indicative project pipeline is the current forecast of the potential demand for Program funds from the EC countries.</w:t>
      </w:r>
    </w:p>
    <w:p w14:paraId="633F6A5B" w14:textId="77777777" w:rsidR="00FC670E" w:rsidRDefault="00FC670E" w:rsidP="00FC670E">
      <w:pPr>
        <w:pStyle w:val="BodyText"/>
      </w:pPr>
      <w:r>
        <w:t xml:space="preserve">The results of the CBA indicate that the projects are economically viable when a 12 percent discount rate is used. Specifically, the results of the CBA show that the present value (PV) of the net economic benefits of each project is positive and their internal rates of return exceed the cost of capital (12 percent). Similarly, the PV of the aggregate net economic benefit of all projects combined is also positive and exceeds the cost of capital. This means that implementing the projects will result in a net economic gain for the Governments in each of the countries and for the region as a whole, and so, the Governments, multilateral institutions, and private sponsors should proceed with implementing them.  </w:t>
      </w:r>
    </w:p>
    <w:p w14:paraId="12E007D1" w14:textId="20BE84F8" w:rsidR="00FC670E" w:rsidRDefault="00FC670E" w:rsidP="00FC670E">
      <w:pPr>
        <w:pStyle w:val="BodyText"/>
      </w:pPr>
      <w:r>
        <w:t>To carry out the CBA,</w:t>
      </w:r>
      <w:r w:rsidRPr="00762E33">
        <w:t xml:space="preserve"> </w:t>
      </w:r>
      <w:r>
        <w:t xml:space="preserve">a methodology that </w:t>
      </w:r>
      <w:r>
        <w:rPr>
          <w:rStyle w:val="BodyTextChar"/>
        </w:rPr>
        <w:t xml:space="preserve">complies with the IDB Guidelines for Economic Analysis was used. Specifically, the </w:t>
      </w:r>
      <w:r>
        <w:t>PVs of the project</w:t>
      </w:r>
      <w:r w:rsidRPr="00762E33">
        <w:t>s</w:t>
      </w:r>
      <w:r w:rsidR="00F44D7D">
        <w:t>’ net benefits we</w:t>
      </w:r>
      <w:r>
        <w:t>re estimated</w:t>
      </w:r>
      <w:r w:rsidRPr="00762E33">
        <w:t>.</w:t>
      </w:r>
      <w:r>
        <w:t xml:space="preserve"> To do so the PV of the projects’ benefits and costs </w:t>
      </w:r>
      <w:r w:rsidR="00F44D7D">
        <w:t>were</w:t>
      </w:r>
      <w:r>
        <w:t xml:space="preserve"> estimated. For calculating the projects’ benefits, the s</w:t>
      </w:r>
      <w:r>
        <w:rPr>
          <w:rStyle w:val="BodyTextChar"/>
        </w:rPr>
        <w:t xml:space="preserve">avings in electricity expenditures and the monetary value of greenhouse gas emissions displaced by the projects </w:t>
      </w:r>
      <w:r w:rsidR="00F44D7D">
        <w:rPr>
          <w:rStyle w:val="BodyTextChar"/>
        </w:rPr>
        <w:t>were</w:t>
      </w:r>
      <w:r>
        <w:rPr>
          <w:rStyle w:val="BodyTextChar"/>
        </w:rPr>
        <w:t xml:space="preserve"> estimated. For calculating the projects’ costs, the full economic costs of implementing the projects </w:t>
      </w:r>
      <w:r w:rsidR="00F44D7D">
        <w:rPr>
          <w:rStyle w:val="BodyTextChar"/>
        </w:rPr>
        <w:t>were</w:t>
      </w:r>
      <w:r>
        <w:rPr>
          <w:rStyle w:val="BodyTextChar"/>
        </w:rPr>
        <w:t xml:space="preserve"> included, including the costs not financed by the Program. Then the difference between these two values </w:t>
      </w:r>
      <w:r w:rsidR="00F44D7D">
        <w:rPr>
          <w:rStyle w:val="BodyTextChar"/>
        </w:rPr>
        <w:t>wa</w:t>
      </w:r>
      <w:r>
        <w:rPr>
          <w:rStyle w:val="BodyTextChar"/>
        </w:rPr>
        <w:t>s calculated and the pr</w:t>
      </w:r>
      <w:r w:rsidR="00F44D7D">
        <w:rPr>
          <w:rStyle w:val="BodyTextChar"/>
        </w:rPr>
        <w:t>esent value of that difference wa</w:t>
      </w:r>
      <w:r>
        <w:rPr>
          <w:rStyle w:val="BodyTextChar"/>
        </w:rPr>
        <w:t xml:space="preserve">s found. That PV is the result of the CBA. If the PV is positive, the project is economically viable. </w:t>
      </w:r>
    </w:p>
    <w:p w14:paraId="37989FD6" w14:textId="341A3867" w:rsidR="00FC670E" w:rsidRDefault="00FC670E" w:rsidP="00FC670E">
      <w:pPr>
        <w:pStyle w:val="BodyText"/>
      </w:pPr>
      <w:r w:rsidRPr="00762E33">
        <w:t>To determine the projects</w:t>
      </w:r>
      <w:r>
        <w:t>’</w:t>
      </w:r>
      <w:r w:rsidRPr="00762E33">
        <w:t xml:space="preserve"> net benefits, the </w:t>
      </w:r>
      <w:r>
        <w:t xml:space="preserve">annual </w:t>
      </w:r>
      <w:r w:rsidRPr="00762E33">
        <w:t xml:space="preserve">economic costs and benefits </w:t>
      </w:r>
      <w:r w:rsidR="00BD1360">
        <w:t xml:space="preserve">were estimated </w:t>
      </w:r>
      <w:r w:rsidRPr="00762E33">
        <w:t xml:space="preserve">for a </w:t>
      </w:r>
      <w:r>
        <w:t xml:space="preserve">period of </w:t>
      </w:r>
      <w:r w:rsidR="001E04CC">
        <w:t>40</w:t>
      </w:r>
      <w:r>
        <w:t xml:space="preserve"> years and a period of 15</w:t>
      </w:r>
      <w:r w:rsidRPr="004804EB">
        <w:t xml:space="preserve"> years</w:t>
      </w:r>
      <w:r>
        <w:t xml:space="preserve"> for geothermal projects and energy efficiency projects, respectively</w:t>
      </w:r>
      <w:r w:rsidRPr="004804EB">
        <w:t>.</w:t>
      </w:r>
      <w:r>
        <w:t xml:space="preserve"> </w:t>
      </w:r>
      <w:r>
        <w:fldChar w:fldCharType="begin"/>
      </w:r>
      <w:r>
        <w:instrText xml:space="preserve"> REF _Ref423615760 \h </w:instrText>
      </w:r>
      <w:r>
        <w:fldChar w:fldCharType="separate"/>
      </w:r>
      <w:r>
        <w:t xml:space="preserve">Table </w:t>
      </w:r>
      <w:r>
        <w:rPr>
          <w:noProof/>
        </w:rPr>
        <w:t>3</w:t>
      </w:r>
      <w:r>
        <w:t>.</w:t>
      </w:r>
      <w:r>
        <w:rPr>
          <w:noProof/>
        </w:rPr>
        <w:t>1</w:t>
      </w:r>
      <w:r>
        <w:fldChar w:fldCharType="end"/>
      </w:r>
      <w:r>
        <w:t xml:space="preserve"> </w:t>
      </w:r>
      <w:r w:rsidRPr="004804EB">
        <w:t>presents the assumptions used to calculate the economic costs</w:t>
      </w:r>
      <w:r w:rsidRPr="00762E33">
        <w:t xml:space="preserve"> and benefits</w:t>
      </w:r>
      <w:r>
        <w:t xml:space="preserve"> of the projects.</w:t>
      </w:r>
    </w:p>
    <w:p w14:paraId="7538B672" w14:textId="77777777" w:rsidR="00FC670E" w:rsidRDefault="00FC670E" w:rsidP="00FC670E">
      <w:pPr>
        <w:pStyle w:val="Caption"/>
        <w:keepNext/>
        <w:pBdr>
          <w:bottom w:val="none" w:sz="0" w:space="0" w:color="auto"/>
        </w:pBdr>
        <w:spacing w:line="240" w:lineRule="auto"/>
        <w:ind w:left="0" w:right="0"/>
        <w:jc w:val="both"/>
      </w:pPr>
      <w:bookmarkStart w:id="27" w:name="_Ref423615760"/>
      <w:r>
        <w:lastRenderedPageBreak/>
        <w:t xml:space="preserve">Table </w:t>
      </w:r>
      <w:r w:rsidR="007A04D5">
        <w:fldChar w:fldCharType="begin"/>
      </w:r>
      <w:r w:rsidR="007A04D5">
        <w:instrText xml:space="preserve"> STYLER</w:instrText>
      </w:r>
      <w:r w:rsidR="007A04D5">
        <w:instrText xml:space="preserve">EF 1 \s </w:instrText>
      </w:r>
      <w:r w:rsidR="007A04D5">
        <w:fldChar w:fldCharType="separate"/>
      </w:r>
      <w:r>
        <w:rPr>
          <w:noProof/>
        </w:rPr>
        <w:t>3</w:t>
      </w:r>
      <w:r w:rsidR="007A04D5">
        <w:rPr>
          <w:noProof/>
        </w:rPr>
        <w:fldChar w:fldCharType="end"/>
      </w:r>
      <w:r>
        <w:t>.</w:t>
      </w:r>
      <w:fldSimple w:instr=" SEQ Table \* ARABIC \s 1 ">
        <w:r>
          <w:rPr>
            <w:noProof/>
          </w:rPr>
          <w:t>1</w:t>
        </w:r>
      </w:fldSimple>
      <w:bookmarkEnd w:id="27"/>
      <w:r>
        <w:t xml:space="preserve">: </w:t>
      </w:r>
      <w:r w:rsidRPr="00762E33">
        <w:t>Assumptions Used to Determine the</w:t>
      </w:r>
      <w:r>
        <w:t xml:space="preserve"> Indicative Projects’ Economic Costs and Benefits</w:t>
      </w:r>
    </w:p>
    <w:tbl>
      <w:tblPr>
        <w:tblStyle w:val="TableGrid"/>
        <w:tblW w:w="0" w:type="auto"/>
        <w:tblInd w:w="-1582" w:type="dxa"/>
        <w:tblLook w:val="04A0" w:firstRow="1" w:lastRow="0" w:firstColumn="1" w:lastColumn="0" w:noHBand="0" w:noVBand="1"/>
      </w:tblPr>
      <w:tblGrid>
        <w:gridCol w:w="3581"/>
        <w:gridCol w:w="1022"/>
        <w:gridCol w:w="900"/>
        <w:gridCol w:w="868"/>
        <w:gridCol w:w="842"/>
        <w:gridCol w:w="867"/>
        <w:gridCol w:w="889"/>
      </w:tblGrid>
      <w:tr w:rsidR="00FC670E" w:rsidRPr="00762E33" w14:paraId="2FFA490F" w14:textId="77777777" w:rsidTr="00627B10">
        <w:trPr>
          <w:trHeight w:val="372"/>
          <w:tblHeader/>
        </w:trPr>
        <w:tc>
          <w:tcPr>
            <w:tcW w:w="3581" w:type="dxa"/>
            <w:shd w:val="clear" w:color="auto" w:fill="BFBFBF" w:themeFill="background1" w:themeFillShade="BF"/>
          </w:tcPr>
          <w:p w14:paraId="1BBC2E39" w14:textId="77777777" w:rsidR="00FC670E" w:rsidRPr="00762E33" w:rsidRDefault="00FC670E" w:rsidP="00627B10">
            <w:pPr>
              <w:pStyle w:val="TableText"/>
              <w:keepNext/>
            </w:pPr>
            <w:r w:rsidRPr="00762E33">
              <w:rPr>
                <w:b/>
              </w:rPr>
              <w:t>Variable</w:t>
            </w:r>
          </w:p>
        </w:tc>
        <w:tc>
          <w:tcPr>
            <w:tcW w:w="1022" w:type="dxa"/>
            <w:shd w:val="clear" w:color="auto" w:fill="BFBFBF" w:themeFill="background1" w:themeFillShade="BF"/>
          </w:tcPr>
          <w:p w14:paraId="1D460F76" w14:textId="77777777" w:rsidR="00FC670E" w:rsidRPr="00762E33" w:rsidRDefault="00FC670E" w:rsidP="00627B10">
            <w:pPr>
              <w:pStyle w:val="TableText"/>
              <w:keepNext/>
            </w:pPr>
            <w:r>
              <w:rPr>
                <w:b/>
              </w:rPr>
              <w:t>All Projects</w:t>
            </w:r>
          </w:p>
        </w:tc>
        <w:tc>
          <w:tcPr>
            <w:tcW w:w="900" w:type="dxa"/>
            <w:shd w:val="clear" w:color="auto" w:fill="BFBFBF" w:themeFill="background1" w:themeFillShade="BF"/>
          </w:tcPr>
          <w:p w14:paraId="23CBD1AC" w14:textId="77777777" w:rsidR="00FC670E" w:rsidRPr="00762E33" w:rsidRDefault="00FC670E" w:rsidP="00627B10">
            <w:pPr>
              <w:pStyle w:val="TableText"/>
              <w:keepNext/>
              <w:rPr>
                <w:b/>
              </w:rPr>
            </w:pPr>
            <w:r>
              <w:rPr>
                <w:b/>
              </w:rPr>
              <w:t>Dom.</w:t>
            </w:r>
          </w:p>
        </w:tc>
        <w:tc>
          <w:tcPr>
            <w:tcW w:w="868" w:type="dxa"/>
            <w:shd w:val="clear" w:color="auto" w:fill="BFBFBF" w:themeFill="background1" w:themeFillShade="BF"/>
          </w:tcPr>
          <w:p w14:paraId="5D3788FA" w14:textId="77777777" w:rsidR="00FC670E" w:rsidRDefault="00FC670E" w:rsidP="00627B10">
            <w:pPr>
              <w:pStyle w:val="TableText"/>
              <w:keepNext/>
              <w:rPr>
                <w:b/>
              </w:rPr>
            </w:pPr>
            <w:r>
              <w:rPr>
                <w:b/>
              </w:rPr>
              <w:t>Gren.</w:t>
            </w:r>
          </w:p>
        </w:tc>
        <w:tc>
          <w:tcPr>
            <w:tcW w:w="842" w:type="dxa"/>
            <w:shd w:val="clear" w:color="auto" w:fill="BFBFBF" w:themeFill="background1" w:themeFillShade="BF"/>
          </w:tcPr>
          <w:p w14:paraId="368EC253" w14:textId="77777777" w:rsidR="00FC670E" w:rsidRDefault="00FC670E" w:rsidP="00627B10">
            <w:pPr>
              <w:pStyle w:val="TableText"/>
              <w:keepNext/>
              <w:rPr>
                <w:b/>
              </w:rPr>
            </w:pPr>
            <w:r>
              <w:rPr>
                <w:b/>
              </w:rPr>
              <w:t>Nevis</w:t>
            </w:r>
          </w:p>
        </w:tc>
        <w:tc>
          <w:tcPr>
            <w:tcW w:w="867" w:type="dxa"/>
            <w:shd w:val="clear" w:color="auto" w:fill="BFBFBF" w:themeFill="background1" w:themeFillShade="BF"/>
          </w:tcPr>
          <w:p w14:paraId="1DC1CC63" w14:textId="77777777" w:rsidR="00FC670E" w:rsidRDefault="00FC670E" w:rsidP="00627B10">
            <w:pPr>
              <w:pStyle w:val="TableText"/>
              <w:keepNext/>
              <w:rPr>
                <w:b/>
              </w:rPr>
            </w:pPr>
            <w:r>
              <w:rPr>
                <w:b/>
              </w:rPr>
              <w:t>SL</w:t>
            </w:r>
          </w:p>
        </w:tc>
        <w:tc>
          <w:tcPr>
            <w:tcW w:w="889" w:type="dxa"/>
            <w:shd w:val="clear" w:color="auto" w:fill="BFBFBF" w:themeFill="background1" w:themeFillShade="BF"/>
          </w:tcPr>
          <w:p w14:paraId="2ECAAA76" w14:textId="77777777" w:rsidR="00FC670E" w:rsidRDefault="00FC670E" w:rsidP="00627B10">
            <w:pPr>
              <w:pStyle w:val="TableText"/>
              <w:keepNext/>
              <w:rPr>
                <w:b/>
              </w:rPr>
            </w:pPr>
            <w:r>
              <w:rPr>
                <w:b/>
              </w:rPr>
              <w:t>SVG</w:t>
            </w:r>
          </w:p>
        </w:tc>
      </w:tr>
      <w:tr w:rsidR="00FC670E" w:rsidRPr="00762E33" w14:paraId="167EBC65" w14:textId="77777777" w:rsidTr="00627B10">
        <w:trPr>
          <w:trHeight w:val="372"/>
        </w:trPr>
        <w:tc>
          <w:tcPr>
            <w:tcW w:w="8969" w:type="dxa"/>
            <w:gridSpan w:val="7"/>
            <w:shd w:val="clear" w:color="auto" w:fill="D9D9D9" w:themeFill="background1" w:themeFillShade="D9"/>
          </w:tcPr>
          <w:p w14:paraId="2FD19646" w14:textId="77777777" w:rsidR="00FC670E" w:rsidRPr="00D817BA" w:rsidRDefault="00FC670E" w:rsidP="00627B10">
            <w:pPr>
              <w:pStyle w:val="TableText"/>
              <w:keepNext/>
              <w:rPr>
                <w:b/>
              </w:rPr>
            </w:pPr>
            <w:r w:rsidRPr="00D817BA">
              <w:rPr>
                <w:b/>
              </w:rPr>
              <w:t>General Assumptions</w:t>
            </w:r>
          </w:p>
        </w:tc>
      </w:tr>
      <w:tr w:rsidR="00FC670E" w:rsidRPr="00762E33" w14:paraId="1A2C4AA2" w14:textId="77777777" w:rsidTr="00627B10">
        <w:trPr>
          <w:trHeight w:val="372"/>
        </w:trPr>
        <w:tc>
          <w:tcPr>
            <w:tcW w:w="3581" w:type="dxa"/>
          </w:tcPr>
          <w:p w14:paraId="170E34AD" w14:textId="77777777" w:rsidR="00FC670E" w:rsidRPr="00762E33" w:rsidRDefault="00FC670E" w:rsidP="00627B10">
            <w:pPr>
              <w:pStyle w:val="TableText"/>
              <w:keepNext/>
            </w:pPr>
            <w:r w:rsidRPr="00762E33">
              <w:t>Social Cost of one ton of CO</w:t>
            </w:r>
            <w:r w:rsidRPr="00762E33">
              <w:rPr>
                <w:rFonts w:ascii="Cambria Math" w:hAnsi="Cambria Math" w:cs="Cambria Math"/>
              </w:rPr>
              <w:t>₂</w:t>
            </w:r>
            <w:r w:rsidRPr="00762E33">
              <w:t xml:space="preserve"> emissions (US$/tCO</w:t>
            </w:r>
            <w:r w:rsidRPr="00762E33">
              <w:rPr>
                <w:rFonts w:ascii="Cambria Math" w:hAnsi="Cambria Math" w:cs="Cambria Math"/>
              </w:rPr>
              <w:t>₂)</w:t>
            </w:r>
            <w:r w:rsidRPr="00762E33">
              <w:t xml:space="preserve"> </w:t>
            </w:r>
          </w:p>
        </w:tc>
        <w:tc>
          <w:tcPr>
            <w:tcW w:w="5388" w:type="dxa"/>
            <w:gridSpan w:val="6"/>
          </w:tcPr>
          <w:p w14:paraId="17079D5A" w14:textId="77777777" w:rsidR="00FC670E" w:rsidRDefault="00FC670E" w:rsidP="00627B10">
            <w:pPr>
              <w:pStyle w:val="TableText"/>
              <w:keepNext/>
              <w:jc w:val="center"/>
            </w:pPr>
            <w:r w:rsidRPr="00762E33">
              <w:t>10</w:t>
            </w:r>
            <w:r w:rsidRPr="00762E33">
              <w:rPr>
                <w:rStyle w:val="FootnoteReference"/>
              </w:rPr>
              <w:footnoteReference w:id="5"/>
            </w:r>
          </w:p>
        </w:tc>
      </w:tr>
      <w:tr w:rsidR="00FC670E" w:rsidRPr="00762E33" w14:paraId="156DB8B5" w14:textId="77777777" w:rsidTr="00627B10">
        <w:trPr>
          <w:trHeight w:val="372"/>
        </w:trPr>
        <w:tc>
          <w:tcPr>
            <w:tcW w:w="3581" w:type="dxa"/>
          </w:tcPr>
          <w:p w14:paraId="3037E086" w14:textId="77777777" w:rsidR="00FC670E" w:rsidRPr="00762E33" w:rsidRDefault="00FC670E" w:rsidP="00627B10">
            <w:pPr>
              <w:pStyle w:val="TableText"/>
              <w:keepNext/>
            </w:pPr>
            <w:r w:rsidRPr="00762E33">
              <w:t>Pounds of CO</w:t>
            </w:r>
            <w:r w:rsidRPr="00762E33">
              <w:rPr>
                <w:rFonts w:ascii="Cambria Math" w:hAnsi="Cambria Math" w:cs="Cambria Math"/>
              </w:rPr>
              <w:t>₂</w:t>
            </w:r>
            <w:r w:rsidRPr="00762E33">
              <w:t xml:space="preserve"> emissions per kWh of electricity produced from fuel oil (No.2) (</w:t>
            </w:r>
            <w:r w:rsidRPr="00D8383A">
              <w:t>tCO</w:t>
            </w:r>
            <w:r w:rsidRPr="00D8383A">
              <w:rPr>
                <w:rFonts w:ascii="Cambria Math" w:hAnsi="Cambria Math" w:cs="Cambria Math"/>
              </w:rPr>
              <w:t>₂</w:t>
            </w:r>
            <w:r>
              <w:t>/MWh)</w:t>
            </w:r>
          </w:p>
        </w:tc>
        <w:tc>
          <w:tcPr>
            <w:tcW w:w="5388" w:type="dxa"/>
            <w:gridSpan w:val="6"/>
          </w:tcPr>
          <w:p w14:paraId="6AAD4CF1" w14:textId="7093FC45" w:rsidR="00FC670E" w:rsidRDefault="00FC670E" w:rsidP="00B92170">
            <w:pPr>
              <w:pStyle w:val="TableText"/>
              <w:keepNext/>
              <w:jc w:val="center"/>
            </w:pPr>
            <w:r>
              <w:t>0.</w:t>
            </w:r>
            <w:r w:rsidR="00B92170">
              <w:t>76</w:t>
            </w:r>
            <w:r w:rsidRPr="00762E33">
              <w:rPr>
                <w:rStyle w:val="FootnoteReference"/>
              </w:rPr>
              <w:footnoteReference w:id="6"/>
            </w:r>
          </w:p>
        </w:tc>
      </w:tr>
      <w:tr w:rsidR="00FC670E" w:rsidRPr="00762E33" w14:paraId="72574187" w14:textId="77777777" w:rsidTr="00627B10">
        <w:trPr>
          <w:trHeight w:val="372"/>
        </w:trPr>
        <w:tc>
          <w:tcPr>
            <w:tcW w:w="3581" w:type="dxa"/>
          </w:tcPr>
          <w:p w14:paraId="2D53B499" w14:textId="77777777" w:rsidR="00FC670E" w:rsidRPr="00762E33" w:rsidRDefault="00FC670E" w:rsidP="00627B10">
            <w:pPr>
              <w:pStyle w:val="TableText"/>
              <w:keepNext/>
            </w:pPr>
            <w:r>
              <w:t>Discount rate (%)</w:t>
            </w:r>
          </w:p>
        </w:tc>
        <w:tc>
          <w:tcPr>
            <w:tcW w:w="5388" w:type="dxa"/>
            <w:gridSpan w:val="6"/>
          </w:tcPr>
          <w:p w14:paraId="7F4417F0" w14:textId="77777777" w:rsidR="00FC670E" w:rsidRDefault="00FC670E" w:rsidP="00627B10">
            <w:pPr>
              <w:pStyle w:val="TableText"/>
              <w:keepNext/>
              <w:jc w:val="center"/>
            </w:pPr>
            <w:r>
              <w:t>0.12</w:t>
            </w:r>
          </w:p>
        </w:tc>
      </w:tr>
      <w:tr w:rsidR="00FC670E" w:rsidRPr="00762E33" w14:paraId="14F10011" w14:textId="77777777" w:rsidTr="00627B10">
        <w:trPr>
          <w:trHeight w:val="372"/>
        </w:trPr>
        <w:tc>
          <w:tcPr>
            <w:tcW w:w="8969" w:type="dxa"/>
            <w:gridSpan w:val="7"/>
            <w:shd w:val="clear" w:color="auto" w:fill="D9D9D9" w:themeFill="background1" w:themeFillShade="D9"/>
          </w:tcPr>
          <w:p w14:paraId="1879D51A" w14:textId="77777777" w:rsidR="00FC670E" w:rsidRPr="00D817BA" w:rsidRDefault="00FC670E" w:rsidP="00627B10">
            <w:pPr>
              <w:pStyle w:val="TableText"/>
              <w:keepNext/>
              <w:rPr>
                <w:b/>
              </w:rPr>
            </w:pPr>
            <w:r w:rsidRPr="00D817BA">
              <w:rPr>
                <w:b/>
              </w:rPr>
              <w:t>Assumptions for Geothermal Projects</w:t>
            </w:r>
          </w:p>
        </w:tc>
      </w:tr>
      <w:tr w:rsidR="00FC670E" w:rsidRPr="00762E33" w14:paraId="79AAF02C" w14:textId="77777777" w:rsidTr="00627B10">
        <w:trPr>
          <w:trHeight w:val="372"/>
        </w:trPr>
        <w:tc>
          <w:tcPr>
            <w:tcW w:w="3581" w:type="dxa"/>
          </w:tcPr>
          <w:p w14:paraId="7C9C59CC" w14:textId="77777777" w:rsidR="00FC670E" w:rsidRPr="00762E33" w:rsidRDefault="00FC670E" w:rsidP="00627B10">
            <w:pPr>
              <w:pStyle w:val="TableText"/>
              <w:keepNext/>
            </w:pPr>
            <w:r w:rsidRPr="00762E33">
              <w:t>Plant size (MW)</w:t>
            </w:r>
          </w:p>
        </w:tc>
        <w:tc>
          <w:tcPr>
            <w:tcW w:w="1022" w:type="dxa"/>
          </w:tcPr>
          <w:p w14:paraId="152DEE35" w14:textId="77777777" w:rsidR="00FC670E" w:rsidRPr="00762E33" w:rsidRDefault="00FC670E" w:rsidP="00627B10">
            <w:pPr>
              <w:pStyle w:val="TableText"/>
              <w:keepNext/>
              <w:jc w:val="right"/>
            </w:pPr>
            <w:r>
              <w:t>60</w:t>
            </w:r>
          </w:p>
        </w:tc>
        <w:tc>
          <w:tcPr>
            <w:tcW w:w="900" w:type="dxa"/>
          </w:tcPr>
          <w:p w14:paraId="1E182DEA" w14:textId="77777777" w:rsidR="00FC670E" w:rsidRDefault="00FC670E" w:rsidP="00627B10">
            <w:pPr>
              <w:pStyle w:val="TableText"/>
              <w:keepNext/>
              <w:jc w:val="right"/>
            </w:pPr>
            <w:r>
              <w:t>10</w:t>
            </w:r>
          </w:p>
        </w:tc>
        <w:tc>
          <w:tcPr>
            <w:tcW w:w="868" w:type="dxa"/>
          </w:tcPr>
          <w:p w14:paraId="20A62880" w14:textId="77777777" w:rsidR="00FC670E" w:rsidRDefault="00FC670E" w:rsidP="00627B10">
            <w:pPr>
              <w:pStyle w:val="TableText"/>
              <w:keepNext/>
              <w:jc w:val="right"/>
            </w:pPr>
            <w:r>
              <w:t>10</w:t>
            </w:r>
          </w:p>
        </w:tc>
        <w:tc>
          <w:tcPr>
            <w:tcW w:w="842" w:type="dxa"/>
          </w:tcPr>
          <w:p w14:paraId="216C7CB6" w14:textId="77777777" w:rsidR="00FC670E" w:rsidRDefault="00FC670E" w:rsidP="00627B10">
            <w:pPr>
              <w:pStyle w:val="TableText"/>
              <w:keepNext/>
              <w:jc w:val="right"/>
            </w:pPr>
            <w:r>
              <w:t>10</w:t>
            </w:r>
          </w:p>
        </w:tc>
        <w:tc>
          <w:tcPr>
            <w:tcW w:w="867" w:type="dxa"/>
          </w:tcPr>
          <w:p w14:paraId="59F90D29" w14:textId="77777777" w:rsidR="00FC670E" w:rsidRDefault="00FC670E" w:rsidP="00627B10">
            <w:pPr>
              <w:pStyle w:val="TableText"/>
              <w:keepNext/>
              <w:jc w:val="right"/>
            </w:pPr>
            <w:r>
              <w:t>20</w:t>
            </w:r>
          </w:p>
        </w:tc>
        <w:tc>
          <w:tcPr>
            <w:tcW w:w="889" w:type="dxa"/>
          </w:tcPr>
          <w:p w14:paraId="427ABCD4" w14:textId="77777777" w:rsidR="00FC670E" w:rsidRDefault="00FC670E" w:rsidP="00627B10">
            <w:pPr>
              <w:pStyle w:val="TableText"/>
              <w:keepNext/>
              <w:jc w:val="right"/>
            </w:pPr>
            <w:r>
              <w:t>10</w:t>
            </w:r>
          </w:p>
        </w:tc>
      </w:tr>
      <w:tr w:rsidR="00FC670E" w:rsidRPr="00762E33" w14:paraId="7EAD0824" w14:textId="77777777" w:rsidTr="00627B10">
        <w:trPr>
          <w:trHeight w:val="394"/>
        </w:trPr>
        <w:tc>
          <w:tcPr>
            <w:tcW w:w="3581" w:type="dxa"/>
          </w:tcPr>
          <w:p w14:paraId="2DCCBC0D" w14:textId="77777777" w:rsidR="00FC670E" w:rsidRPr="00762E33" w:rsidRDefault="00FC670E" w:rsidP="00627B10">
            <w:pPr>
              <w:pStyle w:val="TableText"/>
            </w:pPr>
            <w:r w:rsidRPr="00762E33">
              <w:t>Plant availability (%)</w:t>
            </w:r>
          </w:p>
        </w:tc>
        <w:tc>
          <w:tcPr>
            <w:tcW w:w="5388" w:type="dxa"/>
            <w:gridSpan w:val="6"/>
          </w:tcPr>
          <w:p w14:paraId="22570023" w14:textId="77777777" w:rsidR="00FC670E" w:rsidRDefault="00FC670E" w:rsidP="00627B10">
            <w:pPr>
              <w:pStyle w:val="TableText"/>
              <w:jc w:val="center"/>
            </w:pPr>
            <w:r>
              <w:t>85</w:t>
            </w:r>
            <w:r w:rsidRPr="00762E33">
              <w:t xml:space="preserve"> </w:t>
            </w:r>
          </w:p>
        </w:tc>
      </w:tr>
      <w:tr w:rsidR="00FC670E" w:rsidRPr="00762E33" w14:paraId="0499302A" w14:textId="77777777" w:rsidTr="00627B10">
        <w:trPr>
          <w:trHeight w:val="304"/>
        </w:trPr>
        <w:tc>
          <w:tcPr>
            <w:tcW w:w="3581" w:type="dxa"/>
          </w:tcPr>
          <w:p w14:paraId="4F1E4D94" w14:textId="77777777" w:rsidR="00FC670E" w:rsidRPr="00762E33" w:rsidRDefault="00FC670E" w:rsidP="00627B10">
            <w:pPr>
              <w:pStyle w:val="TableText"/>
            </w:pPr>
            <w:r>
              <w:t xml:space="preserve">Total </w:t>
            </w:r>
            <w:r w:rsidRPr="00762E33">
              <w:t>Capex (US$ million)</w:t>
            </w:r>
          </w:p>
        </w:tc>
        <w:tc>
          <w:tcPr>
            <w:tcW w:w="1022" w:type="dxa"/>
          </w:tcPr>
          <w:p w14:paraId="58931462" w14:textId="77777777" w:rsidR="00FC670E" w:rsidRPr="00762E33" w:rsidRDefault="00FC670E" w:rsidP="00627B10">
            <w:pPr>
              <w:pStyle w:val="TableText"/>
              <w:jc w:val="right"/>
            </w:pPr>
            <w:r>
              <w:t>531.5</w:t>
            </w:r>
          </w:p>
        </w:tc>
        <w:tc>
          <w:tcPr>
            <w:tcW w:w="900" w:type="dxa"/>
          </w:tcPr>
          <w:p w14:paraId="1D81E9D7" w14:textId="77777777" w:rsidR="00FC670E" w:rsidRDefault="00FC670E" w:rsidP="00627B10">
            <w:pPr>
              <w:pStyle w:val="TableText"/>
              <w:jc w:val="right"/>
            </w:pPr>
            <w:r>
              <w:t>68.3</w:t>
            </w:r>
          </w:p>
        </w:tc>
        <w:tc>
          <w:tcPr>
            <w:tcW w:w="868" w:type="dxa"/>
          </w:tcPr>
          <w:p w14:paraId="1BF4A8B6" w14:textId="77777777" w:rsidR="00FC670E" w:rsidRDefault="00FC670E" w:rsidP="00627B10">
            <w:pPr>
              <w:pStyle w:val="TableText"/>
              <w:jc w:val="right"/>
            </w:pPr>
            <w:r>
              <w:t>102.3</w:t>
            </w:r>
          </w:p>
        </w:tc>
        <w:tc>
          <w:tcPr>
            <w:tcW w:w="842" w:type="dxa"/>
          </w:tcPr>
          <w:p w14:paraId="13F90C29" w14:textId="77777777" w:rsidR="00FC670E" w:rsidRDefault="00FC670E" w:rsidP="00627B10">
            <w:pPr>
              <w:pStyle w:val="TableText"/>
              <w:jc w:val="right"/>
            </w:pPr>
            <w:r>
              <w:t>96.3</w:t>
            </w:r>
          </w:p>
        </w:tc>
        <w:tc>
          <w:tcPr>
            <w:tcW w:w="867" w:type="dxa"/>
          </w:tcPr>
          <w:p w14:paraId="545443A8" w14:textId="77777777" w:rsidR="00FC670E" w:rsidRDefault="00FC670E" w:rsidP="00627B10">
            <w:pPr>
              <w:pStyle w:val="TableText"/>
              <w:jc w:val="right"/>
            </w:pPr>
            <w:r>
              <w:t>168.3</w:t>
            </w:r>
          </w:p>
        </w:tc>
        <w:tc>
          <w:tcPr>
            <w:tcW w:w="889" w:type="dxa"/>
          </w:tcPr>
          <w:p w14:paraId="3FB457CD" w14:textId="77777777" w:rsidR="00FC670E" w:rsidRDefault="00FC670E" w:rsidP="00627B10">
            <w:pPr>
              <w:pStyle w:val="TableText"/>
              <w:jc w:val="right"/>
            </w:pPr>
            <w:r>
              <w:t>96.3</w:t>
            </w:r>
          </w:p>
        </w:tc>
      </w:tr>
      <w:tr w:rsidR="00FC670E" w:rsidRPr="00762E33" w14:paraId="1DEF6AB3" w14:textId="77777777" w:rsidTr="00627B10">
        <w:trPr>
          <w:trHeight w:val="372"/>
        </w:trPr>
        <w:tc>
          <w:tcPr>
            <w:tcW w:w="3581" w:type="dxa"/>
          </w:tcPr>
          <w:p w14:paraId="03D962D3" w14:textId="77777777" w:rsidR="00FC670E" w:rsidRDefault="00FC670E" w:rsidP="00627B10">
            <w:pPr>
              <w:pStyle w:val="TableText"/>
              <w:ind w:left="284"/>
            </w:pPr>
            <w:r>
              <w:t>Pre-investment</w:t>
            </w:r>
          </w:p>
          <w:p w14:paraId="45B0E888" w14:textId="77777777" w:rsidR="00FC670E" w:rsidRDefault="00FC670E" w:rsidP="00627B10">
            <w:pPr>
              <w:pStyle w:val="TableText"/>
              <w:ind w:left="284"/>
            </w:pPr>
            <w:r>
              <w:t xml:space="preserve">Exploration </w:t>
            </w:r>
          </w:p>
          <w:p w14:paraId="2ED585DE" w14:textId="77777777" w:rsidR="00FC670E" w:rsidRDefault="00FC670E" w:rsidP="00627B10">
            <w:pPr>
              <w:pStyle w:val="TableText"/>
              <w:ind w:left="284"/>
            </w:pPr>
            <w:r>
              <w:t>Production Drilling</w:t>
            </w:r>
          </w:p>
          <w:p w14:paraId="507D7508" w14:textId="77777777" w:rsidR="00FC670E" w:rsidRDefault="00FC670E" w:rsidP="00627B10">
            <w:pPr>
              <w:pStyle w:val="TableText"/>
              <w:ind w:left="284"/>
            </w:pPr>
            <w:r>
              <w:t>Power Plant Construction</w:t>
            </w:r>
          </w:p>
          <w:p w14:paraId="77FF9682" w14:textId="77777777" w:rsidR="00FC670E" w:rsidRPr="00762E33" w:rsidRDefault="00FC670E" w:rsidP="00627B10">
            <w:pPr>
              <w:pStyle w:val="TableText"/>
              <w:ind w:left="284"/>
            </w:pPr>
            <w:r>
              <w:t>T&amp;D and Access Roads</w:t>
            </w:r>
          </w:p>
        </w:tc>
        <w:tc>
          <w:tcPr>
            <w:tcW w:w="1022" w:type="dxa"/>
          </w:tcPr>
          <w:p w14:paraId="233DFAEE" w14:textId="77777777" w:rsidR="00FC670E" w:rsidRDefault="00FC670E" w:rsidP="00627B10">
            <w:pPr>
              <w:pStyle w:val="TableText"/>
              <w:jc w:val="right"/>
            </w:pPr>
            <w:r>
              <w:t>12</w:t>
            </w:r>
          </w:p>
          <w:p w14:paraId="1BD04020" w14:textId="77777777" w:rsidR="00FC670E" w:rsidRDefault="00FC670E" w:rsidP="00627B10">
            <w:pPr>
              <w:pStyle w:val="TableText"/>
              <w:jc w:val="right"/>
            </w:pPr>
            <w:r>
              <w:t>56</w:t>
            </w:r>
          </w:p>
          <w:p w14:paraId="1F38BFED" w14:textId="77777777" w:rsidR="00FC670E" w:rsidRDefault="00FC670E" w:rsidP="00627B10">
            <w:pPr>
              <w:pStyle w:val="TableText"/>
              <w:jc w:val="right"/>
            </w:pPr>
            <w:r>
              <w:t>112</w:t>
            </w:r>
          </w:p>
          <w:p w14:paraId="5F27B8B1" w14:textId="77777777" w:rsidR="00FC670E" w:rsidRDefault="00FC670E" w:rsidP="00627B10">
            <w:pPr>
              <w:pStyle w:val="TableText"/>
              <w:jc w:val="right"/>
            </w:pPr>
            <w:r>
              <w:t>270</w:t>
            </w:r>
          </w:p>
          <w:p w14:paraId="11E55717" w14:textId="77777777" w:rsidR="00FC670E" w:rsidRDefault="00FC670E" w:rsidP="00627B10">
            <w:pPr>
              <w:pStyle w:val="TableText"/>
              <w:jc w:val="right"/>
            </w:pPr>
            <w:r>
              <w:t>81.5</w:t>
            </w:r>
          </w:p>
        </w:tc>
        <w:tc>
          <w:tcPr>
            <w:tcW w:w="900" w:type="dxa"/>
          </w:tcPr>
          <w:p w14:paraId="264AB957" w14:textId="77777777" w:rsidR="00FC670E" w:rsidRDefault="00FC670E" w:rsidP="00627B10">
            <w:pPr>
              <w:pStyle w:val="TableText"/>
              <w:jc w:val="right"/>
            </w:pPr>
            <w:r>
              <w:t>0</w:t>
            </w:r>
          </w:p>
          <w:p w14:paraId="1BB509FC" w14:textId="77777777" w:rsidR="00FC670E" w:rsidRDefault="00FC670E" w:rsidP="00627B10">
            <w:pPr>
              <w:pStyle w:val="TableText"/>
              <w:jc w:val="right"/>
            </w:pPr>
            <w:r>
              <w:t>0</w:t>
            </w:r>
          </w:p>
          <w:p w14:paraId="0B4CD80D" w14:textId="77777777" w:rsidR="00FC670E" w:rsidRDefault="00FC670E" w:rsidP="00627B10">
            <w:pPr>
              <w:pStyle w:val="TableText"/>
              <w:jc w:val="right"/>
            </w:pPr>
            <w:r>
              <w:t>7</w:t>
            </w:r>
          </w:p>
          <w:p w14:paraId="1E09137C" w14:textId="77777777" w:rsidR="00FC670E" w:rsidRDefault="00FC670E" w:rsidP="00627B10">
            <w:pPr>
              <w:pStyle w:val="TableText"/>
              <w:jc w:val="right"/>
            </w:pPr>
            <w:r>
              <w:t>45</w:t>
            </w:r>
          </w:p>
          <w:p w14:paraId="5D3D4EB1" w14:textId="77777777" w:rsidR="00FC670E" w:rsidRDefault="00FC670E" w:rsidP="00627B10">
            <w:pPr>
              <w:pStyle w:val="TableText"/>
              <w:jc w:val="right"/>
            </w:pPr>
            <w:r>
              <w:t>16.3</w:t>
            </w:r>
          </w:p>
        </w:tc>
        <w:tc>
          <w:tcPr>
            <w:tcW w:w="868" w:type="dxa"/>
          </w:tcPr>
          <w:p w14:paraId="1400C38E" w14:textId="77777777" w:rsidR="00FC670E" w:rsidRDefault="00FC670E" w:rsidP="00627B10">
            <w:pPr>
              <w:pStyle w:val="TableText"/>
              <w:jc w:val="right"/>
            </w:pPr>
            <w:r>
              <w:t>6</w:t>
            </w:r>
          </w:p>
          <w:p w14:paraId="7C5ADD99" w14:textId="77777777" w:rsidR="00FC670E" w:rsidRDefault="00FC670E" w:rsidP="00627B10">
            <w:pPr>
              <w:pStyle w:val="TableText"/>
              <w:jc w:val="right"/>
            </w:pPr>
            <w:r>
              <w:t>14</w:t>
            </w:r>
          </w:p>
          <w:p w14:paraId="44F42D91" w14:textId="77777777" w:rsidR="00FC670E" w:rsidRDefault="00FC670E" w:rsidP="00627B10">
            <w:pPr>
              <w:pStyle w:val="TableText"/>
              <w:jc w:val="right"/>
            </w:pPr>
            <w:r>
              <w:t>21</w:t>
            </w:r>
          </w:p>
          <w:p w14:paraId="6684FE99" w14:textId="77777777" w:rsidR="00FC670E" w:rsidRDefault="00FC670E" w:rsidP="00627B10">
            <w:pPr>
              <w:pStyle w:val="TableText"/>
              <w:jc w:val="right"/>
            </w:pPr>
            <w:r>
              <w:t>45</w:t>
            </w:r>
          </w:p>
          <w:p w14:paraId="17281524" w14:textId="77777777" w:rsidR="00FC670E" w:rsidRDefault="00FC670E" w:rsidP="00627B10">
            <w:pPr>
              <w:pStyle w:val="TableText"/>
              <w:jc w:val="right"/>
            </w:pPr>
            <w:r>
              <w:t>16.3</w:t>
            </w:r>
          </w:p>
        </w:tc>
        <w:tc>
          <w:tcPr>
            <w:tcW w:w="842" w:type="dxa"/>
          </w:tcPr>
          <w:p w14:paraId="77BFCC95" w14:textId="77777777" w:rsidR="00FC670E" w:rsidRDefault="00FC670E" w:rsidP="00627B10">
            <w:pPr>
              <w:pStyle w:val="TableText"/>
              <w:jc w:val="right"/>
            </w:pPr>
            <w:r>
              <w:t>0</w:t>
            </w:r>
          </w:p>
          <w:p w14:paraId="14186D69" w14:textId="77777777" w:rsidR="00FC670E" w:rsidRDefault="00FC670E" w:rsidP="00627B10">
            <w:pPr>
              <w:pStyle w:val="TableText"/>
              <w:jc w:val="right"/>
            </w:pPr>
            <w:r>
              <w:t>14</w:t>
            </w:r>
          </w:p>
          <w:p w14:paraId="082A2399" w14:textId="77777777" w:rsidR="00FC670E" w:rsidRDefault="00FC670E" w:rsidP="00627B10">
            <w:pPr>
              <w:pStyle w:val="TableText"/>
              <w:jc w:val="right"/>
            </w:pPr>
            <w:r>
              <w:t>21</w:t>
            </w:r>
          </w:p>
          <w:p w14:paraId="53A45EE0" w14:textId="77777777" w:rsidR="00FC670E" w:rsidRDefault="00FC670E" w:rsidP="00627B10">
            <w:pPr>
              <w:pStyle w:val="TableText"/>
              <w:jc w:val="right"/>
            </w:pPr>
            <w:r>
              <w:t>45</w:t>
            </w:r>
          </w:p>
          <w:p w14:paraId="63D89D5A" w14:textId="77777777" w:rsidR="00FC670E" w:rsidRDefault="00FC670E" w:rsidP="00627B10">
            <w:pPr>
              <w:pStyle w:val="TableText"/>
              <w:jc w:val="right"/>
            </w:pPr>
            <w:r>
              <w:t>16.3</w:t>
            </w:r>
          </w:p>
        </w:tc>
        <w:tc>
          <w:tcPr>
            <w:tcW w:w="867" w:type="dxa"/>
          </w:tcPr>
          <w:p w14:paraId="081967B5" w14:textId="77777777" w:rsidR="00FC670E" w:rsidRDefault="00FC670E" w:rsidP="00627B10">
            <w:pPr>
              <w:pStyle w:val="TableText"/>
              <w:jc w:val="right"/>
            </w:pPr>
            <w:r>
              <w:t>6</w:t>
            </w:r>
          </w:p>
          <w:p w14:paraId="51AC2E58" w14:textId="77777777" w:rsidR="00FC670E" w:rsidRDefault="00FC670E" w:rsidP="00627B10">
            <w:pPr>
              <w:pStyle w:val="TableText"/>
              <w:jc w:val="right"/>
            </w:pPr>
            <w:r>
              <w:t>14</w:t>
            </w:r>
          </w:p>
          <w:p w14:paraId="557ACA86" w14:textId="77777777" w:rsidR="00FC670E" w:rsidRDefault="00FC670E" w:rsidP="00627B10">
            <w:pPr>
              <w:pStyle w:val="TableText"/>
              <w:jc w:val="right"/>
            </w:pPr>
            <w:r>
              <w:t>42</w:t>
            </w:r>
          </w:p>
          <w:p w14:paraId="62B84760" w14:textId="77777777" w:rsidR="00FC670E" w:rsidRDefault="00FC670E" w:rsidP="00627B10">
            <w:pPr>
              <w:pStyle w:val="TableText"/>
              <w:jc w:val="right"/>
            </w:pPr>
            <w:r>
              <w:t>90</w:t>
            </w:r>
          </w:p>
          <w:p w14:paraId="52971FC4" w14:textId="77777777" w:rsidR="00FC670E" w:rsidRDefault="00FC670E" w:rsidP="00627B10">
            <w:pPr>
              <w:pStyle w:val="TableText"/>
              <w:jc w:val="right"/>
            </w:pPr>
            <w:r>
              <w:t>16.3</w:t>
            </w:r>
          </w:p>
        </w:tc>
        <w:tc>
          <w:tcPr>
            <w:tcW w:w="889" w:type="dxa"/>
          </w:tcPr>
          <w:p w14:paraId="0AAA7FA4" w14:textId="77777777" w:rsidR="00FC670E" w:rsidRDefault="00FC670E" w:rsidP="00627B10">
            <w:pPr>
              <w:pStyle w:val="TableText"/>
              <w:jc w:val="right"/>
            </w:pPr>
            <w:r>
              <w:t>0</w:t>
            </w:r>
          </w:p>
          <w:p w14:paraId="49EF7D76" w14:textId="77777777" w:rsidR="00FC670E" w:rsidRDefault="00FC670E" w:rsidP="00627B10">
            <w:pPr>
              <w:pStyle w:val="TableText"/>
              <w:jc w:val="right"/>
            </w:pPr>
            <w:r>
              <w:t>14</w:t>
            </w:r>
          </w:p>
          <w:p w14:paraId="03ACEB44" w14:textId="77777777" w:rsidR="00FC670E" w:rsidRDefault="00FC670E" w:rsidP="00627B10">
            <w:pPr>
              <w:pStyle w:val="TableText"/>
              <w:jc w:val="right"/>
            </w:pPr>
            <w:r>
              <w:t>21</w:t>
            </w:r>
          </w:p>
          <w:p w14:paraId="1BCA498D" w14:textId="77777777" w:rsidR="00FC670E" w:rsidRDefault="00FC670E" w:rsidP="00627B10">
            <w:pPr>
              <w:pStyle w:val="TableText"/>
              <w:jc w:val="right"/>
            </w:pPr>
            <w:r>
              <w:t>45</w:t>
            </w:r>
          </w:p>
          <w:p w14:paraId="3A746264" w14:textId="77777777" w:rsidR="00FC670E" w:rsidRDefault="00FC670E" w:rsidP="00627B10">
            <w:pPr>
              <w:pStyle w:val="TableText"/>
              <w:jc w:val="right"/>
            </w:pPr>
            <w:r>
              <w:t>16.3</w:t>
            </w:r>
          </w:p>
        </w:tc>
      </w:tr>
      <w:tr w:rsidR="00FC670E" w:rsidRPr="00762E33" w14:paraId="022A25A4" w14:textId="77777777" w:rsidTr="00627B10">
        <w:trPr>
          <w:trHeight w:val="372"/>
        </w:trPr>
        <w:tc>
          <w:tcPr>
            <w:tcW w:w="3581" w:type="dxa"/>
          </w:tcPr>
          <w:p w14:paraId="04DD1CBD" w14:textId="77777777" w:rsidR="00FC670E" w:rsidRPr="00762E33" w:rsidRDefault="00FC670E" w:rsidP="00627B10">
            <w:pPr>
              <w:pStyle w:val="TableText"/>
              <w:rPr>
                <w:highlight w:val="yellow"/>
              </w:rPr>
            </w:pPr>
            <w:r w:rsidRPr="00762E33">
              <w:t>Operating cost of electricity from geothermal generation (US$/kWh)</w:t>
            </w:r>
          </w:p>
        </w:tc>
        <w:tc>
          <w:tcPr>
            <w:tcW w:w="5388" w:type="dxa"/>
            <w:gridSpan w:val="6"/>
          </w:tcPr>
          <w:p w14:paraId="31A42B9E" w14:textId="77777777" w:rsidR="00FC670E" w:rsidRDefault="00FC670E" w:rsidP="00627B10">
            <w:pPr>
              <w:pStyle w:val="TableText"/>
              <w:jc w:val="center"/>
            </w:pPr>
            <w:r w:rsidRPr="00762E33">
              <w:t>0.02</w:t>
            </w:r>
            <w:r w:rsidRPr="00762E33">
              <w:rPr>
                <w:rStyle w:val="FootnoteReference"/>
              </w:rPr>
              <w:footnoteReference w:id="7"/>
            </w:r>
          </w:p>
        </w:tc>
      </w:tr>
      <w:tr w:rsidR="00FC670E" w:rsidRPr="00762E33" w14:paraId="1F612E0E" w14:textId="77777777" w:rsidTr="00627B10">
        <w:trPr>
          <w:trHeight w:val="372"/>
        </w:trPr>
        <w:tc>
          <w:tcPr>
            <w:tcW w:w="3581" w:type="dxa"/>
          </w:tcPr>
          <w:p w14:paraId="25F2C4DE" w14:textId="77777777" w:rsidR="00FC670E" w:rsidRPr="00762E33" w:rsidRDefault="00FC670E" w:rsidP="00627B10">
            <w:pPr>
              <w:pStyle w:val="TableText"/>
            </w:pPr>
            <w:r w:rsidRPr="00762E33">
              <w:t>Avoided cost of fuel oil generation (US$)</w:t>
            </w:r>
          </w:p>
        </w:tc>
        <w:tc>
          <w:tcPr>
            <w:tcW w:w="1022" w:type="dxa"/>
            <w:shd w:val="clear" w:color="auto" w:fill="A6A6A6" w:themeFill="background1" w:themeFillShade="A6"/>
          </w:tcPr>
          <w:p w14:paraId="6D774CA5" w14:textId="77777777" w:rsidR="00FC670E" w:rsidRPr="00762E33" w:rsidRDefault="00FC670E" w:rsidP="00627B10">
            <w:pPr>
              <w:pStyle w:val="TableText"/>
            </w:pPr>
          </w:p>
        </w:tc>
        <w:tc>
          <w:tcPr>
            <w:tcW w:w="900" w:type="dxa"/>
          </w:tcPr>
          <w:p w14:paraId="14C4382D" w14:textId="77777777" w:rsidR="00FC670E" w:rsidRDefault="00FC670E" w:rsidP="00627B10">
            <w:pPr>
              <w:pStyle w:val="TableText"/>
            </w:pPr>
            <w:r>
              <w:t>0.174</w:t>
            </w:r>
          </w:p>
        </w:tc>
        <w:tc>
          <w:tcPr>
            <w:tcW w:w="868" w:type="dxa"/>
          </w:tcPr>
          <w:p w14:paraId="46ABCEEB" w14:textId="77777777" w:rsidR="00FC670E" w:rsidRDefault="00FC670E" w:rsidP="00627B10">
            <w:pPr>
              <w:pStyle w:val="TableText"/>
            </w:pPr>
            <w:r>
              <w:t>0.205</w:t>
            </w:r>
          </w:p>
        </w:tc>
        <w:tc>
          <w:tcPr>
            <w:tcW w:w="842" w:type="dxa"/>
          </w:tcPr>
          <w:p w14:paraId="482DEC88" w14:textId="77777777" w:rsidR="00FC670E" w:rsidRDefault="00FC670E" w:rsidP="00627B10">
            <w:pPr>
              <w:pStyle w:val="TableText"/>
            </w:pPr>
            <w:r>
              <w:t>0.192</w:t>
            </w:r>
          </w:p>
        </w:tc>
        <w:tc>
          <w:tcPr>
            <w:tcW w:w="867" w:type="dxa"/>
          </w:tcPr>
          <w:p w14:paraId="24D7EB1C" w14:textId="77777777" w:rsidR="00FC670E" w:rsidRDefault="00FC670E" w:rsidP="00627B10">
            <w:pPr>
              <w:pStyle w:val="TableText"/>
            </w:pPr>
            <w:r>
              <w:t>0.20</w:t>
            </w:r>
          </w:p>
        </w:tc>
        <w:tc>
          <w:tcPr>
            <w:tcW w:w="889" w:type="dxa"/>
          </w:tcPr>
          <w:p w14:paraId="0A635283" w14:textId="77777777" w:rsidR="00FC670E" w:rsidRDefault="00FC670E" w:rsidP="00627B10">
            <w:pPr>
              <w:pStyle w:val="TableText"/>
            </w:pPr>
            <w:r>
              <w:t>0.189</w:t>
            </w:r>
          </w:p>
        </w:tc>
      </w:tr>
      <w:tr w:rsidR="00FC670E" w:rsidRPr="00762E33" w14:paraId="56B7385A" w14:textId="77777777" w:rsidTr="00627B10">
        <w:trPr>
          <w:trHeight w:val="372"/>
        </w:trPr>
        <w:tc>
          <w:tcPr>
            <w:tcW w:w="8969" w:type="dxa"/>
            <w:gridSpan w:val="7"/>
            <w:shd w:val="clear" w:color="auto" w:fill="D9D9D9" w:themeFill="background1" w:themeFillShade="D9"/>
          </w:tcPr>
          <w:p w14:paraId="6E3086FB" w14:textId="77777777" w:rsidR="00FC670E" w:rsidRPr="00D817BA" w:rsidRDefault="00FC670E" w:rsidP="00627B10">
            <w:pPr>
              <w:pStyle w:val="TableText"/>
              <w:rPr>
                <w:b/>
              </w:rPr>
            </w:pPr>
            <w:r w:rsidRPr="00D817BA">
              <w:rPr>
                <w:b/>
              </w:rPr>
              <w:t>Assumptions for Energy Efficiency Projects</w:t>
            </w:r>
          </w:p>
        </w:tc>
      </w:tr>
      <w:tr w:rsidR="00FC670E" w:rsidRPr="00762E33" w14:paraId="13ABD4CD" w14:textId="77777777" w:rsidTr="00627B10">
        <w:trPr>
          <w:trHeight w:val="1555"/>
        </w:trPr>
        <w:tc>
          <w:tcPr>
            <w:tcW w:w="3581" w:type="dxa"/>
          </w:tcPr>
          <w:p w14:paraId="4DF9C78F" w14:textId="77777777" w:rsidR="00FC670E" w:rsidRDefault="00FC670E" w:rsidP="00627B10">
            <w:pPr>
              <w:pStyle w:val="TableText"/>
            </w:pPr>
            <w:r>
              <w:lastRenderedPageBreak/>
              <w:t>Lamps retrofitted per technology (Number) :</w:t>
            </w:r>
          </w:p>
          <w:p w14:paraId="0269A440" w14:textId="77777777" w:rsidR="00FC670E" w:rsidRDefault="00FC670E" w:rsidP="00627B10">
            <w:pPr>
              <w:pStyle w:val="TableBullet1"/>
            </w:pPr>
            <w:r w:rsidRPr="00167A10">
              <w:t>HPS Lamp, 400W</w:t>
            </w:r>
          </w:p>
          <w:p w14:paraId="29CEE2EC" w14:textId="77777777" w:rsidR="00FC670E" w:rsidRDefault="00FC670E" w:rsidP="00627B10">
            <w:pPr>
              <w:pStyle w:val="TableBullet1"/>
            </w:pPr>
            <w:r w:rsidRPr="00167A10">
              <w:t>HPS Lamp, 250 W</w:t>
            </w:r>
          </w:p>
          <w:p w14:paraId="00E45002" w14:textId="77777777" w:rsidR="00FC670E" w:rsidRDefault="00FC670E" w:rsidP="00627B10">
            <w:pPr>
              <w:pStyle w:val="TableBullet1"/>
            </w:pPr>
            <w:r w:rsidRPr="00167A10">
              <w:t>HPS Lamp, 100 W</w:t>
            </w:r>
          </w:p>
          <w:p w14:paraId="51DDFFCB" w14:textId="77777777" w:rsidR="00FC670E" w:rsidRPr="00762E33" w:rsidRDefault="00FC670E" w:rsidP="00627B10">
            <w:pPr>
              <w:pStyle w:val="TableBullet1"/>
            </w:pPr>
            <w:r w:rsidRPr="00167A10">
              <w:t>HPS Lamp, 50 W</w:t>
            </w:r>
          </w:p>
        </w:tc>
        <w:tc>
          <w:tcPr>
            <w:tcW w:w="1022" w:type="dxa"/>
            <w:shd w:val="clear" w:color="auto" w:fill="FFFFFF" w:themeFill="background1"/>
          </w:tcPr>
          <w:p w14:paraId="4CAAE8E3" w14:textId="77777777" w:rsidR="00FC670E" w:rsidRDefault="00FC670E" w:rsidP="00627B10">
            <w:pPr>
              <w:pStyle w:val="TableBullet1"/>
              <w:numPr>
                <w:ilvl w:val="0"/>
                <w:numId w:val="0"/>
              </w:numPr>
              <w:ind w:left="284"/>
            </w:pPr>
          </w:p>
          <w:p w14:paraId="53B51F1C" w14:textId="77777777" w:rsidR="00FC670E" w:rsidRDefault="00FC670E" w:rsidP="00627B10">
            <w:pPr>
              <w:pStyle w:val="TableBullet1"/>
              <w:numPr>
                <w:ilvl w:val="0"/>
                <w:numId w:val="0"/>
              </w:numPr>
              <w:ind w:left="284"/>
            </w:pPr>
          </w:p>
          <w:p w14:paraId="66775C6C" w14:textId="77777777" w:rsidR="00FC670E" w:rsidRDefault="00FC670E" w:rsidP="00627B10">
            <w:pPr>
              <w:pStyle w:val="TableBullet1"/>
            </w:pPr>
            <w:r>
              <w:t>2900</w:t>
            </w:r>
          </w:p>
          <w:p w14:paraId="0C21809E" w14:textId="77777777" w:rsidR="00FC670E" w:rsidRDefault="00FC670E" w:rsidP="00627B10">
            <w:pPr>
              <w:pStyle w:val="TableBullet1"/>
            </w:pPr>
            <w:r>
              <w:t>2400</w:t>
            </w:r>
          </w:p>
          <w:p w14:paraId="7C4FD7A8" w14:textId="77777777" w:rsidR="00FC670E" w:rsidRDefault="00FC670E" w:rsidP="00627B10">
            <w:pPr>
              <w:pStyle w:val="TableBullet1"/>
            </w:pPr>
            <w:r>
              <w:t>2200</w:t>
            </w:r>
          </w:p>
          <w:p w14:paraId="1E1132F5" w14:textId="77777777" w:rsidR="00FC670E" w:rsidRPr="00762E33" w:rsidRDefault="00FC670E" w:rsidP="00627B10">
            <w:pPr>
              <w:pStyle w:val="TableBullet1"/>
            </w:pPr>
            <w:r>
              <w:t>0</w:t>
            </w:r>
          </w:p>
        </w:tc>
        <w:tc>
          <w:tcPr>
            <w:tcW w:w="900" w:type="dxa"/>
          </w:tcPr>
          <w:p w14:paraId="14DC9C46" w14:textId="77777777" w:rsidR="00FC670E" w:rsidRDefault="00FC670E" w:rsidP="00627B10">
            <w:pPr>
              <w:pStyle w:val="TableText"/>
            </w:pPr>
          </w:p>
          <w:p w14:paraId="6E63F6E7" w14:textId="77777777" w:rsidR="00FC670E" w:rsidRDefault="00FC670E" w:rsidP="00627B10">
            <w:pPr>
              <w:pStyle w:val="TableText"/>
            </w:pPr>
          </w:p>
          <w:p w14:paraId="0C03F515" w14:textId="77777777" w:rsidR="00FC670E" w:rsidRDefault="00FC670E" w:rsidP="00627B10">
            <w:pPr>
              <w:pStyle w:val="TableBullet1"/>
            </w:pPr>
            <w:r>
              <w:t>1400</w:t>
            </w:r>
          </w:p>
          <w:p w14:paraId="0EDDCF2B" w14:textId="77777777" w:rsidR="00FC670E" w:rsidRDefault="00FC670E" w:rsidP="00627B10">
            <w:pPr>
              <w:pStyle w:val="TableBullet1"/>
            </w:pPr>
            <w:r>
              <w:t>700</w:t>
            </w:r>
          </w:p>
          <w:p w14:paraId="6E61625C" w14:textId="77777777" w:rsidR="00FC670E" w:rsidRDefault="00FC670E" w:rsidP="00627B10">
            <w:pPr>
              <w:pStyle w:val="TableBullet1"/>
            </w:pPr>
            <w:r>
              <w:t>0</w:t>
            </w:r>
          </w:p>
          <w:p w14:paraId="2907570A" w14:textId="77777777" w:rsidR="00FC670E" w:rsidRDefault="00FC670E" w:rsidP="00627B10">
            <w:pPr>
              <w:pStyle w:val="TableBullet1"/>
            </w:pPr>
            <w:r>
              <w:t>0</w:t>
            </w:r>
          </w:p>
        </w:tc>
        <w:tc>
          <w:tcPr>
            <w:tcW w:w="868" w:type="dxa"/>
            <w:shd w:val="clear" w:color="auto" w:fill="A6A6A6" w:themeFill="background1" w:themeFillShade="A6"/>
          </w:tcPr>
          <w:p w14:paraId="19A2D89A" w14:textId="77777777" w:rsidR="00FC670E" w:rsidRDefault="00FC670E" w:rsidP="00627B10">
            <w:pPr>
              <w:pStyle w:val="TableText"/>
            </w:pPr>
          </w:p>
        </w:tc>
        <w:tc>
          <w:tcPr>
            <w:tcW w:w="842" w:type="dxa"/>
            <w:shd w:val="clear" w:color="auto" w:fill="A6A6A6" w:themeFill="background1" w:themeFillShade="A6"/>
          </w:tcPr>
          <w:p w14:paraId="175C47BE" w14:textId="77777777" w:rsidR="00FC670E" w:rsidRDefault="00FC670E" w:rsidP="00627B10">
            <w:pPr>
              <w:pStyle w:val="TableText"/>
            </w:pPr>
          </w:p>
        </w:tc>
        <w:tc>
          <w:tcPr>
            <w:tcW w:w="867" w:type="dxa"/>
          </w:tcPr>
          <w:p w14:paraId="4A38F58D" w14:textId="77777777" w:rsidR="00FC670E" w:rsidRDefault="00FC670E" w:rsidP="00627B10">
            <w:pPr>
              <w:pStyle w:val="TableText"/>
            </w:pPr>
          </w:p>
          <w:p w14:paraId="0630FE8A" w14:textId="77777777" w:rsidR="00FC670E" w:rsidRDefault="00FC670E" w:rsidP="00627B10">
            <w:pPr>
              <w:pStyle w:val="TableText"/>
            </w:pPr>
          </w:p>
          <w:p w14:paraId="20A19F38" w14:textId="77777777" w:rsidR="00FC670E" w:rsidRDefault="00FC670E" w:rsidP="00627B10">
            <w:pPr>
              <w:pStyle w:val="TableBullet1"/>
            </w:pPr>
            <w:r>
              <w:t>1500</w:t>
            </w:r>
          </w:p>
          <w:p w14:paraId="7365EBD3" w14:textId="77777777" w:rsidR="00FC670E" w:rsidRDefault="00FC670E" w:rsidP="00627B10">
            <w:pPr>
              <w:pStyle w:val="TableBullet1"/>
            </w:pPr>
            <w:r>
              <w:t>1700</w:t>
            </w:r>
          </w:p>
          <w:p w14:paraId="2814FE9B" w14:textId="77777777" w:rsidR="00FC670E" w:rsidRDefault="00FC670E" w:rsidP="00627B10">
            <w:pPr>
              <w:pStyle w:val="TableBullet1"/>
            </w:pPr>
            <w:r>
              <w:t>2200</w:t>
            </w:r>
          </w:p>
          <w:p w14:paraId="48784B03" w14:textId="77777777" w:rsidR="00FC670E" w:rsidRDefault="00FC670E" w:rsidP="00627B10">
            <w:pPr>
              <w:pStyle w:val="TableBullet1"/>
            </w:pPr>
            <w:r>
              <w:t>0</w:t>
            </w:r>
          </w:p>
        </w:tc>
        <w:tc>
          <w:tcPr>
            <w:tcW w:w="889" w:type="dxa"/>
            <w:shd w:val="clear" w:color="auto" w:fill="A6A6A6" w:themeFill="background1" w:themeFillShade="A6"/>
          </w:tcPr>
          <w:p w14:paraId="49E28F9A" w14:textId="77777777" w:rsidR="00FC670E" w:rsidRDefault="00FC670E" w:rsidP="00627B10">
            <w:pPr>
              <w:pStyle w:val="TableText"/>
            </w:pPr>
          </w:p>
        </w:tc>
      </w:tr>
      <w:tr w:rsidR="00FC670E" w:rsidRPr="00762E33" w14:paraId="323BD8B7" w14:textId="77777777" w:rsidTr="00627B10">
        <w:trPr>
          <w:trHeight w:val="372"/>
        </w:trPr>
        <w:tc>
          <w:tcPr>
            <w:tcW w:w="3581" w:type="dxa"/>
          </w:tcPr>
          <w:p w14:paraId="420F6562" w14:textId="77777777" w:rsidR="00FC670E" w:rsidRPr="00425254" w:rsidRDefault="00FC670E" w:rsidP="00627B10">
            <w:pPr>
              <w:pStyle w:val="TableText"/>
            </w:pPr>
            <w:r w:rsidRPr="00425254">
              <w:t>Capex per technology (US$/unit):</w:t>
            </w:r>
          </w:p>
          <w:p w14:paraId="63B1412F" w14:textId="77777777" w:rsidR="00FC670E" w:rsidRPr="00425254" w:rsidRDefault="00FC670E" w:rsidP="00627B10">
            <w:pPr>
              <w:pStyle w:val="TableBullet1"/>
            </w:pPr>
            <w:r w:rsidRPr="00425254">
              <w:t>HPS Lamp, 400W</w:t>
            </w:r>
          </w:p>
          <w:p w14:paraId="221E8716" w14:textId="77777777" w:rsidR="00FC670E" w:rsidRPr="00425254" w:rsidRDefault="00FC670E" w:rsidP="00627B10">
            <w:pPr>
              <w:pStyle w:val="TableBullet1"/>
            </w:pPr>
            <w:r w:rsidRPr="00425254">
              <w:t>HPS Lamp, 250 W</w:t>
            </w:r>
          </w:p>
          <w:p w14:paraId="083116C3" w14:textId="77777777" w:rsidR="00FC670E" w:rsidRDefault="00FC670E" w:rsidP="00627B10">
            <w:pPr>
              <w:pStyle w:val="TableBullet1"/>
            </w:pPr>
            <w:r>
              <w:t>HPS Lamp, 100 W</w:t>
            </w:r>
          </w:p>
          <w:p w14:paraId="5E42DA0E" w14:textId="77777777" w:rsidR="00FC670E" w:rsidRPr="00762E33" w:rsidRDefault="00FC670E" w:rsidP="00627B10">
            <w:pPr>
              <w:pStyle w:val="TableBullet1"/>
            </w:pPr>
            <w:r w:rsidRPr="00425254">
              <w:t>HPS Lamp, 50 W</w:t>
            </w:r>
          </w:p>
        </w:tc>
        <w:tc>
          <w:tcPr>
            <w:tcW w:w="5388" w:type="dxa"/>
            <w:gridSpan w:val="6"/>
            <w:shd w:val="clear" w:color="auto" w:fill="FFFFFF" w:themeFill="background1"/>
            <w:vAlign w:val="center"/>
          </w:tcPr>
          <w:p w14:paraId="45B43329" w14:textId="77777777" w:rsidR="00FC670E" w:rsidRDefault="00FC670E" w:rsidP="00627B10">
            <w:pPr>
              <w:pStyle w:val="TableBullet1"/>
              <w:numPr>
                <w:ilvl w:val="0"/>
                <w:numId w:val="0"/>
              </w:numPr>
              <w:ind w:left="284"/>
            </w:pPr>
          </w:p>
          <w:p w14:paraId="2D1B9133" w14:textId="77777777" w:rsidR="00FC670E" w:rsidRDefault="00FC670E" w:rsidP="00627B10">
            <w:pPr>
              <w:pStyle w:val="TableBullet1"/>
              <w:jc w:val="center"/>
            </w:pPr>
            <w:r>
              <w:t>1000</w:t>
            </w:r>
          </w:p>
          <w:p w14:paraId="159E1B2F" w14:textId="77777777" w:rsidR="00FC670E" w:rsidRDefault="00FC670E" w:rsidP="00627B10">
            <w:pPr>
              <w:pStyle w:val="TableBullet1"/>
              <w:jc w:val="center"/>
            </w:pPr>
            <w:r>
              <w:t xml:space="preserve"> 900</w:t>
            </w:r>
          </w:p>
          <w:p w14:paraId="6D85A2C1" w14:textId="77777777" w:rsidR="00FC670E" w:rsidRDefault="00FC670E" w:rsidP="00627B10">
            <w:pPr>
              <w:pStyle w:val="TableBullet1"/>
              <w:jc w:val="center"/>
            </w:pPr>
            <w:r>
              <w:t xml:space="preserve"> 500</w:t>
            </w:r>
          </w:p>
          <w:p w14:paraId="3AC1A74C" w14:textId="77777777" w:rsidR="00FC670E" w:rsidRDefault="00FC670E" w:rsidP="00627B10">
            <w:pPr>
              <w:pStyle w:val="TableBullet1"/>
              <w:jc w:val="center"/>
            </w:pPr>
            <w:r>
              <w:t xml:space="preserve"> 300</w:t>
            </w:r>
          </w:p>
        </w:tc>
      </w:tr>
      <w:tr w:rsidR="00FC670E" w:rsidRPr="00762E33" w14:paraId="6603C7B6" w14:textId="77777777" w:rsidTr="00627B10">
        <w:trPr>
          <w:trHeight w:val="372"/>
        </w:trPr>
        <w:tc>
          <w:tcPr>
            <w:tcW w:w="3581" w:type="dxa"/>
          </w:tcPr>
          <w:p w14:paraId="3CF5B09C" w14:textId="77777777" w:rsidR="00FC670E" w:rsidRPr="00425254" w:rsidRDefault="00FC670E" w:rsidP="00627B10">
            <w:pPr>
              <w:pStyle w:val="TableText"/>
            </w:pPr>
            <w:r w:rsidRPr="00425254">
              <w:t xml:space="preserve">Yearly </w:t>
            </w:r>
            <w:r>
              <w:t xml:space="preserve">O&amp;M cost  </w:t>
            </w:r>
            <w:r w:rsidRPr="00425254">
              <w:t>equipment cost</w:t>
            </w:r>
            <w:r>
              <w:t xml:space="preserve"> </w:t>
            </w:r>
            <w:r w:rsidRPr="00425254">
              <w:t>(US$/unit/year):</w:t>
            </w:r>
          </w:p>
          <w:p w14:paraId="38851921" w14:textId="77777777" w:rsidR="00FC670E" w:rsidRPr="00425254" w:rsidRDefault="00FC670E" w:rsidP="00627B10">
            <w:pPr>
              <w:pStyle w:val="TableBullet1"/>
            </w:pPr>
            <w:r w:rsidRPr="00425254">
              <w:t>HPS Lamp, 400W</w:t>
            </w:r>
          </w:p>
          <w:p w14:paraId="6521D343" w14:textId="77777777" w:rsidR="00FC670E" w:rsidRPr="00425254" w:rsidRDefault="00FC670E" w:rsidP="00627B10">
            <w:pPr>
              <w:pStyle w:val="TableBullet1"/>
            </w:pPr>
            <w:r w:rsidRPr="00425254">
              <w:t>HPS Lamp, 250 W</w:t>
            </w:r>
          </w:p>
          <w:p w14:paraId="5DB2AE18" w14:textId="77777777" w:rsidR="00FC670E" w:rsidRDefault="00FC670E" w:rsidP="00627B10">
            <w:pPr>
              <w:pStyle w:val="TableBullet1"/>
            </w:pPr>
            <w:r>
              <w:t>HPS Lamp, 100 W</w:t>
            </w:r>
          </w:p>
          <w:p w14:paraId="2ACDB91E" w14:textId="77777777" w:rsidR="00FC670E" w:rsidRPr="00762E33" w:rsidRDefault="00FC670E" w:rsidP="00627B10">
            <w:pPr>
              <w:pStyle w:val="TableBullet1"/>
            </w:pPr>
            <w:r w:rsidRPr="00425254">
              <w:t>HPS Lamp, 50 W</w:t>
            </w:r>
          </w:p>
        </w:tc>
        <w:tc>
          <w:tcPr>
            <w:tcW w:w="5388" w:type="dxa"/>
            <w:gridSpan w:val="6"/>
            <w:shd w:val="clear" w:color="auto" w:fill="FFFFFF" w:themeFill="background1"/>
            <w:vAlign w:val="center"/>
          </w:tcPr>
          <w:p w14:paraId="31438B0B" w14:textId="77777777" w:rsidR="00FC670E" w:rsidRDefault="00FC670E" w:rsidP="00627B10">
            <w:pPr>
              <w:pStyle w:val="TableBullet1"/>
              <w:jc w:val="center"/>
            </w:pPr>
            <w:r>
              <w:t>20</w:t>
            </w:r>
          </w:p>
          <w:p w14:paraId="0739E1FE" w14:textId="77777777" w:rsidR="00FC670E" w:rsidRDefault="00FC670E" w:rsidP="00627B10">
            <w:pPr>
              <w:pStyle w:val="TableBullet1"/>
              <w:jc w:val="center"/>
            </w:pPr>
            <w:r>
              <w:t>18</w:t>
            </w:r>
          </w:p>
          <w:p w14:paraId="529F7B34" w14:textId="77777777" w:rsidR="00FC670E" w:rsidRDefault="00FC670E" w:rsidP="00627B10">
            <w:pPr>
              <w:pStyle w:val="TableBullet1"/>
              <w:jc w:val="center"/>
            </w:pPr>
            <w:r>
              <w:t>10</w:t>
            </w:r>
          </w:p>
          <w:p w14:paraId="4B4660FE" w14:textId="77777777" w:rsidR="00FC670E" w:rsidRDefault="00FC670E" w:rsidP="00627B10">
            <w:pPr>
              <w:pStyle w:val="TableBullet1"/>
              <w:jc w:val="center"/>
            </w:pPr>
            <w:r>
              <w:t xml:space="preserve"> 6</w:t>
            </w:r>
          </w:p>
        </w:tc>
      </w:tr>
      <w:tr w:rsidR="00FC670E" w:rsidRPr="00762E33" w14:paraId="22D79789" w14:textId="77777777" w:rsidTr="00627B10">
        <w:trPr>
          <w:trHeight w:val="372"/>
        </w:trPr>
        <w:tc>
          <w:tcPr>
            <w:tcW w:w="3581" w:type="dxa"/>
          </w:tcPr>
          <w:p w14:paraId="3A119059" w14:textId="77777777" w:rsidR="00FC670E" w:rsidRDefault="00FC670E" w:rsidP="00627B10">
            <w:pPr>
              <w:pStyle w:val="TableText"/>
            </w:pPr>
            <w:r>
              <w:t>Baseline Consumption per year (kWh/year/unit):</w:t>
            </w:r>
          </w:p>
          <w:p w14:paraId="4EDB6A24" w14:textId="77777777" w:rsidR="00FC670E" w:rsidRDefault="00FC670E" w:rsidP="00627B10">
            <w:pPr>
              <w:pStyle w:val="TableBullet1"/>
            </w:pPr>
            <w:r w:rsidRPr="00167A10">
              <w:t>HPS Lamp, 400W</w:t>
            </w:r>
          </w:p>
          <w:p w14:paraId="5283CFAD" w14:textId="77777777" w:rsidR="00FC670E" w:rsidRDefault="00FC670E" w:rsidP="00627B10">
            <w:pPr>
              <w:pStyle w:val="TableBullet1"/>
            </w:pPr>
            <w:r w:rsidRPr="00167A10">
              <w:t>HPS Lamp, 250 W</w:t>
            </w:r>
          </w:p>
          <w:p w14:paraId="25C30F91" w14:textId="77777777" w:rsidR="00FC670E" w:rsidRDefault="00FC670E" w:rsidP="00627B10">
            <w:pPr>
              <w:pStyle w:val="TableBullet1"/>
            </w:pPr>
            <w:r w:rsidRPr="00167A10">
              <w:t>HPS Lamp, 100 W</w:t>
            </w:r>
          </w:p>
          <w:p w14:paraId="473900D9" w14:textId="77777777" w:rsidR="00FC670E" w:rsidRPr="00762E33" w:rsidRDefault="00FC670E" w:rsidP="00627B10">
            <w:pPr>
              <w:pStyle w:val="TableBullet1"/>
            </w:pPr>
            <w:r w:rsidRPr="00167A10">
              <w:t>HPS Lamp, 50 W</w:t>
            </w:r>
          </w:p>
        </w:tc>
        <w:tc>
          <w:tcPr>
            <w:tcW w:w="5388" w:type="dxa"/>
            <w:gridSpan w:val="6"/>
            <w:shd w:val="clear" w:color="auto" w:fill="FFFFFF" w:themeFill="background1"/>
            <w:vAlign w:val="center"/>
          </w:tcPr>
          <w:p w14:paraId="70E25022" w14:textId="77777777" w:rsidR="00FC670E" w:rsidRDefault="00FC670E" w:rsidP="00627B10">
            <w:pPr>
              <w:pStyle w:val="TableBullet1"/>
              <w:jc w:val="center"/>
            </w:pPr>
            <w:r w:rsidRPr="00167A10">
              <w:t>2032</w:t>
            </w:r>
          </w:p>
          <w:p w14:paraId="3529173F" w14:textId="77777777" w:rsidR="00FC670E" w:rsidRDefault="00FC670E" w:rsidP="00627B10">
            <w:pPr>
              <w:pStyle w:val="TableBullet1"/>
              <w:jc w:val="center"/>
            </w:pPr>
            <w:r w:rsidRPr="00167A10">
              <w:t>1314</w:t>
            </w:r>
          </w:p>
          <w:p w14:paraId="046D9F23" w14:textId="77777777" w:rsidR="00FC670E" w:rsidRDefault="00FC670E" w:rsidP="00627B10">
            <w:pPr>
              <w:pStyle w:val="TableBullet1"/>
              <w:jc w:val="center"/>
            </w:pPr>
            <w:r>
              <w:t xml:space="preserve">  </w:t>
            </w:r>
            <w:r w:rsidRPr="00167A10">
              <w:t>517</w:t>
            </w:r>
          </w:p>
          <w:p w14:paraId="7C7EAD9F" w14:textId="77777777" w:rsidR="00FC670E" w:rsidRDefault="00FC670E" w:rsidP="00627B10">
            <w:pPr>
              <w:pStyle w:val="TableBullet1"/>
              <w:jc w:val="center"/>
            </w:pPr>
            <w:r>
              <w:t xml:space="preserve">  </w:t>
            </w:r>
            <w:r w:rsidRPr="00167A10">
              <w:t>263</w:t>
            </w:r>
          </w:p>
        </w:tc>
      </w:tr>
      <w:tr w:rsidR="00FC670E" w:rsidRPr="00762E33" w14:paraId="7C6E0DF0" w14:textId="77777777" w:rsidTr="00627B10">
        <w:trPr>
          <w:trHeight w:val="372"/>
        </w:trPr>
        <w:tc>
          <w:tcPr>
            <w:tcW w:w="3581" w:type="dxa"/>
          </w:tcPr>
          <w:p w14:paraId="43DD3677" w14:textId="77777777" w:rsidR="00FC670E" w:rsidRDefault="00FC670E" w:rsidP="00627B10">
            <w:pPr>
              <w:pStyle w:val="TableText"/>
            </w:pPr>
            <w:r>
              <w:t>Project Consumption per year per technology (kWh/year/unit):</w:t>
            </w:r>
          </w:p>
          <w:p w14:paraId="187F48F4" w14:textId="77777777" w:rsidR="00FC670E" w:rsidRDefault="00FC670E" w:rsidP="00627B10">
            <w:pPr>
              <w:pStyle w:val="TableBullet1"/>
            </w:pPr>
            <w:r w:rsidRPr="00167A10">
              <w:t>HPS Lamp, 400W</w:t>
            </w:r>
          </w:p>
          <w:p w14:paraId="661E6452" w14:textId="77777777" w:rsidR="00FC670E" w:rsidRDefault="00FC670E" w:rsidP="00627B10">
            <w:pPr>
              <w:pStyle w:val="TableBullet1"/>
            </w:pPr>
            <w:r w:rsidRPr="00167A10">
              <w:t>HPS Lamp, 250 W</w:t>
            </w:r>
          </w:p>
          <w:p w14:paraId="36FB9A05" w14:textId="77777777" w:rsidR="00FC670E" w:rsidRDefault="00FC670E" w:rsidP="00627B10">
            <w:pPr>
              <w:pStyle w:val="TableBullet1"/>
            </w:pPr>
            <w:r w:rsidRPr="00167A10">
              <w:t>HPS Lamp, 100 W</w:t>
            </w:r>
          </w:p>
          <w:p w14:paraId="6D5091CC" w14:textId="77777777" w:rsidR="00FC670E" w:rsidRPr="00762E33" w:rsidRDefault="00FC670E" w:rsidP="00627B10">
            <w:pPr>
              <w:pStyle w:val="TableBullet1"/>
            </w:pPr>
            <w:r w:rsidRPr="00167A10">
              <w:t>HPS Lamp, 50 W</w:t>
            </w:r>
          </w:p>
        </w:tc>
        <w:tc>
          <w:tcPr>
            <w:tcW w:w="5388" w:type="dxa"/>
            <w:gridSpan w:val="6"/>
            <w:shd w:val="clear" w:color="auto" w:fill="FFFFFF" w:themeFill="background1"/>
            <w:vAlign w:val="center"/>
          </w:tcPr>
          <w:p w14:paraId="46F63319" w14:textId="77777777" w:rsidR="00FC670E" w:rsidRDefault="00FC670E" w:rsidP="00627B10">
            <w:pPr>
              <w:pStyle w:val="TableBullet1"/>
              <w:jc w:val="center"/>
            </w:pPr>
            <w:r>
              <w:t>1016</w:t>
            </w:r>
          </w:p>
          <w:p w14:paraId="6E1326D0" w14:textId="77777777" w:rsidR="00FC670E" w:rsidRDefault="00FC670E" w:rsidP="00627B10">
            <w:pPr>
              <w:pStyle w:val="TableBullet1"/>
              <w:jc w:val="center"/>
            </w:pPr>
            <w:r>
              <w:t xml:space="preserve"> 657</w:t>
            </w:r>
          </w:p>
          <w:p w14:paraId="6FC4E681" w14:textId="77777777" w:rsidR="00FC670E" w:rsidRDefault="00FC670E" w:rsidP="00627B10">
            <w:pPr>
              <w:pStyle w:val="TableBullet1"/>
              <w:jc w:val="center"/>
            </w:pPr>
            <w:r>
              <w:t xml:space="preserve"> 258</w:t>
            </w:r>
          </w:p>
          <w:p w14:paraId="6FCBE71C" w14:textId="77777777" w:rsidR="00FC670E" w:rsidRDefault="00FC670E" w:rsidP="00627B10">
            <w:pPr>
              <w:pStyle w:val="TableBullet1"/>
              <w:jc w:val="center"/>
            </w:pPr>
            <w:r>
              <w:t xml:space="preserve"> 131</w:t>
            </w:r>
          </w:p>
        </w:tc>
      </w:tr>
      <w:tr w:rsidR="00FC670E" w:rsidRPr="00762E33" w14:paraId="48478E77" w14:textId="77777777" w:rsidTr="00627B10">
        <w:trPr>
          <w:trHeight w:val="160"/>
        </w:trPr>
        <w:tc>
          <w:tcPr>
            <w:tcW w:w="3581" w:type="dxa"/>
          </w:tcPr>
          <w:p w14:paraId="25199844" w14:textId="77777777" w:rsidR="00FC670E" w:rsidRPr="00762E33" w:rsidRDefault="00FC670E" w:rsidP="00627B10">
            <w:pPr>
              <w:pStyle w:val="TableText"/>
            </w:pPr>
            <w:r>
              <w:t>Life time of lamps (years)</w:t>
            </w:r>
          </w:p>
        </w:tc>
        <w:tc>
          <w:tcPr>
            <w:tcW w:w="5388" w:type="dxa"/>
            <w:gridSpan w:val="6"/>
            <w:shd w:val="clear" w:color="auto" w:fill="FFFFFF" w:themeFill="background1"/>
            <w:vAlign w:val="center"/>
          </w:tcPr>
          <w:p w14:paraId="61F327B7" w14:textId="77777777" w:rsidR="00FC670E" w:rsidRDefault="00FC670E" w:rsidP="00627B10">
            <w:pPr>
              <w:pStyle w:val="TableText"/>
              <w:jc w:val="center"/>
            </w:pPr>
            <w:r>
              <w:t xml:space="preserve">11.42 </w:t>
            </w:r>
          </w:p>
        </w:tc>
      </w:tr>
      <w:tr w:rsidR="00FC670E" w:rsidRPr="00762E33" w14:paraId="02995EDB" w14:textId="77777777" w:rsidTr="00627B10">
        <w:trPr>
          <w:trHeight w:val="42"/>
        </w:trPr>
        <w:tc>
          <w:tcPr>
            <w:tcW w:w="3581" w:type="dxa"/>
          </w:tcPr>
          <w:p w14:paraId="7C315626" w14:textId="77777777" w:rsidR="00FC670E" w:rsidRDefault="00FC670E" w:rsidP="00627B10">
            <w:pPr>
              <w:pStyle w:val="TableText"/>
              <w:keepNext/>
            </w:pPr>
            <w:r w:rsidRPr="00762E33">
              <w:t xml:space="preserve">Avoided cost of </w:t>
            </w:r>
            <w:r>
              <w:t>electricity expenditures (US$)</w:t>
            </w:r>
          </w:p>
          <w:p w14:paraId="0BC2F7BA" w14:textId="77777777" w:rsidR="00FC670E" w:rsidRPr="00762E33" w:rsidRDefault="00FC670E" w:rsidP="00627B10">
            <w:pPr>
              <w:pStyle w:val="TableText"/>
            </w:pPr>
          </w:p>
        </w:tc>
        <w:tc>
          <w:tcPr>
            <w:tcW w:w="1022" w:type="dxa"/>
            <w:shd w:val="clear" w:color="auto" w:fill="A6A6A6" w:themeFill="background1" w:themeFillShade="A6"/>
          </w:tcPr>
          <w:p w14:paraId="51A66114" w14:textId="77777777" w:rsidR="00FC670E" w:rsidRPr="00762E33" w:rsidRDefault="00FC670E" w:rsidP="00627B10">
            <w:pPr>
              <w:pStyle w:val="TableText"/>
            </w:pPr>
          </w:p>
        </w:tc>
        <w:tc>
          <w:tcPr>
            <w:tcW w:w="900" w:type="dxa"/>
          </w:tcPr>
          <w:p w14:paraId="76E7132E" w14:textId="77777777" w:rsidR="00FC670E" w:rsidRDefault="00FC670E" w:rsidP="00627B10">
            <w:pPr>
              <w:pStyle w:val="TableText"/>
            </w:pPr>
            <w:r>
              <w:t>0.26</w:t>
            </w:r>
            <w:r>
              <w:rPr>
                <w:rStyle w:val="FootnoteReference"/>
              </w:rPr>
              <w:footnoteReference w:id="8"/>
            </w:r>
          </w:p>
        </w:tc>
        <w:tc>
          <w:tcPr>
            <w:tcW w:w="868" w:type="dxa"/>
            <w:shd w:val="clear" w:color="auto" w:fill="A6A6A6" w:themeFill="background1" w:themeFillShade="A6"/>
          </w:tcPr>
          <w:p w14:paraId="19D7C087" w14:textId="77777777" w:rsidR="00FC670E" w:rsidRDefault="00FC670E" w:rsidP="00627B10">
            <w:pPr>
              <w:pStyle w:val="TableText"/>
            </w:pPr>
          </w:p>
        </w:tc>
        <w:tc>
          <w:tcPr>
            <w:tcW w:w="842" w:type="dxa"/>
            <w:shd w:val="clear" w:color="auto" w:fill="A6A6A6" w:themeFill="background1" w:themeFillShade="A6"/>
          </w:tcPr>
          <w:p w14:paraId="0501B56B" w14:textId="77777777" w:rsidR="00FC670E" w:rsidRDefault="00FC670E" w:rsidP="00627B10">
            <w:pPr>
              <w:pStyle w:val="TableText"/>
            </w:pPr>
          </w:p>
        </w:tc>
        <w:tc>
          <w:tcPr>
            <w:tcW w:w="867" w:type="dxa"/>
          </w:tcPr>
          <w:p w14:paraId="2D996A17" w14:textId="77777777" w:rsidR="00FC670E" w:rsidRDefault="00FC670E" w:rsidP="00627B10">
            <w:pPr>
              <w:pStyle w:val="TableText"/>
            </w:pPr>
            <w:r>
              <w:t>0.39</w:t>
            </w:r>
            <w:r>
              <w:rPr>
                <w:rStyle w:val="FootnoteReference"/>
              </w:rPr>
              <w:footnoteReference w:id="9"/>
            </w:r>
          </w:p>
        </w:tc>
        <w:tc>
          <w:tcPr>
            <w:tcW w:w="889" w:type="dxa"/>
            <w:shd w:val="clear" w:color="auto" w:fill="A6A6A6" w:themeFill="background1" w:themeFillShade="A6"/>
          </w:tcPr>
          <w:p w14:paraId="7187D23D" w14:textId="77777777" w:rsidR="00FC670E" w:rsidRDefault="00FC670E" w:rsidP="00627B10">
            <w:pPr>
              <w:pStyle w:val="TableText"/>
            </w:pPr>
          </w:p>
        </w:tc>
      </w:tr>
    </w:tbl>
    <w:p w14:paraId="50D8B23A" w14:textId="77777777" w:rsidR="00FC670E" w:rsidRDefault="00FC670E" w:rsidP="00FC670E">
      <w:pPr>
        <w:pStyle w:val="TableorFigureEnd"/>
      </w:pPr>
    </w:p>
    <w:p w14:paraId="4F387BEE" w14:textId="7C0CCC71" w:rsidR="00DC2A62" w:rsidRDefault="00FC670E" w:rsidP="00030536">
      <w:pPr>
        <w:pStyle w:val="BodyText"/>
      </w:pPr>
      <w:r>
        <w:lastRenderedPageBreak/>
        <w:t>The results of the CBA and the financial analysis</w:t>
      </w:r>
      <w:r w:rsidR="00DC2A62">
        <w:t xml:space="preserve"> </w:t>
      </w:r>
      <w:r w:rsidR="00894794">
        <w:t>were</w:t>
      </w:r>
      <w:r w:rsidR="00DC2A62">
        <w:t xml:space="preserve"> used to establish the targets for measuring the results of the Program. This ensure</w:t>
      </w:r>
      <w:r w:rsidR="00894794">
        <w:t>s</w:t>
      </w:r>
      <w:r w:rsidR="00DC2A62">
        <w:t xml:space="preserve"> the targets set in the Evaluation Plan coincide with the goals established during the design and approval of the Program. Specifically, the targets for percentage decrease in CO2 emissions and savings in electricity consumption and expenditure </w:t>
      </w:r>
      <w:r w:rsidR="00E94A46">
        <w:t>are</w:t>
      </w:r>
      <w:r w:rsidR="00DC2A62">
        <w:t xml:space="preserve"> based on the estimates used to calculate the CBA. The targets for the percentage decrease in cost of electricity service will be based on the projected cost of electricity service calculated in the financial model</w:t>
      </w:r>
      <w:r w:rsidR="00152C26">
        <w:t>.</w:t>
      </w:r>
    </w:p>
    <w:p w14:paraId="44F7449C" w14:textId="77777777" w:rsidR="00995E3A" w:rsidRPr="00995E3A" w:rsidRDefault="00161274" w:rsidP="00064C93">
      <w:pPr>
        <w:pStyle w:val="Heading2"/>
        <w:rPr>
          <w:lang w:eastAsia="ja-JP"/>
        </w:rPr>
      </w:pPr>
      <w:bookmarkStart w:id="28" w:name="_Ref422463875"/>
      <w:bookmarkStart w:id="29" w:name="_Toc424286978"/>
      <w:r>
        <w:rPr>
          <w:lang w:eastAsia="ja-JP"/>
        </w:rPr>
        <w:t>Outcome Indicators</w:t>
      </w:r>
      <w:bookmarkEnd w:id="28"/>
      <w:bookmarkEnd w:id="29"/>
    </w:p>
    <w:p w14:paraId="5D0FE4C5" w14:textId="77777777" w:rsidR="0036024E" w:rsidRDefault="003D63CA" w:rsidP="00030536">
      <w:pPr>
        <w:pStyle w:val="BodyText"/>
      </w:pPr>
      <w:r>
        <w:fldChar w:fldCharType="begin"/>
      </w:r>
      <w:r>
        <w:instrText xml:space="preserve"> REF _Ref422467806 \h </w:instrText>
      </w:r>
      <w:r>
        <w:fldChar w:fldCharType="separate"/>
      </w:r>
      <w:r w:rsidR="006745B9">
        <w:t xml:space="preserve">Table </w:t>
      </w:r>
      <w:r w:rsidR="006745B9">
        <w:rPr>
          <w:noProof/>
        </w:rPr>
        <w:t>3</w:t>
      </w:r>
      <w:r w:rsidR="006745B9">
        <w:t>.</w:t>
      </w:r>
      <w:r w:rsidR="006745B9">
        <w:rPr>
          <w:noProof/>
        </w:rPr>
        <w:t>1</w:t>
      </w:r>
      <w:r>
        <w:fldChar w:fldCharType="end"/>
      </w:r>
      <w:r>
        <w:t xml:space="preserve"> presents the indicators that will be used to measure whether the Program achieved its intended </w:t>
      </w:r>
      <w:r w:rsidR="0036024E">
        <w:t xml:space="preserve">outcomes. </w:t>
      </w:r>
      <w:r w:rsidR="0036024E" w:rsidRPr="00F54C08">
        <w:t xml:space="preserve">Due to the long maturities associated to these projects, </w:t>
      </w:r>
      <w:r w:rsidR="0036024E">
        <w:t>p</w:t>
      </w:r>
      <w:r w:rsidR="0036024E" w:rsidRPr="00F54C08">
        <w:t xml:space="preserve">rojects financed </w:t>
      </w:r>
      <w:r w:rsidR="0036024E">
        <w:t>from early exploration</w:t>
      </w:r>
      <w:r w:rsidR="0036024E" w:rsidRPr="00F54C08">
        <w:t xml:space="preserve"> </w:t>
      </w:r>
      <w:r w:rsidR="0036024E">
        <w:t>may not be fully operational until past the timeframe of evaluation</w:t>
      </w:r>
      <w:r w:rsidR="00643A33">
        <w:t xml:space="preserve">. Therefore, </w:t>
      </w:r>
      <w:r w:rsidR="00DC2611">
        <w:t>for those cases,</w:t>
      </w:r>
      <w:r w:rsidR="00182B49">
        <w:t xml:space="preserve"> some indicators will </w:t>
      </w:r>
      <w:r w:rsidR="0036024E">
        <w:t>be estimated</w:t>
      </w:r>
      <w:r w:rsidR="00DC2611">
        <w:t xml:space="preserve"> based on expected future outcomes</w:t>
      </w:r>
      <w:r w:rsidR="0036024E">
        <w:t xml:space="preserve"> A note is included signaling the indicators for which this is the case. </w:t>
      </w:r>
      <w:r w:rsidR="00182B49">
        <w:t>T</w:t>
      </w:r>
      <w:r w:rsidR="0036024E">
        <w:t xml:space="preserve">he basis for estimating indicator values </w:t>
      </w:r>
      <w:r w:rsidR="00182B49">
        <w:t xml:space="preserve">is included in the source description. </w:t>
      </w:r>
      <w:r w:rsidR="0036024E">
        <w:t xml:space="preserve"> </w:t>
      </w:r>
    </w:p>
    <w:p w14:paraId="45C83A13" w14:textId="77777777" w:rsidR="00123C6C" w:rsidRDefault="003D63CA" w:rsidP="00C977C3">
      <w:pPr>
        <w:pStyle w:val="Caption"/>
        <w:keepNext/>
      </w:pPr>
      <w:bookmarkStart w:id="30" w:name="_Ref422467806"/>
      <w:bookmarkStart w:id="31" w:name="_Toc423458254"/>
      <w:r>
        <w:t xml:space="preserve">Table </w:t>
      </w:r>
      <w:r w:rsidR="007A04D5">
        <w:fldChar w:fldCharType="begin"/>
      </w:r>
      <w:r w:rsidR="007A04D5">
        <w:instrText xml:space="preserve"> STYLEREF 1 \s </w:instrText>
      </w:r>
      <w:r w:rsidR="007A04D5">
        <w:fldChar w:fldCharType="separate"/>
      </w:r>
      <w:r w:rsidR="006745B9">
        <w:rPr>
          <w:noProof/>
        </w:rPr>
        <w:t>3</w:t>
      </w:r>
      <w:r w:rsidR="007A04D5">
        <w:rPr>
          <w:noProof/>
        </w:rPr>
        <w:fldChar w:fldCharType="end"/>
      </w:r>
      <w:r>
        <w:t>.</w:t>
      </w:r>
      <w:fldSimple w:instr=" SEQ Table \* ARABIC \s 1 ">
        <w:r w:rsidR="006745B9">
          <w:rPr>
            <w:noProof/>
          </w:rPr>
          <w:t>1</w:t>
        </w:r>
      </w:fldSimple>
      <w:bookmarkEnd w:id="30"/>
      <w:r>
        <w:t>: Key Results Indictors</w:t>
      </w:r>
      <w:bookmarkEnd w:id="31"/>
    </w:p>
    <w:tbl>
      <w:tblPr>
        <w:tblStyle w:val="TableGrid"/>
        <w:tblW w:w="0" w:type="auto"/>
        <w:jc w:val="left"/>
        <w:tblInd w:w="-23" w:type="dxa"/>
        <w:tblLook w:val="04A0" w:firstRow="1" w:lastRow="0" w:firstColumn="1" w:lastColumn="0" w:noHBand="0" w:noVBand="1"/>
      </w:tblPr>
      <w:tblGrid>
        <w:gridCol w:w="23"/>
        <w:gridCol w:w="2167"/>
        <w:gridCol w:w="2167"/>
        <w:gridCol w:w="2168"/>
        <w:gridCol w:w="2293"/>
        <w:gridCol w:w="23"/>
      </w:tblGrid>
      <w:tr w:rsidR="00123C6C" w14:paraId="05635B27" w14:textId="77777777" w:rsidTr="005C08C9">
        <w:trPr>
          <w:gridBefore w:val="1"/>
          <w:wBefore w:w="23" w:type="dxa"/>
          <w:jc w:val="left"/>
        </w:trPr>
        <w:tc>
          <w:tcPr>
            <w:tcW w:w="2167" w:type="dxa"/>
            <w:shd w:val="clear" w:color="auto" w:fill="D9D9D9" w:themeFill="background1" w:themeFillShade="D9"/>
          </w:tcPr>
          <w:p w14:paraId="2D68C2F2" w14:textId="77777777" w:rsidR="00123C6C" w:rsidRPr="00C04A11" w:rsidRDefault="00166E8C" w:rsidP="00C977C3">
            <w:pPr>
              <w:pStyle w:val="TableText"/>
              <w:keepNext/>
              <w:spacing w:after="120"/>
              <w:jc w:val="center"/>
              <w:rPr>
                <w:b/>
              </w:rPr>
            </w:pPr>
            <w:r>
              <w:rPr>
                <w:b/>
              </w:rPr>
              <w:t xml:space="preserve">Results </w:t>
            </w:r>
            <w:r w:rsidR="00123C6C" w:rsidRPr="00C04A11">
              <w:rPr>
                <w:b/>
              </w:rPr>
              <w:t>Indicator</w:t>
            </w:r>
          </w:p>
        </w:tc>
        <w:tc>
          <w:tcPr>
            <w:tcW w:w="2167" w:type="dxa"/>
            <w:shd w:val="clear" w:color="auto" w:fill="D9D9D9" w:themeFill="background1" w:themeFillShade="D9"/>
          </w:tcPr>
          <w:p w14:paraId="270B81CD" w14:textId="77777777" w:rsidR="00A93C21" w:rsidRDefault="00F95A05" w:rsidP="00C977C3">
            <w:pPr>
              <w:pStyle w:val="TableText"/>
              <w:keepNext/>
              <w:spacing w:after="120"/>
              <w:jc w:val="center"/>
              <w:rPr>
                <w:b/>
              </w:rPr>
            </w:pPr>
            <w:r w:rsidRPr="00C04A11">
              <w:rPr>
                <w:b/>
              </w:rPr>
              <w:t>Unit</w:t>
            </w:r>
          </w:p>
          <w:p w14:paraId="7F7F5EAD" w14:textId="77777777" w:rsidR="00123C6C" w:rsidRPr="00C04A11" w:rsidRDefault="00F95A05" w:rsidP="00C977C3">
            <w:pPr>
              <w:pStyle w:val="TableText"/>
              <w:keepNext/>
              <w:spacing w:after="120"/>
              <w:jc w:val="center"/>
              <w:rPr>
                <w:b/>
              </w:rPr>
            </w:pPr>
            <w:r w:rsidRPr="00C04A11">
              <w:rPr>
                <w:b/>
              </w:rPr>
              <w:t>/Description</w:t>
            </w:r>
          </w:p>
        </w:tc>
        <w:tc>
          <w:tcPr>
            <w:tcW w:w="2168" w:type="dxa"/>
            <w:shd w:val="clear" w:color="auto" w:fill="D9D9D9" w:themeFill="background1" w:themeFillShade="D9"/>
          </w:tcPr>
          <w:p w14:paraId="545FFE72" w14:textId="77777777" w:rsidR="00123C6C" w:rsidRPr="00C04A11" w:rsidRDefault="00123C6C" w:rsidP="00C977C3">
            <w:pPr>
              <w:pStyle w:val="TableText"/>
              <w:keepNext/>
              <w:spacing w:after="120"/>
              <w:jc w:val="center"/>
              <w:rPr>
                <w:b/>
              </w:rPr>
            </w:pPr>
            <w:r w:rsidRPr="00C04A11">
              <w:rPr>
                <w:b/>
              </w:rPr>
              <w:t>Frequency of Measurement</w:t>
            </w:r>
          </w:p>
        </w:tc>
        <w:tc>
          <w:tcPr>
            <w:tcW w:w="2316" w:type="dxa"/>
            <w:gridSpan w:val="2"/>
            <w:shd w:val="clear" w:color="auto" w:fill="D9D9D9" w:themeFill="background1" w:themeFillShade="D9"/>
          </w:tcPr>
          <w:p w14:paraId="01B12EF7" w14:textId="77777777" w:rsidR="00123C6C" w:rsidRPr="00C04A11" w:rsidRDefault="00123C6C" w:rsidP="00C977C3">
            <w:pPr>
              <w:pStyle w:val="TableText"/>
              <w:keepNext/>
              <w:spacing w:after="120"/>
              <w:jc w:val="center"/>
              <w:rPr>
                <w:b/>
              </w:rPr>
            </w:pPr>
            <w:r w:rsidRPr="00C04A11">
              <w:rPr>
                <w:b/>
              </w:rPr>
              <w:t>Source</w:t>
            </w:r>
            <w:r w:rsidR="00A63168">
              <w:rPr>
                <w:b/>
              </w:rPr>
              <w:t xml:space="preserve"> of Verification</w:t>
            </w:r>
          </w:p>
        </w:tc>
      </w:tr>
      <w:tr w:rsidR="005C08C9" w:rsidRPr="00A21727" w14:paraId="154A0536" w14:textId="77777777" w:rsidTr="005C08C9">
        <w:tblPrEx>
          <w:jc w:val="center"/>
          <w:tblBorders>
            <w:insideH w:val="single" w:sz="4" w:space="0" w:color="000000"/>
            <w:insideV w:val="single" w:sz="4" w:space="0" w:color="000000"/>
          </w:tblBorders>
        </w:tblPrEx>
        <w:trPr>
          <w:gridAfter w:val="1"/>
          <w:wAfter w:w="23" w:type="dxa"/>
          <w:trHeight w:val="68"/>
        </w:trPr>
        <w:tc>
          <w:tcPr>
            <w:tcW w:w="8818" w:type="dxa"/>
            <w:gridSpan w:val="5"/>
            <w:shd w:val="clear" w:color="auto" w:fill="BFBFBF"/>
            <w:hideMark/>
          </w:tcPr>
          <w:p w14:paraId="351F854F" w14:textId="77777777" w:rsidR="005C08C9" w:rsidRPr="00A21727" w:rsidRDefault="005C08C9" w:rsidP="003563FA">
            <w:pPr>
              <w:pStyle w:val="TableText"/>
              <w:rPr>
                <w:rFonts w:ascii="Times New Roman" w:hAnsi="Times New Roman"/>
                <w:b/>
                <w:sz w:val="20"/>
              </w:rPr>
            </w:pPr>
            <w:r w:rsidRPr="00A21727">
              <w:rPr>
                <w:b/>
                <w:sz w:val="20"/>
              </w:rPr>
              <w:t>Component I: Energy Efficiency</w:t>
            </w:r>
          </w:p>
        </w:tc>
      </w:tr>
      <w:tr w:rsidR="00155162" w14:paraId="780953C9" w14:textId="77777777" w:rsidTr="005C08C9">
        <w:trPr>
          <w:gridBefore w:val="1"/>
          <w:wBefore w:w="23" w:type="dxa"/>
          <w:jc w:val="left"/>
        </w:trPr>
        <w:tc>
          <w:tcPr>
            <w:tcW w:w="2167" w:type="dxa"/>
          </w:tcPr>
          <w:p w14:paraId="4FAC9B18" w14:textId="77777777" w:rsidR="00155162" w:rsidRDefault="00C20209" w:rsidP="00C20209">
            <w:pPr>
              <w:pStyle w:val="TableText"/>
              <w:keepNext/>
            </w:pPr>
            <w:r>
              <w:t>Reduction in electricity consumption from P</w:t>
            </w:r>
            <w:r w:rsidR="00155162" w:rsidRPr="002606D8">
              <w:t>ublic Lighting</w:t>
            </w:r>
            <w:r>
              <w:t xml:space="preserve"> sectors </w:t>
            </w:r>
            <w:r w:rsidR="00155162" w:rsidRPr="002606D8">
              <w:t xml:space="preserve"> </w:t>
            </w:r>
            <w:r w:rsidR="00A93C21">
              <w:t>with</w:t>
            </w:r>
            <w:r w:rsidR="00A93C21" w:rsidRPr="002606D8">
              <w:t xml:space="preserve"> </w:t>
            </w:r>
            <w:r w:rsidR="00A93C21">
              <w:t xml:space="preserve">EE </w:t>
            </w:r>
            <w:r w:rsidR="00155162" w:rsidRPr="002606D8">
              <w:t>projects financed by the Program</w:t>
            </w:r>
          </w:p>
        </w:tc>
        <w:tc>
          <w:tcPr>
            <w:tcW w:w="2167" w:type="dxa"/>
          </w:tcPr>
          <w:p w14:paraId="05B9610F" w14:textId="6F5770A3" w:rsidR="00155162" w:rsidRDefault="00A012A6" w:rsidP="0055003C">
            <w:pPr>
              <w:pStyle w:val="TableText"/>
              <w:keepNext/>
            </w:pPr>
            <w:r w:rsidRPr="00A012A6">
              <w:t>GWh/year</w:t>
            </w:r>
          </w:p>
          <w:p w14:paraId="601C3B22" w14:textId="088902E5" w:rsidR="00155162" w:rsidRDefault="00A012A6" w:rsidP="00A012A6">
            <w:pPr>
              <w:pStyle w:val="TableText"/>
              <w:keepNext/>
            </w:pPr>
            <w:r w:rsidRPr="00A012A6">
              <w:t xml:space="preserve">Electricity saved by EE applications, measures </w:t>
            </w:r>
            <w:r>
              <w:t>and</w:t>
            </w:r>
            <w:r w:rsidRPr="00A012A6">
              <w:t xml:space="preserve"> programs  </w:t>
            </w:r>
          </w:p>
        </w:tc>
        <w:tc>
          <w:tcPr>
            <w:tcW w:w="2168" w:type="dxa"/>
          </w:tcPr>
          <w:p w14:paraId="36156A7C" w14:textId="26912E9F" w:rsidR="00155162" w:rsidRPr="00213D35" w:rsidRDefault="00155162" w:rsidP="005C08C9">
            <w:pPr>
              <w:pStyle w:val="TableText"/>
              <w:keepNext/>
            </w:pPr>
            <w:r w:rsidRPr="00213D35">
              <w:t>Semiannually</w:t>
            </w:r>
            <w:r w:rsidR="000D4FAD">
              <w:t xml:space="preserve"> </w:t>
            </w:r>
            <w:r w:rsidR="00C977C3">
              <w:t xml:space="preserve">and </w:t>
            </w:r>
            <w:r w:rsidR="005928E8" w:rsidRPr="00AA13C8">
              <w:t xml:space="preserve">at the end of </w:t>
            </w:r>
            <w:r w:rsidR="005928E8">
              <w:t xml:space="preserve">the </w:t>
            </w:r>
            <w:r w:rsidR="000C4B2F">
              <w:t>e</w:t>
            </w:r>
            <w:r w:rsidR="005928E8" w:rsidRPr="00AA13C8">
              <w:t xml:space="preserve">xecution period </w:t>
            </w:r>
          </w:p>
        </w:tc>
        <w:tc>
          <w:tcPr>
            <w:tcW w:w="2316" w:type="dxa"/>
            <w:gridSpan w:val="2"/>
          </w:tcPr>
          <w:p w14:paraId="6EA2D66F" w14:textId="77777777" w:rsidR="00155162" w:rsidRPr="00213D35" w:rsidRDefault="00155162" w:rsidP="00C66188">
            <w:pPr>
              <w:pStyle w:val="TableText"/>
              <w:keepNext/>
            </w:pPr>
            <w:r>
              <w:t>EA report based on utility sales report</w:t>
            </w:r>
            <w:r w:rsidR="00FD53B2">
              <w:t xml:space="preserve">s </w:t>
            </w:r>
          </w:p>
        </w:tc>
      </w:tr>
      <w:tr w:rsidR="003E47DB" w14:paraId="0308564D" w14:textId="77777777" w:rsidTr="005C08C9">
        <w:trPr>
          <w:gridBefore w:val="1"/>
          <w:wBefore w:w="23" w:type="dxa"/>
          <w:jc w:val="left"/>
        </w:trPr>
        <w:tc>
          <w:tcPr>
            <w:tcW w:w="2167" w:type="dxa"/>
            <w:vAlign w:val="center"/>
          </w:tcPr>
          <w:p w14:paraId="3EFCF3ED" w14:textId="6BE306E7" w:rsidR="003E47DB" w:rsidRDefault="003E47DB" w:rsidP="00953A02">
            <w:pPr>
              <w:pStyle w:val="TableText"/>
            </w:pPr>
            <w:r w:rsidRPr="003E47DB">
              <w:t>Reduction in imports of fossil fuels for electricity generation in EC countries due to EE projects financed at any stage by the Program</w:t>
            </w:r>
          </w:p>
        </w:tc>
        <w:tc>
          <w:tcPr>
            <w:tcW w:w="2167" w:type="dxa"/>
            <w:vAlign w:val="center"/>
          </w:tcPr>
          <w:p w14:paraId="418602FF" w14:textId="1E1A910D" w:rsidR="003E47DB" w:rsidRDefault="003E47DB" w:rsidP="002C478A">
            <w:pPr>
              <w:pStyle w:val="TableText"/>
            </w:pPr>
            <w:r w:rsidRPr="003E47DB">
              <w:t>Thousand barrels of oil</w:t>
            </w:r>
          </w:p>
          <w:p w14:paraId="7C3B6627" w14:textId="77777777" w:rsidR="003E47DB" w:rsidRPr="008D78C7" w:rsidRDefault="003E47DB" w:rsidP="002C478A">
            <w:pPr>
              <w:pStyle w:val="TableText"/>
            </w:pPr>
          </w:p>
          <w:p w14:paraId="09269FC5" w14:textId="4A5BCFEE" w:rsidR="003E47DB" w:rsidRDefault="003E47DB" w:rsidP="00244924">
            <w:pPr>
              <w:pStyle w:val="TableText"/>
            </w:pPr>
            <w:r w:rsidRPr="003E47DB">
              <w:t>Reduction in imports of fossil fuels for electricity generation</w:t>
            </w:r>
          </w:p>
        </w:tc>
        <w:tc>
          <w:tcPr>
            <w:tcW w:w="2168" w:type="dxa"/>
          </w:tcPr>
          <w:p w14:paraId="29CC05C9" w14:textId="04CC16B3" w:rsidR="003E47DB" w:rsidRPr="00601D40" w:rsidRDefault="005C08C9" w:rsidP="003E47DB">
            <w:pPr>
              <w:pStyle w:val="TableText"/>
            </w:pPr>
            <w:r w:rsidRPr="00213D35">
              <w:t>Semiannually</w:t>
            </w:r>
            <w:r>
              <w:t xml:space="preserve"> and </w:t>
            </w:r>
            <w:r w:rsidRPr="00AA13C8">
              <w:t xml:space="preserve">at the end of </w:t>
            </w:r>
            <w:r>
              <w:t>the e</w:t>
            </w:r>
            <w:r w:rsidRPr="00AA13C8">
              <w:t>xecution period</w:t>
            </w:r>
          </w:p>
        </w:tc>
        <w:tc>
          <w:tcPr>
            <w:tcW w:w="2316" w:type="dxa"/>
            <w:gridSpan w:val="2"/>
          </w:tcPr>
          <w:p w14:paraId="5D422AE0" w14:textId="3B9B4FAB" w:rsidR="003E47DB" w:rsidRPr="00F54C08" w:rsidRDefault="003E47DB" w:rsidP="002C478A">
            <w:pPr>
              <w:pStyle w:val="TableText"/>
            </w:pPr>
            <w:r>
              <w:t>IDB e</w:t>
            </w:r>
            <w:r w:rsidRPr="00F54C08">
              <w:t xml:space="preserve">stimations made </w:t>
            </w:r>
            <w:r>
              <w:t xml:space="preserve">based on </w:t>
            </w:r>
            <w:r w:rsidR="00244924">
              <w:t>number</w:t>
            </w:r>
            <w:r w:rsidR="00A14140">
              <w:t xml:space="preserve"> and efficiency levels </w:t>
            </w:r>
            <w:r w:rsidR="00244924">
              <w:t>of installed</w:t>
            </w:r>
            <w:r w:rsidR="00002207">
              <w:t xml:space="preserve"> lamps</w:t>
            </w:r>
            <w:r w:rsidR="00244924">
              <w:t xml:space="preserve">. </w:t>
            </w:r>
            <w:r>
              <w:t>Figures to be checked with the utilities and the Governments in the EC countries</w:t>
            </w:r>
          </w:p>
          <w:p w14:paraId="1306B2DC" w14:textId="0F50FD7E" w:rsidR="003E47DB" w:rsidRDefault="003E47DB" w:rsidP="00953A02">
            <w:pPr>
              <w:pStyle w:val="TableText"/>
              <w:keepNext/>
            </w:pPr>
            <w:r>
              <w:t>(ex-post CBA)</w:t>
            </w:r>
          </w:p>
        </w:tc>
      </w:tr>
      <w:tr w:rsidR="003E47DB" w14:paraId="7E07A7E2" w14:textId="77777777" w:rsidTr="005C08C9">
        <w:trPr>
          <w:gridBefore w:val="1"/>
          <w:wBefore w:w="23" w:type="dxa"/>
          <w:jc w:val="left"/>
        </w:trPr>
        <w:tc>
          <w:tcPr>
            <w:tcW w:w="2167" w:type="dxa"/>
          </w:tcPr>
          <w:p w14:paraId="4ED57D9B" w14:textId="76956386" w:rsidR="003E47DB" w:rsidRDefault="003E47DB" w:rsidP="00953A02">
            <w:pPr>
              <w:pStyle w:val="TableText"/>
            </w:pPr>
            <w:r w:rsidRPr="003E47DB">
              <w:t>Greenhouse gas (GHG) emissions avoided by EE projects financed at any stage by the Program</w:t>
            </w:r>
          </w:p>
        </w:tc>
        <w:tc>
          <w:tcPr>
            <w:tcW w:w="2167" w:type="dxa"/>
          </w:tcPr>
          <w:p w14:paraId="2DB21F7A" w14:textId="0B40D167" w:rsidR="003E47DB" w:rsidRPr="00F54C08" w:rsidRDefault="00A012A6" w:rsidP="002C478A">
            <w:pPr>
              <w:pStyle w:val="TableText"/>
            </w:pPr>
            <w:r>
              <w:t>k</w:t>
            </w:r>
            <w:r w:rsidR="003E47DB" w:rsidRPr="00F54C08">
              <w:t>tCO</w:t>
            </w:r>
            <w:r w:rsidR="003E47DB" w:rsidRPr="00F54C08">
              <w:rPr>
                <w:vertAlign w:val="subscript"/>
              </w:rPr>
              <w:t>2</w:t>
            </w:r>
            <w:r w:rsidR="003E47DB" w:rsidRPr="00F54C08">
              <w:t>e/yr</w:t>
            </w:r>
          </w:p>
          <w:p w14:paraId="256E4B63" w14:textId="77777777" w:rsidR="003E47DB" w:rsidRPr="00426B9D" w:rsidRDefault="003E47DB" w:rsidP="002C478A">
            <w:pPr>
              <w:pStyle w:val="TableText"/>
              <w:rPr>
                <w:highlight w:val="yellow"/>
              </w:rPr>
            </w:pPr>
          </w:p>
          <w:p w14:paraId="6F40810B" w14:textId="50729E54" w:rsidR="003E47DB" w:rsidRDefault="003E47DB" w:rsidP="00244924">
            <w:pPr>
              <w:pStyle w:val="TableText"/>
            </w:pPr>
            <w:r w:rsidRPr="003E47DB">
              <w:t>Greenhouse gas (GHG) emissions avoided</w:t>
            </w:r>
            <w:r>
              <w:t xml:space="preserve"> </w:t>
            </w:r>
          </w:p>
        </w:tc>
        <w:tc>
          <w:tcPr>
            <w:tcW w:w="2168" w:type="dxa"/>
          </w:tcPr>
          <w:p w14:paraId="18A365C1" w14:textId="30E3BA26" w:rsidR="003E47DB" w:rsidRPr="00601D40" w:rsidRDefault="005C08C9" w:rsidP="00601D40">
            <w:pPr>
              <w:pStyle w:val="TableText"/>
            </w:pPr>
            <w:r w:rsidRPr="00213D35">
              <w:t>Semiannually</w:t>
            </w:r>
            <w:r>
              <w:t xml:space="preserve"> and </w:t>
            </w:r>
            <w:r w:rsidRPr="00AA13C8">
              <w:t xml:space="preserve">at the end of </w:t>
            </w:r>
            <w:r>
              <w:t>the e</w:t>
            </w:r>
            <w:r w:rsidRPr="00AA13C8">
              <w:t>xecution period</w:t>
            </w:r>
          </w:p>
        </w:tc>
        <w:tc>
          <w:tcPr>
            <w:tcW w:w="2316" w:type="dxa"/>
            <w:gridSpan w:val="2"/>
          </w:tcPr>
          <w:p w14:paraId="43A6FD3C" w14:textId="2928DCD2" w:rsidR="003E47DB" w:rsidRDefault="003E47DB" w:rsidP="002C478A">
            <w:pPr>
              <w:pStyle w:val="TableText"/>
            </w:pPr>
            <w:r w:rsidRPr="00002207">
              <w:t xml:space="preserve">IDB estimations made following IDB methodology, based on </w:t>
            </w:r>
            <w:r w:rsidR="00002207" w:rsidRPr="00002207">
              <w:t>number and efficiency levels of installed lamps and</w:t>
            </w:r>
            <w:r w:rsidRPr="00002207">
              <w:t xml:space="preserve"> an average conversion factor of 0.</w:t>
            </w:r>
            <w:r w:rsidR="005C08C9">
              <w:t>76</w:t>
            </w:r>
          </w:p>
          <w:p w14:paraId="4F836006" w14:textId="64EA3F4A" w:rsidR="003E47DB" w:rsidRDefault="003E47DB" w:rsidP="00953A02">
            <w:pPr>
              <w:pStyle w:val="TableText"/>
              <w:keepNext/>
            </w:pPr>
            <w:r>
              <w:t>(ex-post CBA)</w:t>
            </w:r>
          </w:p>
        </w:tc>
      </w:tr>
      <w:tr w:rsidR="005C08C9" w14:paraId="3B071BE5" w14:textId="77777777" w:rsidTr="005C08C9">
        <w:trPr>
          <w:gridBefore w:val="1"/>
          <w:wBefore w:w="23" w:type="dxa"/>
          <w:jc w:val="left"/>
        </w:trPr>
        <w:tc>
          <w:tcPr>
            <w:tcW w:w="2167" w:type="dxa"/>
          </w:tcPr>
          <w:p w14:paraId="5645B815" w14:textId="05A0B91A" w:rsidR="005C08C9" w:rsidRPr="00370779" w:rsidRDefault="005C08C9" w:rsidP="00953A02">
            <w:pPr>
              <w:pStyle w:val="TableText"/>
            </w:pPr>
            <w:r w:rsidRPr="005C08C9">
              <w:t>EE projects</w:t>
            </w:r>
            <w:r>
              <w:t xml:space="preserve"> appraised by the CDB</w:t>
            </w:r>
          </w:p>
        </w:tc>
        <w:tc>
          <w:tcPr>
            <w:tcW w:w="2167" w:type="dxa"/>
          </w:tcPr>
          <w:p w14:paraId="4BB3DB83" w14:textId="11F607AD" w:rsidR="005C08C9" w:rsidRDefault="005C08C9" w:rsidP="00A012A6">
            <w:pPr>
              <w:pStyle w:val="TableText"/>
            </w:pPr>
            <w:r w:rsidRPr="005C08C9">
              <w:t>Number of EE projects</w:t>
            </w:r>
          </w:p>
        </w:tc>
        <w:tc>
          <w:tcPr>
            <w:tcW w:w="2168" w:type="dxa"/>
          </w:tcPr>
          <w:p w14:paraId="4DF92148" w14:textId="2B6910D5" w:rsidR="005C08C9" w:rsidRDefault="005C08C9" w:rsidP="00370779">
            <w:pPr>
              <w:pStyle w:val="TableText"/>
            </w:pPr>
            <w:r w:rsidRPr="00213D35">
              <w:t>Semiannually</w:t>
            </w:r>
            <w:r>
              <w:t xml:space="preserve"> and </w:t>
            </w:r>
            <w:r w:rsidRPr="00AA13C8">
              <w:t xml:space="preserve">at the end of </w:t>
            </w:r>
            <w:r>
              <w:t xml:space="preserve">the </w:t>
            </w:r>
            <w:r>
              <w:lastRenderedPageBreak/>
              <w:t>e</w:t>
            </w:r>
            <w:r w:rsidRPr="00AA13C8">
              <w:t>xecution period</w:t>
            </w:r>
          </w:p>
        </w:tc>
        <w:tc>
          <w:tcPr>
            <w:tcW w:w="2316" w:type="dxa"/>
            <w:gridSpan w:val="2"/>
          </w:tcPr>
          <w:p w14:paraId="697EA830" w14:textId="239CC5A2" w:rsidR="005C08C9" w:rsidRDefault="005C08C9" w:rsidP="00370779">
            <w:pPr>
              <w:pStyle w:val="TableText"/>
              <w:keepNext/>
            </w:pPr>
            <w:r w:rsidRPr="005C08C9">
              <w:lastRenderedPageBreak/>
              <w:t xml:space="preserve">Report from CDB.  </w:t>
            </w:r>
          </w:p>
        </w:tc>
      </w:tr>
      <w:tr w:rsidR="005C08C9" w:rsidRPr="00A21727" w14:paraId="3817EF8F" w14:textId="77777777" w:rsidTr="005C08C9">
        <w:tblPrEx>
          <w:jc w:val="center"/>
          <w:tblBorders>
            <w:insideH w:val="single" w:sz="4" w:space="0" w:color="000000"/>
            <w:insideV w:val="single" w:sz="4" w:space="0" w:color="000000"/>
          </w:tblBorders>
        </w:tblPrEx>
        <w:trPr>
          <w:gridAfter w:val="1"/>
          <w:wAfter w:w="23" w:type="dxa"/>
          <w:trHeight w:val="68"/>
        </w:trPr>
        <w:tc>
          <w:tcPr>
            <w:tcW w:w="8818" w:type="dxa"/>
            <w:gridSpan w:val="5"/>
            <w:shd w:val="clear" w:color="auto" w:fill="BFBFBF"/>
            <w:hideMark/>
          </w:tcPr>
          <w:p w14:paraId="0B14CD62" w14:textId="77777777" w:rsidR="005C08C9" w:rsidRPr="00A21727" w:rsidRDefault="005C08C9" w:rsidP="003563FA">
            <w:pPr>
              <w:pStyle w:val="TableText"/>
              <w:rPr>
                <w:rFonts w:ascii="Times New Roman" w:hAnsi="Times New Roman"/>
                <w:b/>
                <w:sz w:val="20"/>
              </w:rPr>
            </w:pPr>
            <w:r w:rsidRPr="00A21727">
              <w:rPr>
                <w:b/>
                <w:sz w:val="20"/>
              </w:rPr>
              <w:lastRenderedPageBreak/>
              <w:t>Component II: Regulatory Framework, Institutional Strengthening, and Capacity Building</w:t>
            </w:r>
          </w:p>
        </w:tc>
      </w:tr>
      <w:tr w:rsidR="00370779" w14:paraId="42E7B534" w14:textId="77777777" w:rsidTr="005C08C9">
        <w:trPr>
          <w:gridBefore w:val="1"/>
          <w:wBefore w:w="23" w:type="dxa"/>
          <w:jc w:val="left"/>
        </w:trPr>
        <w:tc>
          <w:tcPr>
            <w:tcW w:w="2167" w:type="dxa"/>
          </w:tcPr>
          <w:p w14:paraId="77AE3CA8" w14:textId="283C4CDD" w:rsidR="00370779" w:rsidRDefault="00370779" w:rsidP="005C08C9">
            <w:pPr>
              <w:pStyle w:val="TableText"/>
            </w:pPr>
            <w:r w:rsidRPr="00370779">
              <w:t>EC</w:t>
            </w:r>
            <w:r w:rsidR="005C08C9">
              <w:t>C</w:t>
            </w:r>
            <w:r w:rsidRPr="00370779">
              <w:t xml:space="preserve"> with legal and regulatory frameworks that enable GE development</w:t>
            </w:r>
          </w:p>
        </w:tc>
        <w:tc>
          <w:tcPr>
            <w:tcW w:w="2167" w:type="dxa"/>
          </w:tcPr>
          <w:p w14:paraId="7259E5D3" w14:textId="50AE1776" w:rsidR="00370779" w:rsidRDefault="00370779" w:rsidP="00A012A6">
            <w:pPr>
              <w:pStyle w:val="TableText"/>
            </w:pPr>
            <w:r>
              <w:t xml:space="preserve">Number of </w:t>
            </w:r>
            <w:r w:rsidRPr="00370779">
              <w:t>countries that have GE legal and regulatory frameworks</w:t>
            </w:r>
          </w:p>
        </w:tc>
        <w:tc>
          <w:tcPr>
            <w:tcW w:w="2168" w:type="dxa"/>
          </w:tcPr>
          <w:p w14:paraId="7DD2C5F6" w14:textId="3451E91F" w:rsidR="00370779" w:rsidRPr="00601D40" w:rsidRDefault="005C08C9" w:rsidP="00370779">
            <w:pPr>
              <w:pStyle w:val="TableText"/>
            </w:pPr>
            <w:r w:rsidRPr="00213D35">
              <w:t>Semiannually</w:t>
            </w:r>
            <w:r>
              <w:t xml:space="preserve"> and </w:t>
            </w:r>
            <w:r w:rsidRPr="00AA13C8">
              <w:t xml:space="preserve">at the end of </w:t>
            </w:r>
            <w:r>
              <w:t>the e</w:t>
            </w:r>
            <w:r w:rsidRPr="00AA13C8">
              <w:t>xecution period</w:t>
            </w:r>
          </w:p>
        </w:tc>
        <w:tc>
          <w:tcPr>
            <w:tcW w:w="2316" w:type="dxa"/>
            <w:gridSpan w:val="2"/>
          </w:tcPr>
          <w:p w14:paraId="1A016761" w14:textId="2CD9DD03" w:rsidR="00370779" w:rsidRDefault="00370779" w:rsidP="00370779">
            <w:pPr>
              <w:pStyle w:val="TableText"/>
              <w:keepNext/>
            </w:pPr>
            <w:r>
              <w:t xml:space="preserve">EA report based on </w:t>
            </w:r>
            <w:r w:rsidRPr="00B6611F">
              <w:t xml:space="preserve">information from Governments </w:t>
            </w:r>
          </w:p>
        </w:tc>
      </w:tr>
      <w:tr w:rsidR="0024309B" w14:paraId="1B646558" w14:textId="77777777" w:rsidTr="005C08C9">
        <w:trPr>
          <w:gridBefore w:val="1"/>
          <w:wBefore w:w="23" w:type="dxa"/>
          <w:jc w:val="left"/>
        </w:trPr>
        <w:tc>
          <w:tcPr>
            <w:tcW w:w="2167" w:type="dxa"/>
          </w:tcPr>
          <w:p w14:paraId="00D7634E" w14:textId="2A286611" w:rsidR="0024309B" w:rsidRDefault="008C01E9" w:rsidP="00953A02">
            <w:pPr>
              <w:pStyle w:val="TableText"/>
            </w:pPr>
            <w:r w:rsidRPr="008C01E9">
              <w:t>Women trained in construction, operation and/or maintenance of RE and EE infrastructure and projects</w:t>
            </w:r>
          </w:p>
        </w:tc>
        <w:tc>
          <w:tcPr>
            <w:tcW w:w="2167" w:type="dxa"/>
          </w:tcPr>
          <w:p w14:paraId="778C83E2" w14:textId="77777777" w:rsidR="0024309B" w:rsidRDefault="0024309B" w:rsidP="002C478A">
            <w:pPr>
              <w:pStyle w:val="TableText"/>
            </w:pPr>
            <w:r>
              <w:t>%</w:t>
            </w:r>
          </w:p>
          <w:p w14:paraId="64AC6904" w14:textId="77777777" w:rsidR="0024309B" w:rsidRDefault="0024309B" w:rsidP="002C478A">
            <w:pPr>
              <w:pStyle w:val="TableText"/>
            </w:pPr>
          </w:p>
          <w:p w14:paraId="4545984B" w14:textId="76D284C2" w:rsidR="0024309B" w:rsidRPr="00B6611F" w:rsidRDefault="0024309B" w:rsidP="002C478A">
            <w:pPr>
              <w:pStyle w:val="TableText"/>
            </w:pPr>
            <w:r w:rsidRPr="00B6611F">
              <w:t xml:space="preserve">Measures </w:t>
            </w:r>
            <w:r>
              <w:t xml:space="preserve">the percentage </w:t>
            </w:r>
            <w:r w:rsidR="00A12859">
              <w:t>o</w:t>
            </w:r>
            <w:r w:rsidR="00A12859" w:rsidRPr="00A12859">
              <w:t>f women trained, out of the total trainees, in construction, management and/or maintenance of SE infrastructure/projects</w:t>
            </w:r>
          </w:p>
          <w:p w14:paraId="620951BE" w14:textId="77777777" w:rsidR="0024309B" w:rsidRDefault="0024309B" w:rsidP="00953A02">
            <w:pPr>
              <w:pStyle w:val="TableText"/>
            </w:pPr>
          </w:p>
        </w:tc>
        <w:tc>
          <w:tcPr>
            <w:tcW w:w="2168" w:type="dxa"/>
          </w:tcPr>
          <w:p w14:paraId="19F046EC" w14:textId="41C6E8CD" w:rsidR="0024309B" w:rsidRPr="00601D40" w:rsidRDefault="00A012A6" w:rsidP="002C478A">
            <w:pPr>
              <w:pStyle w:val="TableText"/>
            </w:pPr>
            <w:r>
              <w:t>A</w:t>
            </w:r>
            <w:r w:rsidR="0024309B" w:rsidRPr="00601D40">
              <w:t xml:space="preserve">t the completion of the execution period </w:t>
            </w:r>
          </w:p>
          <w:p w14:paraId="31DD7EC3" w14:textId="77777777" w:rsidR="0024309B" w:rsidRDefault="0024309B" w:rsidP="002C478A">
            <w:pPr>
              <w:pStyle w:val="TableText"/>
            </w:pPr>
          </w:p>
          <w:p w14:paraId="1A91DEE3" w14:textId="77777777" w:rsidR="0024309B" w:rsidRPr="00601D40" w:rsidRDefault="0024309B" w:rsidP="00601D40">
            <w:pPr>
              <w:pStyle w:val="TableText"/>
            </w:pPr>
          </w:p>
        </w:tc>
        <w:tc>
          <w:tcPr>
            <w:tcW w:w="2316" w:type="dxa"/>
            <w:gridSpan w:val="2"/>
          </w:tcPr>
          <w:p w14:paraId="692068E1" w14:textId="07C8CB7C" w:rsidR="0024309B" w:rsidRDefault="0024309B" w:rsidP="00953A02">
            <w:pPr>
              <w:pStyle w:val="TableText"/>
              <w:keepNext/>
            </w:pPr>
            <w:r>
              <w:t xml:space="preserve">EA report based on </w:t>
            </w:r>
            <w:r w:rsidRPr="00B6611F">
              <w:t>information from Governments and private project sponsors</w:t>
            </w:r>
          </w:p>
        </w:tc>
      </w:tr>
      <w:tr w:rsidR="005C08C9" w:rsidRPr="00A21727" w14:paraId="7E5DC687" w14:textId="77777777" w:rsidTr="005C08C9">
        <w:tblPrEx>
          <w:jc w:val="center"/>
          <w:tblBorders>
            <w:insideH w:val="single" w:sz="4" w:space="0" w:color="000000"/>
            <w:insideV w:val="single" w:sz="4" w:space="0" w:color="000000"/>
          </w:tblBorders>
        </w:tblPrEx>
        <w:trPr>
          <w:gridAfter w:val="1"/>
          <w:wAfter w:w="23" w:type="dxa"/>
        </w:trPr>
        <w:tc>
          <w:tcPr>
            <w:tcW w:w="8818" w:type="dxa"/>
            <w:gridSpan w:val="5"/>
            <w:shd w:val="clear" w:color="auto" w:fill="BFBFBF"/>
            <w:hideMark/>
          </w:tcPr>
          <w:p w14:paraId="5B7A500C" w14:textId="77777777" w:rsidR="005C08C9" w:rsidRPr="00A21727" w:rsidRDefault="005C08C9" w:rsidP="003563FA">
            <w:pPr>
              <w:pStyle w:val="TableText"/>
              <w:rPr>
                <w:rFonts w:ascii="Times New Roman" w:hAnsi="Times New Roman"/>
                <w:b/>
                <w:sz w:val="20"/>
                <w:szCs w:val="22"/>
              </w:rPr>
            </w:pPr>
            <w:r w:rsidRPr="00A21727">
              <w:rPr>
                <w:b/>
                <w:sz w:val="20"/>
              </w:rPr>
              <w:t>Component III – Renewable Energy</w:t>
            </w:r>
          </w:p>
        </w:tc>
      </w:tr>
      <w:tr w:rsidR="00244924" w14:paraId="4F5F5A86" w14:textId="77777777" w:rsidTr="005C08C9">
        <w:trPr>
          <w:gridBefore w:val="1"/>
          <w:wBefore w:w="23" w:type="dxa"/>
          <w:jc w:val="left"/>
        </w:trPr>
        <w:tc>
          <w:tcPr>
            <w:tcW w:w="2167" w:type="dxa"/>
          </w:tcPr>
          <w:p w14:paraId="14CC2521" w14:textId="79424FA2" w:rsidR="00244924" w:rsidRDefault="00244924" w:rsidP="00953A02">
            <w:pPr>
              <w:pStyle w:val="TableText"/>
            </w:pPr>
            <w:r w:rsidRPr="0024309B">
              <w:t>Greenhouse gas (GHG) emissions avoided by geothermal projects financed at any stage by the Program</w:t>
            </w:r>
          </w:p>
        </w:tc>
        <w:tc>
          <w:tcPr>
            <w:tcW w:w="2167" w:type="dxa"/>
          </w:tcPr>
          <w:p w14:paraId="3A3A756E" w14:textId="06DDDFA3" w:rsidR="00244924" w:rsidRDefault="00A012A6" w:rsidP="00953A02">
            <w:pPr>
              <w:pStyle w:val="TableText"/>
            </w:pPr>
            <w:r>
              <w:t>k</w:t>
            </w:r>
            <w:r w:rsidR="00244924" w:rsidRPr="00244924">
              <w:t>tCO2e/yr</w:t>
            </w:r>
          </w:p>
          <w:p w14:paraId="0493925D" w14:textId="77777777" w:rsidR="00244924" w:rsidRDefault="00244924" w:rsidP="00953A02">
            <w:pPr>
              <w:pStyle w:val="TableText"/>
            </w:pPr>
          </w:p>
          <w:p w14:paraId="76B924C6" w14:textId="6C4E864A" w:rsidR="00244924" w:rsidRDefault="00244924" w:rsidP="00953A02">
            <w:pPr>
              <w:pStyle w:val="TableText"/>
            </w:pPr>
            <w:r w:rsidRPr="0024309B">
              <w:t>Greenhouse gas (GHG) emissions avoided</w:t>
            </w:r>
          </w:p>
        </w:tc>
        <w:tc>
          <w:tcPr>
            <w:tcW w:w="2168" w:type="dxa"/>
          </w:tcPr>
          <w:p w14:paraId="37C4AC34" w14:textId="6AD8CAD0" w:rsidR="00244924" w:rsidRPr="00601D40" w:rsidRDefault="00244924" w:rsidP="005C08C9">
            <w:pPr>
              <w:pStyle w:val="TableText"/>
            </w:pPr>
            <w:r>
              <w:t>Annually</w:t>
            </w:r>
            <w:r w:rsidRPr="005E56EF">
              <w:t xml:space="preserve">, </w:t>
            </w:r>
            <w:r w:rsidR="005C08C9">
              <w:t>and at</w:t>
            </w:r>
            <w:r w:rsidRPr="005E56EF">
              <w:t xml:space="preserve"> the end of the execution </w:t>
            </w:r>
            <w:r>
              <w:t>period</w:t>
            </w:r>
          </w:p>
        </w:tc>
        <w:tc>
          <w:tcPr>
            <w:tcW w:w="2316" w:type="dxa"/>
            <w:gridSpan w:val="2"/>
          </w:tcPr>
          <w:p w14:paraId="7B493DBA" w14:textId="77777777" w:rsidR="00244924" w:rsidRDefault="00244924" w:rsidP="002C478A">
            <w:pPr>
              <w:pStyle w:val="TableText"/>
            </w:pPr>
            <w:r>
              <w:t>IDB e</w:t>
            </w:r>
            <w:r w:rsidRPr="00F54C08">
              <w:t xml:space="preserve">stimations made </w:t>
            </w:r>
            <w:r>
              <w:t>following IDB methodology, based on installed capacity, electricity generation</w:t>
            </w:r>
            <w:r w:rsidRPr="00F54C08">
              <w:t xml:space="preserve">, and </w:t>
            </w:r>
            <w:r>
              <w:t xml:space="preserve">an </w:t>
            </w:r>
            <w:r w:rsidRPr="00F54C08">
              <w:t xml:space="preserve">average conversion factor </w:t>
            </w:r>
            <w:r>
              <w:t>of 0.84</w:t>
            </w:r>
          </w:p>
          <w:p w14:paraId="0F0F0C81" w14:textId="6C830421" w:rsidR="00244924" w:rsidRDefault="00244924" w:rsidP="00953A02">
            <w:pPr>
              <w:pStyle w:val="TableText"/>
              <w:keepNext/>
            </w:pPr>
            <w:r>
              <w:t>(ex-post CBA)</w:t>
            </w:r>
          </w:p>
        </w:tc>
      </w:tr>
      <w:tr w:rsidR="00244924" w14:paraId="242980CF" w14:textId="77777777" w:rsidTr="005C08C9">
        <w:trPr>
          <w:gridBefore w:val="1"/>
          <w:wBefore w:w="23" w:type="dxa"/>
          <w:jc w:val="left"/>
        </w:trPr>
        <w:tc>
          <w:tcPr>
            <w:tcW w:w="2167" w:type="dxa"/>
          </w:tcPr>
          <w:p w14:paraId="1820A039" w14:textId="2C4AB0C6" w:rsidR="00244924" w:rsidRDefault="00244924" w:rsidP="00953A02">
            <w:pPr>
              <w:pStyle w:val="TableText"/>
            </w:pPr>
            <w:r w:rsidRPr="00244924">
              <w:t>Reduction in imports of fossil fuels for electricity generation in EC countries with geothermal projects financed at any stage by the Program</w:t>
            </w:r>
          </w:p>
        </w:tc>
        <w:tc>
          <w:tcPr>
            <w:tcW w:w="2167" w:type="dxa"/>
          </w:tcPr>
          <w:p w14:paraId="7196A448" w14:textId="4645AE9C" w:rsidR="00244924" w:rsidRDefault="00244924" w:rsidP="00953A02">
            <w:pPr>
              <w:pStyle w:val="TableText"/>
            </w:pPr>
            <w:r w:rsidRPr="00244924">
              <w:t>Thousand barrels of oil</w:t>
            </w:r>
          </w:p>
          <w:p w14:paraId="7A487DD8" w14:textId="77777777" w:rsidR="00244924" w:rsidRDefault="00244924" w:rsidP="00953A02">
            <w:pPr>
              <w:pStyle w:val="TableText"/>
            </w:pPr>
          </w:p>
          <w:p w14:paraId="36AF6082" w14:textId="7C868A3F" w:rsidR="00244924" w:rsidRDefault="00244924" w:rsidP="00244924">
            <w:pPr>
              <w:pStyle w:val="TableText"/>
            </w:pPr>
            <w:r>
              <w:t>Measures the r</w:t>
            </w:r>
            <w:r w:rsidRPr="00244924">
              <w:t>eduction in imports of fossil fuels for electricity generation</w:t>
            </w:r>
          </w:p>
        </w:tc>
        <w:tc>
          <w:tcPr>
            <w:tcW w:w="2168" w:type="dxa"/>
          </w:tcPr>
          <w:p w14:paraId="01161EBE" w14:textId="3599FF28" w:rsidR="00244924" w:rsidRPr="00601D40" w:rsidRDefault="005C08C9" w:rsidP="00601D40">
            <w:pPr>
              <w:pStyle w:val="TableText"/>
            </w:pPr>
            <w:r>
              <w:t>Annually</w:t>
            </w:r>
            <w:r w:rsidRPr="005E56EF">
              <w:t xml:space="preserve">, </w:t>
            </w:r>
            <w:r>
              <w:t>and at</w:t>
            </w:r>
            <w:r w:rsidRPr="005E56EF">
              <w:t xml:space="preserve"> the end of the execution </w:t>
            </w:r>
            <w:r>
              <w:t>period</w:t>
            </w:r>
          </w:p>
        </w:tc>
        <w:tc>
          <w:tcPr>
            <w:tcW w:w="2316" w:type="dxa"/>
            <w:gridSpan w:val="2"/>
          </w:tcPr>
          <w:p w14:paraId="3221B25C" w14:textId="77777777" w:rsidR="00002207" w:rsidRPr="00F54C08" w:rsidRDefault="00002207" w:rsidP="00002207">
            <w:pPr>
              <w:pStyle w:val="TableText"/>
            </w:pPr>
            <w:r>
              <w:t>IDB e</w:t>
            </w:r>
            <w:r w:rsidRPr="00F54C08">
              <w:t xml:space="preserve">stimations made </w:t>
            </w:r>
            <w:r>
              <w:t>based on estimated installed capacity and electricity generation. Figures to be checked with the utilities and the Governments in the EC countries</w:t>
            </w:r>
          </w:p>
          <w:p w14:paraId="37D85F78" w14:textId="77777777" w:rsidR="00002207" w:rsidRDefault="00002207" w:rsidP="00002207">
            <w:pPr>
              <w:pStyle w:val="TableText"/>
              <w:keepNext/>
            </w:pPr>
            <w:r>
              <w:t>(ex-post CBA)</w:t>
            </w:r>
          </w:p>
          <w:p w14:paraId="48A60563" w14:textId="02D34DF2" w:rsidR="00244924" w:rsidRDefault="00244924" w:rsidP="00002207">
            <w:pPr>
              <w:pStyle w:val="TableText"/>
              <w:keepNext/>
            </w:pPr>
          </w:p>
        </w:tc>
      </w:tr>
      <w:tr w:rsidR="00FF7858" w14:paraId="2287130B" w14:textId="77777777" w:rsidTr="005C08C9">
        <w:trPr>
          <w:gridBefore w:val="1"/>
          <w:wBefore w:w="23" w:type="dxa"/>
          <w:jc w:val="left"/>
        </w:trPr>
        <w:tc>
          <w:tcPr>
            <w:tcW w:w="2167" w:type="dxa"/>
          </w:tcPr>
          <w:p w14:paraId="673F3BF8" w14:textId="7401FA4F" w:rsidR="00FF7858" w:rsidRDefault="00FF7858" w:rsidP="00FF7858">
            <w:pPr>
              <w:pStyle w:val="TableText"/>
            </w:pPr>
            <w:r w:rsidRPr="00283026">
              <w:t xml:space="preserve">Geothermal power generation capacity installed in projects </w:t>
            </w:r>
            <w:r w:rsidR="00C9762E">
              <w:t xml:space="preserve">facilitated or </w:t>
            </w:r>
            <w:r w:rsidRPr="00283026">
              <w:t xml:space="preserve">financed at </w:t>
            </w:r>
            <w:r>
              <w:t>some</w:t>
            </w:r>
            <w:r w:rsidRPr="00283026">
              <w:t xml:space="preserve"> stage by the </w:t>
            </w:r>
            <w:r>
              <w:t>P</w:t>
            </w:r>
            <w:r w:rsidRPr="00283026">
              <w:t>rogram</w:t>
            </w:r>
          </w:p>
        </w:tc>
        <w:tc>
          <w:tcPr>
            <w:tcW w:w="2167" w:type="dxa"/>
          </w:tcPr>
          <w:p w14:paraId="1A44401D" w14:textId="3BCEE0CC" w:rsidR="00FF7858" w:rsidRDefault="00FF7858" w:rsidP="002C478A">
            <w:pPr>
              <w:pStyle w:val="TableText"/>
              <w:rPr>
                <w:szCs w:val="20"/>
              </w:rPr>
            </w:pPr>
            <w:r>
              <w:rPr>
                <w:szCs w:val="20"/>
              </w:rPr>
              <w:t xml:space="preserve">MW </w:t>
            </w:r>
          </w:p>
          <w:p w14:paraId="475C4C29" w14:textId="77777777" w:rsidR="00FF7858" w:rsidRDefault="00FF7858" w:rsidP="002C478A">
            <w:pPr>
              <w:pStyle w:val="TableText"/>
              <w:rPr>
                <w:szCs w:val="20"/>
              </w:rPr>
            </w:pPr>
          </w:p>
          <w:p w14:paraId="7FEC90D3" w14:textId="7FC2EFA3" w:rsidR="00FF7858" w:rsidRDefault="00FF7858" w:rsidP="00953A02">
            <w:pPr>
              <w:pStyle w:val="TableText"/>
            </w:pPr>
            <w:r>
              <w:t xml:space="preserve">Measures the MW of geothermal capacity that is ready to be generating electricity in the year </w:t>
            </w:r>
          </w:p>
        </w:tc>
        <w:tc>
          <w:tcPr>
            <w:tcW w:w="2168" w:type="dxa"/>
          </w:tcPr>
          <w:p w14:paraId="317CF8E5" w14:textId="3A0B8ACB" w:rsidR="00FF7858" w:rsidRPr="00601D40" w:rsidRDefault="00FF7858" w:rsidP="00FF7858">
            <w:pPr>
              <w:pStyle w:val="TableText"/>
            </w:pPr>
            <w:r w:rsidRPr="00283026">
              <w:rPr>
                <w:szCs w:val="20"/>
              </w:rPr>
              <w:t xml:space="preserve">Once, at the end of </w:t>
            </w:r>
            <w:r>
              <w:rPr>
                <w:szCs w:val="20"/>
              </w:rPr>
              <w:t xml:space="preserve">the SEF </w:t>
            </w:r>
            <w:r w:rsidRPr="00283026">
              <w:rPr>
                <w:szCs w:val="20"/>
              </w:rPr>
              <w:t>execution period</w:t>
            </w:r>
            <w:r>
              <w:rPr>
                <w:szCs w:val="20"/>
              </w:rPr>
              <w:t xml:space="preserve"> </w:t>
            </w:r>
            <w:r w:rsidRPr="00283026">
              <w:rPr>
                <w:szCs w:val="20"/>
              </w:rPr>
              <w:t>(</w:t>
            </w:r>
            <w:r>
              <w:rPr>
                <w:szCs w:val="20"/>
              </w:rPr>
              <w:t>Yr</w:t>
            </w:r>
            <w:r w:rsidRPr="00283026">
              <w:rPr>
                <w:szCs w:val="20"/>
              </w:rPr>
              <w:t xml:space="preserve"> </w:t>
            </w:r>
            <w:r>
              <w:rPr>
                <w:szCs w:val="20"/>
              </w:rPr>
              <w:t>8).</w:t>
            </w:r>
          </w:p>
        </w:tc>
        <w:tc>
          <w:tcPr>
            <w:tcW w:w="2316" w:type="dxa"/>
            <w:gridSpan w:val="2"/>
          </w:tcPr>
          <w:p w14:paraId="226547FA" w14:textId="276EB011" w:rsidR="00FF7858" w:rsidRDefault="00FF7858" w:rsidP="00953A02">
            <w:pPr>
              <w:pStyle w:val="TableText"/>
              <w:keepNext/>
            </w:pPr>
            <w:r>
              <w:t>EA report with info from the projects in the EC countries</w:t>
            </w:r>
            <w:r w:rsidRPr="008E50C9">
              <w:t xml:space="preserve"> </w:t>
            </w:r>
          </w:p>
        </w:tc>
      </w:tr>
      <w:tr w:rsidR="00FF7858" w14:paraId="2F08753F" w14:textId="77777777" w:rsidTr="005C08C9">
        <w:trPr>
          <w:gridBefore w:val="1"/>
          <w:wBefore w:w="23" w:type="dxa"/>
          <w:jc w:val="left"/>
        </w:trPr>
        <w:tc>
          <w:tcPr>
            <w:tcW w:w="2167" w:type="dxa"/>
          </w:tcPr>
          <w:p w14:paraId="668B4640" w14:textId="6A822D22" w:rsidR="00FF7858" w:rsidRDefault="007D43B7" w:rsidP="00953A02">
            <w:pPr>
              <w:pStyle w:val="TableText"/>
            </w:pPr>
            <w:r w:rsidRPr="007D43B7">
              <w:t xml:space="preserve">Geothermal projects financed at any stage by the Program that </w:t>
            </w:r>
            <w:r w:rsidRPr="007D43B7">
              <w:lastRenderedPageBreak/>
              <w:t>moved on from early exploration to production drilling or from early exploration or production drilling to construction of plants and/or electricity generation</w:t>
            </w:r>
          </w:p>
        </w:tc>
        <w:tc>
          <w:tcPr>
            <w:tcW w:w="2167" w:type="dxa"/>
          </w:tcPr>
          <w:p w14:paraId="22DC8093" w14:textId="0842991A" w:rsidR="00FF7858" w:rsidRDefault="007D43B7" w:rsidP="00953A02">
            <w:pPr>
              <w:pStyle w:val="TableText"/>
            </w:pPr>
            <w:r w:rsidRPr="007D43B7">
              <w:lastRenderedPageBreak/>
              <w:t>Number of</w:t>
            </w:r>
            <w:r>
              <w:t xml:space="preserve"> geothermal</w:t>
            </w:r>
            <w:r w:rsidRPr="007D43B7">
              <w:t xml:space="preserve"> projects</w:t>
            </w:r>
          </w:p>
          <w:p w14:paraId="5BEDC394" w14:textId="77777777" w:rsidR="007D43B7" w:rsidRDefault="007D43B7" w:rsidP="00953A02">
            <w:pPr>
              <w:pStyle w:val="TableText"/>
            </w:pPr>
          </w:p>
          <w:p w14:paraId="081304DB" w14:textId="45307B5A" w:rsidR="007D43B7" w:rsidRDefault="007D43B7" w:rsidP="007D43B7">
            <w:pPr>
              <w:pStyle w:val="TableText"/>
            </w:pPr>
            <w:r>
              <w:lastRenderedPageBreak/>
              <w:t>Measures the n</w:t>
            </w:r>
            <w:r w:rsidRPr="007D43B7">
              <w:t xml:space="preserve">umber of </w:t>
            </w:r>
            <w:r>
              <w:t>geothermal</w:t>
            </w:r>
            <w:r w:rsidRPr="007D43B7">
              <w:t xml:space="preserve"> projects financed that moved to the following stage of development</w:t>
            </w:r>
          </w:p>
        </w:tc>
        <w:tc>
          <w:tcPr>
            <w:tcW w:w="2168" w:type="dxa"/>
          </w:tcPr>
          <w:p w14:paraId="5CAE05D8" w14:textId="44D6A131" w:rsidR="00FF7858" w:rsidRPr="00601D40" w:rsidRDefault="005C08C9" w:rsidP="007D43B7">
            <w:pPr>
              <w:pStyle w:val="TableText"/>
            </w:pPr>
            <w:r>
              <w:lastRenderedPageBreak/>
              <w:t>Annually</w:t>
            </w:r>
            <w:r w:rsidRPr="005E56EF">
              <w:t xml:space="preserve">, </w:t>
            </w:r>
            <w:r>
              <w:t>and at</w:t>
            </w:r>
            <w:r w:rsidRPr="005E56EF">
              <w:t xml:space="preserve"> the end of the execution </w:t>
            </w:r>
            <w:r>
              <w:t>period</w:t>
            </w:r>
          </w:p>
        </w:tc>
        <w:tc>
          <w:tcPr>
            <w:tcW w:w="2316" w:type="dxa"/>
            <w:gridSpan w:val="2"/>
          </w:tcPr>
          <w:p w14:paraId="1B2329D4" w14:textId="12F3A2B3" w:rsidR="00FF7858" w:rsidRDefault="00DD0C35" w:rsidP="00953A02">
            <w:pPr>
              <w:pStyle w:val="TableText"/>
              <w:keepNext/>
            </w:pPr>
            <w:r>
              <w:t>EA report with info from the projects in the EC countries</w:t>
            </w:r>
          </w:p>
        </w:tc>
      </w:tr>
      <w:tr w:rsidR="00FF7858" w14:paraId="59805D30" w14:textId="77777777" w:rsidTr="005C08C9">
        <w:trPr>
          <w:gridBefore w:val="1"/>
          <w:wBefore w:w="23" w:type="dxa"/>
          <w:jc w:val="left"/>
        </w:trPr>
        <w:tc>
          <w:tcPr>
            <w:tcW w:w="2167" w:type="dxa"/>
          </w:tcPr>
          <w:p w14:paraId="3DC7E849" w14:textId="389F7BD3" w:rsidR="00FF7858" w:rsidRDefault="00FF7858" w:rsidP="00953A02">
            <w:pPr>
              <w:pStyle w:val="TableText"/>
            </w:pPr>
            <w:r>
              <w:lastRenderedPageBreak/>
              <w:t>Women participate in consultation processes related to the projects.</w:t>
            </w:r>
          </w:p>
          <w:p w14:paraId="43DD94B0" w14:textId="5F6B988B" w:rsidR="00FF7858" w:rsidRPr="00C67D03" w:rsidRDefault="00FF7858" w:rsidP="007A1127">
            <w:pPr>
              <w:pStyle w:val="TableText"/>
              <w:keepNext/>
            </w:pPr>
          </w:p>
        </w:tc>
        <w:tc>
          <w:tcPr>
            <w:tcW w:w="2167" w:type="dxa"/>
          </w:tcPr>
          <w:p w14:paraId="6E2E1078" w14:textId="4163495A" w:rsidR="00FF7858" w:rsidRDefault="00FF7858" w:rsidP="00953A02">
            <w:pPr>
              <w:pStyle w:val="TableText"/>
            </w:pPr>
            <w:r>
              <w:t>%</w:t>
            </w:r>
          </w:p>
          <w:p w14:paraId="134FD9F3" w14:textId="77777777" w:rsidR="007D43B7" w:rsidRDefault="007D43B7" w:rsidP="00953A02">
            <w:pPr>
              <w:pStyle w:val="TableText"/>
            </w:pPr>
          </w:p>
          <w:p w14:paraId="070A9F2E" w14:textId="23FDC260" w:rsidR="00FF7858" w:rsidRPr="00B6611F" w:rsidRDefault="007D43B7" w:rsidP="00953A02">
            <w:pPr>
              <w:pStyle w:val="TableText"/>
            </w:pPr>
            <w:r>
              <w:t xml:space="preserve">Measures the percentage </w:t>
            </w:r>
            <w:r w:rsidRPr="007D43B7">
              <w:t xml:space="preserve">of women who participate in consultations </w:t>
            </w:r>
          </w:p>
          <w:p w14:paraId="269E0B57" w14:textId="4AD78E9E" w:rsidR="00FF7858" w:rsidRPr="00C67D03" w:rsidRDefault="00FF7858" w:rsidP="0055003C">
            <w:pPr>
              <w:pStyle w:val="TableText"/>
              <w:keepNext/>
            </w:pPr>
          </w:p>
        </w:tc>
        <w:tc>
          <w:tcPr>
            <w:tcW w:w="2168" w:type="dxa"/>
          </w:tcPr>
          <w:p w14:paraId="33553DFB" w14:textId="652B3D8F" w:rsidR="00FF7858" w:rsidRPr="00601D40" w:rsidRDefault="00A012A6" w:rsidP="00601D40">
            <w:pPr>
              <w:pStyle w:val="TableText"/>
            </w:pPr>
            <w:r>
              <w:t>A</w:t>
            </w:r>
            <w:r w:rsidR="00FF7858" w:rsidRPr="00601D40">
              <w:t xml:space="preserve">t the completion of the execution period </w:t>
            </w:r>
          </w:p>
          <w:p w14:paraId="1825D58F" w14:textId="630E36B2" w:rsidR="00FF7858" w:rsidRPr="00AA13C8" w:rsidRDefault="00FF7858" w:rsidP="005928E8">
            <w:pPr>
              <w:pStyle w:val="TableText"/>
              <w:keepNext/>
            </w:pPr>
          </w:p>
        </w:tc>
        <w:tc>
          <w:tcPr>
            <w:tcW w:w="2316" w:type="dxa"/>
            <w:gridSpan w:val="2"/>
          </w:tcPr>
          <w:p w14:paraId="7E7E9754" w14:textId="213991EA" w:rsidR="00FF7858" w:rsidRDefault="00FF7858" w:rsidP="00953A02">
            <w:pPr>
              <w:pStyle w:val="TableText"/>
              <w:keepNext/>
            </w:pPr>
            <w:r>
              <w:t xml:space="preserve">EA report based on </w:t>
            </w:r>
            <w:r w:rsidRPr="00B6611F">
              <w:t>information from Governments and private project sponsors</w:t>
            </w:r>
          </w:p>
        </w:tc>
      </w:tr>
      <w:tr w:rsidR="00FF7858" w14:paraId="5A9342CF" w14:textId="77777777" w:rsidTr="005C08C9">
        <w:trPr>
          <w:gridBefore w:val="1"/>
          <w:wBefore w:w="23" w:type="dxa"/>
          <w:jc w:val="left"/>
        </w:trPr>
        <w:tc>
          <w:tcPr>
            <w:tcW w:w="2167" w:type="dxa"/>
          </w:tcPr>
          <w:p w14:paraId="101F08E7" w14:textId="47EE672E" w:rsidR="00FF7858" w:rsidRPr="00C67D03" w:rsidRDefault="005C08C9" w:rsidP="007A1127">
            <w:pPr>
              <w:pStyle w:val="TableText"/>
              <w:keepNext/>
            </w:pPr>
            <w:r w:rsidRPr="005C08C9">
              <w:t>RE projects appraised by the CDB.</w:t>
            </w:r>
          </w:p>
        </w:tc>
        <w:tc>
          <w:tcPr>
            <w:tcW w:w="2167" w:type="dxa"/>
          </w:tcPr>
          <w:p w14:paraId="2FE66150" w14:textId="5471966D" w:rsidR="00FF7858" w:rsidRPr="00C67D03" w:rsidRDefault="005C08C9" w:rsidP="0055003C">
            <w:pPr>
              <w:pStyle w:val="TableText"/>
              <w:keepNext/>
            </w:pPr>
            <w:r w:rsidRPr="005C08C9">
              <w:t>Number of RE projects</w:t>
            </w:r>
          </w:p>
        </w:tc>
        <w:tc>
          <w:tcPr>
            <w:tcW w:w="2168" w:type="dxa"/>
          </w:tcPr>
          <w:p w14:paraId="342FF81B" w14:textId="7205CE00" w:rsidR="00FF7858" w:rsidRPr="00C67D03" w:rsidRDefault="005C08C9" w:rsidP="005C08C9">
            <w:pPr>
              <w:pStyle w:val="TableText"/>
              <w:keepNext/>
            </w:pPr>
            <w:r>
              <w:t>Semiannually</w:t>
            </w:r>
            <w:r w:rsidRPr="005E56EF">
              <w:t xml:space="preserve">, </w:t>
            </w:r>
            <w:r>
              <w:t>and at</w:t>
            </w:r>
            <w:r w:rsidRPr="005E56EF">
              <w:t xml:space="preserve"> the end of the execution </w:t>
            </w:r>
            <w:r>
              <w:t>period</w:t>
            </w:r>
          </w:p>
        </w:tc>
        <w:tc>
          <w:tcPr>
            <w:tcW w:w="2316" w:type="dxa"/>
            <w:gridSpan w:val="2"/>
          </w:tcPr>
          <w:p w14:paraId="2F4DE692" w14:textId="26A14B76" w:rsidR="00FF7858" w:rsidRDefault="005C08C9" w:rsidP="0055003C">
            <w:pPr>
              <w:pStyle w:val="TableText"/>
              <w:keepNext/>
            </w:pPr>
            <w:r w:rsidRPr="005C08C9">
              <w:t xml:space="preserve">Report from CDB.  </w:t>
            </w:r>
          </w:p>
        </w:tc>
      </w:tr>
      <w:tr w:rsidR="00FF7858" w14:paraId="6911BDDB" w14:textId="77777777" w:rsidTr="005C08C9">
        <w:trPr>
          <w:gridBefore w:val="1"/>
          <w:wBefore w:w="23" w:type="dxa"/>
          <w:trHeight w:val="295"/>
          <w:jc w:val="left"/>
        </w:trPr>
        <w:tc>
          <w:tcPr>
            <w:tcW w:w="8818" w:type="dxa"/>
            <w:gridSpan w:val="5"/>
          </w:tcPr>
          <w:p w14:paraId="6550D53F" w14:textId="7294BA77" w:rsidR="00FF7858" w:rsidRDefault="00FF7858" w:rsidP="00244924">
            <w:pPr>
              <w:pStyle w:val="TableText"/>
              <w:keepNext/>
            </w:pPr>
          </w:p>
        </w:tc>
      </w:tr>
    </w:tbl>
    <w:p w14:paraId="68AD70F1" w14:textId="77777777" w:rsidR="00123C6C" w:rsidRDefault="00123C6C" w:rsidP="00A012A6">
      <w:pPr>
        <w:pStyle w:val="TableorFigureEnd"/>
        <w:pBdr>
          <w:top w:val="single" w:sz="4" w:space="31" w:color="auto"/>
        </w:pBdr>
      </w:pPr>
    </w:p>
    <w:p w14:paraId="60D2CD74" w14:textId="77777777" w:rsidR="001962AD" w:rsidRDefault="00123C6C" w:rsidP="0009381F">
      <w:pPr>
        <w:pStyle w:val="Heading2"/>
      </w:pPr>
      <w:bookmarkStart w:id="32" w:name="_Toc424286979"/>
      <w:r>
        <w:t>Evaluation Methodology</w:t>
      </w:r>
      <w:bookmarkEnd w:id="32"/>
      <w:r w:rsidR="006A0723">
        <w:t xml:space="preserve"> </w:t>
      </w:r>
    </w:p>
    <w:p w14:paraId="1220B74E" w14:textId="77777777" w:rsidR="00016909" w:rsidRDefault="00DE5BDE" w:rsidP="00072EFB">
      <w:pPr>
        <w:pStyle w:val="BodyText"/>
        <w:rPr>
          <w:lang w:eastAsia="ja-JP"/>
        </w:rPr>
      </w:pPr>
      <w:r>
        <w:rPr>
          <w:lang w:eastAsia="ja-JP"/>
        </w:rPr>
        <w:t>The IDB will follow a before</w:t>
      </w:r>
      <w:r w:rsidR="00072EFB">
        <w:rPr>
          <w:lang w:eastAsia="ja-JP"/>
        </w:rPr>
        <w:t>-completion</w:t>
      </w:r>
      <w:r>
        <w:rPr>
          <w:lang w:eastAsia="ja-JP"/>
        </w:rPr>
        <w:t xml:space="preserve"> and after</w:t>
      </w:r>
      <w:r w:rsidR="00072EFB">
        <w:rPr>
          <w:lang w:eastAsia="ja-JP"/>
        </w:rPr>
        <w:t>-completion</w:t>
      </w:r>
      <w:r>
        <w:rPr>
          <w:lang w:eastAsia="ja-JP"/>
        </w:rPr>
        <w:t xml:space="preserve"> methodology to evaluate the results of the Program. </w:t>
      </w:r>
      <w:r w:rsidR="0073235B">
        <w:rPr>
          <w:lang w:eastAsia="ja-JP"/>
        </w:rPr>
        <w:t xml:space="preserve">Specifically, for a group of indicators, the IDB will compare baseline values against the values after the Program is completed. </w:t>
      </w:r>
      <w:r w:rsidR="00016909">
        <w:rPr>
          <w:lang w:eastAsia="ja-JP"/>
        </w:rPr>
        <w:t xml:space="preserve">This is the same methodology that is used for monitoring the Program. The only difference is the point in time when the methodology is applied. For monitoring the Program, the methodology is applied while the Program is being executed. For evaluating the Program, the methodology is used after the Program is completed. </w:t>
      </w:r>
    </w:p>
    <w:p w14:paraId="0C24EEDA" w14:textId="77777777" w:rsidR="00213D35" w:rsidRDefault="0073235B" w:rsidP="00072EFB">
      <w:pPr>
        <w:pStyle w:val="BodyText"/>
        <w:rPr>
          <w:lang w:eastAsia="ja-JP"/>
        </w:rPr>
      </w:pPr>
      <w:r>
        <w:rPr>
          <w:lang w:eastAsia="ja-JP"/>
        </w:rPr>
        <w:t xml:space="preserve">By measuring </w:t>
      </w:r>
      <w:r w:rsidR="00403807">
        <w:rPr>
          <w:lang w:eastAsia="ja-JP"/>
        </w:rPr>
        <w:t>b</w:t>
      </w:r>
      <w:r>
        <w:rPr>
          <w:lang w:eastAsia="ja-JP"/>
        </w:rPr>
        <w:t>aseline values in year 0</w:t>
      </w:r>
      <w:r w:rsidR="00072EFB">
        <w:rPr>
          <w:lang w:eastAsia="ja-JP"/>
        </w:rPr>
        <w:t xml:space="preserve"> (2015)</w:t>
      </w:r>
      <w:r>
        <w:rPr>
          <w:lang w:eastAsia="ja-JP"/>
        </w:rPr>
        <w:t xml:space="preserve">, the IDB </w:t>
      </w:r>
      <w:r w:rsidR="00AF1047">
        <w:rPr>
          <w:lang w:eastAsia="ja-JP"/>
        </w:rPr>
        <w:t>will</w:t>
      </w:r>
      <w:r>
        <w:rPr>
          <w:lang w:eastAsia="ja-JP"/>
        </w:rPr>
        <w:t xml:space="preserve"> </w:t>
      </w:r>
      <w:r w:rsidR="00403807">
        <w:rPr>
          <w:lang w:eastAsia="ja-JP"/>
        </w:rPr>
        <w:t xml:space="preserve">simulate </w:t>
      </w:r>
      <w:r>
        <w:rPr>
          <w:lang w:eastAsia="ja-JP"/>
        </w:rPr>
        <w:t xml:space="preserve">a counterfactual of what the </w:t>
      </w:r>
      <w:r w:rsidR="00403807">
        <w:rPr>
          <w:lang w:eastAsia="ja-JP"/>
        </w:rPr>
        <w:t>performance for these indicators would be if the Program would not be implemented.</w:t>
      </w:r>
      <w:r w:rsidR="00D47570">
        <w:rPr>
          <w:lang w:eastAsia="ja-JP"/>
        </w:rPr>
        <w:t xml:space="preserve"> This methodology assumes that if the </w:t>
      </w:r>
      <w:r w:rsidR="00AF1047">
        <w:rPr>
          <w:lang w:eastAsia="ja-JP"/>
        </w:rPr>
        <w:t>Program</w:t>
      </w:r>
      <w:r w:rsidR="00D47570">
        <w:rPr>
          <w:lang w:eastAsia="ja-JP"/>
        </w:rPr>
        <w:t xml:space="preserve"> were not implemented, indicator values would remain at their baseline values. </w:t>
      </w:r>
    </w:p>
    <w:p w14:paraId="7FEBC78E" w14:textId="77777777" w:rsidR="002F0BF1" w:rsidRDefault="00DE5BDE" w:rsidP="00072EFB">
      <w:pPr>
        <w:pStyle w:val="BodyText"/>
        <w:rPr>
          <w:lang w:eastAsia="ja-JP"/>
        </w:rPr>
      </w:pPr>
      <w:r>
        <w:rPr>
          <w:lang w:eastAsia="ja-JP"/>
        </w:rPr>
        <w:t xml:space="preserve">The main </w:t>
      </w:r>
      <w:r w:rsidR="009A699D">
        <w:rPr>
          <w:lang w:eastAsia="ja-JP"/>
        </w:rPr>
        <w:t>instrument</w:t>
      </w:r>
      <w:r>
        <w:rPr>
          <w:lang w:eastAsia="ja-JP"/>
        </w:rPr>
        <w:t xml:space="preserve"> the IDB will use to evaluate the Program will be </w:t>
      </w:r>
      <w:r w:rsidR="0073235B">
        <w:rPr>
          <w:lang w:eastAsia="ja-JP"/>
        </w:rPr>
        <w:t>the</w:t>
      </w:r>
      <w:r>
        <w:rPr>
          <w:lang w:eastAsia="ja-JP"/>
        </w:rPr>
        <w:t xml:space="preserve"> Project Completion Report (‘PCR’</w:t>
      </w:r>
      <w:r w:rsidR="0073235B">
        <w:rPr>
          <w:lang w:eastAsia="ja-JP"/>
        </w:rPr>
        <w:t>)</w:t>
      </w:r>
      <w:r w:rsidR="00AF1047">
        <w:rPr>
          <w:lang w:eastAsia="ja-JP"/>
        </w:rPr>
        <w:t xml:space="preserve">, which </w:t>
      </w:r>
      <w:r w:rsidR="0073235B">
        <w:rPr>
          <w:lang w:eastAsia="ja-JP"/>
        </w:rPr>
        <w:t>compares the Program results against baseline values</w:t>
      </w:r>
      <w:r w:rsidR="00403807">
        <w:rPr>
          <w:lang w:eastAsia="ja-JP"/>
        </w:rPr>
        <w:t xml:space="preserve">. The IDB will base the PCR on mid-term and final evaluations and an ex-post CBA. </w:t>
      </w:r>
      <w:r w:rsidR="00296D1F">
        <w:rPr>
          <w:lang w:eastAsia="ja-JP"/>
        </w:rPr>
        <w:t>These</w:t>
      </w:r>
      <w:r w:rsidR="009A699D">
        <w:rPr>
          <w:lang w:eastAsia="ja-JP"/>
        </w:rPr>
        <w:t xml:space="preserve"> instruments</w:t>
      </w:r>
      <w:r>
        <w:rPr>
          <w:lang w:eastAsia="ja-JP"/>
        </w:rPr>
        <w:t xml:space="preserve"> are described in more detail in the following section. </w:t>
      </w:r>
    </w:p>
    <w:p w14:paraId="135392CB" w14:textId="77777777" w:rsidR="001962AD" w:rsidRPr="000D05D1" w:rsidRDefault="00072EFB" w:rsidP="00072EFB">
      <w:pPr>
        <w:pStyle w:val="BodyText"/>
        <w:rPr>
          <w:i/>
        </w:rPr>
      </w:pPr>
      <w:r>
        <w:rPr>
          <w:lang w:eastAsia="ja-JP"/>
        </w:rPr>
        <w:t>Also, i</w:t>
      </w:r>
      <w:r w:rsidR="00296D1F">
        <w:rPr>
          <w:lang w:eastAsia="ja-JP"/>
        </w:rPr>
        <w:t>n addition to the evaluation described in this section, the</w:t>
      </w:r>
      <w:r w:rsidR="00296D1F" w:rsidRPr="00296D1F">
        <w:rPr>
          <w:lang w:eastAsia="ja-JP"/>
        </w:rPr>
        <w:t xml:space="preserve"> </w:t>
      </w:r>
      <w:r w:rsidR="001962AD" w:rsidRPr="00296D1F">
        <w:rPr>
          <w:lang w:eastAsia="ja-JP"/>
        </w:rPr>
        <w:t>IDB Oversight Evaluation Office (OVE)</w:t>
      </w:r>
      <w:r w:rsidR="0046084D" w:rsidRPr="00296D1F">
        <w:rPr>
          <w:lang w:eastAsia="ja-JP"/>
        </w:rPr>
        <w:t xml:space="preserve"> may also separately </w:t>
      </w:r>
      <w:r w:rsidR="001962AD" w:rsidRPr="00296D1F">
        <w:rPr>
          <w:lang w:eastAsia="ja-JP"/>
        </w:rPr>
        <w:t>evaluate the impact of the Program.</w:t>
      </w:r>
      <w:r w:rsidR="001962AD" w:rsidRPr="000D05D1">
        <w:rPr>
          <w:i/>
          <w:lang w:eastAsia="ja-JP"/>
        </w:rPr>
        <w:t xml:space="preserve"> </w:t>
      </w:r>
    </w:p>
    <w:p w14:paraId="08332122" w14:textId="77777777" w:rsidR="00123C6C" w:rsidRDefault="00123C6C" w:rsidP="0009381F">
      <w:pPr>
        <w:pStyle w:val="Heading2"/>
      </w:pPr>
      <w:bookmarkStart w:id="33" w:name="_Toc424286980"/>
      <w:r>
        <w:t>Reporting Results</w:t>
      </w:r>
      <w:bookmarkEnd w:id="33"/>
    </w:p>
    <w:p w14:paraId="2C8ACF59" w14:textId="22AC2B50" w:rsidR="00A14C7B" w:rsidRDefault="00A14C7B" w:rsidP="00A14C7B">
      <w:pPr>
        <w:pStyle w:val="BodyText"/>
        <w:rPr>
          <w:lang w:eastAsia="ja-JP"/>
        </w:rPr>
      </w:pPr>
      <w:r w:rsidRPr="00A74465">
        <w:rPr>
          <w:lang w:eastAsia="ja-JP"/>
        </w:rPr>
        <w:t xml:space="preserve">The EA will be responsible for reporting </w:t>
      </w:r>
      <w:r>
        <w:rPr>
          <w:lang w:eastAsia="ja-JP"/>
        </w:rPr>
        <w:t xml:space="preserve">on the </w:t>
      </w:r>
      <w:r w:rsidRPr="00A74465">
        <w:rPr>
          <w:lang w:eastAsia="ja-JP"/>
        </w:rPr>
        <w:t xml:space="preserve">results of the Program, based on information collected from the EC Governments and private sponsors and on information </w:t>
      </w:r>
      <w:r w:rsidRPr="00A74465">
        <w:rPr>
          <w:lang w:eastAsia="ja-JP"/>
        </w:rPr>
        <w:lastRenderedPageBreak/>
        <w:t xml:space="preserve">from its own systems. </w:t>
      </w:r>
      <w:r>
        <w:t xml:space="preserve">The EA will be responsible for reporting progress and results to the IDB. </w:t>
      </w:r>
      <w:r w:rsidRPr="00A74465">
        <w:rPr>
          <w:lang w:eastAsia="ja-JP"/>
        </w:rPr>
        <w:t>The EA will collect, store, and retain all information to assist the IDB in monitoring performance of the Program.</w:t>
      </w:r>
    </w:p>
    <w:p w14:paraId="6441536F" w14:textId="77777777" w:rsidR="00261A1C" w:rsidRDefault="00261A1C" w:rsidP="00261A1C">
      <w:pPr>
        <w:pStyle w:val="BodyText"/>
      </w:pPr>
      <w:r>
        <w:rPr>
          <w:lang w:eastAsia="ja-JP"/>
        </w:rPr>
        <w:t>T</w:t>
      </w:r>
      <w:r>
        <w:t xml:space="preserve">he INE/ENE Division of the IDB will be responsible for overseeing the execution of the Monitoring and Evaluation Plan for the complete Program, including the funds provided by other donors. As such, they must </w:t>
      </w:r>
      <w:r w:rsidRPr="003F44DC">
        <w:t>report annuall</w:t>
      </w:r>
      <w:r w:rsidRPr="004424E9">
        <w:t>y</w:t>
      </w:r>
      <w:r w:rsidRPr="003F44DC">
        <w:t xml:space="preserve"> to the </w:t>
      </w:r>
      <w:r w:rsidRPr="004424E9">
        <w:t>Clean Technology Fund Trust Fund Committee (</w:t>
      </w:r>
      <w:r w:rsidRPr="003F44DC">
        <w:t>CTF TFC</w:t>
      </w:r>
      <w:r w:rsidRPr="004424E9">
        <w:t>)</w:t>
      </w:r>
      <w:r w:rsidRPr="003F44DC">
        <w:t xml:space="preserve"> </w:t>
      </w:r>
      <w:r>
        <w:t xml:space="preserve">and the Japan International Cooperation Agency (‘JICA’) </w:t>
      </w:r>
      <w:r w:rsidRPr="003F44DC">
        <w:t xml:space="preserve">on </w:t>
      </w:r>
      <w:r>
        <w:t xml:space="preserve">progress towards achieving the results of the Program and </w:t>
      </w:r>
      <w:r w:rsidRPr="003F44DC">
        <w:t>estimation</w:t>
      </w:r>
      <w:r>
        <w:t xml:space="preserve">s </w:t>
      </w:r>
      <w:r w:rsidRPr="003F44DC">
        <w:t>of</w:t>
      </w:r>
      <w:r w:rsidRPr="004424E9">
        <w:t xml:space="preserve"> </w:t>
      </w:r>
      <w:r w:rsidRPr="003F44DC">
        <w:t>results</w:t>
      </w:r>
      <w:r>
        <w:t xml:space="preserve"> (in case of plants in state of construction and non-operational as of reporting date). </w:t>
      </w:r>
    </w:p>
    <w:p w14:paraId="392ABBD1" w14:textId="77777777" w:rsidR="00261A1C" w:rsidRDefault="00261A1C" w:rsidP="00261A1C">
      <w:pPr>
        <w:pStyle w:val="BodyText"/>
      </w:pPr>
      <w:r>
        <w:t>T</w:t>
      </w:r>
      <w:r w:rsidRPr="003A2AFC">
        <w:t>he project team composed by speci</w:t>
      </w:r>
      <w:r>
        <w:t xml:space="preserve">alists from </w:t>
      </w:r>
      <w:r w:rsidRPr="003A2AFC">
        <w:t>INE/ENE</w:t>
      </w:r>
      <w:r w:rsidR="006A2F8F">
        <w:t xml:space="preserve"> and IFD/CMF</w:t>
      </w:r>
      <w:r w:rsidRPr="003A2AFC">
        <w:t xml:space="preserve">, with support </w:t>
      </w:r>
      <w:r>
        <w:t>from the country office in Barbados</w:t>
      </w:r>
      <w:r w:rsidR="00A14C7B">
        <w:t>,</w:t>
      </w:r>
      <w:r>
        <w:t xml:space="preserve"> </w:t>
      </w:r>
      <w:r w:rsidRPr="003A2AFC">
        <w:t xml:space="preserve">will be in charge of following up the execution, monitoring and evaluation of the program. </w:t>
      </w:r>
    </w:p>
    <w:p w14:paraId="37740962" w14:textId="45CB1DAE" w:rsidR="006A0723" w:rsidRDefault="006A0723" w:rsidP="006A0723">
      <w:pPr>
        <w:pStyle w:val="BodyText"/>
        <w:rPr>
          <w:lang w:eastAsia="ja-JP"/>
        </w:rPr>
      </w:pPr>
      <w:r>
        <w:rPr>
          <w:lang w:eastAsia="ja-JP"/>
        </w:rPr>
        <w:t xml:space="preserve">There are </w:t>
      </w:r>
      <w:r w:rsidR="00DD0C35">
        <w:rPr>
          <w:lang w:eastAsia="ja-JP"/>
        </w:rPr>
        <w:t>five</w:t>
      </w:r>
      <w:r>
        <w:rPr>
          <w:lang w:eastAsia="ja-JP"/>
        </w:rPr>
        <w:t xml:space="preserve"> </w:t>
      </w:r>
      <w:r w:rsidR="001962AD">
        <w:rPr>
          <w:lang w:eastAsia="ja-JP"/>
        </w:rPr>
        <w:t>instrument</w:t>
      </w:r>
      <w:r>
        <w:rPr>
          <w:lang w:eastAsia="ja-JP"/>
        </w:rPr>
        <w:t xml:space="preserve">s that the IDB will use to evaluate the Program’s results. The </w:t>
      </w:r>
      <w:r w:rsidR="001962AD">
        <w:rPr>
          <w:lang w:eastAsia="ja-JP"/>
        </w:rPr>
        <w:t>instruments</w:t>
      </w:r>
      <w:r>
        <w:rPr>
          <w:lang w:eastAsia="ja-JP"/>
        </w:rPr>
        <w:t xml:space="preserve"> are as follows:</w:t>
      </w:r>
    </w:p>
    <w:p w14:paraId="742C4E21" w14:textId="77777777" w:rsidR="000114AD" w:rsidRDefault="000114AD" w:rsidP="006A0723">
      <w:pPr>
        <w:pStyle w:val="ListBullet"/>
        <w:rPr>
          <w:lang w:eastAsia="ja-JP"/>
        </w:rPr>
      </w:pPr>
      <w:r>
        <w:rPr>
          <w:lang w:eastAsia="ja-JP"/>
        </w:rPr>
        <w:t>Baseline Values Study</w:t>
      </w:r>
    </w:p>
    <w:p w14:paraId="62BE3276" w14:textId="1E52671D" w:rsidR="006A0723" w:rsidRDefault="006A0723" w:rsidP="006A0723">
      <w:pPr>
        <w:pStyle w:val="ListBullet"/>
        <w:rPr>
          <w:lang w:eastAsia="ja-JP"/>
        </w:rPr>
      </w:pPr>
      <w:r w:rsidRPr="00F8705E">
        <w:rPr>
          <w:lang w:eastAsia="ja-JP"/>
        </w:rPr>
        <w:t>Mid-Term Evaluation</w:t>
      </w:r>
      <w:r w:rsidR="003D707D">
        <w:rPr>
          <w:lang w:eastAsia="ja-JP"/>
        </w:rPr>
        <w:t xml:space="preserve"> and Final Evaluation</w:t>
      </w:r>
      <w:r w:rsidR="00DD0C35">
        <w:rPr>
          <w:lang w:eastAsia="ja-JP"/>
        </w:rPr>
        <w:t xml:space="preserve"> – GEF</w:t>
      </w:r>
    </w:p>
    <w:p w14:paraId="4F183E44" w14:textId="5A4A7968" w:rsidR="00DD0C35" w:rsidRPr="00F8705E" w:rsidRDefault="00DD0C35" w:rsidP="006A0723">
      <w:pPr>
        <w:pStyle w:val="ListBullet"/>
        <w:rPr>
          <w:lang w:eastAsia="ja-JP"/>
        </w:rPr>
      </w:pPr>
      <w:r w:rsidRPr="00F8705E">
        <w:rPr>
          <w:lang w:eastAsia="ja-JP"/>
        </w:rPr>
        <w:t>Mid-Term Evaluation</w:t>
      </w:r>
    </w:p>
    <w:p w14:paraId="35A2B70E" w14:textId="77777777" w:rsidR="006A0723" w:rsidRDefault="006A0723" w:rsidP="006A0723">
      <w:pPr>
        <w:pStyle w:val="ListBullet"/>
        <w:rPr>
          <w:lang w:eastAsia="ja-JP"/>
        </w:rPr>
      </w:pPr>
      <w:r w:rsidRPr="00F8705E">
        <w:rPr>
          <w:lang w:eastAsia="ja-JP"/>
        </w:rPr>
        <w:t>Ex</w:t>
      </w:r>
      <w:r w:rsidR="008D1DE2">
        <w:rPr>
          <w:lang w:eastAsia="ja-JP"/>
        </w:rPr>
        <w:t>-</w:t>
      </w:r>
      <w:r w:rsidRPr="00F8705E">
        <w:rPr>
          <w:lang w:eastAsia="ja-JP"/>
        </w:rPr>
        <w:t>post Cost Benefit Analysis (‘CBA’)</w:t>
      </w:r>
      <w:r w:rsidR="007D71CB">
        <w:rPr>
          <w:lang w:eastAsia="ja-JP"/>
        </w:rPr>
        <w:t xml:space="preserve"> </w:t>
      </w:r>
    </w:p>
    <w:p w14:paraId="6A817BA5" w14:textId="573371BB" w:rsidR="006A0723" w:rsidRPr="00F8705E" w:rsidRDefault="006A0723" w:rsidP="006A0723">
      <w:pPr>
        <w:pStyle w:val="ListBullet"/>
        <w:rPr>
          <w:lang w:eastAsia="ja-JP"/>
        </w:rPr>
      </w:pPr>
      <w:r w:rsidRPr="00F8705E">
        <w:rPr>
          <w:lang w:eastAsia="ja-JP"/>
        </w:rPr>
        <w:t>Project Completion Report</w:t>
      </w:r>
      <w:r w:rsidR="008C726C">
        <w:rPr>
          <w:lang w:eastAsia="ja-JP"/>
        </w:rPr>
        <w:t xml:space="preserve"> </w:t>
      </w:r>
    </w:p>
    <w:p w14:paraId="04714CE6" w14:textId="77777777" w:rsidR="006A0723" w:rsidRDefault="006A0723" w:rsidP="006A0723">
      <w:pPr>
        <w:pStyle w:val="BodyText"/>
      </w:pPr>
      <w:r w:rsidRPr="00232BFF">
        <w:rPr>
          <w:lang w:eastAsia="ja-JP"/>
        </w:rPr>
        <w:t xml:space="preserve">For each </w:t>
      </w:r>
      <w:r w:rsidR="001962AD" w:rsidRPr="00232BFF">
        <w:rPr>
          <w:lang w:eastAsia="ja-JP"/>
        </w:rPr>
        <w:t>instrument</w:t>
      </w:r>
      <w:r w:rsidRPr="00232BFF">
        <w:rPr>
          <w:lang w:eastAsia="ja-JP"/>
        </w:rPr>
        <w:t xml:space="preserve">, the remainder of this section describes its </w:t>
      </w:r>
      <w:r w:rsidRPr="00232BFF">
        <w:t>purpose</w:t>
      </w:r>
      <w:r w:rsidR="008D1DE2">
        <w:t xml:space="preserve">, </w:t>
      </w:r>
      <w:r w:rsidR="00A57E08">
        <w:t xml:space="preserve">the </w:t>
      </w:r>
      <w:r w:rsidR="008D1DE2">
        <w:t>entities responsible for preparing</w:t>
      </w:r>
      <w:r w:rsidR="00F77A26">
        <w:t xml:space="preserve"> i</w:t>
      </w:r>
      <w:r w:rsidR="008D1DE2">
        <w:t>t</w:t>
      </w:r>
      <w:r w:rsidR="00420858">
        <w:t>, and, when applicable, the methodology used in its preparation</w:t>
      </w:r>
      <w:r w:rsidRPr="00232BFF">
        <w:t>.</w:t>
      </w:r>
    </w:p>
    <w:p w14:paraId="099FD2DF" w14:textId="77777777" w:rsidR="000114AD" w:rsidRDefault="000114AD" w:rsidP="002F0BF1">
      <w:pPr>
        <w:pStyle w:val="Subheading"/>
      </w:pPr>
      <w:r>
        <w:t>Baseline Values Study</w:t>
      </w:r>
    </w:p>
    <w:p w14:paraId="53697B25" w14:textId="77777777" w:rsidR="000114AD" w:rsidRDefault="000114AD" w:rsidP="000114AD">
      <w:pPr>
        <w:pStyle w:val="BodyText"/>
      </w:pPr>
      <w:r>
        <w:t>The Baseline Values Study will establish the baseline values of the indicators that will be used to evaluate the Program. This study is a key input of the Evaluation Plan and so must be measured at the start of the Program. The IDB is responsible for carrying out the Baseline Values St</w:t>
      </w:r>
      <w:r w:rsidR="001179B3">
        <w:t>udy with support from the EA, and the Governments, utilities, private sponsors, and projects in EC countries.</w:t>
      </w:r>
    </w:p>
    <w:p w14:paraId="56276946" w14:textId="2809D3CA" w:rsidR="00DD0C35" w:rsidRPr="00DD0C35" w:rsidRDefault="00DD0C35" w:rsidP="00DD0C35">
      <w:pPr>
        <w:pStyle w:val="Subheading"/>
      </w:pPr>
      <w:r w:rsidRPr="00DD0C35">
        <w:t xml:space="preserve">Midterm and Terminal evaluation - GEF </w:t>
      </w:r>
    </w:p>
    <w:p w14:paraId="4C117E4F" w14:textId="40FE94B2" w:rsidR="00DD0C35" w:rsidRPr="00DD0C35" w:rsidRDefault="00DD0C35" w:rsidP="00DD0C35">
      <w:pPr>
        <w:pStyle w:val="BodyText"/>
      </w:pPr>
      <w:r w:rsidRPr="00DD0C35">
        <w:t xml:space="preserve">A mid-term and a terminal evaluation will be conducted according to GEF guidelines to review and evaluate the achievements attained during the implementation of the GEF grant as regards the fulfillment of its objectives, outputs, results framework and work plan. </w:t>
      </w:r>
    </w:p>
    <w:p w14:paraId="10A614E2" w14:textId="5562EFDA" w:rsidR="006A0723" w:rsidRPr="00F8705E" w:rsidRDefault="006A0723" w:rsidP="002F0BF1">
      <w:pPr>
        <w:pStyle w:val="Subheading"/>
      </w:pPr>
      <w:r w:rsidRPr="00F8705E">
        <w:t xml:space="preserve">Mid Term Evaluation </w:t>
      </w:r>
    </w:p>
    <w:p w14:paraId="4E7BDECB" w14:textId="33350663" w:rsidR="00F77A26" w:rsidRPr="00762E33" w:rsidRDefault="00F70EF5" w:rsidP="00F77A26">
      <w:pPr>
        <w:pStyle w:val="BodyText"/>
      </w:pPr>
      <w:r>
        <w:t xml:space="preserve">The </w:t>
      </w:r>
      <w:r w:rsidR="00620F11" w:rsidRPr="00D46033">
        <w:t>Mid-term</w:t>
      </w:r>
      <w:r w:rsidR="003D707D" w:rsidRPr="00D46033">
        <w:t xml:space="preserve"> Evaluation </w:t>
      </w:r>
      <w:r>
        <w:t>is</w:t>
      </w:r>
      <w:r w:rsidRPr="00D46033">
        <w:t xml:space="preserve"> </w:t>
      </w:r>
      <w:r w:rsidR="006A0723" w:rsidRPr="00D46033">
        <w:t xml:space="preserve">designed to </w:t>
      </w:r>
      <w:r w:rsidR="00A57E08" w:rsidRPr="00762E33">
        <w:t>assess</w:t>
      </w:r>
      <w:r w:rsidR="00A57E08">
        <w:t xml:space="preserve"> the performance of the Program, by reviewing whether the Program has met </w:t>
      </w:r>
      <w:r w:rsidR="003D707D" w:rsidRPr="00D46033">
        <w:t>the targets set for the evaluation indicators.</w:t>
      </w:r>
      <w:r w:rsidR="00F77A26">
        <w:t xml:space="preserve"> </w:t>
      </w:r>
      <w:r w:rsidR="00F77A26" w:rsidRPr="00762E33">
        <w:t xml:space="preserve">Specifically, the evaluation will verify the reported progress of the Program, assess Program’s performance against the planned results, and assess the </w:t>
      </w:r>
      <w:r w:rsidR="00F77A26">
        <w:t>EA</w:t>
      </w:r>
      <w:r w:rsidR="00F77A26" w:rsidRPr="00762E33">
        <w:t>’s performance in coordinating and executing the Program. These evaluation will also identify ways that the Program’s operations could be improved and will identify lessons learned</w:t>
      </w:r>
      <w:r w:rsidR="00F77A26">
        <w:t>.</w:t>
      </w:r>
      <w:r w:rsidR="000114AD">
        <w:t xml:space="preserve"> </w:t>
      </w:r>
      <w:r>
        <w:t xml:space="preserve">A </w:t>
      </w:r>
      <w:r w:rsidR="008F76E6">
        <w:t xml:space="preserve">Final Evaluation will be </w:t>
      </w:r>
      <w:r>
        <w:t>completed as part of</w:t>
      </w:r>
      <w:r w:rsidR="008F76E6">
        <w:t xml:space="preserve"> the Project Completion Report discussed in further detail below and presented in Paragraph 3.1</w:t>
      </w:r>
      <w:r>
        <w:t>2</w:t>
      </w:r>
      <w:r w:rsidR="008F76E6">
        <w:t xml:space="preserve"> of the Proposal for Development.</w:t>
      </w:r>
    </w:p>
    <w:p w14:paraId="011EF089" w14:textId="6485824A" w:rsidR="003D707D" w:rsidRPr="00D46033" w:rsidRDefault="003D707D" w:rsidP="006A0723">
      <w:pPr>
        <w:pStyle w:val="BodyText"/>
      </w:pPr>
      <w:r w:rsidRPr="00D46033">
        <w:lastRenderedPageBreak/>
        <w:t xml:space="preserve">The EA is responsible for hiring the independent consultant that will prepare </w:t>
      </w:r>
      <w:r w:rsidR="00F77A26">
        <w:t>the Mid Term Evaluation</w:t>
      </w:r>
      <w:r w:rsidRPr="00D46033">
        <w:t xml:space="preserve">. In addition, the EA is responsible for providing the independent consultant the information needed to complete </w:t>
      </w:r>
      <w:r w:rsidR="00F70EF5">
        <w:t>it</w:t>
      </w:r>
      <w:r w:rsidRPr="00D46033">
        <w:t xml:space="preserve">. Once completed, the EA must submit the Mid-term Evaluation to the IDB for its </w:t>
      </w:r>
      <w:r w:rsidR="00D46033" w:rsidRPr="00D46033">
        <w:t xml:space="preserve">review and non-objection. The Mid-term Evaluation </w:t>
      </w:r>
      <w:r w:rsidR="00F70EF5">
        <w:t>is</w:t>
      </w:r>
      <w:r w:rsidR="00F70EF5" w:rsidRPr="00D46033">
        <w:t xml:space="preserve"> </w:t>
      </w:r>
      <w:r w:rsidR="00D46033" w:rsidRPr="00D46033">
        <w:t xml:space="preserve">due </w:t>
      </w:r>
      <w:r w:rsidR="00F70EF5">
        <w:t>o</w:t>
      </w:r>
      <w:r w:rsidR="00F70EF5" w:rsidRPr="00F70EF5">
        <w:t>nce 50% of loan resources are disbursed, or after 4 years from the eligibility of disbursements, whichever is earlier</w:t>
      </w:r>
      <w:r w:rsidR="00D46033" w:rsidRPr="00D46033">
        <w:t xml:space="preserve">.  </w:t>
      </w:r>
    </w:p>
    <w:p w14:paraId="1AFE62A2" w14:textId="77777777" w:rsidR="00A57E08" w:rsidRPr="00F77A26" w:rsidRDefault="00F77A26" w:rsidP="002F0BF1">
      <w:pPr>
        <w:pStyle w:val="Subheading"/>
      </w:pPr>
      <w:r w:rsidRPr="00F77A26">
        <w:t>Expost Cost Benefit Analysis</w:t>
      </w:r>
    </w:p>
    <w:p w14:paraId="2C1A906F" w14:textId="5B62873E" w:rsidR="006C7DCA" w:rsidRDefault="00134AF8" w:rsidP="002A04AA">
      <w:pPr>
        <w:pStyle w:val="BodyText"/>
        <w:rPr>
          <w:szCs w:val="20"/>
        </w:rPr>
      </w:pPr>
      <w:r>
        <w:t>The ex-post Cost Benefit Analysis (‘</w:t>
      </w:r>
      <w:r w:rsidR="006C7DCA">
        <w:t xml:space="preserve">ex-post </w:t>
      </w:r>
      <w:r>
        <w:t xml:space="preserve">CBA’) is designed to measure the economic impact of the Program. </w:t>
      </w:r>
      <w:r w:rsidR="006C7DCA">
        <w:t>The ex-post CBA will measure whether the actual economic benefits of the Program exceeded its actual economic costs</w:t>
      </w:r>
      <w:r w:rsidR="004203BE">
        <w:t xml:space="preserve"> and how these compared to estimations made when the Program was designed</w:t>
      </w:r>
      <w:r w:rsidR="006C7DCA">
        <w:t>.</w:t>
      </w:r>
      <w:r w:rsidR="00C46290">
        <w:t xml:space="preserve"> It will also assess </w:t>
      </w:r>
      <w:r w:rsidR="00C46290" w:rsidDel="00C46290">
        <w:t xml:space="preserve">the financial costs and benefits of the geothermal projects to </w:t>
      </w:r>
      <w:r w:rsidR="00C46290">
        <w:t xml:space="preserve">private </w:t>
      </w:r>
      <w:r w:rsidR="00C46290" w:rsidDel="00C46290">
        <w:t>investors</w:t>
      </w:r>
      <w:r w:rsidR="00C46290">
        <w:t xml:space="preserve"> or PPP.</w:t>
      </w:r>
      <w:r w:rsidR="006C7DCA">
        <w:t xml:space="preserve"> </w:t>
      </w:r>
      <w:r w:rsidR="002A04AA">
        <w:t xml:space="preserve">Comparing the ex-post CBA with the ex-ante CBA </w:t>
      </w:r>
      <w:r w:rsidR="00152C26">
        <w:t xml:space="preserve">will identify what factors led to discrepancies between the estimated costs and benefits included in the ex-ante CBA and the </w:t>
      </w:r>
      <w:r w:rsidR="002A04AA">
        <w:t xml:space="preserve">actual </w:t>
      </w:r>
      <w:r w:rsidR="00152C26">
        <w:t xml:space="preserve">costs and benefits observed </w:t>
      </w:r>
      <w:r w:rsidR="002A04AA">
        <w:t xml:space="preserve">at the Program’s completion. </w:t>
      </w:r>
      <w:r w:rsidR="00A32CC4">
        <w:t>For this reason, t</w:t>
      </w:r>
      <w:r w:rsidR="006C7DCA">
        <w:rPr>
          <w:szCs w:val="20"/>
        </w:rPr>
        <w:t xml:space="preserve">he </w:t>
      </w:r>
      <w:r w:rsidR="00A32CC4">
        <w:rPr>
          <w:szCs w:val="20"/>
        </w:rPr>
        <w:t xml:space="preserve">ex-post </w:t>
      </w:r>
      <w:r w:rsidR="006C7DCA">
        <w:rPr>
          <w:szCs w:val="20"/>
        </w:rPr>
        <w:t xml:space="preserve">CBA will follow the </w:t>
      </w:r>
      <w:r w:rsidR="00A32CC4">
        <w:rPr>
          <w:szCs w:val="20"/>
        </w:rPr>
        <w:t xml:space="preserve">same </w:t>
      </w:r>
      <w:r w:rsidR="006C7DCA">
        <w:rPr>
          <w:szCs w:val="20"/>
        </w:rPr>
        <w:t xml:space="preserve">methodology used for </w:t>
      </w:r>
      <w:r w:rsidR="004203BE">
        <w:rPr>
          <w:szCs w:val="20"/>
        </w:rPr>
        <w:t>preparing</w:t>
      </w:r>
      <w:r w:rsidR="006C7DCA">
        <w:rPr>
          <w:szCs w:val="20"/>
        </w:rPr>
        <w:t xml:space="preserve"> the ex-ante CBA </w:t>
      </w:r>
      <w:r w:rsidR="00C80A3F">
        <w:rPr>
          <w:szCs w:val="20"/>
        </w:rPr>
        <w:t>p</w:t>
      </w:r>
      <w:r w:rsidR="006C7DCA">
        <w:rPr>
          <w:szCs w:val="20"/>
        </w:rPr>
        <w:t xml:space="preserve">resented in </w:t>
      </w:r>
      <w:r w:rsidR="00E1796F">
        <w:rPr>
          <w:szCs w:val="20"/>
        </w:rPr>
        <w:t xml:space="preserve">Section </w:t>
      </w:r>
      <w:r w:rsidR="00E1796F">
        <w:rPr>
          <w:szCs w:val="20"/>
        </w:rPr>
        <w:fldChar w:fldCharType="begin"/>
      </w:r>
      <w:r w:rsidR="00E1796F">
        <w:rPr>
          <w:szCs w:val="20"/>
        </w:rPr>
        <w:instrText xml:space="preserve"> REF _Ref423617652 \r \h </w:instrText>
      </w:r>
      <w:r w:rsidR="00E1796F">
        <w:rPr>
          <w:szCs w:val="20"/>
        </w:rPr>
      </w:r>
      <w:r w:rsidR="00E1796F">
        <w:rPr>
          <w:szCs w:val="20"/>
        </w:rPr>
        <w:fldChar w:fldCharType="separate"/>
      </w:r>
      <w:r w:rsidR="00E1796F">
        <w:rPr>
          <w:szCs w:val="20"/>
        </w:rPr>
        <w:t>3.2</w:t>
      </w:r>
      <w:r w:rsidR="00E1796F">
        <w:rPr>
          <w:szCs w:val="20"/>
        </w:rPr>
        <w:fldChar w:fldCharType="end"/>
      </w:r>
      <w:r w:rsidR="00E1796F">
        <w:rPr>
          <w:szCs w:val="20"/>
        </w:rPr>
        <w:t xml:space="preserve"> and in</w:t>
      </w:r>
      <w:r w:rsidR="006C7DCA">
        <w:rPr>
          <w:szCs w:val="20"/>
        </w:rPr>
        <w:t xml:space="preserve"> </w:t>
      </w:r>
      <w:r w:rsidR="006A2F8F">
        <w:t xml:space="preserve">the </w:t>
      </w:r>
      <w:hyperlink r:id="rId15" w:history="1">
        <w:r w:rsidR="006A2F8F" w:rsidRPr="00894A42">
          <w:rPr>
            <w:rStyle w:val="Hyperlink"/>
          </w:rPr>
          <w:t>Cost Benefit Analysis Report</w:t>
        </w:r>
      </w:hyperlink>
      <w:r w:rsidR="006A2F8F">
        <w:t xml:space="preserve"> which is an Optional Electronic Link of the POD.</w:t>
      </w:r>
      <w:r w:rsidR="006C7DCA">
        <w:rPr>
          <w:szCs w:val="20"/>
        </w:rPr>
        <w:t xml:space="preserve"> </w:t>
      </w:r>
    </w:p>
    <w:p w14:paraId="180DC778" w14:textId="22618FA2" w:rsidR="00C46290" w:rsidDel="00C46290" w:rsidRDefault="00C46290" w:rsidP="00C46290">
      <w:pPr>
        <w:pStyle w:val="BodyText"/>
      </w:pPr>
      <w:r w:rsidDel="00C46290">
        <w:t xml:space="preserve">In assessing the financial costs and benefits of the geothermal projects to the investors, the ex-post </w:t>
      </w:r>
      <w:r>
        <w:t>CBA</w:t>
      </w:r>
      <w:r w:rsidDel="00C46290">
        <w:t xml:space="preserve"> will determine the cost of electricity service with the new geothermal capacity. </w:t>
      </w:r>
      <w:r w:rsidRPr="00F54C08" w:rsidDel="00C46290">
        <w:t xml:space="preserve">Due to the long maturities associated to these projects, </w:t>
      </w:r>
      <w:r w:rsidDel="00C46290">
        <w:t>p</w:t>
      </w:r>
      <w:r w:rsidRPr="00F54C08" w:rsidDel="00C46290">
        <w:t xml:space="preserve">rojects financed </w:t>
      </w:r>
      <w:r w:rsidDel="00C46290">
        <w:t>from early exploration</w:t>
      </w:r>
      <w:r w:rsidRPr="00F54C08" w:rsidDel="00C46290">
        <w:t xml:space="preserve"> </w:t>
      </w:r>
      <w:r w:rsidDel="00C46290">
        <w:t xml:space="preserve">may not be fully operational until past the timeframe of evaluation. As such, indicator values that depend on when power plants are commissioned will be estimated. The ex-post </w:t>
      </w:r>
      <w:r>
        <w:t>CBA</w:t>
      </w:r>
      <w:r w:rsidDel="00C46290">
        <w:t xml:space="preserve"> will be the instrument to estimate the estimated decrease in cost of service based on up to date information about resource quality, estimated installed capacity, and the estimated timelines for the geothermal power plants to come on line.</w:t>
      </w:r>
    </w:p>
    <w:p w14:paraId="15464DDC" w14:textId="045A1779" w:rsidR="00E1796F" w:rsidRDefault="00E1796F" w:rsidP="00E1796F">
      <w:pPr>
        <w:pStyle w:val="BodyText"/>
      </w:pPr>
      <w:r>
        <w:t>To carry out the ex-post CBA,</w:t>
      </w:r>
      <w:r w:rsidRPr="00762E33">
        <w:t xml:space="preserve"> </w:t>
      </w:r>
      <w:r>
        <w:t xml:space="preserve">a methodology that </w:t>
      </w:r>
      <w:r>
        <w:rPr>
          <w:rStyle w:val="BodyTextChar"/>
        </w:rPr>
        <w:t xml:space="preserve">complies with the IDB Guidelines for Economic Analysis will be used. Specifically, the </w:t>
      </w:r>
      <w:r>
        <w:t>PVs of the project</w:t>
      </w:r>
      <w:r w:rsidRPr="00762E33">
        <w:t>s</w:t>
      </w:r>
      <w:r>
        <w:t>’ net benefits will be estimated based on current information for the EA, Governments, and private project sponsors</w:t>
      </w:r>
      <w:r w:rsidRPr="00762E33">
        <w:t>.</w:t>
      </w:r>
      <w:r>
        <w:t xml:space="preserve"> To do so the PV of the projects’ benefits and costs will be estimated. For calculating the projects’ benefits, the s</w:t>
      </w:r>
      <w:r>
        <w:rPr>
          <w:rStyle w:val="BodyTextChar"/>
        </w:rPr>
        <w:t xml:space="preserve">avings in electricity expenditures and the monetary value of greenhouse gas emissions displaced by the projects will be estimated. For calculating the projects’ costs, the full economic costs incurred during the implementation of the projects will be included, including the costs that were not financed by the Program. Then the difference between these two values will be calculated and the present value of that difference will be found. That PV is the result of the ex-post CBA. If the PV is positive, the projects will have been economically viable. </w:t>
      </w:r>
      <w:r w:rsidRPr="00762E33">
        <w:t>To determine the projects</w:t>
      </w:r>
      <w:r>
        <w:t>’</w:t>
      </w:r>
      <w:r w:rsidRPr="00762E33">
        <w:t xml:space="preserve"> net benefits, we estimate the </w:t>
      </w:r>
      <w:r>
        <w:t xml:space="preserve">annual </w:t>
      </w:r>
      <w:r w:rsidRPr="00762E33">
        <w:t xml:space="preserve">economic costs and benefits for a </w:t>
      </w:r>
      <w:r>
        <w:t xml:space="preserve">period of </w:t>
      </w:r>
      <w:r w:rsidR="00A848AA">
        <w:t>40</w:t>
      </w:r>
      <w:r>
        <w:t xml:space="preserve"> years and a period of 15</w:t>
      </w:r>
      <w:r w:rsidRPr="004804EB">
        <w:t xml:space="preserve"> years</w:t>
      </w:r>
      <w:r>
        <w:t xml:space="preserve"> for geothermal projects and energy efficiency projects, respectively</w:t>
      </w:r>
      <w:r w:rsidRPr="004804EB">
        <w:t>.</w:t>
      </w:r>
      <w:r>
        <w:t xml:space="preserve"> </w:t>
      </w:r>
      <w:r w:rsidR="00BA6F43">
        <w:t xml:space="preserve">Section </w:t>
      </w:r>
      <w:r w:rsidR="00BA6F43">
        <w:fldChar w:fldCharType="begin"/>
      </w:r>
      <w:r w:rsidR="00BA6F43">
        <w:instrText xml:space="preserve"> REF _Ref423623496 \r \h </w:instrText>
      </w:r>
      <w:r w:rsidR="00BA6F43">
        <w:fldChar w:fldCharType="separate"/>
      </w:r>
      <w:r w:rsidR="00BA6F43">
        <w:t>3.2</w:t>
      </w:r>
      <w:r w:rsidR="00BA6F43">
        <w:fldChar w:fldCharType="end"/>
      </w:r>
      <w:r w:rsidR="00BA6F43">
        <w:t xml:space="preserve"> contains </w:t>
      </w:r>
      <w:r w:rsidR="00994282">
        <w:t>t</w:t>
      </w:r>
      <w:r w:rsidR="00BA6F43">
        <w:t>he main assumptions used</w:t>
      </w:r>
      <w:r w:rsidRPr="004804EB">
        <w:t>.</w:t>
      </w:r>
      <w:r>
        <w:t xml:space="preserve"> </w:t>
      </w:r>
    </w:p>
    <w:p w14:paraId="1223BE6B" w14:textId="119789E3" w:rsidR="00F77A26" w:rsidRDefault="00375149" w:rsidP="006F72BF">
      <w:pPr>
        <w:pStyle w:val="BodyText"/>
      </w:pPr>
      <w:r>
        <w:t xml:space="preserve">The </w:t>
      </w:r>
      <w:r w:rsidR="00DD0C35">
        <w:t>C</w:t>
      </w:r>
      <w:r>
        <w:t xml:space="preserve">DB is responsible for hiring the independent consultant that will prepare the </w:t>
      </w:r>
      <w:r w:rsidR="00D35244">
        <w:t xml:space="preserve">ex-post </w:t>
      </w:r>
      <w:r>
        <w:t>CBA</w:t>
      </w:r>
      <w:r w:rsidR="006D7D3B">
        <w:t xml:space="preserve">, and reviewing and approving the final draft of the </w:t>
      </w:r>
      <w:r w:rsidR="00D35244">
        <w:t xml:space="preserve">ex-post </w:t>
      </w:r>
      <w:r w:rsidR="006D7D3B">
        <w:t>CBA</w:t>
      </w:r>
      <w:r>
        <w:t>. The EA is responsible for providing the independent consultant with the information needed to complete the</w:t>
      </w:r>
      <w:r w:rsidR="00D35244">
        <w:t xml:space="preserve"> ex-post </w:t>
      </w:r>
      <w:r>
        <w:t xml:space="preserve">CBA. In addition, the EA will coordinate with local authorities in EC countries to obtain </w:t>
      </w:r>
      <w:r w:rsidR="006D7D3B">
        <w:t xml:space="preserve">any </w:t>
      </w:r>
      <w:r>
        <w:t xml:space="preserve">information </w:t>
      </w:r>
      <w:r w:rsidR="006D7D3B">
        <w:t xml:space="preserve">that the external consultant may require to complete the </w:t>
      </w:r>
      <w:r w:rsidR="00D35244">
        <w:t xml:space="preserve">ex-post </w:t>
      </w:r>
      <w:r w:rsidR="006D7D3B">
        <w:t xml:space="preserve">CBA. </w:t>
      </w:r>
    </w:p>
    <w:p w14:paraId="0CB45A48" w14:textId="7D12D2C9" w:rsidR="00C46290" w:rsidRDefault="00C46290" w:rsidP="006F72BF">
      <w:pPr>
        <w:pStyle w:val="BodyText"/>
      </w:pPr>
      <w:r>
        <w:lastRenderedPageBreak/>
        <w:t>The ex-post CBA will be developed as part of the Project Completion Report completed for the Program.</w:t>
      </w:r>
    </w:p>
    <w:p w14:paraId="6222B556" w14:textId="7C00D83F" w:rsidR="008C726C" w:rsidRPr="00F8705E" w:rsidRDefault="008C726C" w:rsidP="008C726C">
      <w:pPr>
        <w:pStyle w:val="Subheading"/>
        <w:rPr>
          <w:lang w:eastAsia="ja-JP"/>
        </w:rPr>
      </w:pPr>
      <w:r w:rsidRPr="00F8705E">
        <w:rPr>
          <w:lang w:eastAsia="ja-JP"/>
        </w:rPr>
        <w:t>Project Completion Report</w:t>
      </w:r>
      <w:r>
        <w:rPr>
          <w:lang w:eastAsia="ja-JP"/>
        </w:rPr>
        <w:t xml:space="preserve"> for the Program </w:t>
      </w:r>
    </w:p>
    <w:p w14:paraId="7DD5C1AF" w14:textId="4B57AD08" w:rsidR="00C27A53" w:rsidRDefault="00AE7C20" w:rsidP="003B569F">
      <w:pPr>
        <w:pStyle w:val="BodyText"/>
      </w:pPr>
      <w:r>
        <w:t xml:space="preserve">The Project Completion Report (PCR) is designed to assess and document the performance of the Program. </w:t>
      </w:r>
      <w:r w:rsidR="009F3118">
        <w:t>A PC</w:t>
      </w:r>
      <w:r w:rsidR="00F70EF5">
        <w:t>R</w:t>
      </w:r>
      <w:r w:rsidR="009F3118">
        <w:t xml:space="preserve"> will </w:t>
      </w:r>
      <w:r w:rsidR="008D7EAC">
        <w:t>be completed for the Program</w:t>
      </w:r>
      <w:r w:rsidR="00F70EF5">
        <w:t xml:space="preserve"> as a whole including the results of each sub-project </w:t>
      </w:r>
      <w:r w:rsidR="008D7EAC">
        <w:t>financed through the Program</w:t>
      </w:r>
      <w:r>
        <w:t xml:space="preserve">. </w:t>
      </w:r>
      <w:r w:rsidR="003B569F">
        <w:t xml:space="preserve">The PCR evaluates three main areas: whether the Program </w:t>
      </w:r>
      <w:r w:rsidR="008D7EAC">
        <w:t xml:space="preserve">and </w:t>
      </w:r>
      <w:r w:rsidR="00F70EF5">
        <w:t xml:space="preserve">sub-projects </w:t>
      </w:r>
      <w:r w:rsidR="003B569F">
        <w:t xml:space="preserve">met </w:t>
      </w:r>
      <w:r w:rsidR="00F70EF5">
        <w:t xml:space="preserve">their </w:t>
      </w:r>
      <w:r w:rsidR="003B569F">
        <w:t xml:space="preserve">targets for results indicators, whether the results are sustainable, and the issues that affected how successful the Program </w:t>
      </w:r>
      <w:r w:rsidR="008D7EAC">
        <w:t xml:space="preserve">and </w:t>
      </w:r>
      <w:r w:rsidR="00F70EF5">
        <w:t xml:space="preserve">sub-projects were </w:t>
      </w:r>
      <w:r w:rsidR="003B569F">
        <w:t xml:space="preserve">in achieving </w:t>
      </w:r>
      <w:r w:rsidR="00F70EF5">
        <w:t xml:space="preserve">their </w:t>
      </w:r>
      <w:r w:rsidR="003B569F">
        <w:t>intended results.</w:t>
      </w:r>
    </w:p>
    <w:p w14:paraId="0C745714" w14:textId="6D2EFD3E" w:rsidR="00836B1A" w:rsidRDefault="003B569F" w:rsidP="00AE7C20">
      <w:pPr>
        <w:pStyle w:val="BodyText"/>
      </w:pPr>
      <w:r>
        <w:t xml:space="preserve">In evaluating whether the Program </w:t>
      </w:r>
      <w:r w:rsidR="008D7EAC">
        <w:t>and</w:t>
      </w:r>
      <w:r w:rsidR="00F70EF5" w:rsidRPr="00F70EF5">
        <w:t xml:space="preserve"> </w:t>
      </w:r>
      <w:r w:rsidR="00F70EF5">
        <w:t>sub-projects</w:t>
      </w:r>
      <w:r>
        <w:t xml:space="preserve"> met the targets for results indicators</w:t>
      </w:r>
      <w:r w:rsidR="00C27A53">
        <w:t>,</w:t>
      </w:r>
      <w:r>
        <w:t xml:space="preserve"> the PCR uses a before and after methodology that compares the baseline values of the results indicators against the indicator values after the Program </w:t>
      </w:r>
      <w:r w:rsidR="008D7EAC">
        <w:t>and/or Project</w:t>
      </w:r>
      <w:r>
        <w:t xml:space="preserve"> is completed.</w:t>
      </w:r>
      <w:r w:rsidR="002C55FC">
        <w:t xml:space="preserve"> </w:t>
      </w:r>
      <w:r w:rsidR="00C46290">
        <w:t xml:space="preserve">As part of the </w:t>
      </w:r>
      <w:r w:rsidR="008D7EAC">
        <w:t xml:space="preserve">PCR completed for the Program, </w:t>
      </w:r>
      <w:r w:rsidR="00C46290">
        <w:t xml:space="preserve">an </w:t>
      </w:r>
      <w:r w:rsidR="002C55FC">
        <w:t xml:space="preserve">ex-post </w:t>
      </w:r>
      <w:r w:rsidR="00C46290">
        <w:t>Cost Benefit Analysis (</w:t>
      </w:r>
      <w:r w:rsidR="002C55FC">
        <w:t>CBA</w:t>
      </w:r>
      <w:r w:rsidR="00C46290">
        <w:t>) will be developed</w:t>
      </w:r>
      <w:r w:rsidR="002C55FC">
        <w:t xml:space="preserve">. </w:t>
      </w:r>
    </w:p>
    <w:p w14:paraId="663D6185" w14:textId="3EB63407" w:rsidR="00836B1A" w:rsidRDefault="00836B1A" w:rsidP="00AE7C20">
      <w:pPr>
        <w:pStyle w:val="BodyText"/>
      </w:pPr>
      <w:r>
        <w:t xml:space="preserve">The evaluation of the sustainability of the results and the issues that affected the Program’s </w:t>
      </w:r>
      <w:r w:rsidR="008D7EAC">
        <w:t>and/or projects’</w:t>
      </w:r>
      <w:r>
        <w:t xml:space="preserve"> implementation is focused on </w:t>
      </w:r>
      <w:r w:rsidRPr="00C80A3F">
        <w:t xml:space="preserve">evaluating risks. </w:t>
      </w:r>
      <w:r w:rsidR="003B569F" w:rsidRPr="00C80A3F">
        <w:t>In evaluating whether the results are sustainable, the</w:t>
      </w:r>
      <w:r w:rsidR="00C27A53" w:rsidRPr="00C80A3F">
        <w:t xml:space="preserve"> PCR identifies the risks that could affect the sustainability of the Program’s </w:t>
      </w:r>
      <w:r w:rsidR="008D7EAC">
        <w:t xml:space="preserve">and/or projects’ </w:t>
      </w:r>
      <w:r w:rsidR="00C27A53" w:rsidRPr="00C80A3F">
        <w:t>results</w:t>
      </w:r>
      <w:r w:rsidR="004405F5" w:rsidRPr="00C80A3F">
        <w:t>, and their likelihood</w:t>
      </w:r>
      <w:r w:rsidR="00C27A53" w:rsidRPr="00C80A3F">
        <w:t xml:space="preserve"> and </w:t>
      </w:r>
      <w:r w:rsidR="004405F5" w:rsidRPr="00C80A3F">
        <w:t>severity.</w:t>
      </w:r>
      <w:r w:rsidR="00C27A53" w:rsidRPr="00C80A3F">
        <w:t xml:space="preserve"> The four main</w:t>
      </w:r>
      <w:r w:rsidR="004405F5" w:rsidRPr="00C80A3F">
        <w:t xml:space="preserve"> kinds </w:t>
      </w:r>
      <w:r w:rsidR="00C27A53" w:rsidRPr="00C80A3F">
        <w:t xml:space="preserve">of risks that should be considered include: financial risks, sociopolitical risks, institutional framework and governance risks, and environmental risks. </w:t>
      </w:r>
      <w:r w:rsidR="004405F5" w:rsidRPr="00C80A3F">
        <w:t>In</w:t>
      </w:r>
      <w:r w:rsidR="004405F5">
        <w:t xml:space="preserve"> evaluating issues</w:t>
      </w:r>
      <w:r w:rsidR="00C80A3F">
        <w:t xml:space="preserve">, </w:t>
      </w:r>
      <w:r w:rsidR="002C55FC">
        <w:t xml:space="preserve">the PCR considers </w:t>
      </w:r>
      <w:r>
        <w:t xml:space="preserve">the risks that were not properly mitigated </w:t>
      </w:r>
      <w:r w:rsidR="00C80A3F">
        <w:t xml:space="preserve">against and </w:t>
      </w:r>
      <w:r>
        <w:t>turned into issues that affected the implementation of the Program</w:t>
      </w:r>
      <w:r w:rsidR="008D7EAC">
        <w:t xml:space="preserve"> and</w:t>
      </w:r>
      <w:r w:rsidR="00F70EF5" w:rsidRPr="00F70EF5">
        <w:t xml:space="preserve"> </w:t>
      </w:r>
      <w:r w:rsidR="00F70EF5">
        <w:t>sub-projects</w:t>
      </w:r>
      <w:r>
        <w:t xml:space="preserve">. Examples can include poor local implementation capacities and delays and effects thereof on </w:t>
      </w:r>
      <w:r w:rsidR="001D48D0">
        <w:t>the Program’s</w:t>
      </w:r>
      <w:r>
        <w:t xml:space="preserve"> </w:t>
      </w:r>
      <w:r w:rsidR="008D7EAC">
        <w:t xml:space="preserve">and/or projects’ </w:t>
      </w:r>
      <w:r>
        <w:t xml:space="preserve">results. </w:t>
      </w:r>
    </w:p>
    <w:p w14:paraId="42E71635" w14:textId="34B91097" w:rsidR="00E131BF" w:rsidRDefault="00E131BF" w:rsidP="00E131BF">
      <w:pPr>
        <w:pStyle w:val="BodyText"/>
      </w:pPr>
    </w:p>
    <w:p w14:paraId="3A4C5BB2" w14:textId="77777777" w:rsidR="00C46290" w:rsidRDefault="00C46290" w:rsidP="00E131BF">
      <w:pPr>
        <w:pStyle w:val="BodyText"/>
      </w:pPr>
    </w:p>
    <w:p w14:paraId="4DBB1030" w14:textId="77777777" w:rsidR="00123C6C" w:rsidRDefault="00123C6C" w:rsidP="0009381F">
      <w:pPr>
        <w:pStyle w:val="Heading2"/>
      </w:pPr>
      <w:bookmarkStart w:id="34" w:name="_Toc424286981"/>
      <w:r>
        <w:t>Evaluation Coordination, Work Plan, and Budget</w:t>
      </w:r>
      <w:bookmarkEnd w:id="34"/>
    </w:p>
    <w:p w14:paraId="1C68E5D8" w14:textId="328E3E34" w:rsidR="00B00213" w:rsidRDefault="00CC6087" w:rsidP="00B00213">
      <w:pPr>
        <w:pStyle w:val="BodyText"/>
        <w:rPr>
          <w:lang w:eastAsia="ja-JP"/>
        </w:rPr>
      </w:pPr>
      <w:r>
        <w:t xml:space="preserve">The budget for completing the </w:t>
      </w:r>
      <w:r w:rsidRPr="00C01173">
        <w:t>Evalu</w:t>
      </w:r>
      <w:r w:rsidR="00517ACC" w:rsidRPr="00C01173">
        <w:t>ation Plan is US$</w:t>
      </w:r>
      <w:r w:rsidR="00433A31">
        <w:t>90</w:t>
      </w:r>
      <w:r w:rsidRPr="00C01173">
        <w:t xml:space="preserve">,000. The tasks of the Evaluation Plan will be carried out </w:t>
      </w:r>
      <w:r w:rsidR="00837946" w:rsidRPr="00C01173">
        <w:t xml:space="preserve">at the </w:t>
      </w:r>
      <w:r w:rsidR="00C01173" w:rsidRPr="00C01173">
        <w:t>start,</w:t>
      </w:r>
      <w:r w:rsidR="00C027C2" w:rsidRPr="00C01173">
        <w:t xml:space="preserve"> at the h</w:t>
      </w:r>
      <w:r w:rsidR="00F77A26" w:rsidRPr="00C01173">
        <w:t>alfway point</w:t>
      </w:r>
      <w:r w:rsidR="00C027C2" w:rsidRPr="00C01173">
        <w:t>,</w:t>
      </w:r>
      <w:r w:rsidRPr="00C01173">
        <w:t xml:space="preserve"> and </w:t>
      </w:r>
      <w:r w:rsidR="00837946" w:rsidRPr="00C01173">
        <w:t>at the completion</w:t>
      </w:r>
      <w:r w:rsidR="00C01173" w:rsidRPr="00C01173">
        <w:t xml:space="preserve"> of the Program</w:t>
      </w:r>
      <w:r w:rsidR="00517ACC" w:rsidRPr="00C01173">
        <w:t xml:space="preserve">. </w:t>
      </w:r>
      <w:r w:rsidR="00B765C0" w:rsidRPr="00C01173">
        <w:t xml:space="preserve">For each </w:t>
      </w:r>
      <w:r w:rsidR="007D71CB">
        <w:t xml:space="preserve">evaluation </w:t>
      </w:r>
      <w:r w:rsidR="00B765C0" w:rsidRPr="00C01173">
        <w:t xml:space="preserve">instrument, the remainder of this </w:t>
      </w:r>
      <w:r w:rsidR="001962AD" w:rsidRPr="00C01173">
        <w:t xml:space="preserve">section </w:t>
      </w:r>
      <w:r w:rsidR="00C01173">
        <w:t xml:space="preserve">describes </w:t>
      </w:r>
      <w:r w:rsidR="00F31D78" w:rsidRPr="00C01173">
        <w:rPr>
          <w:lang w:eastAsia="ja-JP"/>
        </w:rPr>
        <w:t xml:space="preserve">when it should </w:t>
      </w:r>
      <w:r w:rsidR="007D71CB">
        <w:rPr>
          <w:lang w:eastAsia="ja-JP"/>
        </w:rPr>
        <w:t xml:space="preserve">be </w:t>
      </w:r>
      <w:r w:rsidR="00517ACC" w:rsidRPr="00C01173">
        <w:rPr>
          <w:lang w:eastAsia="ja-JP"/>
        </w:rPr>
        <w:t>prepared</w:t>
      </w:r>
      <w:r w:rsidR="007D71CB">
        <w:rPr>
          <w:lang w:eastAsia="ja-JP"/>
        </w:rPr>
        <w:t>, who prepares it,</w:t>
      </w:r>
      <w:r w:rsidR="001962AD" w:rsidRPr="00C01173">
        <w:rPr>
          <w:lang w:eastAsia="ja-JP"/>
        </w:rPr>
        <w:t xml:space="preserve"> and how it will be funded.</w:t>
      </w:r>
    </w:p>
    <w:p w14:paraId="7F46523A" w14:textId="14E3A229" w:rsidR="00B00213" w:rsidRDefault="00B00213" w:rsidP="00B00213">
      <w:pPr>
        <w:pStyle w:val="ListBullet"/>
      </w:pPr>
      <w:r>
        <w:rPr>
          <w:b/>
        </w:rPr>
        <w:t>Baseline Values Study</w:t>
      </w:r>
      <w:r>
        <w:t xml:space="preserve">—will be </w:t>
      </w:r>
      <w:r w:rsidR="007D71CB">
        <w:t xml:space="preserve">the responsibility of </w:t>
      </w:r>
      <w:r>
        <w:t xml:space="preserve">the IDB and </w:t>
      </w:r>
      <w:r w:rsidR="007D71CB">
        <w:t xml:space="preserve">will potentially be procured to </w:t>
      </w:r>
      <w:r>
        <w:t>an external consultant</w:t>
      </w:r>
      <w:r w:rsidR="007D71CB">
        <w:t>. The Baseline Values Study will be prepared</w:t>
      </w:r>
      <w:r>
        <w:t xml:space="preserve"> within the last quarter before the Program starts. The study will </w:t>
      </w:r>
      <w:r w:rsidR="0094404E">
        <w:t xml:space="preserve">cost an estimated </w:t>
      </w:r>
      <w:r>
        <w:t>U</w:t>
      </w:r>
      <w:r w:rsidR="007A0B66">
        <w:t>S$10</w:t>
      </w:r>
      <w:r>
        <w:t>,000</w:t>
      </w:r>
    </w:p>
    <w:p w14:paraId="04C61B04" w14:textId="564E2465" w:rsidR="00B92170" w:rsidRDefault="00B92170" w:rsidP="00B92170">
      <w:pPr>
        <w:pStyle w:val="ListBullet"/>
      </w:pPr>
      <w:r>
        <w:rPr>
          <w:b/>
        </w:rPr>
        <w:t>Midterm Evaluation and Terminal evaluation for GEF</w:t>
      </w:r>
      <w:r>
        <w:t xml:space="preserve">—will be procured by the IDB and prepared by an external consultant. The Mid-term and Terminal Evaluation will be financed with Program funds (GEF) and will cost an estimated value of US$70,000. </w:t>
      </w:r>
    </w:p>
    <w:p w14:paraId="47CD7534" w14:textId="6AC88F26" w:rsidR="00B00213" w:rsidRDefault="00B00213" w:rsidP="00B00213">
      <w:pPr>
        <w:pStyle w:val="ListBullet"/>
      </w:pPr>
      <w:r>
        <w:rPr>
          <w:b/>
        </w:rPr>
        <w:t>Midterm Evaluation</w:t>
      </w:r>
      <w:r>
        <w:t>—will be procured by the EA and prepared by an external consultant. The Mid-term Evaluation will will cost a</w:t>
      </w:r>
      <w:r w:rsidR="00C46290">
        <w:t>n</w:t>
      </w:r>
      <w:r>
        <w:t xml:space="preserve"> </w:t>
      </w:r>
      <w:r w:rsidR="00C46290">
        <w:t xml:space="preserve">estimated </w:t>
      </w:r>
      <w:r>
        <w:t>value of US$</w:t>
      </w:r>
      <w:r w:rsidR="00433A31">
        <w:t>40</w:t>
      </w:r>
      <w:r>
        <w:t xml:space="preserve">,000. </w:t>
      </w:r>
    </w:p>
    <w:p w14:paraId="301628BA" w14:textId="63CF4541" w:rsidR="00B00213" w:rsidRDefault="00B00213" w:rsidP="00B00213">
      <w:pPr>
        <w:pStyle w:val="ListBullet"/>
      </w:pPr>
      <w:r w:rsidRPr="001D234D">
        <w:rPr>
          <w:b/>
        </w:rPr>
        <w:lastRenderedPageBreak/>
        <w:t>Ex post Cost Benefit Analysis</w:t>
      </w:r>
      <w:r>
        <w:t xml:space="preserve">—will be procured by the </w:t>
      </w:r>
      <w:r w:rsidR="0094404E">
        <w:t>EA</w:t>
      </w:r>
      <w:r>
        <w:t xml:space="preserve"> and prepared by an external consultant. The Ex-post CBA will be financed </w:t>
      </w:r>
      <w:r w:rsidR="00FE60F5">
        <w:t>by the CDB</w:t>
      </w:r>
      <w:r>
        <w:t xml:space="preserve"> and will cost </w:t>
      </w:r>
      <w:r w:rsidR="00433A31">
        <w:t xml:space="preserve">approximately </w:t>
      </w:r>
      <w:r>
        <w:t>US$</w:t>
      </w:r>
      <w:r w:rsidR="00C46290">
        <w:t>4</w:t>
      </w:r>
      <w:r>
        <w:t xml:space="preserve">0,000. The Ex-post CBA will be prepared </w:t>
      </w:r>
      <w:r w:rsidR="00FE60F5">
        <w:t>as part of the PCR</w:t>
      </w:r>
      <w:r>
        <w:t>.</w:t>
      </w:r>
    </w:p>
    <w:p w14:paraId="7998C752" w14:textId="2C7395CB" w:rsidR="00B00213" w:rsidRDefault="00B00213" w:rsidP="00C46290">
      <w:pPr>
        <w:pStyle w:val="ListBullet"/>
      </w:pPr>
      <w:r w:rsidRPr="0093481A">
        <w:rPr>
          <w:b/>
        </w:rPr>
        <w:t>Project Completion Report</w:t>
      </w:r>
      <w:r>
        <w:t xml:space="preserve">—will be prepared by the </w:t>
      </w:r>
      <w:r w:rsidR="00433A31">
        <w:t xml:space="preserve">EA and conducted </w:t>
      </w:r>
      <w:r w:rsidR="00C46290" w:rsidRPr="00C46290">
        <w:t>up to 2 years after the final disbursement of SEF resources to the individual projects</w:t>
      </w:r>
      <w:r w:rsidR="00C46290">
        <w:t>.</w:t>
      </w:r>
    </w:p>
    <w:p w14:paraId="7523985C" w14:textId="77777777" w:rsidR="00E53900" w:rsidRDefault="00E53900">
      <w:pPr>
        <w:pStyle w:val="Caption"/>
        <w:sectPr w:rsidR="00E53900" w:rsidSect="00810778">
          <w:pgSz w:w="12242" w:h="15842" w:code="1"/>
          <w:pgMar w:top="1440" w:right="1797" w:bottom="1440" w:left="1797" w:header="709" w:footer="709" w:gutter="0"/>
          <w:cols w:space="708"/>
          <w:docGrid w:linePitch="360"/>
        </w:sectPr>
      </w:pPr>
    </w:p>
    <w:p w14:paraId="7199001F" w14:textId="77777777" w:rsidR="00123C6C" w:rsidRDefault="00123C6C">
      <w:pPr>
        <w:pStyle w:val="Caption"/>
      </w:pPr>
      <w:bookmarkStart w:id="35" w:name="_Toc423458255"/>
      <w:r>
        <w:lastRenderedPageBreak/>
        <w:t xml:space="preserve">Table </w:t>
      </w:r>
      <w:r w:rsidR="007A04D5">
        <w:fldChar w:fldCharType="begin"/>
      </w:r>
      <w:r w:rsidR="007A04D5">
        <w:instrText xml:space="preserve"> STYLEREF 1 \s </w:instrText>
      </w:r>
      <w:r w:rsidR="007A04D5">
        <w:fldChar w:fldCharType="separate"/>
      </w:r>
      <w:r w:rsidR="006745B9">
        <w:rPr>
          <w:noProof/>
        </w:rPr>
        <w:t>3</w:t>
      </w:r>
      <w:r w:rsidR="007A04D5">
        <w:rPr>
          <w:noProof/>
        </w:rPr>
        <w:fldChar w:fldCharType="end"/>
      </w:r>
      <w:r>
        <w:t>.</w:t>
      </w:r>
      <w:fldSimple w:instr=" SEQ Table \* ARABIC \s 1 ">
        <w:r w:rsidR="006745B9">
          <w:rPr>
            <w:noProof/>
          </w:rPr>
          <w:t>2</w:t>
        </w:r>
      </w:fldSimple>
      <w:r>
        <w:t>: Evaluation Work Plan</w:t>
      </w:r>
      <w:bookmarkEnd w:id="35"/>
    </w:p>
    <w:tbl>
      <w:tblPr>
        <w:tblW w:w="4318" w:type="pct"/>
        <w:tblLayout w:type="fixed"/>
        <w:tblLook w:val="04A0" w:firstRow="1" w:lastRow="0" w:firstColumn="1" w:lastColumn="0" w:noHBand="0" w:noVBand="1"/>
      </w:tblPr>
      <w:tblGrid>
        <w:gridCol w:w="904"/>
        <w:gridCol w:w="542"/>
        <w:gridCol w:w="442"/>
        <w:gridCol w:w="453"/>
        <w:gridCol w:w="448"/>
        <w:gridCol w:w="451"/>
        <w:gridCol w:w="448"/>
        <w:gridCol w:w="448"/>
        <w:gridCol w:w="448"/>
        <w:gridCol w:w="451"/>
        <w:gridCol w:w="448"/>
        <w:gridCol w:w="451"/>
        <w:gridCol w:w="446"/>
        <w:gridCol w:w="451"/>
        <w:gridCol w:w="448"/>
        <w:gridCol w:w="451"/>
        <w:gridCol w:w="480"/>
        <w:gridCol w:w="419"/>
        <w:gridCol w:w="448"/>
        <w:gridCol w:w="394"/>
        <w:gridCol w:w="626"/>
        <w:gridCol w:w="544"/>
        <w:gridCol w:w="740"/>
      </w:tblGrid>
      <w:tr w:rsidR="0090389C" w:rsidRPr="00287B39" w14:paraId="6F1A4FB1" w14:textId="77777777" w:rsidTr="00B92170">
        <w:trPr>
          <w:trHeight w:val="261"/>
        </w:trPr>
        <w:tc>
          <w:tcPr>
            <w:tcW w:w="397" w:type="pct"/>
            <w:vMerge w:val="restart"/>
            <w:tcBorders>
              <w:bottom w:val="single" w:sz="4" w:space="0" w:color="auto"/>
              <w:right w:val="single" w:sz="4" w:space="0" w:color="auto"/>
            </w:tcBorders>
            <w:shd w:val="clear" w:color="000000" w:fill="D9D9D9"/>
            <w:noWrap/>
            <w:vAlign w:val="center"/>
            <w:hideMark/>
          </w:tcPr>
          <w:p w14:paraId="360C8DA2" w14:textId="77777777" w:rsidR="00135421" w:rsidRPr="00287B39" w:rsidRDefault="00135421" w:rsidP="003B569F">
            <w:pPr>
              <w:jc w:val="center"/>
              <w:rPr>
                <w:b/>
                <w:bCs/>
                <w:color w:val="000000"/>
                <w:sz w:val="17"/>
                <w:szCs w:val="17"/>
              </w:rPr>
            </w:pPr>
            <w:r w:rsidRPr="00287B39">
              <w:rPr>
                <w:b/>
                <w:bCs/>
                <w:color w:val="000000"/>
                <w:sz w:val="17"/>
                <w:szCs w:val="17"/>
                <w:lang w:val="es-AR"/>
              </w:rPr>
              <w:t>Activity</w:t>
            </w:r>
          </w:p>
        </w:tc>
        <w:tc>
          <w:tcPr>
            <w:tcW w:w="238" w:type="pct"/>
            <w:tcBorders>
              <w:left w:val="nil"/>
              <w:bottom w:val="single" w:sz="4" w:space="0" w:color="auto"/>
              <w:right w:val="single" w:sz="4" w:space="0" w:color="auto"/>
            </w:tcBorders>
            <w:shd w:val="clear" w:color="auto" w:fill="D9D9D9" w:themeFill="background1" w:themeFillShade="D9"/>
            <w:vAlign w:val="center"/>
          </w:tcPr>
          <w:p w14:paraId="1AA2496F" w14:textId="77777777" w:rsidR="00135421" w:rsidRDefault="00135421" w:rsidP="006D2DF7">
            <w:pPr>
              <w:jc w:val="center"/>
              <w:rPr>
                <w:b/>
                <w:bCs/>
                <w:color w:val="000000"/>
                <w:sz w:val="17"/>
                <w:szCs w:val="17"/>
              </w:rPr>
            </w:pPr>
            <w:r>
              <w:rPr>
                <w:b/>
                <w:bCs/>
                <w:color w:val="000000"/>
                <w:sz w:val="17"/>
                <w:szCs w:val="17"/>
              </w:rPr>
              <w:t>2015</w:t>
            </w:r>
          </w:p>
        </w:tc>
        <w:tc>
          <w:tcPr>
            <w:tcW w:w="393" w:type="pct"/>
            <w:gridSpan w:val="2"/>
            <w:tcBorders>
              <w:left w:val="single" w:sz="4" w:space="0" w:color="auto"/>
              <w:bottom w:val="single" w:sz="4" w:space="0" w:color="auto"/>
              <w:right w:val="single" w:sz="4" w:space="0" w:color="auto"/>
            </w:tcBorders>
            <w:shd w:val="clear" w:color="auto" w:fill="D9D9D9" w:themeFill="background1" w:themeFillShade="D9"/>
            <w:noWrap/>
            <w:vAlign w:val="center"/>
          </w:tcPr>
          <w:p w14:paraId="5EE7E909" w14:textId="77777777" w:rsidR="00135421" w:rsidRPr="00287B39" w:rsidRDefault="00135421" w:rsidP="00E53900">
            <w:pPr>
              <w:jc w:val="center"/>
              <w:rPr>
                <w:b/>
                <w:bCs/>
                <w:color w:val="000000"/>
                <w:sz w:val="17"/>
                <w:szCs w:val="17"/>
              </w:rPr>
            </w:pPr>
            <w:r>
              <w:rPr>
                <w:b/>
                <w:bCs/>
                <w:color w:val="000000"/>
                <w:sz w:val="17"/>
                <w:szCs w:val="17"/>
              </w:rPr>
              <w:t>2016</w:t>
            </w:r>
          </w:p>
        </w:tc>
        <w:tc>
          <w:tcPr>
            <w:tcW w:w="395" w:type="pct"/>
            <w:gridSpan w:val="2"/>
            <w:tcBorders>
              <w:left w:val="nil"/>
              <w:bottom w:val="single" w:sz="4" w:space="0" w:color="auto"/>
              <w:right w:val="single" w:sz="4" w:space="0" w:color="auto"/>
            </w:tcBorders>
            <w:shd w:val="clear" w:color="auto" w:fill="D9D9D9" w:themeFill="background1" w:themeFillShade="D9"/>
            <w:noWrap/>
            <w:vAlign w:val="center"/>
          </w:tcPr>
          <w:p w14:paraId="01E3E394" w14:textId="77777777" w:rsidR="00135421" w:rsidRPr="00287B39" w:rsidRDefault="00135421" w:rsidP="00E53900">
            <w:pPr>
              <w:jc w:val="center"/>
              <w:rPr>
                <w:b/>
                <w:bCs/>
                <w:color w:val="000000"/>
                <w:sz w:val="17"/>
                <w:szCs w:val="17"/>
              </w:rPr>
            </w:pPr>
            <w:r>
              <w:rPr>
                <w:b/>
                <w:bCs/>
                <w:color w:val="000000"/>
                <w:sz w:val="17"/>
                <w:szCs w:val="17"/>
              </w:rPr>
              <w:t>2017</w:t>
            </w:r>
          </w:p>
        </w:tc>
        <w:tc>
          <w:tcPr>
            <w:tcW w:w="394" w:type="pct"/>
            <w:gridSpan w:val="2"/>
            <w:tcBorders>
              <w:left w:val="nil"/>
              <w:bottom w:val="single" w:sz="4" w:space="0" w:color="auto"/>
              <w:right w:val="single" w:sz="4" w:space="0" w:color="auto"/>
            </w:tcBorders>
            <w:shd w:val="clear" w:color="auto" w:fill="D9D9D9" w:themeFill="background1" w:themeFillShade="D9"/>
            <w:vAlign w:val="center"/>
          </w:tcPr>
          <w:p w14:paraId="1E9E480F" w14:textId="77777777" w:rsidR="00135421" w:rsidRDefault="00135421" w:rsidP="00E53900">
            <w:pPr>
              <w:jc w:val="center"/>
              <w:rPr>
                <w:b/>
                <w:bCs/>
                <w:color w:val="000000"/>
                <w:sz w:val="17"/>
                <w:szCs w:val="17"/>
              </w:rPr>
            </w:pPr>
            <w:r>
              <w:rPr>
                <w:b/>
                <w:bCs/>
                <w:color w:val="000000"/>
                <w:sz w:val="17"/>
                <w:szCs w:val="17"/>
              </w:rPr>
              <w:t>2018</w:t>
            </w:r>
          </w:p>
        </w:tc>
        <w:tc>
          <w:tcPr>
            <w:tcW w:w="395"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93F3022" w14:textId="77777777" w:rsidR="00135421" w:rsidRDefault="00135421" w:rsidP="00E53900">
            <w:pPr>
              <w:jc w:val="center"/>
              <w:rPr>
                <w:b/>
                <w:bCs/>
                <w:color w:val="000000"/>
                <w:sz w:val="17"/>
                <w:szCs w:val="17"/>
              </w:rPr>
            </w:pPr>
            <w:r>
              <w:rPr>
                <w:b/>
                <w:bCs/>
                <w:color w:val="000000"/>
                <w:sz w:val="17"/>
                <w:szCs w:val="17"/>
              </w:rPr>
              <w:t>2019</w:t>
            </w:r>
          </w:p>
        </w:tc>
        <w:tc>
          <w:tcPr>
            <w:tcW w:w="395" w:type="pct"/>
            <w:gridSpan w:val="2"/>
            <w:tcBorders>
              <w:left w:val="nil"/>
              <w:bottom w:val="single" w:sz="4" w:space="0" w:color="auto"/>
              <w:right w:val="single" w:sz="4" w:space="0" w:color="auto"/>
            </w:tcBorders>
            <w:shd w:val="clear" w:color="auto" w:fill="D9D9D9" w:themeFill="background1" w:themeFillShade="D9"/>
            <w:noWrap/>
            <w:vAlign w:val="center"/>
          </w:tcPr>
          <w:p w14:paraId="48265A2C" w14:textId="77777777" w:rsidR="00135421" w:rsidRPr="00287B39" w:rsidRDefault="00135421" w:rsidP="00E53900">
            <w:pPr>
              <w:jc w:val="center"/>
              <w:rPr>
                <w:b/>
                <w:bCs/>
                <w:color w:val="000000"/>
                <w:sz w:val="17"/>
                <w:szCs w:val="17"/>
              </w:rPr>
            </w:pPr>
            <w:r>
              <w:rPr>
                <w:b/>
                <w:bCs/>
                <w:color w:val="000000"/>
                <w:sz w:val="17"/>
                <w:szCs w:val="17"/>
              </w:rPr>
              <w:t>2020</w:t>
            </w:r>
          </w:p>
        </w:tc>
        <w:tc>
          <w:tcPr>
            <w:tcW w:w="394" w:type="pct"/>
            <w:gridSpan w:val="2"/>
            <w:tcBorders>
              <w:left w:val="nil"/>
              <w:bottom w:val="single" w:sz="4" w:space="0" w:color="auto"/>
              <w:right w:val="single" w:sz="4" w:space="0" w:color="auto"/>
            </w:tcBorders>
            <w:shd w:val="clear" w:color="auto" w:fill="D9D9D9" w:themeFill="background1" w:themeFillShade="D9"/>
            <w:noWrap/>
            <w:vAlign w:val="center"/>
          </w:tcPr>
          <w:p w14:paraId="025E3151" w14:textId="77777777" w:rsidR="00135421" w:rsidRPr="00287B39" w:rsidRDefault="00135421" w:rsidP="00E53900">
            <w:pPr>
              <w:jc w:val="center"/>
              <w:rPr>
                <w:b/>
                <w:bCs/>
                <w:color w:val="000000"/>
                <w:sz w:val="17"/>
                <w:szCs w:val="17"/>
              </w:rPr>
            </w:pPr>
            <w:r>
              <w:rPr>
                <w:b/>
                <w:bCs/>
                <w:color w:val="000000"/>
                <w:sz w:val="17"/>
                <w:szCs w:val="17"/>
              </w:rPr>
              <w:t>2021</w:t>
            </w:r>
          </w:p>
        </w:tc>
        <w:tc>
          <w:tcPr>
            <w:tcW w:w="395" w:type="pct"/>
            <w:gridSpan w:val="2"/>
            <w:tcBorders>
              <w:left w:val="nil"/>
              <w:bottom w:val="single" w:sz="4" w:space="0" w:color="auto"/>
              <w:right w:val="single" w:sz="4" w:space="0" w:color="auto"/>
            </w:tcBorders>
            <w:shd w:val="clear" w:color="auto" w:fill="D9D9D9" w:themeFill="background1" w:themeFillShade="D9"/>
            <w:noWrap/>
            <w:vAlign w:val="center"/>
          </w:tcPr>
          <w:p w14:paraId="7296900B" w14:textId="77777777" w:rsidR="00135421" w:rsidRPr="00287B39" w:rsidRDefault="00135421" w:rsidP="00E53900">
            <w:pPr>
              <w:jc w:val="center"/>
              <w:rPr>
                <w:b/>
                <w:bCs/>
                <w:color w:val="000000"/>
                <w:sz w:val="17"/>
                <w:szCs w:val="17"/>
              </w:rPr>
            </w:pPr>
            <w:r>
              <w:rPr>
                <w:b/>
                <w:bCs/>
                <w:color w:val="000000"/>
                <w:sz w:val="17"/>
                <w:szCs w:val="17"/>
              </w:rPr>
              <w:t>2022</w:t>
            </w:r>
          </w:p>
        </w:tc>
        <w:tc>
          <w:tcPr>
            <w:tcW w:w="395" w:type="pct"/>
            <w:gridSpan w:val="2"/>
            <w:tcBorders>
              <w:left w:val="single" w:sz="4" w:space="0" w:color="auto"/>
              <w:bottom w:val="single" w:sz="4" w:space="0" w:color="auto"/>
              <w:right w:val="single" w:sz="4" w:space="0" w:color="auto"/>
            </w:tcBorders>
            <w:shd w:val="clear" w:color="auto" w:fill="D9D9D9" w:themeFill="background1" w:themeFillShade="D9"/>
          </w:tcPr>
          <w:p w14:paraId="1520E8DE" w14:textId="77777777" w:rsidR="00135421" w:rsidRDefault="00135421" w:rsidP="00E53900">
            <w:pPr>
              <w:jc w:val="center"/>
              <w:rPr>
                <w:b/>
                <w:bCs/>
                <w:color w:val="000000"/>
                <w:sz w:val="17"/>
                <w:szCs w:val="17"/>
              </w:rPr>
            </w:pPr>
            <w:r>
              <w:rPr>
                <w:b/>
                <w:bCs/>
                <w:color w:val="000000"/>
                <w:sz w:val="17"/>
                <w:szCs w:val="17"/>
              </w:rPr>
              <w:t>2023</w:t>
            </w:r>
          </w:p>
        </w:tc>
        <w:tc>
          <w:tcPr>
            <w:tcW w:w="37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3941AF0" w14:textId="6C6354BB" w:rsidR="00135421" w:rsidRPr="00232BFF" w:rsidRDefault="00135421" w:rsidP="00135421">
            <w:pPr>
              <w:jc w:val="center"/>
              <w:rPr>
                <w:b/>
                <w:bCs/>
                <w:color w:val="000000"/>
                <w:sz w:val="17"/>
                <w:szCs w:val="17"/>
              </w:rPr>
            </w:pPr>
            <w:r>
              <w:rPr>
                <w:b/>
                <w:bCs/>
                <w:color w:val="000000"/>
                <w:sz w:val="17"/>
                <w:szCs w:val="17"/>
              </w:rPr>
              <w:t>2024</w:t>
            </w:r>
          </w:p>
        </w:tc>
        <w:tc>
          <w:tcPr>
            <w:tcW w:w="275" w:type="pct"/>
            <w:vMerge w:val="restart"/>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3DA41E8" w14:textId="77777777" w:rsidR="00135421" w:rsidRPr="00287B39" w:rsidRDefault="00135421" w:rsidP="00B765C0">
            <w:pPr>
              <w:jc w:val="center"/>
              <w:rPr>
                <w:b/>
                <w:bCs/>
                <w:color w:val="000000"/>
                <w:sz w:val="17"/>
                <w:szCs w:val="17"/>
              </w:rPr>
            </w:pPr>
            <w:r>
              <w:rPr>
                <w:b/>
                <w:bCs/>
                <w:color w:val="000000"/>
                <w:sz w:val="17"/>
                <w:szCs w:val="17"/>
                <w:lang w:val="es-ES"/>
              </w:rPr>
              <w:t>Res.</w:t>
            </w:r>
          </w:p>
        </w:tc>
        <w:tc>
          <w:tcPr>
            <w:tcW w:w="239" w:type="pct"/>
            <w:vMerge w:val="restart"/>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71F1729" w14:textId="77777777" w:rsidR="00135421" w:rsidRPr="00287B39" w:rsidRDefault="00135421" w:rsidP="00B765C0">
            <w:pPr>
              <w:jc w:val="center"/>
              <w:rPr>
                <w:b/>
                <w:bCs/>
                <w:color w:val="000000"/>
                <w:sz w:val="17"/>
                <w:szCs w:val="17"/>
              </w:rPr>
            </w:pPr>
            <w:r w:rsidRPr="00287B39">
              <w:rPr>
                <w:b/>
                <w:bCs/>
                <w:color w:val="000000"/>
                <w:sz w:val="17"/>
                <w:szCs w:val="17"/>
                <w:lang w:val="es-AR"/>
              </w:rPr>
              <w:t>Fund</w:t>
            </w:r>
          </w:p>
        </w:tc>
        <w:tc>
          <w:tcPr>
            <w:tcW w:w="325" w:type="pct"/>
            <w:vMerge w:val="restart"/>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4EC82402" w14:textId="77777777" w:rsidR="00135421" w:rsidRPr="00287B39" w:rsidRDefault="00135421" w:rsidP="003B569F">
            <w:pPr>
              <w:jc w:val="center"/>
              <w:rPr>
                <w:b/>
                <w:bCs/>
                <w:color w:val="000000"/>
                <w:sz w:val="17"/>
                <w:szCs w:val="17"/>
              </w:rPr>
            </w:pPr>
            <w:r>
              <w:rPr>
                <w:b/>
                <w:bCs/>
                <w:color w:val="000000"/>
                <w:sz w:val="17"/>
                <w:szCs w:val="17"/>
                <w:lang w:val="es-AR"/>
              </w:rPr>
              <w:t>US$</w:t>
            </w:r>
          </w:p>
        </w:tc>
      </w:tr>
      <w:tr w:rsidR="0090389C" w:rsidRPr="00287B39" w14:paraId="777673A5" w14:textId="77777777" w:rsidTr="00B92170">
        <w:trPr>
          <w:trHeight w:val="305"/>
        </w:trPr>
        <w:tc>
          <w:tcPr>
            <w:tcW w:w="397" w:type="pct"/>
            <w:vMerge/>
            <w:tcBorders>
              <w:top w:val="single" w:sz="4" w:space="0" w:color="auto"/>
              <w:bottom w:val="single" w:sz="4" w:space="0" w:color="auto"/>
              <w:right w:val="single" w:sz="4" w:space="0" w:color="auto"/>
            </w:tcBorders>
            <w:vAlign w:val="center"/>
            <w:hideMark/>
          </w:tcPr>
          <w:p w14:paraId="5F7039E0" w14:textId="77777777" w:rsidR="00135421" w:rsidRPr="00287B39" w:rsidRDefault="00135421" w:rsidP="003B569F">
            <w:pPr>
              <w:rPr>
                <w:b/>
                <w:bCs/>
                <w:color w:val="000000"/>
                <w:sz w:val="17"/>
                <w:szCs w:val="17"/>
              </w:rPr>
            </w:pPr>
          </w:p>
        </w:tc>
        <w:tc>
          <w:tcPr>
            <w:tcW w:w="238" w:type="pct"/>
            <w:tcBorders>
              <w:top w:val="nil"/>
              <w:left w:val="nil"/>
              <w:bottom w:val="single" w:sz="4" w:space="0" w:color="auto"/>
              <w:right w:val="single" w:sz="4" w:space="0" w:color="auto"/>
            </w:tcBorders>
            <w:shd w:val="clear" w:color="auto" w:fill="D9D9D9" w:themeFill="background1" w:themeFillShade="D9"/>
          </w:tcPr>
          <w:p w14:paraId="6F693AE3" w14:textId="77777777" w:rsidR="00135421" w:rsidRDefault="00135421" w:rsidP="003B569F">
            <w:pPr>
              <w:jc w:val="center"/>
              <w:rPr>
                <w:b/>
                <w:bCs/>
                <w:color w:val="000000"/>
                <w:sz w:val="17"/>
                <w:szCs w:val="17"/>
              </w:rPr>
            </w:pPr>
            <w:r>
              <w:rPr>
                <w:b/>
                <w:bCs/>
                <w:color w:val="000000"/>
                <w:sz w:val="17"/>
                <w:szCs w:val="17"/>
              </w:rPr>
              <w:t>S2</w:t>
            </w:r>
          </w:p>
        </w:tc>
        <w:tc>
          <w:tcPr>
            <w:tcW w:w="194"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05019D" w14:textId="77777777" w:rsidR="00135421" w:rsidRPr="00287B39" w:rsidRDefault="00135421" w:rsidP="003B569F">
            <w:pPr>
              <w:jc w:val="center"/>
              <w:rPr>
                <w:b/>
                <w:bCs/>
                <w:color w:val="000000"/>
                <w:sz w:val="17"/>
                <w:szCs w:val="17"/>
              </w:rPr>
            </w:pPr>
            <w:r>
              <w:rPr>
                <w:b/>
                <w:bCs/>
                <w:color w:val="000000"/>
                <w:sz w:val="17"/>
                <w:szCs w:val="17"/>
              </w:rPr>
              <w:t>S1</w:t>
            </w:r>
          </w:p>
        </w:tc>
        <w:tc>
          <w:tcPr>
            <w:tcW w:w="199" w:type="pct"/>
            <w:tcBorders>
              <w:top w:val="nil"/>
              <w:left w:val="nil"/>
              <w:bottom w:val="single" w:sz="4" w:space="0" w:color="auto"/>
              <w:right w:val="single" w:sz="4" w:space="0" w:color="auto"/>
            </w:tcBorders>
            <w:shd w:val="clear" w:color="auto" w:fill="D9D9D9" w:themeFill="background1" w:themeFillShade="D9"/>
            <w:noWrap/>
            <w:vAlign w:val="center"/>
            <w:hideMark/>
          </w:tcPr>
          <w:p w14:paraId="621BB448" w14:textId="77777777" w:rsidR="00135421" w:rsidRPr="00287B39" w:rsidRDefault="00135421" w:rsidP="00867AF6">
            <w:pPr>
              <w:jc w:val="center"/>
              <w:rPr>
                <w:b/>
                <w:bCs/>
                <w:color w:val="000000"/>
                <w:sz w:val="17"/>
                <w:szCs w:val="17"/>
              </w:rPr>
            </w:pPr>
            <w:r>
              <w:rPr>
                <w:b/>
                <w:bCs/>
                <w:color w:val="000000"/>
                <w:sz w:val="17"/>
                <w:szCs w:val="17"/>
              </w:rPr>
              <w:t>S2</w:t>
            </w:r>
          </w:p>
        </w:tc>
        <w:tc>
          <w:tcPr>
            <w:tcW w:w="197" w:type="pct"/>
            <w:tcBorders>
              <w:top w:val="nil"/>
              <w:left w:val="nil"/>
              <w:bottom w:val="single" w:sz="4" w:space="0" w:color="auto"/>
              <w:right w:val="single" w:sz="4" w:space="0" w:color="auto"/>
            </w:tcBorders>
            <w:shd w:val="clear" w:color="auto" w:fill="D9D9D9" w:themeFill="background1" w:themeFillShade="D9"/>
            <w:noWrap/>
            <w:vAlign w:val="center"/>
            <w:hideMark/>
          </w:tcPr>
          <w:p w14:paraId="5BE01C99" w14:textId="77777777" w:rsidR="00135421" w:rsidRPr="00287B39" w:rsidRDefault="00135421" w:rsidP="003B569F">
            <w:pPr>
              <w:jc w:val="center"/>
              <w:rPr>
                <w:b/>
                <w:bCs/>
                <w:color w:val="000000"/>
                <w:sz w:val="17"/>
                <w:szCs w:val="17"/>
              </w:rPr>
            </w:pPr>
            <w:r>
              <w:rPr>
                <w:b/>
                <w:bCs/>
                <w:color w:val="000000"/>
                <w:sz w:val="17"/>
                <w:szCs w:val="17"/>
              </w:rPr>
              <w:t>S1</w:t>
            </w:r>
          </w:p>
        </w:tc>
        <w:tc>
          <w:tcPr>
            <w:tcW w:w="198" w:type="pct"/>
            <w:tcBorders>
              <w:top w:val="nil"/>
              <w:left w:val="nil"/>
              <w:bottom w:val="single" w:sz="4" w:space="0" w:color="auto"/>
              <w:right w:val="single" w:sz="4" w:space="0" w:color="auto"/>
            </w:tcBorders>
            <w:shd w:val="clear" w:color="auto" w:fill="D9D9D9" w:themeFill="background1" w:themeFillShade="D9"/>
            <w:noWrap/>
            <w:vAlign w:val="center"/>
            <w:hideMark/>
          </w:tcPr>
          <w:p w14:paraId="3FB60FBF" w14:textId="77777777" w:rsidR="00135421" w:rsidRPr="00287B39" w:rsidRDefault="00135421" w:rsidP="003B569F">
            <w:pPr>
              <w:jc w:val="center"/>
              <w:rPr>
                <w:b/>
                <w:bCs/>
                <w:color w:val="000000"/>
                <w:sz w:val="17"/>
                <w:szCs w:val="17"/>
              </w:rPr>
            </w:pPr>
            <w:r>
              <w:rPr>
                <w:b/>
                <w:bCs/>
                <w:color w:val="000000"/>
                <w:sz w:val="17"/>
                <w:szCs w:val="17"/>
              </w:rPr>
              <w:t>S2</w:t>
            </w:r>
          </w:p>
        </w:tc>
        <w:tc>
          <w:tcPr>
            <w:tcW w:w="1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86D705" w14:textId="77777777" w:rsidR="00135421" w:rsidRPr="00287B39" w:rsidRDefault="00135421" w:rsidP="003B569F">
            <w:pPr>
              <w:rPr>
                <w:b/>
                <w:bCs/>
                <w:color w:val="000000"/>
                <w:sz w:val="17"/>
                <w:szCs w:val="17"/>
              </w:rPr>
            </w:pPr>
            <w:r>
              <w:rPr>
                <w:b/>
                <w:bCs/>
                <w:color w:val="000000"/>
                <w:sz w:val="17"/>
                <w:szCs w:val="17"/>
              </w:rPr>
              <w:t>S1</w:t>
            </w:r>
          </w:p>
        </w:tc>
        <w:tc>
          <w:tcPr>
            <w:tcW w:w="1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DF3C358" w14:textId="77777777" w:rsidR="00135421" w:rsidRPr="00287B39" w:rsidRDefault="00135421" w:rsidP="003B569F">
            <w:pPr>
              <w:rPr>
                <w:b/>
                <w:bCs/>
                <w:color w:val="000000"/>
                <w:sz w:val="17"/>
                <w:szCs w:val="17"/>
              </w:rPr>
            </w:pPr>
            <w:r>
              <w:rPr>
                <w:b/>
                <w:bCs/>
                <w:color w:val="000000"/>
                <w:sz w:val="17"/>
                <w:szCs w:val="17"/>
              </w:rPr>
              <w:t>S2</w:t>
            </w:r>
          </w:p>
        </w:tc>
        <w:tc>
          <w:tcPr>
            <w:tcW w:w="1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9C95B" w14:textId="77777777" w:rsidR="00135421" w:rsidRPr="00287B39" w:rsidRDefault="00135421" w:rsidP="003B569F">
            <w:pPr>
              <w:rPr>
                <w:b/>
                <w:bCs/>
                <w:color w:val="000000"/>
                <w:sz w:val="17"/>
                <w:szCs w:val="17"/>
              </w:rPr>
            </w:pPr>
            <w:r>
              <w:rPr>
                <w:b/>
                <w:bCs/>
                <w:color w:val="000000"/>
                <w:sz w:val="17"/>
                <w:szCs w:val="17"/>
              </w:rPr>
              <w:t>S1</w:t>
            </w:r>
          </w:p>
        </w:tc>
        <w:tc>
          <w:tcPr>
            <w:tcW w:w="1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5CE7F59" w14:textId="77777777" w:rsidR="00135421" w:rsidRPr="00287B39" w:rsidRDefault="00135421" w:rsidP="003B569F">
            <w:pPr>
              <w:rPr>
                <w:b/>
                <w:bCs/>
                <w:color w:val="000000"/>
                <w:sz w:val="17"/>
                <w:szCs w:val="17"/>
              </w:rPr>
            </w:pPr>
            <w:r>
              <w:rPr>
                <w:b/>
                <w:bCs/>
                <w:color w:val="000000"/>
                <w:sz w:val="17"/>
                <w:szCs w:val="17"/>
              </w:rPr>
              <w:t>S2</w:t>
            </w:r>
          </w:p>
        </w:tc>
        <w:tc>
          <w:tcPr>
            <w:tcW w:w="197" w:type="pct"/>
            <w:tcBorders>
              <w:top w:val="nil"/>
              <w:left w:val="nil"/>
              <w:bottom w:val="single" w:sz="4" w:space="0" w:color="auto"/>
              <w:right w:val="single" w:sz="4" w:space="0" w:color="auto"/>
            </w:tcBorders>
            <w:shd w:val="clear" w:color="auto" w:fill="D9D9D9" w:themeFill="background1" w:themeFillShade="D9"/>
            <w:noWrap/>
            <w:vAlign w:val="center"/>
            <w:hideMark/>
          </w:tcPr>
          <w:p w14:paraId="3DF86AA0" w14:textId="77777777" w:rsidR="00135421" w:rsidRPr="00287B39" w:rsidRDefault="00135421" w:rsidP="003B569F">
            <w:pPr>
              <w:jc w:val="center"/>
              <w:rPr>
                <w:b/>
                <w:bCs/>
                <w:color w:val="000000"/>
                <w:sz w:val="17"/>
                <w:szCs w:val="17"/>
              </w:rPr>
            </w:pPr>
            <w:r>
              <w:rPr>
                <w:b/>
                <w:bCs/>
                <w:color w:val="000000"/>
                <w:sz w:val="17"/>
                <w:szCs w:val="17"/>
              </w:rPr>
              <w:t>S1</w:t>
            </w:r>
          </w:p>
        </w:tc>
        <w:tc>
          <w:tcPr>
            <w:tcW w:w="198" w:type="pct"/>
            <w:tcBorders>
              <w:top w:val="nil"/>
              <w:left w:val="nil"/>
              <w:bottom w:val="single" w:sz="4" w:space="0" w:color="auto"/>
              <w:right w:val="single" w:sz="4" w:space="0" w:color="auto"/>
            </w:tcBorders>
            <w:shd w:val="clear" w:color="auto" w:fill="D9D9D9" w:themeFill="background1" w:themeFillShade="D9"/>
            <w:noWrap/>
            <w:vAlign w:val="center"/>
            <w:hideMark/>
          </w:tcPr>
          <w:p w14:paraId="7E1F482C" w14:textId="77777777" w:rsidR="00135421" w:rsidRPr="00287B39" w:rsidRDefault="00135421" w:rsidP="003B569F">
            <w:pPr>
              <w:jc w:val="center"/>
              <w:rPr>
                <w:b/>
                <w:bCs/>
                <w:color w:val="000000"/>
                <w:sz w:val="17"/>
                <w:szCs w:val="17"/>
              </w:rPr>
            </w:pPr>
            <w:r>
              <w:rPr>
                <w:b/>
                <w:bCs/>
                <w:color w:val="000000"/>
                <w:sz w:val="17"/>
                <w:szCs w:val="17"/>
              </w:rPr>
              <w:t>S2</w:t>
            </w:r>
          </w:p>
        </w:tc>
        <w:tc>
          <w:tcPr>
            <w:tcW w:w="196" w:type="pct"/>
            <w:tcBorders>
              <w:top w:val="nil"/>
              <w:left w:val="nil"/>
              <w:bottom w:val="single" w:sz="4" w:space="0" w:color="auto"/>
              <w:right w:val="single" w:sz="4" w:space="0" w:color="auto"/>
            </w:tcBorders>
            <w:shd w:val="clear" w:color="auto" w:fill="D9D9D9" w:themeFill="background1" w:themeFillShade="D9"/>
            <w:noWrap/>
            <w:vAlign w:val="center"/>
            <w:hideMark/>
          </w:tcPr>
          <w:p w14:paraId="1120CE34" w14:textId="77777777" w:rsidR="00135421" w:rsidRPr="00287B39" w:rsidRDefault="00135421" w:rsidP="003B569F">
            <w:pPr>
              <w:jc w:val="center"/>
              <w:rPr>
                <w:b/>
                <w:bCs/>
                <w:color w:val="000000"/>
                <w:sz w:val="17"/>
                <w:szCs w:val="17"/>
              </w:rPr>
            </w:pPr>
            <w:r>
              <w:rPr>
                <w:b/>
                <w:bCs/>
                <w:color w:val="000000"/>
                <w:sz w:val="17"/>
                <w:szCs w:val="17"/>
              </w:rPr>
              <w:t>S1</w:t>
            </w:r>
          </w:p>
        </w:tc>
        <w:tc>
          <w:tcPr>
            <w:tcW w:w="198" w:type="pct"/>
            <w:tcBorders>
              <w:top w:val="nil"/>
              <w:left w:val="nil"/>
              <w:bottom w:val="single" w:sz="4" w:space="0" w:color="auto"/>
              <w:right w:val="single" w:sz="4" w:space="0" w:color="auto"/>
            </w:tcBorders>
            <w:shd w:val="clear" w:color="auto" w:fill="D9D9D9" w:themeFill="background1" w:themeFillShade="D9"/>
            <w:noWrap/>
            <w:vAlign w:val="center"/>
            <w:hideMark/>
          </w:tcPr>
          <w:p w14:paraId="32934B14" w14:textId="77777777" w:rsidR="00135421" w:rsidRPr="00287B39" w:rsidRDefault="00135421" w:rsidP="003B569F">
            <w:pPr>
              <w:jc w:val="center"/>
              <w:rPr>
                <w:b/>
                <w:bCs/>
                <w:color w:val="000000"/>
                <w:sz w:val="17"/>
                <w:szCs w:val="17"/>
              </w:rPr>
            </w:pPr>
            <w:r>
              <w:rPr>
                <w:b/>
                <w:bCs/>
                <w:color w:val="000000"/>
                <w:sz w:val="17"/>
                <w:szCs w:val="17"/>
              </w:rPr>
              <w:t>S2</w:t>
            </w:r>
          </w:p>
        </w:tc>
        <w:tc>
          <w:tcPr>
            <w:tcW w:w="197" w:type="pct"/>
            <w:tcBorders>
              <w:top w:val="nil"/>
              <w:left w:val="nil"/>
              <w:bottom w:val="single" w:sz="4" w:space="0" w:color="auto"/>
              <w:right w:val="single" w:sz="4" w:space="0" w:color="auto"/>
            </w:tcBorders>
            <w:shd w:val="clear" w:color="auto" w:fill="D9D9D9" w:themeFill="background1" w:themeFillShade="D9"/>
            <w:noWrap/>
            <w:vAlign w:val="center"/>
            <w:hideMark/>
          </w:tcPr>
          <w:p w14:paraId="57B3FBDB" w14:textId="77777777" w:rsidR="00135421" w:rsidRPr="00287B39" w:rsidRDefault="00135421" w:rsidP="003B569F">
            <w:pPr>
              <w:jc w:val="center"/>
              <w:rPr>
                <w:b/>
                <w:bCs/>
                <w:color w:val="000000"/>
                <w:sz w:val="17"/>
                <w:szCs w:val="17"/>
              </w:rPr>
            </w:pPr>
            <w:r>
              <w:rPr>
                <w:b/>
                <w:bCs/>
                <w:color w:val="000000"/>
                <w:sz w:val="17"/>
                <w:szCs w:val="17"/>
              </w:rPr>
              <w:t>S1</w:t>
            </w:r>
          </w:p>
        </w:tc>
        <w:tc>
          <w:tcPr>
            <w:tcW w:w="198" w:type="pct"/>
            <w:tcBorders>
              <w:top w:val="nil"/>
              <w:left w:val="nil"/>
              <w:bottom w:val="single" w:sz="4" w:space="0" w:color="auto"/>
              <w:right w:val="single" w:sz="4" w:space="0" w:color="auto"/>
            </w:tcBorders>
            <w:shd w:val="clear" w:color="auto" w:fill="D9D9D9" w:themeFill="background1" w:themeFillShade="D9"/>
            <w:noWrap/>
            <w:vAlign w:val="center"/>
            <w:hideMark/>
          </w:tcPr>
          <w:p w14:paraId="2ED1E63D" w14:textId="77777777" w:rsidR="00135421" w:rsidRPr="00287B39" w:rsidRDefault="00135421" w:rsidP="003B569F">
            <w:pPr>
              <w:jc w:val="center"/>
              <w:rPr>
                <w:b/>
                <w:bCs/>
                <w:color w:val="000000"/>
                <w:sz w:val="17"/>
                <w:szCs w:val="17"/>
              </w:rPr>
            </w:pPr>
            <w:r>
              <w:rPr>
                <w:b/>
                <w:bCs/>
                <w:color w:val="000000"/>
                <w:sz w:val="17"/>
                <w:szCs w:val="17"/>
              </w:rPr>
              <w:t>S2</w:t>
            </w:r>
          </w:p>
        </w:tc>
        <w:tc>
          <w:tcPr>
            <w:tcW w:w="2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A784B" w14:textId="77777777" w:rsidR="00135421" w:rsidRDefault="00135421" w:rsidP="00232BFF">
            <w:pPr>
              <w:jc w:val="center"/>
              <w:rPr>
                <w:b/>
                <w:bCs/>
                <w:color w:val="000000"/>
                <w:sz w:val="17"/>
                <w:szCs w:val="17"/>
              </w:rPr>
            </w:pPr>
            <w:r>
              <w:rPr>
                <w:b/>
                <w:bCs/>
                <w:color w:val="000000"/>
                <w:sz w:val="17"/>
                <w:szCs w:val="17"/>
              </w:rPr>
              <w:t>S1</w:t>
            </w:r>
          </w:p>
        </w:tc>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5AFB0" w14:textId="77777777" w:rsidR="00135421" w:rsidRDefault="00135421" w:rsidP="00232BFF">
            <w:pPr>
              <w:jc w:val="center"/>
              <w:rPr>
                <w:b/>
                <w:bCs/>
                <w:color w:val="000000"/>
                <w:sz w:val="17"/>
                <w:szCs w:val="17"/>
              </w:rPr>
            </w:pPr>
            <w:r>
              <w:rPr>
                <w:b/>
                <w:bCs/>
                <w:color w:val="000000"/>
                <w:sz w:val="17"/>
                <w:szCs w:val="17"/>
              </w:rPr>
              <w:t>S2</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94B9F" w14:textId="77777777" w:rsidR="00135421" w:rsidRPr="00287B39" w:rsidRDefault="00135421" w:rsidP="003B569F">
            <w:pPr>
              <w:rPr>
                <w:b/>
                <w:bCs/>
                <w:color w:val="000000"/>
                <w:sz w:val="17"/>
                <w:szCs w:val="17"/>
              </w:rPr>
            </w:pPr>
            <w:r>
              <w:rPr>
                <w:b/>
                <w:bCs/>
                <w:color w:val="000000"/>
                <w:sz w:val="17"/>
                <w:szCs w:val="17"/>
              </w:rPr>
              <w:t>S1</w:t>
            </w:r>
          </w:p>
        </w:tc>
        <w:tc>
          <w:tcPr>
            <w:tcW w:w="1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702C8" w14:textId="77777777" w:rsidR="00135421" w:rsidRPr="00287B39" w:rsidRDefault="00135421" w:rsidP="003B569F">
            <w:pPr>
              <w:rPr>
                <w:b/>
                <w:bCs/>
                <w:color w:val="000000"/>
                <w:sz w:val="17"/>
                <w:szCs w:val="17"/>
              </w:rPr>
            </w:pPr>
            <w:r>
              <w:rPr>
                <w:b/>
                <w:bCs/>
                <w:color w:val="000000"/>
                <w:sz w:val="17"/>
                <w:szCs w:val="17"/>
              </w:rPr>
              <w:t>S2</w:t>
            </w:r>
          </w:p>
        </w:tc>
        <w:tc>
          <w:tcPr>
            <w:tcW w:w="27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27B57" w14:textId="77777777" w:rsidR="00135421" w:rsidRPr="00287B39" w:rsidRDefault="00135421" w:rsidP="003B569F">
            <w:pPr>
              <w:rPr>
                <w:b/>
                <w:bCs/>
                <w:color w:val="000000"/>
                <w:sz w:val="17"/>
                <w:szCs w:val="17"/>
              </w:rPr>
            </w:pPr>
          </w:p>
        </w:tc>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2736C" w14:textId="77777777" w:rsidR="00135421" w:rsidRPr="00287B39" w:rsidRDefault="00135421" w:rsidP="003B569F">
            <w:pPr>
              <w:rPr>
                <w:b/>
                <w:bCs/>
                <w:color w:val="000000"/>
                <w:sz w:val="17"/>
                <w:szCs w:val="17"/>
              </w:rPr>
            </w:pPr>
          </w:p>
        </w:tc>
        <w:tc>
          <w:tcPr>
            <w:tcW w:w="32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A2E6A1" w14:textId="77777777" w:rsidR="00135421" w:rsidRPr="00287B39" w:rsidRDefault="00135421" w:rsidP="003B569F">
            <w:pPr>
              <w:rPr>
                <w:b/>
                <w:bCs/>
                <w:color w:val="000000"/>
                <w:sz w:val="17"/>
                <w:szCs w:val="17"/>
              </w:rPr>
            </w:pPr>
          </w:p>
        </w:tc>
      </w:tr>
      <w:tr w:rsidR="0090389C" w:rsidRPr="00287B39" w14:paraId="248FDCB9" w14:textId="77777777" w:rsidTr="00B92170">
        <w:trPr>
          <w:trHeight w:val="261"/>
        </w:trPr>
        <w:tc>
          <w:tcPr>
            <w:tcW w:w="397" w:type="pct"/>
            <w:tcBorders>
              <w:top w:val="nil"/>
              <w:bottom w:val="single" w:sz="4" w:space="0" w:color="auto"/>
              <w:right w:val="single" w:sz="4" w:space="0" w:color="auto"/>
            </w:tcBorders>
            <w:shd w:val="clear" w:color="auto" w:fill="auto"/>
            <w:noWrap/>
            <w:vAlign w:val="center"/>
          </w:tcPr>
          <w:p w14:paraId="163F73E2" w14:textId="77777777" w:rsidR="00135421" w:rsidRPr="00287B39" w:rsidRDefault="00135421" w:rsidP="00232BFF">
            <w:pPr>
              <w:rPr>
                <w:color w:val="000000"/>
                <w:sz w:val="17"/>
                <w:szCs w:val="17"/>
              </w:rPr>
            </w:pPr>
            <w:r>
              <w:rPr>
                <w:color w:val="000000"/>
                <w:sz w:val="17"/>
                <w:szCs w:val="17"/>
              </w:rPr>
              <w:t>Baseline Values Study</w:t>
            </w:r>
          </w:p>
        </w:tc>
        <w:tc>
          <w:tcPr>
            <w:tcW w:w="238" w:type="pct"/>
            <w:tcBorders>
              <w:top w:val="nil"/>
              <w:left w:val="nil"/>
              <w:bottom w:val="single" w:sz="4" w:space="0" w:color="auto"/>
              <w:right w:val="single" w:sz="4" w:space="0" w:color="auto"/>
            </w:tcBorders>
            <w:shd w:val="clear" w:color="auto" w:fill="A6A6A6" w:themeFill="background1" w:themeFillShade="A6"/>
          </w:tcPr>
          <w:p w14:paraId="1B4D7128" w14:textId="77777777" w:rsidR="00135421" w:rsidRPr="00287B39" w:rsidRDefault="00135421" w:rsidP="003B569F">
            <w:pPr>
              <w:rPr>
                <w:color w:val="000000"/>
                <w:sz w:val="17"/>
                <w:szCs w:val="17"/>
              </w:rPr>
            </w:pPr>
          </w:p>
        </w:tc>
        <w:tc>
          <w:tcPr>
            <w:tcW w:w="194" w:type="pct"/>
            <w:tcBorders>
              <w:top w:val="nil"/>
              <w:left w:val="single" w:sz="4" w:space="0" w:color="auto"/>
              <w:bottom w:val="single" w:sz="4" w:space="0" w:color="auto"/>
              <w:right w:val="single" w:sz="4" w:space="0" w:color="auto"/>
            </w:tcBorders>
            <w:shd w:val="clear" w:color="auto" w:fill="auto"/>
            <w:noWrap/>
            <w:vAlign w:val="center"/>
          </w:tcPr>
          <w:p w14:paraId="04FACD06" w14:textId="77777777" w:rsidR="00135421" w:rsidRPr="00287B39" w:rsidRDefault="00135421" w:rsidP="003B569F">
            <w:pPr>
              <w:rPr>
                <w:color w:val="000000"/>
                <w:sz w:val="17"/>
                <w:szCs w:val="17"/>
              </w:rPr>
            </w:pPr>
          </w:p>
        </w:tc>
        <w:tc>
          <w:tcPr>
            <w:tcW w:w="199" w:type="pct"/>
            <w:tcBorders>
              <w:top w:val="nil"/>
              <w:left w:val="nil"/>
              <w:bottom w:val="single" w:sz="4" w:space="0" w:color="auto"/>
              <w:right w:val="single" w:sz="4" w:space="0" w:color="auto"/>
            </w:tcBorders>
            <w:shd w:val="clear" w:color="auto" w:fill="auto"/>
            <w:noWrap/>
            <w:vAlign w:val="center"/>
          </w:tcPr>
          <w:p w14:paraId="24980937" w14:textId="77777777" w:rsidR="00135421" w:rsidRPr="00287B39" w:rsidRDefault="00135421"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77A658FF" w14:textId="77777777" w:rsidR="00135421" w:rsidRPr="00287B39" w:rsidRDefault="00135421"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43B11C8E"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auto"/>
          </w:tcPr>
          <w:p w14:paraId="7CA15F68"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auto"/>
          </w:tcPr>
          <w:p w14:paraId="55D6013B"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auto"/>
          </w:tcPr>
          <w:p w14:paraId="0DFA165E" w14:textId="77777777" w:rsidR="00135421" w:rsidRPr="00287B39" w:rsidRDefault="00135421" w:rsidP="003B569F">
            <w:pPr>
              <w:rPr>
                <w:color w:val="000000"/>
                <w:sz w:val="17"/>
                <w:szCs w:val="17"/>
              </w:rPr>
            </w:pPr>
          </w:p>
        </w:tc>
        <w:tc>
          <w:tcPr>
            <w:tcW w:w="198" w:type="pct"/>
            <w:tcBorders>
              <w:top w:val="single" w:sz="4" w:space="0" w:color="auto"/>
              <w:left w:val="nil"/>
              <w:bottom w:val="single" w:sz="4" w:space="0" w:color="auto"/>
              <w:right w:val="single" w:sz="4" w:space="0" w:color="auto"/>
            </w:tcBorders>
            <w:shd w:val="clear" w:color="auto" w:fill="auto"/>
          </w:tcPr>
          <w:p w14:paraId="4E38D722" w14:textId="77777777" w:rsidR="00135421" w:rsidRPr="00287B39" w:rsidRDefault="00135421"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75A21C06" w14:textId="77777777" w:rsidR="00135421" w:rsidRPr="00287B39" w:rsidRDefault="00135421"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671A08DD" w14:textId="77777777" w:rsidR="00135421" w:rsidRPr="00D46033" w:rsidRDefault="00135421" w:rsidP="003B569F">
            <w:pPr>
              <w:rPr>
                <w:color w:val="000000"/>
                <w:sz w:val="17"/>
                <w:szCs w:val="17"/>
              </w:rPr>
            </w:pPr>
          </w:p>
        </w:tc>
        <w:tc>
          <w:tcPr>
            <w:tcW w:w="196" w:type="pct"/>
            <w:tcBorders>
              <w:top w:val="nil"/>
              <w:left w:val="nil"/>
              <w:bottom w:val="single" w:sz="4" w:space="0" w:color="auto"/>
              <w:right w:val="single" w:sz="4" w:space="0" w:color="auto"/>
            </w:tcBorders>
            <w:shd w:val="clear" w:color="auto" w:fill="auto"/>
            <w:noWrap/>
            <w:vAlign w:val="center"/>
          </w:tcPr>
          <w:p w14:paraId="6CD2FBB2" w14:textId="77777777" w:rsidR="00135421" w:rsidRPr="00287B39" w:rsidRDefault="00135421"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750ECDB4" w14:textId="77777777" w:rsidR="00135421" w:rsidRPr="00287B39" w:rsidRDefault="00135421"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53F65DE9" w14:textId="77777777" w:rsidR="00135421" w:rsidRPr="00287B39" w:rsidRDefault="00135421"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2D7DA6A9" w14:textId="77777777" w:rsidR="00135421" w:rsidRPr="00232BFF" w:rsidRDefault="00135421" w:rsidP="00232BFF">
            <w:pPr>
              <w:jc w:val="center"/>
              <w:rPr>
                <w:b/>
                <w:bCs/>
                <w:color w:val="000000"/>
                <w:sz w:val="17"/>
                <w:szCs w:val="17"/>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cPr>
          <w:p w14:paraId="486F7444" w14:textId="77777777" w:rsidR="00135421" w:rsidRPr="00232BFF" w:rsidRDefault="00135421"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tcPr>
          <w:p w14:paraId="76CC2A7E" w14:textId="77777777" w:rsidR="00135421" w:rsidRPr="00232BFF" w:rsidRDefault="00135421"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727902BD" w14:textId="77777777" w:rsidR="00135421" w:rsidRPr="00232BFF" w:rsidRDefault="00135421"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276AFB7B" w14:textId="77777777" w:rsidR="00135421" w:rsidRPr="00232BFF" w:rsidRDefault="00135421"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4E3E6A09" w14:textId="77777777" w:rsidR="00135421" w:rsidRPr="007A0B66" w:rsidRDefault="00135421" w:rsidP="003B569F">
            <w:pPr>
              <w:jc w:val="center"/>
              <w:rPr>
                <w:color w:val="000000"/>
                <w:sz w:val="17"/>
                <w:szCs w:val="17"/>
              </w:rPr>
            </w:pPr>
            <w:r w:rsidRPr="007A0B66">
              <w:rPr>
                <w:color w:val="000000"/>
                <w:sz w:val="17"/>
                <w:szCs w:val="17"/>
              </w:rPr>
              <w:t>IDB</w:t>
            </w:r>
          </w:p>
        </w:tc>
        <w:tc>
          <w:tcPr>
            <w:tcW w:w="239" w:type="pct"/>
            <w:tcBorders>
              <w:top w:val="nil"/>
              <w:left w:val="nil"/>
              <w:bottom w:val="single" w:sz="4" w:space="0" w:color="auto"/>
              <w:right w:val="single" w:sz="4" w:space="0" w:color="auto"/>
            </w:tcBorders>
            <w:shd w:val="clear" w:color="auto" w:fill="auto"/>
            <w:noWrap/>
            <w:vAlign w:val="center"/>
          </w:tcPr>
          <w:p w14:paraId="4B76B8A1" w14:textId="6946447E" w:rsidR="00135421" w:rsidRPr="007A0B66" w:rsidRDefault="0090389C" w:rsidP="00BD3FAE">
            <w:pPr>
              <w:jc w:val="center"/>
              <w:rPr>
                <w:color w:val="000000"/>
                <w:sz w:val="17"/>
                <w:szCs w:val="17"/>
              </w:rPr>
            </w:pPr>
            <w:r>
              <w:rPr>
                <w:color w:val="000000"/>
                <w:sz w:val="17"/>
                <w:szCs w:val="17"/>
              </w:rPr>
              <w:t>IDB</w:t>
            </w:r>
          </w:p>
        </w:tc>
        <w:tc>
          <w:tcPr>
            <w:tcW w:w="325" w:type="pct"/>
            <w:tcBorders>
              <w:top w:val="nil"/>
              <w:left w:val="nil"/>
              <w:bottom w:val="single" w:sz="4" w:space="0" w:color="auto"/>
              <w:right w:val="single" w:sz="4" w:space="0" w:color="auto"/>
            </w:tcBorders>
            <w:shd w:val="clear" w:color="auto" w:fill="auto"/>
            <w:noWrap/>
            <w:vAlign w:val="center"/>
          </w:tcPr>
          <w:p w14:paraId="2495DEC4" w14:textId="77777777" w:rsidR="00135421" w:rsidRPr="007A0B66" w:rsidRDefault="00135421" w:rsidP="00B41D09">
            <w:pPr>
              <w:jc w:val="right"/>
              <w:rPr>
                <w:color w:val="000000"/>
                <w:sz w:val="17"/>
                <w:szCs w:val="17"/>
              </w:rPr>
            </w:pPr>
            <w:r>
              <w:rPr>
                <w:color w:val="000000"/>
                <w:sz w:val="17"/>
                <w:szCs w:val="17"/>
              </w:rPr>
              <w:t>10</w:t>
            </w:r>
            <w:r w:rsidRPr="007A0B66">
              <w:rPr>
                <w:color w:val="000000"/>
                <w:sz w:val="17"/>
                <w:szCs w:val="17"/>
              </w:rPr>
              <w:t>,000</w:t>
            </w:r>
          </w:p>
        </w:tc>
      </w:tr>
      <w:tr w:rsidR="00B92170" w:rsidRPr="00287B39" w14:paraId="591A4F02" w14:textId="77777777" w:rsidTr="00B92170">
        <w:trPr>
          <w:trHeight w:val="261"/>
        </w:trPr>
        <w:tc>
          <w:tcPr>
            <w:tcW w:w="397" w:type="pct"/>
            <w:tcBorders>
              <w:top w:val="nil"/>
              <w:bottom w:val="single" w:sz="4" w:space="0" w:color="auto"/>
              <w:right w:val="single" w:sz="4" w:space="0" w:color="auto"/>
            </w:tcBorders>
            <w:shd w:val="clear" w:color="auto" w:fill="auto"/>
            <w:noWrap/>
            <w:vAlign w:val="center"/>
          </w:tcPr>
          <w:p w14:paraId="0A1F4537" w14:textId="68CA0369" w:rsidR="00B92170" w:rsidRPr="00287B39" w:rsidRDefault="00B92170" w:rsidP="00433A31">
            <w:pPr>
              <w:rPr>
                <w:color w:val="000000"/>
                <w:sz w:val="17"/>
                <w:szCs w:val="17"/>
              </w:rPr>
            </w:pPr>
            <w:r>
              <w:rPr>
                <w:color w:val="000000"/>
                <w:sz w:val="17"/>
                <w:szCs w:val="17"/>
              </w:rPr>
              <w:t>Mid-term and terminal evaluation - GEF</w:t>
            </w:r>
          </w:p>
        </w:tc>
        <w:tc>
          <w:tcPr>
            <w:tcW w:w="238" w:type="pct"/>
            <w:tcBorders>
              <w:top w:val="nil"/>
              <w:left w:val="nil"/>
              <w:bottom w:val="single" w:sz="4" w:space="0" w:color="auto"/>
              <w:right w:val="single" w:sz="4" w:space="0" w:color="auto"/>
            </w:tcBorders>
            <w:shd w:val="clear" w:color="auto" w:fill="auto"/>
          </w:tcPr>
          <w:p w14:paraId="6CAF0D3E" w14:textId="77777777" w:rsidR="00B92170" w:rsidRPr="00287B39" w:rsidRDefault="00B92170" w:rsidP="003B569F">
            <w:pPr>
              <w:rPr>
                <w:color w:val="000000"/>
                <w:sz w:val="17"/>
                <w:szCs w:val="17"/>
              </w:rPr>
            </w:pPr>
          </w:p>
        </w:tc>
        <w:tc>
          <w:tcPr>
            <w:tcW w:w="194" w:type="pct"/>
            <w:tcBorders>
              <w:top w:val="nil"/>
              <w:left w:val="single" w:sz="4" w:space="0" w:color="auto"/>
              <w:bottom w:val="single" w:sz="4" w:space="0" w:color="auto"/>
              <w:right w:val="single" w:sz="4" w:space="0" w:color="auto"/>
            </w:tcBorders>
            <w:shd w:val="clear" w:color="auto" w:fill="auto"/>
            <w:noWrap/>
            <w:vAlign w:val="center"/>
          </w:tcPr>
          <w:p w14:paraId="129C018E" w14:textId="77777777" w:rsidR="00B92170" w:rsidRPr="00287B39" w:rsidRDefault="00B92170" w:rsidP="003B569F">
            <w:pPr>
              <w:rPr>
                <w:color w:val="000000"/>
                <w:sz w:val="17"/>
                <w:szCs w:val="17"/>
              </w:rPr>
            </w:pPr>
          </w:p>
        </w:tc>
        <w:tc>
          <w:tcPr>
            <w:tcW w:w="199" w:type="pct"/>
            <w:tcBorders>
              <w:top w:val="nil"/>
              <w:left w:val="nil"/>
              <w:bottom w:val="single" w:sz="4" w:space="0" w:color="auto"/>
              <w:right w:val="single" w:sz="4" w:space="0" w:color="auto"/>
            </w:tcBorders>
            <w:shd w:val="clear" w:color="auto" w:fill="auto"/>
            <w:noWrap/>
            <w:vAlign w:val="center"/>
          </w:tcPr>
          <w:p w14:paraId="05F46BFF" w14:textId="77777777" w:rsidR="00B92170" w:rsidRPr="00287B39" w:rsidRDefault="00B92170"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0CDFCD16" w14:textId="77777777" w:rsidR="00B92170" w:rsidRPr="00287B39" w:rsidRDefault="00B92170"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8DB3E2" w:themeFill="text2" w:themeFillTint="66"/>
            <w:noWrap/>
            <w:vAlign w:val="center"/>
          </w:tcPr>
          <w:p w14:paraId="00CB885B" w14:textId="77777777" w:rsidR="00B92170" w:rsidRPr="00287B39" w:rsidRDefault="00B92170"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auto"/>
          </w:tcPr>
          <w:p w14:paraId="1B3AC9DA" w14:textId="77777777" w:rsidR="00B92170" w:rsidRPr="00287B39" w:rsidRDefault="00B92170"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auto"/>
          </w:tcPr>
          <w:p w14:paraId="395E6BEA" w14:textId="77777777" w:rsidR="00B92170" w:rsidRPr="00287B39" w:rsidRDefault="00B92170"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8DB3E2" w:themeFill="text2" w:themeFillTint="66"/>
          </w:tcPr>
          <w:p w14:paraId="765ECC6E" w14:textId="77777777" w:rsidR="00B92170" w:rsidRPr="00287B39" w:rsidRDefault="00B92170" w:rsidP="003B569F">
            <w:pPr>
              <w:rPr>
                <w:color w:val="000000"/>
                <w:sz w:val="17"/>
                <w:szCs w:val="17"/>
              </w:rPr>
            </w:pPr>
          </w:p>
        </w:tc>
        <w:tc>
          <w:tcPr>
            <w:tcW w:w="198" w:type="pct"/>
            <w:tcBorders>
              <w:top w:val="single" w:sz="4" w:space="0" w:color="auto"/>
              <w:left w:val="nil"/>
              <w:bottom w:val="single" w:sz="4" w:space="0" w:color="auto"/>
              <w:right w:val="single" w:sz="4" w:space="0" w:color="auto"/>
            </w:tcBorders>
            <w:shd w:val="clear" w:color="auto" w:fill="auto"/>
          </w:tcPr>
          <w:p w14:paraId="2DD58715" w14:textId="77777777" w:rsidR="00B92170" w:rsidRPr="00287B39" w:rsidRDefault="00B92170"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73ABF27D" w14:textId="77777777" w:rsidR="00B92170" w:rsidRPr="00287B39" w:rsidRDefault="00B92170"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268298A7" w14:textId="77777777" w:rsidR="00B92170" w:rsidRPr="00D46033" w:rsidRDefault="00B92170" w:rsidP="003B569F">
            <w:pPr>
              <w:rPr>
                <w:color w:val="000000"/>
                <w:sz w:val="17"/>
                <w:szCs w:val="17"/>
              </w:rPr>
            </w:pPr>
          </w:p>
        </w:tc>
        <w:tc>
          <w:tcPr>
            <w:tcW w:w="196" w:type="pct"/>
            <w:tcBorders>
              <w:top w:val="nil"/>
              <w:left w:val="nil"/>
              <w:bottom w:val="single" w:sz="4" w:space="0" w:color="auto"/>
              <w:right w:val="single" w:sz="4" w:space="0" w:color="auto"/>
            </w:tcBorders>
            <w:shd w:val="clear" w:color="auto" w:fill="auto"/>
            <w:noWrap/>
            <w:vAlign w:val="center"/>
          </w:tcPr>
          <w:p w14:paraId="7B270014" w14:textId="77777777" w:rsidR="00B92170" w:rsidRPr="00287B39" w:rsidRDefault="00B92170"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223AEF10" w14:textId="77777777" w:rsidR="00B92170" w:rsidRPr="00287B39" w:rsidRDefault="00B92170"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auto"/>
            <w:noWrap/>
            <w:vAlign w:val="center"/>
          </w:tcPr>
          <w:p w14:paraId="49F1EC96" w14:textId="77777777" w:rsidR="00B92170" w:rsidRPr="00287B39" w:rsidRDefault="00B92170" w:rsidP="003B569F">
            <w:pPr>
              <w:rPr>
                <w:color w:val="000000"/>
                <w:sz w:val="17"/>
                <w:szCs w:val="17"/>
              </w:rPr>
            </w:pPr>
          </w:p>
        </w:tc>
        <w:tc>
          <w:tcPr>
            <w:tcW w:w="198" w:type="pct"/>
            <w:tcBorders>
              <w:top w:val="nil"/>
              <w:left w:val="nil"/>
              <w:bottom w:val="single" w:sz="4" w:space="0" w:color="auto"/>
              <w:right w:val="single" w:sz="4" w:space="0" w:color="auto"/>
            </w:tcBorders>
            <w:shd w:val="clear" w:color="auto" w:fill="auto"/>
            <w:noWrap/>
            <w:vAlign w:val="center"/>
          </w:tcPr>
          <w:p w14:paraId="610E2409" w14:textId="77777777" w:rsidR="00B92170" w:rsidRPr="00232BFF" w:rsidRDefault="00B92170" w:rsidP="00232BFF">
            <w:pPr>
              <w:jc w:val="center"/>
              <w:rPr>
                <w:b/>
                <w:bCs/>
                <w:color w:val="000000"/>
                <w:sz w:val="17"/>
                <w:szCs w:val="17"/>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6895C89" w14:textId="77777777" w:rsidR="00B92170" w:rsidRPr="00232BFF" w:rsidRDefault="00B92170"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0EAFE9DC" w14:textId="77777777" w:rsidR="00B92170" w:rsidRPr="00232BFF" w:rsidRDefault="00B92170"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0DAB5A97" w14:textId="77777777" w:rsidR="00B92170" w:rsidRPr="00232BFF" w:rsidRDefault="00B92170"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auto"/>
          </w:tcPr>
          <w:p w14:paraId="01BF1924" w14:textId="77777777" w:rsidR="00B92170" w:rsidRPr="00232BFF" w:rsidRDefault="00B92170"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1B343C18" w14:textId="2DE585A7" w:rsidR="00B92170" w:rsidRDefault="00B92170" w:rsidP="00B92170">
            <w:pPr>
              <w:rPr>
                <w:color w:val="000000"/>
                <w:sz w:val="17"/>
                <w:szCs w:val="17"/>
              </w:rPr>
            </w:pPr>
            <w:r>
              <w:rPr>
                <w:color w:val="000000"/>
                <w:sz w:val="17"/>
                <w:szCs w:val="17"/>
              </w:rPr>
              <w:t>IDB</w:t>
            </w:r>
          </w:p>
        </w:tc>
        <w:tc>
          <w:tcPr>
            <w:tcW w:w="239" w:type="pct"/>
            <w:tcBorders>
              <w:top w:val="nil"/>
              <w:left w:val="nil"/>
              <w:bottom w:val="single" w:sz="4" w:space="0" w:color="auto"/>
              <w:right w:val="single" w:sz="4" w:space="0" w:color="auto"/>
            </w:tcBorders>
            <w:shd w:val="clear" w:color="auto" w:fill="auto"/>
            <w:noWrap/>
            <w:vAlign w:val="center"/>
          </w:tcPr>
          <w:p w14:paraId="3DF2192C" w14:textId="59451449" w:rsidR="00B92170" w:rsidRDefault="00B92170" w:rsidP="00BD3FAE">
            <w:pPr>
              <w:jc w:val="center"/>
              <w:rPr>
                <w:color w:val="000000"/>
                <w:sz w:val="17"/>
                <w:szCs w:val="17"/>
              </w:rPr>
            </w:pPr>
            <w:r>
              <w:rPr>
                <w:color w:val="000000"/>
                <w:sz w:val="17"/>
                <w:szCs w:val="17"/>
              </w:rPr>
              <w:t>GEF</w:t>
            </w:r>
          </w:p>
        </w:tc>
        <w:tc>
          <w:tcPr>
            <w:tcW w:w="325" w:type="pct"/>
            <w:tcBorders>
              <w:top w:val="nil"/>
              <w:left w:val="nil"/>
              <w:bottom w:val="single" w:sz="4" w:space="0" w:color="auto"/>
              <w:right w:val="single" w:sz="4" w:space="0" w:color="auto"/>
            </w:tcBorders>
            <w:shd w:val="clear" w:color="auto" w:fill="auto"/>
            <w:noWrap/>
            <w:vAlign w:val="center"/>
          </w:tcPr>
          <w:p w14:paraId="0BBC7D29" w14:textId="4A280C56" w:rsidR="00B92170" w:rsidRDefault="00B92170" w:rsidP="003B569F">
            <w:pPr>
              <w:jc w:val="right"/>
              <w:rPr>
                <w:color w:val="000000"/>
                <w:sz w:val="17"/>
                <w:szCs w:val="17"/>
              </w:rPr>
            </w:pPr>
            <w:r>
              <w:rPr>
                <w:color w:val="000000"/>
                <w:sz w:val="17"/>
                <w:szCs w:val="17"/>
              </w:rPr>
              <w:t>70,000</w:t>
            </w:r>
          </w:p>
        </w:tc>
      </w:tr>
      <w:tr w:rsidR="0090389C" w:rsidRPr="00287B39" w14:paraId="1A1DFD58" w14:textId="77777777" w:rsidTr="00B92170">
        <w:trPr>
          <w:trHeight w:val="261"/>
        </w:trPr>
        <w:tc>
          <w:tcPr>
            <w:tcW w:w="397" w:type="pct"/>
            <w:tcBorders>
              <w:top w:val="nil"/>
              <w:bottom w:val="single" w:sz="4" w:space="0" w:color="auto"/>
              <w:right w:val="single" w:sz="4" w:space="0" w:color="auto"/>
            </w:tcBorders>
            <w:shd w:val="clear" w:color="auto" w:fill="auto"/>
            <w:noWrap/>
            <w:vAlign w:val="center"/>
            <w:hideMark/>
          </w:tcPr>
          <w:p w14:paraId="3E135EAD" w14:textId="47BE7502" w:rsidR="00135421" w:rsidRPr="00287B39" w:rsidRDefault="00135421" w:rsidP="00433A31">
            <w:pPr>
              <w:rPr>
                <w:color w:val="000000"/>
                <w:sz w:val="17"/>
                <w:szCs w:val="17"/>
              </w:rPr>
            </w:pPr>
            <w:r w:rsidRPr="00287B39">
              <w:rPr>
                <w:color w:val="000000"/>
                <w:sz w:val="17"/>
                <w:szCs w:val="17"/>
              </w:rPr>
              <w:t>Mid-term E</w:t>
            </w:r>
            <w:r>
              <w:rPr>
                <w:color w:val="000000"/>
                <w:sz w:val="17"/>
                <w:szCs w:val="17"/>
              </w:rPr>
              <w:t>val.</w:t>
            </w:r>
          </w:p>
        </w:tc>
        <w:tc>
          <w:tcPr>
            <w:tcW w:w="238" w:type="pct"/>
            <w:tcBorders>
              <w:top w:val="nil"/>
              <w:left w:val="nil"/>
              <w:bottom w:val="single" w:sz="4" w:space="0" w:color="auto"/>
              <w:right w:val="single" w:sz="4" w:space="0" w:color="auto"/>
            </w:tcBorders>
          </w:tcPr>
          <w:p w14:paraId="0823F8E7" w14:textId="77777777" w:rsidR="00135421" w:rsidRPr="00287B39" w:rsidRDefault="00135421" w:rsidP="003B569F">
            <w:pPr>
              <w:rPr>
                <w:color w:val="000000"/>
                <w:sz w:val="17"/>
                <w:szCs w:val="17"/>
              </w:rPr>
            </w:pP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67107887" w14:textId="77777777" w:rsidR="00135421" w:rsidRPr="00287B39" w:rsidRDefault="00135421" w:rsidP="003B569F">
            <w:pPr>
              <w:rPr>
                <w:color w:val="000000"/>
                <w:sz w:val="17"/>
                <w:szCs w:val="17"/>
              </w:rPr>
            </w:pPr>
            <w:r w:rsidRPr="00287B39">
              <w:rPr>
                <w:color w:val="000000"/>
                <w:sz w:val="17"/>
                <w:szCs w:val="17"/>
              </w:rPr>
              <w:t> </w:t>
            </w:r>
          </w:p>
        </w:tc>
        <w:tc>
          <w:tcPr>
            <w:tcW w:w="199" w:type="pct"/>
            <w:tcBorders>
              <w:top w:val="nil"/>
              <w:left w:val="nil"/>
              <w:bottom w:val="single" w:sz="4" w:space="0" w:color="auto"/>
              <w:right w:val="single" w:sz="4" w:space="0" w:color="auto"/>
            </w:tcBorders>
            <w:shd w:val="clear" w:color="auto" w:fill="auto"/>
            <w:noWrap/>
            <w:vAlign w:val="center"/>
            <w:hideMark/>
          </w:tcPr>
          <w:p w14:paraId="7DECBF3C"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nil"/>
              <w:left w:val="nil"/>
              <w:bottom w:val="single" w:sz="4" w:space="0" w:color="auto"/>
              <w:right w:val="single" w:sz="4" w:space="0" w:color="auto"/>
            </w:tcBorders>
            <w:shd w:val="clear" w:color="auto" w:fill="auto"/>
            <w:noWrap/>
            <w:vAlign w:val="center"/>
            <w:hideMark/>
          </w:tcPr>
          <w:p w14:paraId="7E716C16"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auto"/>
            <w:noWrap/>
            <w:vAlign w:val="center"/>
            <w:hideMark/>
          </w:tcPr>
          <w:p w14:paraId="604C7B9B"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single" w:sz="4" w:space="0" w:color="auto"/>
              <w:left w:val="nil"/>
              <w:bottom w:val="single" w:sz="4" w:space="0" w:color="auto"/>
              <w:right w:val="single" w:sz="4" w:space="0" w:color="auto"/>
            </w:tcBorders>
            <w:shd w:val="clear" w:color="auto" w:fill="FFFFFF" w:themeFill="background1"/>
          </w:tcPr>
          <w:p w14:paraId="712ECDA3"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2B93C85F"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5F7ABC8D" w14:textId="77777777" w:rsidR="00135421" w:rsidRPr="00287B39" w:rsidRDefault="00135421" w:rsidP="003B569F">
            <w:pPr>
              <w:rPr>
                <w:color w:val="000000"/>
                <w:sz w:val="17"/>
                <w:szCs w:val="17"/>
              </w:rPr>
            </w:pPr>
          </w:p>
        </w:tc>
        <w:tc>
          <w:tcPr>
            <w:tcW w:w="198" w:type="pct"/>
            <w:tcBorders>
              <w:top w:val="single" w:sz="4" w:space="0" w:color="auto"/>
              <w:left w:val="nil"/>
              <w:bottom w:val="single" w:sz="4" w:space="0" w:color="auto"/>
              <w:right w:val="single" w:sz="4" w:space="0" w:color="auto"/>
            </w:tcBorders>
            <w:shd w:val="clear" w:color="auto" w:fill="FFFFFF" w:themeFill="background1"/>
          </w:tcPr>
          <w:p w14:paraId="02A0577A" w14:textId="77777777" w:rsidR="00135421" w:rsidRPr="00287B39" w:rsidRDefault="00135421"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FFFFFF" w:themeFill="background1"/>
            <w:noWrap/>
            <w:vAlign w:val="center"/>
            <w:hideMark/>
          </w:tcPr>
          <w:p w14:paraId="5C488629"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654FBE7E" w14:textId="77777777" w:rsidR="00135421" w:rsidRPr="00287B39" w:rsidRDefault="00135421" w:rsidP="003B569F">
            <w:pPr>
              <w:rPr>
                <w:color w:val="000000"/>
                <w:sz w:val="17"/>
                <w:szCs w:val="17"/>
              </w:rPr>
            </w:pPr>
            <w:r w:rsidRPr="00D46033">
              <w:rPr>
                <w:color w:val="000000"/>
                <w:sz w:val="17"/>
                <w:szCs w:val="17"/>
              </w:rPr>
              <w:t> </w:t>
            </w:r>
          </w:p>
        </w:tc>
        <w:tc>
          <w:tcPr>
            <w:tcW w:w="196" w:type="pct"/>
            <w:tcBorders>
              <w:top w:val="nil"/>
              <w:left w:val="nil"/>
              <w:bottom w:val="single" w:sz="4" w:space="0" w:color="auto"/>
              <w:right w:val="single" w:sz="4" w:space="0" w:color="auto"/>
            </w:tcBorders>
            <w:shd w:val="clear" w:color="auto" w:fill="A6A6A6" w:themeFill="background1" w:themeFillShade="A6"/>
            <w:noWrap/>
            <w:vAlign w:val="center"/>
            <w:hideMark/>
          </w:tcPr>
          <w:p w14:paraId="3F4BD252"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auto"/>
            <w:noWrap/>
            <w:vAlign w:val="center"/>
            <w:hideMark/>
          </w:tcPr>
          <w:p w14:paraId="5AD078DE"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nil"/>
              <w:left w:val="nil"/>
              <w:bottom w:val="single" w:sz="4" w:space="0" w:color="auto"/>
              <w:right w:val="single" w:sz="4" w:space="0" w:color="auto"/>
            </w:tcBorders>
            <w:shd w:val="clear" w:color="auto" w:fill="auto"/>
            <w:noWrap/>
            <w:vAlign w:val="center"/>
            <w:hideMark/>
          </w:tcPr>
          <w:p w14:paraId="0AB9B7C4"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11CB88E3" w14:textId="77777777" w:rsidR="00135421" w:rsidRDefault="00135421" w:rsidP="00232BFF">
            <w:pPr>
              <w:jc w:val="center"/>
              <w:rPr>
                <w:b/>
                <w:bCs/>
                <w:color w:val="000000"/>
                <w:sz w:val="17"/>
                <w:szCs w:val="17"/>
              </w:rPr>
            </w:pPr>
            <w:r w:rsidRPr="00232BFF">
              <w:rPr>
                <w:b/>
                <w:bCs/>
                <w:color w:val="000000"/>
                <w:sz w:val="17"/>
                <w:szCs w:val="17"/>
              </w:rPr>
              <w:t> </w:t>
            </w:r>
          </w:p>
          <w:p w14:paraId="484F2629" w14:textId="77777777" w:rsidR="00135421" w:rsidRDefault="00135421" w:rsidP="00232BFF">
            <w:pPr>
              <w:rPr>
                <w:sz w:val="17"/>
                <w:szCs w:val="17"/>
              </w:rPr>
            </w:pPr>
          </w:p>
          <w:p w14:paraId="1F77C77E" w14:textId="77777777" w:rsidR="00135421" w:rsidRPr="00232BFF" w:rsidRDefault="00135421" w:rsidP="00232BFF">
            <w:pPr>
              <w:rPr>
                <w:sz w:val="17"/>
                <w:szCs w:val="17"/>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cPr>
          <w:p w14:paraId="512CE305" w14:textId="77777777" w:rsidR="00135421" w:rsidRPr="00232BFF" w:rsidRDefault="00135421"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tcPr>
          <w:p w14:paraId="420E2423" w14:textId="77777777" w:rsidR="00135421" w:rsidRPr="00232BFF" w:rsidRDefault="00135421"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8B436" w14:textId="77777777" w:rsidR="00135421" w:rsidRPr="00232BFF" w:rsidRDefault="00135421"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tcPr>
          <w:p w14:paraId="151650D0" w14:textId="77777777" w:rsidR="00135421" w:rsidRPr="00232BFF" w:rsidRDefault="00135421"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14270332" w14:textId="4DB023CF" w:rsidR="00135421" w:rsidRPr="007A0B66" w:rsidRDefault="00B92170" w:rsidP="00B92170">
            <w:pPr>
              <w:rPr>
                <w:color w:val="000000"/>
                <w:sz w:val="17"/>
                <w:szCs w:val="17"/>
              </w:rPr>
            </w:pPr>
            <w:r>
              <w:rPr>
                <w:color w:val="000000"/>
                <w:sz w:val="17"/>
                <w:szCs w:val="17"/>
              </w:rPr>
              <w:t xml:space="preserve"> EA</w:t>
            </w:r>
          </w:p>
        </w:tc>
        <w:tc>
          <w:tcPr>
            <w:tcW w:w="239" w:type="pct"/>
            <w:tcBorders>
              <w:top w:val="nil"/>
              <w:left w:val="nil"/>
              <w:bottom w:val="single" w:sz="4" w:space="0" w:color="auto"/>
              <w:right w:val="single" w:sz="4" w:space="0" w:color="auto"/>
            </w:tcBorders>
            <w:shd w:val="clear" w:color="auto" w:fill="auto"/>
            <w:noWrap/>
            <w:vAlign w:val="center"/>
          </w:tcPr>
          <w:p w14:paraId="37B26184" w14:textId="709BA265" w:rsidR="00135421" w:rsidRPr="007A0B66" w:rsidRDefault="0090389C" w:rsidP="00BD3FAE">
            <w:pPr>
              <w:jc w:val="center"/>
              <w:rPr>
                <w:color w:val="000000"/>
                <w:sz w:val="17"/>
                <w:szCs w:val="17"/>
              </w:rPr>
            </w:pPr>
            <w:r>
              <w:rPr>
                <w:color w:val="000000"/>
                <w:sz w:val="17"/>
                <w:szCs w:val="17"/>
              </w:rPr>
              <w:t>IDB</w:t>
            </w:r>
          </w:p>
        </w:tc>
        <w:tc>
          <w:tcPr>
            <w:tcW w:w="325" w:type="pct"/>
            <w:tcBorders>
              <w:top w:val="nil"/>
              <w:left w:val="nil"/>
              <w:bottom w:val="single" w:sz="4" w:space="0" w:color="auto"/>
              <w:right w:val="single" w:sz="4" w:space="0" w:color="auto"/>
            </w:tcBorders>
            <w:shd w:val="clear" w:color="auto" w:fill="auto"/>
            <w:noWrap/>
            <w:vAlign w:val="center"/>
          </w:tcPr>
          <w:p w14:paraId="5153E250" w14:textId="1DB1E046" w:rsidR="00135421" w:rsidRPr="007A0B66" w:rsidRDefault="00433A31" w:rsidP="003B569F">
            <w:pPr>
              <w:jc w:val="right"/>
              <w:rPr>
                <w:color w:val="000000"/>
                <w:sz w:val="17"/>
                <w:szCs w:val="17"/>
              </w:rPr>
            </w:pPr>
            <w:r>
              <w:rPr>
                <w:color w:val="000000"/>
                <w:sz w:val="17"/>
                <w:szCs w:val="17"/>
              </w:rPr>
              <w:t>4</w:t>
            </w:r>
            <w:r w:rsidR="00135421" w:rsidRPr="007A0B66">
              <w:rPr>
                <w:color w:val="000000"/>
                <w:sz w:val="17"/>
                <w:szCs w:val="17"/>
              </w:rPr>
              <w:t>0,000</w:t>
            </w:r>
          </w:p>
        </w:tc>
      </w:tr>
      <w:tr w:rsidR="0090389C" w:rsidRPr="00287B39" w14:paraId="6B10DE5E" w14:textId="77777777" w:rsidTr="00B92170">
        <w:trPr>
          <w:trHeight w:val="261"/>
        </w:trPr>
        <w:tc>
          <w:tcPr>
            <w:tcW w:w="397" w:type="pct"/>
            <w:tcBorders>
              <w:top w:val="nil"/>
              <w:bottom w:val="single" w:sz="4" w:space="0" w:color="auto"/>
              <w:right w:val="single" w:sz="4" w:space="0" w:color="auto"/>
            </w:tcBorders>
            <w:shd w:val="clear" w:color="auto" w:fill="auto"/>
            <w:noWrap/>
            <w:vAlign w:val="center"/>
            <w:hideMark/>
          </w:tcPr>
          <w:p w14:paraId="6C6F196E" w14:textId="77777777" w:rsidR="00135421" w:rsidRPr="00287B39" w:rsidRDefault="00135421" w:rsidP="003B569F">
            <w:pPr>
              <w:rPr>
                <w:color w:val="000000"/>
                <w:sz w:val="17"/>
                <w:szCs w:val="17"/>
              </w:rPr>
            </w:pPr>
            <w:r w:rsidRPr="00287B39">
              <w:rPr>
                <w:color w:val="000000"/>
                <w:sz w:val="17"/>
                <w:szCs w:val="17"/>
              </w:rPr>
              <w:t>Ex-post CBA</w:t>
            </w:r>
          </w:p>
        </w:tc>
        <w:tc>
          <w:tcPr>
            <w:tcW w:w="238" w:type="pct"/>
            <w:tcBorders>
              <w:top w:val="nil"/>
              <w:left w:val="nil"/>
              <w:bottom w:val="single" w:sz="4" w:space="0" w:color="auto"/>
              <w:right w:val="single" w:sz="4" w:space="0" w:color="auto"/>
            </w:tcBorders>
          </w:tcPr>
          <w:p w14:paraId="7D2F822D" w14:textId="77777777" w:rsidR="00135421" w:rsidRPr="00287B39" w:rsidRDefault="00135421" w:rsidP="003B569F">
            <w:pPr>
              <w:rPr>
                <w:color w:val="000000"/>
                <w:sz w:val="17"/>
                <w:szCs w:val="17"/>
              </w:rPr>
            </w:pP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22A1E3DF" w14:textId="77777777" w:rsidR="00135421" w:rsidRPr="00287B39" w:rsidRDefault="00135421" w:rsidP="003B569F">
            <w:pPr>
              <w:rPr>
                <w:color w:val="000000"/>
                <w:sz w:val="17"/>
                <w:szCs w:val="17"/>
              </w:rPr>
            </w:pPr>
            <w:r w:rsidRPr="00287B39">
              <w:rPr>
                <w:color w:val="000000"/>
                <w:sz w:val="17"/>
                <w:szCs w:val="17"/>
              </w:rPr>
              <w:t> </w:t>
            </w:r>
          </w:p>
        </w:tc>
        <w:tc>
          <w:tcPr>
            <w:tcW w:w="199" w:type="pct"/>
            <w:tcBorders>
              <w:top w:val="nil"/>
              <w:left w:val="nil"/>
              <w:bottom w:val="single" w:sz="4" w:space="0" w:color="auto"/>
              <w:right w:val="single" w:sz="4" w:space="0" w:color="auto"/>
            </w:tcBorders>
            <w:shd w:val="clear" w:color="auto" w:fill="auto"/>
            <w:noWrap/>
            <w:vAlign w:val="center"/>
            <w:hideMark/>
          </w:tcPr>
          <w:p w14:paraId="37AFAEAA"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nil"/>
              <w:left w:val="nil"/>
              <w:bottom w:val="single" w:sz="4" w:space="0" w:color="auto"/>
              <w:right w:val="single" w:sz="4" w:space="0" w:color="auto"/>
            </w:tcBorders>
            <w:shd w:val="clear" w:color="auto" w:fill="auto"/>
            <w:noWrap/>
            <w:vAlign w:val="center"/>
            <w:hideMark/>
          </w:tcPr>
          <w:p w14:paraId="69CC82A0"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auto"/>
            <w:noWrap/>
            <w:vAlign w:val="center"/>
            <w:hideMark/>
          </w:tcPr>
          <w:p w14:paraId="65BC3047"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single" w:sz="4" w:space="0" w:color="auto"/>
              <w:left w:val="nil"/>
              <w:bottom w:val="single" w:sz="4" w:space="0" w:color="auto"/>
              <w:right w:val="single" w:sz="4" w:space="0" w:color="auto"/>
            </w:tcBorders>
            <w:shd w:val="clear" w:color="auto" w:fill="FFFFFF" w:themeFill="background1"/>
          </w:tcPr>
          <w:p w14:paraId="7F95132B"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150D50BC" w14:textId="77777777" w:rsidR="00135421" w:rsidRPr="00287B39" w:rsidRDefault="00135421" w:rsidP="003B569F">
            <w:pPr>
              <w:rPr>
                <w:color w:val="000000"/>
                <w:sz w:val="17"/>
                <w:szCs w:val="17"/>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3ADEF65E" w14:textId="77777777" w:rsidR="00135421" w:rsidRPr="00287B39" w:rsidRDefault="00135421" w:rsidP="003B569F">
            <w:pPr>
              <w:rPr>
                <w:color w:val="000000"/>
                <w:sz w:val="17"/>
                <w:szCs w:val="17"/>
              </w:rPr>
            </w:pPr>
          </w:p>
        </w:tc>
        <w:tc>
          <w:tcPr>
            <w:tcW w:w="198" w:type="pct"/>
            <w:tcBorders>
              <w:top w:val="single" w:sz="4" w:space="0" w:color="auto"/>
              <w:left w:val="nil"/>
              <w:bottom w:val="single" w:sz="4" w:space="0" w:color="auto"/>
              <w:right w:val="single" w:sz="4" w:space="0" w:color="auto"/>
            </w:tcBorders>
            <w:shd w:val="clear" w:color="auto" w:fill="FFFFFF" w:themeFill="background1"/>
          </w:tcPr>
          <w:p w14:paraId="169E4539" w14:textId="77777777" w:rsidR="00135421" w:rsidRPr="00287B39" w:rsidRDefault="00135421" w:rsidP="003B569F">
            <w:pPr>
              <w:rPr>
                <w:color w:val="000000"/>
                <w:sz w:val="17"/>
                <w:szCs w:val="17"/>
              </w:rPr>
            </w:pPr>
          </w:p>
        </w:tc>
        <w:tc>
          <w:tcPr>
            <w:tcW w:w="197" w:type="pct"/>
            <w:tcBorders>
              <w:top w:val="nil"/>
              <w:left w:val="nil"/>
              <w:bottom w:val="single" w:sz="4" w:space="0" w:color="auto"/>
              <w:right w:val="single" w:sz="4" w:space="0" w:color="auto"/>
            </w:tcBorders>
            <w:shd w:val="clear" w:color="auto" w:fill="FFFFFF" w:themeFill="background1"/>
            <w:noWrap/>
            <w:vAlign w:val="center"/>
            <w:hideMark/>
          </w:tcPr>
          <w:p w14:paraId="50D263B6"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32482C50" w14:textId="77777777" w:rsidR="00135421" w:rsidRPr="00287B39" w:rsidRDefault="00135421" w:rsidP="003B569F">
            <w:pPr>
              <w:rPr>
                <w:color w:val="000000"/>
                <w:sz w:val="17"/>
                <w:szCs w:val="17"/>
              </w:rPr>
            </w:pPr>
            <w:r w:rsidRPr="00287B39">
              <w:rPr>
                <w:color w:val="000000"/>
                <w:sz w:val="17"/>
                <w:szCs w:val="17"/>
              </w:rPr>
              <w:t> </w:t>
            </w:r>
          </w:p>
        </w:tc>
        <w:tc>
          <w:tcPr>
            <w:tcW w:w="196" w:type="pct"/>
            <w:tcBorders>
              <w:top w:val="nil"/>
              <w:left w:val="nil"/>
              <w:bottom w:val="single" w:sz="4" w:space="0" w:color="auto"/>
              <w:right w:val="single" w:sz="4" w:space="0" w:color="auto"/>
            </w:tcBorders>
            <w:shd w:val="clear" w:color="auto" w:fill="auto"/>
            <w:noWrap/>
            <w:vAlign w:val="center"/>
            <w:hideMark/>
          </w:tcPr>
          <w:p w14:paraId="15D8C1D2"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auto"/>
            <w:noWrap/>
            <w:vAlign w:val="center"/>
            <w:hideMark/>
          </w:tcPr>
          <w:p w14:paraId="37905714" w14:textId="77777777" w:rsidR="00135421" w:rsidRPr="00287B39" w:rsidRDefault="00135421" w:rsidP="003B569F">
            <w:pPr>
              <w:rPr>
                <w:color w:val="000000"/>
                <w:sz w:val="17"/>
                <w:szCs w:val="17"/>
              </w:rPr>
            </w:pPr>
            <w:r w:rsidRPr="00287B39">
              <w:rPr>
                <w:color w:val="000000"/>
                <w:sz w:val="17"/>
                <w:szCs w:val="17"/>
              </w:rPr>
              <w:t> </w:t>
            </w:r>
          </w:p>
        </w:tc>
        <w:tc>
          <w:tcPr>
            <w:tcW w:w="197" w:type="pct"/>
            <w:tcBorders>
              <w:top w:val="nil"/>
              <w:left w:val="nil"/>
              <w:bottom w:val="single" w:sz="4" w:space="0" w:color="auto"/>
              <w:right w:val="single" w:sz="4" w:space="0" w:color="auto"/>
            </w:tcBorders>
            <w:shd w:val="clear" w:color="auto" w:fill="auto"/>
            <w:noWrap/>
            <w:vAlign w:val="center"/>
            <w:hideMark/>
          </w:tcPr>
          <w:p w14:paraId="3769602D" w14:textId="77777777" w:rsidR="00135421" w:rsidRPr="00287B39" w:rsidRDefault="00135421" w:rsidP="003B569F">
            <w:pPr>
              <w:rPr>
                <w:color w:val="000000"/>
                <w:sz w:val="17"/>
                <w:szCs w:val="17"/>
              </w:rPr>
            </w:pPr>
            <w:r w:rsidRPr="00287B39">
              <w:rPr>
                <w:color w:val="000000"/>
                <w:sz w:val="17"/>
                <w:szCs w:val="17"/>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609B63E1" w14:textId="77777777" w:rsidR="00135421" w:rsidRPr="00232BFF" w:rsidRDefault="00135421" w:rsidP="00232BFF">
            <w:pPr>
              <w:jc w:val="center"/>
              <w:rPr>
                <w:b/>
                <w:bCs/>
                <w:color w:val="000000"/>
                <w:sz w:val="17"/>
                <w:szCs w:val="17"/>
              </w:rPr>
            </w:pPr>
            <w:r w:rsidRPr="00232BFF">
              <w:rPr>
                <w:b/>
                <w:bCs/>
                <w:color w:val="000000"/>
                <w:sz w:val="17"/>
                <w:szCs w:val="17"/>
              </w:rPr>
              <w:t> </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cPr>
          <w:p w14:paraId="44539E28" w14:textId="77777777" w:rsidR="00135421" w:rsidRPr="00232BFF" w:rsidRDefault="00135421"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tcPr>
          <w:p w14:paraId="56E74231" w14:textId="77777777" w:rsidR="00135421" w:rsidRPr="00232BFF" w:rsidRDefault="00135421"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E9074C" w14:textId="77777777" w:rsidR="00135421" w:rsidRPr="00232BFF" w:rsidRDefault="00135421"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tcPr>
          <w:p w14:paraId="4AC9A5AE" w14:textId="77777777" w:rsidR="00135421" w:rsidRPr="00232BFF" w:rsidRDefault="00135421"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34E5F175" w14:textId="24A364A6" w:rsidR="00135421" w:rsidRPr="007A0B66" w:rsidRDefault="0094404E" w:rsidP="003B569F">
            <w:pPr>
              <w:jc w:val="center"/>
              <w:rPr>
                <w:color w:val="000000"/>
                <w:sz w:val="17"/>
                <w:szCs w:val="17"/>
              </w:rPr>
            </w:pPr>
            <w:r>
              <w:rPr>
                <w:color w:val="000000"/>
                <w:sz w:val="17"/>
                <w:szCs w:val="17"/>
              </w:rPr>
              <w:t>EA</w:t>
            </w:r>
          </w:p>
        </w:tc>
        <w:tc>
          <w:tcPr>
            <w:tcW w:w="239" w:type="pct"/>
            <w:tcBorders>
              <w:top w:val="nil"/>
              <w:left w:val="nil"/>
              <w:bottom w:val="single" w:sz="4" w:space="0" w:color="auto"/>
              <w:right w:val="single" w:sz="4" w:space="0" w:color="auto"/>
            </w:tcBorders>
            <w:shd w:val="clear" w:color="auto" w:fill="auto"/>
            <w:noWrap/>
            <w:vAlign w:val="center"/>
          </w:tcPr>
          <w:p w14:paraId="746CE8E5" w14:textId="4BF5A057" w:rsidR="00135421" w:rsidRPr="007A0B66" w:rsidRDefault="00442ADA" w:rsidP="00BD3FAE">
            <w:pPr>
              <w:jc w:val="center"/>
              <w:rPr>
                <w:color w:val="000000"/>
                <w:sz w:val="17"/>
                <w:szCs w:val="17"/>
              </w:rPr>
            </w:pPr>
            <w:r>
              <w:rPr>
                <w:color w:val="000000"/>
                <w:sz w:val="17"/>
                <w:szCs w:val="17"/>
              </w:rPr>
              <w:t>EA</w:t>
            </w:r>
          </w:p>
        </w:tc>
        <w:tc>
          <w:tcPr>
            <w:tcW w:w="325" w:type="pct"/>
            <w:tcBorders>
              <w:top w:val="nil"/>
              <w:left w:val="nil"/>
              <w:bottom w:val="single" w:sz="4" w:space="0" w:color="auto"/>
              <w:right w:val="single" w:sz="4" w:space="0" w:color="auto"/>
            </w:tcBorders>
            <w:shd w:val="clear" w:color="auto" w:fill="auto"/>
            <w:noWrap/>
            <w:vAlign w:val="center"/>
          </w:tcPr>
          <w:p w14:paraId="112F9FC4" w14:textId="29150B50" w:rsidR="00135421" w:rsidRPr="007A0B66" w:rsidRDefault="00433A31" w:rsidP="003B569F">
            <w:pPr>
              <w:jc w:val="right"/>
              <w:rPr>
                <w:color w:val="000000"/>
                <w:sz w:val="17"/>
                <w:szCs w:val="17"/>
              </w:rPr>
            </w:pPr>
            <w:r>
              <w:rPr>
                <w:color w:val="000000"/>
                <w:sz w:val="17"/>
                <w:szCs w:val="17"/>
              </w:rPr>
              <w:t>4</w:t>
            </w:r>
            <w:r w:rsidRPr="007A0B66">
              <w:rPr>
                <w:color w:val="000000"/>
                <w:sz w:val="17"/>
                <w:szCs w:val="17"/>
              </w:rPr>
              <w:t>0</w:t>
            </w:r>
            <w:r w:rsidR="00135421" w:rsidRPr="007A0B66">
              <w:rPr>
                <w:color w:val="000000"/>
                <w:sz w:val="17"/>
                <w:szCs w:val="17"/>
              </w:rPr>
              <w:t>,000</w:t>
            </w:r>
          </w:p>
        </w:tc>
      </w:tr>
      <w:tr w:rsidR="0090389C" w:rsidRPr="00287B39" w14:paraId="2A168283" w14:textId="77777777" w:rsidTr="00B92170">
        <w:trPr>
          <w:trHeight w:val="261"/>
        </w:trPr>
        <w:tc>
          <w:tcPr>
            <w:tcW w:w="397" w:type="pct"/>
            <w:tcBorders>
              <w:top w:val="nil"/>
              <w:bottom w:val="single" w:sz="4" w:space="0" w:color="auto"/>
              <w:right w:val="single" w:sz="4" w:space="0" w:color="auto"/>
            </w:tcBorders>
            <w:shd w:val="clear" w:color="auto" w:fill="auto"/>
            <w:noWrap/>
            <w:vAlign w:val="center"/>
            <w:hideMark/>
          </w:tcPr>
          <w:p w14:paraId="012FB6E3" w14:textId="77777777" w:rsidR="00135421" w:rsidRPr="00287B39" w:rsidRDefault="00135421" w:rsidP="003B569F">
            <w:pPr>
              <w:rPr>
                <w:color w:val="000000"/>
                <w:sz w:val="17"/>
                <w:szCs w:val="17"/>
              </w:rPr>
            </w:pPr>
            <w:r>
              <w:rPr>
                <w:color w:val="000000"/>
                <w:sz w:val="17"/>
                <w:szCs w:val="17"/>
                <w:lang w:val="es-ES_tradnl"/>
              </w:rPr>
              <w:t>PCR</w:t>
            </w:r>
            <w:r w:rsidRPr="00287B39">
              <w:rPr>
                <w:color w:val="000000"/>
                <w:sz w:val="17"/>
                <w:szCs w:val="17"/>
                <w:lang w:val="es-ES_tradnl"/>
              </w:rPr>
              <w:t xml:space="preserve"> </w:t>
            </w:r>
          </w:p>
        </w:tc>
        <w:tc>
          <w:tcPr>
            <w:tcW w:w="238" w:type="pct"/>
            <w:tcBorders>
              <w:top w:val="nil"/>
              <w:left w:val="nil"/>
              <w:bottom w:val="single" w:sz="4" w:space="0" w:color="auto"/>
              <w:right w:val="single" w:sz="4" w:space="0" w:color="auto"/>
            </w:tcBorders>
          </w:tcPr>
          <w:p w14:paraId="1E87C3F6" w14:textId="77777777" w:rsidR="00135421" w:rsidRPr="00287B39" w:rsidRDefault="00135421" w:rsidP="003B569F">
            <w:pPr>
              <w:rPr>
                <w:color w:val="000000"/>
                <w:sz w:val="17"/>
                <w:szCs w:val="17"/>
                <w:lang w:val="es-ES_tradnl"/>
              </w:rPr>
            </w:pPr>
          </w:p>
        </w:tc>
        <w:tc>
          <w:tcPr>
            <w:tcW w:w="194" w:type="pct"/>
            <w:tcBorders>
              <w:top w:val="nil"/>
              <w:left w:val="single" w:sz="4" w:space="0" w:color="auto"/>
              <w:bottom w:val="single" w:sz="4" w:space="0" w:color="auto"/>
              <w:right w:val="single" w:sz="4" w:space="0" w:color="auto"/>
            </w:tcBorders>
            <w:shd w:val="clear" w:color="auto" w:fill="auto"/>
            <w:noWrap/>
            <w:vAlign w:val="center"/>
            <w:hideMark/>
          </w:tcPr>
          <w:p w14:paraId="59756F43" w14:textId="77777777" w:rsidR="00135421" w:rsidRPr="00287B39" w:rsidRDefault="00135421" w:rsidP="003B569F">
            <w:pPr>
              <w:rPr>
                <w:color w:val="000000"/>
                <w:sz w:val="17"/>
                <w:szCs w:val="17"/>
              </w:rPr>
            </w:pPr>
            <w:r w:rsidRPr="00287B39">
              <w:rPr>
                <w:color w:val="000000"/>
                <w:sz w:val="17"/>
                <w:szCs w:val="17"/>
                <w:lang w:val="es-ES_tradnl"/>
              </w:rPr>
              <w:t> </w:t>
            </w:r>
          </w:p>
        </w:tc>
        <w:tc>
          <w:tcPr>
            <w:tcW w:w="199" w:type="pct"/>
            <w:tcBorders>
              <w:top w:val="nil"/>
              <w:left w:val="nil"/>
              <w:bottom w:val="single" w:sz="4" w:space="0" w:color="auto"/>
              <w:right w:val="single" w:sz="4" w:space="0" w:color="auto"/>
            </w:tcBorders>
            <w:shd w:val="clear" w:color="auto" w:fill="auto"/>
            <w:noWrap/>
            <w:vAlign w:val="center"/>
            <w:hideMark/>
          </w:tcPr>
          <w:p w14:paraId="093A39D8" w14:textId="77777777" w:rsidR="00135421" w:rsidRPr="00287B39" w:rsidRDefault="00135421" w:rsidP="003B569F">
            <w:pPr>
              <w:rPr>
                <w:color w:val="000000"/>
                <w:sz w:val="17"/>
                <w:szCs w:val="17"/>
              </w:rPr>
            </w:pPr>
            <w:r w:rsidRPr="00287B39">
              <w:rPr>
                <w:color w:val="000000"/>
                <w:sz w:val="17"/>
                <w:szCs w:val="17"/>
                <w:lang w:val="es-ES_tradnl"/>
              </w:rPr>
              <w:t> </w:t>
            </w:r>
          </w:p>
        </w:tc>
        <w:tc>
          <w:tcPr>
            <w:tcW w:w="197" w:type="pct"/>
            <w:tcBorders>
              <w:top w:val="nil"/>
              <w:left w:val="nil"/>
              <w:bottom w:val="single" w:sz="4" w:space="0" w:color="auto"/>
              <w:right w:val="single" w:sz="4" w:space="0" w:color="auto"/>
            </w:tcBorders>
            <w:shd w:val="clear" w:color="auto" w:fill="auto"/>
            <w:noWrap/>
            <w:vAlign w:val="center"/>
            <w:hideMark/>
          </w:tcPr>
          <w:p w14:paraId="19C9BCD5" w14:textId="77777777" w:rsidR="00135421" w:rsidRPr="00287B39" w:rsidRDefault="00135421" w:rsidP="003B569F">
            <w:pPr>
              <w:rPr>
                <w:color w:val="000000"/>
                <w:sz w:val="17"/>
                <w:szCs w:val="17"/>
              </w:rPr>
            </w:pPr>
            <w:r w:rsidRPr="00287B39">
              <w:rPr>
                <w:color w:val="000000"/>
                <w:sz w:val="17"/>
                <w:szCs w:val="17"/>
                <w:lang w:val="es-ES_tradnl"/>
              </w:rPr>
              <w:t> </w:t>
            </w:r>
          </w:p>
        </w:tc>
        <w:tc>
          <w:tcPr>
            <w:tcW w:w="198" w:type="pct"/>
            <w:tcBorders>
              <w:top w:val="nil"/>
              <w:left w:val="nil"/>
              <w:bottom w:val="single" w:sz="4" w:space="0" w:color="auto"/>
              <w:right w:val="single" w:sz="4" w:space="0" w:color="auto"/>
            </w:tcBorders>
            <w:shd w:val="clear" w:color="auto" w:fill="auto"/>
            <w:noWrap/>
            <w:vAlign w:val="center"/>
            <w:hideMark/>
          </w:tcPr>
          <w:p w14:paraId="6B5DF50B" w14:textId="77777777" w:rsidR="00135421" w:rsidRPr="00287B39" w:rsidRDefault="00135421" w:rsidP="003B569F">
            <w:pPr>
              <w:rPr>
                <w:color w:val="000000"/>
                <w:sz w:val="17"/>
                <w:szCs w:val="17"/>
              </w:rPr>
            </w:pPr>
            <w:r w:rsidRPr="00287B39">
              <w:rPr>
                <w:color w:val="000000"/>
                <w:sz w:val="17"/>
                <w:szCs w:val="17"/>
                <w:lang w:val="es-ES_tradnl"/>
              </w:rPr>
              <w:t> </w:t>
            </w:r>
          </w:p>
        </w:tc>
        <w:tc>
          <w:tcPr>
            <w:tcW w:w="197" w:type="pct"/>
            <w:tcBorders>
              <w:top w:val="single" w:sz="4" w:space="0" w:color="auto"/>
              <w:left w:val="nil"/>
              <w:bottom w:val="single" w:sz="4" w:space="0" w:color="auto"/>
              <w:right w:val="single" w:sz="4" w:space="0" w:color="auto"/>
            </w:tcBorders>
            <w:shd w:val="clear" w:color="auto" w:fill="FFFFFF" w:themeFill="background1"/>
          </w:tcPr>
          <w:p w14:paraId="0E8E93A5" w14:textId="77777777" w:rsidR="00135421" w:rsidRPr="00287B39" w:rsidRDefault="00135421" w:rsidP="003B569F">
            <w:pPr>
              <w:rPr>
                <w:color w:val="000000"/>
                <w:sz w:val="17"/>
                <w:szCs w:val="17"/>
                <w:lang w:val="es-ES_tradnl"/>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0EC2E31B" w14:textId="77777777" w:rsidR="00135421" w:rsidRPr="00287B39" w:rsidRDefault="00135421" w:rsidP="003B569F">
            <w:pPr>
              <w:rPr>
                <w:color w:val="000000"/>
                <w:sz w:val="17"/>
                <w:szCs w:val="17"/>
                <w:lang w:val="es-ES_tradnl"/>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658F4531" w14:textId="77777777" w:rsidR="00135421" w:rsidRPr="00287B39" w:rsidRDefault="00135421" w:rsidP="003B569F">
            <w:pPr>
              <w:rPr>
                <w:color w:val="000000"/>
                <w:sz w:val="17"/>
                <w:szCs w:val="17"/>
                <w:lang w:val="es-ES_tradnl"/>
              </w:rPr>
            </w:pPr>
          </w:p>
        </w:tc>
        <w:tc>
          <w:tcPr>
            <w:tcW w:w="198" w:type="pct"/>
            <w:tcBorders>
              <w:top w:val="single" w:sz="4" w:space="0" w:color="auto"/>
              <w:left w:val="nil"/>
              <w:bottom w:val="single" w:sz="4" w:space="0" w:color="auto"/>
              <w:right w:val="single" w:sz="4" w:space="0" w:color="auto"/>
            </w:tcBorders>
            <w:shd w:val="clear" w:color="auto" w:fill="FFFFFF" w:themeFill="background1"/>
          </w:tcPr>
          <w:p w14:paraId="445E6675" w14:textId="77777777" w:rsidR="00135421" w:rsidRPr="00287B39" w:rsidRDefault="00135421" w:rsidP="003B569F">
            <w:pPr>
              <w:rPr>
                <w:color w:val="000000"/>
                <w:sz w:val="17"/>
                <w:szCs w:val="17"/>
                <w:lang w:val="es-ES_tradnl"/>
              </w:rPr>
            </w:pPr>
          </w:p>
        </w:tc>
        <w:tc>
          <w:tcPr>
            <w:tcW w:w="197" w:type="pct"/>
            <w:tcBorders>
              <w:top w:val="nil"/>
              <w:left w:val="nil"/>
              <w:bottom w:val="single" w:sz="4" w:space="0" w:color="auto"/>
              <w:right w:val="single" w:sz="4" w:space="0" w:color="auto"/>
            </w:tcBorders>
            <w:shd w:val="clear" w:color="auto" w:fill="FFFFFF" w:themeFill="background1"/>
            <w:noWrap/>
            <w:vAlign w:val="center"/>
            <w:hideMark/>
          </w:tcPr>
          <w:p w14:paraId="748D616E" w14:textId="77777777" w:rsidR="00135421" w:rsidRPr="00287B39" w:rsidRDefault="00135421" w:rsidP="003B569F">
            <w:pPr>
              <w:rPr>
                <w:color w:val="000000"/>
                <w:sz w:val="17"/>
                <w:szCs w:val="17"/>
              </w:rPr>
            </w:pPr>
            <w:r w:rsidRPr="00287B39">
              <w:rPr>
                <w:color w:val="000000"/>
                <w:sz w:val="17"/>
                <w:szCs w:val="17"/>
                <w:lang w:val="es-ES_tradnl"/>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6EDFAB60" w14:textId="77777777" w:rsidR="00135421" w:rsidRPr="00287B39" w:rsidRDefault="00135421" w:rsidP="003B569F">
            <w:pPr>
              <w:rPr>
                <w:color w:val="000000"/>
                <w:sz w:val="17"/>
                <w:szCs w:val="17"/>
              </w:rPr>
            </w:pPr>
            <w:r w:rsidRPr="00287B39">
              <w:rPr>
                <w:color w:val="000000"/>
                <w:sz w:val="17"/>
                <w:szCs w:val="17"/>
                <w:lang w:val="es-ES_tradnl"/>
              </w:rPr>
              <w:t> </w:t>
            </w:r>
          </w:p>
        </w:tc>
        <w:tc>
          <w:tcPr>
            <w:tcW w:w="196" w:type="pct"/>
            <w:tcBorders>
              <w:top w:val="nil"/>
              <w:left w:val="nil"/>
              <w:bottom w:val="single" w:sz="4" w:space="0" w:color="auto"/>
              <w:right w:val="single" w:sz="4" w:space="0" w:color="auto"/>
            </w:tcBorders>
            <w:shd w:val="clear" w:color="auto" w:fill="auto"/>
            <w:noWrap/>
            <w:vAlign w:val="center"/>
            <w:hideMark/>
          </w:tcPr>
          <w:p w14:paraId="15BE69CE" w14:textId="77777777" w:rsidR="00135421" w:rsidRPr="00287B39" w:rsidRDefault="00135421" w:rsidP="003B569F">
            <w:pPr>
              <w:rPr>
                <w:color w:val="000000"/>
                <w:sz w:val="17"/>
                <w:szCs w:val="17"/>
              </w:rPr>
            </w:pPr>
            <w:r w:rsidRPr="00287B39">
              <w:rPr>
                <w:color w:val="000000"/>
                <w:sz w:val="17"/>
                <w:szCs w:val="17"/>
                <w:lang w:val="es-ES_tradnl"/>
              </w:rPr>
              <w:t> </w:t>
            </w:r>
          </w:p>
        </w:tc>
        <w:tc>
          <w:tcPr>
            <w:tcW w:w="198" w:type="pct"/>
            <w:tcBorders>
              <w:top w:val="nil"/>
              <w:left w:val="nil"/>
              <w:bottom w:val="single" w:sz="4" w:space="0" w:color="auto"/>
              <w:right w:val="single" w:sz="4" w:space="0" w:color="auto"/>
            </w:tcBorders>
            <w:shd w:val="clear" w:color="auto" w:fill="auto"/>
            <w:noWrap/>
            <w:vAlign w:val="center"/>
            <w:hideMark/>
          </w:tcPr>
          <w:p w14:paraId="44EDB4EA" w14:textId="77777777" w:rsidR="00135421" w:rsidRPr="00287B39" w:rsidRDefault="00135421" w:rsidP="003B569F">
            <w:pPr>
              <w:rPr>
                <w:color w:val="000000"/>
                <w:sz w:val="17"/>
                <w:szCs w:val="17"/>
              </w:rPr>
            </w:pPr>
            <w:r w:rsidRPr="00287B39">
              <w:rPr>
                <w:color w:val="000000"/>
                <w:sz w:val="17"/>
                <w:szCs w:val="17"/>
                <w:lang w:val="es-ES_tradnl"/>
              </w:rPr>
              <w:t> </w:t>
            </w:r>
          </w:p>
        </w:tc>
        <w:tc>
          <w:tcPr>
            <w:tcW w:w="197" w:type="pct"/>
            <w:tcBorders>
              <w:top w:val="nil"/>
              <w:left w:val="nil"/>
              <w:bottom w:val="single" w:sz="4" w:space="0" w:color="auto"/>
              <w:right w:val="single" w:sz="4" w:space="0" w:color="auto"/>
            </w:tcBorders>
            <w:shd w:val="clear" w:color="auto" w:fill="auto"/>
            <w:noWrap/>
            <w:vAlign w:val="center"/>
            <w:hideMark/>
          </w:tcPr>
          <w:p w14:paraId="6E424DDF" w14:textId="77777777" w:rsidR="00135421" w:rsidRPr="00287B39" w:rsidRDefault="00135421" w:rsidP="003B569F">
            <w:pPr>
              <w:rPr>
                <w:color w:val="000000"/>
                <w:sz w:val="17"/>
                <w:szCs w:val="17"/>
              </w:rPr>
            </w:pPr>
            <w:r w:rsidRPr="00287B39">
              <w:rPr>
                <w:color w:val="000000"/>
                <w:sz w:val="17"/>
                <w:szCs w:val="17"/>
                <w:lang w:val="es-ES_tradnl"/>
              </w:rPr>
              <w:t> </w:t>
            </w:r>
          </w:p>
        </w:tc>
        <w:tc>
          <w:tcPr>
            <w:tcW w:w="198" w:type="pct"/>
            <w:tcBorders>
              <w:top w:val="nil"/>
              <w:left w:val="nil"/>
              <w:bottom w:val="single" w:sz="4" w:space="0" w:color="auto"/>
              <w:right w:val="single" w:sz="4" w:space="0" w:color="auto"/>
            </w:tcBorders>
            <w:shd w:val="clear" w:color="auto" w:fill="FFFFFF" w:themeFill="background1"/>
            <w:noWrap/>
            <w:vAlign w:val="center"/>
            <w:hideMark/>
          </w:tcPr>
          <w:p w14:paraId="00B24E30" w14:textId="77777777" w:rsidR="00135421" w:rsidRPr="00232BFF" w:rsidRDefault="00135421" w:rsidP="00232BFF">
            <w:pPr>
              <w:jc w:val="center"/>
              <w:rPr>
                <w:b/>
                <w:bCs/>
                <w:color w:val="000000"/>
                <w:sz w:val="17"/>
                <w:szCs w:val="17"/>
              </w:rPr>
            </w:pPr>
            <w:r w:rsidRPr="00232BFF">
              <w:rPr>
                <w:b/>
                <w:bCs/>
                <w:color w:val="000000"/>
                <w:sz w:val="17"/>
                <w:szCs w:val="17"/>
              </w:rPr>
              <w:t> </w:t>
            </w: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cPr>
          <w:p w14:paraId="536E49C0" w14:textId="77777777" w:rsidR="00135421" w:rsidRPr="00232BFF" w:rsidRDefault="00135421"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tcPr>
          <w:p w14:paraId="49101B13" w14:textId="77777777" w:rsidR="00135421" w:rsidRPr="00232BFF" w:rsidRDefault="00135421"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tcPr>
          <w:p w14:paraId="1D343F23" w14:textId="77777777" w:rsidR="00135421" w:rsidRPr="00232BFF" w:rsidRDefault="00135421"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66F40F" w14:textId="77777777" w:rsidR="00135421" w:rsidRPr="00232BFF" w:rsidRDefault="00135421"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20ADD531" w14:textId="275FD082" w:rsidR="00135421" w:rsidRPr="007A0B66" w:rsidRDefault="00433A31" w:rsidP="003B569F">
            <w:pPr>
              <w:jc w:val="center"/>
              <w:rPr>
                <w:color w:val="000000"/>
                <w:sz w:val="17"/>
                <w:szCs w:val="17"/>
              </w:rPr>
            </w:pPr>
            <w:r>
              <w:rPr>
                <w:color w:val="000000"/>
                <w:sz w:val="17"/>
                <w:szCs w:val="17"/>
              </w:rPr>
              <w:t>EA</w:t>
            </w:r>
          </w:p>
        </w:tc>
        <w:tc>
          <w:tcPr>
            <w:tcW w:w="239" w:type="pct"/>
            <w:tcBorders>
              <w:top w:val="nil"/>
              <w:left w:val="nil"/>
              <w:bottom w:val="single" w:sz="4" w:space="0" w:color="auto"/>
              <w:right w:val="single" w:sz="4" w:space="0" w:color="auto"/>
            </w:tcBorders>
            <w:shd w:val="clear" w:color="auto" w:fill="auto"/>
            <w:noWrap/>
            <w:vAlign w:val="center"/>
          </w:tcPr>
          <w:p w14:paraId="47D88873" w14:textId="77777777" w:rsidR="00135421" w:rsidRPr="007A0B66" w:rsidRDefault="00135421" w:rsidP="003B569F">
            <w:pPr>
              <w:jc w:val="center"/>
              <w:rPr>
                <w:color w:val="000000"/>
                <w:sz w:val="17"/>
                <w:szCs w:val="17"/>
              </w:rPr>
            </w:pPr>
            <w:r w:rsidRPr="007A0B66">
              <w:rPr>
                <w:color w:val="000000"/>
                <w:sz w:val="17"/>
                <w:szCs w:val="17"/>
              </w:rPr>
              <w:t>IDB</w:t>
            </w:r>
          </w:p>
        </w:tc>
        <w:tc>
          <w:tcPr>
            <w:tcW w:w="325" w:type="pct"/>
            <w:tcBorders>
              <w:top w:val="nil"/>
              <w:left w:val="nil"/>
              <w:bottom w:val="single" w:sz="4" w:space="0" w:color="auto"/>
              <w:right w:val="single" w:sz="4" w:space="0" w:color="auto"/>
            </w:tcBorders>
            <w:shd w:val="clear" w:color="auto" w:fill="auto"/>
            <w:noWrap/>
            <w:vAlign w:val="center"/>
          </w:tcPr>
          <w:p w14:paraId="58F780D6" w14:textId="77777777" w:rsidR="00135421" w:rsidRPr="007A0B66" w:rsidRDefault="00135421" w:rsidP="003B569F">
            <w:pPr>
              <w:jc w:val="right"/>
              <w:rPr>
                <w:color w:val="000000"/>
                <w:sz w:val="17"/>
                <w:szCs w:val="17"/>
              </w:rPr>
            </w:pPr>
            <w:r w:rsidRPr="007A0B66">
              <w:rPr>
                <w:color w:val="000000"/>
                <w:sz w:val="17"/>
                <w:szCs w:val="17"/>
              </w:rPr>
              <w:t>0</w:t>
            </w:r>
          </w:p>
        </w:tc>
      </w:tr>
      <w:tr w:rsidR="0090389C" w:rsidRPr="00287B39" w14:paraId="3621B44B" w14:textId="77777777" w:rsidTr="00B92170">
        <w:trPr>
          <w:trHeight w:val="261"/>
        </w:trPr>
        <w:tc>
          <w:tcPr>
            <w:tcW w:w="397" w:type="pct"/>
            <w:tcBorders>
              <w:top w:val="nil"/>
              <w:bottom w:val="single" w:sz="4" w:space="0" w:color="auto"/>
              <w:right w:val="single" w:sz="4" w:space="0" w:color="auto"/>
            </w:tcBorders>
            <w:shd w:val="clear" w:color="auto" w:fill="auto"/>
            <w:noWrap/>
            <w:vAlign w:val="center"/>
          </w:tcPr>
          <w:p w14:paraId="3F6DCD8F" w14:textId="4B7C0613" w:rsidR="00433A31" w:rsidRDefault="00433A31" w:rsidP="003B569F">
            <w:pPr>
              <w:rPr>
                <w:color w:val="000000"/>
                <w:sz w:val="17"/>
                <w:szCs w:val="17"/>
                <w:lang w:val="es-ES_tradnl"/>
              </w:rPr>
            </w:pPr>
            <w:r w:rsidRPr="00287B39">
              <w:rPr>
                <w:b/>
                <w:bCs/>
                <w:color w:val="000000"/>
                <w:sz w:val="17"/>
                <w:szCs w:val="17"/>
              </w:rPr>
              <w:t>Total</w:t>
            </w:r>
          </w:p>
        </w:tc>
        <w:tc>
          <w:tcPr>
            <w:tcW w:w="238" w:type="pct"/>
            <w:tcBorders>
              <w:top w:val="nil"/>
              <w:left w:val="nil"/>
              <w:bottom w:val="single" w:sz="4" w:space="0" w:color="auto"/>
              <w:right w:val="single" w:sz="4" w:space="0" w:color="auto"/>
            </w:tcBorders>
          </w:tcPr>
          <w:p w14:paraId="7273C5BB" w14:textId="77777777" w:rsidR="00433A31" w:rsidRPr="00287B39" w:rsidRDefault="00433A31" w:rsidP="003B569F">
            <w:pPr>
              <w:rPr>
                <w:color w:val="000000"/>
                <w:sz w:val="17"/>
                <w:szCs w:val="17"/>
                <w:lang w:val="es-ES_tradnl"/>
              </w:rPr>
            </w:pPr>
          </w:p>
        </w:tc>
        <w:tc>
          <w:tcPr>
            <w:tcW w:w="194" w:type="pct"/>
            <w:tcBorders>
              <w:top w:val="nil"/>
              <w:left w:val="single" w:sz="4" w:space="0" w:color="auto"/>
              <w:bottom w:val="single" w:sz="4" w:space="0" w:color="auto"/>
              <w:right w:val="single" w:sz="4" w:space="0" w:color="auto"/>
            </w:tcBorders>
            <w:shd w:val="clear" w:color="auto" w:fill="auto"/>
            <w:noWrap/>
            <w:vAlign w:val="center"/>
          </w:tcPr>
          <w:p w14:paraId="5E758E85" w14:textId="77777777" w:rsidR="00433A31" w:rsidRPr="00287B39" w:rsidRDefault="00433A31" w:rsidP="003B569F">
            <w:pPr>
              <w:rPr>
                <w:color w:val="000000"/>
                <w:sz w:val="17"/>
                <w:szCs w:val="17"/>
                <w:lang w:val="es-ES_tradnl"/>
              </w:rPr>
            </w:pPr>
          </w:p>
        </w:tc>
        <w:tc>
          <w:tcPr>
            <w:tcW w:w="199" w:type="pct"/>
            <w:tcBorders>
              <w:top w:val="nil"/>
              <w:left w:val="nil"/>
              <w:bottom w:val="single" w:sz="4" w:space="0" w:color="auto"/>
              <w:right w:val="single" w:sz="4" w:space="0" w:color="auto"/>
            </w:tcBorders>
            <w:shd w:val="clear" w:color="auto" w:fill="auto"/>
            <w:noWrap/>
            <w:vAlign w:val="center"/>
          </w:tcPr>
          <w:p w14:paraId="5EE95A42" w14:textId="77777777" w:rsidR="00433A31" w:rsidRPr="00287B39" w:rsidRDefault="00433A31" w:rsidP="003B569F">
            <w:pPr>
              <w:rPr>
                <w:color w:val="000000"/>
                <w:sz w:val="17"/>
                <w:szCs w:val="17"/>
                <w:lang w:val="es-ES_tradnl"/>
              </w:rPr>
            </w:pPr>
          </w:p>
        </w:tc>
        <w:tc>
          <w:tcPr>
            <w:tcW w:w="197" w:type="pct"/>
            <w:tcBorders>
              <w:top w:val="nil"/>
              <w:left w:val="nil"/>
              <w:bottom w:val="single" w:sz="4" w:space="0" w:color="auto"/>
              <w:right w:val="single" w:sz="4" w:space="0" w:color="auto"/>
            </w:tcBorders>
            <w:shd w:val="clear" w:color="auto" w:fill="auto"/>
            <w:noWrap/>
            <w:vAlign w:val="center"/>
          </w:tcPr>
          <w:p w14:paraId="39387CEE" w14:textId="77777777" w:rsidR="00433A31" w:rsidRPr="00287B39" w:rsidRDefault="00433A31" w:rsidP="003B569F">
            <w:pPr>
              <w:rPr>
                <w:color w:val="000000"/>
                <w:sz w:val="17"/>
                <w:szCs w:val="17"/>
                <w:lang w:val="es-ES_tradnl"/>
              </w:rPr>
            </w:pPr>
          </w:p>
        </w:tc>
        <w:tc>
          <w:tcPr>
            <w:tcW w:w="198" w:type="pct"/>
            <w:tcBorders>
              <w:top w:val="nil"/>
              <w:left w:val="nil"/>
              <w:bottom w:val="single" w:sz="4" w:space="0" w:color="auto"/>
              <w:right w:val="single" w:sz="4" w:space="0" w:color="auto"/>
            </w:tcBorders>
            <w:shd w:val="clear" w:color="auto" w:fill="auto"/>
            <w:noWrap/>
            <w:vAlign w:val="center"/>
          </w:tcPr>
          <w:p w14:paraId="471D7FF7" w14:textId="77777777" w:rsidR="00433A31" w:rsidRPr="00287B39" w:rsidRDefault="00433A31" w:rsidP="003B569F">
            <w:pPr>
              <w:rPr>
                <w:color w:val="000000"/>
                <w:sz w:val="17"/>
                <w:szCs w:val="17"/>
                <w:lang w:val="es-ES_tradnl"/>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51C307D6" w14:textId="77777777" w:rsidR="00433A31" w:rsidRPr="00287B39" w:rsidRDefault="00433A31" w:rsidP="003B569F">
            <w:pPr>
              <w:rPr>
                <w:color w:val="000000"/>
                <w:sz w:val="17"/>
                <w:szCs w:val="17"/>
                <w:lang w:val="es-ES_tradnl"/>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4210862B" w14:textId="77777777" w:rsidR="00433A31" w:rsidRPr="00287B39" w:rsidRDefault="00433A31" w:rsidP="003B569F">
            <w:pPr>
              <w:rPr>
                <w:color w:val="000000"/>
                <w:sz w:val="17"/>
                <w:szCs w:val="17"/>
                <w:lang w:val="es-ES_tradnl"/>
              </w:rPr>
            </w:pPr>
          </w:p>
        </w:tc>
        <w:tc>
          <w:tcPr>
            <w:tcW w:w="197" w:type="pct"/>
            <w:tcBorders>
              <w:top w:val="single" w:sz="4" w:space="0" w:color="auto"/>
              <w:left w:val="nil"/>
              <w:bottom w:val="single" w:sz="4" w:space="0" w:color="auto"/>
              <w:right w:val="single" w:sz="4" w:space="0" w:color="auto"/>
            </w:tcBorders>
            <w:shd w:val="clear" w:color="auto" w:fill="FFFFFF" w:themeFill="background1"/>
          </w:tcPr>
          <w:p w14:paraId="0EF7E8E7" w14:textId="77777777" w:rsidR="00433A31" w:rsidRPr="00287B39" w:rsidRDefault="00433A31" w:rsidP="003B569F">
            <w:pPr>
              <w:rPr>
                <w:color w:val="000000"/>
                <w:sz w:val="17"/>
                <w:szCs w:val="17"/>
                <w:lang w:val="es-ES_tradnl"/>
              </w:rPr>
            </w:pPr>
          </w:p>
        </w:tc>
        <w:tc>
          <w:tcPr>
            <w:tcW w:w="198" w:type="pct"/>
            <w:tcBorders>
              <w:top w:val="single" w:sz="4" w:space="0" w:color="auto"/>
              <w:left w:val="nil"/>
              <w:bottom w:val="single" w:sz="4" w:space="0" w:color="auto"/>
              <w:right w:val="single" w:sz="4" w:space="0" w:color="auto"/>
            </w:tcBorders>
            <w:shd w:val="clear" w:color="auto" w:fill="FFFFFF" w:themeFill="background1"/>
          </w:tcPr>
          <w:p w14:paraId="57AEB21E" w14:textId="77777777" w:rsidR="00433A31" w:rsidRPr="00287B39" w:rsidRDefault="00433A31" w:rsidP="003B569F">
            <w:pPr>
              <w:rPr>
                <w:color w:val="000000"/>
                <w:sz w:val="17"/>
                <w:szCs w:val="17"/>
                <w:lang w:val="es-ES_tradnl"/>
              </w:rPr>
            </w:pPr>
          </w:p>
        </w:tc>
        <w:tc>
          <w:tcPr>
            <w:tcW w:w="197" w:type="pct"/>
            <w:tcBorders>
              <w:top w:val="nil"/>
              <w:left w:val="nil"/>
              <w:bottom w:val="single" w:sz="4" w:space="0" w:color="auto"/>
              <w:right w:val="single" w:sz="4" w:space="0" w:color="auto"/>
            </w:tcBorders>
            <w:shd w:val="clear" w:color="auto" w:fill="FFFFFF" w:themeFill="background1"/>
            <w:noWrap/>
            <w:vAlign w:val="center"/>
          </w:tcPr>
          <w:p w14:paraId="63F41EAF" w14:textId="77777777" w:rsidR="00433A31" w:rsidRPr="00287B39" w:rsidRDefault="00433A31" w:rsidP="003B569F">
            <w:pPr>
              <w:rPr>
                <w:color w:val="000000"/>
                <w:sz w:val="17"/>
                <w:szCs w:val="17"/>
                <w:lang w:val="es-ES_tradnl"/>
              </w:rPr>
            </w:pPr>
          </w:p>
        </w:tc>
        <w:tc>
          <w:tcPr>
            <w:tcW w:w="198" w:type="pct"/>
            <w:tcBorders>
              <w:top w:val="nil"/>
              <w:left w:val="nil"/>
              <w:bottom w:val="single" w:sz="4" w:space="0" w:color="auto"/>
              <w:right w:val="single" w:sz="4" w:space="0" w:color="auto"/>
            </w:tcBorders>
            <w:shd w:val="clear" w:color="auto" w:fill="FFFFFF" w:themeFill="background1"/>
            <w:noWrap/>
            <w:vAlign w:val="center"/>
          </w:tcPr>
          <w:p w14:paraId="274A0E18" w14:textId="77777777" w:rsidR="00433A31" w:rsidRPr="00287B39" w:rsidRDefault="00433A31" w:rsidP="003B569F">
            <w:pPr>
              <w:rPr>
                <w:color w:val="000000"/>
                <w:sz w:val="17"/>
                <w:szCs w:val="17"/>
                <w:lang w:val="es-ES_tradnl"/>
              </w:rPr>
            </w:pPr>
          </w:p>
        </w:tc>
        <w:tc>
          <w:tcPr>
            <w:tcW w:w="196" w:type="pct"/>
            <w:tcBorders>
              <w:top w:val="nil"/>
              <w:left w:val="nil"/>
              <w:bottom w:val="single" w:sz="4" w:space="0" w:color="auto"/>
              <w:right w:val="single" w:sz="4" w:space="0" w:color="auto"/>
            </w:tcBorders>
            <w:shd w:val="clear" w:color="auto" w:fill="auto"/>
            <w:noWrap/>
            <w:vAlign w:val="center"/>
          </w:tcPr>
          <w:p w14:paraId="5F0B857C" w14:textId="77777777" w:rsidR="00433A31" w:rsidRPr="00287B39" w:rsidRDefault="00433A31" w:rsidP="003B569F">
            <w:pPr>
              <w:rPr>
                <w:color w:val="000000"/>
                <w:sz w:val="17"/>
                <w:szCs w:val="17"/>
                <w:lang w:val="es-ES_tradnl"/>
              </w:rPr>
            </w:pPr>
          </w:p>
        </w:tc>
        <w:tc>
          <w:tcPr>
            <w:tcW w:w="198" w:type="pct"/>
            <w:tcBorders>
              <w:top w:val="nil"/>
              <w:left w:val="nil"/>
              <w:bottom w:val="single" w:sz="4" w:space="0" w:color="auto"/>
              <w:right w:val="single" w:sz="4" w:space="0" w:color="auto"/>
            </w:tcBorders>
            <w:shd w:val="clear" w:color="auto" w:fill="auto"/>
            <w:noWrap/>
            <w:vAlign w:val="center"/>
          </w:tcPr>
          <w:p w14:paraId="580CCCEC" w14:textId="77777777" w:rsidR="00433A31" w:rsidRPr="00287B39" w:rsidRDefault="00433A31" w:rsidP="003B569F">
            <w:pPr>
              <w:rPr>
                <w:color w:val="000000"/>
                <w:sz w:val="17"/>
                <w:szCs w:val="17"/>
                <w:lang w:val="es-ES_tradnl"/>
              </w:rPr>
            </w:pPr>
          </w:p>
        </w:tc>
        <w:tc>
          <w:tcPr>
            <w:tcW w:w="197" w:type="pct"/>
            <w:tcBorders>
              <w:top w:val="nil"/>
              <w:left w:val="nil"/>
              <w:bottom w:val="single" w:sz="4" w:space="0" w:color="auto"/>
              <w:right w:val="single" w:sz="4" w:space="0" w:color="auto"/>
            </w:tcBorders>
            <w:shd w:val="clear" w:color="auto" w:fill="auto"/>
            <w:noWrap/>
            <w:vAlign w:val="center"/>
          </w:tcPr>
          <w:p w14:paraId="7E1E62A1" w14:textId="77777777" w:rsidR="00433A31" w:rsidRPr="00287B39" w:rsidRDefault="00433A31" w:rsidP="003B569F">
            <w:pPr>
              <w:rPr>
                <w:color w:val="000000"/>
                <w:sz w:val="17"/>
                <w:szCs w:val="17"/>
                <w:lang w:val="es-ES_tradnl"/>
              </w:rPr>
            </w:pPr>
          </w:p>
        </w:tc>
        <w:tc>
          <w:tcPr>
            <w:tcW w:w="198" w:type="pct"/>
            <w:tcBorders>
              <w:top w:val="nil"/>
              <w:left w:val="nil"/>
              <w:bottom w:val="single" w:sz="4" w:space="0" w:color="auto"/>
              <w:right w:val="single" w:sz="4" w:space="0" w:color="auto"/>
            </w:tcBorders>
            <w:shd w:val="clear" w:color="auto" w:fill="FFFFFF" w:themeFill="background1"/>
            <w:noWrap/>
            <w:vAlign w:val="center"/>
          </w:tcPr>
          <w:p w14:paraId="6EBAC614" w14:textId="77777777" w:rsidR="00433A31" w:rsidRPr="00232BFF" w:rsidRDefault="00433A31" w:rsidP="00232BFF">
            <w:pPr>
              <w:jc w:val="center"/>
              <w:rPr>
                <w:b/>
                <w:bCs/>
                <w:color w:val="000000"/>
                <w:sz w:val="17"/>
                <w:szCs w:val="17"/>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cPr>
          <w:p w14:paraId="0E4DD665" w14:textId="77777777" w:rsidR="00433A31" w:rsidRPr="00232BFF" w:rsidRDefault="00433A31" w:rsidP="00232BFF">
            <w:pPr>
              <w:jc w:val="center"/>
              <w:rPr>
                <w:b/>
                <w:bCs/>
                <w:color w:val="000000"/>
                <w:sz w:val="17"/>
                <w:szCs w:val="17"/>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tcPr>
          <w:p w14:paraId="5B268E2C" w14:textId="77777777" w:rsidR="00433A31" w:rsidRPr="00232BFF" w:rsidRDefault="00433A31" w:rsidP="00232BFF">
            <w:pPr>
              <w:jc w:val="center"/>
              <w:rPr>
                <w:b/>
                <w:bCs/>
                <w:color w:val="000000"/>
                <w:sz w:val="17"/>
                <w:szCs w:val="17"/>
              </w:rPr>
            </w:pP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911A3" w14:textId="77777777" w:rsidR="00433A31" w:rsidRPr="00232BFF" w:rsidRDefault="00433A31" w:rsidP="00232BFF">
            <w:pPr>
              <w:jc w:val="center"/>
              <w:rPr>
                <w:b/>
                <w:bCs/>
                <w:color w:val="000000"/>
                <w:sz w:val="17"/>
                <w:szCs w:val="17"/>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968A62" w14:textId="77777777" w:rsidR="00433A31" w:rsidRPr="00232BFF" w:rsidRDefault="00433A31" w:rsidP="00232BFF">
            <w:pPr>
              <w:jc w:val="center"/>
              <w:rPr>
                <w:b/>
                <w:bCs/>
                <w:color w:val="000000"/>
                <w:sz w:val="17"/>
                <w:szCs w:val="17"/>
              </w:rPr>
            </w:pPr>
          </w:p>
        </w:tc>
        <w:tc>
          <w:tcPr>
            <w:tcW w:w="275" w:type="pct"/>
            <w:tcBorders>
              <w:top w:val="nil"/>
              <w:left w:val="single" w:sz="4" w:space="0" w:color="auto"/>
              <w:bottom w:val="single" w:sz="4" w:space="0" w:color="auto"/>
              <w:right w:val="single" w:sz="4" w:space="0" w:color="auto"/>
            </w:tcBorders>
            <w:shd w:val="clear" w:color="auto" w:fill="auto"/>
            <w:noWrap/>
            <w:vAlign w:val="center"/>
          </w:tcPr>
          <w:p w14:paraId="5D47A84B" w14:textId="77777777" w:rsidR="00433A31" w:rsidRPr="007A0B66" w:rsidRDefault="00433A31" w:rsidP="003B569F">
            <w:pPr>
              <w:jc w:val="center"/>
              <w:rPr>
                <w:color w:val="000000"/>
                <w:sz w:val="17"/>
                <w:szCs w:val="17"/>
              </w:rPr>
            </w:pPr>
          </w:p>
        </w:tc>
        <w:tc>
          <w:tcPr>
            <w:tcW w:w="239" w:type="pct"/>
            <w:tcBorders>
              <w:top w:val="nil"/>
              <w:left w:val="nil"/>
              <w:bottom w:val="single" w:sz="4" w:space="0" w:color="auto"/>
              <w:right w:val="single" w:sz="4" w:space="0" w:color="auto"/>
            </w:tcBorders>
            <w:shd w:val="clear" w:color="auto" w:fill="auto"/>
            <w:noWrap/>
            <w:vAlign w:val="center"/>
          </w:tcPr>
          <w:p w14:paraId="21102528" w14:textId="77777777" w:rsidR="00433A31" w:rsidRPr="007A0B66" w:rsidRDefault="00433A31" w:rsidP="003B569F">
            <w:pPr>
              <w:jc w:val="center"/>
              <w:rPr>
                <w:color w:val="000000"/>
                <w:sz w:val="17"/>
                <w:szCs w:val="17"/>
              </w:rPr>
            </w:pPr>
          </w:p>
        </w:tc>
        <w:tc>
          <w:tcPr>
            <w:tcW w:w="325" w:type="pct"/>
            <w:tcBorders>
              <w:top w:val="nil"/>
              <w:left w:val="nil"/>
              <w:bottom w:val="single" w:sz="4" w:space="0" w:color="auto"/>
              <w:right w:val="single" w:sz="4" w:space="0" w:color="auto"/>
            </w:tcBorders>
            <w:shd w:val="clear" w:color="auto" w:fill="auto"/>
            <w:noWrap/>
            <w:vAlign w:val="center"/>
          </w:tcPr>
          <w:p w14:paraId="036E3631" w14:textId="60F4EDEC" w:rsidR="00433A31" w:rsidRPr="007A0B66" w:rsidRDefault="00B92170" w:rsidP="003B569F">
            <w:pPr>
              <w:jc w:val="right"/>
              <w:rPr>
                <w:color w:val="000000"/>
                <w:sz w:val="17"/>
                <w:szCs w:val="17"/>
              </w:rPr>
            </w:pPr>
            <w:r>
              <w:rPr>
                <w:color w:val="000000"/>
                <w:sz w:val="17"/>
                <w:szCs w:val="17"/>
              </w:rPr>
              <w:t>16</w:t>
            </w:r>
            <w:r w:rsidR="00433A31">
              <w:rPr>
                <w:color w:val="000000"/>
                <w:sz w:val="17"/>
                <w:szCs w:val="17"/>
              </w:rPr>
              <w:t>0,000</w:t>
            </w:r>
          </w:p>
        </w:tc>
      </w:tr>
    </w:tbl>
    <w:p w14:paraId="1CF5BE4A" w14:textId="77777777" w:rsidR="00123C6C" w:rsidRDefault="00123C6C">
      <w:pPr>
        <w:pStyle w:val="TableorFigureEnd"/>
        <w:rPr>
          <w:b/>
        </w:rPr>
      </w:pPr>
    </w:p>
    <w:p w14:paraId="1A91EBA3" w14:textId="77777777" w:rsidR="00E53900" w:rsidRDefault="00E53900" w:rsidP="00CE50C5">
      <w:pPr>
        <w:pStyle w:val="BodyText"/>
        <w:sectPr w:rsidR="00E53900" w:rsidSect="00E943DD">
          <w:pgSz w:w="15842" w:h="12242" w:orient="landscape" w:code="1"/>
          <w:pgMar w:top="1800" w:right="1440" w:bottom="1800" w:left="1440" w:header="706" w:footer="706" w:gutter="0"/>
          <w:cols w:space="708"/>
          <w:docGrid w:linePitch="360"/>
        </w:sectPr>
      </w:pPr>
    </w:p>
    <w:p w14:paraId="6B097C04" w14:textId="77777777" w:rsidR="00CE50C5" w:rsidRDefault="005D7BA2" w:rsidP="00112487">
      <w:pPr>
        <w:pStyle w:val="Heading4"/>
      </w:pPr>
      <w:r>
        <w:lastRenderedPageBreak/>
        <w:t xml:space="preserve"> </w:t>
      </w:r>
      <w:bookmarkStart w:id="36" w:name="_Toc423458250"/>
      <w:r>
        <w:t>Results Matrix</w:t>
      </w:r>
      <w:bookmarkEnd w:id="36"/>
    </w:p>
    <w:p w14:paraId="665BADAC" w14:textId="5CF525AE" w:rsidR="00BF60D8" w:rsidRPr="00BF60D8" w:rsidRDefault="00BF60D8" w:rsidP="00112487">
      <w:pPr>
        <w:pStyle w:val="BodyText"/>
      </w:pPr>
      <w:r w:rsidRPr="00BF60D8">
        <w:t xml:space="preserve">The </w:t>
      </w:r>
      <w:r>
        <w:t>description and source</w:t>
      </w:r>
      <w:r w:rsidR="00F76DE7">
        <w:t xml:space="preserve"> of verification of the results</w:t>
      </w:r>
      <w:r>
        <w:t xml:space="preserve"> indicator</w:t>
      </w:r>
      <w:r w:rsidR="00F76DE7">
        <w:t>s are</w:t>
      </w:r>
      <w:r>
        <w:t xml:space="preserve"> included after the table with the targets.</w:t>
      </w:r>
    </w:p>
    <w:p w14:paraId="61010C5E" w14:textId="31BAE304" w:rsidR="00500A5F" w:rsidRDefault="00500A5F" w:rsidP="00112487">
      <w:pPr>
        <w:pStyle w:val="BodyText"/>
      </w:pPr>
      <w:r>
        <w:t>The targets in the results matrix are targets</w:t>
      </w:r>
      <w:r w:rsidR="00C057B1">
        <w:t xml:space="preserve"> for each year</w:t>
      </w:r>
      <w:r>
        <w:t>, as opposite to cumulative targets up to the year.</w:t>
      </w:r>
      <w:r w:rsidR="00CB1731">
        <w:t xml:space="preserve"> All targets are set taking into account the projects in the indicative pipeline of the SEF. If the projects financed by the SEF change over time, then the targets would need to be adjusted to reflect the expected results of the actual projects funded. </w:t>
      </w:r>
    </w:p>
    <w:p w14:paraId="49968FD2" w14:textId="6AC5B3A7" w:rsidR="002C478A" w:rsidRDefault="002C478A">
      <w:pPr>
        <w:pStyle w:val="Caption"/>
      </w:pPr>
      <w:r>
        <w:t xml:space="preserve">Table </w:t>
      </w:r>
      <w:r w:rsidR="007A04D5">
        <w:fldChar w:fldCharType="begin"/>
      </w:r>
      <w:r w:rsidR="007A04D5">
        <w:instrText xml:space="preserve"> STYLEREF 4 \s </w:instrText>
      </w:r>
      <w:r w:rsidR="007A04D5">
        <w:fldChar w:fldCharType="separate"/>
      </w:r>
      <w:r>
        <w:rPr>
          <w:noProof/>
        </w:rPr>
        <w:t>A</w:t>
      </w:r>
      <w:r w:rsidR="007A04D5">
        <w:rPr>
          <w:noProof/>
        </w:rPr>
        <w:fldChar w:fldCharType="end"/>
      </w:r>
      <w:r>
        <w:t>.</w:t>
      </w:r>
      <w:r w:rsidR="007A04D5">
        <w:fldChar w:fldCharType="begin"/>
      </w:r>
      <w:r w:rsidR="007A04D5">
        <w:instrText xml:space="preserve"> SEQ Table \* ARABIC </w:instrText>
      </w:r>
      <w:r w:rsidR="007A04D5">
        <w:instrText xml:space="preserve">\s 4 </w:instrText>
      </w:r>
      <w:r w:rsidR="007A04D5">
        <w:fldChar w:fldCharType="separate"/>
      </w:r>
      <w:r>
        <w:rPr>
          <w:noProof/>
        </w:rPr>
        <w:t>1</w:t>
      </w:r>
      <w:r w:rsidR="007A04D5">
        <w:rPr>
          <w:noProof/>
        </w:rPr>
        <w:fldChar w:fldCharType="end"/>
      </w:r>
      <w:r>
        <w:t>: Results Framework - Matrix of Indicators</w:t>
      </w:r>
    </w:p>
    <w:tbl>
      <w:tblPr>
        <w:tblW w:w="13080" w:type="dxa"/>
        <w:tblInd w:w="98" w:type="dxa"/>
        <w:tblBorders>
          <w:insideH w:val="single" w:sz="8" w:space="0" w:color="auto"/>
          <w:insideV w:val="single" w:sz="8" w:space="0" w:color="auto"/>
        </w:tblBorders>
        <w:tblLayout w:type="fixed"/>
        <w:tblLook w:val="04A0" w:firstRow="1" w:lastRow="0" w:firstColumn="1" w:lastColumn="0" w:noHBand="0" w:noVBand="1"/>
      </w:tblPr>
      <w:tblGrid>
        <w:gridCol w:w="2620"/>
        <w:gridCol w:w="1800"/>
        <w:gridCol w:w="1173"/>
        <w:gridCol w:w="733"/>
        <w:gridCol w:w="748"/>
        <w:gridCol w:w="719"/>
        <w:gridCol w:w="733"/>
        <w:gridCol w:w="734"/>
        <w:gridCol w:w="734"/>
        <w:gridCol w:w="733"/>
        <w:gridCol w:w="734"/>
        <w:gridCol w:w="734"/>
        <w:gridCol w:w="885"/>
      </w:tblGrid>
      <w:tr w:rsidR="002C478A" w:rsidRPr="000179A4" w14:paraId="4BDC6C19" w14:textId="77777777" w:rsidTr="000A71BF">
        <w:trPr>
          <w:trHeight w:val="327"/>
        </w:trPr>
        <w:tc>
          <w:tcPr>
            <w:tcW w:w="2620" w:type="dxa"/>
            <w:shd w:val="clear" w:color="000000" w:fill="C0C0C0"/>
            <w:noWrap/>
            <w:vAlign w:val="center"/>
            <w:hideMark/>
          </w:tcPr>
          <w:p w14:paraId="55EBC4BC"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Impact Indicators</w:t>
            </w:r>
          </w:p>
        </w:tc>
        <w:tc>
          <w:tcPr>
            <w:tcW w:w="1800" w:type="dxa"/>
            <w:shd w:val="clear" w:color="000000" w:fill="C0C0C0"/>
            <w:noWrap/>
            <w:vAlign w:val="center"/>
            <w:hideMark/>
          </w:tcPr>
          <w:p w14:paraId="50E7315E"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Units</w:t>
            </w:r>
          </w:p>
        </w:tc>
        <w:tc>
          <w:tcPr>
            <w:tcW w:w="1173" w:type="dxa"/>
            <w:shd w:val="clear" w:color="000000" w:fill="C0C0C0"/>
            <w:noWrap/>
            <w:vAlign w:val="center"/>
            <w:hideMark/>
          </w:tcPr>
          <w:p w14:paraId="505DD184" w14:textId="4B5BA74D" w:rsidR="002C478A" w:rsidRPr="000179A4" w:rsidRDefault="002A5742" w:rsidP="000179A4">
            <w:pPr>
              <w:jc w:val="center"/>
              <w:rPr>
                <w:rFonts w:cs="Arial"/>
                <w:b/>
                <w:bCs/>
                <w:color w:val="000000"/>
                <w:sz w:val="22"/>
                <w:szCs w:val="22"/>
                <w:lang w:eastAsia="en-US"/>
              </w:rPr>
            </w:pPr>
            <w:r w:rsidRPr="000179A4">
              <w:rPr>
                <w:rFonts w:cs="Arial"/>
                <w:b/>
                <w:bCs/>
                <w:color w:val="000000"/>
                <w:sz w:val="22"/>
                <w:szCs w:val="22"/>
                <w:lang w:eastAsia="en-US"/>
              </w:rPr>
              <w:t>Base Level 201</w:t>
            </w:r>
            <w:r w:rsidR="000179A4">
              <w:rPr>
                <w:rFonts w:cs="Arial"/>
                <w:b/>
                <w:bCs/>
                <w:color w:val="000000"/>
                <w:sz w:val="22"/>
                <w:szCs w:val="22"/>
                <w:lang w:eastAsia="en-US"/>
              </w:rPr>
              <w:t>5</w:t>
            </w:r>
          </w:p>
        </w:tc>
        <w:tc>
          <w:tcPr>
            <w:tcW w:w="1481" w:type="dxa"/>
            <w:gridSpan w:val="2"/>
            <w:shd w:val="clear" w:color="000000" w:fill="C0C0C0"/>
            <w:noWrap/>
            <w:vAlign w:val="center"/>
            <w:hideMark/>
          </w:tcPr>
          <w:p w14:paraId="3A3BA426"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Target Level</w:t>
            </w:r>
          </w:p>
        </w:tc>
        <w:tc>
          <w:tcPr>
            <w:tcW w:w="6006" w:type="dxa"/>
            <w:gridSpan w:val="8"/>
            <w:shd w:val="clear" w:color="000000" w:fill="C0C0C0"/>
            <w:noWrap/>
            <w:vAlign w:val="center"/>
            <w:hideMark/>
          </w:tcPr>
          <w:p w14:paraId="1D150E90"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Source of Verification</w:t>
            </w:r>
          </w:p>
        </w:tc>
      </w:tr>
      <w:tr w:rsidR="002C478A" w:rsidRPr="000179A4" w14:paraId="26F9AE7A" w14:textId="77777777" w:rsidTr="000A71BF">
        <w:trPr>
          <w:trHeight w:val="700"/>
        </w:trPr>
        <w:tc>
          <w:tcPr>
            <w:tcW w:w="2620" w:type="dxa"/>
            <w:shd w:val="clear" w:color="auto" w:fill="auto"/>
            <w:vAlign w:val="center"/>
            <w:hideMark/>
          </w:tcPr>
          <w:p w14:paraId="622BE75A" w14:textId="2F85D773"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Average electricity tariff for customers in EC countries</w:t>
            </w:r>
          </w:p>
        </w:tc>
        <w:tc>
          <w:tcPr>
            <w:tcW w:w="1800" w:type="dxa"/>
            <w:shd w:val="clear" w:color="auto" w:fill="auto"/>
            <w:vAlign w:val="center"/>
            <w:hideMark/>
          </w:tcPr>
          <w:p w14:paraId="49575398"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US$/KWh</w:t>
            </w:r>
          </w:p>
        </w:tc>
        <w:tc>
          <w:tcPr>
            <w:tcW w:w="1173" w:type="dxa"/>
            <w:shd w:val="clear" w:color="auto" w:fill="auto"/>
            <w:vAlign w:val="center"/>
            <w:hideMark/>
          </w:tcPr>
          <w:p w14:paraId="362EB746" w14:textId="496B1FCA" w:rsidR="002C478A" w:rsidRPr="000179A4" w:rsidRDefault="000179A4" w:rsidP="002C478A">
            <w:pPr>
              <w:jc w:val="center"/>
              <w:rPr>
                <w:rFonts w:cs="Arial"/>
                <w:color w:val="000000"/>
                <w:sz w:val="22"/>
                <w:szCs w:val="22"/>
                <w:lang w:eastAsia="en-US"/>
              </w:rPr>
            </w:pPr>
            <w:r>
              <w:rPr>
                <w:rFonts w:cs="Arial"/>
                <w:color w:val="000000"/>
                <w:sz w:val="22"/>
                <w:szCs w:val="22"/>
                <w:lang w:eastAsia="en-US"/>
              </w:rPr>
              <w:t>0.33</w:t>
            </w:r>
          </w:p>
        </w:tc>
        <w:tc>
          <w:tcPr>
            <w:tcW w:w="1481" w:type="dxa"/>
            <w:gridSpan w:val="2"/>
            <w:shd w:val="clear" w:color="auto" w:fill="auto"/>
            <w:vAlign w:val="center"/>
            <w:hideMark/>
          </w:tcPr>
          <w:p w14:paraId="3939D617" w14:textId="798A651E"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0.30</w:t>
            </w:r>
          </w:p>
        </w:tc>
        <w:tc>
          <w:tcPr>
            <w:tcW w:w="6006" w:type="dxa"/>
            <w:gridSpan w:val="8"/>
            <w:shd w:val="clear" w:color="auto" w:fill="auto"/>
            <w:noWrap/>
            <w:vAlign w:val="center"/>
            <w:hideMark/>
          </w:tcPr>
          <w:p w14:paraId="7AD70C24" w14:textId="1AC0002F" w:rsidR="002C478A" w:rsidRPr="000179A4" w:rsidRDefault="002C478A" w:rsidP="002C478A">
            <w:pPr>
              <w:jc w:val="center"/>
              <w:rPr>
                <w:rFonts w:cs="Arial"/>
                <w:sz w:val="22"/>
                <w:szCs w:val="22"/>
                <w:lang w:eastAsia="en-US"/>
              </w:rPr>
            </w:pPr>
            <w:r w:rsidRPr="000179A4">
              <w:rPr>
                <w:rFonts w:cs="Arial"/>
                <w:sz w:val="22"/>
                <w:szCs w:val="22"/>
                <w:lang w:eastAsia="en-US"/>
              </w:rPr>
              <w:t xml:space="preserve">CARILEC Average </w:t>
            </w:r>
            <w:r w:rsidR="000A71BF" w:rsidRPr="000179A4">
              <w:rPr>
                <w:rFonts w:cs="Arial"/>
                <w:sz w:val="22"/>
                <w:szCs w:val="22"/>
                <w:lang w:eastAsia="en-US"/>
              </w:rPr>
              <w:t>Tariffs</w:t>
            </w:r>
            <w:r w:rsidRPr="000179A4">
              <w:rPr>
                <w:rFonts w:cs="Arial"/>
                <w:sz w:val="22"/>
                <w:szCs w:val="22"/>
                <w:lang w:eastAsia="en-US"/>
              </w:rPr>
              <w:t xml:space="preserve"> for EC countries</w:t>
            </w:r>
          </w:p>
        </w:tc>
      </w:tr>
      <w:tr w:rsidR="000A71BF" w:rsidRPr="000179A4" w14:paraId="44A905C1" w14:textId="77777777" w:rsidTr="000A71BF">
        <w:trPr>
          <w:trHeight w:val="212"/>
        </w:trPr>
        <w:tc>
          <w:tcPr>
            <w:tcW w:w="2620" w:type="dxa"/>
            <w:shd w:val="clear" w:color="000000" w:fill="C0C0C0"/>
            <w:noWrap/>
            <w:vAlign w:val="center"/>
            <w:hideMark/>
          </w:tcPr>
          <w:p w14:paraId="74A434EB"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Component 1</w:t>
            </w:r>
          </w:p>
        </w:tc>
        <w:tc>
          <w:tcPr>
            <w:tcW w:w="1800" w:type="dxa"/>
            <w:shd w:val="clear" w:color="000000" w:fill="C0C0C0"/>
            <w:noWrap/>
            <w:vAlign w:val="center"/>
            <w:hideMark/>
          </w:tcPr>
          <w:p w14:paraId="5A8F2444"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Indicator</w:t>
            </w:r>
          </w:p>
        </w:tc>
        <w:tc>
          <w:tcPr>
            <w:tcW w:w="1173" w:type="dxa"/>
            <w:shd w:val="clear" w:color="000000" w:fill="C0C0C0"/>
            <w:noWrap/>
            <w:vAlign w:val="center"/>
            <w:hideMark/>
          </w:tcPr>
          <w:p w14:paraId="406F1926"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Units</w:t>
            </w:r>
          </w:p>
        </w:tc>
        <w:tc>
          <w:tcPr>
            <w:tcW w:w="733" w:type="dxa"/>
            <w:shd w:val="clear" w:color="000000" w:fill="C0C0C0"/>
            <w:noWrap/>
            <w:vAlign w:val="center"/>
            <w:hideMark/>
          </w:tcPr>
          <w:p w14:paraId="0124957C" w14:textId="2BE3A9B6" w:rsidR="002C478A" w:rsidRPr="000179A4" w:rsidRDefault="002A5742" w:rsidP="002C478A">
            <w:pPr>
              <w:jc w:val="center"/>
              <w:rPr>
                <w:rFonts w:cs="Arial"/>
                <w:b/>
                <w:bCs/>
                <w:color w:val="000000"/>
                <w:sz w:val="22"/>
                <w:szCs w:val="22"/>
                <w:lang w:eastAsia="en-US"/>
              </w:rPr>
            </w:pPr>
            <w:r w:rsidRPr="000179A4">
              <w:rPr>
                <w:rFonts w:cs="Arial"/>
                <w:b/>
                <w:bCs/>
                <w:color w:val="000000"/>
                <w:sz w:val="22"/>
                <w:szCs w:val="22"/>
                <w:lang w:eastAsia="en-US"/>
              </w:rPr>
              <w:t>Base 2015</w:t>
            </w:r>
          </w:p>
        </w:tc>
        <w:tc>
          <w:tcPr>
            <w:tcW w:w="748" w:type="dxa"/>
            <w:shd w:val="clear" w:color="000000" w:fill="C0C0C0"/>
            <w:noWrap/>
            <w:vAlign w:val="center"/>
            <w:hideMark/>
          </w:tcPr>
          <w:p w14:paraId="73875EE1"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1</w:t>
            </w:r>
          </w:p>
        </w:tc>
        <w:tc>
          <w:tcPr>
            <w:tcW w:w="719" w:type="dxa"/>
            <w:shd w:val="clear" w:color="000000" w:fill="C0C0C0"/>
            <w:noWrap/>
            <w:vAlign w:val="center"/>
            <w:hideMark/>
          </w:tcPr>
          <w:p w14:paraId="2B4FDDB8"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2</w:t>
            </w:r>
          </w:p>
        </w:tc>
        <w:tc>
          <w:tcPr>
            <w:tcW w:w="733" w:type="dxa"/>
            <w:shd w:val="clear" w:color="000000" w:fill="C0C0C0"/>
            <w:noWrap/>
            <w:vAlign w:val="center"/>
            <w:hideMark/>
          </w:tcPr>
          <w:p w14:paraId="31F9A427"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3</w:t>
            </w:r>
          </w:p>
        </w:tc>
        <w:tc>
          <w:tcPr>
            <w:tcW w:w="734" w:type="dxa"/>
            <w:shd w:val="clear" w:color="000000" w:fill="C0C0C0"/>
            <w:noWrap/>
            <w:vAlign w:val="center"/>
            <w:hideMark/>
          </w:tcPr>
          <w:p w14:paraId="511B2A82"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4</w:t>
            </w:r>
          </w:p>
        </w:tc>
        <w:tc>
          <w:tcPr>
            <w:tcW w:w="734" w:type="dxa"/>
            <w:shd w:val="clear" w:color="000000" w:fill="C0C0C0"/>
            <w:noWrap/>
            <w:vAlign w:val="center"/>
            <w:hideMark/>
          </w:tcPr>
          <w:p w14:paraId="1A3A9BDD"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5</w:t>
            </w:r>
          </w:p>
        </w:tc>
        <w:tc>
          <w:tcPr>
            <w:tcW w:w="733" w:type="dxa"/>
            <w:shd w:val="clear" w:color="000000" w:fill="C0C0C0"/>
            <w:noWrap/>
            <w:vAlign w:val="center"/>
            <w:hideMark/>
          </w:tcPr>
          <w:p w14:paraId="557A3092"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6</w:t>
            </w:r>
          </w:p>
        </w:tc>
        <w:tc>
          <w:tcPr>
            <w:tcW w:w="734" w:type="dxa"/>
            <w:shd w:val="clear" w:color="000000" w:fill="C0C0C0"/>
            <w:noWrap/>
            <w:vAlign w:val="center"/>
            <w:hideMark/>
          </w:tcPr>
          <w:p w14:paraId="4BA62F3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7</w:t>
            </w:r>
          </w:p>
        </w:tc>
        <w:tc>
          <w:tcPr>
            <w:tcW w:w="734" w:type="dxa"/>
            <w:shd w:val="clear" w:color="000000" w:fill="C0C0C0"/>
            <w:noWrap/>
            <w:vAlign w:val="center"/>
            <w:hideMark/>
          </w:tcPr>
          <w:p w14:paraId="416E83E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8</w:t>
            </w:r>
          </w:p>
        </w:tc>
        <w:tc>
          <w:tcPr>
            <w:tcW w:w="885" w:type="dxa"/>
            <w:shd w:val="clear" w:color="000000" w:fill="C0C0C0"/>
            <w:noWrap/>
            <w:vAlign w:val="center"/>
            <w:hideMark/>
          </w:tcPr>
          <w:p w14:paraId="47C75231"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Target</w:t>
            </w:r>
          </w:p>
        </w:tc>
      </w:tr>
      <w:tr w:rsidR="000A71BF" w:rsidRPr="000179A4" w14:paraId="7390F878" w14:textId="77777777" w:rsidTr="000A71BF">
        <w:trPr>
          <w:trHeight w:val="109"/>
        </w:trPr>
        <w:tc>
          <w:tcPr>
            <w:tcW w:w="2620" w:type="dxa"/>
            <w:shd w:val="clear" w:color="000000" w:fill="F2F2F2"/>
            <w:noWrap/>
            <w:vAlign w:val="center"/>
            <w:hideMark/>
          </w:tcPr>
          <w:p w14:paraId="234EA2CB"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Results</w:t>
            </w:r>
          </w:p>
        </w:tc>
        <w:tc>
          <w:tcPr>
            <w:tcW w:w="1800" w:type="dxa"/>
            <w:shd w:val="clear" w:color="000000" w:fill="F2F2F2"/>
            <w:noWrap/>
            <w:vAlign w:val="center"/>
            <w:hideMark/>
          </w:tcPr>
          <w:p w14:paraId="1AC80BE2" w14:textId="4D561B1F"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077C912E" w14:textId="7B5B4B66"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0DA4E67" w14:textId="786891C5"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61FEA433" w14:textId="5EAD2D39"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00EE301E" w14:textId="34ACCAE2"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4CB89E7A" w14:textId="63F01E82"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61A49545" w14:textId="0DCF5C56"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01FF7367" w14:textId="6716136D"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3FFAE925" w14:textId="54F421AD"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17CF0929" w14:textId="34BCC4F6"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C9F36C5" w14:textId="48DCE669"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03050B59" w14:textId="5D802A33" w:rsidR="002C478A" w:rsidRPr="000179A4" w:rsidRDefault="002C478A" w:rsidP="002C478A">
            <w:pPr>
              <w:jc w:val="center"/>
              <w:rPr>
                <w:rFonts w:cs="Arial"/>
                <w:b/>
                <w:bCs/>
                <w:color w:val="000000"/>
                <w:sz w:val="22"/>
                <w:szCs w:val="22"/>
                <w:lang w:eastAsia="en-US"/>
              </w:rPr>
            </w:pPr>
          </w:p>
        </w:tc>
      </w:tr>
      <w:tr w:rsidR="00745C67" w:rsidRPr="000179A4" w14:paraId="5A52E598" w14:textId="77777777" w:rsidTr="000A71BF">
        <w:trPr>
          <w:trHeight w:val="364"/>
        </w:trPr>
        <w:tc>
          <w:tcPr>
            <w:tcW w:w="2620" w:type="dxa"/>
            <w:shd w:val="clear" w:color="auto" w:fill="auto"/>
            <w:vAlign w:val="center"/>
            <w:hideMark/>
          </w:tcPr>
          <w:p w14:paraId="1B991B12" w14:textId="77777777" w:rsidR="00745C67" w:rsidRPr="000179A4" w:rsidRDefault="00745C67" w:rsidP="002C478A">
            <w:pPr>
              <w:jc w:val="center"/>
              <w:rPr>
                <w:rFonts w:cs="Arial"/>
                <w:color w:val="000000"/>
                <w:sz w:val="22"/>
                <w:szCs w:val="22"/>
                <w:highlight w:val="yellow"/>
                <w:lang w:eastAsia="en-US"/>
              </w:rPr>
            </w:pPr>
            <w:r w:rsidRPr="000179A4">
              <w:rPr>
                <w:rFonts w:cs="Arial"/>
                <w:color w:val="000000"/>
                <w:sz w:val="22"/>
                <w:szCs w:val="22"/>
                <w:lang w:eastAsia="en-US"/>
              </w:rPr>
              <w:t>Reduction in electricity consumption from Public Lighting sectors with EE projects financed by the Program</w:t>
            </w:r>
          </w:p>
        </w:tc>
        <w:tc>
          <w:tcPr>
            <w:tcW w:w="1800" w:type="dxa"/>
            <w:shd w:val="clear" w:color="auto" w:fill="auto"/>
            <w:vAlign w:val="center"/>
            <w:hideMark/>
          </w:tcPr>
          <w:p w14:paraId="5BB0352A" w14:textId="74725BF2" w:rsidR="00745C67" w:rsidRPr="000179A4" w:rsidRDefault="000179A4" w:rsidP="002C478A">
            <w:pPr>
              <w:jc w:val="center"/>
              <w:rPr>
                <w:rFonts w:cs="Arial"/>
                <w:color w:val="000000"/>
                <w:sz w:val="22"/>
                <w:szCs w:val="22"/>
                <w:highlight w:val="yellow"/>
                <w:lang w:eastAsia="en-US"/>
              </w:rPr>
            </w:pPr>
            <w:r w:rsidRPr="000179A4">
              <w:rPr>
                <w:rFonts w:cs="Arial"/>
                <w:color w:val="000000"/>
                <w:sz w:val="22"/>
                <w:szCs w:val="22"/>
                <w:lang w:eastAsia="en-US"/>
              </w:rPr>
              <w:t xml:space="preserve">Electricity saved by EE applications, measures &amp; programs  </w:t>
            </w:r>
          </w:p>
        </w:tc>
        <w:tc>
          <w:tcPr>
            <w:tcW w:w="1173" w:type="dxa"/>
            <w:shd w:val="clear" w:color="auto" w:fill="auto"/>
            <w:vAlign w:val="center"/>
            <w:hideMark/>
          </w:tcPr>
          <w:p w14:paraId="11F46BDF" w14:textId="31597137" w:rsidR="00745C67" w:rsidRPr="000179A4" w:rsidRDefault="000179A4" w:rsidP="002C478A">
            <w:pPr>
              <w:jc w:val="center"/>
              <w:rPr>
                <w:rFonts w:cs="Arial"/>
                <w:color w:val="000000"/>
                <w:sz w:val="22"/>
                <w:szCs w:val="22"/>
                <w:highlight w:val="yellow"/>
                <w:lang w:eastAsia="en-US"/>
              </w:rPr>
            </w:pPr>
            <w:r w:rsidRPr="000179A4">
              <w:rPr>
                <w:rFonts w:cs="Arial"/>
                <w:color w:val="000000"/>
                <w:sz w:val="22"/>
                <w:szCs w:val="22"/>
                <w:lang w:eastAsia="en-US"/>
              </w:rPr>
              <w:t>GWh/year</w:t>
            </w:r>
          </w:p>
        </w:tc>
        <w:tc>
          <w:tcPr>
            <w:tcW w:w="733" w:type="dxa"/>
            <w:shd w:val="clear" w:color="auto" w:fill="auto"/>
            <w:vAlign w:val="center"/>
            <w:hideMark/>
          </w:tcPr>
          <w:p w14:paraId="68DAF4CB" w14:textId="6BCE5F6C"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0</w:t>
            </w:r>
          </w:p>
        </w:tc>
        <w:tc>
          <w:tcPr>
            <w:tcW w:w="748" w:type="dxa"/>
            <w:shd w:val="clear" w:color="auto" w:fill="auto"/>
            <w:vAlign w:val="center"/>
            <w:hideMark/>
          </w:tcPr>
          <w:p w14:paraId="32EE0516" w14:textId="672FA506"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0</w:t>
            </w:r>
          </w:p>
        </w:tc>
        <w:tc>
          <w:tcPr>
            <w:tcW w:w="719" w:type="dxa"/>
            <w:shd w:val="clear" w:color="auto" w:fill="auto"/>
            <w:vAlign w:val="center"/>
            <w:hideMark/>
          </w:tcPr>
          <w:p w14:paraId="7045E1B3" w14:textId="29DABB83"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0</w:t>
            </w:r>
          </w:p>
        </w:tc>
        <w:tc>
          <w:tcPr>
            <w:tcW w:w="733" w:type="dxa"/>
            <w:shd w:val="clear" w:color="auto" w:fill="auto"/>
            <w:vAlign w:val="center"/>
            <w:hideMark/>
          </w:tcPr>
          <w:p w14:paraId="43F07F85" w14:textId="47584C62"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0</w:t>
            </w:r>
          </w:p>
        </w:tc>
        <w:tc>
          <w:tcPr>
            <w:tcW w:w="734" w:type="dxa"/>
            <w:shd w:val="clear" w:color="auto" w:fill="auto"/>
            <w:vAlign w:val="center"/>
            <w:hideMark/>
          </w:tcPr>
          <w:p w14:paraId="7C58F5F1" w14:textId="2177237F"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 xml:space="preserve">    9.3 </w:t>
            </w:r>
          </w:p>
        </w:tc>
        <w:tc>
          <w:tcPr>
            <w:tcW w:w="734" w:type="dxa"/>
            <w:shd w:val="clear" w:color="auto" w:fill="auto"/>
            <w:vAlign w:val="center"/>
            <w:hideMark/>
          </w:tcPr>
          <w:p w14:paraId="7BE01C94" w14:textId="07D84AEB"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 xml:space="preserve">28.0 </w:t>
            </w:r>
          </w:p>
        </w:tc>
        <w:tc>
          <w:tcPr>
            <w:tcW w:w="733" w:type="dxa"/>
            <w:shd w:val="clear" w:color="auto" w:fill="auto"/>
            <w:vAlign w:val="center"/>
            <w:hideMark/>
          </w:tcPr>
          <w:p w14:paraId="5FB54789" w14:textId="0FBEC3EF"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 xml:space="preserve">31.1 </w:t>
            </w:r>
          </w:p>
        </w:tc>
        <w:tc>
          <w:tcPr>
            <w:tcW w:w="734" w:type="dxa"/>
            <w:shd w:val="clear" w:color="auto" w:fill="auto"/>
            <w:vAlign w:val="center"/>
            <w:hideMark/>
          </w:tcPr>
          <w:p w14:paraId="488630A8" w14:textId="246F61E5"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 xml:space="preserve">31.1 </w:t>
            </w:r>
          </w:p>
        </w:tc>
        <w:tc>
          <w:tcPr>
            <w:tcW w:w="734" w:type="dxa"/>
            <w:shd w:val="clear" w:color="auto" w:fill="auto"/>
            <w:vAlign w:val="center"/>
            <w:hideMark/>
          </w:tcPr>
          <w:p w14:paraId="5F05675C" w14:textId="600B5F43"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 xml:space="preserve">31.1 </w:t>
            </w:r>
          </w:p>
        </w:tc>
        <w:tc>
          <w:tcPr>
            <w:tcW w:w="885" w:type="dxa"/>
            <w:shd w:val="clear" w:color="auto" w:fill="auto"/>
            <w:vAlign w:val="center"/>
            <w:hideMark/>
          </w:tcPr>
          <w:p w14:paraId="6D5B1574" w14:textId="0FDA38F2" w:rsidR="00745C67" w:rsidRPr="000179A4" w:rsidRDefault="00745C67" w:rsidP="002C478A">
            <w:pPr>
              <w:jc w:val="center"/>
              <w:rPr>
                <w:rFonts w:cs="Arial"/>
                <w:color w:val="000000"/>
                <w:sz w:val="22"/>
                <w:szCs w:val="22"/>
                <w:lang w:eastAsia="en-US"/>
              </w:rPr>
            </w:pPr>
            <w:r w:rsidRPr="000179A4">
              <w:rPr>
                <w:rFonts w:cs="Arial"/>
                <w:color w:val="000000"/>
                <w:sz w:val="22"/>
                <w:szCs w:val="22"/>
                <w:lang w:val="es-ES"/>
              </w:rPr>
              <w:t>130.6</w:t>
            </w:r>
          </w:p>
        </w:tc>
      </w:tr>
      <w:tr w:rsidR="00745C67" w:rsidRPr="000179A4" w14:paraId="405753C4" w14:textId="77777777" w:rsidTr="000A71BF">
        <w:trPr>
          <w:trHeight w:val="2066"/>
        </w:trPr>
        <w:tc>
          <w:tcPr>
            <w:tcW w:w="2620" w:type="dxa"/>
            <w:shd w:val="clear" w:color="auto" w:fill="auto"/>
            <w:vAlign w:val="center"/>
            <w:hideMark/>
          </w:tcPr>
          <w:p w14:paraId="393EEBFC"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Reduction in imports of fossil fuels for electricity generation in EC countries due to EE projects financed at any stage by the Program</w:t>
            </w:r>
          </w:p>
        </w:tc>
        <w:tc>
          <w:tcPr>
            <w:tcW w:w="1800" w:type="dxa"/>
            <w:shd w:val="clear" w:color="auto" w:fill="auto"/>
            <w:vAlign w:val="center"/>
            <w:hideMark/>
          </w:tcPr>
          <w:p w14:paraId="3DEFEE60"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Reduction in imports of fossil fuels for electricity generation</w:t>
            </w:r>
          </w:p>
        </w:tc>
        <w:tc>
          <w:tcPr>
            <w:tcW w:w="1173" w:type="dxa"/>
            <w:shd w:val="clear" w:color="auto" w:fill="auto"/>
            <w:vAlign w:val="center"/>
            <w:hideMark/>
          </w:tcPr>
          <w:p w14:paraId="3898ABD2"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Thousand barrels of oil</w:t>
            </w:r>
          </w:p>
        </w:tc>
        <w:tc>
          <w:tcPr>
            <w:tcW w:w="733" w:type="dxa"/>
            <w:shd w:val="clear" w:color="auto" w:fill="auto"/>
            <w:vAlign w:val="center"/>
            <w:hideMark/>
          </w:tcPr>
          <w:p w14:paraId="5404740D" w14:textId="41C74C78"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49E4EB9E" w14:textId="15CD660C"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6E2FDE84" w14:textId="03D094A8"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3D787127" w14:textId="73E3B0A4"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5099C11B" w14:textId="00FC8BF4"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15 </w:t>
            </w:r>
          </w:p>
        </w:tc>
        <w:tc>
          <w:tcPr>
            <w:tcW w:w="734" w:type="dxa"/>
            <w:shd w:val="clear" w:color="auto" w:fill="auto"/>
            <w:vAlign w:val="center"/>
            <w:hideMark/>
          </w:tcPr>
          <w:p w14:paraId="3591FDC7" w14:textId="7391B33B"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30 </w:t>
            </w:r>
          </w:p>
        </w:tc>
        <w:tc>
          <w:tcPr>
            <w:tcW w:w="733" w:type="dxa"/>
            <w:shd w:val="clear" w:color="auto" w:fill="auto"/>
            <w:vAlign w:val="center"/>
            <w:hideMark/>
          </w:tcPr>
          <w:p w14:paraId="3CC19462" w14:textId="3795C2FD"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45 </w:t>
            </w:r>
          </w:p>
        </w:tc>
        <w:tc>
          <w:tcPr>
            <w:tcW w:w="734" w:type="dxa"/>
            <w:shd w:val="clear" w:color="auto" w:fill="auto"/>
            <w:vAlign w:val="center"/>
            <w:hideMark/>
          </w:tcPr>
          <w:p w14:paraId="69664C51" w14:textId="07664027"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50 </w:t>
            </w:r>
          </w:p>
        </w:tc>
        <w:tc>
          <w:tcPr>
            <w:tcW w:w="734" w:type="dxa"/>
            <w:shd w:val="clear" w:color="auto" w:fill="auto"/>
            <w:vAlign w:val="center"/>
            <w:hideMark/>
          </w:tcPr>
          <w:p w14:paraId="148A9BAA" w14:textId="78B7BC48"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50 </w:t>
            </w:r>
          </w:p>
        </w:tc>
        <w:tc>
          <w:tcPr>
            <w:tcW w:w="885" w:type="dxa"/>
            <w:shd w:val="clear" w:color="auto" w:fill="auto"/>
            <w:vAlign w:val="center"/>
            <w:hideMark/>
          </w:tcPr>
          <w:p w14:paraId="2482933D" w14:textId="2F527BB6"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191 </w:t>
            </w:r>
          </w:p>
        </w:tc>
      </w:tr>
      <w:tr w:rsidR="00745C67" w:rsidRPr="000179A4" w14:paraId="67193EE8" w14:textId="77777777" w:rsidTr="000A71BF">
        <w:trPr>
          <w:trHeight w:val="1036"/>
        </w:trPr>
        <w:tc>
          <w:tcPr>
            <w:tcW w:w="2620" w:type="dxa"/>
            <w:shd w:val="clear" w:color="auto" w:fill="auto"/>
            <w:vAlign w:val="center"/>
            <w:hideMark/>
          </w:tcPr>
          <w:p w14:paraId="7135606A"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lastRenderedPageBreak/>
              <w:t>Greenhouse gas (GHG) emissions avoided by EE projects financed at any stage by the Program</w:t>
            </w:r>
          </w:p>
        </w:tc>
        <w:tc>
          <w:tcPr>
            <w:tcW w:w="1800" w:type="dxa"/>
            <w:shd w:val="clear" w:color="auto" w:fill="auto"/>
            <w:vAlign w:val="center"/>
            <w:hideMark/>
          </w:tcPr>
          <w:p w14:paraId="27C0B706"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Greenhouse gas (GHG) emissions avoided</w:t>
            </w:r>
          </w:p>
        </w:tc>
        <w:tc>
          <w:tcPr>
            <w:tcW w:w="1173" w:type="dxa"/>
            <w:shd w:val="clear" w:color="auto" w:fill="auto"/>
            <w:vAlign w:val="center"/>
            <w:hideMark/>
          </w:tcPr>
          <w:p w14:paraId="273A260A" w14:textId="7FEAE6A6"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ktCO</w:t>
            </w:r>
            <w:r w:rsidRPr="000179A4">
              <w:rPr>
                <w:rFonts w:cs="Arial"/>
                <w:color w:val="000000"/>
                <w:sz w:val="22"/>
                <w:szCs w:val="22"/>
                <w:vertAlign w:val="subscript"/>
                <w:lang w:eastAsia="en-US"/>
              </w:rPr>
              <w:t>2</w:t>
            </w:r>
            <w:r w:rsidRPr="000179A4">
              <w:rPr>
                <w:rFonts w:cs="Arial"/>
                <w:color w:val="000000"/>
                <w:sz w:val="22"/>
                <w:szCs w:val="22"/>
                <w:lang w:eastAsia="en-US"/>
              </w:rPr>
              <w:t>e/yr</w:t>
            </w:r>
          </w:p>
        </w:tc>
        <w:tc>
          <w:tcPr>
            <w:tcW w:w="733" w:type="dxa"/>
            <w:shd w:val="clear" w:color="auto" w:fill="auto"/>
            <w:vAlign w:val="center"/>
            <w:hideMark/>
          </w:tcPr>
          <w:p w14:paraId="7CD224B2" w14:textId="719F6523"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24D6C36A" w14:textId="0AF7F311"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5E1391FF" w14:textId="653496AF"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2FD4D155" w14:textId="2D85AAAA"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126F80B9" w14:textId="7BF11598" w:rsidR="00745C67" w:rsidRPr="000179A4" w:rsidRDefault="00745C67" w:rsidP="002C478A">
            <w:pPr>
              <w:jc w:val="center"/>
              <w:rPr>
                <w:rFonts w:cs="Arial"/>
                <w:color w:val="000000"/>
                <w:sz w:val="22"/>
                <w:szCs w:val="22"/>
                <w:lang w:eastAsia="en-US"/>
              </w:rPr>
            </w:pPr>
            <w:r w:rsidRPr="000179A4">
              <w:rPr>
                <w:rFonts w:cs="Arial"/>
                <w:color w:val="000000"/>
                <w:sz w:val="22"/>
                <w:szCs w:val="22"/>
              </w:rPr>
              <w:t>39.2</w:t>
            </w:r>
          </w:p>
        </w:tc>
        <w:tc>
          <w:tcPr>
            <w:tcW w:w="734" w:type="dxa"/>
            <w:shd w:val="clear" w:color="auto" w:fill="auto"/>
            <w:vAlign w:val="center"/>
            <w:hideMark/>
          </w:tcPr>
          <w:p w14:paraId="5AAA00B0" w14:textId="6AD66040" w:rsidR="00745C67" w:rsidRPr="000179A4" w:rsidRDefault="00745C67" w:rsidP="002C478A">
            <w:pPr>
              <w:jc w:val="center"/>
              <w:rPr>
                <w:rFonts w:cs="Arial"/>
                <w:color w:val="000000"/>
                <w:sz w:val="22"/>
                <w:szCs w:val="22"/>
                <w:lang w:eastAsia="en-US"/>
              </w:rPr>
            </w:pPr>
            <w:r w:rsidRPr="000179A4">
              <w:rPr>
                <w:rFonts w:cs="Arial"/>
                <w:color w:val="000000"/>
                <w:sz w:val="22"/>
                <w:szCs w:val="22"/>
              </w:rPr>
              <w:t>78.4</w:t>
            </w:r>
          </w:p>
        </w:tc>
        <w:tc>
          <w:tcPr>
            <w:tcW w:w="733" w:type="dxa"/>
            <w:shd w:val="clear" w:color="000000" w:fill="FFFFFF"/>
            <w:vAlign w:val="center"/>
            <w:hideMark/>
          </w:tcPr>
          <w:p w14:paraId="46E944B7" w14:textId="3D377701" w:rsidR="00745C67" w:rsidRPr="000179A4" w:rsidRDefault="00745C67" w:rsidP="002C478A">
            <w:pPr>
              <w:jc w:val="center"/>
              <w:rPr>
                <w:rFonts w:cs="Arial"/>
                <w:color w:val="000000"/>
                <w:sz w:val="22"/>
                <w:szCs w:val="22"/>
                <w:lang w:eastAsia="en-US"/>
              </w:rPr>
            </w:pPr>
            <w:r w:rsidRPr="000179A4">
              <w:rPr>
                <w:rFonts w:cs="Arial"/>
                <w:color w:val="000000"/>
                <w:sz w:val="22"/>
                <w:szCs w:val="22"/>
              </w:rPr>
              <w:t>117.5</w:t>
            </w:r>
          </w:p>
        </w:tc>
        <w:tc>
          <w:tcPr>
            <w:tcW w:w="734" w:type="dxa"/>
            <w:shd w:val="clear" w:color="000000" w:fill="FFFFFF"/>
            <w:vAlign w:val="center"/>
            <w:hideMark/>
          </w:tcPr>
          <w:p w14:paraId="7DFE0614" w14:textId="13DD2FAB" w:rsidR="00745C67" w:rsidRPr="000179A4" w:rsidRDefault="00745C67" w:rsidP="002C478A">
            <w:pPr>
              <w:jc w:val="center"/>
              <w:rPr>
                <w:rFonts w:cs="Arial"/>
                <w:color w:val="000000"/>
                <w:sz w:val="22"/>
                <w:szCs w:val="22"/>
                <w:lang w:eastAsia="en-US"/>
              </w:rPr>
            </w:pPr>
            <w:r w:rsidRPr="000179A4">
              <w:rPr>
                <w:rFonts w:cs="Arial"/>
                <w:color w:val="000000"/>
                <w:sz w:val="22"/>
                <w:szCs w:val="22"/>
              </w:rPr>
              <w:t>130.6</w:t>
            </w:r>
          </w:p>
        </w:tc>
        <w:tc>
          <w:tcPr>
            <w:tcW w:w="734" w:type="dxa"/>
            <w:shd w:val="clear" w:color="000000" w:fill="FFFFFF"/>
            <w:vAlign w:val="center"/>
            <w:hideMark/>
          </w:tcPr>
          <w:p w14:paraId="153C3929" w14:textId="277A5F7B" w:rsidR="00745C67" w:rsidRPr="000179A4" w:rsidRDefault="00745C67" w:rsidP="002C478A">
            <w:pPr>
              <w:jc w:val="center"/>
              <w:rPr>
                <w:rFonts w:cs="Arial"/>
                <w:color w:val="000000"/>
                <w:sz w:val="22"/>
                <w:szCs w:val="22"/>
                <w:lang w:eastAsia="en-US"/>
              </w:rPr>
            </w:pPr>
            <w:r w:rsidRPr="000179A4">
              <w:rPr>
                <w:rFonts w:cs="Arial"/>
                <w:color w:val="000000"/>
                <w:sz w:val="22"/>
                <w:szCs w:val="22"/>
              </w:rPr>
              <w:t>130.6</w:t>
            </w:r>
          </w:p>
        </w:tc>
        <w:tc>
          <w:tcPr>
            <w:tcW w:w="885" w:type="dxa"/>
            <w:shd w:val="clear" w:color="auto" w:fill="auto"/>
            <w:vAlign w:val="center"/>
            <w:hideMark/>
          </w:tcPr>
          <w:p w14:paraId="4269922A" w14:textId="0A60BDF3"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496.3 </w:t>
            </w:r>
          </w:p>
        </w:tc>
      </w:tr>
      <w:tr w:rsidR="000A71BF" w:rsidRPr="000179A4" w14:paraId="2F949ABA" w14:textId="77777777" w:rsidTr="000A71BF">
        <w:trPr>
          <w:trHeight w:val="109"/>
        </w:trPr>
        <w:tc>
          <w:tcPr>
            <w:tcW w:w="2620" w:type="dxa"/>
            <w:shd w:val="clear" w:color="000000" w:fill="F2F2F2"/>
            <w:noWrap/>
            <w:vAlign w:val="center"/>
            <w:hideMark/>
          </w:tcPr>
          <w:p w14:paraId="4E8F2877"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Outputs</w:t>
            </w:r>
          </w:p>
        </w:tc>
        <w:tc>
          <w:tcPr>
            <w:tcW w:w="1800" w:type="dxa"/>
            <w:shd w:val="clear" w:color="000000" w:fill="F2F2F2"/>
            <w:noWrap/>
            <w:vAlign w:val="center"/>
            <w:hideMark/>
          </w:tcPr>
          <w:p w14:paraId="6510436E" w14:textId="0B15B960"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3BF7C9DF" w14:textId="5B755790"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2C0853F8" w14:textId="3FAD184A"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568A1068" w14:textId="6E8994B7"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09A45248" w14:textId="2F1B1569"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7FF5483A" w14:textId="3D112A65"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FE0E27C" w14:textId="569448F2"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15DB431" w14:textId="11BF471B"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32D6B376" w14:textId="72178C74"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1AF92DA" w14:textId="0C744072"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7A19EFE" w14:textId="62D90418"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0E5D6266" w14:textId="3A7EECC7" w:rsidR="002C478A" w:rsidRPr="000179A4" w:rsidRDefault="002C478A" w:rsidP="002C478A">
            <w:pPr>
              <w:jc w:val="center"/>
              <w:rPr>
                <w:rFonts w:cs="Arial"/>
                <w:b/>
                <w:bCs/>
                <w:color w:val="000000"/>
                <w:sz w:val="22"/>
                <w:szCs w:val="22"/>
                <w:lang w:eastAsia="en-US"/>
              </w:rPr>
            </w:pPr>
          </w:p>
        </w:tc>
      </w:tr>
      <w:tr w:rsidR="00745C67" w:rsidRPr="000179A4" w14:paraId="2AA9DE71" w14:textId="77777777" w:rsidTr="000A71BF">
        <w:trPr>
          <w:trHeight w:val="521"/>
        </w:trPr>
        <w:tc>
          <w:tcPr>
            <w:tcW w:w="2620" w:type="dxa"/>
            <w:shd w:val="clear" w:color="auto" w:fill="auto"/>
            <w:vAlign w:val="center"/>
            <w:hideMark/>
          </w:tcPr>
          <w:p w14:paraId="7300A9D5"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Loans provided to energy efficiency projects with resources form the Program.</w:t>
            </w:r>
          </w:p>
        </w:tc>
        <w:tc>
          <w:tcPr>
            <w:tcW w:w="1800" w:type="dxa"/>
            <w:shd w:val="clear" w:color="auto" w:fill="auto"/>
            <w:vAlign w:val="center"/>
            <w:hideMark/>
          </w:tcPr>
          <w:p w14:paraId="7B804F87"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Loans provided for EE projects</w:t>
            </w:r>
          </w:p>
        </w:tc>
        <w:tc>
          <w:tcPr>
            <w:tcW w:w="1173" w:type="dxa"/>
            <w:shd w:val="clear" w:color="auto" w:fill="auto"/>
            <w:vAlign w:val="center"/>
            <w:hideMark/>
          </w:tcPr>
          <w:p w14:paraId="0477F7B1"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Number of loans</w:t>
            </w:r>
          </w:p>
        </w:tc>
        <w:tc>
          <w:tcPr>
            <w:tcW w:w="733" w:type="dxa"/>
            <w:shd w:val="clear" w:color="auto" w:fill="auto"/>
            <w:vAlign w:val="center"/>
            <w:hideMark/>
          </w:tcPr>
          <w:p w14:paraId="0965E858" w14:textId="4FB3C464"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258F1D6F" w14:textId="3E820153"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7E68FE44" w14:textId="1C79B48E"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1CEF79D5" w14:textId="0410788B"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34" w:type="dxa"/>
            <w:shd w:val="clear" w:color="auto" w:fill="auto"/>
            <w:vAlign w:val="center"/>
            <w:hideMark/>
          </w:tcPr>
          <w:p w14:paraId="2A218EE9" w14:textId="06ED0E84"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647452C4" w14:textId="4F52A343"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5D98060A" w14:textId="304E1BDB"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2C2C897F" w14:textId="3F8F6438"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43A39B23" w14:textId="7B049301"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vAlign w:val="center"/>
            <w:hideMark/>
          </w:tcPr>
          <w:p w14:paraId="76836AEC" w14:textId="79888552"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r>
      <w:tr w:rsidR="000C7DEB" w:rsidRPr="000179A4" w14:paraId="15C4D7CE" w14:textId="77777777" w:rsidTr="00914260">
        <w:trPr>
          <w:trHeight w:val="109"/>
        </w:trPr>
        <w:tc>
          <w:tcPr>
            <w:tcW w:w="2620" w:type="dxa"/>
            <w:shd w:val="clear" w:color="000000" w:fill="C0C0C0"/>
            <w:noWrap/>
          </w:tcPr>
          <w:p w14:paraId="4508C5B8" w14:textId="0BFA2248" w:rsidR="000C7DEB" w:rsidRPr="000179A4" w:rsidRDefault="000C7DEB" w:rsidP="002C478A">
            <w:pPr>
              <w:jc w:val="center"/>
              <w:rPr>
                <w:rFonts w:cs="Arial"/>
                <w:b/>
                <w:bCs/>
                <w:color w:val="000000"/>
                <w:sz w:val="22"/>
                <w:szCs w:val="22"/>
                <w:lang w:eastAsia="en-US"/>
              </w:rPr>
            </w:pPr>
            <w:r w:rsidRPr="00842021">
              <w:t>EE projects appraised by the CDB</w:t>
            </w:r>
          </w:p>
        </w:tc>
        <w:tc>
          <w:tcPr>
            <w:tcW w:w="1800" w:type="dxa"/>
            <w:shd w:val="clear" w:color="000000" w:fill="C0C0C0"/>
            <w:noWrap/>
          </w:tcPr>
          <w:p w14:paraId="7C95FE94" w14:textId="1601D623" w:rsidR="000C7DEB" w:rsidRPr="000179A4" w:rsidRDefault="000C7DEB" w:rsidP="002C478A">
            <w:pPr>
              <w:jc w:val="center"/>
              <w:rPr>
                <w:rFonts w:cs="Arial"/>
                <w:b/>
                <w:bCs/>
                <w:color w:val="000000"/>
                <w:sz w:val="22"/>
                <w:szCs w:val="22"/>
                <w:lang w:eastAsia="en-US"/>
              </w:rPr>
            </w:pPr>
            <w:r w:rsidRPr="00842021">
              <w:t>EE projects appraised</w:t>
            </w:r>
          </w:p>
        </w:tc>
        <w:tc>
          <w:tcPr>
            <w:tcW w:w="1173" w:type="dxa"/>
            <w:shd w:val="clear" w:color="000000" w:fill="C0C0C0"/>
            <w:noWrap/>
          </w:tcPr>
          <w:p w14:paraId="215472B2" w14:textId="5F80B61C" w:rsidR="000C7DEB" w:rsidRPr="000179A4" w:rsidRDefault="000C7DEB" w:rsidP="002C478A">
            <w:pPr>
              <w:jc w:val="center"/>
              <w:rPr>
                <w:rFonts w:cs="Arial"/>
                <w:b/>
                <w:bCs/>
                <w:color w:val="000000"/>
                <w:sz w:val="22"/>
                <w:szCs w:val="22"/>
                <w:lang w:eastAsia="en-US"/>
              </w:rPr>
            </w:pPr>
            <w:r w:rsidRPr="00842021">
              <w:t>Number of EE projects</w:t>
            </w:r>
          </w:p>
        </w:tc>
        <w:tc>
          <w:tcPr>
            <w:tcW w:w="733" w:type="dxa"/>
            <w:shd w:val="clear" w:color="000000" w:fill="C0C0C0"/>
            <w:noWrap/>
          </w:tcPr>
          <w:p w14:paraId="3FC0E4F7" w14:textId="67D72F41" w:rsidR="000C7DEB" w:rsidRPr="000179A4" w:rsidRDefault="000C7DEB" w:rsidP="002C478A">
            <w:pPr>
              <w:jc w:val="center"/>
              <w:rPr>
                <w:rFonts w:cs="Arial"/>
                <w:b/>
                <w:bCs/>
                <w:color w:val="000000"/>
                <w:sz w:val="22"/>
                <w:szCs w:val="22"/>
                <w:lang w:eastAsia="en-US"/>
              </w:rPr>
            </w:pPr>
            <w:r w:rsidRPr="00842021">
              <w:t>0</w:t>
            </w:r>
          </w:p>
        </w:tc>
        <w:tc>
          <w:tcPr>
            <w:tcW w:w="748" w:type="dxa"/>
            <w:shd w:val="clear" w:color="000000" w:fill="C0C0C0"/>
            <w:noWrap/>
          </w:tcPr>
          <w:p w14:paraId="661CAA73" w14:textId="453CBDB5" w:rsidR="000C7DEB" w:rsidRPr="000179A4" w:rsidRDefault="000C7DEB" w:rsidP="002C478A">
            <w:pPr>
              <w:jc w:val="center"/>
              <w:rPr>
                <w:rFonts w:cs="Arial"/>
                <w:b/>
                <w:bCs/>
                <w:color w:val="000000"/>
                <w:sz w:val="22"/>
                <w:szCs w:val="22"/>
                <w:lang w:eastAsia="en-US"/>
              </w:rPr>
            </w:pPr>
            <w:r w:rsidRPr="00842021">
              <w:t>1</w:t>
            </w:r>
          </w:p>
        </w:tc>
        <w:tc>
          <w:tcPr>
            <w:tcW w:w="719" w:type="dxa"/>
            <w:shd w:val="clear" w:color="000000" w:fill="C0C0C0"/>
            <w:noWrap/>
          </w:tcPr>
          <w:p w14:paraId="74C3EBFE" w14:textId="4646B493" w:rsidR="000C7DEB" w:rsidRPr="000179A4" w:rsidRDefault="000C7DEB" w:rsidP="002C478A">
            <w:pPr>
              <w:jc w:val="center"/>
              <w:rPr>
                <w:rFonts w:cs="Arial"/>
                <w:b/>
                <w:bCs/>
                <w:color w:val="000000"/>
                <w:sz w:val="22"/>
                <w:szCs w:val="22"/>
                <w:lang w:eastAsia="en-US"/>
              </w:rPr>
            </w:pPr>
            <w:r w:rsidRPr="00842021">
              <w:t>1</w:t>
            </w:r>
          </w:p>
        </w:tc>
        <w:tc>
          <w:tcPr>
            <w:tcW w:w="733" w:type="dxa"/>
            <w:shd w:val="clear" w:color="000000" w:fill="C0C0C0"/>
            <w:noWrap/>
          </w:tcPr>
          <w:p w14:paraId="1B4176E5" w14:textId="218A53DB" w:rsidR="000C7DEB" w:rsidRPr="000179A4" w:rsidRDefault="000C7DEB" w:rsidP="002C478A">
            <w:pPr>
              <w:jc w:val="center"/>
              <w:rPr>
                <w:rFonts w:cs="Arial"/>
                <w:b/>
                <w:bCs/>
                <w:color w:val="000000"/>
                <w:sz w:val="22"/>
                <w:szCs w:val="22"/>
                <w:lang w:eastAsia="en-US"/>
              </w:rPr>
            </w:pPr>
            <w:r w:rsidRPr="00842021">
              <w:t>0</w:t>
            </w:r>
          </w:p>
        </w:tc>
        <w:tc>
          <w:tcPr>
            <w:tcW w:w="734" w:type="dxa"/>
            <w:shd w:val="clear" w:color="000000" w:fill="C0C0C0"/>
            <w:noWrap/>
          </w:tcPr>
          <w:p w14:paraId="397B0031" w14:textId="52BFB3FA" w:rsidR="000C7DEB" w:rsidRPr="000179A4" w:rsidRDefault="000C7DEB" w:rsidP="002C478A">
            <w:pPr>
              <w:jc w:val="center"/>
              <w:rPr>
                <w:rFonts w:cs="Arial"/>
                <w:b/>
                <w:bCs/>
                <w:color w:val="000000"/>
                <w:sz w:val="22"/>
                <w:szCs w:val="22"/>
                <w:lang w:eastAsia="en-US"/>
              </w:rPr>
            </w:pPr>
            <w:r w:rsidRPr="00842021">
              <w:t>0</w:t>
            </w:r>
          </w:p>
        </w:tc>
        <w:tc>
          <w:tcPr>
            <w:tcW w:w="734" w:type="dxa"/>
            <w:shd w:val="clear" w:color="000000" w:fill="C0C0C0"/>
            <w:noWrap/>
          </w:tcPr>
          <w:p w14:paraId="3EC318D7" w14:textId="1F68593C" w:rsidR="000C7DEB" w:rsidRPr="000179A4" w:rsidRDefault="000C7DEB" w:rsidP="002C478A">
            <w:pPr>
              <w:jc w:val="center"/>
              <w:rPr>
                <w:rFonts w:cs="Arial"/>
                <w:b/>
                <w:bCs/>
                <w:color w:val="000000"/>
                <w:sz w:val="22"/>
                <w:szCs w:val="22"/>
                <w:lang w:eastAsia="en-US"/>
              </w:rPr>
            </w:pPr>
            <w:r w:rsidRPr="00842021">
              <w:t>0</w:t>
            </w:r>
          </w:p>
        </w:tc>
        <w:tc>
          <w:tcPr>
            <w:tcW w:w="733" w:type="dxa"/>
            <w:shd w:val="clear" w:color="000000" w:fill="C0C0C0"/>
            <w:noWrap/>
          </w:tcPr>
          <w:p w14:paraId="5D9CBD0E" w14:textId="01341D5B" w:rsidR="000C7DEB" w:rsidRPr="000179A4" w:rsidRDefault="000C7DEB" w:rsidP="002C478A">
            <w:pPr>
              <w:jc w:val="center"/>
              <w:rPr>
                <w:rFonts w:cs="Arial"/>
                <w:b/>
                <w:bCs/>
                <w:color w:val="000000"/>
                <w:sz w:val="22"/>
                <w:szCs w:val="22"/>
                <w:lang w:eastAsia="en-US"/>
              </w:rPr>
            </w:pPr>
            <w:r w:rsidRPr="00842021">
              <w:t>0</w:t>
            </w:r>
          </w:p>
        </w:tc>
        <w:tc>
          <w:tcPr>
            <w:tcW w:w="734" w:type="dxa"/>
            <w:shd w:val="clear" w:color="000000" w:fill="C0C0C0"/>
            <w:noWrap/>
          </w:tcPr>
          <w:p w14:paraId="610DB0D4" w14:textId="4756D545" w:rsidR="000C7DEB" w:rsidRPr="000179A4" w:rsidRDefault="000C7DEB" w:rsidP="002C478A">
            <w:pPr>
              <w:jc w:val="center"/>
              <w:rPr>
                <w:rFonts w:cs="Arial"/>
                <w:b/>
                <w:bCs/>
                <w:color w:val="000000"/>
                <w:sz w:val="22"/>
                <w:szCs w:val="22"/>
                <w:lang w:eastAsia="en-US"/>
              </w:rPr>
            </w:pPr>
            <w:r w:rsidRPr="00842021">
              <w:t>0</w:t>
            </w:r>
          </w:p>
        </w:tc>
        <w:tc>
          <w:tcPr>
            <w:tcW w:w="734" w:type="dxa"/>
            <w:shd w:val="clear" w:color="000000" w:fill="C0C0C0"/>
            <w:noWrap/>
          </w:tcPr>
          <w:p w14:paraId="6545A0B0" w14:textId="69408E28" w:rsidR="000C7DEB" w:rsidRPr="000179A4" w:rsidRDefault="000C7DEB" w:rsidP="002C478A">
            <w:pPr>
              <w:jc w:val="center"/>
              <w:rPr>
                <w:rFonts w:cs="Arial"/>
                <w:b/>
                <w:bCs/>
                <w:color w:val="000000"/>
                <w:sz w:val="22"/>
                <w:szCs w:val="22"/>
                <w:lang w:eastAsia="en-US"/>
              </w:rPr>
            </w:pPr>
            <w:r w:rsidRPr="00842021">
              <w:t>0</w:t>
            </w:r>
          </w:p>
        </w:tc>
        <w:tc>
          <w:tcPr>
            <w:tcW w:w="885" w:type="dxa"/>
            <w:shd w:val="clear" w:color="000000" w:fill="C0C0C0"/>
            <w:noWrap/>
          </w:tcPr>
          <w:p w14:paraId="3B325A74" w14:textId="6C9A94E2" w:rsidR="000C7DEB" w:rsidRPr="000179A4" w:rsidRDefault="000C7DEB" w:rsidP="002C478A">
            <w:pPr>
              <w:jc w:val="center"/>
              <w:rPr>
                <w:rFonts w:cs="Arial"/>
                <w:b/>
                <w:bCs/>
                <w:color w:val="000000"/>
                <w:sz w:val="22"/>
                <w:szCs w:val="22"/>
                <w:lang w:eastAsia="en-US"/>
              </w:rPr>
            </w:pPr>
            <w:r w:rsidRPr="00842021">
              <w:t>2</w:t>
            </w:r>
          </w:p>
        </w:tc>
      </w:tr>
      <w:tr w:rsidR="000A71BF" w:rsidRPr="000179A4" w14:paraId="26F0AE02" w14:textId="77777777" w:rsidTr="000A71BF">
        <w:trPr>
          <w:trHeight w:val="109"/>
        </w:trPr>
        <w:tc>
          <w:tcPr>
            <w:tcW w:w="2620" w:type="dxa"/>
            <w:shd w:val="clear" w:color="000000" w:fill="C0C0C0"/>
            <w:noWrap/>
            <w:vAlign w:val="center"/>
            <w:hideMark/>
          </w:tcPr>
          <w:p w14:paraId="51C74E85"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Component 2</w:t>
            </w:r>
          </w:p>
        </w:tc>
        <w:tc>
          <w:tcPr>
            <w:tcW w:w="1800" w:type="dxa"/>
            <w:shd w:val="clear" w:color="000000" w:fill="C0C0C0"/>
            <w:noWrap/>
            <w:vAlign w:val="center"/>
            <w:hideMark/>
          </w:tcPr>
          <w:p w14:paraId="661C2A5E"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Indicator</w:t>
            </w:r>
          </w:p>
        </w:tc>
        <w:tc>
          <w:tcPr>
            <w:tcW w:w="1173" w:type="dxa"/>
            <w:shd w:val="clear" w:color="000000" w:fill="C0C0C0"/>
            <w:noWrap/>
            <w:vAlign w:val="center"/>
            <w:hideMark/>
          </w:tcPr>
          <w:p w14:paraId="6192411F"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Units</w:t>
            </w:r>
          </w:p>
        </w:tc>
        <w:tc>
          <w:tcPr>
            <w:tcW w:w="733" w:type="dxa"/>
            <w:shd w:val="clear" w:color="000000" w:fill="C0C0C0"/>
            <w:noWrap/>
            <w:vAlign w:val="center"/>
            <w:hideMark/>
          </w:tcPr>
          <w:p w14:paraId="42D92E75"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Base</w:t>
            </w:r>
          </w:p>
        </w:tc>
        <w:tc>
          <w:tcPr>
            <w:tcW w:w="748" w:type="dxa"/>
            <w:shd w:val="clear" w:color="000000" w:fill="C0C0C0"/>
            <w:noWrap/>
            <w:vAlign w:val="center"/>
            <w:hideMark/>
          </w:tcPr>
          <w:p w14:paraId="20D8236F"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1</w:t>
            </w:r>
          </w:p>
        </w:tc>
        <w:tc>
          <w:tcPr>
            <w:tcW w:w="719" w:type="dxa"/>
            <w:shd w:val="clear" w:color="000000" w:fill="C0C0C0"/>
            <w:noWrap/>
            <w:vAlign w:val="center"/>
            <w:hideMark/>
          </w:tcPr>
          <w:p w14:paraId="1ED42681"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2</w:t>
            </w:r>
          </w:p>
        </w:tc>
        <w:tc>
          <w:tcPr>
            <w:tcW w:w="733" w:type="dxa"/>
            <w:shd w:val="clear" w:color="000000" w:fill="C0C0C0"/>
            <w:noWrap/>
            <w:vAlign w:val="center"/>
            <w:hideMark/>
          </w:tcPr>
          <w:p w14:paraId="4BD5D9C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3</w:t>
            </w:r>
          </w:p>
        </w:tc>
        <w:tc>
          <w:tcPr>
            <w:tcW w:w="734" w:type="dxa"/>
            <w:shd w:val="clear" w:color="000000" w:fill="C0C0C0"/>
            <w:noWrap/>
            <w:vAlign w:val="center"/>
            <w:hideMark/>
          </w:tcPr>
          <w:p w14:paraId="6610D354"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4</w:t>
            </w:r>
          </w:p>
        </w:tc>
        <w:tc>
          <w:tcPr>
            <w:tcW w:w="734" w:type="dxa"/>
            <w:shd w:val="clear" w:color="000000" w:fill="C0C0C0"/>
            <w:noWrap/>
            <w:vAlign w:val="center"/>
            <w:hideMark/>
          </w:tcPr>
          <w:p w14:paraId="2E881928"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5</w:t>
            </w:r>
          </w:p>
        </w:tc>
        <w:tc>
          <w:tcPr>
            <w:tcW w:w="733" w:type="dxa"/>
            <w:shd w:val="clear" w:color="000000" w:fill="C0C0C0"/>
            <w:noWrap/>
            <w:vAlign w:val="center"/>
            <w:hideMark/>
          </w:tcPr>
          <w:p w14:paraId="3639CCA1"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6</w:t>
            </w:r>
          </w:p>
        </w:tc>
        <w:tc>
          <w:tcPr>
            <w:tcW w:w="734" w:type="dxa"/>
            <w:shd w:val="clear" w:color="000000" w:fill="C0C0C0"/>
            <w:noWrap/>
            <w:vAlign w:val="center"/>
            <w:hideMark/>
          </w:tcPr>
          <w:p w14:paraId="626BFFB2"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7</w:t>
            </w:r>
          </w:p>
        </w:tc>
        <w:tc>
          <w:tcPr>
            <w:tcW w:w="734" w:type="dxa"/>
            <w:shd w:val="clear" w:color="000000" w:fill="C0C0C0"/>
            <w:noWrap/>
            <w:vAlign w:val="center"/>
            <w:hideMark/>
          </w:tcPr>
          <w:p w14:paraId="643D4D3E"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8</w:t>
            </w:r>
          </w:p>
        </w:tc>
        <w:tc>
          <w:tcPr>
            <w:tcW w:w="885" w:type="dxa"/>
            <w:shd w:val="clear" w:color="000000" w:fill="C0C0C0"/>
            <w:noWrap/>
            <w:vAlign w:val="center"/>
            <w:hideMark/>
          </w:tcPr>
          <w:p w14:paraId="1EC92DD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Target</w:t>
            </w:r>
          </w:p>
        </w:tc>
      </w:tr>
      <w:tr w:rsidR="000A71BF" w:rsidRPr="000179A4" w14:paraId="415D62C7" w14:textId="77777777" w:rsidTr="000A71BF">
        <w:trPr>
          <w:trHeight w:val="109"/>
        </w:trPr>
        <w:tc>
          <w:tcPr>
            <w:tcW w:w="2620" w:type="dxa"/>
            <w:shd w:val="clear" w:color="000000" w:fill="F2F2F2"/>
            <w:noWrap/>
            <w:vAlign w:val="center"/>
            <w:hideMark/>
          </w:tcPr>
          <w:p w14:paraId="7A5043D6"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Results</w:t>
            </w:r>
          </w:p>
        </w:tc>
        <w:tc>
          <w:tcPr>
            <w:tcW w:w="1800" w:type="dxa"/>
            <w:shd w:val="clear" w:color="000000" w:fill="F2F2F2"/>
            <w:noWrap/>
            <w:vAlign w:val="center"/>
            <w:hideMark/>
          </w:tcPr>
          <w:p w14:paraId="74476306" w14:textId="324E62E3"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71AEC7CD" w14:textId="04347B15"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933EF98" w14:textId="6C627538"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387B7841" w14:textId="1837E613"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73C12DE0" w14:textId="33821CA1"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509E987" w14:textId="21910908"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850C352" w14:textId="541448C1"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4D62147A" w14:textId="2937ED94"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46B8778B" w14:textId="61A21BF5"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2DCEE690" w14:textId="23177400"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756FFEB2" w14:textId="55C9F05A"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648AF171" w14:textId="3F168A0E" w:rsidR="002C478A" w:rsidRPr="000179A4" w:rsidRDefault="002C478A" w:rsidP="002C478A">
            <w:pPr>
              <w:jc w:val="center"/>
              <w:rPr>
                <w:rFonts w:cs="Arial"/>
                <w:b/>
                <w:bCs/>
                <w:color w:val="000000"/>
                <w:sz w:val="22"/>
                <w:szCs w:val="22"/>
                <w:lang w:eastAsia="en-US"/>
              </w:rPr>
            </w:pPr>
          </w:p>
        </w:tc>
      </w:tr>
      <w:tr w:rsidR="00745C67" w:rsidRPr="000179A4" w14:paraId="23D11C22" w14:textId="77777777" w:rsidTr="000A71BF">
        <w:trPr>
          <w:trHeight w:val="727"/>
        </w:trPr>
        <w:tc>
          <w:tcPr>
            <w:tcW w:w="2620" w:type="dxa"/>
            <w:shd w:val="clear" w:color="auto" w:fill="auto"/>
            <w:vAlign w:val="center"/>
            <w:hideMark/>
          </w:tcPr>
          <w:p w14:paraId="36A34742" w14:textId="21CED9E7" w:rsidR="00745C67" w:rsidRPr="000179A4" w:rsidRDefault="00745C67" w:rsidP="000C7DEB">
            <w:pPr>
              <w:jc w:val="center"/>
              <w:rPr>
                <w:rFonts w:cs="Arial"/>
                <w:color w:val="000000"/>
                <w:sz w:val="22"/>
                <w:szCs w:val="22"/>
                <w:lang w:eastAsia="en-US"/>
              </w:rPr>
            </w:pPr>
            <w:r w:rsidRPr="000179A4">
              <w:rPr>
                <w:rFonts w:cs="Arial"/>
                <w:color w:val="000000"/>
                <w:sz w:val="22"/>
                <w:szCs w:val="22"/>
                <w:lang w:eastAsia="en-US"/>
              </w:rPr>
              <w:t>EC</w:t>
            </w:r>
            <w:r w:rsidR="000C7DEB">
              <w:rPr>
                <w:rFonts w:cs="Arial"/>
                <w:color w:val="000000"/>
                <w:sz w:val="22"/>
                <w:szCs w:val="22"/>
                <w:lang w:eastAsia="en-US"/>
              </w:rPr>
              <w:t>C</w:t>
            </w:r>
            <w:r w:rsidRPr="000179A4">
              <w:rPr>
                <w:rFonts w:cs="Arial"/>
                <w:color w:val="000000"/>
                <w:sz w:val="22"/>
                <w:szCs w:val="22"/>
                <w:lang w:eastAsia="en-US"/>
              </w:rPr>
              <w:t xml:space="preserve"> with legal and regulatory frameworks that enable GE development</w:t>
            </w:r>
          </w:p>
        </w:tc>
        <w:tc>
          <w:tcPr>
            <w:tcW w:w="1800" w:type="dxa"/>
            <w:shd w:val="clear" w:color="auto" w:fill="auto"/>
            <w:vAlign w:val="center"/>
            <w:hideMark/>
          </w:tcPr>
          <w:p w14:paraId="30F17616"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 countries that have complete GE legal and regulatory frameworks</w:t>
            </w:r>
          </w:p>
        </w:tc>
        <w:tc>
          <w:tcPr>
            <w:tcW w:w="1173" w:type="dxa"/>
            <w:shd w:val="clear" w:color="auto" w:fill="auto"/>
            <w:vAlign w:val="center"/>
            <w:hideMark/>
          </w:tcPr>
          <w:p w14:paraId="3A4BEBEE"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 countries</w:t>
            </w:r>
          </w:p>
        </w:tc>
        <w:tc>
          <w:tcPr>
            <w:tcW w:w="733" w:type="dxa"/>
            <w:shd w:val="clear" w:color="000000" w:fill="FFFFFF"/>
            <w:vAlign w:val="center"/>
            <w:hideMark/>
          </w:tcPr>
          <w:p w14:paraId="0DA6DD4F" w14:textId="056F93A7"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48" w:type="dxa"/>
            <w:shd w:val="clear" w:color="000000" w:fill="FFFFFF"/>
            <w:vAlign w:val="center"/>
            <w:hideMark/>
          </w:tcPr>
          <w:p w14:paraId="5584DCFD" w14:textId="616CB87F"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000000" w:fill="FFFFFF"/>
            <w:vAlign w:val="center"/>
            <w:hideMark/>
          </w:tcPr>
          <w:p w14:paraId="651EC613" w14:textId="178A421F" w:rsidR="00745C67" w:rsidRPr="000179A4" w:rsidRDefault="000C7DEB" w:rsidP="002C478A">
            <w:pPr>
              <w:jc w:val="center"/>
              <w:rPr>
                <w:rFonts w:cs="Arial"/>
                <w:color w:val="000000"/>
                <w:sz w:val="22"/>
                <w:szCs w:val="22"/>
                <w:lang w:eastAsia="en-US"/>
              </w:rPr>
            </w:pPr>
            <w:r>
              <w:rPr>
                <w:rFonts w:cs="Arial"/>
                <w:color w:val="000000"/>
                <w:sz w:val="22"/>
                <w:szCs w:val="22"/>
              </w:rPr>
              <w:t>0</w:t>
            </w:r>
          </w:p>
        </w:tc>
        <w:tc>
          <w:tcPr>
            <w:tcW w:w="733" w:type="dxa"/>
            <w:shd w:val="clear" w:color="000000" w:fill="FFFFFF"/>
            <w:vAlign w:val="center"/>
            <w:hideMark/>
          </w:tcPr>
          <w:p w14:paraId="68A1C3E1" w14:textId="62731AE3"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34" w:type="dxa"/>
            <w:shd w:val="clear" w:color="000000" w:fill="FFFFFF"/>
            <w:vAlign w:val="center"/>
            <w:hideMark/>
          </w:tcPr>
          <w:p w14:paraId="20E48E0B" w14:textId="74DB6894"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34" w:type="dxa"/>
            <w:shd w:val="clear" w:color="000000" w:fill="FFFFFF"/>
            <w:vAlign w:val="center"/>
            <w:hideMark/>
          </w:tcPr>
          <w:p w14:paraId="7B2A06C5" w14:textId="2047E81C"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000000" w:fill="FFFFFF"/>
            <w:vAlign w:val="center"/>
            <w:hideMark/>
          </w:tcPr>
          <w:p w14:paraId="1652BE69" w14:textId="01A034B2"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000000" w:fill="FFFFFF"/>
            <w:vAlign w:val="center"/>
            <w:hideMark/>
          </w:tcPr>
          <w:p w14:paraId="7F5F8BF2" w14:textId="7A123ED1"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000000" w:fill="FFFFFF"/>
            <w:vAlign w:val="center"/>
            <w:hideMark/>
          </w:tcPr>
          <w:p w14:paraId="0F88BFE6" w14:textId="2900D3EF"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vAlign w:val="center"/>
            <w:hideMark/>
          </w:tcPr>
          <w:p w14:paraId="0C368D23" w14:textId="2E175284" w:rsidR="00745C67" w:rsidRPr="000179A4" w:rsidRDefault="00745C67" w:rsidP="000C7DEB">
            <w:pPr>
              <w:jc w:val="center"/>
              <w:rPr>
                <w:rFonts w:cs="Arial"/>
                <w:color w:val="000000"/>
                <w:sz w:val="22"/>
                <w:szCs w:val="22"/>
                <w:lang w:eastAsia="en-US"/>
              </w:rPr>
            </w:pPr>
            <w:r w:rsidRPr="000179A4">
              <w:rPr>
                <w:rFonts w:cs="Arial"/>
                <w:color w:val="000000"/>
                <w:sz w:val="22"/>
                <w:szCs w:val="22"/>
              </w:rPr>
              <w:t xml:space="preserve">             </w:t>
            </w:r>
            <w:r w:rsidR="000C7DEB">
              <w:rPr>
                <w:rFonts w:cs="Arial"/>
                <w:color w:val="000000"/>
                <w:sz w:val="22"/>
                <w:szCs w:val="22"/>
              </w:rPr>
              <w:t>3</w:t>
            </w:r>
          </w:p>
        </w:tc>
      </w:tr>
      <w:tr w:rsidR="00745C67" w:rsidRPr="000179A4" w14:paraId="3068B3EC" w14:textId="77777777" w:rsidTr="000A71BF">
        <w:trPr>
          <w:trHeight w:val="794"/>
        </w:trPr>
        <w:tc>
          <w:tcPr>
            <w:tcW w:w="2620" w:type="dxa"/>
            <w:shd w:val="clear" w:color="auto" w:fill="auto"/>
            <w:vAlign w:val="center"/>
            <w:hideMark/>
          </w:tcPr>
          <w:p w14:paraId="28310278"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Women trained in construction, operation and/or maintenance of RE and EE infrastructure and projects</w:t>
            </w:r>
          </w:p>
        </w:tc>
        <w:tc>
          <w:tcPr>
            <w:tcW w:w="1800" w:type="dxa"/>
            <w:shd w:val="clear" w:color="auto" w:fill="auto"/>
            <w:vAlign w:val="center"/>
            <w:hideMark/>
          </w:tcPr>
          <w:p w14:paraId="7B387F52"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 of women trained, out of the total trainees, in construction, management and/or maintenance of SE infrastructure/projects</w:t>
            </w:r>
          </w:p>
        </w:tc>
        <w:tc>
          <w:tcPr>
            <w:tcW w:w="1173" w:type="dxa"/>
            <w:shd w:val="clear" w:color="auto" w:fill="auto"/>
            <w:vAlign w:val="center"/>
            <w:hideMark/>
          </w:tcPr>
          <w:p w14:paraId="417962CD"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w:t>
            </w:r>
          </w:p>
        </w:tc>
        <w:tc>
          <w:tcPr>
            <w:tcW w:w="733" w:type="dxa"/>
            <w:shd w:val="clear" w:color="auto" w:fill="auto"/>
            <w:vAlign w:val="center"/>
            <w:hideMark/>
          </w:tcPr>
          <w:p w14:paraId="68D02F9B" w14:textId="6EFE3E1E"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15BF450C" w14:textId="2AA1FA2A"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65C89AE0" w14:textId="2306DB13"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5BEA6215" w14:textId="590F3C1F"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49C1B03F" w14:textId="38825165"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26933AF4" w14:textId="7A796B40"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794962DA" w14:textId="1F14751B"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0F623897" w14:textId="6EDD5436"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4621A1D7" w14:textId="3BF49FCB"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vAlign w:val="center"/>
            <w:hideMark/>
          </w:tcPr>
          <w:p w14:paraId="134A9CA9" w14:textId="32A2F21C" w:rsidR="00745C67" w:rsidRPr="000179A4" w:rsidRDefault="00745C67" w:rsidP="002C478A">
            <w:pPr>
              <w:jc w:val="center"/>
              <w:rPr>
                <w:rFonts w:cs="Arial"/>
                <w:color w:val="000000"/>
                <w:sz w:val="22"/>
                <w:szCs w:val="22"/>
                <w:lang w:eastAsia="en-US"/>
              </w:rPr>
            </w:pPr>
            <w:r w:rsidRPr="000179A4">
              <w:rPr>
                <w:rFonts w:cs="Arial"/>
                <w:color w:val="000000"/>
                <w:sz w:val="22"/>
                <w:szCs w:val="22"/>
              </w:rPr>
              <w:t>30</w:t>
            </w:r>
          </w:p>
        </w:tc>
      </w:tr>
      <w:tr w:rsidR="000A71BF" w:rsidRPr="000179A4" w14:paraId="4F388EA8" w14:textId="77777777" w:rsidTr="000A71BF">
        <w:trPr>
          <w:trHeight w:val="109"/>
        </w:trPr>
        <w:tc>
          <w:tcPr>
            <w:tcW w:w="2620" w:type="dxa"/>
            <w:shd w:val="clear" w:color="000000" w:fill="F2F2F2"/>
            <w:noWrap/>
            <w:vAlign w:val="center"/>
            <w:hideMark/>
          </w:tcPr>
          <w:p w14:paraId="3BCB24E0"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Outputs</w:t>
            </w:r>
          </w:p>
        </w:tc>
        <w:tc>
          <w:tcPr>
            <w:tcW w:w="1800" w:type="dxa"/>
            <w:shd w:val="clear" w:color="000000" w:fill="F2F2F2"/>
            <w:noWrap/>
            <w:vAlign w:val="center"/>
            <w:hideMark/>
          </w:tcPr>
          <w:p w14:paraId="7B526B6E" w14:textId="5700CDE3"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23F054CC" w14:textId="54E76670"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5F1D6EC" w14:textId="4C51C2E2"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39CEFA25" w14:textId="77AE3D07"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545F322F" w14:textId="72682914"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63151F9F" w14:textId="20FCE7EB"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3C6AFBD7" w14:textId="2159DB65"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6F4C4237" w14:textId="0F426DF0"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B953363" w14:textId="0280452A"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05E13D1A" w14:textId="0DEA1FD9"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2CF1C3A5" w14:textId="69D4752A"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51EB696E" w14:textId="169FB8FB" w:rsidR="002C478A" w:rsidRPr="000179A4" w:rsidRDefault="002C478A" w:rsidP="002C478A">
            <w:pPr>
              <w:jc w:val="center"/>
              <w:rPr>
                <w:rFonts w:cs="Arial"/>
                <w:b/>
                <w:bCs/>
                <w:color w:val="000000"/>
                <w:sz w:val="22"/>
                <w:szCs w:val="22"/>
                <w:lang w:eastAsia="en-US"/>
              </w:rPr>
            </w:pPr>
          </w:p>
        </w:tc>
      </w:tr>
      <w:tr w:rsidR="00745C67" w:rsidRPr="000179A4" w14:paraId="1CAAC146" w14:textId="77777777" w:rsidTr="000A71BF">
        <w:trPr>
          <w:trHeight w:val="521"/>
        </w:trPr>
        <w:tc>
          <w:tcPr>
            <w:tcW w:w="2620" w:type="dxa"/>
            <w:shd w:val="clear" w:color="auto" w:fill="auto"/>
            <w:vAlign w:val="center"/>
            <w:hideMark/>
          </w:tcPr>
          <w:p w14:paraId="47C599DF" w14:textId="302EDAF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 xml:space="preserve">Energy policy reforms or recommendations for </w:t>
            </w:r>
            <w:r w:rsidRPr="000179A4">
              <w:rPr>
                <w:rFonts w:cs="Arial"/>
                <w:color w:val="000000"/>
                <w:sz w:val="22"/>
                <w:szCs w:val="22"/>
                <w:lang w:eastAsia="en-US"/>
              </w:rPr>
              <w:lastRenderedPageBreak/>
              <w:t>energy policy reform provided to and implemented by Governments in EC countries</w:t>
            </w:r>
          </w:p>
        </w:tc>
        <w:tc>
          <w:tcPr>
            <w:tcW w:w="1800" w:type="dxa"/>
            <w:shd w:val="clear" w:color="auto" w:fill="auto"/>
            <w:vAlign w:val="center"/>
            <w:hideMark/>
          </w:tcPr>
          <w:p w14:paraId="02ACEDDC" w14:textId="1092F174"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lastRenderedPageBreak/>
              <w:t>Number of ECC</w:t>
            </w:r>
          </w:p>
        </w:tc>
        <w:tc>
          <w:tcPr>
            <w:tcW w:w="1173" w:type="dxa"/>
            <w:shd w:val="clear" w:color="auto" w:fill="auto"/>
            <w:vAlign w:val="center"/>
            <w:hideMark/>
          </w:tcPr>
          <w:p w14:paraId="3F2DCF56" w14:textId="704599B3" w:rsidR="00745C67" w:rsidRPr="000179A4" w:rsidRDefault="00745C67" w:rsidP="00745C67">
            <w:pPr>
              <w:jc w:val="center"/>
              <w:rPr>
                <w:rFonts w:cs="Arial"/>
                <w:color w:val="000000"/>
                <w:sz w:val="22"/>
                <w:szCs w:val="22"/>
                <w:lang w:eastAsia="en-US"/>
              </w:rPr>
            </w:pPr>
            <w:r w:rsidRPr="000179A4">
              <w:rPr>
                <w:rFonts w:cs="Arial"/>
                <w:color w:val="000000"/>
                <w:sz w:val="22"/>
                <w:szCs w:val="22"/>
                <w:lang w:eastAsia="en-US"/>
              </w:rPr>
              <w:t xml:space="preserve">Number of </w:t>
            </w:r>
            <w:r w:rsidRPr="000179A4">
              <w:rPr>
                <w:rFonts w:cs="Arial"/>
                <w:color w:val="000000"/>
                <w:sz w:val="22"/>
                <w:szCs w:val="22"/>
                <w:lang w:eastAsia="en-US"/>
              </w:rPr>
              <w:lastRenderedPageBreak/>
              <w:t>countries</w:t>
            </w:r>
          </w:p>
        </w:tc>
        <w:tc>
          <w:tcPr>
            <w:tcW w:w="733" w:type="dxa"/>
            <w:shd w:val="clear" w:color="auto" w:fill="auto"/>
            <w:vAlign w:val="center"/>
            <w:hideMark/>
          </w:tcPr>
          <w:p w14:paraId="5B77FBD9" w14:textId="39264876" w:rsidR="00745C67" w:rsidRPr="000179A4" w:rsidRDefault="00745C67" w:rsidP="002C478A">
            <w:pPr>
              <w:jc w:val="center"/>
              <w:rPr>
                <w:rFonts w:cs="Arial"/>
                <w:color w:val="000000"/>
                <w:sz w:val="22"/>
                <w:szCs w:val="22"/>
                <w:lang w:eastAsia="en-US"/>
              </w:rPr>
            </w:pPr>
            <w:r w:rsidRPr="000179A4">
              <w:rPr>
                <w:rFonts w:cs="Arial"/>
                <w:color w:val="000000"/>
                <w:sz w:val="22"/>
                <w:szCs w:val="22"/>
              </w:rPr>
              <w:lastRenderedPageBreak/>
              <w:t>0</w:t>
            </w:r>
          </w:p>
        </w:tc>
        <w:tc>
          <w:tcPr>
            <w:tcW w:w="748" w:type="dxa"/>
            <w:shd w:val="clear" w:color="auto" w:fill="auto"/>
            <w:vAlign w:val="center"/>
            <w:hideMark/>
          </w:tcPr>
          <w:p w14:paraId="25058A00" w14:textId="0CB6A805"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608BF77E" w14:textId="5658706D"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74A28046" w14:textId="19DDF0AC"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34" w:type="dxa"/>
            <w:shd w:val="clear" w:color="auto" w:fill="auto"/>
            <w:vAlign w:val="center"/>
            <w:hideMark/>
          </w:tcPr>
          <w:p w14:paraId="19200607" w14:textId="7266BF9D" w:rsidR="00745C67" w:rsidRPr="000179A4" w:rsidRDefault="00745C67" w:rsidP="002C478A">
            <w:pPr>
              <w:jc w:val="center"/>
              <w:rPr>
                <w:rFonts w:cs="Arial"/>
                <w:color w:val="000000"/>
                <w:sz w:val="22"/>
                <w:szCs w:val="22"/>
                <w:lang w:eastAsia="en-US"/>
              </w:rPr>
            </w:pPr>
            <w:r w:rsidRPr="000179A4">
              <w:rPr>
                <w:rFonts w:cs="Arial"/>
                <w:color w:val="000000"/>
                <w:sz w:val="22"/>
                <w:szCs w:val="22"/>
              </w:rPr>
              <w:t>1</w:t>
            </w:r>
          </w:p>
        </w:tc>
        <w:tc>
          <w:tcPr>
            <w:tcW w:w="734" w:type="dxa"/>
            <w:shd w:val="clear" w:color="auto" w:fill="auto"/>
            <w:vAlign w:val="center"/>
            <w:hideMark/>
          </w:tcPr>
          <w:p w14:paraId="7C93F31C" w14:textId="6AD1CEA9"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52E27EB1" w14:textId="0DF22781"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5623405D" w14:textId="1DE227F4"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2169177D" w14:textId="082375F0"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vAlign w:val="center"/>
            <w:hideMark/>
          </w:tcPr>
          <w:p w14:paraId="57B6D8DF" w14:textId="537037CD"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2 </w:t>
            </w:r>
          </w:p>
        </w:tc>
      </w:tr>
      <w:tr w:rsidR="000C7DEB" w:rsidRPr="000179A4" w14:paraId="5CEEC75F" w14:textId="77777777" w:rsidTr="000C7DEB">
        <w:trPr>
          <w:trHeight w:val="250"/>
        </w:trPr>
        <w:tc>
          <w:tcPr>
            <w:tcW w:w="2620" w:type="dxa"/>
            <w:shd w:val="clear" w:color="auto" w:fill="auto"/>
            <w:vAlign w:val="center"/>
            <w:hideMark/>
          </w:tcPr>
          <w:p w14:paraId="5DC5613C" w14:textId="52C8F52F"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lastRenderedPageBreak/>
              <w:t>Trainings provided to the EA and/or government employees with resources from the Program</w:t>
            </w:r>
          </w:p>
        </w:tc>
        <w:tc>
          <w:tcPr>
            <w:tcW w:w="1800" w:type="dxa"/>
            <w:shd w:val="clear" w:color="auto" w:fill="auto"/>
            <w:vAlign w:val="center"/>
            <w:hideMark/>
          </w:tcPr>
          <w:p w14:paraId="78302D95" w14:textId="0272F919"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t>Number of trainings provided</w:t>
            </w:r>
          </w:p>
        </w:tc>
        <w:tc>
          <w:tcPr>
            <w:tcW w:w="1173" w:type="dxa"/>
            <w:shd w:val="clear" w:color="auto" w:fill="auto"/>
            <w:vAlign w:val="center"/>
            <w:hideMark/>
          </w:tcPr>
          <w:p w14:paraId="6B51B7D2" w14:textId="77777777"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t>Number of trainings</w:t>
            </w:r>
          </w:p>
        </w:tc>
        <w:tc>
          <w:tcPr>
            <w:tcW w:w="733" w:type="dxa"/>
            <w:shd w:val="clear" w:color="auto" w:fill="auto"/>
            <w:hideMark/>
          </w:tcPr>
          <w:p w14:paraId="3905D585" w14:textId="71562CDB"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hideMark/>
          </w:tcPr>
          <w:p w14:paraId="2FDD2E40" w14:textId="1203B4D0"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hideMark/>
          </w:tcPr>
          <w:p w14:paraId="53442C68" w14:textId="4FC54EB8" w:rsidR="000C7DEB" w:rsidRPr="000179A4" w:rsidRDefault="000C7DEB" w:rsidP="002C478A">
            <w:pPr>
              <w:jc w:val="center"/>
              <w:rPr>
                <w:rFonts w:cs="Arial"/>
                <w:color w:val="000000"/>
                <w:sz w:val="22"/>
                <w:szCs w:val="22"/>
                <w:lang w:eastAsia="en-US"/>
              </w:rPr>
            </w:pPr>
            <w:r w:rsidRPr="008C3C82">
              <w:t>2</w:t>
            </w:r>
          </w:p>
        </w:tc>
        <w:tc>
          <w:tcPr>
            <w:tcW w:w="733" w:type="dxa"/>
            <w:shd w:val="clear" w:color="auto" w:fill="auto"/>
            <w:hideMark/>
          </w:tcPr>
          <w:p w14:paraId="796885D8" w14:textId="5F69CE98" w:rsidR="000C7DEB" w:rsidRPr="000179A4" w:rsidRDefault="000C7DEB" w:rsidP="002C478A">
            <w:pPr>
              <w:jc w:val="center"/>
              <w:rPr>
                <w:rFonts w:cs="Arial"/>
                <w:color w:val="000000"/>
                <w:sz w:val="22"/>
                <w:szCs w:val="22"/>
                <w:lang w:eastAsia="en-US"/>
              </w:rPr>
            </w:pPr>
            <w:r w:rsidRPr="008C3C82">
              <w:t>3</w:t>
            </w:r>
          </w:p>
        </w:tc>
        <w:tc>
          <w:tcPr>
            <w:tcW w:w="734" w:type="dxa"/>
            <w:shd w:val="clear" w:color="auto" w:fill="auto"/>
            <w:hideMark/>
          </w:tcPr>
          <w:p w14:paraId="39E3972C" w14:textId="792790AE" w:rsidR="000C7DEB" w:rsidRPr="000179A4" w:rsidRDefault="000C7DEB" w:rsidP="002C478A">
            <w:pPr>
              <w:jc w:val="center"/>
              <w:rPr>
                <w:rFonts w:cs="Arial"/>
                <w:color w:val="000000"/>
                <w:sz w:val="22"/>
                <w:szCs w:val="22"/>
                <w:lang w:eastAsia="en-US"/>
              </w:rPr>
            </w:pPr>
            <w:r w:rsidRPr="008C3C82">
              <w:t>2</w:t>
            </w:r>
          </w:p>
        </w:tc>
        <w:tc>
          <w:tcPr>
            <w:tcW w:w="734" w:type="dxa"/>
            <w:shd w:val="clear" w:color="auto" w:fill="auto"/>
            <w:hideMark/>
          </w:tcPr>
          <w:p w14:paraId="6B2B3572" w14:textId="7DE65FE3" w:rsidR="000C7DEB" w:rsidRPr="000179A4" w:rsidRDefault="000C7DEB" w:rsidP="002C478A">
            <w:pPr>
              <w:jc w:val="center"/>
              <w:rPr>
                <w:rFonts w:cs="Arial"/>
                <w:color w:val="000000"/>
                <w:sz w:val="22"/>
                <w:szCs w:val="22"/>
                <w:lang w:eastAsia="en-US"/>
              </w:rPr>
            </w:pPr>
            <w:r w:rsidRPr="008C3C82">
              <w:t>3</w:t>
            </w:r>
          </w:p>
        </w:tc>
        <w:tc>
          <w:tcPr>
            <w:tcW w:w="733" w:type="dxa"/>
            <w:shd w:val="clear" w:color="auto" w:fill="auto"/>
            <w:hideMark/>
          </w:tcPr>
          <w:p w14:paraId="73AE34AC" w14:textId="09F99143" w:rsidR="000C7DEB" w:rsidRPr="000179A4" w:rsidRDefault="000C7DEB" w:rsidP="002C478A">
            <w:pPr>
              <w:jc w:val="center"/>
              <w:rPr>
                <w:rFonts w:cs="Arial"/>
                <w:color w:val="000000"/>
                <w:sz w:val="22"/>
                <w:szCs w:val="22"/>
                <w:lang w:eastAsia="en-US"/>
              </w:rPr>
            </w:pPr>
            <w:r w:rsidRPr="008C3C82">
              <w:t>3</w:t>
            </w:r>
          </w:p>
        </w:tc>
        <w:tc>
          <w:tcPr>
            <w:tcW w:w="734" w:type="dxa"/>
            <w:shd w:val="clear" w:color="auto" w:fill="auto"/>
            <w:hideMark/>
          </w:tcPr>
          <w:p w14:paraId="7D2797A7" w14:textId="35B19CDB" w:rsidR="000C7DEB" w:rsidRPr="000179A4" w:rsidRDefault="000C7DEB" w:rsidP="002C478A">
            <w:pPr>
              <w:jc w:val="center"/>
              <w:rPr>
                <w:rFonts w:cs="Arial"/>
                <w:color w:val="000000"/>
                <w:sz w:val="22"/>
                <w:szCs w:val="22"/>
                <w:lang w:eastAsia="en-US"/>
              </w:rPr>
            </w:pPr>
            <w:r w:rsidRPr="000179A4">
              <w:rPr>
                <w:rFonts w:cs="Arial"/>
                <w:color w:val="000000"/>
                <w:sz w:val="22"/>
                <w:szCs w:val="22"/>
              </w:rPr>
              <w:t>2</w:t>
            </w:r>
          </w:p>
        </w:tc>
        <w:tc>
          <w:tcPr>
            <w:tcW w:w="734" w:type="dxa"/>
            <w:shd w:val="clear" w:color="auto" w:fill="auto"/>
            <w:hideMark/>
          </w:tcPr>
          <w:p w14:paraId="72F1D488" w14:textId="46466C50" w:rsidR="000C7DEB" w:rsidRPr="000179A4" w:rsidRDefault="000C7DEB" w:rsidP="002C478A">
            <w:pPr>
              <w:jc w:val="center"/>
              <w:rPr>
                <w:rFonts w:cs="Arial"/>
                <w:color w:val="000000"/>
                <w:sz w:val="22"/>
                <w:szCs w:val="22"/>
                <w:lang w:eastAsia="en-US"/>
              </w:rPr>
            </w:pPr>
            <w:r w:rsidRPr="008C3C82">
              <w:t>0</w:t>
            </w:r>
          </w:p>
        </w:tc>
        <w:tc>
          <w:tcPr>
            <w:tcW w:w="885" w:type="dxa"/>
            <w:shd w:val="clear" w:color="auto" w:fill="auto"/>
            <w:hideMark/>
          </w:tcPr>
          <w:p w14:paraId="427350C7" w14:textId="16B62304" w:rsidR="000C7DEB" w:rsidRPr="000179A4" w:rsidRDefault="000C7DEB" w:rsidP="002C478A">
            <w:pPr>
              <w:jc w:val="center"/>
              <w:rPr>
                <w:rFonts w:cs="Arial"/>
                <w:color w:val="000000"/>
                <w:sz w:val="22"/>
                <w:szCs w:val="22"/>
                <w:lang w:eastAsia="en-US"/>
              </w:rPr>
            </w:pPr>
            <w:r w:rsidRPr="008C3C82">
              <w:t>15</w:t>
            </w:r>
          </w:p>
        </w:tc>
      </w:tr>
      <w:tr w:rsidR="000C7DEB" w:rsidRPr="000179A4" w14:paraId="5147739C" w14:textId="77777777" w:rsidTr="000C7DEB">
        <w:trPr>
          <w:trHeight w:val="1483"/>
        </w:trPr>
        <w:tc>
          <w:tcPr>
            <w:tcW w:w="2620" w:type="dxa"/>
            <w:shd w:val="clear" w:color="auto" w:fill="auto"/>
            <w:vAlign w:val="center"/>
            <w:hideMark/>
          </w:tcPr>
          <w:p w14:paraId="4F6362A0" w14:textId="77777777"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t>Grants provided for technical assistance to Governments in EC countries with resources from the Program</w:t>
            </w:r>
          </w:p>
        </w:tc>
        <w:tc>
          <w:tcPr>
            <w:tcW w:w="1800" w:type="dxa"/>
            <w:shd w:val="clear" w:color="auto" w:fill="auto"/>
            <w:vAlign w:val="center"/>
            <w:hideMark/>
          </w:tcPr>
          <w:p w14:paraId="32CB692B" w14:textId="6A38D414"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t>Number of EC countries receiving grants</w:t>
            </w:r>
          </w:p>
        </w:tc>
        <w:tc>
          <w:tcPr>
            <w:tcW w:w="1173" w:type="dxa"/>
            <w:shd w:val="clear" w:color="auto" w:fill="auto"/>
            <w:vAlign w:val="center"/>
            <w:hideMark/>
          </w:tcPr>
          <w:p w14:paraId="408E76AE" w14:textId="77777777" w:rsidR="000C7DEB" w:rsidRPr="000179A4" w:rsidRDefault="000C7DEB" w:rsidP="002C478A">
            <w:pPr>
              <w:jc w:val="center"/>
              <w:rPr>
                <w:rFonts w:cs="Arial"/>
                <w:color w:val="000000"/>
                <w:sz w:val="22"/>
                <w:szCs w:val="22"/>
                <w:lang w:eastAsia="en-US"/>
              </w:rPr>
            </w:pPr>
            <w:r w:rsidRPr="000179A4">
              <w:rPr>
                <w:rFonts w:cs="Arial"/>
                <w:color w:val="000000"/>
                <w:sz w:val="22"/>
                <w:szCs w:val="22"/>
                <w:lang w:eastAsia="en-US"/>
              </w:rPr>
              <w:t>Number of countries</w:t>
            </w:r>
          </w:p>
        </w:tc>
        <w:tc>
          <w:tcPr>
            <w:tcW w:w="733" w:type="dxa"/>
            <w:shd w:val="clear" w:color="auto" w:fill="auto"/>
            <w:hideMark/>
          </w:tcPr>
          <w:p w14:paraId="346BC5CE" w14:textId="333C4E94"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hideMark/>
          </w:tcPr>
          <w:p w14:paraId="25904C73" w14:textId="2B9F5464"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hideMark/>
          </w:tcPr>
          <w:p w14:paraId="2BD19EBC" w14:textId="6469FDC8" w:rsidR="000C7DEB" w:rsidRPr="000179A4" w:rsidRDefault="000C7DEB" w:rsidP="002C478A">
            <w:pPr>
              <w:jc w:val="center"/>
              <w:rPr>
                <w:rFonts w:cs="Arial"/>
                <w:color w:val="000000"/>
                <w:sz w:val="22"/>
                <w:szCs w:val="22"/>
                <w:lang w:eastAsia="en-US"/>
              </w:rPr>
            </w:pPr>
            <w:r w:rsidRPr="000517A5">
              <w:t>1</w:t>
            </w:r>
          </w:p>
        </w:tc>
        <w:tc>
          <w:tcPr>
            <w:tcW w:w="733" w:type="dxa"/>
            <w:shd w:val="clear" w:color="auto" w:fill="auto"/>
            <w:hideMark/>
          </w:tcPr>
          <w:p w14:paraId="23C36CAA" w14:textId="5139DDBD" w:rsidR="000C7DEB" w:rsidRPr="000179A4" w:rsidRDefault="000C7DEB" w:rsidP="002C478A">
            <w:pPr>
              <w:jc w:val="center"/>
              <w:rPr>
                <w:rFonts w:cs="Arial"/>
                <w:color w:val="000000"/>
                <w:sz w:val="22"/>
                <w:szCs w:val="22"/>
                <w:lang w:eastAsia="en-US"/>
              </w:rPr>
            </w:pPr>
            <w:r w:rsidRPr="000517A5">
              <w:t>1</w:t>
            </w:r>
          </w:p>
        </w:tc>
        <w:tc>
          <w:tcPr>
            <w:tcW w:w="734" w:type="dxa"/>
            <w:shd w:val="clear" w:color="auto" w:fill="auto"/>
            <w:hideMark/>
          </w:tcPr>
          <w:p w14:paraId="1B2C6B7C" w14:textId="33FC6DB5" w:rsidR="000C7DEB" w:rsidRPr="000179A4" w:rsidRDefault="000C7DEB" w:rsidP="002C478A">
            <w:pPr>
              <w:jc w:val="center"/>
              <w:rPr>
                <w:rFonts w:cs="Arial"/>
                <w:color w:val="000000"/>
                <w:sz w:val="22"/>
                <w:szCs w:val="22"/>
                <w:lang w:eastAsia="en-US"/>
              </w:rPr>
            </w:pPr>
            <w:r w:rsidRPr="000517A5">
              <w:t>1</w:t>
            </w:r>
          </w:p>
        </w:tc>
        <w:tc>
          <w:tcPr>
            <w:tcW w:w="734" w:type="dxa"/>
            <w:shd w:val="clear" w:color="auto" w:fill="auto"/>
            <w:hideMark/>
          </w:tcPr>
          <w:p w14:paraId="12243098" w14:textId="76098E9E" w:rsidR="000C7DEB" w:rsidRPr="000179A4" w:rsidRDefault="000C7DEB" w:rsidP="002C478A">
            <w:pPr>
              <w:jc w:val="center"/>
              <w:rPr>
                <w:rFonts w:cs="Arial"/>
                <w:color w:val="000000"/>
                <w:sz w:val="22"/>
                <w:szCs w:val="22"/>
                <w:lang w:eastAsia="en-US"/>
              </w:rPr>
            </w:pPr>
            <w:r w:rsidRPr="000517A5">
              <w:t>1</w:t>
            </w:r>
          </w:p>
        </w:tc>
        <w:tc>
          <w:tcPr>
            <w:tcW w:w="733" w:type="dxa"/>
            <w:shd w:val="clear" w:color="auto" w:fill="auto"/>
            <w:hideMark/>
          </w:tcPr>
          <w:p w14:paraId="1168E1B5" w14:textId="1A7544E4"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hideMark/>
          </w:tcPr>
          <w:p w14:paraId="7FA78FDA" w14:textId="1FE09A06"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hideMark/>
          </w:tcPr>
          <w:p w14:paraId="5A4699C0" w14:textId="06819EB1" w:rsidR="000C7DEB" w:rsidRPr="000179A4" w:rsidRDefault="000C7DEB"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hideMark/>
          </w:tcPr>
          <w:p w14:paraId="618548D1" w14:textId="67B149BE" w:rsidR="000C7DEB" w:rsidRPr="000179A4" w:rsidRDefault="000C7DEB" w:rsidP="002C478A">
            <w:pPr>
              <w:jc w:val="center"/>
              <w:rPr>
                <w:rFonts w:cs="Arial"/>
                <w:color w:val="000000"/>
                <w:sz w:val="22"/>
                <w:szCs w:val="22"/>
                <w:lang w:eastAsia="en-US"/>
              </w:rPr>
            </w:pPr>
            <w:r w:rsidRPr="000517A5">
              <w:t>4</w:t>
            </w:r>
          </w:p>
        </w:tc>
      </w:tr>
      <w:tr w:rsidR="000A71BF" w:rsidRPr="000179A4" w14:paraId="55B40839" w14:textId="77777777" w:rsidTr="000A71BF">
        <w:trPr>
          <w:trHeight w:val="109"/>
        </w:trPr>
        <w:tc>
          <w:tcPr>
            <w:tcW w:w="2620" w:type="dxa"/>
            <w:shd w:val="clear" w:color="000000" w:fill="C0C0C0"/>
            <w:noWrap/>
            <w:vAlign w:val="center"/>
            <w:hideMark/>
          </w:tcPr>
          <w:p w14:paraId="3D2B00E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Component 3</w:t>
            </w:r>
          </w:p>
        </w:tc>
        <w:tc>
          <w:tcPr>
            <w:tcW w:w="1800" w:type="dxa"/>
            <w:shd w:val="clear" w:color="000000" w:fill="C0C0C0"/>
            <w:noWrap/>
            <w:vAlign w:val="center"/>
            <w:hideMark/>
          </w:tcPr>
          <w:p w14:paraId="35CED14C"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Indicator</w:t>
            </w:r>
          </w:p>
        </w:tc>
        <w:tc>
          <w:tcPr>
            <w:tcW w:w="1173" w:type="dxa"/>
            <w:shd w:val="clear" w:color="000000" w:fill="C0C0C0"/>
            <w:noWrap/>
            <w:vAlign w:val="center"/>
            <w:hideMark/>
          </w:tcPr>
          <w:p w14:paraId="5A40249A"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Units</w:t>
            </w:r>
          </w:p>
        </w:tc>
        <w:tc>
          <w:tcPr>
            <w:tcW w:w="733" w:type="dxa"/>
            <w:shd w:val="clear" w:color="000000" w:fill="C0C0C0"/>
            <w:noWrap/>
            <w:vAlign w:val="center"/>
            <w:hideMark/>
          </w:tcPr>
          <w:p w14:paraId="69C9198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Base</w:t>
            </w:r>
          </w:p>
        </w:tc>
        <w:tc>
          <w:tcPr>
            <w:tcW w:w="748" w:type="dxa"/>
            <w:shd w:val="clear" w:color="000000" w:fill="C0C0C0"/>
            <w:noWrap/>
            <w:vAlign w:val="center"/>
            <w:hideMark/>
          </w:tcPr>
          <w:p w14:paraId="62E584B1"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1</w:t>
            </w:r>
          </w:p>
        </w:tc>
        <w:tc>
          <w:tcPr>
            <w:tcW w:w="719" w:type="dxa"/>
            <w:shd w:val="clear" w:color="000000" w:fill="C0C0C0"/>
            <w:noWrap/>
            <w:vAlign w:val="center"/>
            <w:hideMark/>
          </w:tcPr>
          <w:p w14:paraId="1A207808"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2</w:t>
            </w:r>
          </w:p>
        </w:tc>
        <w:tc>
          <w:tcPr>
            <w:tcW w:w="733" w:type="dxa"/>
            <w:shd w:val="clear" w:color="000000" w:fill="C0C0C0"/>
            <w:noWrap/>
            <w:vAlign w:val="center"/>
            <w:hideMark/>
          </w:tcPr>
          <w:p w14:paraId="6AA99CCD"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3</w:t>
            </w:r>
          </w:p>
        </w:tc>
        <w:tc>
          <w:tcPr>
            <w:tcW w:w="734" w:type="dxa"/>
            <w:shd w:val="clear" w:color="000000" w:fill="C0C0C0"/>
            <w:noWrap/>
            <w:vAlign w:val="center"/>
            <w:hideMark/>
          </w:tcPr>
          <w:p w14:paraId="07F152C5"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4</w:t>
            </w:r>
          </w:p>
        </w:tc>
        <w:tc>
          <w:tcPr>
            <w:tcW w:w="734" w:type="dxa"/>
            <w:shd w:val="clear" w:color="000000" w:fill="C0C0C0"/>
            <w:noWrap/>
            <w:vAlign w:val="center"/>
            <w:hideMark/>
          </w:tcPr>
          <w:p w14:paraId="5001116D"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5</w:t>
            </w:r>
          </w:p>
        </w:tc>
        <w:tc>
          <w:tcPr>
            <w:tcW w:w="733" w:type="dxa"/>
            <w:shd w:val="clear" w:color="000000" w:fill="C0C0C0"/>
            <w:noWrap/>
            <w:vAlign w:val="center"/>
            <w:hideMark/>
          </w:tcPr>
          <w:p w14:paraId="540675D6"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6</w:t>
            </w:r>
          </w:p>
        </w:tc>
        <w:tc>
          <w:tcPr>
            <w:tcW w:w="734" w:type="dxa"/>
            <w:shd w:val="clear" w:color="000000" w:fill="C0C0C0"/>
            <w:noWrap/>
            <w:vAlign w:val="center"/>
            <w:hideMark/>
          </w:tcPr>
          <w:p w14:paraId="16E37A85"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7</w:t>
            </w:r>
          </w:p>
        </w:tc>
        <w:tc>
          <w:tcPr>
            <w:tcW w:w="734" w:type="dxa"/>
            <w:shd w:val="clear" w:color="000000" w:fill="C0C0C0"/>
            <w:noWrap/>
            <w:vAlign w:val="center"/>
            <w:hideMark/>
          </w:tcPr>
          <w:p w14:paraId="2FE009BF"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Year 8</w:t>
            </w:r>
          </w:p>
        </w:tc>
        <w:tc>
          <w:tcPr>
            <w:tcW w:w="885" w:type="dxa"/>
            <w:shd w:val="clear" w:color="000000" w:fill="C0C0C0"/>
            <w:noWrap/>
            <w:vAlign w:val="center"/>
            <w:hideMark/>
          </w:tcPr>
          <w:p w14:paraId="40E2BE87"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Target</w:t>
            </w:r>
          </w:p>
        </w:tc>
      </w:tr>
      <w:tr w:rsidR="000A71BF" w:rsidRPr="000179A4" w14:paraId="2F4C0E01" w14:textId="77777777" w:rsidTr="000A71BF">
        <w:trPr>
          <w:trHeight w:val="109"/>
        </w:trPr>
        <w:tc>
          <w:tcPr>
            <w:tcW w:w="2620" w:type="dxa"/>
            <w:shd w:val="clear" w:color="000000" w:fill="F2F2F2"/>
            <w:noWrap/>
            <w:vAlign w:val="center"/>
            <w:hideMark/>
          </w:tcPr>
          <w:p w14:paraId="76AC61F9"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Results</w:t>
            </w:r>
          </w:p>
        </w:tc>
        <w:tc>
          <w:tcPr>
            <w:tcW w:w="1800" w:type="dxa"/>
            <w:shd w:val="clear" w:color="000000" w:fill="F2F2F2"/>
            <w:noWrap/>
            <w:vAlign w:val="center"/>
            <w:hideMark/>
          </w:tcPr>
          <w:p w14:paraId="4E37838B" w14:textId="25F65BC8"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42BE4F87" w14:textId="772BC266"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19FDB454" w14:textId="64CDAC7A"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34FBBC87" w14:textId="415EB40A"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387C61DB" w14:textId="692DB6CD"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16C2EE18" w14:textId="19CAC824"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4F34D8E6" w14:textId="136CD59D"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3971C2A7" w14:textId="514B94EB"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C454500" w14:textId="5B9CCDA4"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68750403" w14:textId="2989F75A"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6C27E052" w14:textId="2CE30B51"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50D5A5F2" w14:textId="1D35F12E" w:rsidR="002C478A" w:rsidRPr="000179A4" w:rsidRDefault="002C478A" w:rsidP="002C478A">
            <w:pPr>
              <w:jc w:val="center"/>
              <w:rPr>
                <w:rFonts w:cs="Arial"/>
                <w:b/>
                <w:bCs/>
                <w:color w:val="000000"/>
                <w:sz w:val="22"/>
                <w:szCs w:val="22"/>
                <w:lang w:eastAsia="en-US"/>
              </w:rPr>
            </w:pPr>
          </w:p>
        </w:tc>
      </w:tr>
      <w:tr w:rsidR="00745C67" w:rsidRPr="000179A4" w14:paraId="18560D54" w14:textId="77777777" w:rsidTr="000A71BF">
        <w:trPr>
          <w:trHeight w:val="370"/>
        </w:trPr>
        <w:tc>
          <w:tcPr>
            <w:tcW w:w="2620" w:type="dxa"/>
            <w:shd w:val="clear" w:color="auto" w:fill="auto"/>
            <w:vAlign w:val="center"/>
            <w:hideMark/>
          </w:tcPr>
          <w:p w14:paraId="13C21515"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Greenhouse gas (GHG) emissions avoided by geothermal projects financed at any stage by the Program</w:t>
            </w:r>
          </w:p>
        </w:tc>
        <w:tc>
          <w:tcPr>
            <w:tcW w:w="1800" w:type="dxa"/>
            <w:shd w:val="clear" w:color="auto" w:fill="auto"/>
            <w:vAlign w:val="center"/>
            <w:hideMark/>
          </w:tcPr>
          <w:p w14:paraId="17AF7C81"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Greenhouse gas (GHG) emissions avoided</w:t>
            </w:r>
          </w:p>
        </w:tc>
        <w:tc>
          <w:tcPr>
            <w:tcW w:w="1173" w:type="dxa"/>
            <w:shd w:val="clear" w:color="auto" w:fill="auto"/>
            <w:vAlign w:val="center"/>
            <w:hideMark/>
          </w:tcPr>
          <w:p w14:paraId="42482B58" w14:textId="2074DFED" w:rsidR="00745C67" w:rsidRPr="000179A4" w:rsidRDefault="00745C67" w:rsidP="002C478A">
            <w:pPr>
              <w:jc w:val="center"/>
              <w:rPr>
                <w:rFonts w:cs="Arial"/>
                <w:color w:val="000000"/>
                <w:sz w:val="22"/>
                <w:szCs w:val="22"/>
                <w:lang w:eastAsia="en-US"/>
              </w:rPr>
            </w:pPr>
            <w:r w:rsidRPr="000179A4">
              <w:rPr>
                <w:rFonts w:cs="Arial"/>
                <w:color w:val="000000"/>
                <w:sz w:val="22"/>
                <w:szCs w:val="22"/>
              </w:rPr>
              <w:t>ktCO</w:t>
            </w:r>
            <w:r w:rsidRPr="000179A4">
              <w:rPr>
                <w:rFonts w:cs="Arial"/>
                <w:color w:val="000000"/>
                <w:sz w:val="22"/>
                <w:szCs w:val="22"/>
                <w:vertAlign w:val="subscript"/>
              </w:rPr>
              <w:t>2</w:t>
            </w:r>
            <w:r w:rsidRPr="000179A4">
              <w:rPr>
                <w:rFonts w:cs="Arial"/>
                <w:color w:val="000000"/>
                <w:sz w:val="22"/>
                <w:szCs w:val="22"/>
              </w:rPr>
              <w:t>e/yr</w:t>
            </w:r>
          </w:p>
        </w:tc>
        <w:tc>
          <w:tcPr>
            <w:tcW w:w="733" w:type="dxa"/>
            <w:shd w:val="clear" w:color="auto" w:fill="auto"/>
            <w:vAlign w:val="center"/>
            <w:hideMark/>
          </w:tcPr>
          <w:p w14:paraId="65B39793" w14:textId="3EBF5A0B"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35CABC9E" w14:textId="4DEE34C2"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3DB2C78D" w14:textId="466ACB5F"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0E9E3103" w14:textId="0A08CDA3"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65CAE9D3" w14:textId="0EC59CB1"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34792429" w14:textId="4E18E7CD"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375 </w:t>
            </w:r>
          </w:p>
        </w:tc>
        <w:tc>
          <w:tcPr>
            <w:tcW w:w="733" w:type="dxa"/>
            <w:shd w:val="clear" w:color="auto" w:fill="auto"/>
            <w:vAlign w:val="center"/>
            <w:hideMark/>
          </w:tcPr>
          <w:p w14:paraId="266D10F0" w14:textId="2C817179"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375 </w:t>
            </w:r>
          </w:p>
        </w:tc>
        <w:tc>
          <w:tcPr>
            <w:tcW w:w="734" w:type="dxa"/>
            <w:shd w:val="clear" w:color="auto" w:fill="auto"/>
            <w:vAlign w:val="center"/>
            <w:hideMark/>
          </w:tcPr>
          <w:p w14:paraId="412F8B13" w14:textId="7CEB0C2A"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375 </w:t>
            </w:r>
          </w:p>
        </w:tc>
        <w:tc>
          <w:tcPr>
            <w:tcW w:w="734" w:type="dxa"/>
            <w:shd w:val="clear" w:color="auto" w:fill="auto"/>
            <w:vAlign w:val="center"/>
            <w:hideMark/>
          </w:tcPr>
          <w:p w14:paraId="57F7211B" w14:textId="603EA5F6"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375 </w:t>
            </w:r>
          </w:p>
        </w:tc>
        <w:tc>
          <w:tcPr>
            <w:tcW w:w="885" w:type="dxa"/>
            <w:shd w:val="clear" w:color="auto" w:fill="auto"/>
            <w:vAlign w:val="center"/>
            <w:hideMark/>
          </w:tcPr>
          <w:p w14:paraId="3EBDF468" w14:textId="5E71AE33" w:rsidR="00745C67" w:rsidRPr="000179A4" w:rsidRDefault="00745C67" w:rsidP="002C478A">
            <w:pPr>
              <w:jc w:val="center"/>
              <w:rPr>
                <w:rFonts w:cs="Arial"/>
                <w:color w:val="000000"/>
                <w:sz w:val="22"/>
                <w:szCs w:val="22"/>
                <w:lang w:eastAsia="en-US"/>
              </w:rPr>
            </w:pPr>
            <w:r w:rsidRPr="000179A4">
              <w:rPr>
                <w:rFonts w:cs="Arial"/>
                <w:color w:val="000000"/>
                <w:sz w:val="22"/>
                <w:szCs w:val="22"/>
              </w:rPr>
              <w:t xml:space="preserve">       1,501 </w:t>
            </w:r>
          </w:p>
        </w:tc>
      </w:tr>
      <w:tr w:rsidR="002C478A" w:rsidRPr="000179A4" w14:paraId="4C181AF6" w14:textId="77777777" w:rsidTr="000A71BF">
        <w:trPr>
          <w:trHeight w:val="497"/>
        </w:trPr>
        <w:tc>
          <w:tcPr>
            <w:tcW w:w="2620" w:type="dxa"/>
            <w:shd w:val="clear" w:color="auto" w:fill="auto"/>
            <w:vAlign w:val="center"/>
            <w:hideMark/>
          </w:tcPr>
          <w:p w14:paraId="384A174C"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Reduction in imports of fossil fuels for electricity generation in EC countries with geothermal projects financed at any stage by the Program</w:t>
            </w:r>
          </w:p>
        </w:tc>
        <w:tc>
          <w:tcPr>
            <w:tcW w:w="1800" w:type="dxa"/>
            <w:shd w:val="clear" w:color="auto" w:fill="auto"/>
            <w:vAlign w:val="center"/>
            <w:hideMark/>
          </w:tcPr>
          <w:p w14:paraId="0D6C98E7"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Reduction in imports of fossil fuels for electricity generation</w:t>
            </w:r>
          </w:p>
        </w:tc>
        <w:tc>
          <w:tcPr>
            <w:tcW w:w="1173" w:type="dxa"/>
            <w:shd w:val="clear" w:color="auto" w:fill="auto"/>
            <w:vAlign w:val="center"/>
            <w:hideMark/>
          </w:tcPr>
          <w:p w14:paraId="1A3284A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Thousand barrels of oil</w:t>
            </w:r>
          </w:p>
        </w:tc>
        <w:tc>
          <w:tcPr>
            <w:tcW w:w="733" w:type="dxa"/>
            <w:shd w:val="clear" w:color="auto" w:fill="auto"/>
            <w:vAlign w:val="center"/>
            <w:hideMark/>
          </w:tcPr>
          <w:p w14:paraId="1F18A183" w14:textId="676A1B9A"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w:t>
            </w:r>
          </w:p>
        </w:tc>
        <w:tc>
          <w:tcPr>
            <w:tcW w:w="748" w:type="dxa"/>
            <w:shd w:val="clear" w:color="auto" w:fill="auto"/>
            <w:vAlign w:val="center"/>
            <w:hideMark/>
          </w:tcPr>
          <w:p w14:paraId="0EF8EF11" w14:textId="7A64D406"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w:t>
            </w:r>
          </w:p>
        </w:tc>
        <w:tc>
          <w:tcPr>
            <w:tcW w:w="719" w:type="dxa"/>
            <w:shd w:val="clear" w:color="auto" w:fill="auto"/>
            <w:vAlign w:val="center"/>
            <w:hideMark/>
          </w:tcPr>
          <w:p w14:paraId="7EF815CC" w14:textId="33C9D10F"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w:t>
            </w:r>
          </w:p>
        </w:tc>
        <w:tc>
          <w:tcPr>
            <w:tcW w:w="733" w:type="dxa"/>
            <w:shd w:val="clear" w:color="auto" w:fill="auto"/>
            <w:vAlign w:val="center"/>
            <w:hideMark/>
          </w:tcPr>
          <w:p w14:paraId="0E691CE9" w14:textId="427F93E9"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w:t>
            </w:r>
          </w:p>
        </w:tc>
        <w:tc>
          <w:tcPr>
            <w:tcW w:w="734" w:type="dxa"/>
            <w:shd w:val="clear" w:color="auto" w:fill="auto"/>
            <w:vAlign w:val="center"/>
            <w:hideMark/>
          </w:tcPr>
          <w:p w14:paraId="7186DC66" w14:textId="27680D05"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w:t>
            </w:r>
          </w:p>
        </w:tc>
        <w:tc>
          <w:tcPr>
            <w:tcW w:w="734" w:type="dxa"/>
            <w:shd w:val="clear" w:color="auto" w:fill="auto"/>
            <w:vAlign w:val="center"/>
            <w:hideMark/>
          </w:tcPr>
          <w:p w14:paraId="5DC23960" w14:textId="660CCBC0"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722</w:t>
            </w:r>
          </w:p>
        </w:tc>
        <w:tc>
          <w:tcPr>
            <w:tcW w:w="733" w:type="dxa"/>
            <w:shd w:val="clear" w:color="auto" w:fill="auto"/>
            <w:vAlign w:val="center"/>
            <w:hideMark/>
          </w:tcPr>
          <w:p w14:paraId="7F200F88" w14:textId="2E5931EF"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722</w:t>
            </w:r>
          </w:p>
        </w:tc>
        <w:tc>
          <w:tcPr>
            <w:tcW w:w="734" w:type="dxa"/>
            <w:shd w:val="clear" w:color="auto" w:fill="auto"/>
            <w:vAlign w:val="center"/>
            <w:hideMark/>
          </w:tcPr>
          <w:p w14:paraId="0C00D7AF" w14:textId="7E7306E3"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722</w:t>
            </w:r>
          </w:p>
        </w:tc>
        <w:tc>
          <w:tcPr>
            <w:tcW w:w="734" w:type="dxa"/>
            <w:shd w:val="clear" w:color="auto" w:fill="auto"/>
            <w:vAlign w:val="center"/>
            <w:hideMark/>
          </w:tcPr>
          <w:p w14:paraId="175F110B" w14:textId="2348BF0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722</w:t>
            </w:r>
          </w:p>
        </w:tc>
        <w:tc>
          <w:tcPr>
            <w:tcW w:w="885" w:type="dxa"/>
            <w:shd w:val="clear" w:color="auto" w:fill="auto"/>
            <w:vAlign w:val="center"/>
            <w:hideMark/>
          </w:tcPr>
          <w:p w14:paraId="351D9CE0" w14:textId="678CFBDE"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2,889</w:t>
            </w:r>
          </w:p>
        </w:tc>
      </w:tr>
      <w:tr w:rsidR="002C478A" w:rsidRPr="000179A4" w14:paraId="6B841CB4" w14:textId="77777777" w:rsidTr="000A71BF">
        <w:trPr>
          <w:trHeight w:val="727"/>
        </w:trPr>
        <w:tc>
          <w:tcPr>
            <w:tcW w:w="2620" w:type="dxa"/>
            <w:shd w:val="clear" w:color="auto" w:fill="auto"/>
            <w:vAlign w:val="center"/>
            <w:hideMark/>
          </w:tcPr>
          <w:p w14:paraId="53CF242F"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Geothermal power generation capacity installed in projects financed at some stage by the program</w:t>
            </w:r>
          </w:p>
        </w:tc>
        <w:tc>
          <w:tcPr>
            <w:tcW w:w="1800" w:type="dxa"/>
            <w:shd w:val="clear" w:color="auto" w:fill="auto"/>
            <w:vAlign w:val="center"/>
            <w:hideMark/>
          </w:tcPr>
          <w:p w14:paraId="4CAC1097" w14:textId="26A77115"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MW of geothermal capacity</w:t>
            </w:r>
          </w:p>
        </w:tc>
        <w:tc>
          <w:tcPr>
            <w:tcW w:w="1173" w:type="dxa"/>
            <w:shd w:val="clear" w:color="auto" w:fill="auto"/>
            <w:vAlign w:val="center"/>
            <w:hideMark/>
          </w:tcPr>
          <w:p w14:paraId="000551D1"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MW</w:t>
            </w:r>
          </w:p>
        </w:tc>
        <w:tc>
          <w:tcPr>
            <w:tcW w:w="733" w:type="dxa"/>
            <w:shd w:val="clear" w:color="auto" w:fill="auto"/>
            <w:vAlign w:val="center"/>
            <w:hideMark/>
          </w:tcPr>
          <w:p w14:paraId="6720740C"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48" w:type="dxa"/>
            <w:shd w:val="clear" w:color="auto" w:fill="auto"/>
            <w:vAlign w:val="center"/>
            <w:hideMark/>
          </w:tcPr>
          <w:p w14:paraId="6310E83F"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19" w:type="dxa"/>
            <w:shd w:val="clear" w:color="auto" w:fill="auto"/>
            <w:vAlign w:val="center"/>
            <w:hideMark/>
          </w:tcPr>
          <w:p w14:paraId="1AAA9234"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1CB79C26"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4AEE2DA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2E5B37D1"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7C790AF7"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4AA68EDB"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72C33B67"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60</w:t>
            </w:r>
          </w:p>
        </w:tc>
        <w:tc>
          <w:tcPr>
            <w:tcW w:w="885" w:type="dxa"/>
            <w:shd w:val="clear" w:color="auto" w:fill="auto"/>
            <w:vAlign w:val="center"/>
            <w:hideMark/>
          </w:tcPr>
          <w:p w14:paraId="46CAC213" w14:textId="114F2716"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60</w:t>
            </w:r>
          </w:p>
        </w:tc>
      </w:tr>
      <w:tr w:rsidR="002C478A" w:rsidRPr="000179A4" w14:paraId="5B7047C2" w14:textId="77777777" w:rsidTr="000A71BF">
        <w:trPr>
          <w:trHeight w:val="727"/>
        </w:trPr>
        <w:tc>
          <w:tcPr>
            <w:tcW w:w="2620" w:type="dxa"/>
            <w:shd w:val="clear" w:color="auto" w:fill="auto"/>
            <w:vAlign w:val="center"/>
            <w:hideMark/>
          </w:tcPr>
          <w:p w14:paraId="3EFF7394"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lastRenderedPageBreak/>
              <w:t>Geothermal projects financed at any stage by the Program that moved on from early exploration to production drilling or from early exploration or production drilling to construction of plants and/or electricity generation</w:t>
            </w:r>
          </w:p>
        </w:tc>
        <w:tc>
          <w:tcPr>
            <w:tcW w:w="1800" w:type="dxa"/>
            <w:shd w:val="clear" w:color="auto" w:fill="auto"/>
            <w:vAlign w:val="center"/>
            <w:hideMark/>
          </w:tcPr>
          <w:p w14:paraId="6901BE58"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GE projects financed that moved to the following stage of development</w:t>
            </w:r>
          </w:p>
        </w:tc>
        <w:tc>
          <w:tcPr>
            <w:tcW w:w="1173" w:type="dxa"/>
            <w:shd w:val="clear" w:color="auto" w:fill="auto"/>
            <w:vAlign w:val="center"/>
            <w:hideMark/>
          </w:tcPr>
          <w:p w14:paraId="02F01E0C"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GE projects</w:t>
            </w:r>
          </w:p>
        </w:tc>
        <w:tc>
          <w:tcPr>
            <w:tcW w:w="733" w:type="dxa"/>
            <w:shd w:val="clear" w:color="auto" w:fill="auto"/>
            <w:vAlign w:val="center"/>
            <w:hideMark/>
          </w:tcPr>
          <w:p w14:paraId="50BD714C"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48" w:type="dxa"/>
            <w:shd w:val="clear" w:color="auto" w:fill="auto"/>
            <w:vAlign w:val="center"/>
            <w:hideMark/>
          </w:tcPr>
          <w:p w14:paraId="0EB060A2"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19" w:type="dxa"/>
            <w:shd w:val="clear" w:color="auto" w:fill="auto"/>
            <w:vAlign w:val="center"/>
            <w:hideMark/>
          </w:tcPr>
          <w:p w14:paraId="1F77E02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54DFD019" w14:textId="1766F217" w:rsidR="002C478A" w:rsidRPr="000179A4" w:rsidRDefault="000C7DEB" w:rsidP="002C478A">
            <w:pPr>
              <w:jc w:val="center"/>
              <w:rPr>
                <w:rFonts w:cs="Arial"/>
                <w:color w:val="000000"/>
                <w:sz w:val="22"/>
                <w:szCs w:val="22"/>
                <w:lang w:eastAsia="en-US"/>
              </w:rPr>
            </w:pPr>
            <w:r>
              <w:rPr>
                <w:rFonts w:cs="Arial"/>
                <w:color w:val="000000"/>
                <w:sz w:val="22"/>
                <w:szCs w:val="22"/>
                <w:lang w:eastAsia="en-US"/>
              </w:rPr>
              <w:t>1</w:t>
            </w:r>
          </w:p>
        </w:tc>
        <w:tc>
          <w:tcPr>
            <w:tcW w:w="734" w:type="dxa"/>
            <w:shd w:val="clear" w:color="auto" w:fill="auto"/>
            <w:vAlign w:val="center"/>
            <w:hideMark/>
          </w:tcPr>
          <w:p w14:paraId="293F404D" w14:textId="63621DB1" w:rsidR="002C478A" w:rsidRPr="000179A4" w:rsidRDefault="000C7DEB" w:rsidP="002C478A">
            <w:pPr>
              <w:jc w:val="center"/>
              <w:rPr>
                <w:rFonts w:cs="Arial"/>
                <w:color w:val="000000"/>
                <w:sz w:val="22"/>
                <w:szCs w:val="22"/>
                <w:lang w:eastAsia="en-US"/>
              </w:rPr>
            </w:pPr>
            <w:r>
              <w:rPr>
                <w:rFonts w:cs="Arial"/>
                <w:color w:val="000000"/>
                <w:sz w:val="22"/>
                <w:szCs w:val="22"/>
                <w:lang w:eastAsia="en-US"/>
              </w:rPr>
              <w:t>1</w:t>
            </w:r>
          </w:p>
        </w:tc>
        <w:tc>
          <w:tcPr>
            <w:tcW w:w="734" w:type="dxa"/>
            <w:shd w:val="clear" w:color="auto" w:fill="auto"/>
            <w:vAlign w:val="center"/>
            <w:hideMark/>
          </w:tcPr>
          <w:p w14:paraId="7A928F0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1</w:t>
            </w:r>
          </w:p>
        </w:tc>
        <w:tc>
          <w:tcPr>
            <w:tcW w:w="733" w:type="dxa"/>
            <w:shd w:val="clear" w:color="auto" w:fill="auto"/>
            <w:vAlign w:val="center"/>
            <w:hideMark/>
          </w:tcPr>
          <w:p w14:paraId="6386F80E" w14:textId="4619F820" w:rsidR="002C478A" w:rsidRPr="000179A4" w:rsidRDefault="000C7DEB" w:rsidP="002C478A">
            <w:pPr>
              <w:jc w:val="center"/>
              <w:rPr>
                <w:rFonts w:cs="Arial"/>
                <w:color w:val="000000"/>
                <w:sz w:val="22"/>
                <w:szCs w:val="22"/>
                <w:lang w:eastAsia="en-US"/>
              </w:rPr>
            </w:pPr>
            <w:r>
              <w:rPr>
                <w:rFonts w:cs="Arial"/>
                <w:color w:val="000000"/>
                <w:sz w:val="22"/>
                <w:szCs w:val="22"/>
                <w:lang w:eastAsia="en-US"/>
              </w:rPr>
              <w:t>1</w:t>
            </w:r>
          </w:p>
        </w:tc>
        <w:tc>
          <w:tcPr>
            <w:tcW w:w="734" w:type="dxa"/>
            <w:shd w:val="clear" w:color="auto" w:fill="auto"/>
            <w:vAlign w:val="center"/>
            <w:hideMark/>
          </w:tcPr>
          <w:p w14:paraId="4BE7278C" w14:textId="6D50C1E2" w:rsidR="002C478A" w:rsidRPr="000179A4" w:rsidRDefault="000C7DEB" w:rsidP="002C478A">
            <w:pPr>
              <w:jc w:val="center"/>
              <w:rPr>
                <w:rFonts w:cs="Arial"/>
                <w:color w:val="000000"/>
                <w:sz w:val="22"/>
                <w:szCs w:val="22"/>
                <w:lang w:eastAsia="en-US"/>
              </w:rPr>
            </w:pPr>
            <w:r>
              <w:rPr>
                <w:rFonts w:cs="Arial"/>
                <w:color w:val="000000"/>
                <w:sz w:val="22"/>
                <w:szCs w:val="22"/>
                <w:lang w:eastAsia="en-US"/>
              </w:rPr>
              <w:t>0</w:t>
            </w:r>
          </w:p>
        </w:tc>
        <w:tc>
          <w:tcPr>
            <w:tcW w:w="734" w:type="dxa"/>
            <w:shd w:val="clear" w:color="auto" w:fill="auto"/>
            <w:vAlign w:val="center"/>
            <w:hideMark/>
          </w:tcPr>
          <w:p w14:paraId="7DE5065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885" w:type="dxa"/>
            <w:shd w:val="clear" w:color="auto" w:fill="auto"/>
            <w:vAlign w:val="center"/>
            <w:hideMark/>
          </w:tcPr>
          <w:p w14:paraId="56321C30" w14:textId="4E2AE846" w:rsidR="002C478A" w:rsidRPr="000179A4" w:rsidRDefault="000C7DEB" w:rsidP="002C478A">
            <w:pPr>
              <w:jc w:val="center"/>
              <w:rPr>
                <w:rFonts w:cs="Arial"/>
                <w:color w:val="000000"/>
                <w:sz w:val="22"/>
                <w:szCs w:val="22"/>
                <w:lang w:eastAsia="en-US"/>
              </w:rPr>
            </w:pPr>
            <w:r>
              <w:rPr>
                <w:rFonts w:cs="Arial"/>
                <w:color w:val="000000"/>
                <w:sz w:val="22"/>
                <w:szCs w:val="22"/>
                <w:lang w:eastAsia="en-US"/>
              </w:rPr>
              <w:t>4</w:t>
            </w:r>
          </w:p>
        </w:tc>
      </w:tr>
      <w:tr w:rsidR="00745C67" w:rsidRPr="000179A4" w14:paraId="68747792" w14:textId="77777777" w:rsidTr="007646ED">
        <w:trPr>
          <w:trHeight w:val="817"/>
        </w:trPr>
        <w:tc>
          <w:tcPr>
            <w:tcW w:w="2620" w:type="dxa"/>
            <w:shd w:val="clear" w:color="auto" w:fill="auto"/>
            <w:vAlign w:val="center"/>
            <w:hideMark/>
          </w:tcPr>
          <w:p w14:paraId="7D7DD402"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Women participate in consultation processes related to GE projects.</w:t>
            </w:r>
          </w:p>
        </w:tc>
        <w:tc>
          <w:tcPr>
            <w:tcW w:w="1800" w:type="dxa"/>
            <w:shd w:val="clear" w:color="auto" w:fill="auto"/>
            <w:vAlign w:val="center"/>
            <w:hideMark/>
          </w:tcPr>
          <w:p w14:paraId="5F3B5E90" w14:textId="70C54833"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 of women who participate in consultations</w:t>
            </w:r>
          </w:p>
        </w:tc>
        <w:tc>
          <w:tcPr>
            <w:tcW w:w="1173" w:type="dxa"/>
            <w:shd w:val="clear" w:color="auto" w:fill="auto"/>
            <w:vAlign w:val="center"/>
            <w:hideMark/>
          </w:tcPr>
          <w:p w14:paraId="03A7B4AD"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w:t>
            </w:r>
          </w:p>
        </w:tc>
        <w:tc>
          <w:tcPr>
            <w:tcW w:w="733" w:type="dxa"/>
            <w:shd w:val="clear" w:color="auto" w:fill="auto"/>
            <w:vAlign w:val="center"/>
            <w:hideMark/>
          </w:tcPr>
          <w:p w14:paraId="53CAF5B6" w14:textId="4A34C094"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48" w:type="dxa"/>
            <w:shd w:val="clear" w:color="auto" w:fill="auto"/>
            <w:vAlign w:val="center"/>
            <w:hideMark/>
          </w:tcPr>
          <w:p w14:paraId="2C412F0B" w14:textId="64CCD6BD"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19" w:type="dxa"/>
            <w:shd w:val="clear" w:color="auto" w:fill="auto"/>
            <w:vAlign w:val="center"/>
            <w:hideMark/>
          </w:tcPr>
          <w:p w14:paraId="5BB6905C" w14:textId="2156FCDC"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05CD11B0" w14:textId="212F427D"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272C2E82" w14:textId="2D168296"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6500F316" w14:textId="539C91C7"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3" w:type="dxa"/>
            <w:shd w:val="clear" w:color="auto" w:fill="auto"/>
            <w:vAlign w:val="center"/>
            <w:hideMark/>
          </w:tcPr>
          <w:p w14:paraId="707A863B" w14:textId="38915E9A"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277C6D36" w14:textId="3BE71595"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734" w:type="dxa"/>
            <w:shd w:val="clear" w:color="auto" w:fill="auto"/>
            <w:vAlign w:val="center"/>
            <w:hideMark/>
          </w:tcPr>
          <w:p w14:paraId="6B767A1F" w14:textId="2B33D497" w:rsidR="00745C67" w:rsidRPr="000179A4" w:rsidRDefault="00745C67" w:rsidP="002C478A">
            <w:pPr>
              <w:jc w:val="center"/>
              <w:rPr>
                <w:rFonts w:cs="Arial"/>
                <w:color w:val="000000"/>
                <w:sz w:val="22"/>
                <w:szCs w:val="22"/>
                <w:lang w:eastAsia="en-US"/>
              </w:rPr>
            </w:pPr>
            <w:r w:rsidRPr="000179A4">
              <w:rPr>
                <w:rFonts w:cs="Arial"/>
                <w:color w:val="000000"/>
                <w:sz w:val="22"/>
                <w:szCs w:val="22"/>
              </w:rPr>
              <w:t>0</w:t>
            </w:r>
          </w:p>
        </w:tc>
        <w:tc>
          <w:tcPr>
            <w:tcW w:w="885" w:type="dxa"/>
            <w:shd w:val="clear" w:color="auto" w:fill="auto"/>
            <w:vAlign w:val="center"/>
            <w:hideMark/>
          </w:tcPr>
          <w:p w14:paraId="3B37D85F" w14:textId="77777777" w:rsidR="00745C67" w:rsidRPr="000179A4" w:rsidRDefault="00745C67" w:rsidP="002C478A">
            <w:pPr>
              <w:jc w:val="center"/>
              <w:rPr>
                <w:rFonts w:cs="Arial"/>
                <w:color w:val="000000"/>
                <w:sz w:val="22"/>
                <w:szCs w:val="22"/>
                <w:lang w:eastAsia="en-US"/>
              </w:rPr>
            </w:pPr>
            <w:r w:rsidRPr="000179A4">
              <w:rPr>
                <w:rFonts w:cs="Arial"/>
                <w:color w:val="000000"/>
                <w:sz w:val="22"/>
                <w:szCs w:val="22"/>
                <w:lang w:eastAsia="en-US"/>
              </w:rPr>
              <w:t>35</w:t>
            </w:r>
          </w:p>
        </w:tc>
      </w:tr>
      <w:tr w:rsidR="000A71BF" w:rsidRPr="000179A4" w14:paraId="1F72F72B" w14:textId="77777777" w:rsidTr="000A71BF">
        <w:trPr>
          <w:trHeight w:val="109"/>
        </w:trPr>
        <w:tc>
          <w:tcPr>
            <w:tcW w:w="2620" w:type="dxa"/>
            <w:shd w:val="clear" w:color="000000" w:fill="F2F2F2"/>
            <w:noWrap/>
            <w:vAlign w:val="center"/>
            <w:hideMark/>
          </w:tcPr>
          <w:p w14:paraId="571C0BAE" w14:textId="77777777" w:rsidR="002C478A" w:rsidRPr="000179A4" w:rsidRDefault="002C478A" w:rsidP="002C478A">
            <w:pPr>
              <w:jc w:val="center"/>
              <w:rPr>
                <w:rFonts w:cs="Arial"/>
                <w:b/>
                <w:bCs/>
                <w:color w:val="000000"/>
                <w:sz w:val="22"/>
                <w:szCs w:val="22"/>
                <w:lang w:eastAsia="en-US"/>
              </w:rPr>
            </w:pPr>
            <w:r w:rsidRPr="000179A4">
              <w:rPr>
                <w:rFonts w:cs="Arial"/>
                <w:b/>
                <w:bCs/>
                <w:color w:val="000000"/>
                <w:sz w:val="22"/>
                <w:szCs w:val="22"/>
                <w:lang w:eastAsia="en-US"/>
              </w:rPr>
              <w:t>Outputs</w:t>
            </w:r>
          </w:p>
        </w:tc>
        <w:tc>
          <w:tcPr>
            <w:tcW w:w="1800" w:type="dxa"/>
            <w:shd w:val="clear" w:color="000000" w:fill="F2F2F2"/>
            <w:noWrap/>
            <w:vAlign w:val="center"/>
            <w:hideMark/>
          </w:tcPr>
          <w:p w14:paraId="69F904C6" w14:textId="5B6FBE91" w:rsidR="002C478A" w:rsidRPr="000179A4" w:rsidRDefault="002C478A" w:rsidP="002C478A">
            <w:pPr>
              <w:jc w:val="center"/>
              <w:rPr>
                <w:rFonts w:cs="Arial"/>
                <w:b/>
                <w:bCs/>
                <w:color w:val="000000"/>
                <w:sz w:val="22"/>
                <w:szCs w:val="22"/>
                <w:lang w:eastAsia="en-US"/>
              </w:rPr>
            </w:pPr>
          </w:p>
        </w:tc>
        <w:tc>
          <w:tcPr>
            <w:tcW w:w="1173" w:type="dxa"/>
            <w:shd w:val="clear" w:color="000000" w:fill="F2F2F2"/>
            <w:noWrap/>
            <w:vAlign w:val="center"/>
            <w:hideMark/>
          </w:tcPr>
          <w:p w14:paraId="113915B8" w14:textId="68EEAC0C"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602FC00" w14:textId="274B2D5D" w:rsidR="002C478A" w:rsidRPr="000179A4" w:rsidRDefault="002C478A" w:rsidP="002C478A">
            <w:pPr>
              <w:jc w:val="center"/>
              <w:rPr>
                <w:rFonts w:cs="Arial"/>
                <w:b/>
                <w:bCs/>
                <w:color w:val="000000"/>
                <w:sz w:val="22"/>
                <w:szCs w:val="22"/>
                <w:lang w:eastAsia="en-US"/>
              </w:rPr>
            </w:pPr>
          </w:p>
        </w:tc>
        <w:tc>
          <w:tcPr>
            <w:tcW w:w="748" w:type="dxa"/>
            <w:shd w:val="clear" w:color="000000" w:fill="F2F2F2"/>
            <w:noWrap/>
            <w:vAlign w:val="center"/>
            <w:hideMark/>
          </w:tcPr>
          <w:p w14:paraId="4B8A62C4" w14:textId="0A181CEF" w:rsidR="002C478A" w:rsidRPr="000179A4" w:rsidRDefault="002C478A" w:rsidP="002C478A">
            <w:pPr>
              <w:jc w:val="center"/>
              <w:rPr>
                <w:rFonts w:cs="Arial"/>
                <w:b/>
                <w:bCs/>
                <w:color w:val="000000"/>
                <w:sz w:val="22"/>
                <w:szCs w:val="22"/>
                <w:lang w:eastAsia="en-US"/>
              </w:rPr>
            </w:pPr>
          </w:p>
        </w:tc>
        <w:tc>
          <w:tcPr>
            <w:tcW w:w="719" w:type="dxa"/>
            <w:shd w:val="clear" w:color="000000" w:fill="F2F2F2"/>
            <w:noWrap/>
            <w:vAlign w:val="center"/>
            <w:hideMark/>
          </w:tcPr>
          <w:p w14:paraId="16FBE015" w14:textId="5A1AAFA0"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57D0482A" w14:textId="4CD06CCF"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6C6D587C" w14:textId="72EB1950"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39E87619" w14:textId="40370348" w:rsidR="002C478A" w:rsidRPr="000179A4" w:rsidRDefault="002C478A" w:rsidP="002C478A">
            <w:pPr>
              <w:jc w:val="center"/>
              <w:rPr>
                <w:rFonts w:cs="Arial"/>
                <w:b/>
                <w:bCs/>
                <w:color w:val="000000"/>
                <w:sz w:val="22"/>
                <w:szCs w:val="22"/>
                <w:lang w:eastAsia="en-US"/>
              </w:rPr>
            </w:pPr>
          </w:p>
        </w:tc>
        <w:tc>
          <w:tcPr>
            <w:tcW w:w="733" w:type="dxa"/>
            <w:shd w:val="clear" w:color="000000" w:fill="F2F2F2"/>
            <w:noWrap/>
            <w:vAlign w:val="center"/>
            <w:hideMark/>
          </w:tcPr>
          <w:p w14:paraId="260769E3" w14:textId="1985A651"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0575E3EA" w14:textId="374A3E01" w:rsidR="002C478A" w:rsidRPr="000179A4" w:rsidRDefault="002C478A" w:rsidP="002C478A">
            <w:pPr>
              <w:jc w:val="center"/>
              <w:rPr>
                <w:rFonts w:cs="Arial"/>
                <w:b/>
                <w:bCs/>
                <w:color w:val="000000"/>
                <w:sz w:val="22"/>
                <w:szCs w:val="22"/>
                <w:lang w:eastAsia="en-US"/>
              </w:rPr>
            </w:pPr>
          </w:p>
        </w:tc>
        <w:tc>
          <w:tcPr>
            <w:tcW w:w="734" w:type="dxa"/>
            <w:shd w:val="clear" w:color="000000" w:fill="F2F2F2"/>
            <w:noWrap/>
            <w:vAlign w:val="center"/>
            <w:hideMark/>
          </w:tcPr>
          <w:p w14:paraId="16B52F33" w14:textId="36397844" w:rsidR="002C478A" w:rsidRPr="000179A4" w:rsidRDefault="002C478A" w:rsidP="002C478A">
            <w:pPr>
              <w:jc w:val="center"/>
              <w:rPr>
                <w:rFonts w:cs="Arial"/>
                <w:b/>
                <w:bCs/>
                <w:color w:val="000000"/>
                <w:sz w:val="22"/>
                <w:szCs w:val="22"/>
                <w:lang w:eastAsia="en-US"/>
              </w:rPr>
            </w:pPr>
          </w:p>
        </w:tc>
        <w:tc>
          <w:tcPr>
            <w:tcW w:w="885" w:type="dxa"/>
            <w:shd w:val="clear" w:color="000000" w:fill="F2F2F2"/>
            <w:noWrap/>
            <w:vAlign w:val="center"/>
            <w:hideMark/>
          </w:tcPr>
          <w:p w14:paraId="3FE06AEE" w14:textId="55C7A29E" w:rsidR="002C478A" w:rsidRPr="000179A4" w:rsidRDefault="002C478A" w:rsidP="002C478A">
            <w:pPr>
              <w:jc w:val="center"/>
              <w:rPr>
                <w:rFonts w:cs="Arial"/>
                <w:b/>
                <w:bCs/>
                <w:color w:val="000000"/>
                <w:sz w:val="22"/>
                <w:szCs w:val="22"/>
                <w:lang w:eastAsia="en-US"/>
              </w:rPr>
            </w:pPr>
          </w:p>
        </w:tc>
      </w:tr>
      <w:tr w:rsidR="002C478A" w:rsidRPr="000179A4" w14:paraId="759A3963" w14:textId="77777777" w:rsidTr="007646ED">
        <w:trPr>
          <w:trHeight w:val="1150"/>
        </w:trPr>
        <w:tc>
          <w:tcPr>
            <w:tcW w:w="2620" w:type="dxa"/>
            <w:shd w:val="clear" w:color="auto" w:fill="auto"/>
            <w:vAlign w:val="center"/>
            <w:hideMark/>
          </w:tcPr>
          <w:p w14:paraId="1880E3C5"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Loans provided to geothermal projects at any stage of development with resources from the Program</w:t>
            </w:r>
          </w:p>
        </w:tc>
        <w:tc>
          <w:tcPr>
            <w:tcW w:w="1800" w:type="dxa"/>
            <w:shd w:val="clear" w:color="auto" w:fill="auto"/>
            <w:vAlign w:val="center"/>
            <w:hideMark/>
          </w:tcPr>
          <w:p w14:paraId="23AECA6B" w14:textId="66B66009"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loans to GE projects</w:t>
            </w:r>
          </w:p>
        </w:tc>
        <w:tc>
          <w:tcPr>
            <w:tcW w:w="1173" w:type="dxa"/>
            <w:shd w:val="clear" w:color="auto" w:fill="auto"/>
            <w:vAlign w:val="center"/>
            <w:hideMark/>
          </w:tcPr>
          <w:p w14:paraId="03983A26"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loans</w:t>
            </w:r>
          </w:p>
        </w:tc>
        <w:tc>
          <w:tcPr>
            <w:tcW w:w="733" w:type="dxa"/>
            <w:shd w:val="clear" w:color="auto" w:fill="auto"/>
            <w:vAlign w:val="center"/>
            <w:hideMark/>
          </w:tcPr>
          <w:p w14:paraId="01FB7E07"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48" w:type="dxa"/>
            <w:shd w:val="clear" w:color="auto" w:fill="auto"/>
            <w:vAlign w:val="center"/>
            <w:hideMark/>
          </w:tcPr>
          <w:p w14:paraId="281E8B31"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19" w:type="dxa"/>
            <w:shd w:val="clear" w:color="auto" w:fill="auto"/>
            <w:vAlign w:val="center"/>
            <w:hideMark/>
          </w:tcPr>
          <w:p w14:paraId="36CE9691"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2E731942"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1</w:t>
            </w:r>
          </w:p>
        </w:tc>
        <w:tc>
          <w:tcPr>
            <w:tcW w:w="734" w:type="dxa"/>
            <w:shd w:val="clear" w:color="auto" w:fill="auto"/>
            <w:vAlign w:val="center"/>
            <w:hideMark/>
          </w:tcPr>
          <w:p w14:paraId="109CD7FD" w14:textId="5F1D91EE" w:rsidR="002C478A" w:rsidRPr="000179A4" w:rsidRDefault="000C7DEB" w:rsidP="002C478A">
            <w:pPr>
              <w:jc w:val="center"/>
              <w:rPr>
                <w:rFonts w:cs="Arial"/>
                <w:color w:val="000000"/>
                <w:sz w:val="22"/>
                <w:szCs w:val="22"/>
                <w:lang w:eastAsia="en-US"/>
              </w:rPr>
            </w:pPr>
            <w:r>
              <w:rPr>
                <w:rFonts w:cs="Arial"/>
                <w:color w:val="000000"/>
                <w:sz w:val="22"/>
                <w:szCs w:val="22"/>
                <w:lang w:eastAsia="en-US"/>
              </w:rPr>
              <w:t>1</w:t>
            </w:r>
          </w:p>
        </w:tc>
        <w:tc>
          <w:tcPr>
            <w:tcW w:w="734" w:type="dxa"/>
            <w:shd w:val="clear" w:color="auto" w:fill="auto"/>
            <w:vAlign w:val="center"/>
            <w:hideMark/>
          </w:tcPr>
          <w:p w14:paraId="6C16C4AC"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1</w:t>
            </w:r>
          </w:p>
        </w:tc>
        <w:tc>
          <w:tcPr>
            <w:tcW w:w="733" w:type="dxa"/>
            <w:shd w:val="clear" w:color="auto" w:fill="auto"/>
            <w:vAlign w:val="center"/>
            <w:hideMark/>
          </w:tcPr>
          <w:p w14:paraId="4083EA6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1FC53FA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6D288EC9"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885" w:type="dxa"/>
            <w:shd w:val="clear" w:color="auto" w:fill="auto"/>
            <w:vAlign w:val="center"/>
            <w:hideMark/>
          </w:tcPr>
          <w:p w14:paraId="47FAA50A" w14:textId="0C7442C3" w:rsidR="002C478A" w:rsidRPr="000179A4" w:rsidRDefault="000C7DEB" w:rsidP="002C478A">
            <w:pPr>
              <w:jc w:val="center"/>
              <w:rPr>
                <w:rFonts w:cs="Arial"/>
                <w:color w:val="000000"/>
                <w:sz w:val="22"/>
                <w:szCs w:val="22"/>
                <w:lang w:eastAsia="en-US"/>
              </w:rPr>
            </w:pPr>
            <w:r>
              <w:rPr>
                <w:rFonts w:cs="Arial"/>
                <w:color w:val="000000"/>
                <w:sz w:val="22"/>
                <w:szCs w:val="22"/>
                <w:lang w:eastAsia="en-US"/>
              </w:rPr>
              <w:t>3</w:t>
            </w:r>
          </w:p>
        </w:tc>
      </w:tr>
      <w:tr w:rsidR="002C478A" w:rsidRPr="000179A4" w14:paraId="08C94777" w14:textId="77777777" w:rsidTr="000A71BF">
        <w:trPr>
          <w:trHeight w:val="1036"/>
        </w:trPr>
        <w:tc>
          <w:tcPr>
            <w:tcW w:w="2620" w:type="dxa"/>
            <w:shd w:val="clear" w:color="auto" w:fill="auto"/>
            <w:vAlign w:val="center"/>
            <w:hideMark/>
          </w:tcPr>
          <w:p w14:paraId="3898731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Loans provided to finance transmission lines required for connecting GE plants to the power grid</w:t>
            </w:r>
          </w:p>
        </w:tc>
        <w:tc>
          <w:tcPr>
            <w:tcW w:w="1800" w:type="dxa"/>
            <w:shd w:val="clear" w:color="auto" w:fill="auto"/>
            <w:vAlign w:val="center"/>
            <w:hideMark/>
          </w:tcPr>
          <w:p w14:paraId="4B850BC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loans for transmission and distribution projects</w:t>
            </w:r>
          </w:p>
        </w:tc>
        <w:tc>
          <w:tcPr>
            <w:tcW w:w="1173" w:type="dxa"/>
            <w:shd w:val="clear" w:color="auto" w:fill="auto"/>
            <w:vAlign w:val="center"/>
            <w:hideMark/>
          </w:tcPr>
          <w:p w14:paraId="4A22C9BB"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Number of loans</w:t>
            </w:r>
          </w:p>
        </w:tc>
        <w:tc>
          <w:tcPr>
            <w:tcW w:w="733" w:type="dxa"/>
            <w:shd w:val="clear" w:color="auto" w:fill="auto"/>
            <w:vAlign w:val="center"/>
            <w:hideMark/>
          </w:tcPr>
          <w:p w14:paraId="33A1FA5A"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48" w:type="dxa"/>
            <w:shd w:val="clear" w:color="auto" w:fill="auto"/>
            <w:vAlign w:val="center"/>
            <w:hideMark/>
          </w:tcPr>
          <w:p w14:paraId="680E2C5B"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19" w:type="dxa"/>
            <w:shd w:val="clear" w:color="auto" w:fill="auto"/>
            <w:vAlign w:val="center"/>
            <w:hideMark/>
          </w:tcPr>
          <w:p w14:paraId="02C87ADA"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601D9DD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6B3E089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1</w:t>
            </w:r>
          </w:p>
        </w:tc>
        <w:tc>
          <w:tcPr>
            <w:tcW w:w="734" w:type="dxa"/>
            <w:shd w:val="clear" w:color="auto" w:fill="auto"/>
            <w:vAlign w:val="center"/>
            <w:hideMark/>
          </w:tcPr>
          <w:p w14:paraId="45DD845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3" w:type="dxa"/>
            <w:shd w:val="clear" w:color="auto" w:fill="auto"/>
            <w:vAlign w:val="center"/>
            <w:hideMark/>
          </w:tcPr>
          <w:p w14:paraId="5E2BE46F"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54E771CE"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734" w:type="dxa"/>
            <w:shd w:val="clear" w:color="auto" w:fill="auto"/>
            <w:vAlign w:val="center"/>
            <w:hideMark/>
          </w:tcPr>
          <w:p w14:paraId="4E05D2DD"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0</w:t>
            </w:r>
          </w:p>
        </w:tc>
        <w:tc>
          <w:tcPr>
            <w:tcW w:w="885" w:type="dxa"/>
            <w:shd w:val="clear" w:color="auto" w:fill="auto"/>
            <w:vAlign w:val="center"/>
            <w:hideMark/>
          </w:tcPr>
          <w:p w14:paraId="507738C2" w14:textId="77777777" w:rsidR="002C478A" w:rsidRPr="000179A4" w:rsidRDefault="002C478A" w:rsidP="002C478A">
            <w:pPr>
              <w:jc w:val="center"/>
              <w:rPr>
                <w:rFonts w:cs="Arial"/>
                <w:color w:val="000000"/>
                <w:sz w:val="22"/>
                <w:szCs w:val="22"/>
                <w:lang w:eastAsia="en-US"/>
              </w:rPr>
            </w:pPr>
            <w:r w:rsidRPr="000179A4">
              <w:rPr>
                <w:rFonts w:cs="Arial"/>
                <w:color w:val="000000"/>
                <w:sz w:val="22"/>
                <w:szCs w:val="22"/>
                <w:lang w:eastAsia="en-US"/>
              </w:rPr>
              <w:t>1</w:t>
            </w:r>
          </w:p>
        </w:tc>
      </w:tr>
      <w:tr w:rsidR="000C7DEB" w:rsidRPr="000179A4" w14:paraId="4B57A105" w14:textId="77777777" w:rsidTr="00914260">
        <w:trPr>
          <w:trHeight w:val="1242"/>
        </w:trPr>
        <w:tc>
          <w:tcPr>
            <w:tcW w:w="2620" w:type="dxa"/>
            <w:shd w:val="clear" w:color="auto" w:fill="auto"/>
          </w:tcPr>
          <w:p w14:paraId="1FEDCC3B" w14:textId="6E0110A4" w:rsidR="000C7DEB" w:rsidRPr="000179A4" w:rsidRDefault="000C7DEB" w:rsidP="002C478A">
            <w:pPr>
              <w:jc w:val="center"/>
              <w:rPr>
                <w:rFonts w:cs="Arial"/>
                <w:color w:val="000000"/>
                <w:sz w:val="22"/>
                <w:szCs w:val="22"/>
                <w:lang w:eastAsia="en-US"/>
              </w:rPr>
            </w:pPr>
            <w:r w:rsidRPr="008A51B1">
              <w:t>RE projects appraised by the CDB</w:t>
            </w:r>
          </w:p>
        </w:tc>
        <w:tc>
          <w:tcPr>
            <w:tcW w:w="1800" w:type="dxa"/>
            <w:shd w:val="clear" w:color="auto" w:fill="auto"/>
          </w:tcPr>
          <w:p w14:paraId="00C0C21D" w14:textId="39E85552" w:rsidR="000C7DEB" w:rsidRPr="000179A4" w:rsidRDefault="000C7DEB" w:rsidP="002C478A">
            <w:pPr>
              <w:jc w:val="center"/>
              <w:rPr>
                <w:rFonts w:cs="Arial"/>
                <w:color w:val="000000"/>
                <w:sz w:val="22"/>
                <w:szCs w:val="22"/>
                <w:lang w:eastAsia="en-US"/>
              </w:rPr>
            </w:pPr>
            <w:r w:rsidRPr="008A51B1">
              <w:t>RE projects appraised</w:t>
            </w:r>
          </w:p>
        </w:tc>
        <w:tc>
          <w:tcPr>
            <w:tcW w:w="1173" w:type="dxa"/>
            <w:shd w:val="clear" w:color="auto" w:fill="auto"/>
          </w:tcPr>
          <w:p w14:paraId="7DE37B5E" w14:textId="211DFA4A" w:rsidR="000C7DEB" w:rsidRPr="000179A4" w:rsidRDefault="000C7DEB" w:rsidP="002C478A">
            <w:pPr>
              <w:jc w:val="center"/>
              <w:rPr>
                <w:rFonts w:cs="Arial"/>
                <w:color w:val="000000"/>
                <w:sz w:val="22"/>
                <w:szCs w:val="22"/>
                <w:lang w:eastAsia="en-US"/>
              </w:rPr>
            </w:pPr>
            <w:r w:rsidRPr="008A51B1">
              <w:t>Number of RE projects</w:t>
            </w:r>
          </w:p>
        </w:tc>
        <w:tc>
          <w:tcPr>
            <w:tcW w:w="733" w:type="dxa"/>
            <w:shd w:val="clear" w:color="auto" w:fill="auto"/>
          </w:tcPr>
          <w:p w14:paraId="1B00C521" w14:textId="1617B803" w:rsidR="000C7DEB" w:rsidRPr="000179A4" w:rsidRDefault="000C7DEB" w:rsidP="002C478A">
            <w:pPr>
              <w:jc w:val="center"/>
              <w:rPr>
                <w:rFonts w:cs="Arial"/>
                <w:color w:val="000000"/>
                <w:sz w:val="22"/>
                <w:szCs w:val="22"/>
                <w:lang w:eastAsia="en-US"/>
              </w:rPr>
            </w:pPr>
            <w:r w:rsidRPr="008A51B1">
              <w:t>0</w:t>
            </w:r>
          </w:p>
        </w:tc>
        <w:tc>
          <w:tcPr>
            <w:tcW w:w="748" w:type="dxa"/>
            <w:shd w:val="clear" w:color="auto" w:fill="auto"/>
          </w:tcPr>
          <w:p w14:paraId="07974B4C" w14:textId="26FAF760" w:rsidR="000C7DEB" w:rsidRPr="000179A4" w:rsidRDefault="000C7DEB" w:rsidP="002C478A">
            <w:pPr>
              <w:jc w:val="center"/>
              <w:rPr>
                <w:rFonts w:cs="Arial"/>
                <w:color w:val="000000"/>
                <w:sz w:val="22"/>
                <w:szCs w:val="22"/>
                <w:lang w:eastAsia="en-US"/>
              </w:rPr>
            </w:pPr>
            <w:r w:rsidRPr="008A51B1">
              <w:t>0</w:t>
            </w:r>
          </w:p>
        </w:tc>
        <w:tc>
          <w:tcPr>
            <w:tcW w:w="719" w:type="dxa"/>
            <w:shd w:val="clear" w:color="auto" w:fill="auto"/>
          </w:tcPr>
          <w:p w14:paraId="523060F3" w14:textId="04F0DEC4" w:rsidR="000C7DEB" w:rsidRPr="000179A4" w:rsidRDefault="000C7DEB" w:rsidP="002C478A">
            <w:pPr>
              <w:jc w:val="center"/>
              <w:rPr>
                <w:rFonts w:cs="Arial"/>
                <w:color w:val="000000"/>
                <w:sz w:val="22"/>
                <w:szCs w:val="22"/>
                <w:lang w:eastAsia="en-US"/>
              </w:rPr>
            </w:pPr>
            <w:r w:rsidRPr="008A51B1">
              <w:t>1</w:t>
            </w:r>
          </w:p>
        </w:tc>
        <w:tc>
          <w:tcPr>
            <w:tcW w:w="733" w:type="dxa"/>
            <w:shd w:val="clear" w:color="auto" w:fill="auto"/>
          </w:tcPr>
          <w:p w14:paraId="250428EA" w14:textId="279EC438" w:rsidR="000C7DEB" w:rsidRPr="000179A4" w:rsidRDefault="000C7DEB" w:rsidP="002C478A">
            <w:pPr>
              <w:jc w:val="center"/>
              <w:rPr>
                <w:rFonts w:cs="Arial"/>
                <w:color w:val="000000"/>
                <w:sz w:val="22"/>
                <w:szCs w:val="22"/>
                <w:lang w:eastAsia="en-US"/>
              </w:rPr>
            </w:pPr>
            <w:r w:rsidRPr="008A51B1">
              <w:t>1</w:t>
            </w:r>
          </w:p>
        </w:tc>
        <w:tc>
          <w:tcPr>
            <w:tcW w:w="734" w:type="dxa"/>
            <w:shd w:val="clear" w:color="auto" w:fill="auto"/>
          </w:tcPr>
          <w:p w14:paraId="2BA25C4C" w14:textId="10DA68F8" w:rsidR="000C7DEB" w:rsidRPr="000179A4" w:rsidRDefault="000C7DEB" w:rsidP="002C478A">
            <w:pPr>
              <w:jc w:val="center"/>
              <w:rPr>
                <w:rFonts w:cs="Arial"/>
                <w:color w:val="000000"/>
                <w:sz w:val="22"/>
                <w:szCs w:val="22"/>
                <w:lang w:eastAsia="en-US"/>
              </w:rPr>
            </w:pPr>
            <w:r w:rsidRPr="008A51B1">
              <w:t>1</w:t>
            </w:r>
          </w:p>
        </w:tc>
        <w:tc>
          <w:tcPr>
            <w:tcW w:w="734" w:type="dxa"/>
            <w:shd w:val="clear" w:color="auto" w:fill="auto"/>
          </w:tcPr>
          <w:p w14:paraId="0EBB876F" w14:textId="25F9B6A8" w:rsidR="000C7DEB" w:rsidRPr="000179A4" w:rsidRDefault="000C7DEB" w:rsidP="002C478A">
            <w:pPr>
              <w:jc w:val="center"/>
              <w:rPr>
                <w:rFonts w:cs="Arial"/>
                <w:color w:val="000000"/>
                <w:sz w:val="22"/>
                <w:szCs w:val="22"/>
                <w:lang w:eastAsia="en-US"/>
              </w:rPr>
            </w:pPr>
            <w:r w:rsidRPr="008A51B1">
              <w:t>0</w:t>
            </w:r>
          </w:p>
        </w:tc>
        <w:tc>
          <w:tcPr>
            <w:tcW w:w="733" w:type="dxa"/>
            <w:shd w:val="clear" w:color="auto" w:fill="auto"/>
          </w:tcPr>
          <w:p w14:paraId="4B476D2A" w14:textId="77E10639" w:rsidR="000C7DEB" w:rsidRPr="000179A4" w:rsidRDefault="000C7DEB" w:rsidP="002C478A">
            <w:pPr>
              <w:jc w:val="center"/>
              <w:rPr>
                <w:rFonts w:cs="Arial"/>
                <w:color w:val="000000"/>
                <w:sz w:val="22"/>
                <w:szCs w:val="22"/>
                <w:lang w:eastAsia="en-US"/>
              </w:rPr>
            </w:pPr>
            <w:r w:rsidRPr="008A51B1">
              <w:t>0</w:t>
            </w:r>
          </w:p>
        </w:tc>
        <w:tc>
          <w:tcPr>
            <w:tcW w:w="734" w:type="dxa"/>
            <w:shd w:val="clear" w:color="auto" w:fill="auto"/>
          </w:tcPr>
          <w:p w14:paraId="0E33B4CF" w14:textId="0EB8A595" w:rsidR="000C7DEB" w:rsidRPr="000179A4" w:rsidRDefault="000C7DEB" w:rsidP="002C478A">
            <w:pPr>
              <w:jc w:val="center"/>
              <w:rPr>
                <w:rFonts w:cs="Arial"/>
                <w:color w:val="000000"/>
                <w:sz w:val="22"/>
                <w:szCs w:val="22"/>
                <w:lang w:eastAsia="en-US"/>
              </w:rPr>
            </w:pPr>
            <w:r w:rsidRPr="008A51B1">
              <w:t>0</w:t>
            </w:r>
          </w:p>
        </w:tc>
        <w:tc>
          <w:tcPr>
            <w:tcW w:w="734" w:type="dxa"/>
            <w:shd w:val="clear" w:color="auto" w:fill="auto"/>
          </w:tcPr>
          <w:p w14:paraId="70AC26CA" w14:textId="5CB4F5C2" w:rsidR="000C7DEB" w:rsidRPr="000179A4" w:rsidRDefault="000C7DEB" w:rsidP="002C478A">
            <w:pPr>
              <w:jc w:val="center"/>
              <w:rPr>
                <w:rFonts w:cs="Arial"/>
                <w:color w:val="000000"/>
                <w:sz w:val="22"/>
                <w:szCs w:val="22"/>
                <w:lang w:eastAsia="en-US"/>
              </w:rPr>
            </w:pPr>
            <w:r w:rsidRPr="008A51B1">
              <w:t>0</w:t>
            </w:r>
          </w:p>
        </w:tc>
        <w:tc>
          <w:tcPr>
            <w:tcW w:w="885" w:type="dxa"/>
            <w:shd w:val="clear" w:color="auto" w:fill="auto"/>
          </w:tcPr>
          <w:p w14:paraId="1758F910" w14:textId="2544E8E6" w:rsidR="000C7DEB" w:rsidRPr="000179A4" w:rsidRDefault="000C7DEB" w:rsidP="002C478A">
            <w:pPr>
              <w:jc w:val="center"/>
              <w:rPr>
                <w:rFonts w:cs="Arial"/>
                <w:color w:val="000000"/>
                <w:sz w:val="22"/>
                <w:szCs w:val="22"/>
                <w:lang w:eastAsia="en-US"/>
              </w:rPr>
            </w:pPr>
            <w:r w:rsidRPr="008A51B1">
              <w:t>3</w:t>
            </w:r>
          </w:p>
        </w:tc>
      </w:tr>
    </w:tbl>
    <w:p w14:paraId="0CF3FD8B" w14:textId="77777777" w:rsidR="002C478A" w:rsidRDefault="002C478A">
      <w:pPr>
        <w:pStyle w:val="TableorFigureEnd"/>
      </w:pPr>
    </w:p>
    <w:p w14:paraId="18E5C198" w14:textId="77777777" w:rsidR="002C478A" w:rsidRDefault="002C478A" w:rsidP="002C478A">
      <w:pPr>
        <w:pStyle w:val="BodyText"/>
      </w:pPr>
    </w:p>
    <w:p w14:paraId="0C4103AD" w14:textId="00724637" w:rsidR="000A71BF" w:rsidRDefault="000A71BF" w:rsidP="002C478A">
      <w:pPr>
        <w:pStyle w:val="BodyText"/>
      </w:pPr>
    </w:p>
    <w:p w14:paraId="220A4E80" w14:textId="77777777" w:rsidR="000A71BF" w:rsidRDefault="000A71BF" w:rsidP="002C478A">
      <w:pPr>
        <w:pStyle w:val="BodyText"/>
      </w:pPr>
    </w:p>
    <w:p w14:paraId="0489DE3E" w14:textId="77777777" w:rsidR="007646ED" w:rsidRDefault="007646ED" w:rsidP="002C478A">
      <w:pPr>
        <w:pStyle w:val="BodyText"/>
      </w:pPr>
    </w:p>
    <w:p w14:paraId="616E4BDD" w14:textId="77777777" w:rsidR="007646ED" w:rsidRDefault="007646ED" w:rsidP="002C478A">
      <w:pPr>
        <w:pStyle w:val="BodyText"/>
      </w:pPr>
    </w:p>
    <w:p w14:paraId="0921DCE0" w14:textId="67076B29" w:rsidR="002A5742" w:rsidRPr="00F76DE7" w:rsidRDefault="002A5742" w:rsidP="002A5742">
      <w:pPr>
        <w:pStyle w:val="BodyText"/>
        <w:pBdr>
          <w:bottom w:val="single" w:sz="4" w:space="1" w:color="auto"/>
        </w:pBdr>
        <w:jc w:val="left"/>
        <w:rPr>
          <w:b/>
        </w:rPr>
      </w:pPr>
      <w:r w:rsidRPr="00EE4100">
        <w:rPr>
          <w:b/>
        </w:rPr>
        <w:t xml:space="preserve">Table </w:t>
      </w:r>
      <w:r w:rsidRPr="00EE4100">
        <w:rPr>
          <w:b/>
        </w:rPr>
        <w:fldChar w:fldCharType="begin"/>
      </w:r>
      <w:r w:rsidRPr="00EE4100">
        <w:rPr>
          <w:b/>
        </w:rPr>
        <w:instrText xml:space="preserve"> STYLEREF 4 \s </w:instrText>
      </w:r>
      <w:r w:rsidRPr="00EE4100">
        <w:rPr>
          <w:b/>
        </w:rPr>
        <w:fldChar w:fldCharType="separate"/>
      </w:r>
      <w:r w:rsidRPr="00EE4100">
        <w:rPr>
          <w:b/>
          <w:noProof/>
        </w:rPr>
        <w:t>A</w:t>
      </w:r>
      <w:r w:rsidRPr="00EE4100">
        <w:rPr>
          <w:b/>
          <w:noProof/>
        </w:rPr>
        <w:fldChar w:fldCharType="end"/>
      </w:r>
      <w:r w:rsidRPr="00EE4100">
        <w:rPr>
          <w:b/>
        </w:rPr>
        <w:t>.</w:t>
      </w:r>
      <w:r w:rsidRPr="00EE4100">
        <w:rPr>
          <w:b/>
        </w:rPr>
        <w:fldChar w:fldCharType="begin"/>
      </w:r>
      <w:r w:rsidRPr="00EE4100">
        <w:rPr>
          <w:b/>
        </w:rPr>
        <w:instrText xml:space="preserve"> SEQ Table \* ARABIC \s 4 </w:instrText>
      </w:r>
      <w:r w:rsidRPr="00EE4100">
        <w:rPr>
          <w:b/>
        </w:rPr>
        <w:fldChar w:fldCharType="separate"/>
      </w:r>
      <w:r w:rsidRPr="00EE4100">
        <w:rPr>
          <w:b/>
          <w:noProof/>
        </w:rPr>
        <w:t>2</w:t>
      </w:r>
      <w:r w:rsidRPr="00EE4100">
        <w:rPr>
          <w:b/>
          <w:noProof/>
        </w:rPr>
        <w:fldChar w:fldCharType="end"/>
      </w:r>
      <w:r w:rsidRPr="00EE4100">
        <w:rPr>
          <w:b/>
        </w:rPr>
        <w:t>:</w:t>
      </w:r>
      <w:r w:rsidR="000A71BF">
        <w:rPr>
          <w:b/>
        </w:rPr>
        <w:t xml:space="preserve"> </w:t>
      </w:r>
      <w:r w:rsidRPr="00EE4100">
        <w:rPr>
          <w:b/>
        </w:rPr>
        <w:t>Description</w:t>
      </w:r>
      <w:r w:rsidR="000A71BF">
        <w:rPr>
          <w:b/>
        </w:rPr>
        <w:t>/</w:t>
      </w:r>
      <w:r w:rsidRPr="00BE63F7">
        <w:rPr>
          <w:b/>
        </w:rPr>
        <w:t>Source of Verification</w:t>
      </w:r>
      <w:r>
        <w:rPr>
          <w:b/>
        </w:rPr>
        <w:t xml:space="preserve"> for Results Indicators</w:t>
      </w:r>
    </w:p>
    <w:tbl>
      <w:tblPr>
        <w:tblW w:w="13461" w:type="dxa"/>
        <w:jc w:val="center"/>
        <w:tblBorders>
          <w:insideH w:val="single" w:sz="8" w:space="0" w:color="auto"/>
          <w:insideV w:val="single" w:sz="8" w:space="0" w:color="auto"/>
        </w:tblBorders>
        <w:tblLook w:val="04A0" w:firstRow="1" w:lastRow="0" w:firstColumn="1" w:lastColumn="0" w:noHBand="0" w:noVBand="1"/>
      </w:tblPr>
      <w:tblGrid>
        <w:gridCol w:w="2673"/>
        <w:gridCol w:w="2153"/>
        <w:gridCol w:w="1149"/>
        <w:gridCol w:w="7486"/>
      </w:tblGrid>
      <w:tr w:rsidR="002A5742" w:rsidRPr="002A5742" w14:paraId="57BDA6B3" w14:textId="77777777" w:rsidTr="000C7DEB">
        <w:trPr>
          <w:trHeight w:val="270"/>
          <w:jc w:val="center"/>
        </w:trPr>
        <w:tc>
          <w:tcPr>
            <w:tcW w:w="2673" w:type="dxa"/>
            <w:shd w:val="clear" w:color="000000" w:fill="C0C0C0"/>
            <w:noWrap/>
            <w:vAlign w:val="center"/>
            <w:hideMark/>
          </w:tcPr>
          <w:p w14:paraId="41F5F76F"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Component 1</w:t>
            </w:r>
          </w:p>
        </w:tc>
        <w:tc>
          <w:tcPr>
            <w:tcW w:w="2153" w:type="dxa"/>
            <w:shd w:val="clear" w:color="000000" w:fill="C0C0C0"/>
            <w:noWrap/>
            <w:vAlign w:val="center"/>
            <w:hideMark/>
          </w:tcPr>
          <w:p w14:paraId="142233F2"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Indicator</w:t>
            </w:r>
          </w:p>
        </w:tc>
        <w:tc>
          <w:tcPr>
            <w:tcW w:w="1149" w:type="dxa"/>
            <w:shd w:val="clear" w:color="000000" w:fill="C0C0C0"/>
            <w:noWrap/>
            <w:vAlign w:val="center"/>
            <w:hideMark/>
          </w:tcPr>
          <w:p w14:paraId="7F2F7D7D"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Units</w:t>
            </w:r>
          </w:p>
        </w:tc>
        <w:tc>
          <w:tcPr>
            <w:tcW w:w="7486" w:type="dxa"/>
            <w:shd w:val="clear" w:color="000000" w:fill="C0C0C0"/>
            <w:vAlign w:val="center"/>
            <w:hideMark/>
          </w:tcPr>
          <w:p w14:paraId="5BEE158D"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Source of Verification/ Comments</w:t>
            </w:r>
          </w:p>
        </w:tc>
      </w:tr>
      <w:tr w:rsidR="002A5742" w:rsidRPr="002A5742" w14:paraId="221A4C89" w14:textId="77777777" w:rsidTr="000C7DEB">
        <w:trPr>
          <w:trHeight w:val="270"/>
          <w:jc w:val="center"/>
        </w:trPr>
        <w:tc>
          <w:tcPr>
            <w:tcW w:w="2673" w:type="dxa"/>
            <w:shd w:val="clear" w:color="000000" w:fill="F2F2F2"/>
            <w:noWrap/>
            <w:vAlign w:val="center"/>
            <w:hideMark/>
          </w:tcPr>
          <w:p w14:paraId="21B1111F"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Results</w:t>
            </w:r>
          </w:p>
        </w:tc>
        <w:tc>
          <w:tcPr>
            <w:tcW w:w="2153" w:type="dxa"/>
            <w:shd w:val="clear" w:color="000000" w:fill="F2F2F2"/>
            <w:noWrap/>
            <w:vAlign w:val="center"/>
            <w:hideMark/>
          </w:tcPr>
          <w:p w14:paraId="20EAA1EA"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645244B4"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43229E28"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2C86DC46" w14:textId="77777777" w:rsidTr="000C7DEB">
        <w:trPr>
          <w:trHeight w:val="900"/>
          <w:jc w:val="center"/>
        </w:trPr>
        <w:tc>
          <w:tcPr>
            <w:tcW w:w="2673" w:type="dxa"/>
            <w:shd w:val="clear" w:color="auto" w:fill="auto"/>
            <w:vAlign w:val="center"/>
            <w:hideMark/>
          </w:tcPr>
          <w:p w14:paraId="65F6DBBD" w14:textId="77777777" w:rsidR="002A5742" w:rsidRPr="002A5742" w:rsidRDefault="002A5742" w:rsidP="002A5742">
            <w:pPr>
              <w:jc w:val="left"/>
              <w:rPr>
                <w:rFonts w:cs="Arial"/>
                <w:color w:val="000000"/>
                <w:sz w:val="22"/>
                <w:szCs w:val="22"/>
                <w:lang w:eastAsia="en-US"/>
              </w:rPr>
            </w:pPr>
            <w:r w:rsidRPr="000179A4">
              <w:rPr>
                <w:rFonts w:cs="Arial"/>
                <w:color w:val="000000"/>
                <w:sz w:val="22"/>
                <w:szCs w:val="22"/>
                <w:lang w:eastAsia="en-US"/>
              </w:rPr>
              <w:t>Reduction in electricity consumption from Public Lighting sectors with EE projects financed by the Program</w:t>
            </w:r>
          </w:p>
        </w:tc>
        <w:tc>
          <w:tcPr>
            <w:tcW w:w="2153" w:type="dxa"/>
            <w:shd w:val="clear" w:color="auto" w:fill="auto"/>
            <w:vAlign w:val="center"/>
            <w:hideMark/>
          </w:tcPr>
          <w:p w14:paraId="4A58D5CC" w14:textId="7E6F6810" w:rsidR="002A5742" w:rsidRPr="002A5742" w:rsidRDefault="00C9762E" w:rsidP="002A5742">
            <w:pPr>
              <w:jc w:val="left"/>
              <w:rPr>
                <w:rFonts w:cs="Arial"/>
                <w:color w:val="000000"/>
                <w:sz w:val="22"/>
                <w:szCs w:val="22"/>
                <w:lang w:eastAsia="en-US"/>
              </w:rPr>
            </w:pPr>
            <w:r w:rsidRPr="00C9762E">
              <w:rPr>
                <w:rFonts w:cs="Arial"/>
                <w:color w:val="000000"/>
                <w:sz w:val="22"/>
                <w:szCs w:val="22"/>
                <w:lang w:eastAsia="en-US"/>
              </w:rPr>
              <w:t xml:space="preserve">Electricity saved by EE applications, measures &amp; programs  </w:t>
            </w:r>
          </w:p>
        </w:tc>
        <w:tc>
          <w:tcPr>
            <w:tcW w:w="1149" w:type="dxa"/>
            <w:shd w:val="clear" w:color="auto" w:fill="auto"/>
            <w:vAlign w:val="center"/>
            <w:hideMark/>
          </w:tcPr>
          <w:p w14:paraId="4D0EE1C7" w14:textId="12F82B65" w:rsidR="002A5742" w:rsidRPr="002A5742" w:rsidRDefault="00C9762E" w:rsidP="002A5742">
            <w:pPr>
              <w:jc w:val="center"/>
              <w:rPr>
                <w:rFonts w:cs="Arial"/>
                <w:color w:val="000000"/>
                <w:sz w:val="22"/>
                <w:szCs w:val="22"/>
                <w:lang w:eastAsia="en-US"/>
              </w:rPr>
            </w:pPr>
            <w:r w:rsidRPr="00C9762E">
              <w:rPr>
                <w:rFonts w:cs="Arial"/>
                <w:color w:val="000000"/>
                <w:sz w:val="22"/>
                <w:szCs w:val="22"/>
                <w:lang w:eastAsia="en-US"/>
              </w:rPr>
              <w:t>GWh/yea</w:t>
            </w:r>
            <w:r w:rsidR="000179A4">
              <w:rPr>
                <w:rFonts w:cs="Arial"/>
                <w:color w:val="000000"/>
                <w:sz w:val="22"/>
                <w:szCs w:val="22"/>
                <w:lang w:eastAsia="en-US"/>
              </w:rPr>
              <w:t>r</w:t>
            </w:r>
          </w:p>
        </w:tc>
        <w:tc>
          <w:tcPr>
            <w:tcW w:w="7486" w:type="dxa"/>
            <w:shd w:val="clear" w:color="auto" w:fill="auto"/>
            <w:vAlign w:val="center"/>
            <w:hideMark/>
          </w:tcPr>
          <w:p w14:paraId="4EF873FF" w14:textId="55A585A6" w:rsidR="002A5742" w:rsidRPr="002A5742" w:rsidRDefault="002A5742" w:rsidP="00C9762E">
            <w:pPr>
              <w:jc w:val="left"/>
              <w:rPr>
                <w:rFonts w:cs="Arial"/>
                <w:iCs/>
                <w:color w:val="000000"/>
                <w:sz w:val="22"/>
                <w:szCs w:val="22"/>
                <w:lang w:eastAsia="en-US"/>
              </w:rPr>
            </w:pPr>
            <w:r w:rsidRPr="002A5742">
              <w:rPr>
                <w:rFonts w:cs="Arial"/>
                <w:iCs/>
                <w:color w:val="000000"/>
                <w:sz w:val="22"/>
                <w:szCs w:val="22"/>
                <w:lang w:eastAsia="en-US"/>
              </w:rPr>
              <w:t>Measures the percentage decrease of electricity unit sales to Public Lighting in EC countries with EE projects financed by the Program. Calculated based on following formula:</w:t>
            </w:r>
            <w:r w:rsidRPr="002A5742">
              <w:rPr>
                <w:rFonts w:cs="Arial"/>
                <w:iCs/>
                <w:color w:val="000000"/>
                <w:sz w:val="22"/>
                <w:szCs w:val="22"/>
                <w:lang w:eastAsia="en-US"/>
              </w:rPr>
              <w:br/>
              <w:t>(Y-X)</w:t>
            </w:r>
            <w:r w:rsidR="00C9762E" w:rsidRPr="002A5742" w:rsidDel="00C9762E">
              <w:rPr>
                <w:rFonts w:cs="Arial"/>
                <w:iCs/>
                <w:color w:val="000000"/>
                <w:sz w:val="22"/>
                <w:szCs w:val="22"/>
                <w:lang w:eastAsia="en-US"/>
              </w:rPr>
              <w:t xml:space="preserve"> </w:t>
            </w:r>
            <w:r w:rsidRPr="002A5742">
              <w:rPr>
                <w:rFonts w:cs="Arial"/>
                <w:iCs/>
                <w:color w:val="000000"/>
                <w:sz w:val="22"/>
                <w:szCs w:val="22"/>
                <w:lang w:eastAsia="en-US"/>
              </w:rPr>
              <w:br/>
              <w:t>Where:</w:t>
            </w:r>
            <w:r w:rsidRPr="002A5742">
              <w:rPr>
                <w:rFonts w:cs="Arial"/>
                <w:iCs/>
                <w:color w:val="000000"/>
                <w:sz w:val="22"/>
                <w:szCs w:val="22"/>
                <w:lang w:eastAsia="en-US"/>
              </w:rPr>
              <w:br/>
              <w:t xml:space="preserve">Y= Units of Electricity Sold in kwh for Public Lighting in the year </w:t>
            </w:r>
            <w:r w:rsidRPr="002A5742">
              <w:rPr>
                <w:rFonts w:cs="Arial"/>
                <w:iCs/>
                <w:color w:val="000000"/>
                <w:sz w:val="22"/>
                <w:szCs w:val="22"/>
                <w:lang w:eastAsia="en-US"/>
              </w:rPr>
              <w:br/>
              <w:t xml:space="preserve">X=Units of Electricity in kwh that would have been consumed for Public Lighting without Program </w:t>
            </w:r>
            <w:r w:rsidRPr="002A5742">
              <w:rPr>
                <w:rFonts w:cs="Arial"/>
                <w:iCs/>
                <w:color w:val="000000"/>
                <w:sz w:val="22"/>
                <w:szCs w:val="22"/>
                <w:lang w:eastAsia="en-US"/>
              </w:rPr>
              <w:br/>
            </w:r>
            <w:r w:rsidRPr="002A5742">
              <w:rPr>
                <w:rFonts w:cs="Arial"/>
                <w:iCs/>
                <w:color w:val="000000"/>
                <w:sz w:val="22"/>
                <w:szCs w:val="22"/>
                <w:lang w:eastAsia="en-US"/>
              </w:rPr>
              <w:br/>
              <w:t>Note: If the projects are not operational for the entire year in the first year of operation, the annual target for that year need to be adjusted proportionally to the time the project are actually in operation.</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based on utility sales reports. </w:t>
            </w:r>
          </w:p>
        </w:tc>
      </w:tr>
      <w:tr w:rsidR="002A5742" w:rsidRPr="002A5742" w14:paraId="24EBC2F7" w14:textId="77777777" w:rsidTr="000C7DEB">
        <w:trPr>
          <w:trHeight w:val="1870"/>
          <w:jc w:val="center"/>
        </w:trPr>
        <w:tc>
          <w:tcPr>
            <w:tcW w:w="2673" w:type="dxa"/>
            <w:shd w:val="clear" w:color="auto" w:fill="auto"/>
            <w:vAlign w:val="center"/>
            <w:hideMark/>
          </w:tcPr>
          <w:p w14:paraId="4CBD2CB7"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Reduction in imports of fossil fuels for electricity generation in EC countries due to EE projects financed at any stage by the Program</w:t>
            </w:r>
          </w:p>
        </w:tc>
        <w:tc>
          <w:tcPr>
            <w:tcW w:w="2153" w:type="dxa"/>
            <w:shd w:val="clear" w:color="auto" w:fill="auto"/>
            <w:vAlign w:val="center"/>
            <w:hideMark/>
          </w:tcPr>
          <w:p w14:paraId="106946AB"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Reduction in imports of fossil fuels for electricity generation</w:t>
            </w:r>
          </w:p>
        </w:tc>
        <w:tc>
          <w:tcPr>
            <w:tcW w:w="1149" w:type="dxa"/>
            <w:shd w:val="clear" w:color="000000" w:fill="FFFFFF"/>
            <w:vAlign w:val="center"/>
            <w:hideMark/>
          </w:tcPr>
          <w:p w14:paraId="31C8CDF6"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Thousand barrels of oil</w:t>
            </w:r>
          </w:p>
        </w:tc>
        <w:tc>
          <w:tcPr>
            <w:tcW w:w="7486" w:type="dxa"/>
            <w:shd w:val="clear" w:color="000000" w:fill="FFFFFF"/>
            <w:vAlign w:val="center"/>
            <w:hideMark/>
          </w:tcPr>
          <w:p w14:paraId="170215BA" w14:textId="6647E9E8" w:rsidR="00A83C80" w:rsidRPr="00A83C80" w:rsidRDefault="002A5742" w:rsidP="00A83C80">
            <w:pPr>
              <w:jc w:val="left"/>
              <w:rPr>
                <w:rFonts w:cs="Arial"/>
                <w:iCs/>
                <w:sz w:val="22"/>
                <w:szCs w:val="22"/>
                <w:lang w:eastAsia="en-US"/>
              </w:rPr>
            </w:pPr>
            <w:r w:rsidRPr="002A5742">
              <w:rPr>
                <w:rFonts w:cs="Arial"/>
                <w:iCs/>
                <w:sz w:val="22"/>
                <w:szCs w:val="22"/>
                <w:lang w:eastAsia="en-US"/>
              </w:rPr>
              <w:t xml:space="preserve">Measures the estimated reduction in barrels of oil imported once the lamps are retrofitted. </w:t>
            </w:r>
            <w:r w:rsidR="00E579ED">
              <w:rPr>
                <w:rFonts w:cs="Arial"/>
                <w:iCs/>
                <w:sz w:val="22"/>
                <w:szCs w:val="22"/>
                <w:lang w:eastAsia="en-US"/>
              </w:rPr>
              <w:t>It is c</w:t>
            </w:r>
            <w:r w:rsidRPr="002A5742">
              <w:rPr>
                <w:rFonts w:cs="Arial"/>
                <w:iCs/>
                <w:sz w:val="22"/>
                <w:szCs w:val="22"/>
                <w:lang w:eastAsia="en-US"/>
              </w:rPr>
              <w:t>alculated based on following formula:</w:t>
            </w:r>
          </w:p>
          <w:p w14:paraId="46083180" w14:textId="77777777" w:rsidR="00A83C80" w:rsidRPr="00A83C80" w:rsidRDefault="002A5742" w:rsidP="00A83C80">
            <w:pPr>
              <w:jc w:val="left"/>
              <w:rPr>
                <w:rFonts w:cs="Arial"/>
                <w:iCs/>
                <w:sz w:val="22"/>
                <w:szCs w:val="22"/>
                <w:lang w:eastAsia="en-US"/>
              </w:rPr>
            </w:pPr>
            <w:r w:rsidRPr="00A83C80">
              <w:rPr>
                <w:sz w:val="22"/>
                <w:lang w:eastAsia="en-US"/>
              </w:rPr>
              <w:t>a</w:t>
            </w:r>
            <w:r w:rsidR="00A83C80" w:rsidRPr="00A83C80">
              <w:rPr>
                <w:rFonts w:cs="Arial"/>
                <w:iCs/>
                <w:sz w:val="22"/>
                <w:szCs w:val="22"/>
                <w:lang w:eastAsia="en-US"/>
              </w:rPr>
              <w:t>*c</w:t>
            </w:r>
          </w:p>
          <w:p w14:paraId="435FC66E" w14:textId="77777777" w:rsidR="00A83C80" w:rsidRPr="00A83C80" w:rsidRDefault="002A5742" w:rsidP="00A83C80">
            <w:pPr>
              <w:jc w:val="left"/>
              <w:rPr>
                <w:rFonts w:cs="Arial"/>
                <w:iCs/>
                <w:sz w:val="22"/>
                <w:szCs w:val="22"/>
                <w:lang w:eastAsia="en-US"/>
              </w:rPr>
            </w:pPr>
            <w:r w:rsidRPr="00A83C80">
              <w:rPr>
                <w:sz w:val="22"/>
                <w:lang w:eastAsia="en-US"/>
              </w:rPr>
              <w:t>Where:</w:t>
            </w:r>
          </w:p>
          <w:p w14:paraId="4C4C3603" w14:textId="2C1997A9" w:rsidR="00A83C80" w:rsidRPr="00A83C80" w:rsidRDefault="002A5742" w:rsidP="00A83C80">
            <w:pPr>
              <w:jc w:val="left"/>
              <w:rPr>
                <w:rFonts w:cs="Arial"/>
                <w:iCs/>
                <w:sz w:val="22"/>
                <w:szCs w:val="22"/>
                <w:lang w:eastAsia="en-US"/>
              </w:rPr>
            </w:pPr>
            <w:r w:rsidRPr="00A83C80">
              <w:rPr>
                <w:sz w:val="22"/>
                <w:lang w:eastAsia="en-US"/>
              </w:rPr>
              <w:t xml:space="preserve">a= electricity </w:t>
            </w:r>
            <w:r w:rsidR="00A83C80" w:rsidRPr="00A83C80">
              <w:rPr>
                <w:rFonts w:cs="Arial"/>
                <w:iCs/>
                <w:sz w:val="22"/>
                <w:szCs w:val="22"/>
                <w:lang w:eastAsia="en-US"/>
              </w:rPr>
              <w:t xml:space="preserve">savings from the </w:t>
            </w:r>
            <w:r w:rsidRPr="00A83C80">
              <w:rPr>
                <w:sz w:val="22"/>
                <w:lang w:eastAsia="en-US"/>
              </w:rPr>
              <w:t>retrofitted lamps</w:t>
            </w:r>
            <w:r w:rsidR="00A83C80" w:rsidRPr="00A83C80">
              <w:rPr>
                <w:rFonts w:cs="Arial"/>
                <w:iCs/>
                <w:sz w:val="22"/>
                <w:szCs w:val="22"/>
                <w:lang w:eastAsia="en-US"/>
              </w:rPr>
              <w:t xml:space="preserve"> (kWh)</w:t>
            </w:r>
          </w:p>
          <w:p w14:paraId="22C0F8F1" w14:textId="31CA1C5F" w:rsidR="00A83C80" w:rsidRPr="00A83C80" w:rsidRDefault="00A83C80" w:rsidP="00A83C80">
            <w:pPr>
              <w:jc w:val="left"/>
              <w:rPr>
                <w:rFonts w:cs="Arial"/>
                <w:iCs/>
                <w:sz w:val="22"/>
                <w:szCs w:val="22"/>
                <w:lang w:eastAsia="en-US"/>
              </w:rPr>
            </w:pPr>
            <w:r w:rsidRPr="00A83C80">
              <w:rPr>
                <w:rFonts w:cs="Arial"/>
                <w:iCs/>
                <w:sz w:val="22"/>
                <w:szCs w:val="22"/>
                <w:lang w:eastAsia="en-US"/>
              </w:rPr>
              <w:t>c=</w:t>
            </w:r>
            <w:r w:rsidR="00E77B12">
              <w:rPr>
                <w:rFonts w:cs="Arial"/>
                <w:iCs/>
                <w:sz w:val="22"/>
                <w:szCs w:val="22"/>
                <w:lang w:eastAsia="en-US"/>
              </w:rPr>
              <w:t xml:space="preserve">average </w:t>
            </w:r>
            <w:r w:rsidRPr="00A83C80">
              <w:rPr>
                <w:rFonts w:cs="Arial"/>
                <w:iCs/>
                <w:sz w:val="22"/>
                <w:szCs w:val="22"/>
                <w:lang w:eastAsia="en-US"/>
              </w:rPr>
              <w:t>conversion factor</w:t>
            </w:r>
            <w:r w:rsidR="00E579ED" w:rsidRPr="00A83C80">
              <w:rPr>
                <w:rFonts w:cs="Arial"/>
                <w:iCs/>
                <w:sz w:val="22"/>
                <w:szCs w:val="22"/>
                <w:lang w:eastAsia="en-US"/>
              </w:rPr>
              <w:t>=</w:t>
            </w:r>
            <w:r w:rsidR="00E579ED">
              <w:rPr>
                <w:rFonts w:cs="Arial"/>
                <w:iCs/>
                <w:sz w:val="22"/>
                <w:szCs w:val="22"/>
                <w:lang w:eastAsia="en-US"/>
              </w:rPr>
              <w:t xml:space="preserve"> heat rate * oil energy content </w:t>
            </w:r>
          </w:p>
          <w:p w14:paraId="601B05F2" w14:textId="77777777" w:rsidR="00A83C80" w:rsidRPr="00A83C80" w:rsidRDefault="00A83C80" w:rsidP="00A83C80">
            <w:pPr>
              <w:jc w:val="left"/>
              <w:rPr>
                <w:rFonts w:cs="Arial"/>
                <w:iCs/>
                <w:sz w:val="22"/>
                <w:szCs w:val="22"/>
                <w:lang w:eastAsia="en-US"/>
              </w:rPr>
            </w:pPr>
          </w:p>
          <w:p w14:paraId="573088F5" w14:textId="77777777" w:rsidR="00E579ED" w:rsidRDefault="00A83C80" w:rsidP="00A83C80">
            <w:pPr>
              <w:jc w:val="left"/>
              <w:rPr>
                <w:sz w:val="22"/>
                <w:lang w:eastAsia="en-US"/>
              </w:rPr>
            </w:pPr>
            <w:r w:rsidRPr="00A83C80">
              <w:rPr>
                <w:rFonts w:cs="Arial"/>
                <w:iCs/>
                <w:sz w:val="22"/>
                <w:szCs w:val="22"/>
                <w:lang w:eastAsia="en-US"/>
              </w:rPr>
              <w:t xml:space="preserve">Source: Variable </w:t>
            </w:r>
            <w:r>
              <w:rPr>
                <w:rFonts w:cs="Arial"/>
                <w:iCs/>
                <w:sz w:val="22"/>
                <w:szCs w:val="22"/>
                <w:lang w:eastAsia="en-US"/>
              </w:rPr>
              <w:t>“</w:t>
            </w:r>
            <w:r w:rsidRPr="00A83C80">
              <w:rPr>
                <w:rFonts w:cs="Arial"/>
                <w:iCs/>
                <w:sz w:val="22"/>
                <w:szCs w:val="22"/>
                <w:lang w:eastAsia="en-US"/>
              </w:rPr>
              <w:t>a</w:t>
            </w:r>
            <w:r>
              <w:rPr>
                <w:rFonts w:cs="Arial"/>
                <w:iCs/>
                <w:sz w:val="22"/>
                <w:szCs w:val="22"/>
                <w:lang w:eastAsia="en-US"/>
              </w:rPr>
              <w:t>”</w:t>
            </w:r>
            <w:r w:rsidRPr="00A83C80">
              <w:rPr>
                <w:rFonts w:cs="Arial"/>
                <w:iCs/>
                <w:sz w:val="22"/>
                <w:szCs w:val="22"/>
                <w:lang w:eastAsia="en-US"/>
              </w:rPr>
              <w:t xml:space="preserve"> is an IDB estimation made based on efficiency levels and number of retrofitted lamps. </w:t>
            </w:r>
            <w:r w:rsidR="002A5742" w:rsidRPr="00A83C80">
              <w:rPr>
                <w:sz w:val="22"/>
                <w:lang w:eastAsia="en-US"/>
              </w:rPr>
              <w:t>Figures to be checked with the utilities and the Governments in the EC countries (ex-post CBA</w:t>
            </w:r>
            <w:r w:rsidRPr="00A83C80">
              <w:rPr>
                <w:rFonts w:cs="Arial"/>
                <w:iCs/>
                <w:sz w:val="22"/>
                <w:szCs w:val="22"/>
                <w:lang w:eastAsia="en-US"/>
              </w:rPr>
              <w:t>)</w:t>
            </w:r>
            <w:r w:rsidR="00E579ED">
              <w:rPr>
                <w:sz w:val="22"/>
                <w:lang w:eastAsia="en-US"/>
              </w:rPr>
              <w:t>.</w:t>
            </w:r>
          </w:p>
          <w:p w14:paraId="7F9226E9" w14:textId="6FE55CE5" w:rsidR="002A5742" w:rsidRPr="002A5742" w:rsidRDefault="002A5742" w:rsidP="00A83C80">
            <w:pPr>
              <w:jc w:val="left"/>
              <w:rPr>
                <w:rFonts w:cs="Arial"/>
                <w:iCs/>
                <w:color w:val="FF0000"/>
                <w:sz w:val="22"/>
                <w:szCs w:val="22"/>
                <w:lang w:eastAsia="en-US"/>
              </w:rPr>
            </w:pPr>
            <w:r w:rsidRPr="00A83C80">
              <w:rPr>
                <w:sz w:val="22"/>
                <w:lang w:eastAsia="en-US"/>
              </w:rPr>
              <w:t xml:space="preserve">Variable </w:t>
            </w:r>
            <w:r w:rsidR="004653F6">
              <w:rPr>
                <w:rFonts w:cs="Arial"/>
                <w:iCs/>
                <w:sz w:val="22"/>
                <w:szCs w:val="22"/>
                <w:lang w:eastAsia="en-US"/>
              </w:rPr>
              <w:t>“</w:t>
            </w:r>
            <w:r w:rsidR="00A83C80" w:rsidRPr="00A83C80">
              <w:rPr>
                <w:rFonts w:cs="Arial"/>
                <w:iCs/>
                <w:sz w:val="22"/>
                <w:szCs w:val="22"/>
                <w:lang w:eastAsia="en-US"/>
              </w:rPr>
              <w:t>c</w:t>
            </w:r>
            <w:r w:rsidR="004653F6">
              <w:rPr>
                <w:rFonts w:cs="Arial"/>
                <w:iCs/>
                <w:sz w:val="22"/>
                <w:szCs w:val="22"/>
                <w:lang w:eastAsia="en-US"/>
              </w:rPr>
              <w:t>”</w:t>
            </w:r>
            <w:r w:rsidRPr="00A83C80">
              <w:rPr>
                <w:sz w:val="22"/>
                <w:lang w:eastAsia="en-US"/>
              </w:rPr>
              <w:t xml:space="preserve"> is based on </w:t>
            </w:r>
            <w:r w:rsidRPr="00A679D5">
              <w:rPr>
                <w:rFonts w:cs="Arial"/>
                <w:iCs/>
                <w:sz w:val="22"/>
                <w:szCs w:val="22"/>
                <w:lang w:eastAsia="en-US"/>
              </w:rPr>
              <w:t>a heat rate of 10,200 kj/kWh, and an oil energy content of 6.311532*10^6 kj/barrel of oil.</w:t>
            </w:r>
          </w:p>
        </w:tc>
      </w:tr>
      <w:tr w:rsidR="002A5742" w:rsidRPr="002A5742" w14:paraId="11C0BA46" w14:textId="77777777" w:rsidTr="000C7DEB">
        <w:trPr>
          <w:trHeight w:val="2095"/>
          <w:jc w:val="center"/>
        </w:trPr>
        <w:tc>
          <w:tcPr>
            <w:tcW w:w="2673" w:type="dxa"/>
            <w:shd w:val="clear" w:color="auto" w:fill="auto"/>
            <w:vAlign w:val="center"/>
            <w:hideMark/>
          </w:tcPr>
          <w:p w14:paraId="03A33D0D"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lastRenderedPageBreak/>
              <w:t>Greenhouse gas (GHG) emissions avoided by EE projects financed at any stage by the Program</w:t>
            </w:r>
          </w:p>
        </w:tc>
        <w:tc>
          <w:tcPr>
            <w:tcW w:w="2153" w:type="dxa"/>
            <w:shd w:val="clear" w:color="auto" w:fill="auto"/>
            <w:vAlign w:val="center"/>
            <w:hideMark/>
          </w:tcPr>
          <w:p w14:paraId="2869BB7E"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Greenhouse gas (GHG) emissions avoided</w:t>
            </w:r>
          </w:p>
        </w:tc>
        <w:tc>
          <w:tcPr>
            <w:tcW w:w="1149" w:type="dxa"/>
            <w:shd w:val="clear" w:color="000000" w:fill="FFFFFF"/>
            <w:vAlign w:val="center"/>
            <w:hideMark/>
          </w:tcPr>
          <w:p w14:paraId="7B4AAB35" w14:textId="31F80A0D" w:rsidR="002A5742" w:rsidRPr="002A5742" w:rsidRDefault="00C9762E" w:rsidP="002A5742">
            <w:pPr>
              <w:jc w:val="center"/>
              <w:rPr>
                <w:rFonts w:cs="Arial"/>
                <w:color w:val="000000"/>
                <w:sz w:val="22"/>
                <w:szCs w:val="22"/>
                <w:lang w:eastAsia="en-US"/>
              </w:rPr>
            </w:pPr>
            <w:r>
              <w:rPr>
                <w:rFonts w:cs="Arial"/>
                <w:color w:val="000000"/>
                <w:sz w:val="22"/>
                <w:szCs w:val="22"/>
                <w:lang w:eastAsia="en-US"/>
              </w:rPr>
              <w:t>k</w:t>
            </w:r>
            <w:r w:rsidRPr="002A5742">
              <w:rPr>
                <w:rFonts w:cs="Arial"/>
                <w:color w:val="000000"/>
                <w:sz w:val="22"/>
                <w:szCs w:val="22"/>
                <w:lang w:eastAsia="en-US"/>
              </w:rPr>
              <w:t>tCO</w:t>
            </w:r>
            <w:r w:rsidRPr="002A5742">
              <w:rPr>
                <w:rFonts w:cs="Arial"/>
                <w:color w:val="000000"/>
                <w:sz w:val="22"/>
                <w:szCs w:val="22"/>
                <w:vertAlign w:val="subscript"/>
                <w:lang w:eastAsia="en-US"/>
              </w:rPr>
              <w:t>2</w:t>
            </w:r>
            <w:r w:rsidRPr="002A5742">
              <w:rPr>
                <w:rFonts w:cs="Arial"/>
                <w:color w:val="000000"/>
                <w:sz w:val="22"/>
                <w:szCs w:val="22"/>
                <w:lang w:eastAsia="en-US"/>
              </w:rPr>
              <w:t>e</w:t>
            </w:r>
            <w:r w:rsidR="002A5742" w:rsidRPr="002A5742">
              <w:rPr>
                <w:rFonts w:cs="Arial"/>
                <w:color w:val="000000"/>
                <w:sz w:val="22"/>
                <w:szCs w:val="22"/>
                <w:lang w:eastAsia="en-US"/>
              </w:rPr>
              <w:t>/yr</w:t>
            </w:r>
          </w:p>
        </w:tc>
        <w:tc>
          <w:tcPr>
            <w:tcW w:w="7486" w:type="dxa"/>
            <w:shd w:val="clear" w:color="000000" w:fill="FFFFFF"/>
            <w:vAlign w:val="center"/>
            <w:hideMark/>
          </w:tcPr>
          <w:p w14:paraId="088D950C" w14:textId="77777777" w:rsidR="00E77B12" w:rsidRDefault="002A5742" w:rsidP="002A5742">
            <w:pPr>
              <w:jc w:val="left"/>
              <w:rPr>
                <w:rFonts w:cs="Arial"/>
                <w:iCs/>
                <w:color w:val="000000"/>
                <w:sz w:val="22"/>
                <w:szCs w:val="22"/>
                <w:lang w:eastAsia="en-US"/>
              </w:rPr>
            </w:pPr>
            <w:r w:rsidRPr="002A5742">
              <w:rPr>
                <w:rFonts w:cs="Arial"/>
                <w:iCs/>
                <w:color w:val="000000"/>
                <w:sz w:val="22"/>
                <w:szCs w:val="22"/>
                <w:lang w:eastAsia="en-US"/>
              </w:rPr>
              <w:t>Tons of GHG emissions be reduced or avoided through displaced electricity generation once the lamps are retrofitted.</w:t>
            </w:r>
            <w:r w:rsidRPr="002A5742">
              <w:rPr>
                <w:rFonts w:cs="Arial"/>
                <w:iCs/>
                <w:color w:val="000000"/>
                <w:sz w:val="22"/>
                <w:szCs w:val="22"/>
                <w:lang w:eastAsia="en-US"/>
              </w:rPr>
              <w:br/>
            </w:r>
          </w:p>
          <w:p w14:paraId="022BAB03" w14:textId="77777777" w:rsidR="00E77B12" w:rsidRPr="00E77B12" w:rsidRDefault="00E77B12" w:rsidP="00E77B12">
            <w:pPr>
              <w:jc w:val="left"/>
              <w:rPr>
                <w:rFonts w:cs="Arial"/>
                <w:iCs/>
                <w:color w:val="000000"/>
                <w:sz w:val="22"/>
                <w:szCs w:val="22"/>
                <w:lang w:eastAsia="en-US"/>
              </w:rPr>
            </w:pPr>
            <w:r w:rsidRPr="00E77B12">
              <w:rPr>
                <w:rFonts w:cs="Arial"/>
                <w:iCs/>
                <w:color w:val="000000"/>
                <w:sz w:val="22"/>
                <w:szCs w:val="22"/>
                <w:lang w:eastAsia="en-US"/>
              </w:rPr>
              <w:t>Calculated based on following formula:</w:t>
            </w:r>
          </w:p>
          <w:p w14:paraId="604C4B42" w14:textId="1EC3DB41" w:rsidR="00E77B12" w:rsidRPr="00E77B12" w:rsidRDefault="00E77B12" w:rsidP="00E77B12">
            <w:pPr>
              <w:jc w:val="left"/>
              <w:rPr>
                <w:rFonts w:cs="Arial"/>
                <w:iCs/>
                <w:color w:val="000000"/>
                <w:sz w:val="22"/>
                <w:szCs w:val="22"/>
                <w:lang w:eastAsia="en-US"/>
              </w:rPr>
            </w:pPr>
            <w:r>
              <w:rPr>
                <w:rFonts w:cs="Arial"/>
                <w:iCs/>
                <w:color w:val="000000"/>
                <w:sz w:val="22"/>
                <w:szCs w:val="22"/>
                <w:lang w:eastAsia="en-US"/>
              </w:rPr>
              <w:t>a</w:t>
            </w:r>
            <w:r w:rsidRPr="00E77B12">
              <w:rPr>
                <w:rFonts w:cs="Arial"/>
                <w:iCs/>
                <w:color w:val="000000"/>
                <w:sz w:val="22"/>
                <w:szCs w:val="22"/>
                <w:lang w:eastAsia="en-US"/>
              </w:rPr>
              <w:t>*e</w:t>
            </w:r>
          </w:p>
          <w:p w14:paraId="69F01385" w14:textId="77777777" w:rsidR="00E77B12" w:rsidRPr="00E77B12" w:rsidRDefault="00E77B12" w:rsidP="00E77B12">
            <w:pPr>
              <w:jc w:val="left"/>
              <w:rPr>
                <w:rFonts w:cs="Arial"/>
                <w:iCs/>
                <w:color w:val="000000"/>
                <w:sz w:val="22"/>
                <w:szCs w:val="22"/>
                <w:lang w:eastAsia="en-US"/>
              </w:rPr>
            </w:pPr>
            <w:r w:rsidRPr="00E77B12">
              <w:rPr>
                <w:rFonts w:cs="Arial"/>
                <w:iCs/>
                <w:color w:val="000000"/>
                <w:sz w:val="22"/>
                <w:szCs w:val="22"/>
                <w:lang w:eastAsia="en-US"/>
              </w:rPr>
              <w:t>Where:</w:t>
            </w:r>
          </w:p>
          <w:p w14:paraId="3A29BF6A" w14:textId="6C6AA46A" w:rsidR="00E77B12" w:rsidRPr="00E77B12" w:rsidRDefault="00E77B12" w:rsidP="00E77B12">
            <w:pPr>
              <w:jc w:val="left"/>
              <w:rPr>
                <w:rFonts w:cs="Arial"/>
                <w:iCs/>
                <w:color w:val="000000"/>
                <w:sz w:val="22"/>
                <w:szCs w:val="22"/>
                <w:lang w:eastAsia="en-US"/>
              </w:rPr>
            </w:pPr>
            <w:r>
              <w:rPr>
                <w:rFonts w:cs="Arial"/>
                <w:iCs/>
                <w:color w:val="000000"/>
                <w:sz w:val="22"/>
                <w:szCs w:val="22"/>
                <w:lang w:eastAsia="en-US"/>
              </w:rPr>
              <w:t>a</w:t>
            </w:r>
            <w:r w:rsidRPr="00E77B12">
              <w:rPr>
                <w:rFonts w:cs="Arial"/>
                <w:iCs/>
                <w:color w:val="000000"/>
                <w:sz w:val="22"/>
                <w:szCs w:val="22"/>
                <w:lang w:eastAsia="en-US"/>
              </w:rPr>
              <w:t>=electricity savings from the retrofitted lamps (kWh)</w:t>
            </w:r>
          </w:p>
          <w:p w14:paraId="64DE9021" w14:textId="710A4370" w:rsidR="00E77B12" w:rsidRDefault="00E77B12" w:rsidP="00E77B12">
            <w:pPr>
              <w:jc w:val="left"/>
              <w:rPr>
                <w:rFonts w:cs="Arial"/>
                <w:iCs/>
                <w:color w:val="000000"/>
                <w:sz w:val="22"/>
                <w:szCs w:val="22"/>
                <w:lang w:eastAsia="en-US"/>
              </w:rPr>
            </w:pPr>
            <w:r>
              <w:rPr>
                <w:rFonts w:cs="Arial"/>
                <w:iCs/>
                <w:color w:val="000000"/>
                <w:sz w:val="22"/>
                <w:szCs w:val="22"/>
                <w:lang w:eastAsia="en-US"/>
              </w:rPr>
              <w:t>e</w:t>
            </w:r>
            <w:r w:rsidRPr="00E77B12">
              <w:rPr>
                <w:rFonts w:cs="Arial"/>
                <w:iCs/>
                <w:color w:val="000000"/>
                <w:sz w:val="22"/>
                <w:szCs w:val="22"/>
                <w:lang w:eastAsia="en-US"/>
              </w:rPr>
              <w:t>=average conversion factor (tCO</w:t>
            </w:r>
            <w:r w:rsidRPr="00E77B12">
              <w:rPr>
                <w:rFonts w:ascii="Cambria Math" w:hAnsi="Cambria Math" w:cs="Cambria Math"/>
                <w:iCs/>
                <w:color w:val="000000"/>
                <w:sz w:val="22"/>
                <w:szCs w:val="22"/>
                <w:lang w:eastAsia="en-US"/>
              </w:rPr>
              <w:t>₂</w:t>
            </w:r>
            <w:r w:rsidRPr="00E77B12">
              <w:rPr>
                <w:rFonts w:cs="Arial"/>
                <w:iCs/>
                <w:color w:val="000000"/>
                <w:sz w:val="22"/>
                <w:szCs w:val="22"/>
                <w:lang w:eastAsia="en-US"/>
              </w:rPr>
              <w:t>/Mwh)</w:t>
            </w:r>
          </w:p>
          <w:p w14:paraId="7A9719AB" w14:textId="6FB0813A" w:rsidR="002A5742" w:rsidRPr="002A5742" w:rsidRDefault="002A5742" w:rsidP="00C9762E">
            <w:pPr>
              <w:jc w:val="left"/>
              <w:rPr>
                <w:rFonts w:cs="Arial"/>
                <w:iCs/>
                <w:color w:val="000000"/>
                <w:sz w:val="22"/>
                <w:szCs w:val="22"/>
                <w:lang w:eastAsia="en-US"/>
              </w:rPr>
            </w:pPr>
            <w:r w:rsidRPr="002A5742">
              <w:rPr>
                <w:rFonts w:cs="Arial"/>
                <w:iCs/>
                <w:color w:val="000000"/>
                <w:sz w:val="22"/>
                <w:szCs w:val="22"/>
                <w:lang w:eastAsia="en-US"/>
              </w:rPr>
              <w:br/>
              <w:t xml:space="preserve">Source: IDB estimations made following IDB </w:t>
            </w:r>
            <w:r w:rsidRPr="002A5742">
              <w:rPr>
                <w:rFonts w:cs="Arial"/>
                <w:iCs/>
                <w:sz w:val="22"/>
                <w:szCs w:val="22"/>
                <w:lang w:eastAsia="en-US"/>
              </w:rPr>
              <w:t>methodology, based on number of lamps installed, efficiency levels of lamps, and an average conversion factor of 0.84</w:t>
            </w:r>
            <w:r w:rsidRPr="002A5742">
              <w:rPr>
                <w:rFonts w:cs="Arial"/>
                <w:iCs/>
                <w:sz w:val="22"/>
                <w:szCs w:val="22"/>
                <w:lang w:eastAsia="en-US"/>
              </w:rPr>
              <w:br/>
              <w:t>(ex-post CBA)</w:t>
            </w:r>
            <w:r w:rsidRPr="002A5742">
              <w:rPr>
                <w:rFonts w:cs="Arial"/>
                <w:iCs/>
                <w:color w:val="000000"/>
                <w:sz w:val="22"/>
                <w:szCs w:val="22"/>
                <w:lang w:eastAsia="en-US"/>
              </w:rPr>
              <w:br/>
            </w:r>
            <w:r w:rsidRPr="002A5742">
              <w:rPr>
                <w:rFonts w:cs="Arial"/>
                <w:iCs/>
                <w:color w:val="000000"/>
                <w:sz w:val="22"/>
                <w:szCs w:val="22"/>
                <w:lang w:eastAsia="en-US"/>
              </w:rPr>
              <w:br/>
            </w:r>
            <w:r w:rsidR="00C9762E">
              <w:rPr>
                <w:rFonts w:cs="Arial"/>
                <w:iCs/>
                <w:color w:val="000000"/>
                <w:sz w:val="22"/>
                <w:szCs w:val="22"/>
                <w:lang w:eastAsia="en-US"/>
              </w:rPr>
              <w:t>k</w:t>
            </w:r>
            <w:r w:rsidR="00C9762E" w:rsidRPr="002A5742">
              <w:rPr>
                <w:rFonts w:cs="Arial"/>
                <w:iCs/>
                <w:color w:val="000000"/>
                <w:sz w:val="22"/>
                <w:szCs w:val="22"/>
                <w:lang w:eastAsia="en-US"/>
              </w:rPr>
              <w:t xml:space="preserve">tCO2e </w:t>
            </w:r>
            <w:r w:rsidRPr="002A5742">
              <w:rPr>
                <w:rFonts w:cs="Arial"/>
                <w:iCs/>
                <w:color w:val="000000"/>
                <w:sz w:val="22"/>
                <w:szCs w:val="22"/>
                <w:lang w:eastAsia="en-US"/>
              </w:rPr>
              <w:t xml:space="preserve">= </w:t>
            </w:r>
            <w:r w:rsidR="00C9762E">
              <w:rPr>
                <w:rFonts w:cs="Arial"/>
                <w:iCs/>
                <w:color w:val="000000"/>
                <w:sz w:val="22"/>
                <w:szCs w:val="22"/>
                <w:lang w:eastAsia="en-US"/>
              </w:rPr>
              <w:t>Thousands</w:t>
            </w:r>
            <w:r w:rsidR="00C9762E" w:rsidRPr="002A5742">
              <w:rPr>
                <w:rFonts w:cs="Arial"/>
                <w:iCs/>
                <w:color w:val="000000"/>
                <w:sz w:val="22"/>
                <w:szCs w:val="22"/>
                <w:lang w:eastAsia="en-US"/>
              </w:rPr>
              <w:t xml:space="preserve"> </w:t>
            </w:r>
            <w:r w:rsidRPr="002A5742">
              <w:rPr>
                <w:rFonts w:cs="Arial"/>
                <w:iCs/>
                <w:color w:val="000000"/>
                <w:sz w:val="22"/>
                <w:szCs w:val="22"/>
                <w:lang w:eastAsia="en-US"/>
              </w:rPr>
              <w:t>of tons of CO2 equivalent</w:t>
            </w:r>
          </w:p>
        </w:tc>
      </w:tr>
      <w:tr w:rsidR="00A758DE" w:rsidRPr="002A5742" w14:paraId="29A27D9F" w14:textId="77777777" w:rsidTr="0094404E">
        <w:trPr>
          <w:trHeight w:val="270"/>
          <w:jc w:val="center"/>
        </w:trPr>
        <w:tc>
          <w:tcPr>
            <w:tcW w:w="2673" w:type="dxa"/>
            <w:shd w:val="clear" w:color="000000" w:fill="C0C0C0"/>
            <w:noWrap/>
          </w:tcPr>
          <w:p w14:paraId="687646F9" w14:textId="77777777" w:rsidR="00A758DE" w:rsidRPr="002A5742" w:rsidRDefault="00A758DE" w:rsidP="0094404E">
            <w:pPr>
              <w:jc w:val="center"/>
              <w:rPr>
                <w:rFonts w:cs="Arial"/>
                <w:b/>
                <w:bCs/>
                <w:color w:val="000000"/>
                <w:sz w:val="22"/>
                <w:szCs w:val="22"/>
                <w:lang w:eastAsia="en-US"/>
              </w:rPr>
            </w:pPr>
            <w:r w:rsidRPr="00C41A85">
              <w:t>EE projects appraised by the CDB</w:t>
            </w:r>
          </w:p>
        </w:tc>
        <w:tc>
          <w:tcPr>
            <w:tcW w:w="2153" w:type="dxa"/>
            <w:shd w:val="clear" w:color="000000" w:fill="C0C0C0"/>
            <w:noWrap/>
          </w:tcPr>
          <w:p w14:paraId="1C8DA15D" w14:textId="77777777" w:rsidR="00A758DE" w:rsidRPr="002A5742" w:rsidRDefault="00A758DE" w:rsidP="0094404E">
            <w:pPr>
              <w:jc w:val="center"/>
              <w:rPr>
                <w:rFonts w:cs="Arial"/>
                <w:b/>
                <w:bCs/>
                <w:color w:val="000000"/>
                <w:sz w:val="22"/>
                <w:szCs w:val="22"/>
                <w:lang w:eastAsia="en-US"/>
              </w:rPr>
            </w:pPr>
            <w:r w:rsidRPr="00C41A85">
              <w:t>EE projects appraised</w:t>
            </w:r>
          </w:p>
        </w:tc>
        <w:tc>
          <w:tcPr>
            <w:tcW w:w="1149" w:type="dxa"/>
            <w:shd w:val="clear" w:color="000000" w:fill="C0C0C0"/>
            <w:noWrap/>
          </w:tcPr>
          <w:p w14:paraId="00743DA3" w14:textId="77777777" w:rsidR="00A758DE" w:rsidRPr="002A5742" w:rsidRDefault="00A758DE" w:rsidP="0094404E">
            <w:pPr>
              <w:jc w:val="center"/>
              <w:rPr>
                <w:rFonts w:cs="Arial"/>
                <w:b/>
                <w:bCs/>
                <w:color w:val="000000"/>
                <w:sz w:val="22"/>
                <w:szCs w:val="22"/>
                <w:lang w:eastAsia="en-US"/>
              </w:rPr>
            </w:pPr>
            <w:r w:rsidRPr="00C41A85">
              <w:t>Number of EE projects</w:t>
            </w:r>
          </w:p>
        </w:tc>
        <w:tc>
          <w:tcPr>
            <w:tcW w:w="7486" w:type="dxa"/>
            <w:shd w:val="clear" w:color="000000" w:fill="C0C0C0"/>
            <w:noWrap/>
            <w:vAlign w:val="center"/>
          </w:tcPr>
          <w:p w14:paraId="066D4952" w14:textId="77777777" w:rsidR="00A758DE" w:rsidRPr="002A5742" w:rsidRDefault="00A758DE" w:rsidP="0094404E">
            <w:pPr>
              <w:jc w:val="left"/>
              <w:rPr>
                <w:rFonts w:cs="Arial"/>
                <w:b/>
                <w:bCs/>
                <w:color w:val="000000"/>
                <w:sz w:val="22"/>
                <w:szCs w:val="22"/>
                <w:lang w:eastAsia="en-US"/>
              </w:rPr>
            </w:pPr>
            <w:r w:rsidRPr="002A5742">
              <w:rPr>
                <w:rFonts w:cs="Arial"/>
                <w:iCs/>
                <w:color w:val="000000"/>
                <w:sz w:val="22"/>
                <w:szCs w:val="22"/>
                <w:lang w:eastAsia="en-US"/>
              </w:rPr>
              <w:t xml:space="preserve">Values based on number of </w:t>
            </w:r>
            <w:r>
              <w:rPr>
                <w:rFonts w:cs="Arial"/>
                <w:iCs/>
                <w:color w:val="000000"/>
                <w:sz w:val="22"/>
                <w:szCs w:val="22"/>
                <w:lang w:eastAsia="en-US"/>
              </w:rPr>
              <w:t>EE sub-project appraisals completed</w:t>
            </w:r>
            <w:r w:rsidRPr="002A5742">
              <w:rPr>
                <w:rFonts w:cs="Arial"/>
                <w:iCs/>
                <w:color w:val="000000"/>
                <w:sz w:val="22"/>
                <w:szCs w:val="22"/>
                <w:lang w:eastAsia="en-US"/>
              </w:rPr>
              <w:t>.</w:t>
            </w:r>
            <w:r w:rsidRPr="002A5742">
              <w:rPr>
                <w:rFonts w:cs="Arial"/>
                <w:iCs/>
                <w:color w:val="000000"/>
                <w:sz w:val="22"/>
                <w:szCs w:val="22"/>
                <w:lang w:eastAsia="en-US"/>
              </w:rPr>
              <w:br/>
            </w:r>
            <w:r w:rsidRPr="002A5742">
              <w:rPr>
                <w:rFonts w:cs="Arial"/>
                <w:iCs/>
                <w:color w:val="000000"/>
                <w:sz w:val="22"/>
                <w:szCs w:val="22"/>
                <w:lang w:eastAsia="en-US"/>
              </w:rPr>
              <w:br/>
              <w:t>Source: Report from CDB</w:t>
            </w:r>
          </w:p>
        </w:tc>
      </w:tr>
      <w:tr w:rsidR="002A5742" w:rsidRPr="002A5742" w14:paraId="5454DE0A" w14:textId="77777777" w:rsidTr="000C7DEB">
        <w:trPr>
          <w:trHeight w:val="270"/>
          <w:jc w:val="center"/>
        </w:trPr>
        <w:tc>
          <w:tcPr>
            <w:tcW w:w="2673" w:type="dxa"/>
            <w:shd w:val="clear" w:color="000000" w:fill="F2F2F2"/>
            <w:noWrap/>
            <w:vAlign w:val="center"/>
            <w:hideMark/>
          </w:tcPr>
          <w:p w14:paraId="29B6BA5E"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Outputs</w:t>
            </w:r>
          </w:p>
        </w:tc>
        <w:tc>
          <w:tcPr>
            <w:tcW w:w="2153" w:type="dxa"/>
            <w:shd w:val="clear" w:color="000000" w:fill="F2F2F2"/>
            <w:noWrap/>
            <w:vAlign w:val="center"/>
            <w:hideMark/>
          </w:tcPr>
          <w:p w14:paraId="62185EB2"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5BF5B57E"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7C409303"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54CD0921" w14:textId="77777777" w:rsidTr="000C7DEB">
        <w:trPr>
          <w:trHeight w:val="826"/>
          <w:jc w:val="center"/>
        </w:trPr>
        <w:tc>
          <w:tcPr>
            <w:tcW w:w="2673" w:type="dxa"/>
            <w:shd w:val="clear" w:color="auto" w:fill="auto"/>
            <w:vAlign w:val="center"/>
            <w:hideMark/>
          </w:tcPr>
          <w:p w14:paraId="56D6FA87"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Loans provided to energy efficiency projects with resources form the Program.</w:t>
            </w:r>
          </w:p>
        </w:tc>
        <w:tc>
          <w:tcPr>
            <w:tcW w:w="2153" w:type="dxa"/>
            <w:shd w:val="clear" w:color="auto" w:fill="auto"/>
            <w:vAlign w:val="center"/>
            <w:hideMark/>
          </w:tcPr>
          <w:p w14:paraId="1055DF2B"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Loans provided for EE projects</w:t>
            </w:r>
          </w:p>
        </w:tc>
        <w:tc>
          <w:tcPr>
            <w:tcW w:w="1149" w:type="dxa"/>
            <w:shd w:val="clear" w:color="auto" w:fill="auto"/>
            <w:vAlign w:val="center"/>
            <w:hideMark/>
          </w:tcPr>
          <w:p w14:paraId="495F2B18"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loans</w:t>
            </w:r>
          </w:p>
        </w:tc>
        <w:tc>
          <w:tcPr>
            <w:tcW w:w="7486" w:type="dxa"/>
            <w:shd w:val="clear" w:color="auto" w:fill="auto"/>
            <w:vAlign w:val="center"/>
            <w:hideMark/>
          </w:tcPr>
          <w:p w14:paraId="63051394"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Values based on number of loan agreements.</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w:t>
            </w:r>
          </w:p>
        </w:tc>
      </w:tr>
      <w:tr w:rsidR="002A5742" w:rsidRPr="002A5742" w14:paraId="04113362" w14:textId="77777777" w:rsidTr="000C7DEB">
        <w:trPr>
          <w:trHeight w:val="270"/>
          <w:jc w:val="center"/>
        </w:trPr>
        <w:tc>
          <w:tcPr>
            <w:tcW w:w="2673" w:type="dxa"/>
            <w:shd w:val="clear" w:color="000000" w:fill="C0C0C0"/>
            <w:noWrap/>
            <w:vAlign w:val="center"/>
            <w:hideMark/>
          </w:tcPr>
          <w:p w14:paraId="58E41433"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Component 2</w:t>
            </w:r>
          </w:p>
        </w:tc>
        <w:tc>
          <w:tcPr>
            <w:tcW w:w="2153" w:type="dxa"/>
            <w:shd w:val="clear" w:color="000000" w:fill="C0C0C0"/>
            <w:noWrap/>
            <w:vAlign w:val="center"/>
            <w:hideMark/>
          </w:tcPr>
          <w:p w14:paraId="40E7C0DE"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Indicator</w:t>
            </w:r>
          </w:p>
        </w:tc>
        <w:tc>
          <w:tcPr>
            <w:tcW w:w="1149" w:type="dxa"/>
            <w:shd w:val="clear" w:color="000000" w:fill="C0C0C0"/>
            <w:noWrap/>
            <w:vAlign w:val="center"/>
            <w:hideMark/>
          </w:tcPr>
          <w:p w14:paraId="15DEE469"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Units</w:t>
            </w:r>
          </w:p>
        </w:tc>
        <w:tc>
          <w:tcPr>
            <w:tcW w:w="7486" w:type="dxa"/>
            <w:shd w:val="clear" w:color="000000" w:fill="C0C0C0"/>
            <w:noWrap/>
            <w:vAlign w:val="center"/>
            <w:hideMark/>
          </w:tcPr>
          <w:p w14:paraId="22ED48DE"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593A3D74" w14:textId="77777777" w:rsidTr="000C7DEB">
        <w:trPr>
          <w:trHeight w:val="270"/>
          <w:jc w:val="center"/>
        </w:trPr>
        <w:tc>
          <w:tcPr>
            <w:tcW w:w="2673" w:type="dxa"/>
            <w:shd w:val="clear" w:color="000000" w:fill="F2F2F2"/>
            <w:noWrap/>
            <w:vAlign w:val="center"/>
            <w:hideMark/>
          </w:tcPr>
          <w:p w14:paraId="22ECFC10"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Results</w:t>
            </w:r>
          </w:p>
        </w:tc>
        <w:tc>
          <w:tcPr>
            <w:tcW w:w="2153" w:type="dxa"/>
            <w:shd w:val="clear" w:color="000000" w:fill="F2F2F2"/>
            <w:noWrap/>
            <w:vAlign w:val="center"/>
            <w:hideMark/>
          </w:tcPr>
          <w:p w14:paraId="788EB3E5"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15986057"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11B49EBC"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11C8F2B3" w14:textId="77777777" w:rsidTr="000C7DEB">
        <w:trPr>
          <w:trHeight w:val="1800"/>
          <w:jc w:val="center"/>
        </w:trPr>
        <w:tc>
          <w:tcPr>
            <w:tcW w:w="2673" w:type="dxa"/>
            <w:shd w:val="clear" w:color="auto" w:fill="auto"/>
            <w:vAlign w:val="center"/>
            <w:hideMark/>
          </w:tcPr>
          <w:p w14:paraId="2A547CF5"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EC countries with legal and regulatory frameworks that enable GE development</w:t>
            </w:r>
          </w:p>
        </w:tc>
        <w:tc>
          <w:tcPr>
            <w:tcW w:w="2153" w:type="dxa"/>
            <w:shd w:val="clear" w:color="auto" w:fill="auto"/>
            <w:vAlign w:val="center"/>
            <w:hideMark/>
          </w:tcPr>
          <w:p w14:paraId="064A997A" w14:textId="615A8B6C" w:rsidR="002A5742" w:rsidRPr="002A5742" w:rsidRDefault="002A5742" w:rsidP="00C9762E">
            <w:pPr>
              <w:jc w:val="left"/>
              <w:rPr>
                <w:rFonts w:cs="Arial"/>
                <w:color w:val="000000"/>
                <w:sz w:val="22"/>
                <w:szCs w:val="22"/>
                <w:lang w:eastAsia="en-US"/>
              </w:rPr>
            </w:pPr>
            <w:r w:rsidRPr="002A5742">
              <w:rPr>
                <w:rFonts w:cs="Arial"/>
                <w:color w:val="000000"/>
                <w:sz w:val="22"/>
                <w:szCs w:val="22"/>
                <w:lang w:eastAsia="en-US"/>
              </w:rPr>
              <w:t># countries that have GE legal and regulatory frameworks</w:t>
            </w:r>
          </w:p>
        </w:tc>
        <w:tc>
          <w:tcPr>
            <w:tcW w:w="1149" w:type="dxa"/>
            <w:shd w:val="clear" w:color="000000" w:fill="FFFFFF"/>
            <w:vAlign w:val="center"/>
            <w:hideMark/>
          </w:tcPr>
          <w:p w14:paraId="76EE81F5"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 countries</w:t>
            </w:r>
          </w:p>
        </w:tc>
        <w:tc>
          <w:tcPr>
            <w:tcW w:w="7486" w:type="dxa"/>
            <w:shd w:val="clear" w:color="000000" w:fill="FFFFFF"/>
            <w:vAlign w:val="center"/>
            <w:hideMark/>
          </w:tcPr>
          <w:p w14:paraId="36FC8D63"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 xml:space="preserve">Measures the number of countries that have complete GE legal and regulatory framework at Program completion. </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w:t>
            </w:r>
            <w:r w:rsidRPr="002A5742">
              <w:rPr>
                <w:rFonts w:cs="Arial"/>
                <w:iCs/>
                <w:color w:val="000000"/>
                <w:sz w:val="22"/>
                <w:szCs w:val="22"/>
                <w:lang w:eastAsia="en-US"/>
              </w:rPr>
              <w:br/>
            </w:r>
            <w:r w:rsidRPr="002A5742">
              <w:rPr>
                <w:rFonts w:cs="Arial"/>
                <w:iCs/>
                <w:color w:val="000000"/>
                <w:sz w:val="22"/>
                <w:szCs w:val="22"/>
                <w:lang w:eastAsia="en-US"/>
              </w:rPr>
              <w:br/>
              <w:t>Nevis has a Geothermal Bill but not regulations.</w:t>
            </w:r>
            <w:r w:rsidRPr="002A5742">
              <w:rPr>
                <w:rFonts w:cs="Arial"/>
                <w:iCs/>
                <w:color w:val="000000"/>
                <w:sz w:val="22"/>
                <w:szCs w:val="22"/>
                <w:lang w:eastAsia="en-US"/>
              </w:rPr>
              <w:br/>
              <w:t>SK and Nevis have separate regulations and laws.</w:t>
            </w:r>
          </w:p>
        </w:tc>
      </w:tr>
      <w:tr w:rsidR="002A5742" w:rsidRPr="002A5742" w14:paraId="3E11435E" w14:textId="77777777" w:rsidTr="000C7DEB">
        <w:trPr>
          <w:trHeight w:val="1690"/>
          <w:jc w:val="center"/>
        </w:trPr>
        <w:tc>
          <w:tcPr>
            <w:tcW w:w="2673" w:type="dxa"/>
            <w:shd w:val="clear" w:color="auto" w:fill="auto"/>
            <w:vAlign w:val="center"/>
            <w:hideMark/>
          </w:tcPr>
          <w:p w14:paraId="6513676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lastRenderedPageBreak/>
              <w:t>Women trained in construction, operation and/or maintenance of RE and EE infrastructure and projects</w:t>
            </w:r>
          </w:p>
        </w:tc>
        <w:tc>
          <w:tcPr>
            <w:tcW w:w="2153" w:type="dxa"/>
            <w:shd w:val="clear" w:color="auto" w:fill="auto"/>
            <w:vAlign w:val="center"/>
            <w:hideMark/>
          </w:tcPr>
          <w:p w14:paraId="3474062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of women trained, out of the total trainees, in construction, management and/or maintenance of SE infrastructure/projects</w:t>
            </w:r>
          </w:p>
        </w:tc>
        <w:tc>
          <w:tcPr>
            <w:tcW w:w="1149" w:type="dxa"/>
            <w:shd w:val="clear" w:color="auto" w:fill="auto"/>
            <w:vAlign w:val="center"/>
            <w:hideMark/>
          </w:tcPr>
          <w:p w14:paraId="621E1263"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w:t>
            </w:r>
          </w:p>
        </w:tc>
        <w:tc>
          <w:tcPr>
            <w:tcW w:w="7486" w:type="dxa"/>
            <w:shd w:val="clear" w:color="auto" w:fill="auto"/>
            <w:vAlign w:val="center"/>
            <w:hideMark/>
          </w:tcPr>
          <w:p w14:paraId="59023CA1" w14:textId="77777777" w:rsidR="00EE4100" w:rsidRDefault="002A5742" w:rsidP="002A5742">
            <w:pPr>
              <w:jc w:val="left"/>
              <w:rPr>
                <w:rFonts w:cs="Arial"/>
                <w:iCs/>
                <w:color w:val="000000"/>
                <w:sz w:val="22"/>
                <w:szCs w:val="22"/>
                <w:lang w:eastAsia="en-US"/>
              </w:rPr>
            </w:pPr>
            <w:r w:rsidRPr="002A5742">
              <w:rPr>
                <w:rFonts w:cs="Arial"/>
                <w:iCs/>
                <w:color w:val="000000"/>
                <w:sz w:val="22"/>
                <w:szCs w:val="22"/>
                <w:lang w:eastAsia="en-US"/>
              </w:rPr>
              <w:t>Measures the percentage of women trained, out of the total trainees, in construction, management and/or maintenance of RE and EE infrastructure and projects.</w:t>
            </w:r>
          </w:p>
          <w:p w14:paraId="36B44D96" w14:textId="45DCC80D"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br/>
              <w:t>Source: Reports from the CDB based on information from Governments and private project sponsors</w:t>
            </w:r>
          </w:p>
        </w:tc>
      </w:tr>
      <w:tr w:rsidR="002A5742" w:rsidRPr="002A5742" w14:paraId="0FD03625" w14:textId="77777777" w:rsidTr="000C7DEB">
        <w:trPr>
          <w:trHeight w:val="270"/>
          <w:jc w:val="center"/>
        </w:trPr>
        <w:tc>
          <w:tcPr>
            <w:tcW w:w="2673" w:type="dxa"/>
            <w:shd w:val="clear" w:color="000000" w:fill="F2F2F2"/>
            <w:noWrap/>
            <w:vAlign w:val="center"/>
            <w:hideMark/>
          </w:tcPr>
          <w:p w14:paraId="375238C0"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Outputs</w:t>
            </w:r>
          </w:p>
        </w:tc>
        <w:tc>
          <w:tcPr>
            <w:tcW w:w="2153" w:type="dxa"/>
            <w:shd w:val="clear" w:color="000000" w:fill="F2F2F2"/>
            <w:noWrap/>
            <w:vAlign w:val="center"/>
            <w:hideMark/>
          </w:tcPr>
          <w:p w14:paraId="68580227"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13577B4C"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1E21C005"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0DEE73E3" w14:textId="77777777" w:rsidTr="000C7DEB">
        <w:trPr>
          <w:trHeight w:val="1105"/>
          <w:jc w:val="center"/>
        </w:trPr>
        <w:tc>
          <w:tcPr>
            <w:tcW w:w="2673" w:type="dxa"/>
            <w:shd w:val="clear" w:color="auto" w:fill="auto"/>
            <w:vAlign w:val="center"/>
            <w:hideMark/>
          </w:tcPr>
          <w:p w14:paraId="41B9D101" w14:textId="46C117DC" w:rsidR="002A5742" w:rsidRPr="002A5742" w:rsidRDefault="00C9762E" w:rsidP="002A5742">
            <w:pPr>
              <w:jc w:val="left"/>
              <w:rPr>
                <w:rFonts w:cs="Arial"/>
                <w:color w:val="000000"/>
                <w:sz w:val="22"/>
                <w:szCs w:val="22"/>
                <w:lang w:eastAsia="en-US"/>
              </w:rPr>
            </w:pPr>
            <w:r w:rsidRPr="00C9762E">
              <w:rPr>
                <w:rFonts w:cs="Arial"/>
                <w:color w:val="000000"/>
                <w:sz w:val="22"/>
                <w:szCs w:val="22"/>
                <w:lang w:eastAsia="en-US"/>
              </w:rPr>
              <w:t>Energy policy reforms or recommendations for energy policy reform provided to and implemented by Governments in EC countries</w:t>
            </w:r>
          </w:p>
        </w:tc>
        <w:tc>
          <w:tcPr>
            <w:tcW w:w="2153" w:type="dxa"/>
            <w:shd w:val="clear" w:color="auto" w:fill="auto"/>
            <w:vAlign w:val="center"/>
            <w:hideMark/>
          </w:tcPr>
          <w:p w14:paraId="1093E99C" w14:textId="78BD3526" w:rsidR="002A5742" w:rsidRPr="002A5742" w:rsidRDefault="00C9762E" w:rsidP="002A5742">
            <w:pPr>
              <w:jc w:val="left"/>
              <w:rPr>
                <w:rFonts w:cs="Arial"/>
                <w:color w:val="000000"/>
                <w:sz w:val="22"/>
                <w:szCs w:val="22"/>
                <w:lang w:eastAsia="en-US"/>
              </w:rPr>
            </w:pPr>
            <w:r w:rsidRPr="00C9762E">
              <w:rPr>
                <w:rFonts w:cs="Arial"/>
                <w:color w:val="000000"/>
                <w:sz w:val="22"/>
                <w:szCs w:val="22"/>
                <w:lang w:eastAsia="en-US"/>
              </w:rPr>
              <w:t>Number of ECC</w:t>
            </w:r>
          </w:p>
        </w:tc>
        <w:tc>
          <w:tcPr>
            <w:tcW w:w="1149" w:type="dxa"/>
            <w:shd w:val="clear" w:color="auto" w:fill="auto"/>
            <w:vAlign w:val="center"/>
            <w:hideMark/>
          </w:tcPr>
          <w:p w14:paraId="1575BBC6" w14:textId="0DACF808" w:rsidR="002A5742" w:rsidRPr="002A5742" w:rsidRDefault="002A5742" w:rsidP="00C9762E">
            <w:pPr>
              <w:jc w:val="center"/>
              <w:rPr>
                <w:rFonts w:cs="Arial"/>
                <w:color w:val="000000"/>
                <w:sz w:val="22"/>
                <w:szCs w:val="22"/>
                <w:lang w:eastAsia="en-US"/>
              </w:rPr>
            </w:pPr>
            <w:r w:rsidRPr="002A5742">
              <w:rPr>
                <w:rFonts w:cs="Arial"/>
                <w:color w:val="000000"/>
                <w:sz w:val="22"/>
                <w:szCs w:val="22"/>
                <w:lang w:eastAsia="en-US"/>
              </w:rPr>
              <w:t xml:space="preserve">Number of </w:t>
            </w:r>
            <w:r w:rsidR="00C9762E">
              <w:rPr>
                <w:rFonts w:cs="Arial"/>
                <w:color w:val="000000"/>
                <w:sz w:val="22"/>
                <w:szCs w:val="22"/>
                <w:lang w:eastAsia="en-US"/>
              </w:rPr>
              <w:t>countries</w:t>
            </w:r>
          </w:p>
        </w:tc>
        <w:tc>
          <w:tcPr>
            <w:tcW w:w="7486" w:type="dxa"/>
            <w:shd w:val="clear" w:color="auto" w:fill="auto"/>
            <w:vAlign w:val="center"/>
            <w:hideMark/>
          </w:tcPr>
          <w:p w14:paraId="60B153F3" w14:textId="3FB3FCBC" w:rsidR="002A5742" w:rsidRPr="002A5742" w:rsidRDefault="002A5742" w:rsidP="00C9762E">
            <w:pPr>
              <w:jc w:val="left"/>
              <w:rPr>
                <w:rFonts w:cs="Arial"/>
                <w:iCs/>
                <w:color w:val="000000"/>
                <w:sz w:val="22"/>
                <w:szCs w:val="22"/>
                <w:lang w:eastAsia="en-US"/>
              </w:rPr>
            </w:pPr>
            <w:r w:rsidRPr="002A5742">
              <w:rPr>
                <w:rFonts w:cs="Arial"/>
                <w:iCs/>
                <w:color w:val="000000"/>
                <w:sz w:val="22"/>
                <w:szCs w:val="22"/>
                <w:lang w:eastAsia="en-US"/>
              </w:rPr>
              <w:t>Measures the</w:t>
            </w:r>
            <w:r w:rsidR="00C9762E">
              <w:rPr>
                <w:rFonts w:cs="Arial"/>
                <w:iCs/>
                <w:color w:val="000000"/>
                <w:sz w:val="22"/>
                <w:szCs w:val="22"/>
                <w:lang w:eastAsia="en-US"/>
              </w:rPr>
              <w:t xml:space="preserve"> number of countries that implemented e</w:t>
            </w:r>
            <w:r w:rsidR="00C9762E" w:rsidRPr="00C9762E">
              <w:rPr>
                <w:rFonts w:cs="Arial"/>
                <w:iCs/>
                <w:color w:val="000000"/>
                <w:sz w:val="22"/>
                <w:szCs w:val="22"/>
                <w:lang w:eastAsia="en-US"/>
              </w:rPr>
              <w:t xml:space="preserve">nergy policy reforms or recommendations for energy policy reform </w:t>
            </w:r>
            <w:r w:rsidR="00C9762E">
              <w:rPr>
                <w:rFonts w:cs="Arial"/>
                <w:iCs/>
                <w:color w:val="000000"/>
                <w:sz w:val="22"/>
                <w:szCs w:val="22"/>
                <w:lang w:eastAsia="en-US"/>
              </w:rPr>
              <w:t xml:space="preserve">as </w:t>
            </w:r>
            <w:r w:rsidR="00C9762E" w:rsidRPr="00C9762E">
              <w:rPr>
                <w:rFonts w:cs="Arial"/>
                <w:iCs/>
                <w:color w:val="000000"/>
                <w:sz w:val="22"/>
                <w:szCs w:val="22"/>
                <w:lang w:eastAsia="en-US"/>
              </w:rPr>
              <w:t>provided</w:t>
            </w:r>
            <w:r w:rsidR="00C9762E">
              <w:rPr>
                <w:rFonts w:cs="Arial"/>
                <w:iCs/>
                <w:color w:val="000000"/>
                <w:sz w:val="22"/>
                <w:szCs w:val="22"/>
                <w:lang w:eastAsia="en-US"/>
              </w:rPr>
              <w:t xml:space="preserve"> by with resources of the program.</w:t>
            </w:r>
            <w:r w:rsidR="00C9762E" w:rsidRPr="00C9762E">
              <w:rPr>
                <w:rFonts w:cs="Arial"/>
                <w:iCs/>
                <w:color w:val="000000"/>
                <w:sz w:val="22"/>
                <w:szCs w:val="22"/>
                <w:lang w:eastAsia="en-US"/>
              </w:rPr>
              <w:t xml:space="preserve"> </w:t>
            </w:r>
            <w:r w:rsidRPr="002A5742">
              <w:rPr>
                <w:rFonts w:cs="Arial"/>
                <w:iCs/>
                <w:color w:val="000000"/>
                <w:sz w:val="22"/>
                <w:szCs w:val="22"/>
                <w:lang w:eastAsia="en-US"/>
              </w:rPr>
              <w:br/>
              <w:t xml:space="preserve">Source: Report from CDB </w:t>
            </w:r>
          </w:p>
        </w:tc>
      </w:tr>
      <w:tr w:rsidR="002A5742" w:rsidRPr="002A5742" w14:paraId="5CDFBBD5" w14:textId="77777777" w:rsidTr="000C7DEB">
        <w:trPr>
          <w:trHeight w:val="1159"/>
          <w:jc w:val="center"/>
        </w:trPr>
        <w:tc>
          <w:tcPr>
            <w:tcW w:w="2673" w:type="dxa"/>
            <w:shd w:val="clear" w:color="auto" w:fill="auto"/>
            <w:vAlign w:val="center"/>
            <w:hideMark/>
          </w:tcPr>
          <w:p w14:paraId="0FE08071"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Trainings provided to the EA and/or government employees with resources from the Program  </w:t>
            </w:r>
          </w:p>
        </w:tc>
        <w:tc>
          <w:tcPr>
            <w:tcW w:w="2153" w:type="dxa"/>
            <w:shd w:val="clear" w:color="auto" w:fill="auto"/>
            <w:vAlign w:val="center"/>
            <w:hideMark/>
          </w:tcPr>
          <w:p w14:paraId="32AC32A3"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Number of trainings provided </w:t>
            </w:r>
          </w:p>
        </w:tc>
        <w:tc>
          <w:tcPr>
            <w:tcW w:w="1149" w:type="dxa"/>
            <w:shd w:val="clear" w:color="auto" w:fill="auto"/>
            <w:vAlign w:val="center"/>
            <w:hideMark/>
          </w:tcPr>
          <w:p w14:paraId="131F6AEA"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trainings</w:t>
            </w:r>
          </w:p>
        </w:tc>
        <w:tc>
          <w:tcPr>
            <w:tcW w:w="7486" w:type="dxa"/>
            <w:shd w:val="clear" w:color="auto" w:fill="auto"/>
            <w:vAlign w:val="center"/>
            <w:hideMark/>
          </w:tcPr>
          <w:p w14:paraId="3755425D"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 xml:space="preserve">Measures the number of trainings provided to the EA and/or government employees in EC countries  </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w:t>
            </w:r>
          </w:p>
        </w:tc>
      </w:tr>
      <w:tr w:rsidR="002A5742" w:rsidRPr="002A5742" w14:paraId="596261DC" w14:textId="77777777" w:rsidTr="000C7DEB">
        <w:trPr>
          <w:trHeight w:val="1035"/>
          <w:jc w:val="center"/>
        </w:trPr>
        <w:tc>
          <w:tcPr>
            <w:tcW w:w="2673" w:type="dxa"/>
            <w:shd w:val="clear" w:color="auto" w:fill="auto"/>
            <w:vAlign w:val="center"/>
            <w:hideMark/>
          </w:tcPr>
          <w:p w14:paraId="0E35B040"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Grants provided for technical assistance to Governments in EC countries with resources from the Program</w:t>
            </w:r>
          </w:p>
        </w:tc>
        <w:tc>
          <w:tcPr>
            <w:tcW w:w="2153" w:type="dxa"/>
            <w:shd w:val="clear" w:color="auto" w:fill="auto"/>
            <w:vAlign w:val="center"/>
            <w:hideMark/>
          </w:tcPr>
          <w:p w14:paraId="3CB740D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Number of EC countries receiving grants </w:t>
            </w:r>
          </w:p>
        </w:tc>
        <w:tc>
          <w:tcPr>
            <w:tcW w:w="1149" w:type="dxa"/>
            <w:shd w:val="clear" w:color="auto" w:fill="auto"/>
            <w:vAlign w:val="center"/>
            <w:hideMark/>
          </w:tcPr>
          <w:p w14:paraId="5D4078A3"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countries</w:t>
            </w:r>
          </w:p>
        </w:tc>
        <w:tc>
          <w:tcPr>
            <w:tcW w:w="7486" w:type="dxa"/>
            <w:shd w:val="clear" w:color="auto" w:fill="auto"/>
            <w:vAlign w:val="center"/>
            <w:hideMark/>
          </w:tcPr>
          <w:p w14:paraId="0D60E5F3"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Values based on number grant agreements.</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w:t>
            </w:r>
          </w:p>
        </w:tc>
      </w:tr>
      <w:tr w:rsidR="002A5742" w:rsidRPr="002A5742" w14:paraId="75421EB1" w14:textId="77777777" w:rsidTr="000C7DEB">
        <w:trPr>
          <w:trHeight w:val="270"/>
          <w:jc w:val="center"/>
        </w:trPr>
        <w:tc>
          <w:tcPr>
            <w:tcW w:w="2673" w:type="dxa"/>
            <w:shd w:val="clear" w:color="000000" w:fill="C0C0C0"/>
            <w:noWrap/>
            <w:vAlign w:val="center"/>
            <w:hideMark/>
          </w:tcPr>
          <w:p w14:paraId="2E5112CF"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Component 3</w:t>
            </w:r>
          </w:p>
        </w:tc>
        <w:tc>
          <w:tcPr>
            <w:tcW w:w="2153" w:type="dxa"/>
            <w:shd w:val="clear" w:color="000000" w:fill="C0C0C0"/>
            <w:noWrap/>
            <w:vAlign w:val="center"/>
            <w:hideMark/>
          </w:tcPr>
          <w:p w14:paraId="774B5986"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Indicator</w:t>
            </w:r>
          </w:p>
        </w:tc>
        <w:tc>
          <w:tcPr>
            <w:tcW w:w="1149" w:type="dxa"/>
            <w:shd w:val="clear" w:color="000000" w:fill="C0C0C0"/>
            <w:noWrap/>
            <w:vAlign w:val="center"/>
            <w:hideMark/>
          </w:tcPr>
          <w:p w14:paraId="20B67114"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Units</w:t>
            </w:r>
          </w:p>
        </w:tc>
        <w:tc>
          <w:tcPr>
            <w:tcW w:w="7486" w:type="dxa"/>
            <w:shd w:val="clear" w:color="000000" w:fill="C0C0C0"/>
            <w:noWrap/>
            <w:vAlign w:val="center"/>
            <w:hideMark/>
          </w:tcPr>
          <w:p w14:paraId="121CC870"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1AD583EC" w14:textId="77777777" w:rsidTr="000C7DEB">
        <w:trPr>
          <w:trHeight w:val="270"/>
          <w:jc w:val="center"/>
        </w:trPr>
        <w:tc>
          <w:tcPr>
            <w:tcW w:w="2673" w:type="dxa"/>
            <w:shd w:val="clear" w:color="000000" w:fill="F2F2F2"/>
            <w:noWrap/>
            <w:vAlign w:val="center"/>
            <w:hideMark/>
          </w:tcPr>
          <w:p w14:paraId="04A05A60"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Results</w:t>
            </w:r>
          </w:p>
        </w:tc>
        <w:tc>
          <w:tcPr>
            <w:tcW w:w="2153" w:type="dxa"/>
            <w:shd w:val="clear" w:color="000000" w:fill="F2F2F2"/>
            <w:noWrap/>
            <w:vAlign w:val="center"/>
            <w:hideMark/>
          </w:tcPr>
          <w:p w14:paraId="16B7C1E9"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2296C17E"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0C89BAF2"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26C0826A" w14:textId="77777777" w:rsidTr="000C7DEB">
        <w:trPr>
          <w:trHeight w:val="915"/>
          <w:jc w:val="center"/>
        </w:trPr>
        <w:tc>
          <w:tcPr>
            <w:tcW w:w="2673" w:type="dxa"/>
            <w:shd w:val="clear" w:color="auto" w:fill="auto"/>
            <w:vAlign w:val="center"/>
            <w:hideMark/>
          </w:tcPr>
          <w:p w14:paraId="0C32BC72"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Greenhouse gas (GHG) emissions avoided by geothermal projects financed at any stage by the Program</w:t>
            </w:r>
          </w:p>
        </w:tc>
        <w:tc>
          <w:tcPr>
            <w:tcW w:w="2153" w:type="dxa"/>
            <w:shd w:val="clear" w:color="auto" w:fill="auto"/>
            <w:vAlign w:val="center"/>
            <w:hideMark/>
          </w:tcPr>
          <w:p w14:paraId="11740E60"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Greenhouse gas (GHG) emissions avoided</w:t>
            </w:r>
          </w:p>
        </w:tc>
        <w:tc>
          <w:tcPr>
            <w:tcW w:w="1149" w:type="dxa"/>
            <w:shd w:val="clear" w:color="auto" w:fill="auto"/>
            <w:vAlign w:val="center"/>
            <w:hideMark/>
          </w:tcPr>
          <w:p w14:paraId="2C582BC1" w14:textId="2DA4DF21" w:rsidR="002A5742" w:rsidRPr="002A5742" w:rsidRDefault="00C9762E" w:rsidP="002A5742">
            <w:pPr>
              <w:jc w:val="center"/>
              <w:rPr>
                <w:rFonts w:cs="Arial"/>
                <w:color w:val="000000"/>
                <w:sz w:val="22"/>
                <w:szCs w:val="22"/>
                <w:lang w:eastAsia="en-US"/>
              </w:rPr>
            </w:pPr>
            <w:r>
              <w:rPr>
                <w:rFonts w:cs="Arial"/>
                <w:color w:val="000000"/>
                <w:sz w:val="22"/>
                <w:szCs w:val="22"/>
                <w:lang w:eastAsia="en-US"/>
              </w:rPr>
              <w:t>k</w:t>
            </w:r>
            <w:r w:rsidRPr="002A5742">
              <w:rPr>
                <w:rFonts w:cs="Arial"/>
                <w:color w:val="000000"/>
                <w:sz w:val="22"/>
                <w:szCs w:val="22"/>
                <w:lang w:eastAsia="en-US"/>
              </w:rPr>
              <w:t>tCO</w:t>
            </w:r>
            <w:r w:rsidRPr="002A5742">
              <w:rPr>
                <w:rFonts w:cs="Arial"/>
                <w:color w:val="000000"/>
                <w:sz w:val="22"/>
                <w:szCs w:val="22"/>
                <w:vertAlign w:val="subscript"/>
                <w:lang w:eastAsia="en-US"/>
              </w:rPr>
              <w:t>2</w:t>
            </w:r>
            <w:r w:rsidRPr="002A5742">
              <w:rPr>
                <w:rFonts w:cs="Arial"/>
                <w:color w:val="000000"/>
                <w:sz w:val="22"/>
                <w:szCs w:val="22"/>
                <w:lang w:eastAsia="en-US"/>
              </w:rPr>
              <w:t>e</w:t>
            </w:r>
            <w:r w:rsidR="002A5742" w:rsidRPr="002A5742">
              <w:rPr>
                <w:rFonts w:cs="Arial"/>
                <w:color w:val="000000"/>
                <w:sz w:val="22"/>
                <w:szCs w:val="22"/>
                <w:lang w:eastAsia="en-US"/>
              </w:rPr>
              <w:t>/yr</w:t>
            </w:r>
          </w:p>
        </w:tc>
        <w:tc>
          <w:tcPr>
            <w:tcW w:w="7486" w:type="dxa"/>
            <w:shd w:val="clear" w:color="auto" w:fill="auto"/>
            <w:vAlign w:val="center"/>
            <w:hideMark/>
          </w:tcPr>
          <w:p w14:paraId="67B40A76" w14:textId="43D12834" w:rsidR="00E77B12" w:rsidRDefault="00741706" w:rsidP="002A5742">
            <w:pPr>
              <w:jc w:val="left"/>
              <w:rPr>
                <w:rFonts w:cs="Arial"/>
                <w:iCs/>
                <w:color w:val="000000"/>
                <w:sz w:val="22"/>
                <w:szCs w:val="22"/>
                <w:lang w:eastAsia="en-US"/>
              </w:rPr>
            </w:pPr>
            <w:r>
              <w:rPr>
                <w:rFonts w:cs="Arial"/>
                <w:iCs/>
                <w:color w:val="000000"/>
                <w:sz w:val="22"/>
                <w:szCs w:val="22"/>
                <w:lang w:eastAsia="en-US"/>
              </w:rPr>
              <w:t>T</w:t>
            </w:r>
            <w:r w:rsidR="002A5742" w:rsidRPr="002A5742">
              <w:rPr>
                <w:rFonts w:cs="Arial"/>
                <w:iCs/>
                <w:color w:val="000000"/>
                <w:sz w:val="22"/>
                <w:szCs w:val="22"/>
                <w:lang w:eastAsia="en-US"/>
              </w:rPr>
              <w:t xml:space="preserve">ons of GHG emissions be reduced </w:t>
            </w:r>
            <w:r>
              <w:rPr>
                <w:rFonts w:cs="Arial"/>
                <w:iCs/>
                <w:color w:val="000000"/>
                <w:sz w:val="22"/>
                <w:szCs w:val="22"/>
                <w:lang w:eastAsia="en-US"/>
              </w:rPr>
              <w:t>(</w:t>
            </w:r>
            <w:r w:rsidR="002A5742" w:rsidRPr="002A5742">
              <w:rPr>
                <w:rFonts w:cs="Arial"/>
                <w:iCs/>
                <w:color w:val="000000"/>
                <w:sz w:val="22"/>
                <w:szCs w:val="22"/>
                <w:lang w:eastAsia="en-US"/>
              </w:rPr>
              <w:t>avoided</w:t>
            </w:r>
            <w:r>
              <w:rPr>
                <w:rFonts w:cs="Arial"/>
                <w:iCs/>
                <w:color w:val="000000"/>
                <w:sz w:val="22"/>
                <w:szCs w:val="22"/>
                <w:lang w:eastAsia="en-US"/>
              </w:rPr>
              <w:t>)</w:t>
            </w:r>
            <w:r w:rsidR="002A5742" w:rsidRPr="002A5742">
              <w:rPr>
                <w:rFonts w:cs="Arial"/>
                <w:iCs/>
                <w:color w:val="000000"/>
                <w:sz w:val="22"/>
                <w:szCs w:val="22"/>
                <w:lang w:eastAsia="en-US"/>
              </w:rPr>
              <w:t xml:space="preserve"> once the plants of geothermal projects financed at any stage by the Program are commissioned.(1)</w:t>
            </w:r>
            <w:r w:rsidR="002A5742" w:rsidRPr="002A5742">
              <w:rPr>
                <w:rFonts w:cs="Arial"/>
                <w:iCs/>
                <w:color w:val="000000"/>
                <w:sz w:val="22"/>
                <w:szCs w:val="22"/>
                <w:lang w:eastAsia="en-US"/>
              </w:rPr>
              <w:br/>
            </w:r>
          </w:p>
          <w:p w14:paraId="48EF07E3" w14:textId="77777777" w:rsidR="00741706" w:rsidRPr="00741706" w:rsidRDefault="00741706" w:rsidP="00741706">
            <w:pPr>
              <w:jc w:val="left"/>
              <w:rPr>
                <w:rFonts w:cs="Arial"/>
                <w:iCs/>
                <w:color w:val="000000"/>
                <w:sz w:val="22"/>
                <w:szCs w:val="22"/>
                <w:lang w:eastAsia="en-US"/>
              </w:rPr>
            </w:pPr>
            <w:r w:rsidRPr="00741706">
              <w:rPr>
                <w:rFonts w:cs="Arial"/>
                <w:iCs/>
                <w:color w:val="000000"/>
                <w:sz w:val="22"/>
                <w:szCs w:val="22"/>
                <w:lang w:eastAsia="en-US"/>
              </w:rPr>
              <w:t>f*e</w:t>
            </w:r>
          </w:p>
          <w:p w14:paraId="150E785E" w14:textId="77777777" w:rsidR="00741706" w:rsidRPr="00741706" w:rsidRDefault="00741706" w:rsidP="00741706">
            <w:pPr>
              <w:jc w:val="left"/>
              <w:rPr>
                <w:rFonts w:cs="Arial"/>
                <w:iCs/>
                <w:color w:val="000000"/>
                <w:sz w:val="22"/>
                <w:szCs w:val="22"/>
                <w:lang w:eastAsia="en-US"/>
              </w:rPr>
            </w:pPr>
            <w:r w:rsidRPr="00741706">
              <w:rPr>
                <w:rFonts w:cs="Arial"/>
                <w:iCs/>
                <w:color w:val="000000"/>
                <w:sz w:val="22"/>
                <w:szCs w:val="22"/>
                <w:lang w:eastAsia="en-US"/>
              </w:rPr>
              <w:t>Where:</w:t>
            </w:r>
          </w:p>
          <w:p w14:paraId="672C6D03" w14:textId="77777777" w:rsidR="00741706" w:rsidRPr="00741706" w:rsidRDefault="00741706" w:rsidP="00741706">
            <w:pPr>
              <w:jc w:val="left"/>
              <w:rPr>
                <w:rFonts w:cs="Arial"/>
                <w:iCs/>
                <w:color w:val="000000"/>
                <w:sz w:val="22"/>
                <w:szCs w:val="22"/>
                <w:lang w:eastAsia="en-US"/>
              </w:rPr>
            </w:pPr>
            <w:r w:rsidRPr="00741706">
              <w:rPr>
                <w:rFonts w:cs="Arial"/>
                <w:iCs/>
                <w:color w:val="000000"/>
                <w:sz w:val="22"/>
                <w:szCs w:val="22"/>
                <w:lang w:eastAsia="en-US"/>
              </w:rPr>
              <w:t>f= electricity produced through geothermal power plants (kWh)</w:t>
            </w:r>
          </w:p>
          <w:p w14:paraId="2E5EF524" w14:textId="77777777" w:rsidR="00741706" w:rsidRPr="00741706" w:rsidRDefault="00741706" w:rsidP="00741706">
            <w:pPr>
              <w:jc w:val="left"/>
              <w:rPr>
                <w:rFonts w:cs="Arial"/>
                <w:iCs/>
                <w:color w:val="000000"/>
                <w:sz w:val="22"/>
                <w:szCs w:val="22"/>
                <w:lang w:eastAsia="en-US"/>
              </w:rPr>
            </w:pPr>
            <w:r w:rsidRPr="00741706">
              <w:rPr>
                <w:rFonts w:cs="Arial"/>
                <w:iCs/>
                <w:color w:val="000000"/>
                <w:sz w:val="22"/>
                <w:szCs w:val="22"/>
                <w:lang w:eastAsia="en-US"/>
              </w:rPr>
              <w:t>e=average conversion factor (tCO</w:t>
            </w:r>
            <w:r w:rsidRPr="00741706">
              <w:rPr>
                <w:rFonts w:ascii="Cambria Math" w:hAnsi="Cambria Math" w:cs="Cambria Math"/>
                <w:iCs/>
                <w:color w:val="000000"/>
                <w:sz w:val="22"/>
                <w:szCs w:val="22"/>
                <w:lang w:eastAsia="en-US"/>
              </w:rPr>
              <w:t>₂</w:t>
            </w:r>
            <w:r w:rsidRPr="00741706">
              <w:rPr>
                <w:rFonts w:cs="Arial"/>
                <w:iCs/>
                <w:color w:val="000000"/>
                <w:sz w:val="22"/>
                <w:szCs w:val="22"/>
                <w:lang w:eastAsia="en-US"/>
              </w:rPr>
              <w:t>/Mwh)</w:t>
            </w:r>
          </w:p>
          <w:p w14:paraId="1AEF8839" w14:textId="77777777" w:rsidR="00741706" w:rsidRDefault="00741706" w:rsidP="002A5742">
            <w:pPr>
              <w:jc w:val="left"/>
              <w:rPr>
                <w:rFonts w:cs="Arial"/>
                <w:iCs/>
                <w:color w:val="000000"/>
                <w:sz w:val="22"/>
                <w:szCs w:val="22"/>
                <w:lang w:eastAsia="en-US"/>
              </w:rPr>
            </w:pPr>
          </w:p>
          <w:p w14:paraId="4D934B67" w14:textId="03E9F78E" w:rsidR="002A5742" w:rsidRPr="002A5742" w:rsidRDefault="002A5742" w:rsidP="00C9762E">
            <w:pPr>
              <w:jc w:val="left"/>
              <w:rPr>
                <w:rFonts w:cs="Arial"/>
                <w:iCs/>
                <w:color w:val="000000"/>
                <w:sz w:val="22"/>
                <w:szCs w:val="22"/>
                <w:lang w:eastAsia="en-US"/>
              </w:rPr>
            </w:pPr>
            <w:r w:rsidRPr="002A5742">
              <w:rPr>
                <w:rFonts w:cs="Arial"/>
                <w:iCs/>
                <w:color w:val="000000"/>
                <w:sz w:val="22"/>
                <w:szCs w:val="22"/>
                <w:lang w:eastAsia="en-US"/>
              </w:rPr>
              <w:lastRenderedPageBreak/>
              <w:t>Source: IDB estimations made following IDB methodology, based on installed capacity, electricity generation, and an average conversion factor of 0.84</w:t>
            </w:r>
            <w:r w:rsidRPr="002A5742">
              <w:rPr>
                <w:rFonts w:cs="Arial"/>
                <w:iCs/>
                <w:color w:val="000000"/>
                <w:sz w:val="22"/>
                <w:szCs w:val="22"/>
                <w:lang w:eastAsia="en-US"/>
              </w:rPr>
              <w:br/>
              <w:t>(ex-post CBA)</w:t>
            </w:r>
            <w:r w:rsidRPr="002A5742">
              <w:rPr>
                <w:rFonts w:cs="Arial"/>
                <w:iCs/>
                <w:color w:val="000000"/>
                <w:sz w:val="22"/>
                <w:szCs w:val="22"/>
                <w:lang w:eastAsia="en-US"/>
              </w:rPr>
              <w:br/>
            </w:r>
            <w:r w:rsidRPr="002A5742">
              <w:rPr>
                <w:rFonts w:cs="Arial"/>
                <w:iCs/>
                <w:color w:val="000000"/>
                <w:sz w:val="22"/>
                <w:szCs w:val="22"/>
                <w:lang w:eastAsia="en-US"/>
              </w:rPr>
              <w:br/>
            </w:r>
            <w:r w:rsidR="00C9762E">
              <w:rPr>
                <w:rFonts w:cs="Arial"/>
                <w:iCs/>
                <w:color w:val="000000"/>
                <w:sz w:val="22"/>
                <w:szCs w:val="22"/>
                <w:lang w:eastAsia="en-US"/>
              </w:rPr>
              <w:t>k</w:t>
            </w:r>
            <w:r w:rsidR="00C9762E" w:rsidRPr="002A5742">
              <w:rPr>
                <w:rFonts w:cs="Arial"/>
                <w:iCs/>
                <w:color w:val="000000"/>
                <w:sz w:val="22"/>
                <w:szCs w:val="22"/>
                <w:lang w:eastAsia="en-US"/>
              </w:rPr>
              <w:t xml:space="preserve">tCO2e </w:t>
            </w:r>
            <w:r w:rsidRPr="002A5742">
              <w:rPr>
                <w:rFonts w:cs="Arial"/>
                <w:iCs/>
                <w:color w:val="000000"/>
                <w:sz w:val="22"/>
                <w:szCs w:val="22"/>
                <w:lang w:eastAsia="en-US"/>
              </w:rPr>
              <w:t xml:space="preserve">= </w:t>
            </w:r>
            <w:r w:rsidR="00C9762E">
              <w:rPr>
                <w:rFonts w:cs="Arial"/>
                <w:iCs/>
                <w:color w:val="000000"/>
                <w:sz w:val="22"/>
                <w:szCs w:val="22"/>
                <w:lang w:eastAsia="en-US"/>
              </w:rPr>
              <w:t>Thousands</w:t>
            </w:r>
            <w:r w:rsidR="00C9762E" w:rsidRPr="002A5742">
              <w:rPr>
                <w:rFonts w:cs="Arial"/>
                <w:iCs/>
                <w:color w:val="000000"/>
                <w:sz w:val="22"/>
                <w:szCs w:val="22"/>
                <w:lang w:eastAsia="en-US"/>
              </w:rPr>
              <w:t xml:space="preserve"> </w:t>
            </w:r>
            <w:r w:rsidRPr="002A5742">
              <w:rPr>
                <w:rFonts w:cs="Arial"/>
                <w:iCs/>
                <w:color w:val="000000"/>
                <w:sz w:val="22"/>
                <w:szCs w:val="22"/>
                <w:lang w:eastAsia="en-US"/>
              </w:rPr>
              <w:t>of tons of CO2 equivalent</w:t>
            </w:r>
            <w:r w:rsidRPr="002A5742">
              <w:rPr>
                <w:rFonts w:cs="Arial"/>
                <w:iCs/>
                <w:color w:val="000000"/>
                <w:sz w:val="22"/>
                <w:szCs w:val="22"/>
                <w:lang w:eastAsia="en-US"/>
              </w:rPr>
              <w:br/>
            </w:r>
            <w:r w:rsidRPr="002A5742">
              <w:rPr>
                <w:rFonts w:cs="Arial"/>
                <w:iCs/>
                <w:color w:val="000000"/>
                <w:sz w:val="22"/>
                <w:szCs w:val="22"/>
                <w:lang w:eastAsia="en-US"/>
              </w:rPr>
              <w:br/>
              <w:t>Note: If the plants are not operational for the entire year in the first year of operation, the annual target for that year need to be adjusted proportionally to the time the plants are actually in operation.</w:t>
            </w:r>
          </w:p>
        </w:tc>
      </w:tr>
      <w:tr w:rsidR="002A5742" w:rsidRPr="002A5742" w14:paraId="715E2F67" w14:textId="77777777" w:rsidTr="000C7DEB">
        <w:trPr>
          <w:trHeight w:val="250"/>
          <w:jc w:val="center"/>
        </w:trPr>
        <w:tc>
          <w:tcPr>
            <w:tcW w:w="2673" w:type="dxa"/>
            <w:shd w:val="clear" w:color="auto" w:fill="auto"/>
            <w:vAlign w:val="center"/>
            <w:hideMark/>
          </w:tcPr>
          <w:p w14:paraId="4257E7BC"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lastRenderedPageBreak/>
              <w:t>Reduction in imports of fossil fuels for electricity generation in EC countries with geothermal projects financed at any stage by the Program</w:t>
            </w:r>
          </w:p>
        </w:tc>
        <w:tc>
          <w:tcPr>
            <w:tcW w:w="2153" w:type="dxa"/>
            <w:shd w:val="clear" w:color="auto" w:fill="auto"/>
            <w:vAlign w:val="center"/>
            <w:hideMark/>
          </w:tcPr>
          <w:p w14:paraId="4161FF39"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Reduction in imports of fossil fuels for electricity generation</w:t>
            </w:r>
          </w:p>
        </w:tc>
        <w:tc>
          <w:tcPr>
            <w:tcW w:w="1149" w:type="dxa"/>
            <w:shd w:val="clear" w:color="auto" w:fill="auto"/>
            <w:vAlign w:val="center"/>
            <w:hideMark/>
          </w:tcPr>
          <w:p w14:paraId="67890512"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Thousand barrels of oil</w:t>
            </w:r>
          </w:p>
        </w:tc>
        <w:tc>
          <w:tcPr>
            <w:tcW w:w="7486" w:type="dxa"/>
            <w:shd w:val="clear" w:color="auto" w:fill="auto"/>
            <w:vAlign w:val="center"/>
            <w:hideMark/>
          </w:tcPr>
          <w:p w14:paraId="6925DEBA" w14:textId="7E6971E8" w:rsidR="004653F6" w:rsidRPr="00A83C80" w:rsidRDefault="002A5742" w:rsidP="004653F6">
            <w:pPr>
              <w:jc w:val="left"/>
              <w:rPr>
                <w:rFonts w:cs="Arial"/>
                <w:iCs/>
                <w:sz w:val="22"/>
                <w:szCs w:val="22"/>
                <w:lang w:eastAsia="en-US"/>
              </w:rPr>
            </w:pPr>
            <w:r w:rsidRPr="002A5742">
              <w:rPr>
                <w:sz w:val="22"/>
                <w:lang w:eastAsia="en-US"/>
              </w:rPr>
              <w:t xml:space="preserve">Measures the estimated reduction in barrels of oil imported </w:t>
            </w:r>
            <w:r w:rsidR="00741706" w:rsidRPr="00741706">
              <w:rPr>
                <w:sz w:val="22"/>
                <w:lang w:eastAsia="en-US"/>
              </w:rPr>
              <w:t>(displaced oil)</w:t>
            </w:r>
            <w:r w:rsidR="00741706">
              <w:rPr>
                <w:sz w:val="22"/>
                <w:lang w:eastAsia="en-US"/>
              </w:rPr>
              <w:t xml:space="preserve"> </w:t>
            </w:r>
            <w:r w:rsidRPr="002A5742">
              <w:rPr>
                <w:sz w:val="22"/>
                <w:lang w:eastAsia="en-US"/>
              </w:rPr>
              <w:t xml:space="preserve">once the </w:t>
            </w:r>
            <w:r>
              <w:rPr>
                <w:sz w:val="22"/>
                <w:lang w:eastAsia="en-US"/>
              </w:rPr>
              <w:t xml:space="preserve">geothermal projects </w:t>
            </w:r>
            <w:r w:rsidR="004653F6">
              <w:rPr>
                <w:rFonts w:cs="Arial"/>
                <w:iCs/>
                <w:sz w:val="22"/>
                <w:szCs w:val="22"/>
                <w:lang w:eastAsia="en-US"/>
              </w:rPr>
              <w:t>come on line</w:t>
            </w:r>
            <w:r w:rsidR="004653F6" w:rsidRPr="002A5742">
              <w:rPr>
                <w:rFonts w:cs="Arial"/>
                <w:iCs/>
                <w:sz w:val="22"/>
                <w:szCs w:val="22"/>
                <w:lang w:eastAsia="en-US"/>
              </w:rPr>
              <w:t>.</w:t>
            </w:r>
            <w:r w:rsidRPr="002A5742">
              <w:rPr>
                <w:sz w:val="22"/>
                <w:lang w:eastAsia="en-US"/>
              </w:rPr>
              <w:t xml:space="preserve"> </w:t>
            </w:r>
            <w:r w:rsidRPr="00A83C80">
              <w:rPr>
                <w:sz w:val="22"/>
                <w:lang w:eastAsia="en-US"/>
              </w:rPr>
              <w:t>Calculated based on following formula:</w:t>
            </w:r>
          </w:p>
          <w:p w14:paraId="6CDE7D14" w14:textId="22FC3B25" w:rsidR="004653F6" w:rsidRPr="00A83C80" w:rsidRDefault="00741706" w:rsidP="004653F6">
            <w:pPr>
              <w:jc w:val="left"/>
              <w:rPr>
                <w:rFonts w:cs="Arial"/>
                <w:iCs/>
                <w:sz w:val="22"/>
                <w:szCs w:val="22"/>
                <w:lang w:eastAsia="en-US"/>
              </w:rPr>
            </w:pPr>
            <w:r>
              <w:rPr>
                <w:rFonts w:cs="Arial"/>
                <w:iCs/>
                <w:sz w:val="22"/>
                <w:szCs w:val="22"/>
                <w:lang w:eastAsia="en-US"/>
              </w:rPr>
              <w:t>f*c</w:t>
            </w:r>
          </w:p>
          <w:p w14:paraId="2E715D9B" w14:textId="77777777" w:rsidR="004653F6" w:rsidRPr="00A83C80" w:rsidRDefault="004653F6" w:rsidP="004653F6">
            <w:pPr>
              <w:jc w:val="left"/>
              <w:rPr>
                <w:rFonts w:cs="Arial"/>
                <w:iCs/>
                <w:sz w:val="22"/>
                <w:szCs w:val="22"/>
                <w:lang w:eastAsia="en-US"/>
              </w:rPr>
            </w:pPr>
            <w:r w:rsidRPr="00A83C80">
              <w:rPr>
                <w:rFonts w:cs="Arial"/>
                <w:iCs/>
                <w:sz w:val="22"/>
                <w:szCs w:val="22"/>
                <w:lang w:eastAsia="en-US"/>
              </w:rPr>
              <w:t>Where:</w:t>
            </w:r>
          </w:p>
          <w:p w14:paraId="4E20C804" w14:textId="02974B49" w:rsidR="004653F6" w:rsidRPr="00A83C80" w:rsidRDefault="00741706" w:rsidP="004653F6">
            <w:pPr>
              <w:jc w:val="left"/>
              <w:rPr>
                <w:rFonts w:cs="Arial"/>
                <w:iCs/>
                <w:sz w:val="22"/>
                <w:szCs w:val="22"/>
                <w:lang w:eastAsia="en-US"/>
              </w:rPr>
            </w:pPr>
            <w:r>
              <w:rPr>
                <w:rFonts w:cs="Arial"/>
                <w:iCs/>
                <w:sz w:val="22"/>
                <w:szCs w:val="22"/>
                <w:lang w:eastAsia="en-US"/>
              </w:rPr>
              <w:t>f</w:t>
            </w:r>
            <w:r w:rsidR="004653F6" w:rsidRPr="00A83C80">
              <w:rPr>
                <w:rFonts w:cs="Arial"/>
                <w:iCs/>
                <w:sz w:val="22"/>
                <w:szCs w:val="22"/>
                <w:lang w:eastAsia="en-US"/>
              </w:rPr>
              <w:t xml:space="preserve">= </w:t>
            </w:r>
            <w:r w:rsidR="009546D6">
              <w:rPr>
                <w:rFonts w:cs="Arial"/>
                <w:iCs/>
                <w:sz w:val="22"/>
                <w:szCs w:val="22"/>
                <w:lang w:eastAsia="en-US"/>
              </w:rPr>
              <w:t xml:space="preserve">electricity produced through geothermal power plants </w:t>
            </w:r>
            <w:r w:rsidR="004653F6" w:rsidRPr="00A83C80">
              <w:rPr>
                <w:rFonts w:cs="Arial"/>
                <w:iCs/>
                <w:sz w:val="22"/>
                <w:szCs w:val="22"/>
                <w:lang w:eastAsia="en-US"/>
              </w:rPr>
              <w:t>(kWh)</w:t>
            </w:r>
          </w:p>
          <w:p w14:paraId="5AA630F2" w14:textId="77777777" w:rsidR="004653F6" w:rsidRPr="00A83C80" w:rsidRDefault="004653F6" w:rsidP="004653F6">
            <w:pPr>
              <w:jc w:val="left"/>
              <w:rPr>
                <w:rFonts w:cs="Arial"/>
                <w:iCs/>
                <w:sz w:val="22"/>
                <w:szCs w:val="22"/>
                <w:lang w:eastAsia="en-US"/>
              </w:rPr>
            </w:pPr>
            <w:r w:rsidRPr="00A83C80">
              <w:rPr>
                <w:rFonts w:cs="Arial"/>
                <w:iCs/>
                <w:sz w:val="22"/>
                <w:szCs w:val="22"/>
                <w:lang w:eastAsia="en-US"/>
              </w:rPr>
              <w:t>c=conversion factor</w:t>
            </w:r>
          </w:p>
          <w:p w14:paraId="34B0988B" w14:textId="77777777" w:rsidR="004653F6" w:rsidRPr="00A83C80" w:rsidRDefault="004653F6" w:rsidP="004653F6">
            <w:pPr>
              <w:jc w:val="left"/>
              <w:rPr>
                <w:rFonts w:cs="Arial"/>
                <w:iCs/>
                <w:sz w:val="22"/>
                <w:szCs w:val="22"/>
                <w:lang w:eastAsia="en-US"/>
              </w:rPr>
            </w:pPr>
          </w:p>
          <w:p w14:paraId="0E947BCD" w14:textId="101D6B65" w:rsidR="002A5742" w:rsidRPr="002A5742" w:rsidRDefault="004653F6" w:rsidP="00A679D5">
            <w:pPr>
              <w:jc w:val="left"/>
              <w:rPr>
                <w:rFonts w:cs="Arial"/>
                <w:iCs/>
                <w:color w:val="000000"/>
                <w:sz w:val="22"/>
                <w:szCs w:val="22"/>
                <w:lang w:eastAsia="en-US"/>
              </w:rPr>
            </w:pPr>
            <w:r w:rsidRPr="00A83C80">
              <w:rPr>
                <w:rFonts w:cs="Arial"/>
                <w:iCs/>
                <w:sz w:val="22"/>
                <w:szCs w:val="22"/>
                <w:lang w:eastAsia="en-US"/>
              </w:rPr>
              <w:t xml:space="preserve">Source: Variable </w:t>
            </w:r>
            <w:r>
              <w:rPr>
                <w:rFonts w:cs="Arial"/>
                <w:iCs/>
                <w:sz w:val="22"/>
                <w:szCs w:val="22"/>
                <w:lang w:eastAsia="en-US"/>
              </w:rPr>
              <w:t>“</w:t>
            </w:r>
            <w:r w:rsidRPr="00A83C80">
              <w:rPr>
                <w:rFonts w:cs="Arial"/>
                <w:iCs/>
                <w:sz w:val="22"/>
                <w:szCs w:val="22"/>
                <w:lang w:eastAsia="en-US"/>
              </w:rPr>
              <w:t>a</w:t>
            </w:r>
            <w:r>
              <w:rPr>
                <w:rFonts w:cs="Arial"/>
                <w:iCs/>
                <w:sz w:val="22"/>
                <w:szCs w:val="22"/>
                <w:lang w:eastAsia="en-US"/>
              </w:rPr>
              <w:t>”</w:t>
            </w:r>
            <w:r w:rsidRPr="00A83C80">
              <w:rPr>
                <w:rFonts w:cs="Arial"/>
                <w:iCs/>
                <w:sz w:val="22"/>
                <w:szCs w:val="22"/>
                <w:lang w:eastAsia="en-US"/>
              </w:rPr>
              <w:t xml:space="preserve"> is an IDB estimation made based </w:t>
            </w:r>
            <w:r w:rsidR="009546D6">
              <w:rPr>
                <w:rFonts w:cs="Arial"/>
                <w:iCs/>
                <w:sz w:val="22"/>
                <w:szCs w:val="22"/>
                <w:lang w:eastAsia="en-US"/>
              </w:rPr>
              <w:t xml:space="preserve">on </w:t>
            </w:r>
            <w:r w:rsidR="009546D6" w:rsidRPr="00176BF1">
              <w:rPr>
                <w:color w:val="000000"/>
                <w:sz w:val="22"/>
                <w:lang w:eastAsia="en-US"/>
              </w:rPr>
              <w:t>estimated installed capacity and electricity generation</w:t>
            </w:r>
            <w:r w:rsidRPr="00A83C80">
              <w:rPr>
                <w:rFonts w:cs="Arial"/>
                <w:iCs/>
                <w:sz w:val="22"/>
                <w:szCs w:val="22"/>
                <w:lang w:eastAsia="en-US"/>
              </w:rPr>
              <w:t xml:space="preserve">. </w:t>
            </w:r>
            <w:r w:rsidR="002A5742" w:rsidRPr="00A83C80">
              <w:rPr>
                <w:sz w:val="22"/>
                <w:lang w:eastAsia="en-US"/>
              </w:rPr>
              <w:t xml:space="preserve">Figures to be checked with the utilities and the Governments in the EC countries (ex-post CBA) Variable </w:t>
            </w:r>
            <w:r>
              <w:rPr>
                <w:rFonts w:cs="Arial"/>
                <w:iCs/>
                <w:sz w:val="22"/>
                <w:szCs w:val="22"/>
                <w:lang w:eastAsia="en-US"/>
              </w:rPr>
              <w:t>“</w:t>
            </w:r>
            <w:r w:rsidRPr="00A83C80">
              <w:rPr>
                <w:rFonts w:cs="Arial"/>
                <w:iCs/>
                <w:sz w:val="22"/>
                <w:szCs w:val="22"/>
                <w:lang w:eastAsia="en-US"/>
              </w:rPr>
              <w:t>c</w:t>
            </w:r>
            <w:r>
              <w:rPr>
                <w:rFonts w:cs="Arial"/>
                <w:iCs/>
                <w:sz w:val="22"/>
                <w:szCs w:val="22"/>
                <w:lang w:eastAsia="en-US"/>
              </w:rPr>
              <w:t>”</w:t>
            </w:r>
            <w:r w:rsidRPr="00A83C80">
              <w:rPr>
                <w:rFonts w:cs="Arial"/>
                <w:iCs/>
                <w:sz w:val="22"/>
                <w:szCs w:val="22"/>
                <w:lang w:eastAsia="en-US"/>
              </w:rPr>
              <w:t xml:space="preserve"> is based on</w:t>
            </w:r>
            <w:r w:rsidR="002A5742" w:rsidRPr="00A83C80">
              <w:rPr>
                <w:sz w:val="22"/>
                <w:lang w:eastAsia="en-US"/>
              </w:rPr>
              <w:t xml:space="preserve"> a heat rate of 10,200 kj/kWh, and an oil energy content of 6.311532*10^6 kj/barrel of oil.</w:t>
            </w:r>
            <w:r w:rsidR="002A5742" w:rsidRPr="002A5742">
              <w:rPr>
                <w:rFonts w:cs="Arial"/>
                <w:iCs/>
                <w:color w:val="000000"/>
                <w:sz w:val="22"/>
                <w:szCs w:val="22"/>
                <w:lang w:eastAsia="en-US"/>
              </w:rPr>
              <w:br/>
            </w:r>
            <w:r w:rsidR="002A5742" w:rsidRPr="002A5742">
              <w:rPr>
                <w:rFonts w:cs="Arial"/>
                <w:iCs/>
                <w:color w:val="000000"/>
                <w:sz w:val="22"/>
                <w:szCs w:val="22"/>
                <w:lang w:eastAsia="en-US"/>
              </w:rPr>
              <w:br/>
              <w:t>Note: If the plants are not operational for the entire year in the first year of operation, the annual target for that year need to be adjusted proportionally to the time the plants are actually in operation.</w:t>
            </w:r>
          </w:p>
        </w:tc>
      </w:tr>
      <w:tr w:rsidR="002A5742" w:rsidRPr="002A5742" w14:paraId="29C905A2" w14:textId="77777777" w:rsidTr="000C7DEB">
        <w:trPr>
          <w:trHeight w:val="1330"/>
          <w:jc w:val="center"/>
        </w:trPr>
        <w:tc>
          <w:tcPr>
            <w:tcW w:w="2673" w:type="dxa"/>
            <w:shd w:val="clear" w:color="auto" w:fill="auto"/>
            <w:vAlign w:val="center"/>
            <w:hideMark/>
          </w:tcPr>
          <w:p w14:paraId="454D6AA5" w14:textId="053F99F5"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Geothermal power generation capacity installed in projects </w:t>
            </w:r>
            <w:r w:rsidR="00C9762E">
              <w:rPr>
                <w:rFonts w:cs="Arial"/>
                <w:color w:val="000000"/>
                <w:sz w:val="22"/>
                <w:szCs w:val="22"/>
                <w:lang w:eastAsia="en-US"/>
              </w:rPr>
              <w:t xml:space="preserve">facilitated or </w:t>
            </w:r>
            <w:r w:rsidRPr="002A5742">
              <w:rPr>
                <w:rFonts w:cs="Arial"/>
                <w:color w:val="000000"/>
                <w:sz w:val="22"/>
                <w:szCs w:val="22"/>
                <w:lang w:eastAsia="en-US"/>
              </w:rPr>
              <w:t>financed at some stage by the program</w:t>
            </w:r>
          </w:p>
        </w:tc>
        <w:tc>
          <w:tcPr>
            <w:tcW w:w="2153" w:type="dxa"/>
            <w:shd w:val="clear" w:color="auto" w:fill="auto"/>
            <w:vAlign w:val="center"/>
            <w:hideMark/>
          </w:tcPr>
          <w:p w14:paraId="460108E5"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MW of geothermal capacity </w:t>
            </w:r>
          </w:p>
        </w:tc>
        <w:tc>
          <w:tcPr>
            <w:tcW w:w="1149" w:type="dxa"/>
            <w:shd w:val="clear" w:color="auto" w:fill="auto"/>
            <w:vAlign w:val="center"/>
            <w:hideMark/>
          </w:tcPr>
          <w:p w14:paraId="30BF0193"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MW</w:t>
            </w:r>
          </w:p>
        </w:tc>
        <w:tc>
          <w:tcPr>
            <w:tcW w:w="7486" w:type="dxa"/>
            <w:shd w:val="clear" w:color="auto" w:fill="auto"/>
            <w:vAlign w:val="center"/>
            <w:hideMark/>
          </w:tcPr>
          <w:p w14:paraId="2AAC29B6" w14:textId="5AE82059"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Includes the installed capacity that is expected to be operational at completion of Program (1)</w:t>
            </w:r>
            <w:r w:rsidR="00FD1640">
              <w:rPr>
                <w:rFonts w:cs="Arial"/>
                <w:iCs/>
                <w:color w:val="000000"/>
                <w:sz w:val="22"/>
                <w:szCs w:val="22"/>
                <w:lang w:eastAsia="en-US"/>
              </w:rPr>
              <w:t>.</w:t>
            </w:r>
            <w:r w:rsidRPr="002A5742">
              <w:rPr>
                <w:rFonts w:cs="Arial"/>
                <w:iCs/>
                <w:color w:val="000000"/>
                <w:sz w:val="22"/>
                <w:szCs w:val="22"/>
                <w:lang w:eastAsia="en-US"/>
              </w:rPr>
              <w:br/>
            </w:r>
            <w:r w:rsidRPr="002A5742">
              <w:rPr>
                <w:rFonts w:cs="Arial"/>
                <w:iCs/>
                <w:color w:val="000000"/>
                <w:sz w:val="22"/>
                <w:szCs w:val="22"/>
                <w:lang w:eastAsia="en-US"/>
              </w:rPr>
              <w:br/>
              <w:t>Source: Report from CDB . Estimations of expected installed capacity based on quality of resource confirmed once exploration wells are drilled</w:t>
            </w:r>
          </w:p>
        </w:tc>
      </w:tr>
      <w:tr w:rsidR="002A5742" w:rsidRPr="002A5742" w14:paraId="4BB1DAC0" w14:textId="77777777" w:rsidTr="000C7DEB">
        <w:trPr>
          <w:trHeight w:val="1800"/>
          <w:jc w:val="center"/>
        </w:trPr>
        <w:tc>
          <w:tcPr>
            <w:tcW w:w="2673" w:type="dxa"/>
            <w:shd w:val="clear" w:color="auto" w:fill="auto"/>
            <w:vAlign w:val="center"/>
            <w:hideMark/>
          </w:tcPr>
          <w:p w14:paraId="377F55A3"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lastRenderedPageBreak/>
              <w:t>Geothermal projects financed at any stage by the Program that moved on from early exploration to production drilling or from early exploration or production drilling to construction of plants and/or electricity generation</w:t>
            </w:r>
          </w:p>
        </w:tc>
        <w:tc>
          <w:tcPr>
            <w:tcW w:w="2153" w:type="dxa"/>
            <w:shd w:val="clear" w:color="auto" w:fill="auto"/>
            <w:vAlign w:val="center"/>
            <w:hideMark/>
          </w:tcPr>
          <w:p w14:paraId="2B0524A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Number of GE projects financed that moved to the following stage of development</w:t>
            </w:r>
          </w:p>
        </w:tc>
        <w:tc>
          <w:tcPr>
            <w:tcW w:w="1149" w:type="dxa"/>
            <w:shd w:val="clear" w:color="auto" w:fill="auto"/>
            <w:vAlign w:val="center"/>
            <w:hideMark/>
          </w:tcPr>
          <w:p w14:paraId="7F5D1893"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GE projects</w:t>
            </w:r>
          </w:p>
        </w:tc>
        <w:tc>
          <w:tcPr>
            <w:tcW w:w="7486" w:type="dxa"/>
            <w:shd w:val="clear" w:color="auto" w:fill="auto"/>
            <w:vAlign w:val="center"/>
            <w:hideMark/>
          </w:tcPr>
          <w:p w14:paraId="3184B8CA"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Measures the number of geotehrmal projects that moved on from early exploration to production drilling or from early exploration or production drilling to construction of plants and/or electricity generation. Includes all five GE projects in EC.</w:t>
            </w:r>
            <w:r w:rsidRPr="002A5742">
              <w:rPr>
                <w:rFonts w:cs="Arial"/>
                <w:iCs/>
                <w:color w:val="000000"/>
                <w:sz w:val="22"/>
                <w:szCs w:val="22"/>
                <w:lang w:eastAsia="en-US"/>
              </w:rPr>
              <w:br/>
            </w:r>
            <w:r w:rsidRPr="002A5742">
              <w:rPr>
                <w:rFonts w:cs="Arial"/>
                <w:iCs/>
                <w:color w:val="000000"/>
                <w:sz w:val="22"/>
                <w:szCs w:val="22"/>
                <w:lang w:eastAsia="en-US"/>
              </w:rPr>
              <w:br/>
              <w:t>Source: Report from CDB with information from EC countries and private project sponsors.</w:t>
            </w:r>
          </w:p>
        </w:tc>
      </w:tr>
      <w:tr w:rsidR="002A5742" w:rsidRPr="002A5742" w14:paraId="2E579C84" w14:textId="77777777" w:rsidTr="000C7DEB">
        <w:trPr>
          <w:trHeight w:val="1267"/>
          <w:jc w:val="center"/>
        </w:trPr>
        <w:tc>
          <w:tcPr>
            <w:tcW w:w="2673" w:type="dxa"/>
            <w:shd w:val="clear" w:color="auto" w:fill="auto"/>
            <w:vAlign w:val="center"/>
            <w:hideMark/>
          </w:tcPr>
          <w:p w14:paraId="0121C887"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Women participate in consultation processes related to GE projects.</w:t>
            </w:r>
          </w:p>
        </w:tc>
        <w:tc>
          <w:tcPr>
            <w:tcW w:w="2153" w:type="dxa"/>
            <w:shd w:val="clear" w:color="auto" w:fill="auto"/>
            <w:vAlign w:val="center"/>
            <w:hideMark/>
          </w:tcPr>
          <w:p w14:paraId="08168F2E"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 of women who participate in consultations </w:t>
            </w:r>
          </w:p>
        </w:tc>
        <w:tc>
          <w:tcPr>
            <w:tcW w:w="1149" w:type="dxa"/>
            <w:shd w:val="clear" w:color="auto" w:fill="auto"/>
            <w:vAlign w:val="center"/>
            <w:hideMark/>
          </w:tcPr>
          <w:p w14:paraId="647F8AA9"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w:t>
            </w:r>
          </w:p>
        </w:tc>
        <w:tc>
          <w:tcPr>
            <w:tcW w:w="7486" w:type="dxa"/>
            <w:shd w:val="clear" w:color="auto" w:fill="auto"/>
            <w:vAlign w:val="center"/>
            <w:hideMark/>
          </w:tcPr>
          <w:p w14:paraId="0BF76E85"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 xml:space="preserve">Measures the percentage of women of the total population that are consulted in the localities where projects are implemented </w:t>
            </w:r>
            <w:r w:rsidRPr="002A5742">
              <w:rPr>
                <w:rFonts w:cs="Arial"/>
                <w:iCs/>
                <w:color w:val="000000"/>
                <w:sz w:val="22"/>
                <w:szCs w:val="22"/>
                <w:lang w:eastAsia="en-US"/>
              </w:rPr>
              <w:br/>
            </w:r>
            <w:r w:rsidRPr="002A5742">
              <w:rPr>
                <w:rFonts w:cs="Arial"/>
                <w:iCs/>
                <w:color w:val="000000"/>
                <w:sz w:val="22"/>
                <w:szCs w:val="22"/>
                <w:lang w:eastAsia="en-US"/>
              </w:rPr>
              <w:br/>
              <w:t>Source: Reports from the CDB based on information from Governments and private project sponsors</w:t>
            </w:r>
          </w:p>
        </w:tc>
      </w:tr>
      <w:tr w:rsidR="00A758DE" w:rsidRPr="002A5742" w14:paraId="372B1C8F" w14:textId="77777777" w:rsidTr="0094404E">
        <w:trPr>
          <w:trHeight w:val="1708"/>
          <w:jc w:val="center"/>
        </w:trPr>
        <w:tc>
          <w:tcPr>
            <w:tcW w:w="2673" w:type="dxa"/>
            <w:shd w:val="clear" w:color="auto" w:fill="auto"/>
          </w:tcPr>
          <w:p w14:paraId="5BE151DA" w14:textId="77777777" w:rsidR="00A758DE" w:rsidRPr="00A758DE" w:rsidRDefault="00A758DE" w:rsidP="0094404E">
            <w:pPr>
              <w:jc w:val="left"/>
              <w:rPr>
                <w:rFonts w:cs="Arial"/>
                <w:color w:val="000000"/>
                <w:sz w:val="22"/>
                <w:szCs w:val="22"/>
                <w:lang w:eastAsia="en-US"/>
              </w:rPr>
            </w:pPr>
            <w:r w:rsidRPr="00914260">
              <w:rPr>
                <w:sz w:val="22"/>
                <w:szCs w:val="22"/>
              </w:rPr>
              <w:t>RE projects appraised by the CDB</w:t>
            </w:r>
          </w:p>
        </w:tc>
        <w:tc>
          <w:tcPr>
            <w:tcW w:w="2153" w:type="dxa"/>
            <w:shd w:val="clear" w:color="auto" w:fill="auto"/>
          </w:tcPr>
          <w:p w14:paraId="6E0DF195" w14:textId="77777777" w:rsidR="00A758DE" w:rsidRPr="00A758DE" w:rsidRDefault="00A758DE" w:rsidP="0094404E">
            <w:pPr>
              <w:jc w:val="left"/>
              <w:rPr>
                <w:rFonts w:cs="Arial"/>
                <w:color w:val="000000"/>
                <w:sz w:val="22"/>
                <w:szCs w:val="22"/>
                <w:lang w:eastAsia="en-US"/>
              </w:rPr>
            </w:pPr>
            <w:r w:rsidRPr="00914260">
              <w:rPr>
                <w:sz w:val="22"/>
                <w:szCs w:val="22"/>
              </w:rPr>
              <w:t>RE projects appraised</w:t>
            </w:r>
          </w:p>
        </w:tc>
        <w:tc>
          <w:tcPr>
            <w:tcW w:w="1149" w:type="dxa"/>
            <w:shd w:val="clear" w:color="auto" w:fill="auto"/>
          </w:tcPr>
          <w:p w14:paraId="27F9D5B8" w14:textId="77777777" w:rsidR="00A758DE" w:rsidRPr="00A758DE" w:rsidRDefault="00A758DE" w:rsidP="0094404E">
            <w:pPr>
              <w:jc w:val="center"/>
              <w:rPr>
                <w:rFonts w:cs="Arial"/>
                <w:color w:val="000000"/>
                <w:sz w:val="22"/>
                <w:szCs w:val="22"/>
                <w:lang w:eastAsia="en-US"/>
              </w:rPr>
            </w:pPr>
            <w:r w:rsidRPr="00914260">
              <w:rPr>
                <w:sz w:val="22"/>
                <w:szCs w:val="22"/>
              </w:rPr>
              <w:t>Number of RE projects</w:t>
            </w:r>
          </w:p>
        </w:tc>
        <w:tc>
          <w:tcPr>
            <w:tcW w:w="7486" w:type="dxa"/>
            <w:shd w:val="clear" w:color="auto" w:fill="auto"/>
            <w:vAlign w:val="center"/>
          </w:tcPr>
          <w:p w14:paraId="3688BF99" w14:textId="77777777" w:rsidR="00A758DE" w:rsidRPr="00A758DE" w:rsidRDefault="00A758DE" w:rsidP="0094404E">
            <w:pPr>
              <w:jc w:val="left"/>
              <w:rPr>
                <w:rFonts w:cs="Arial"/>
                <w:iCs/>
                <w:color w:val="000000"/>
                <w:sz w:val="22"/>
                <w:szCs w:val="22"/>
                <w:lang w:eastAsia="en-US"/>
              </w:rPr>
            </w:pPr>
            <w:r w:rsidRPr="003D4464">
              <w:rPr>
                <w:rFonts w:cs="Arial"/>
                <w:iCs/>
                <w:color w:val="000000"/>
                <w:sz w:val="22"/>
                <w:szCs w:val="22"/>
                <w:lang w:eastAsia="en-US"/>
              </w:rPr>
              <w:t xml:space="preserve">Values based on number of RE </w:t>
            </w:r>
            <w:r w:rsidRPr="00A758DE">
              <w:rPr>
                <w:rFonts w:cs="Arial"/>
                <w:iCs/>
                <w:color w:val="000000"/>
                <w:sz w:val="22"/>
                <w:szCs w:val="22"/>
                <w:lang w:eastAsia="en-US"/>
              </w:rPr>
              <w:t>sub-project appraisals completed.</w:t>
            </w:r>
            <w:r w:rsidRPr="00A758DE">
              <w:rPr>
                <w:rFonts w:cs="Arial"/>
                <w:iCs/>
                <w:color w:val="000000"/>
                <w:sz w:val="22"/>
                <w:szCs w:val="22"/>
                <w:lang w:eastAsia="en-US"/>
              </w:rPr>
              <w:br/>
            </w:r>
            <w:r w:rsidRPr="00A758DE">
              <w:rPr>
                <w:rFonts w:cs="Arial"/>
                <w:iCs/>
                <w:color w:val="000000"/>
                <w:sz w:val="22"/>
                <w:szCs w:val="22"/>
                <w:lang w:eastAsia="en-US"/>
              </w:rPr>
              <w:br/>
              <w:t>Source: Report from CDB</w:t>
            </w:r>
          </w:p>
        </w:tc>
      </w:tr>
      <w:tr w:rsidR="002A5742" w:rsidRPr="002A5742" w14:paraId="2011070C" w14:textId="77777777" w:rsidTr="000C7DEB">
        <w:trPr>
          <w:trHeight w:val="270"/>
          <w:jc w:val="center"/>
        </w:trPr>
        <w:tc>
          <w:tcPr>
            <w:tcW w:w="2673" w:type="dxa"/>
            <w:shd w:val="clear" w:color="000000" w:fill="F2F2F2"/>
            <w:noWrap/>
            <w:vAlign w:val="center"/>
            <w:hideMark/>
          </w:tcPr>
          <w:p w14:paraId="721C3045"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Outputs</w:t>
            </w:r>
          </w:p>
        </w:tc>
        <w:tc>
          <w:tcPr>
            <w:tcW w:w="2153" w:type="dxa"/>
            <w:shd w:val="clear" w:color="000000" w:fill="F2F2F2"/>
            <w:noWrap/>
            <w:vAlign w:val="center"/>
            <w:hideMark/>
          </w:tcPr>
          <w:p w14:paraId="3E74A95F"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c>
          <w:tcPr>
            <w:tcW w:w="1149" w:type="dxa"/>
            <w:shd w:val="clear" w:color="000000" w:fill="F2F2F2"/>
            <w:noWrap/>
            <w:vAlign w:val="center"/>
            <w:hideMark/>
          </w:tcPr>
          <w:p w14:paraId="1C928757" w14:textId="77777777" w:rsidR="002A5742" w:rsidRPr="002A5742" w:rsidRDefault="002A5742" w:rsidP="002A5742">
            <w:pPr>
              <w:jc w:val="center"/>
              <w:rPr>
                <w:rFonts w:cs="Arial"/>
                <w:b/>
                <w:bCs/>
                <w:color w:val="000000"/>
                <w:sz w:val="22"/>
                <w:szCs w:val="22"/>
                <w:lang w:eastAsia="en-US"/>
              </w:rPr>
            </w:pPr>
            <w:r w:rsidRPr="002A5742">
              <w:rPr>
                <w:rFonts w:cs="Arial"/>
                <w:b/>
                <w:bCs/>
                <w:color w:val="000000"/>
                <w:sz w:val="22"/>
                <w:szCs w:val="22"/>
                <w:lang w:eastAsia="en-US"/>
              </w:rPr>
              <w:t> </w:t>
            </w:r>
          </w:p>
        </w:tc>
        <w:tc>
          <w:tcPr>
            <w:tcW w:w="7486" w:type="dxa"/>
            <w:shd w:val="clear" w:color="000000" w:fill="F2F2F2"/>
            <w:noWrap/>
            <w:vAlign w:val="center"/>
            <w:hideMark/>
          </w:tcPr>
          <w:p w14:paraId="3C5EE8AD" w14:textId="77777777" w:rsidR="002A5742" w:rsidRPr="002A5742" w:rsidRDefault="002A5742" w:rsidP="002A5742">
            <w:pPr>
              <w:jc w:val="left"/>
              <w:rPr>
                <w:rFonts w:cs="Arial"/>
                <w:b/>
                <w:bCs/>
                <w:color w:val="000000"/>
                <w:sz w:val="22"/>
                <w:szCs w:val="22"/>
                <w:lang w:eastAsia="en-US"/>
              </w:rPr>
            </w:pPr>
            <w:r w:rsidRPr="002A5742">
              <w:rPr>
                <w:rFonts w:cs="Arial"/>
                <w:b/>
                <w:bCs/>
                <w:color w:val="000000"/>
                <w:sz w:val="22"/>
                <w:szCs w:val="22"/>
                <w:lang w:eastAsia="en-US"/>
              </w:rPr>
              <w:t> </w:t>
            </w:r>
          </w:p>
        </w:tc>
      </w:tr>
      <w:tr w:rsidR="002A5742" w:rsidRPr="002A5742" w14:paraId="66D1257C" w14:textId="77777777" w:rsidTr="000C7DEB">
        <w:trPr>
          <w:trHeight w:val="1510"/>
          <w:jc w:val="center"/>
        </w:trPr>
        <w:tc>
          <w:tcPr>
            <w:tcW w:w="2673" w:type="dxa"/>
            <w:shd w:val="clear" w:color="auto" w:fill="auto"/>
            <w:vAlign w:val="center"/>
            <w:hideMark/>
          </w:tcPr>
          <w:p w14:paraId="484814CD"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Loans provided to geothermal projects at any stage of development with resources from the Program</w:t>
            </w:r>
          </w:p>
        </w:tc>
        <w:tc>
          <w:tcPr>
            <w:tcW w:w="2153" w:type="dxa"/>
            <w:shd w:val="clear" w:color="auto" w:fill="auto"/>
            <w:vAlign w:val="center"/>
            <w:hideMark/>
          </w:tcPr>
          <w:p w14:paraId="1052D438"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 xml:space="preserve">Number of loans to GE projects </w:t>
            </w:r>
          </w:p>
        </w:tc>
        <w:tc>
          <w:tcPr>
            <w:tcW w:w="1149" w:type="dxa"/>
            <w:shd w:val="clear" w:color="auto" w:fill="auto"/>
            <w:vAlign w:val="center"/>
            <w:hideMark/>
          </w:tcPr>
          <w:p w14:paraId="54A4105B"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loans</w:t>
            </w:r>
          </w:p>
        </w:tc>
        <w:tc>
          <w:tcPr>
            <w:tcW w:w="7486" w:type="dxa"/>
            <w:shd w:val="clear" w:color="auto" w:fill="auto"/>
            <w:vAlign w:val="center"/>
            <w:hideMark/>
          </w:tcPr>
          <w:p w14:paraId="35144CC0"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 xml:space="preserve">Values based on loan agreements for financing funded with resources from the Program. Target includes loans at any stage of development. </w:t>
            </w:r>
            <w:r w:rsidRPr="002A5742">
              <w:rPr>
                <w:rFonts w:cs="Arial"/>
                <w:iCs/>
                <w:color w:val="000000"/>
                <w:sz w:val="22"/>
                <w:szCs w:val="22"/>
                <w:lang w:eastAsia="en-US"/>
              </w:rPr>
              <w:br/>
            </w:r>
            <w:r w:rsidRPr="002A5742">
              <w:rPr>
                <w:rFonts w:cs="Arial"/>
                <w:iCs/>
                <w:color w:val="000000"/>
                <w:sz w:val="22"/>
                <w:szCs w:val="22"/>
                <w:lang w:eastAsia="en-US"/>
              </w:rPr>
              <w:br/>
              <w:t>Target includes all projects supported, both successful and failed.</w:t>
            </w:r>
            <w:r w:rsidRPr="002A5742">
              <w:rPr>
                <w:rFonts w:cs="Arial"/>
                <w:iCs/>
                <w:color w:val="000000"/>
                <w:sz w:val="22"/>
                <w:szCs w:val="22"/>
                <w:lang w:eastAsia="en-US"/>
              </w:rPr>
              <w:br/>
            </w:r>
            <w:r w:rsidRPr="002A5742">
              <w:rPr>
                <w:rFonts w:cs="Arial"/>
                <w:iCs/>
                <w:color w:val="000000"/>
                <w:sz w:val="22"/>
                <w:szCs w:val="22"/>
                <w:lang w:eastAsia="en-US"/>
              </w:rPr>
              <w:br/>
              <w:t xml:space="preserve">Source: Report from CDB </w:t>
            </w:r>
          </w:p>
        </w:tc>
      </w:tr>
      <w:tr w:rsidR="002A5742" w:rsidRPr="002A5742" w14:paraId="2055B69D" w14:textId="77777777" w:rsidTr="000C7DEB">
        <w:trPr>
          <w:trHeight w:val="1078"/>
          <w:jc w:val="center"/>
        </w:trPr>
        <w:tc>
          <w:tcPr>
            <w:tcW w:w="2673" w:type="dxa"/>
            <w:shd w:val="clear" w:color="auto" w:fill="auto"/>
            <w:vAlign w:val="center"/>
            <w:hideMark/>
          </w:tcPr>
          <w:p w14:paraId="0097E7A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Loans provided to finance transmission lines required for connecting GE plants to the power grid</w:t>
            </w:r>
          </w:p>
        </w:tc>
        <w:tc>
          <w:tcPr>
            <w:tcW w:w="2153" w:type="dxa"/>
            <w:shd w:val="clear" w:color="auto" w:fill="auto"/>
            <w:vAlign w:val="center"/>
            <w:hideMark/>
          </w:tcPr>
          <w:p w14:paraId="5E9FCBAF" w14:textId="77777777" w:rsidR="002A5742" w:rsidRPr="002A5742" w:rsidRDefault="002A5742" w:rsidP="002A5742">
            <w:pPr>
              <w:jc w:val="left"/>
              <w:rPr>
                <w:rFonts w:cs="Arial"/>
                <w:color w:val="000000"/>
                <w:sz w:val="22"/>
                <w:szCs w:val="22"/>
                <w:lang w:eastAsia="en-US"/>
              </w:rPr>
            </w:pPr>
            <w:r w:rsidRPr="002A5742">
              <w:rPr>
                <w:rFonts w:cs="Arial"/>
                <w:color w:val="000000"/>
                <w:sz w:val="22"/>
                <w:szCs w:val="22"/>
                <w:lang w:eastAsia="en-US"/>
              </w:rPr>
              <w:t>Number of loans for transmission and distribution projects</w:t>
            </w:r>
          </w:p>
        </w:tc>
        <w:tc>
          <w:tcPr>
            <w:tcW w:w="1149" w:type="dxa"/>
            <w:shd w:val="clear" w:color="auto" w:fill="auto"/>
            <w:vAlign w:val="center"/>
            <w:hideMark/>
          </w:tcPr>
          <w:p w14:paraId="3355F1BC" w14:textId="77777777" w:rsidR="002A5742" w:rsidRPr="002A5742" w:rsidRDefault="002A5742" w:rsidP="002A5742">
            <w:pPr>
              <w:jc w:val="center"/>
              <w:rPr>
                <w:rFonts w:cs="Arial"/>
                <w:color w:val="000000"/>
                <w:sz w:val="22"/>
                <w:szCs w:val="22"/>
                <w:lang w:eastAsia="en-US"/>
              </w:rPr>
            </w:pPr>
            <w:r w:rsidRPr="002A5742">
              <w:rPr>
                <w:rFonts w:cs="Arial"/>
                <w:color w:val="000000"/>
                <w:sz w:val="22"/>
                <w:szCs w:val="22"/>
                <w:lang w:eastAsia="en-US"/>
              </w:rPr>
              <w:t>Number of loans</w:t>
            </w:r>
          </w:p>
        </w:tc>
        <w:tc>
          <w:tcPr>
            <w:tcW w:w="7486" w:type="dxa"/>
            <w:shd w:val="clear" w:color="auto" w:fill="auto"/>
            <w:vAlign w:val="center"/>
            <w:hideMark/>
          </w:tcPr>
          <w:p w14:paraId="03279397" w14:textId="77777777" w:rsidR="002A5742" w:rsidRPr="002A5742" w:rsidRDefault="002A5742" w:rsidP="002A5742">
            <w:pPr>
              <w:jc w:val="left"/>
              <w:rPr>
                <w:rFonts w:cs="Arial"/>
                <w:iCs/>
                <w:color w:val="000000"/>
                <w:sz w:val="22"/>
                <w:szCs w:val="22"/>
                <w:lang w:eastAsia="en-US"/>
              </w:rPr>
            </w:pPr>
            <w:r w:rsidRPr="002A5742">
              <w:rPr>
                <w:rFonts w:cs="Arial"/>
                <w:iCs/>
                <w:color w:val="000000"/>
                <w:sz w:val="22"/>
                <w:szCs w:val="22"/>
                <w:lang w:eastAsia="en-US"/>
              </w:rPr>
              <w:t xml:space="preserve">Measures the number of loans to finance transmission lines required to connect GE plants to the power grid. </w:t>
            </w:r>
            <w:r w:rsidRPr="002A5742">
              <w:rPr>
                <w:rFonts w:cs="Arial"/>
                <w:iCs/>
                <w:color w:val="000000"/>
                <w:sz w:val="22"/>
                <w:szCs w:val="22"/>
                <w:lang w:eastAsia="en-US"/>
              </w:rPr>
              <w:br/>
            </w:r>
            <w:r w:rsidRPr="002A5742">
              <w:rPr>
                <w:rFonts w:cs="Arial"/>
                <w:iCs/>
                <w:color w:val="000000"/>
                <w:sz w:val="22"/>
                <w:szCs w:val="22"/>
                <w:lang w:eastAsia="en-US"/>
              </w:rPr>
              <w:br/>
              <w:t>Source: Program report from EA with information from the projects, the utilities, and the Governments in the EC countries</w:t>
            </w:r>
          </w:p>
        </w:tc>
      </w:tr>
    </w:tbl>
    <w:p w14:paraId="7B95935C" w14:textId="77777777" w:rsidR="00282B8B" w:rsidRPr="00282B8B" w:rsidRDefault="00282B8B" w:rsidP="00776E59">
      <w:pPr>
        <w:pStyle w:val="BodyText"/>
      </w:pPr>
    </w:p>
    <w:sectPr w:rsidR="00282B8B" w:rsidRPr="00282B8B" w:rsidSect="000179A4">
      <w:headerReference w:type="default" r:id="rId16"/>
      <w:footerReference w:type="default" r:id="rId17"/>
      <w:pgSz w:w="15842" w:h="12242" w:orient="landscape" w:code="1"/>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94636" w14:textId="77777777" w:rsidR="0094404E" w:rsidRDefault="0094404E">
      <w:r>
        <w:separator/>
      </w:r>
    </w:p>
  </w:endnote>
  <w:endnote w:type="continuationSeparator" w:id="0">
    <w:p w14:paraId="6DCB62C0" w14:textId="77777777" w:rsidR="0094404E" w:rsidRDefault="0094404E">
      <w:r>
        <w:continuationSeparator/>
      </w:r>
    </w:p>
  </w:endnote>
  <w:endnote w:type="continuationNotice" w:id="1">
    <w:p w14:paraId="2563F3E0" w14:textId="77777777" w:rsidR="0094404E" w:rsidRDefault="00944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DAE4" w14:textId="77777777" w:rsidR="0094404E" w:rsidRDefault="0094404E" w:rsidP="00A30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F0F1A" w14:textId="77777777" w:rsidR="0094404E" w:rsidRDefault="00944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49475"/>
      <w:docPartObj>
        <w:docPartGallery w:val="Page Numbers (Bottom of Page)"/>
        <w:docPartUnique/>
      </w:docPartObj>
    </w:sdtPr>
    <w:sdtEndPr>
      <w:rPr>
        <w:noProof/>
      </w:rPr>
    </w:sdtEndPr>
    <w:sdtContent>
      <w:p w14:paraId="4D376427" w14:textId="77777777" w:rsidR="0094404E" w:rsidRDefault="0094404E">
        <w:pPr>
          <w:pStyle w:val="Footer"/>
          <w:jc w:val="center"/>
        </w:pPr>
        <w:r>
          <w:fldChar w:fldCharType="begin"/>
        </w:r>
        <w:r>
          <w:instrText xml:space="preserve"> PAGE   \* MERGEFORMAT </w:instrText>
        </w:r>
        <w:r>
          <w:fldChar w:fldCharType="separate"/>
        </w:r>
        <w:r w:rsidR="007A04D5">
          <w:rPr>
            <w:noProof/>
          </w:rPr>
          <w:t>24</w:t>
        </w:r>
        <w:r>
          <w:rPr>
            <w:noProof/>
          </w:rPr>
          <w:fldChar w:fldCharType="end"/>
        </w:r>
      </w:p>
    </w:sdtContent>
  </w:sdt>
  <w:p w14:paraId="6109F825" w14:textId="77777777" w:rsidR="0094404E" w:rsidRDefault="009440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C8F1" w14:textId="391B15FF" w:rsidR="0094404E" w:rsidRDefault="00944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CCAB7" w14:textId="77777777" w:rsidR="0094404E" w:rsidRDefault="0094404E">
      <w:r>
        <w:separator/>
      </w:r>
    </w:p>
  </w:footnote>
  <w:footnote w:type="continuationSeparator" w:id="0">
    <w:p w14:paraId="1BAA0999" w14:textId="77777777" w:rsidR="0094404E" w:rsidRDefault="0094404E">
      <w:r>
        <w:continuationSeparator/>
      </w:r>
    </w:p>
  </w:footnote>
  <w:footnote w:type="continuationNotice" w:id="1">
    <w:p w14:paraId="3BF23DC1" w14:textId="77777777" w:rsidR="0094404E" w:rsidRDefault="0094404E"/>
  </w:footnote>
  <w:footnote w:id="2">
    <w:p w14:paraId="0ACC569C" w14:textId="77777777" w:rsidR="0094404E" w:rsidRDefault="0094404E">
      <w:pPr>
        <w:pStyle w:val="FootnoteText"/>
      </w:pPr>
      <w:r>
        <w:rPr>
          <w:rStyle w:val="FootnoteReference"/>
        </w:rPr>
        <w:footnoteRef/>
      </w:r>
      <w:r>
        <w:t xml:space="preserve"> Concessional financing terms are required to reduce the exploration risk and therefore attract private sponsors who are expected to be the sub-borrowers.</w:t>
      </w:r>
    </w:p>
  </w:footnote>
  <w:footnote w:id="3">
    <w:p w14:paraId="5C236122" w14:textId="77777777" w:rsidR="0094404E" w:rsidRDefault="0094404E">
      <w:pPr>
        <w:pStyle w:val="FootnoteText"/>
      </w:pPr>
      <w:r>
        <w:rPr>
          <w:rStyle w:val="FootnoteReference"/>
        </w:rPr>
        <w:footnoteRef/>
      </w:r>
      <w:r>
        <w:t xml:space="preserve"> Including in the form of Special Purpose Vehicles (SPVs) that may be led by a government or by the private sector  </w:t>
      </w:r>
    </w:p>
  </w:footnote>
  <w:footnote w:id="4">
    <w:p w14:paraId="5452339C" w14:textId="1B8A8E8A" w:rsidR="0094404E" w:rsidRDefault="0094404E">
      <w:pPr>
        <w:pStyle w:val="FootnoteText"/>
      </w:pPr>
      <w:r>
        <w:rPr>
          <w:rStyle w:val="FootnoteReference"/>
        </w:rPr>
        <w:footnoteRef/>
      </w:r>
      <w:r>
        <w:t xml:space="preserve"> The projects in the indicative pipeline were identified in the mission to the six EC countries in June 2015 based on conversations with government officials and utilities. The indicative pipeline is included in a separate document.</w:t>
      </w:r>
    </w:p>
  </w:footnote>
  <w:footnote w:id="5">
    <w:p w14:paraId="69574872" w14:textId="77777777" w:rsidR="0094404E" w:rsidRDefault="0094404E" w:rsidP="00FC670E">
      <w:pPr>
        <w:pStyle w:val="FootnoteText"/>
      </w:pPr>
      <w:r>
        <w:rPr>
          <w:rStyle w:val="FootnoteReference"/>
        </w:rPr>
        <w:footnoteRef/>
      </w:r>
      <w:r>
        <w:t xml:space="preserve"> The Department of Energy assigns a range for the social cost of </w:t>
      </w:r>
      <w:r w:rsidRPr="007B409B">
        <w:t>CO</w:t>
      </w:r>
      <w:r w:rsidRPr="007B409B">
        <w:rPr>
          <w:rFonts w:ascii="Cambria Math" w:hAnsi="Cambria Math" w:cs="Cambria Math"/>
        </w:rPr>
        <w:t>₂</w:t>
      </w:r>
      <w:r w:rsidRPr="007B409B">
        <w:t xml:space="preserve"> </w:t>
      </w:r>
      <w:r>
        <w:t xml:space="preserve">from $0 to $20 per ton of </w:t>
      </w:r>
      <w:r w:rsidRPr="007B409B">
        <w:t>CO</w:t>
      </w:r>
      <w:r w:rsidRPr="007B409B">
        <w:rPr>
          <w:rFonts w:ascii="Cambria Math" w:hAnsi="Cambria Math" w:cs="Cambria Math"/>
        </w:rPr>
        <w:t>₂</w:t>
      </w:r>
      <w:r>
        <w:t>. We use the median value of this range. See following source:</w:t>
      </w:r>
    </w:p>
    <w:p w14:paraId="5483268A" w14:textId="77777777" w:rsidR="0094404E" w:rsidRPr="005D0E39" w:rsidRDefault="0094404E" w:rsidP="00FC670E">
      <w:pPr>
        <w:pStyle w:val="FootnoteText"/>
        <w:jc w:val="left"/>
      </w:pPr>
      <w:r>
        <w:tab/>
      </w:r>
      <w:r w:rsidRPr="00C43C90">
        <w:t xml:space="preserve">Department of Energy.  Chapter 9: Emissions Monetization. Pg. 2 </w:t>
      </w:r>
      <w:hyperlink r:id="rId1" w:history="1">
        <w:r w:rsidRPr="00C43C90">
          <w:rPr>
            <w:rStyle w:val="Hyperlink"/>
          </w:rPr>
          <w:t>https://www1.eere.energy.gov/buildings/appliance_standards/commercial/pdfs/ch_9_ashrae_nopr_tsd.pdf</w:t>
        </w:r>
      </w:hyperlink>
      <w:r w:rsidRPr="00C43C90">
        <w:t>. (accessed on 4 December 2014)</w:t>
      </w:r>
      <w:r>
        <w:t xml:space="preserve"> </w:t>
      </w:r>
    </w:p>
  </w:footnote>
  <w:footnote w:id="6">
    <w:p w14:paraId="466A4FE7" w14:textId="77777777" w:rsidR="0094404E" w:rsidRDefault="0094404E" w:rsidP="00FC670E">
      <w:pPr>
        <w:pStyle w:val="FootnoteText"/>
      </w:pPr>
      <w:r>
        <w:rPr>
          <w:rStyle w:val="FootnoteReference"/>
        </w:rPr>
        <w:footnoteRef/>
      </w:r>
      <w:r>
        <w:t xml:space="preserve"> U.S. Energy Information Administration. “Frequently Asked Questions: How much carbon dioxide is produced per kilowatt-hour when generating electricity with fossil fuels?” </w:t>
      </w:r>
      <w:hyperlink r:id="rId2" w:history="1">
        <w:r w:rsidRPr="00961500">
          <w:rPr>
            <w:rStyle w:val="Hyperlink"/>
          </w:rPr>
          <w:t>http://www.eia.gov/tools/faqs/faq.cfm?id=74&amp;t=11</w:t>
        </w:r>
      </w:hyperlink>
      <w:r>
        <w:t xml:space="preserve">. Accessed on 4 December 2014. </w:t>
      </w:r>
    </w:p>
  </w:footnote>
  <w:footnote w:id="7">
    <w:p w14:paraId="77882D9A" w14:textId="77777777" w:rsidR="0094404E" w:rsidRDefault="0094404E" w:rsidP="00FC670E">
      <w:pPr>
        <w:pStyle w:val="FootnoteText"/>
      </w:pPr>
      <w:r>
        <w:rPr>
          <w:rStyle w:val="FootnoteReference"/>
        </w:rPr>
        <w:footnoteRef/>
      </w:r>
      <w:r>
        <w:t xml:space="preserve"> Office of Energy Efficiency &amp; Renewable Energy. U.S. Department of Energy. “Geothermal FAQS.” </w:t>
      </w:r>
      <w:hyperlink r:id="rId3" w:history="1">
        <w:r w:rsidRPr="00516B15">
          <w:rPr>
            <w:rStyle w:val="Hyperlink"/>
          </w:rPr>
          <w:t>http://www1.eere.energy.gov/geothermal/faqs.html</w:t>
        </w:r>
      </w:hyperlink>
      <w:r>
        <w:t xml:space="preserve"> (accessed on 9 December 2014). </w:t>
      </w:r>
    </w:p>
  </w:footnote>
  <w:footnote w:id="8">
    <w:p w14:paraId="3E4A613C" w14:textId="77777777" w:rsidR="0094404E" w:rsidRDefault="0094404E" w:rsidP="00FC670E">
      <w:pPr>
        <w:pStyle w:val="FootnoteText"/>
      </w:pPr>
      <w:r>
        <w:rPr>
          <w:rStyle w:val="FootnoteReference"/>
        </w:rPr>
        <w:footnoteRef/>
      </w:r>
      <w:r>
        <w:t xml:space="preserve"> 2014 Dominica Street Lighting Tariff (71 cents per unit converted to US dollars). Source: DOMLEC. “DOMLEC Tariff Sheet effective as of September 2007” </w:t>
      </w:r>
      <w:hyperlink r:id="rId4" w:history="1">
        <w:r w:rsidRPr="00EA11A2">
          <w:rPr>
            <w:rStyle w:val="Hyperlink"/>
          </w:rPr>
          <w:t>http://www.domlec.dm/index.php/our-company/news/24-domlec-tariff-sheet</w:t>
        </w:r>
      </w:hyperlink>
      <w:r>
        <w:t>. Accessed on 28 June 2015.</w:t>
      </w:r>
    </w:p>
  </w:footnote>
  <w:footnote w:id="9">
    <w:p w14:paraId="4681110A" w14:textId="77777777" w:rsidR="0094404E" w:rsidRDefault="0094404E" w:rsidP="00FC670E">
      <w:pPr>
        <w:pStyle w:val="FootnoteText"/>
      </w:pPr>
      <w:r>
        <w:rPr>
          <w:rStyle w:val="FootnoteReference"/>
        </w:rPr>
        <w:footnoteRef/>
      </w:r>
      <w:r>
        <w:t xml:space="preserve"> 2014 St. Lucia Basic Energy Rate for Street Lighting converted to US Dollar. Source: LUCELEC "Basic Energy Rates" </w:t>
      </w:r>
      <w:hyperlink r:id="rId5" w:history="1">
        <w:r w:rsidRPr="00EA11A2">
          <w:rPr>
            <w:rStyle w:val="Hyperlink"/>
          </w:rPr>
          <w:t>https://www.lucelec.com/content/energy-rates</w:t>
        </w:r>
      </w:hyperlink>
      <w:r>
        <w:t>. Accessed on 28 June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F676" w14:textId="5F279CDE" w:rsidR="0094404E" w:rsidRPr="00A308BC" w:rsidRDefault="0094404E">
    <w:pPr>
      <w:pStyle w:val="Header"/>
      <w:rPr>
        <w:b/>
        <w:i/>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E8757A"/>
    <w:lvl w:ilvl="0">
      <w:start w:val="1"/>
      <w:numFmt w:val="bullet"/>
      <w:lvlText w:val=""/>
      <w:lvlJc w:val="left"/>
      <w:pPr>
        <w:tabs>
          <w:tab w:val="num" w:pos="360"/>
        </w:tabs>
        <w:ind w:left="360" w:hanging="360"/>
      </w:pPr>
      <w:rPr>
        <w:rFonts w:ascii="Symbol" w:hAnsi="Symbol" w:hint="default"/>
      </w:rPr>
    </w:lvl>
  </w:abstractNum>
  <w:abstractNum w:abstractNumId="1">
    <w:nsid w:val="00D06A54"/>
    <w:multiLevelType w:val="hybridMultilevel"/>
    <w:tmpl w:val="32D6CD34"/>
    <w:lvl w:ilvl="0" w:tplc="51DC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3">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nsid w:val="24E802CD"/>
    <w:multiLevelType w:val="hybridMultilevel"/>
    <w:tmpl w:val="DD7EE8A6"/>
    <w:lvl w:ilvl="0" w:tplc="A40A9E4E">
      <w:start w:val="1"/>
      <w:numFmt w:val="low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2A8A3BA7"/>
    <w:multiLevelType w:val="hybridMultilevel"/>
    <w:tmpl w:val="614AC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55E3A"/>
    <w:multiLevelType w:val="hybridMultilevel"/>
    <w:tmpl w:val="4962C6D4"/>
    <w:lvl w:ilvl="0" w:tplc="3A842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A6B17"/>
    <w:multiLevelType w:val="hybridMultilevel"/>
    <w:tmpl w:val="EC3C78BE"/>
    <w:lvl w:ilvl="0" w:tplc="9B6616EE">
      <w:start w:val="1"/>
      <w:numFmt w:val="upperRoman"/>
      <w:pStyle w:val="PartHeading"/>
      <w:lvlText w:val="Part %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39356B94"/>
    <w:multiLevelType w:val="hybridMultilevel"/>
    <w:tmpl w:val="5A4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534186"/>
    <w:multiLevelType w:val="multilevel"/>
    <w:tmpl w:val="880EEB1C"/>
    <w:lvl w:ilvl="0">
      <w:start w:val="1"/>
      <w:numFmt w:val="decimal"/>
      <w:lvlText w:val="%1."/>
      <w:lvlJc w:val="left"/>
      <w:pPr>
        <w:ind w:left="644" w:hanging="360"/>
      </w:pPr>
      <w:rPr>
        <w:rFonts w:hint="default"/>
      </w:rPr>
    </w:lvl>
    <w:lvl w:ilvl="1">
      <w:start w:val="1"/>
      <w:numFmt w:val="decimal"/>
      <w:pStyle w:val="11Paragraph"/>
      <w:isLgl/>
      <w:lvlText w:val="%1.%2"/>
      <w:lvlJc w:val="left"/>
      <w:pPr>
        <w:ind w:left="862" w:hanging="720"/>
      </w:pPr>
      <w:rPr>
        <w:rFonts w:hint="default"/>
        <w:b w:val="0"/>
      </w:rPr>
    </w:lvl>
    <w:lvl w:ilvl="2">
      <w:start w:val="1"/>
      <w:numFmt w:val="lowerLetter"/>
      <w:lvlText w:val="%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lowerLetter"/>
      <w:lvlText w:val="%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53331407"/>
    <w:multiLevelType w:val="multilevel"/>
    <w:tmpl w:val="495E2B9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2">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13">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4">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nsid w:val="609923C8"/>
    <w:multiLevelType w:val="multilevel"/>
    <w:tmpl w:val="FFF87884"/>
    <w:lvl w:ilvl="0">
      <w:start w:val="1"/>
      <w:numFmt w:val="upperRoman"/>
      <w:lvlText w:val="%1."/>
      <w:lvlJc w:val="center"/>
      <w:pPr>
        <w:tabs>
          <w:tab w:val="num" w:pos="360"/>
        </w:tabs>
        <w:ind w:left="28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Letter"/>
      <w:lvlRestart w:val="0"/>
      <w:lvlText w:val="%3."/>
      <w:lvlJc w:val="left"/>
      <w:pPr>
        <w:tabs>
          <w:tab w:val="num" w:pos="1800"/>
        </w:tabs>
        <w:ind w:left="1800" w:hanging="360"/>
      </w:pPr>
      <w:rPr>
        <w:rFonts w:ascii="Times New Roman Bold" w:hAnsi="Times New Roman Bold" w:hint="default"/>
        <w:b w:val="0"/>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78AE03E8"/>
    <w:multiLevelType w:val="hybridMultilevel"/>
    <w:tmpl w:val="36525AEA"/>
    <w:lvl w:ilvl="0" w:tplc="1FB82734">
      <w:start w:val="1"/>
      <w:numFmt w:val="bullet"/>
      <w:lvlText w:val=""/>
      <w:lvlJc w:val="left"/>
      <w:pPr>
        <w:ind w:left="360" w:hanging="360"/>
      </w:pPr>
      <w:rPr>
        <w:rFonts w:ascii="Symbol" w:hAnsi="Symbol" w:hint="default"/>
      </w:rPr>
    </w:lvl>
    <w:lvl w:ilvl="1" w:tplc="522A8564" w:tentative="1">
      <w:start w:val="1"/>
      <w:numFmt w:val="bullet"/>
      <w:lvlText w:val="o"/>
      <w:lvlJc w:val="left"/>
      <w:pPr>
        <w:ind w:left="1080" w:hanging="360"/>
      </w:pPr>
      <w:rPr>
        <w:rFonts w:ascii="Courier New" w:hAnsi="Courier New" w:hint="default"/>
      </w:rPr>
    </w:lvl>
    <w:lvl w:ilvl="2" w:tplc="BA9A49A2" w:tentative="1">
      <w:start w:val="1"/>
      <w:numFmt w:val="bullet"/>
      <w:lvlText w:val=""/>
      <w:lvlJc w:val="left"/>
      <w:pPr>
        <w:ind w:left="1800" w:hanging="360"/>
      </w:pPr>
      <w:rPr>
        <w:rFonts w:ascii="Wingdings" w:hAnsi="Wingdings" w:hint="default"/>
      </w:rPr>
    </w:lvl>
    <w:lvl w:ilvl="3" w:tplc="2BAA7FD2" w:tentative="1">
      <w:start w:val="1"/>
      <w:numFmt w:val="bullet"/>
      <w:lvlText w:val=""/>
      <w:lvlJc w:val="left"/>
      <w:pPr>
        <w:ind w:left="2520" w:hanging="360"/>
      </w:pPr>
      <w:rPr>
        <w:rFonts w:ascii="Symbol" w:hAnsi="Symbol" w:hint="default"/>
      </w:rPr>
    </w:lvl>
    <w:lvl w:ilvl="4" w:tplc="FB626982" w:tentative="1">
      <w:start w:val="1"/>
      <w:numFmt w:val="bullet"/>
      <w:lvlText w:val="o"/>
      <w:lvlJc w:val="left"/>
      <w:pPr>
        <w:ind w:left="3240" w:hanging="360"/>
      </w:pPr>
      <w:rPr>
        <w:rFonts w:ascii="Courier New" w:hAnsi="Courier New" w:hint="default"/>
      </w:rPr>
    </w:lvl>
    <w:lvl w:ilvl="5" w:tplc="3E4C4D5E" w:tentative="1">
      <w:start w:val="1"/>
      <w:numFmt w:val="bullet"/>
      <w:lvlText w:val=""/>
      <w:lvlJc w:val="left"/>
      <w:pPr>
        <w:ind w:left="3960" w:hanging="360"/>
      </w:pPr>
      <w:rPr>
        <w:rFonts w:ascii="Wingdings" w:hAnsi="Wingdings" w:hint="default"/>
      </w:rPr>
    </w:lvl>
    <w:lvl w:ilvl="6" w:tplc="6EAE92DE" w:tentative="1">
      <w:start w:val="1"/>
      <w:numFmt w:val="bullet"/>
      <w:lvlText w:val=""/>
      <w:lvlJc w:val="left"/>
      <w:pPr>
        <w:ind w:left="4680" w:hanging="360"/>
      </w:pPr>
      <w:rPr>
        <w:rFonts w:ascii="Symbol" w:hAnsi="Symbol" w:hint="default"/>
      </w:rPr>
    </w:lvl>
    <w:lvl w:ilvl="7" w:tplc="D3C497A0" w:tentative="1">
      <w:start w:val="1"/>
      <w:numFmt w:val="bullet"/>
      <w:lvlText w:val="o"/>
      <w:lvlJc w:val="left"/>
      <w:pPr>
        <w:ind w:left="5400" w:hanging="360"/>
      </w:pPr>
      <w:rPr>
        <w:rFonts w:ascii="Courier New" w:hAnsi="Courier New" w:hint="default"/>
      </w:rPr>
    </w:lvl>
    <w:lvl w:ilvl="8" w:tplc="4BD0D0A8" w:tentative="1">
      <w:start w:val="1"/>
      <w:numFmt w:val="bullet"/>
      <w:lvlText w:val=""/>
      <w:lvlJc w:val="left"/>
      <w:pPr>
        <w:ind w:left="6120" w:hanging="360"/>
      </w:pPr>
      <w:rPr>
        <w:rFonts w:ascii="Wingdings" w:hAnsi="Wingdings" w:hint="default"/>
      </w:rPr>
    </w:lvl>
  </w:abstractNum>
  <w:abstractNum w:abstractNumId="17">
    <w:nsid w:val="79E05CB3"/>
    <w:multiLevelType w:val="hybridMultilevel"/>
    <w:tmpl w:val="81180636"/>
    <w:lvl w:ilvl="0" w:tplc="B770D05E">
      <w:start w:val="1"/>
      <w:numFmt w:val="lowerRoman"/>
      <w:lvlText w:val="%1."/>
      <w:lvlJc w:val="right"/>
      <w:pPr>
        <w:ind w:left="1440" w:hanging="360"/>
      </w:pPr>
      <w:rPr>
        <w:rFonts w:ascii="Times New Roman" w:hAnsi="Times New Roman"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B">
      <w:start w:val="1"/>
      <w:numFmt w:val="lowerRoman"/>
      <w:lvlText w:val="%4."/>
      <w:lvlJc w:val="righ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DD41381"/>
    <w:multiLevelType w:val="hybridMultilevel"/>
    <w:tmpl w:val="27AA27EA"/>
    <w:lvl w:ilvl="0" w:tplc="B3D45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3"/>
  </w:num>
  <w:num w:numId="5">
    <w:abstractNumId w:val="11"/>
  </w:num>
  <w:num w:numId="6">
    <w:abstractNumId w:val="2"/>
  </w:num>
  <w:num w:numId="7">
    <w:abstractNumId w:val="13"/>
  </w:num>
  <w:num w:numId="8">
    <w:abstractNumId w:val="8"/>
  </w:num>
  <w:num w:numId="9">
    <w:abstractNumId w:val="14"/>
  </w:num>
  <w:num w:numId="10">
    <w:abstractNumId w:val="1"/>
  </w:num>
  <w:num w:numId="11">
    <w:abstractNumId w:val="18"/>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7"/>
  </w:num>
  <w:num w:numId="17">
    <w:abstractNumId w:val="5"/>
  </w:num>
  <w:num w:numId="18">
    <w:abstractNumId w:val="9"/>
  </w:num>
  <w:num w:numId="19">
    <w:abstractNumId w:val="6"/>
  </w:num>
  <w:num w:numId="20">
    <w:abstractNumId w:val="0"/>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B7"/>
    <w:rsid w:val="000003EC"/>
    <w:rsid w:val="00000869"/>
    <w:rsid w:val="00002207"/>
    <w:rsid w:val="00002B0C"/>
    <w:rsid w:val="00003A1E"/>
    <w:rsid w:val="0000737F"/>
    <w:rsid w:val="00007A61"/>
    <w:rsid w:val="000114AD"/>
    <w:rsid w:val="00014C83"/>
    <w:rsid w:val="00016909"/>
    <w:rsid w:val="0001712B"/>
    <w:rsid w:val="000179A4"/>
    <w:rsid w:val="0002044E"/>
    <w:rsid w:val="00020FBA"/>
    <w:rsid w:val="00021A4F"/>
    <w:rsid w:val="0002441B"/>
    <w:rsid w:val="00024C12"/>
    <w:rsid w:val="000261EE"/>
    <w:rsid w:val="00030536"/>
    <w:rsid w:val="00033CC1"/>
    <w:rsid w:val="000446BC"/>
    <w:rsid w:val="00045837"/>
    <w:rsid w:val="00046B33"/>
    <w:rsid w:val="000510F2"/>
    <w:rsid w:val="00051134"/>
    <w:rsid w:val="00052EF2"/>
    <w:rsid w:val="0005357C"/>
    <w:rsid w:val="00054D66"/>
    <w:rsid w:val="000647E6"/>
    <w:rsid w:val="00064B9B"/>
    <w:rsid w:val="00064C93"/>
    <w:rsid w:val="0006770C"/>
    <w:rsid w:val="00070CB8"/>
    <w:rsid w:val="00072353"/>
    <w:rsid w:val="00072EFB"/>
    <w:rsid w:val="000755C0"/>
    <w:rsid w:val="00082532"/>
    <w:rsid w:val="00083283"/>
    <w:rsid w:val="00083EBB"/>
    <w:rsid w:val="00084A92"/>
    <w:rsid w:val="00085113"/>
    <w:rsid w:val="000866E9"/>
    <w:rsid w:val="00086FAF"/>
    <w:rsid w:val="00090446"/>
    <w:rsid w:val="00092854"/>
    <w:rsid w:val="0009381F"/>
    <w:rsid w:val="000979EE"/>
    <w:rsid w:val="000A4CBE"/>
    <w:rsid w:val="000A568B"/>
    <w:rsid w:val="000A71BF"/>
    <w:rsid w:val="000B0D4D"/>
    <w:rsid w:val="000B4482"/>
    <w:rsid w:val="000B53A1"/>
    <w:rsid w:val="000B6878"/>
    <w:rsid w:val="000B6C0D"/>
    <w:rsid w:val="000B71CD"/>
    <w:rsid w:val="000C073D"/>
    <w:rsid w:val="000C2418"/>
    <w:rsid w:val="000C29BE"/>
    <w:rsid w:val="000C4B2F"/>
    <w:rsid w:val="000C4EFD"/>
    <w:rsid w:val="000C6056"/>
    <w:rsid w:val="000C6D8C"/>
    <w:rsid w:val="000C7DEB"/>
    <w:rsid w:val="000D05D1"/>
    <w:rsid w:val="000D0C6F"/>
    <w:rsid w:val="000D1AB1"/>
    <w:rsid w:val="000D1CA8"/>
    <w:rsid w:val="000D2062"/>
    <w:rsid w:val="000D2350"/>
    <w:rsid w:val="000D374D"/>
    <w:rsid w:val="000D4FAD"/>
    <w:rsid w:val="000D5F87"/>
    <w:rsid w:val="000D749F"/>
    <w:rsid w:val="000E1DBD"/>
    <w:rsid w:val="000E1E52"/>
    <w:rsid w:val="000E36BC"/>
    <w:rsid w:val="000E440F"/>
    <w:rsid w:val="000E4CCC"/>
    <w:rsid w:val="000E53FD"/>
    <w:rsid w:val="000F08EE"/>
    <w:rsid w:val="000F1B5D"/>
    <w:rsid w:val="000F310B"/>
    <w:rsid w:val="000F3940"/>
    <w:rsid w:val="000F4D08"/>
    <w:rsid w:val="000F70E7"/>
    <w:rsid w:val="001002B5"/>
    <w:rsid w:val="00100F8F"/>
    <w:rsid w:val="00101EFF"/>
    <w:rsid w:val="001041E6"/>
    <w:rsid w:val="00111AC0"/>
    <w:rsid w:val="00112487"/>
    <w:rsid w:val="0011625F"/>
    <w:rsid w:val="001179B3"/>
    <w:rsid w:val="00121603"/>
    <w:rsid w:val="00123C6C"/>
    <w:rsid w:val="00123F1C"/>
    <w:rsid w:val="00124742"/>
    <w:rsid w:val="001253AB"/>
    <w:rsid w:val="0012581E"/>
    <w:rsid w:val="00132E1A"/>
    <w:rsid w:val="00133C61"/>
    <w:rsid w:val="00134AF8"/>
    <w:rsid w:val="00135421"/>
    <w:rsid w:val="001362A5"/>
    <w:rsid w:val="001408B7"/>
    <w:rsid w:val="00144808"/>
    <w:rsid w:val="001471CB"/>
    <w:rsid w:val="00152C26"/>
    <w:rsid w:val="00153943"/>
    <w:rsid w:val="00155162"/>
    <w:rsid w:val="00155973"/>
    <w:rsid w:val="00155A1F"/>
    <w:rsid w:val="001567E7"/>
    <w:rsid w:val="00161274"/>
    <w:rsid w:val="00164759"/>
    <w:rsid w:val="00166E8C"/>
    <w:rsid w:val="001718F2"/>
    <w:rsid w:val="00176BF1"/>
    <w:rsid w:val="0017724D"/>
    <w:rsid w:val="00182B49"/>
    <w:rsid w:val="00183E1F"/>
    <w:rsid w:val="0018556D"/>
    <w:rsid w:val="00186192"/>
    <w:rsid w:val="001905BD"/>
    <w:rsid w:val="001927B2"/>
    <w:rsid w:val="00193E36"/>
    <w:rsid w:val="001952F6"/>
    <w:rsid w:val="001962AD"/>
    <w:rsid w:val="00196C58"/>
    <w:rsid w:val="00197AC4"/>
    <w:rsid w:val="001A0027"/>
    <w:rsid w:val="001A3A74"/>
    <w:rsid w:val="001A56C1"/>
    <w:rsid w:val="001A5C3E"/>
    <w:rsid w:val="001A76A1"/>
    <w:rsid w:val="001A7BF8"/>
    <w:rsid w:val="001B6B76"/>
    <w:rsid w:val="001C0117"/>
    <w:rsid w:val="001C0243"/>
    <w:rsid w:val="001C77BB"/>
    <w:rsid w:val="001D234D"/>
    <w:rsid w:val="001D3275"/>
    <w:rsid w:val="001D48D0"/>
    <w:rsid w:val="001D4CC5"/>
    <w:rsid w:val="001D57C7"/>
    <w:rsid w:val="001D6C39"/>
    <w:rsid w:val="001D6F80"/>
    <w:rsid w:val="001E04CC"/>
    <w:rsid w:val="001E3C45"/>
    <w:rsid w:val="001F34C0"/>
    <w:rsid w:val="00200D2A"/>
    <w:rsid w:val="00201E46"/>
    <w:rsid w:val="00203BF3"/>
    <w:rsid w:val="00204324"/>
    <w:rsid w:val="0020484B"/>
    <w:rsid w:val="002048CD"/>
    <w:rsid w:val="0020723E"/>
    <w:rsid w:val="00207528"/>
    <w:rsid w:val="0020789A"/>
    <w:rsid w:val="00213D35"/>
    <w:rsid w:val="00214A82"/>
    <w:rsid w:val="00216E71"/>
    <w:rsid w:val="00222E9C"/>
    <w:rsid w:val="00231DB9"/>
    <w:rsid w:val="00232BFF"/>
    <w:rsid w:val="002333C5"/>
    <w:rsid w:val="00234232"/>
    <w:rsid w:val="00237C42"/>
    <w:rsid w:val="00240F45"/>
    <w:rsid w:val="00243032"/>
    <w:rsid w:val="0024309B"/>
    <w:rsid w:val="002446CD"/>
    <w:rsid w:val="00244924"/>
    <w:rsid w:val="00244F38"/>
    <w:rsid w:val="002467FB"/>
    <w:rsid w:val="002476F0"/>
    <w:rsid w:val="00250D76"/>
    <w:rsid w:val="00252054"/>
    <w:rsid w:val="0025233B"/>
    <w:rsid w:val="00255056"/>
    <w:rsid w:val="0025633F"/>
    <w:rsid w:val="002606D8"/>
    <w:rsid w:val="00260FD2"/>
    <w:rsid w:val="00261A1C"/>
    <w:rsid w:val="00261FBD"/>
    <w:rsid w:val="00262516"/>
    <w:rsid w:val="00267B8F"/>
    <w:rsid w:val="00267D0C"/>
    <w:rsid w:val="00267FE2"/>
    <w:rsid w:val="002700F1"/>
    <w:rsid w:val="00271173"/>
    <w:rsid w:val="0027271C"/>
    <w:rsid w:val="00273841"/>
    <w:rsid w:val="00274A85"/>
    <w:rsid w:val="002772EC"/>
    <w:rsid w:val="00280572"/>
    <w:rsid w:val="00282B8B"/>
    <w:rsid w:val="00283026"/>
    <w:rsid w:val="00283445"/>
    <w:rsid w:val="002848E6"/>
    <w:rsid w:val="00286AF5"/>
    <w:rsid w:val="00286CBA"/>
    <w:rsid w:val="00290BFC"/>
    <w:rsid w:val="00290DF6"/>
    <w:rsid w:val="00291373"/>
    <w:rsid w:val="00291FDA"/>
    <w:rsid w:val="002925E3"/>
    <w:rsid w:val="0029586D"/>
    <w:rsid w:val="00296D1F"/>
    <w:rsid w:val="00296D3F"/>
    <w:rsid w:val="002A04AA"/>
    <w:rsid w:val="002A0A01"/>
    <w:rsid w:val="002A3D9A"/>
    <w:rsid w:val="002A4FDD"/>
    <w:rsid w:val="002A5742"/>
    <w:rsid w:val="002A6A9C"/>
    <w:rsid w:val="002B0352"/>
    <w:rsid w:val="002B0F4D"/>
    <w:rsid w:val="002B4C6A"/>
    <w:rsid w:val="002B7681"/>
    <w:rsid w:val="002C0A0C"/>
    <w:rsid w:val="002C0C87"/>
    <w:rsid w:val="002C478A"/>
    <w:rsid w:val="002C55FC"/>
    <w:rsid w:val="002D3482"/>
    <w:rsid w:val="002D348B"/>
    <w:rsid w:val="002D43B6"/>
    <w:rsid w:val="002D594F"/>
    <w:rsid w:val="002D639B"/>
    <w:rsid w:val="002E0056"/>
    <w:rsid w:val="002E2B0F"/>
    <w:rsid w:val="002E2D5F"/>
    <w:rsid w:val="002E533B"/>
    <w:rsid w:val="002E65F2"/>
    <w:rsid w:val="002E70CA"/>
    <w:rsid w:val="002E7D7E"/>
    <w:rsid w:val="002F0BF1"/>
    <w:rsid w:val="002F1290"/>
    <w:rsid w:val="002F37DA"/>
    <w:rsid w:val="002F3BD5"/>
    <w:rsid w:val="002F709C"/>
    <w:rsid w:val="002F71E8"/>
    <w:rsid w:val="003017C4"/>
    <w:rsid w:val="00301E42"/>
    <w:rsid w:val="00304F3D"/>
    <w:rsid w:val="00306B0C"/>
    <w:rsid w:val="0031373C"/>
    <w:rsid w:val="003174FF"/>
    <w:rsid w:val="00317BD4"/>
    <w:rsid w:val="00320901"/>
    <w:rsid w:val="00322BF6"/>
    <w:rsid w:val="00335670"/>
    <w:rsid w:val="00340293"/>
    <w:rsid w:val="003414A0"/>
    <w:rsid w:val="0034311E"/>
    <w:rsid w:val="0034353F"/>
    <w:rsid w:val="00343A3C"/>
    <w:rsid w:val="00343D30"/>
    <w:rsid w:val="00345FFB"/>
    <w:rsid w:val="00346E4F"/>
    <w:rsid w:val="003475B9"/>
    <w:rsid w:val="00351F42"/>
    <w:rsid w:val="003556C1"/>
    <w:rsid w:val="003564AD"/>
    <w:rsid w:val="0035663F"/>
    <w:rsid w:val="0036024E"/>
    <w:rsid w:val="00361719"/>
    <w:rsid w:val="00363D2F"/>
    <w:rsid w:val="00363F08"/>
    <w:rsid w:val="00366B0D"/>
    <w:rsid w:val="00366DC7"/>
    <w:rsid w:val="00367818"/>
    <w:rsid w:val="00370779"/>
    <w:rsid w:val="00373867"/>
    <w:rsid w:val="00373FA8"/>
    <w:rsid w:val="00374984"/>
    <w:rsid w:val="00375149"/>
    <w:rsid w:val="003770AF"/>
    <w:rsid w:val="00377174"/>
    <w:rsid w:val="003775DE"/>
    <w:rsid w:val="00382490"/>
    <w:rsid w:val="00387194"/>
    <w:rsid w:val="0038719B"/>
    <w:rsid w:val="003928CA"/>
    <w:rsid w:val="00392D33"/>
    <w:rsid w:val="003934C7"/>
    <w:rsid w:val="003939A0"/>
    <w:rsid w:val="003956F5"/>
    <w:rsid w:val="003A2673"/>
    <w:rsid w:val="003A5F2B"/>
    <w:rsid w:val="003B063D"/>
    <w:rsid w:val="003B569F"/>
    <w:rsid w:val="003B5844"/>
    <w:rsid w:val="003B743B"/>
    <w:rsid w:val="003C03B3"/>
    <w:rsid w:val="003C28D1"/>
    <w:rsid w:val="003C38A0"/>
    <w:rsid w:val="003C48E9"/>
    <w:rsid w:val="003C54B2"/>
    <w:rsid w:val="003D360C"/>
    <w:rsid w:val="003D4329"/>
    <w:rsid w:val="003D4464"/>
    <w:rsid w:val="003D4732"/>
    <w:rsid w:val="003D47C5"/>
    <w:rsid w:val="003D50FB"/>
    <w:rsid w:val="003D63CA"/>
    <w:rsid w:val="003D6519"/>
    <w:rsid w:val="003D707D"/>
    <w:rsid w:val="003E47DB"/>
    <w:rsid w:val="003E736F"/>
    <w:rsid w:val="003E7751"/>
    <w:rsid w:val="003F0208"/>
    <w:rsid w:val="003F0315"/>
    <w:rsid w:val="003F06DD"/>
    <w:rsid w:val="003F28B7"/>
    <w:rsid w:val="003F4C5F"/>
    <w:rsid w:val="003F6497"/>
    <w:rsid w:val="00402FEA"/>
    <w:rsid w:val="00403807"/>
    <w:rsid w:val="004058D7"/>
    <w:rsid w:val="00410B99"/>
    <w:rsid w:val="0041102A"/>
    <w:rsid w:val="00411465"/>
    <w:rsid w:val="004118CF"/>
    <w:rsid w:val="00411E53"/>
    <w:rsid w:val="00415EF9"/>
    <w:rsid w:val="00415FD8"/>
    <w:rsid w:val="00420208"/>
    <w:rsid w:val="004202A1"/>
    <w:rsid w:val="004203BE"/>
    <w:rsid w:val="00420858"/>
    <w:rsid w:val="00424BDB"/>
    <w:rsid w:val="00426B9D"/>
    <w:rsid w:val="00427610"/>
    <w:rsid w:val="0043204B"/>
    <w:rsid w:val="0043218C"/>
    <w:rsid w:val="00432C0C"/>
    <w:rsid w:val="00433A31"/>
    <w:rsid w:val="00435554"/>
    <w:rsid w:val="00435A21"/>
    <w:rsid w:val="004405F5"/>
    <w:rsid w:val="00442881"/>
    <w:rsid w:val="00442ADA"/>
    <w:rsid w:val="00443A9D"/>
    <w:rsid w:val="00444A78"/>
    <w:rsid w:val="004455AA"/>
    <w:rsid w:val="00450274"/>
    <w:rsid w:val="00450F13"/>
    <w:rsid w:val="0045260E"/>
    <w:rsid w:val="00452D37"/>
    <w:rsid w:val="00452FC7"/>
    <w:rsid w:val="00453D14"/>
    <w:rsid w:val="00460003"/>
    <w:rsid w:val="0046084D"/>
    <w:rsid w:val="00460DC4"/>
    <w:rsid w:val="00462D0C"/>
    <w:rsid w:val="00463D30"/>
    <w:rsid w:val="00463F41"/>
    <w:rsid w:val="00464296"/>
    <w:rsid w:val="004653F6"/>
    <w:rsid w:val="00465919"/>
    <w:rsid w:val="00465E86"/>
    <w:rsid w:val="0046774B"/>
    <w:rsid w:val="00470C94"/>
    <w:rsid w:val="0047172A"/>
    <w:rsid w:val="00472431"/>
    <w:rsid w:val="00474088"/>
    <w:rsid w:val="00480550"/>
    <w:rsid w:val="00482B2B"/>
    <w:rsid w:val="004850CF"/>
    <w:rsid w:val="0049035F"/>
    <w:rsid w:val="00495DE0"/>
    <w:rsid w:val="00496C17"/>
    <w:rsid w:val="004A209A"/>
    <w:rsid w:val="004A3F53"/>
    <w:rsid w:val="004A47BE"/>
    <w:rsid w:val="004A601B"/>
    <w:rsid w:val="004C07AF"/>
    <w:rsid w:val="004C0E4D"/>
    <w:rsid w:val="004C3D15"/>
    <w:rsid w:val="004C49D5"/>
    <w:rsid w:val="004D1A0D"/>
    <w:rsid w:val="004D2268"/>
    <w:rsid w:val="004D3567"/>
    <w:rsid w:val="004D3633"/>
    <w:rsid w:val="004D708A"/>
    <w:rsid w:val="004E006F"/>
    <w:rsid w:val="004E020D"/>
    <w:rsid w:val="004E36F1"/>
    <w:rsid w:val="004E3D57"/>
    <w:rsid w:val="004E4BE2"/>
    <w:rsid w:val="004E7C58"/>
    <w:rsid w:val="004F10AE"/>
    <w:rsid w:val="004F78C7"/>
    <w:rsid w:val="004F7F83"/>
    <w:rsid w:val="00500A5F"/>
    <w:rsid w:val="005019BC"/>
    <w:rsid w:val="00503215"/>
    <w:rsid w:val="005034D9"/>
    <w:rsid w:val="005047DD"/>
    <w:rsid w:val="005123B4"/>
    <w:rsid w:val="00512FA9"/>
    <w:rsid w:val="0051459F"/>
    <w:rsid w:val="00515A57"/>
    <w:rsid w:val="00517ACC"/>
    <w:rsid w:val="00517CCB"/>
    <w:rsid w:val="005204BB"/>
    <w:rsid w:val="00520757"/>
    <w:rsid w:val="0052214A"/>
    <w:rsid w:val="005237A3"/>
    <w:rsid w:val="00524536"/>
    <w:rsid w:val="0052757F"/>
    <w:rsid w:val="00527F0C"/>
    <w:rsid w:val="005338FA"/>
    <w:rsid w:val="00534E7D"/>
    <w:rsid w:val="005350C5"/>
    <w:rsid w:val="00537303"/>
    <w:rsid w:val="0054038B"/>
    <w:rsid w:val="00540A47"/>
    <w:rsid w:val="00542143"/>
    <w:rsid w:val="00542227"/>
    <w:rsid w:val="00543012"/>
    <w:rsid w:val="005460B4"/>
    <w:rsid w:val="0055003C"/>
    <w:rsid w:val="00551147"/>
    <w:rsid w:val="005527D0"/>
    <w:rsid w:val="0055371A"/>
    <w:rsid w:val="005646D4"/>
    <w:rsid w:val="005679DD"/>
    <w:rsid w:val="00570091"/>
    <w:rsid w:val="00570367"/>
    <w:rsid w:val="0057082B"/>
    <w:rsid w:val="005710EC"/>
    <w:rsid w:val="00572BAB"/>
    <w:rsid w:val="00574369"/>
    <w:rsid w:val="00574719"/>
    <w:rsid w:val="005757F7"/>
    <w:rsid w:val="00577188"/>
    <w:rsid w:val="005771F4"/>
    <w:rsid w:val="00577866"/>
    <w:rsid w:val="005800D0"/>
    <w:rsid w:val="005833B3"/>
    <w:rsid w:val="00583DEA"/>
    <w:rsid w:val="005850F0"/>
    <w:rsid w:val="0058748D"/>
    <w:rsid w:val="00587614"/>
    <w:rsid w:val="0059002C"/>
    <w:rsid w:val="005928E8"/>
    <w:rsid w:val="00592CF2"/>
    <w:rsid w:val="005952AA"/>
    <w:rsid w:val="005979DA"/>
    <w:rsid w:val="005A13B8"/>
    <w:rsid w:val="005A1C6F"/>
    <w:rsid w:val="005A2908"/>
    <w:rsid w:val="005A3564"/>
    <w:rsid w:val="005B0F6B"/>
    <w:rsid w:val="005B32B4"/>
    <w:rsid w:val="005B4B4F"/>
    <w:rsid w:val="005B4BBB"/>
    <w:rsid w:val="005B689B"/>
    <w:rsid w:val="005C08C9"/>
    <w:rsid w:val="005C1248"/>
    <w:rsid w:val="005C23E2"/>
    <w:rsid w:val="005D1503"/>
    <w:rsid w:val="005D27A4"/>
    <w:rsid w:val="005D7060"/>
    <w:rsid w:val="005D7BA2"/>
    <w:rsid w:val="005E56EF"/>
    <w:rsid w:val="005F07DE"/>
    <w:rsid w:val="005F2AEC"/>
    <w:rsid w:val="005F698F"/>
    <w:rsid w:val="005F713E"/>
    <w:rsid w:val="006004F6"/>
    <w:rsid w:val="00600F15"/>
    <w:rsid w:val="00601D40"/>
    <w:rsid w:val="006110D9"/>
    <w:rsid w:val="006160A7"/>
    <w:rsid w:val="006172A4"/>
    <w:rsid w:val="00620F11"/>
    <w:rsid w:val="0062270A"/>
    <w:rsid w:val="00622FD7"/>
    <w:rsid w:val="00624034"/>
    <w:rsid w:val="0062720C"/>
    <w:rsid w:val="00627B10"/>
    <w:rsid w:val="00630B90"/>
    <w:rsid w:val="00630CA6"/>
    <w:rsid w:val="00631494"/>
    <w:rsid w:val="00634640"/>
    <w:rsid w:val="006358C8"/>
    <w:rsid w:val="006360ED"/>
    <w:rsid w:val="00637A9A"/>
    <w:rsid w:val="00642594"/>
    <w:rsid w:val="00643A33"/>
    <w:rsid w:val="006470DF"/>
    <w:rsid w:val="00651237"/>
    <w:rsid w:val="0065227E"/>
    <w:rsid w:val="00652B91"/>
    <w:rsid w:val="00652C93"/>
    <w:rsid w:val="006531CC"/>
    <w:rsid w:val="00653F66"/>
    <w:rsid w:val="00654577"/>
    <w:rsid w:val="00656364"/>
    <w:rsid w:val="00660482"/>
    <w:rsid w:val="00662E71"/>
    <w:rsid w:val="006708D3"/>
    <w:rsid w:val="00671367"/>
    <w:rsid w:val="00673137"/>
    <w:rsid w:val="006745B9"/>
    <w:rsid w:val="0067679E"/>
    <w:rsid w:val="00681A35"/>
    <w:rsid w:val="0068353C"/>
    <w:rsid w:val="006A0723"/>
    <w:rsid w:val="006A2F8F"/>
    <w:rsid w:val="006A4890"/>
    <w:rsid w:val="006A4B25"/>
    <w:rsid w:val="006A5BB7"/>
    <w:rsid w:val="006B1367"/>
    <w:rsid w:val="006C1689"/>
    <w:rsid w:val="006C31E8"/>
    <w:rsid w:val="006C47C4"/>
    <w:rsid w:val="006C4CE7"/>
    <w:rsid w:val="006C57BE"/>
    <w:rsid w:val="006C5BD6"/>
    <w:rsid w:val="006C72B4"/>
    <w:rsid w:val="006C7DCA"/>
    <w:rsid w:val="006D2DF7"/>
    <w:rsid w:val="006D4AA4"/>
    <w:rsid w:val="006D53B5"/>
    <w:rsid w:val="006D6717"/>
    <w:rsid w:val="006D7D3B"/>
    <w:rsid w:val="006E0DE3"/>
    <w:rsid w:val="006E181A"/>
    <w:rsid w:val="006E3FA9"/>
    <w:rsid w:val="006F4482"/>
    <w:rsid w:val="006F4B7F"/>
    <w:rsid w:val="006F61F0"/>
    <w:rsid w:val="006F72BF"/>
    <w:rsid w:val="006F7C4D"/>
    <w:rsid w:val="00702DB0"/>
    <w:rsid w:val="00702E29"/>
    <w:rsid w:val="00703995"/>
    <w:rsid w:val="00704FC6"/>
    <w:rsid w:val="007103C3"/>
    <w:rsid w:val="00717A04"/>
    <w:rsid w:val="00722403"/>
    <w:rsid w:val="00723FB6"/>
    <w:rsid w:val="0072409D"/>
    <w:rsid w:val="00726657"/>
    <w:rsid w:val="0073235B"/>
    <w:rsid w:val="00735E3E"/>
    <w:rsid w:val="00740020"/>
    <w:rsid w:val="00741706"/>
    <w:rsid w:val="007421BA"/>
    <w:rsid w:val="007428EB"/>
    <w:rsid w:val="0074369A"/>
    <w:rsid w:val="007456A9"/>
    <w:rsid w:val="00745C67"/>
    <w:rsid w:val="00745E8F"/>
    <w:rsid w:val="007464A6"/>
    <w:rsid w:val="007466C8"/>
    <w:rsid w:val="007467E2"/>
    <w:rsid w:val="0074736F"/>
    <w:rsid w:val="007516F1"/>
    <w:rsid w:val="007549F3"/>
    <w:rsid w:val="00757CA9"/>
    <w:rsid w:val="007627B3"/>
    <w:rsid w:val="00762990"/>
    <w:rsid w:val="007646ED"/>
    <w:rsid w:val="007666BA"/>
    <w:rsid w:val="00766E90"/>
    <w:rsid w:val="00770B3C"/>
    <w:rsid w:val="007728FC"/>
    <w:rsid w:val="0077521E"/>
    <w:rsid w:val="00776E59"/>
    <w:rsid w:val="007772D3"/>
    <w:rsid w:val="00777960"/>
    <w:rsid w:val="00781152"/>
    <w:rsid w:val="007813B8"/>
    <w:rsid w:val="007838C5"/>
    <w:rsid w:val="00784FD1"/>
    <w:rsid w:val="007926E1"/>
    <w:rsid w:val="00792874"/>
    <w:rsid w:val="007939BD"/>
    <w:rsid w:val="00794FEB"/>
    <w:rsid w:val="00795616"/>
    <w:rsid w:val="00797059"/>
    <w:rsid w:val="00797C86"/>
    <w:rsid w:val="00797CC5"/>
    <w:rsid w:val="007A04D5"/>
    <w:rsid w:val="007A0B66"/>
    <w:rsid w:val="007A1127"/>
    <w:rsid w:val="007A4640"/>
    <w:rsid w:val="007A4954"/>
    <w:rsid w:val="007A4AF5"/>
    <w:rsid w:val="007A7168"/>
    <w:rsid w:val="007A7F6F"/>
    <w:rsid w:val="007B0C73"/>
    <w:rsid w:val="007B1C77"/>
    <w:rsid w:val="007B2319"/>
    <w:rsid w:val="007B5A0E"/>
    <w:rsid w:val="007B5CC4"/>
    <w:rsid w:val="007B6A25"/>
    <w:rsid w:val="007B771D"/>
    <w:rsid w:val="007B7C7C"/>
    <w:rsid w:val="007C010B"/>
    <w:rsid w:val="007C35C5"/>
    <w:rsid w:val="007C386C"/>
    <w:rsid w:val="007C3902"/>
    <w:rsid w:val="007C48EE"/>
    <w:rsid w:val="007D1494"/>
    <w:rsid w:val="007D43B7"/>
    <w:rsid w:val="007D63C9"/>
    <w:rsid w:val="007D71CB"/>
    <w:rsid w:val="007D7981"/>
    <w:rsid w:val="007D7BB9"/>
    <w:rsid w:val="007E0437"/>
    <w:rsid w:val="007E4086"/>
    <w:rsid w:val="007E448B"/>
    <w:rsid w:val="007E49BC"/>
    <w:rsid w:val="007E5134"/>
    <w:rsid w:val="007E7DB5"/>
    <w:rsid w:val="007F282F"/>
    <w:rsid w:val="007F396C"/>
    <w:rsid w:val="007F4249"/>
    <w:rsid w:val="007F4372"/>
    <w:rsid w:val="007F4C5C"/>
    <w:rsid w:val="007F6CA7"/>
    <w:rsid w:val="007F70B8"/>
    <w:rsid w:val="00800432"/>
    <w:rsid w:val="00801E90"/>
    <w:rsid w:val="00802CC3"/>
    <w:rsid w:val="00804970"/>
    <w:rsid w:val="00806C97"/>
    <w:rsid w:val="00810778"/>
    <w:rsid w:val="00811977"/>
    <w:rsid w:val="00812960"/>
    <w:rsid w:val="00815656"/>
    <w:rsid w:val="00820A46"/>
    <w:rsid w:val="008242C4"/>
    <w:rsid w:val="00826246"/>
    <w:rsid w:val="00827204"/>
    <w:rsid w:val="008329AD"/>
    <w:rsid w:val="00835296"/>
    <w:rsid w:val="00835CA6"/>
    <w:rsid w:val="00836B1A"/>
    <w:rsid w:val="00837946"/>
    <w:rsid w:val="00840A88"/>
    <w:rsid w:val="00841EAB"/>
    <w:rsid w:val="00843449"/>
    <w:rsid w:val="008506AC"/>
    <w:rsid w:val="0085166F"/>
    <w:rsid w:val="008539BC"/>
    <w:rsid w:val="0085686E"/>
    <w:rsid w:val="00860A25"/>
    <w:rsid w:val="00861444"/>
    <w:rsid w:val="00863193"/>
    <w:rsid w:val="008675D5"/>
    <w:rsid w:val="00867AF6"/>
    <w:rsid w:val="00871DEF"/>
    <w:rsid w:val="00872098"/>
    <w:rsid w:val="0088229C"/>
    <w:rsid w:val="008826D6"/>
    <w:rsid w:val="00882800"/>
    <w:rsid w:val="0088494F"/>
    <w:rsid w:val="00885E57"/>
    <w:rsid w:val="008937EF"/>
    <w:rsid w:val="00893EEE"/>
    <w:rsid w:val="00894794"/>
    <w:rsid w:val="008949B8"/>
    <w:rsid w:val="00894A42"/>
    <w:rsid w:val="008A1381"/>
    <w:rsid w:val="008A2B7D"/>
    <w:rsid w:val="008A4B5A"/>
    <w:rsid w:val="008A52F1"/>
    <w:rsid w:val="008B1119"/>
    <w:rsid w:val="008B154C"/>
    <w:rsid w:val="008B2A82"/>
    <w:rsid w:val="008B4B36"/>
    <w:rsid w:val="008B563B"/>
    <w:rsid w:val="008B570B"/>
    <w:rsid w:val="008C01E9"/>
    <w:rsid w:val="008C0306"/>
    <w:rsid w:val="008C058D"/>
    <w:rsid w:val="008C0A0E"/>
    <w:rsid w:val="008C1772"/>
    <w:rsid w:val="008C3142"/>
    <w:rsid w:val="008C59BB"/>
    <w:rsid w:val="008C6462"/>
    <w:rsid w:val="008C6630"/>
    <w:rsid w:val="008C726C"/>
    <w:rsid w:val="008D0902"/>
    <w:rsid w:val="008D1DE2"/>
    <w:rsid w:val="008D3AA1"/>
    <w:rsid w:val="008D5791"/>
    <w:rsid w:val="008D747F"/>
    <w:rsid w:val="008D78C7"/>
    <w:rsid w:val="008D7EAC"/>
    <w:rsid w:val="008E221E"/>
    <w:rsid w:val="008E330C"/>
    <w:rsid w:val="008E480C"/>
    <w:rsid w:val="008E488C"/>
    <w:rsid w:val="008E50C9"/>
    <w:rsid w:val="008E586F"/>
    <w:rsid w:val="008E63B5"/>
    <w:rsid w:val="008E63BE"/>
    <w:rsid w:val="008E684D"/>
    <w:rsid w:val="008F0B3C"/>
    <w:rsid w:val="008F3B52"/>
    <w:rsid w:val="008F56AB"/>
    <w:rsid w:val="008F76E6"/>
    <w:rsid w:val="008F7B5A"/>
    <w:rsid w:val="0090389C"/>
    <w:rsid w:val="0090408E"/>
    <w:rsid w:val="00912FD5"/>
    <w:rsid w:val="00914260"/>
    <w:rsid w:val="00915138"/>
    <w:rsid w:val="009178FE"/>
    <w:rsid w:val="009206BF"/>
    <w:rsid w:val="009206C6"/>
    <w:rsid w:val="0093137E"/>
    <w:rsid w:val="0093481A"/>
    <w:rsid w:val="009348E0"/>
    <w:rsid w:val="009352FD"/>
    <w:rsid w:val="00940238"/>
    <w:rsid w:val="00942A2D"/>
    <w:rsid w:val="0094404E"/>
    <w:rsid w:val="00946601"/>
    <w:rsid w:val="0095374C"/>
    <w:rsid w:val="00953A02"/>
    <w:rsid w:val="00954660"/>
    <w:rsid w:val="009546D6"/>
    <w:rsid w:val="0095727A"/>
    <w:rsid w:val="00960BC3"/>
    <w:rsid w:val="009619F1"/>
    <w:rsid w:val="00964326"/>
    <w:rsid w:val="00964335"/>
    <w:rsid w:val="00970AFF"/>
    <w:rsid w:val="009741BC"/>
    <w:rsid w:val="00974951"/>
    <w:rsid w:val="00974BA0"/>
    <w:rsid w:val="00976335"/>
    <w:rsid w:val="0098137A"/>
    <w:rsid w:val="0098306A"/>
    <w:rsid w:val="00990672"/>
    <w:rsid w:val="00992D0D"/>
    <w:rsid w:val="00992D25"/>
    <w:rsid w:val="00992D2C"/>
    <w:rsid w:val="00994282"/>
    <w:rsid w:val="00994FCD"/>
    <w:rsid w:val="00995B73"/>
    <w:rsid w:val="00995E3A"/>
    <w:rsid w:val="0099667B"/>
    <w:rsid w:val="009A2D02"/>
    <w:rsid w:val="009A4189"/>
    <w:rsid w:val="009A4A76"/>
    <w:rsid w:val="009A699D"/>
    <w:rsid w:val="009B02C2"/>
    <w:rsid w:val="009B15E1"/>
    <w:rsid w:val="009B5A6A"/>
    <w:rsid w:val="009B5BFB"/>
    <w:rsid w:val="009B7441"/>
    <w:rsid w:val="009C4D62"/>
    <w:rsid w:val="009C70C8"/>
    <w:rsid w:val="009D1B66"/>
    <w:rsid w:val="009D290E"/>
    <w:rsid w:val="009D7800"/>
    <w:rsid w:val="009D7969"/>
    <w:rsid w:val="009E1A3C"/>
    <w:rsid w:val="009E47E1"/>
    <w:rsid w:val="009E647E"/>
    <w:rsid w:val="009F11AD"/>
    <w:rsid w:val="009F1F82"/>
    <w:rsid w:val="009F2295"/>
    <w:rsid w:val="009F3118"/>
    <w:rsid w:val="009F3925"/>
    <w:rsid w:val="009F4265"/>
    <w:rsid w:val="009F4B36"/>
    <w:rsid w:val="00A012A6"/>
    <w:rsid w:val="00A01839"/>
    <w:rsid w:val="00A073CC"/>
    <w:rsid w:val="00A10964"/>
    <w:rsid w:val="00A10AF3"/>
    <w:rsid w:val="00A11CDC"/>
    <w:rsid w:val="00A12859"/>
    <w:rsid w:val="00A14140"/>
    <w:rsid w:val="00A14923"/>
    <w:rsid w:val="00A14C7B"/>
    <w:rsid w:val="00A1526B"/>
    <w:rsid w:val="00A22D32"/>
    <w:rsid w:val="00A30185"/>
    <w:rsid w:val="00A308BC"/>
    <w:rsid w:val="00A3093D"/>
    <w:rsid w:val="00A32CC4"/>
    <w:rsid w:val="00A377A6"/>
    <w:rsid w:val="00A40643"/>
    <w:rsid w:val="00A40EA5"/>
    <w:rsid w:val="00A458E4"/>
    <w:rsid w:val="00A47A52"/>
    <w:rsid w:val="00A505F8"/>
    <w:rsid w:val="00A51314"/>
    <w:rsid w:val="00A52815"/>
    <w:rsid w:val="00A5323B"/>
    <w:rsid w:val="00A5473E"/>
    <w:rsid w:val="00A57E08"/>
    <w:rsid w:val="00A60DBD"/>
    <w:rsid w:val="00A63168"/>
    <w:rsid w:val="00A64DC7"/>
    <w:rsid w:val="00A679D5"/>
    <w:rsid w:val="00A74465"/>
    <w:rsid w:val="00A758DE"/>
    <w:rsid w:val="00A77173"/>
    <w:rsid w:val="00A81CF1"/>
    <w:rsid w:val="00A81D74"/>
    <w:rsid w:val="00A832DD"/>
    <w:rsid w:val="00A83C80"/>
    <w:rsid w:val="00A841DE"/>
    <w:rsid w:val="00A848AA"/>
    <w:rsid w:val="00A87924"/>
    <w:rsid w:val="00A900D5"/>
    <w:rsid w:val="00A90101"/>
    <w:rsid w:val="00A9060F"/>
    <w:rsid w:val="00A93C21"/>
    <w:rsid w:val="00A946AE"/>
    <w:rsid w:val="00A965B2"/>
    <w:rsid w:val="00A969D1"/>
    <w:rsid w:val="00AA07CC"/>
    <w:rsid w:val="00AA13C8"/>
    <w:rsid w:val="00AA4899"/>
    <w:rsid w:val="00AB0AAF"/>
    <w:rsid w:val="00AB338A"/>
    <w:rsid w:val="00AB38FE"/>
    <w:rsid w:val="00AB3CEF"/>
    <w:rsid w:val="00AB6CAC"/>
    <w:rsid w:val="00AC066A"/>
    <w:rsid w:val="00AC1BCA"/>
    <w:rsid w:val="00AC6F76"/>
    <w:rsid w:val="00AD2D17"/>
    <w:rsid w:val="00AE237B"/>
    <w:rsid w:val="00AE3686"/>
    <w:rsid w:val="00AE3B7E"/>
    <w:rsid w:val="00AE5568"/>
    <w:rsid w:val="00AE62A1"/>
    <w:rsid w:val="00AE6341"/>
    <w:rsid w:val="00AE7C20"/>
    <w:rsid w:val="00AF0B13"/>
    <w:rsid w:val="00AF1047"/>
    <w:rsid w:val="00AF15CD"/>
    <w:rsid w:val="00AF2936"/>
    <w:rsid w:val="00AF44F4"/>
    <w:rsid w:val="00AF6540"/>
    <w:rsid w:val="00AF6AF8"/>
    <w:rsid w:val="00B00213"/>
    <w:rsid w:val="00B04770"/>
    <w:rsid w:val="00B04953"/>
    <w:rsid w:val="00B100A8"/>
    <w:rsid w:val="00B1076D"/>
    <w:rsid w:val="00B14691"/>
    <w:rsid w:val="00B146B5"/>
    <w:rsid w:val="00B15E94"/>
    <w:rsid w:val="00B173DC"/>
    <w:rsid w:val="00B1769E"/>
    <w:rsid w:val="00B17A56"/>
    <w:rsid w:val="00B17E10"/>
    <w:rsid w:val="00B203F1"/>
    <w:rsid w:val="00B204E2"/>
    <w:rsid w:val="00B205FD"/>
    <w:rsid w:val="00B22BAB"/>
    <w:rsid w:val="00B22F3A"/>
    <w:rsid w:val="00B23086"/>
    <w:rsid w:val="00B26877"/>
    <w:rsid w:val="00B33CCD"/>
    <w:rsid w:val="00B37232"/>
    <w:rsid w:val="00B37E43"/>
    <w:rsid w:val="00B4034B"/>
    <w:rsid w:val="00B41D09"/>
    <w:rsid w:val="00B42FB1"/>
    <w:rsid w:val="00B436F6"/>
    <w:rsid w:val="00B43AB2"/>
    <w:rsid w:val="00B453AD"/>
    <w:rsid w:val="00B46AE7"/>
    <w:rsid w:val="00B476DA"/>
    <w:rsid w:val="00B519A9"/>
    <w:rsid w:val="00B519F2"/>
    <w:rsid w:val="00B54527"/>
    <w:rsid w:val="00B55044"/>
    <w:rsid w:val="00B616BB"/>
    <w:rsid w:val="00B61C4A"/>
    <w:rsid w:val="00B6204E"/>
    <w:rsid w:val="00B62D9A"/>
    <w:rsid w:val="00B641B8"/>
    <w:rsid w:val="00B650F4"/>
    <w:rsid w:val="00B6611F"/>
    <w:rsid w:val="00B66139"/>
    <w:rsid w:val="00B678F3"/>
    <w:rsid w:val="00B764B8"/>
    <w:rsid w:val="00B765C0"/>
    <w:rsid w:val="00B8090B"/>
    <w:rsid w:val="00B82CCA"/>
    <w:rsid w:val="00B83633"/>
    <w:rsid w:val="00B8544A"/>
    <w:rsid w:val="00B87249"/>
    <w:rsid w:val="00B87849"/>
    <w:rsid w:val="00B87BBA"/>
    <w:rsid w:val="00B92170"/>
    <w:rsid w:val="00B94B3D"/>
    <w:rsid w:val="00B963D7"/>
    <w:rsid w:val="00B9689E"/>
    <w:rsid w:val="00B973B1"/>
    <w:rsid w:val="00BA0200"/>
    <w:rsid w:val="00BA3DCA"/>
    <w:rsid w:val="00BA6F43"/>
    <w:rsid w:val="00BB3094"/>
    <w:rsid w:val="00BB432D"/>
    <w:rsid w:val="00BC22A3"/>
    <w:rsid w:val="00BC5E7C"/>
    <w:rsid w:val="00BC6B53"/>
    <w:rsid w:val="00BD0925"/>
    <w:rsid w:val="00BD1360"/>
    <w:rsid w:val="00BD2658"/>
    <w:rsid w:val="00BD3E8F"/>
    <w:rsid w:val="00BD3FAE"/>
    <w:rsid w:val="00BE0CCF"/>
    <w:rsid w:val="00BE48BC"/>
    <w:rsid w:val="00BE586C"/>
    <w:rsid w:val="00BE63F7"/>
    <w:rsid w:val="00BF130B"/>
    <w:rsid w:val="00BF60D8"/>
    <w:rsid w:val="00BF79E8"/>
    <w:rsid w:val="00C00EDC"/>
    <w:rsid w:val="00C01173"/>
    <w:rsid w:val="00C027C2"/>
    <w:rsid w:val="00C03B24"/>
    <w:rsid w:val="00C03E3C"/>
    <w:rsid w:val="00C045EF"/>
    <w:rsid w:val="00C04A11"/>
    <w:rsid w:val="00C05306"/>
    <w:rsid w:val="00C057B1"/>
    <w:rsid w:val="00C12CCE"/>
    <w:rsid w:val="00C135CB"/>
    <w:rsid w:val="00C137FB"/>
    <w:rsid w:val="00C140E2"/>
    <w:rsid w:val="00C176A3"/>
    <w:rsid w:val="00C20209"/>
    <w:rsid w:val="00C21E05"/>
    <w:rsid w:val="00C22F36"/>
    <w:rsid w:val="00C272FC"/>
    <w:rsid w:val="00C27A53"/>
    <w:rsid w:val="00C32D47"/>
    <w:rsid w:val="00C352D4"/>
    <w:rsid w:val="00C3650A"/>
    <w:rsid w:val="00C3725C"/>
    <w:rsid w:val="00C41239"/>
    <w:rsid w:val="00C46290"/>
    <w:rsid w:val="00C467C1"/>
    <w:rsid w:val="00C54443"/>
    <w:rsid w:val="00C5467D"/>
    <w:rsid w:val="00C56E19"/>
    <w:rsid w:val="00C5708A"/>
    <w:rsid w:val="00C578BF"/>
    <w:rsid w:val="00C66188"/>
    <w:rsid w:val="00C66FFC"/>
    <w:rsid w:val="00C67D03"/>
    <w:rsid w:val="00C73539"/>
    <w:rsid w:val="00C749ED"/>
    <w:rsid w:val="00C757E8"/>
    <w:rsid w:val="00C761D6"/>
    <w:rsid w:val="00C809BC"/>
    <w:rsid w:val="00C80A3F"/>
    <w:rsid w:val="00C82B05"/>
    <w:rsid w:val="00C8395B"/>
    <w:rsid w:val="00C8512A"/>
    <w:rsid w:val="00C87662"/>
    <w:rsid w:val="00C90575"/>
    <w:rsid w:val="00C91F48"/>
    <w:rsid w:val="00C9217E"/>
    <w:rsid w:val="00C96A45"/>
    <w:rsid w:val="00C96D90"/>
    <w:rsid w:val="00C970CF"/>
    <w:rsid w:val="00C97298"/>
    <w:rsid w:val="00C9762E"/>
    <w:rsid w:val="00C977C3"/>
    <w:rsid w:val="00CA0032"/>
    <w:rsid w:val="00CA168A"/>
    <w:rsid w:val="00CA2E87"/>
    <w:rsid w:val="00CA48C3"/>
    <w:rsid w:val="00CA5D54"/>
    <w:rsid w:val="00CA7017"/>
    <w:rsid w:val="00CA736B"/>
    <w:rsid w:val="00CB0644"/>
    <w:rsid w:val="00CB15F1"/>
    <w:rsid w:val="00CB1731"/>
    <w:rsid w:val="00CB5D21"/>
    <w:rsid w:val="00CC10A7"/>
    <w:rsid w:val="00CC6087"/>
    <w:rsid w:val="00CC6AD0"/>
    <w:rsid w:val="00CD0DDB"/>
    <w:rsid w:val="00CD26E1"/>
    <w:rsid w:val="00CD30CA"/>
    <w:rsid w:val="00CD454D"/>
    <w:rsid w:val="00CD5C4E"/>
    <w:rsid w:val="00CE2BE7"/>
    <w:rsid w:val="00CE50C5"/>
    <w:rsid w:val="00CE5C89"/>
    <w:rsid w:val="00CE6669"/>
    <w:rsid w:val="00CF03BE"/>
    <w:rsid w:val="00CF04BC"/>
    <w:rsid w:val="00CF094B"/>
    <w:rsid w:val="00D0452F"/>
    <w:rsid w:val="00D07C5B"/>
    <w:rsid w:val="00D14DCC"/>
    <w:rsid w:val="00D16A12"/>
    <w:rsid w:val="00D17782"/>
    <w:rsid w:val="00D2023F"/>
    <w:rsid w:val="00D22AD1"/>
    <w:rsid w:val="00D23924"/>
    <w:rsid w:val="00D24DA3"/>
    <w:rsid w:val="00D25E19"/>
    <w:rsid w:val="00D31A6E"/>
    <w:rsid w:val="00D325C0"/>
    <w:rsid w:val="00D34880"/>
    <w:rsid w:val="00D35244"/>
    <w:rsid w:val="00D363BC"/>
    <w:rsid w:val="00D4269A"/>
    <w:rsid w:val="00D42815"/>
    <w:rsid w:val="00D4289D"/>
    <w:rsid w:val="00D43102"/>
    <w:rsid w:val="00D4322C"/>
    <w:rsid w:val="00D458DC"/>
    <w:rsid w:val="00D459AA"/>
    <w:rsid w:val="00D45AC7"/>
    <w:rsid w:val="00D46033"/>
    <w:rsid w:val="00D47570"/>
    <w:rsid w:val="00D52D76"/>
    <w:rsid w:val="00D564E4"/>
    <w:rsid w:val="00D62076"/>
    <w:rsid w:val="00D621F9"/>
    <w:rsid w:val="00D64561"/>
    <w:rsid w:val="00D66500"/>
    <w:rsid w:val="00D713EA"/>
    <w:rsid w:val="00D73591"/>
    <w:rsid w:val="00D73C4A"/>
    <w:rsid w:val="00D767A6"/>
    <w:rsid w:val="00D77920"/>
    <w:rsid w:val="00D77A6A"/>
    <w:rsid w:val="00D80C90"/>
    <w:rsid w:val="00D82A9F"/>
    <w:rsid w:val="00D85490"/>
    <w:rsid w:val="00D925FF"/>
    <w:rsid w:val="00D94579"/>
    <w:rsid w:val="00D97E11"/>
    <w:rsid w:val="00DA03F1"/>
    <w:rsid w:val="00DA08C0"/>
    <w:rsid w:val="00DA307D"/>
    <w:rsid w:val="00DA4127"/>
    <w:rsid w:val="00DB2FB9"/>
    <w:rsid w:val="00DB366C"/>
    <w:rsid w:val="00DB52D0"/>
    <w:rsid w:val="00DB7248"/>
    <w:rsid w:val="00DC143F"/>
    <w:rsid w:val="00DC2611"/>
    <w:rsid w:val="00DC2682"/>
    <w:rsid w:val="00DC2A62"/>
    <w:rsid w:val="00DC71D5"/>
    <w:rsid w:val="00DD0C35"/>
    <w:rsid w:val="00DD26BB"/>
    <w:rsid w:val="00DD2771"/>
    <w:rsid w:val="00DD4E3E"/>
    <w:rsid w:val="00DD5225"/>
    <w:rsid w:val="00DD5AB7"/>
    <w:rsid w:val="00DD6C16"/>
    <w:rsid w:val="00DE0B06"/>
    <w:rsid w:val="00DE0D5C"/>
    <w:rsid w:val="00DE1F9D"/>
    <w:rsid w:val="00DE20B8"/>
    <w:rsid w:val="00DE2526"/>
    <w:rsid w:val="00DE5BDE"/>
    <w:rsid w:val="00DE698E"/>
    <w:rsid w:val="00DF0DC3"/>
    <w:rsid w:val="00DF72CA"/>
    <w:rsid w:val="00E01036"/>
    <w:rsid w:val="00E012DE"/>
    <w:rsid w:val="00E068F6"/>
    <w:rsid w:val="00E103E7"/>
    <w:rsid w:val="00E106E9"/>
    <w:rsid w:val="00E131BF"/>
    <w:rsid w:val="00E135D3"/>
    <w:rsid w:val="00E165CD"/>
    <w:rsid w:val="00E1796F"/>
    <w:rsid w:val="00E205AE"/>
    <w:rsid w:val="00E2079C"/>
    <w:rsid w:val="00E20810"/>
    <w:rsid w:val="00E256FE"/>
    <w:rsid w:val="00E310BB"/>
    <w:rsid w:val="00E31EC1"/>
    <w:rsid w:val="00E32CF0"/>
    <w:rsid w:val="00E359F6"/>
    <w:rsid w:val="00E35EC2"/>
    <w:rsid w:val="00E41272"/>
    <w:rsid w:val="00E44CF2"/>
    <w:rsid w:val="00E4627E"/>
    <w:rsid w:val="00E51416"/>
    <w:rsid w:val="00E51814"/>
    <w:rsid w:val="00E51A16"/>
    <w:rsid w:val="00E53900"/>
    <w:rsid w:val="00E56598"/>
    <w:rsid w:val="00E579ED"/>
    <w:rsid w:val="00E614A4"/>
    <w:rsid w:val="00E62159"/>
    <w:rsid w:val="00E659F7"/>
    <w:rsid w:val="00E65FB4"/>
    <w:rsid w:val="00E66A1B"/>
    <w:rsid w:val="00E70A4A"/>
    <w:rsid w:val="00E71297"/>
    <w:rsid w:val="00E77B12"/>
    <w:rsid w:val="00E826BA"/>
    <w:rsid w:val="00E8362F"/>
    <w:rsid w:val="00E84B45"/>
    <w:rsid w:val="00E90FEE"/>
    <w:rsid w:val="00E943DD"/>
    <w:rsid w:val="00E94449"/>
    <w:rsid w:val="00E94A46"/>
    <w:rsid w:val="00E94B6F"/>
    <w:rsid w:val="00E9739C"/>
    <w:rsid w:val="00E97C27"/>
    <w:rsid w:val="00E97F8E"/>
    <w:rsid w:val="00EA16A5"/>
    <w:rsid w:val="00EA18F4"/>
    <w:rsid w:val="00EA3B4B"/>
    <w:rsid w:val="00EA4351"/>
    <w:rsid w:val="00EA4832"/>
    <w:rsid w:val="00EA5079"/>
    <w:rsid w:val="00EB407B"/>
    <w:rsid w:val="00EB42EA"/>
    <w:rsid w:val="00EB4B26"/>
    <w:rsid w:val="00EB69F1"/>
    <w:rsid w:val="00EC11B2"/>
    <w:rsid w:val="00EC4243"/>
    <w:rsid w:val="00EC468B"/>
    <w:rsid w:val="00EC476F"/>
    <w:rsid w:val="00EC4B95"/>
    <w:rsid w:val="00EC57DB"/>
    <w:rsid w:val="00ED0739"/>
    <w:rsid w:val="00ED0CBE"/>
    <w:rsid w:val="00ED10BE"/>
    <w:rsid w:val="00ED2432"/>
    <w:rsid w:val="00ED2F5B"/>
    <w:rsid w:val="00ED4CE7"/>
    <w:rsid w:val="00ED6844"/>
    <w:rsid w:val="00ED755E"/>
    <w:rsid w:val="00ED7955"/>
    <w:rsid w:val="00EE0647"/>
    <w:rsid w:val="00EE1B64"/>
    <w:rsid w:val="00EE39F8"/>
    <w:rsid w:val="00EE4100"/>
    <w:rsid w:val="00EE78E3"/>
    <w:rsid w:val="00EF18DC"/>
    <w:rsid w:val="00EF32E9"/>
    <w:rsid w:val="00EF5BD5"/>
    <w:rsid w:val="00EF5D0F"/>
    <w:rsid w:val="00F0382E"/>
    <w:rsid w:val="00F04717"/>
    <w:rsid w:val="00F05954"/>
    <w:rsid w:val="00F12113"/>
    <w:rsid w:val="00F129E5"/>
    <w:rsid w:val="00F1379F"/>
    <w:rsid w:val="00F1430B"/>
    <w:rsid w:val="00F14340"/>
    <w:rsid w:val="00F14FFA"/>
    <w:rsid w:val="00F177D2"/>
    <w:rsid w:val="00F177DE"/>
    <w:rsid w:val="00F2108F"/>
    <w:rsid w:val="00F236AA"/>
    <w:rsid w:val="00F23C0A"/>
    <w:rsid w:val="00F277AF"/>
    <w:rsid w:val="00F30C1E"/>
    <w:rsid w:val="00F31D78"/>
    <w:rsid w:val="00F32DBF"/>
    <w:rsid w:val="00F34585"/>
    <w:rsid w:val="00F36C03"/>
    <w:rsid w:val="00F44D7D"/>
    <w:rsid w:val="00F459B9"/>
    <w:rsid w:val="00F46E91"/>
    <w:rsid w:val="00F51466"/>
    <w:rsid w:val="00F529A8"/>
    <w:rsid w:val="00F5338E"/>
    <w:rsid w:val="00F533F7"/>
    <w:rsid w:val="00F5562D"/>
    <w:rsid w:val="00F57026"/>
    <w:rsid w:val="00F57BC8"/>
    <w:rsid w:val="00F60902"/>
    <w:rsid w:val="00F64334"/>
    <w:rsid w:val="00F65027"/>
    <w:rsid w:val="00F668CF"/>
    <w:rsid w:val="00F70EF5"/>
    <w:rsid w:val="00F710F3"/>
    <w:rsid w:val="00F76DE7"/>
    <w:rsid w:val="00F77A26"/>
    <w:rsid w:val="00F81151"/>
    <w:rsid w:val="00F812AE"/>
    <w:rsid w:val="00F8281D"/>
    <w:rsid w:val="00F84070"/>
    <w:rsid w:val="00F8705E"/>
    <w:rsid w:val="00F95A05"/>
    <w:rsid w:val="00F9625F"/>
    <w:rsid w:val="00F9794C"/>
    <w:rsid w:val="00FA196E"/>
    <w:rsid w:val="00FA2CA6"/>
    <w:rsid w:val="00FA36F5"/>
    <w:rsid w:val="00FA5A26"/>
    <w:rsid w:val="00FB119A"/>
    <w:rsid w:val="00FB12ED"/>
    <w:rsid w:val="00FB477E"/>
    <w:rsid w:val="00FB5FCB"/>
    <w:rsid w:val="00FB7020"/>
    <w:rsid w:val="00FC38DF"/>
    <w:rsid w:val="00FC4F00"/>
    <w:rsid w:val="00FC59E7"/>
    <w:rsid w:val="00FC668C"/>
    <w:rsid w:val="00FC670E"/>
    <w:rsid w:val="00FD0F42"/>
    <w:rsid w:val="00FD1609"/>
    <w:rsid w:val="00FD1640"/>
    <w:rsid w:val="00FD414A"/>
    <w:rsid w:val="00FD45C3"/>
    <w:rsid w:val="00FD53B2"/>
    <w:rsid w:val="00FD571E"/>
    <w:rsid w:val="00FD71BD"/>
    <w:rsid w:val="00FE0DEF"/>
    <w:rsid w:val="00FE0E31"/>
    <w:rsid w:val="00FE293B"/>
    <w:rsid w:val="00FE3713"/>
    <w:rsid w:val="00FE5AB3"/>
    <w:rsid w:val="00FE60F5"/>
    <w:rsid w:val="00FE6C01"/>
    <w:rsid w:val="00FF59B2"/>
    <w:rsid w:val="00FF654C"/>
    <w:rsid w:val="00FF6D8F"/>
    <w:rsid w:val="00FF6FF0"/>
    <w:rsid w:val="00FF7858"/>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689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7AF"/>
    <w:pPr>
      <w:jc w:val="both"/>
    </w:pPr>
    <w:rPr>
      <w:rFonts w:ascii="Garamond" w:hAnsi="Garamond"/>
      <w:sz w:val="24"/>
      <w:szCs w:val="24"/>
      <w:lang w:eastAsia="en-NZ"/>
    </w:rPr>
  </w:style>
  <w:style w:type="paragraph" w:styleId="Heading1">
    <w:name w:val="heading 1"/>
    <w:aliases w:val="Heading 1.I"/>
    <w:basedOn w:val="Normal"/>
    <w:next w:val="BodyText"/>
    <w:qFormat/>
    <w:rsid w:val="00652B91"/>
    <w:pPr>
      <w:keepNext/>
      <w:numPr>
        <w:numId w:val="5"/>
      </w:numPr>
      <w:spacing w:before="240" w:after="120"/>
      <w:jc w:val="left"/>
      <w:outlineLvl w:val="0"/>
    </w:pPr>
    <w:rPr>
      <w:rFonts w:cs="Arial"/>
      <w:b/>
      <w:bCs/>
      <w:kern w:val="28"/>
      <w:sz w:val="36"/>
      <w:szCs w:val="36"/>
    </w:rPr>
  </w:style>
  <w:style w:type="paragraph" w:styleId="Heading2">
    <w:name w:val="heading 2"/>
    <w:basedOn w:val="Normal"/>
    <w:next w:val="BodyText"/>
    <w:qFormat/>
    <w:rsid w:val="00652B91"/>
    <w:pPr>
      <w:keepNext/>
      <w:numPr>
        <w:ilvl w:val="1"/>
        <w:numId w:val="5"/>
      </w:numPr>
      <w:spacing w:before="120" w:after="80"/>
      <w:jc w:val="left"/>
      <w:outlineLvl w:val="1"/>
    </w:pPr>
    <w:rPr>
      <w:rFonts w:cs="Arial"/>
      <w:b/>
      <w:bCs/>
      <w:iCs/>
      <w:kern w:val="28"/>
      <w:sz w:val="28"/>
      <w:szCs w:val="28"/>
    </w:rPr>
  </w:style>
  <w:style w:type="paragraph" w:styleId="Heading3">
    <w:name w:val="heading 3"/>
    <w:basedOn w:val="Normal"/>
    <w:next w:val="BodyText"/>
    <w:qFormat/>
    <w:rsid w:val="00652B91"/>
    <w:pPr>
      <w:keepNext/>
      <w:numPr>
        <w:ilvl w:val="2"/>
        <w:numId w:val="5"/>
      </w:numPr>
      <w:spacing w:after="80"/>
      <w:jc w:val="left"/>
      <w:outlineLvl w:val="2"/>
    </w:pPr>
    <w:rPr>
      <w:rFonts w:cs="Arial"/>
      <w:b/>
      <w:bCs/>
      <w:szCs w:val="26"/>
    </w:rPr>
  </w:style>
  <w:style w:type="paragraph" w:styleId="Heading4">
    <w:name w:val="heading 4"/>
    <w:aliases w:val="Heading 4.a"/>
    <w:basedOn w:val="Heading1"/>
    <w:next w:val="BodyText"/>
    <w:link w:val="Heading4Char"/>
    <w:qFormat/>
    <w:rsid w:val="0088229C"/>
    <w:pPr>
      <w:numPr>
        <w:ilvl w:val="3"/>
      </w:numPr>
      <w:ind w:left="0" w:firstLine="0"/>
      <w:outlineLvl w:val="3"/>
    </w:pPr>
    <w:rPr>
      <w:bCs w:val="0"/>
    </w:rPr>
  </w:style>
  <w:style w:type="paragraph" w:styleId="Heading5">
    <w:name w:val="heading 5"/>
    <w:aliases w:val="Heading 5.(i)"/>
    <w:basedOn w:val="Heading2"/>
    <w:next w:val="BodyText"/>
    <w:qFormat/>
    <w:rsid w:val="00652B91"/>
    <w:pPr>
      <w:numPr>
        <w:ilvl w:val="4"/>
      </w:numPr>
      <w:outlineLvl w:val="4"/>
    </w:pPr>
    <w:rPr>
      <w:bCs w:val="0"/>
      <w:iCs w:val="0"/>
    </w:rPr>
  </w:style>
  <w:style w:type="paragraph" w:styleId="Heading6">
    <w:name w:val="heading 6"/>
    <w:basedOn w:val="Heading3"/>
    <w:next w:val="BodyText"/>
    <w:qFormat/>
    <w:rsid w:val="00652B91"/>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ub,Body Tex,Body Text Char Char Char,Body Text Char Char,1body,BodText,bt,body text,Body Txt,heading3,3 indent,heading31,body text1,3 indent1,heading32,body text2,3 indent2,heading33,body text3,3 indent3,heading34,body text4 Char,b,body ...,B"/>
    <w:basedOn w:val="Normal"/>
    <w:link w:val="BodyTextChar"/>
    <w:rsid w:val="00F277AF"/>
    <w:pPr>
      <w:spacing w:after="120"/>
    </w:pPr>
  </w:style>
  <w:style w:type="paragraph" w:customStyle="1" w:styleId="BlockQuotation">
    <w:name w:val="Block Quotation"/>
    <w:basedOn w:val="BodyText"/>
    <w:next w:val="BodyText"/>
    <w:rsid w:val="00F277AF"/>
    <w:pPr>
      <w:keepLines/>
      <w:spacing w:line="280" w:lineRule="atLeast"/>
      <w:ind w:left="720" w:right="720"/>
    </w:pPr>
    <w:rPr>
      <w:i/>
    </w:rPr>
  </w:style>
  <w:style w:type="paragraph" w:customStyle="1" w:styleId="Subheading">
    <w:name w:val="Subheading"/>
    <w:basedOn w:val="BodyText"/>
    <w:next w:val="BodyText"/>
    <w:link w:val="SubheadingChar"/>
    <w:rsid w:val="008C1772"/>
    <w:pPr>
      <w:keepNext/>
      <w:spacing w:after="80"/>
      <w:jc w:val="left"/>
    </w:pPr>
    <w:rPr>
      <w:b/>
      <w:kern w:val="28"/>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F277AF"/>
    <w:pPr>
      <w:numPr>
        <w:numId w:val="6"/>
      </w:numPr>
    </w:pPr>
  </w:style>
  <w:style w:type="paragraph" w:styleId="ListContinue">
    <w:name w:val="List Continue"/>
    <w:basedOn w:val="BodyText"/>
    <w:rsid w:val="00F277AF"/>
    <w:pPr>
      <w:ind w:left="1004"/>
    </w:pPr>
  </w:style>
  <w:style w:type="paragraph" w:styleId="ListBullet2">
    <w:name w:val="List Bullet 2"/>
    <w:aliases w:val="List Bullet 2 Char Char Char"/>
    <w:basedOn w:val="BodyText"/>
    <w:link w:val="ListBullet2Char"/>
    <w:rsid w:val="00F277AF"/>
    <w:pPr>
      <w:numPr>
        <w:ilvl w:val="1"/>
        <w:numId w:val="6"/>
      </w:numPr>
    </w:pPr>
  </w:style>
  <w:style w:type="paragraph" w:styleId="ListBullet3">
    <w:name w:val="List Bullet 3"/>
    <w:basedOn w:val="BodyText"/>
    <w:rsid w:val="00F277AF"/>
    <w:pPr>
      <w:numPr>
        <w:ilvl w:val="2"/>
        <w:numId w:val="6"/>
      </w:numPr>
    </w:pPr>
  </w:style>
  <w:style w:type="paragraph" w:styleId="ListBullet4">
    <w:name w:val="List Bullet 4"/>
    <w:basedOn w:val="BodyText"/>
    <w:rsid w:val="00F277AF"/>
    <w:pPr>
      <w:numPr>
        <w:ilvl w:val="3"/>
        <w:numId w:val="6"/>
      </w:numPr>
    </w:pPr>
  </w:style>
  <w:style w:type="paragraph" w:styleId="ListContinue2">
    <w:name w:val="List Continue 2"/>
    <w:basedOn w:val="BodyText"/>
    <w:rsid w:val="00F277AF"/>
    <w:pPr>
      <w:ind w:left="1287"/>
    </w:pPr>
  </w:style>
  <w:style w:type="paragraph" w:customStyle="1" w:styleId="Numberedtext">
    <w:name w:val="Numbered text"/>
    <w:basedOn w:val="BodyText"/>
    <w:rsid w:val="00F277AF"/>
    <w:pPr>
      <w:numPr>
        <w:numId w:val="7"/>
      </w:numPr>
    </w:pPr>
  </w:style>
  <w:style w:type="paragraph" w:customStyle="1" w:styleId="BoxText">
    <w:name w:val="Box Text"/>
    <w:basedOn w:val="Normal"/>
    <w:rsid w:val="00F277AF"/>
    <w:pPr>
      <w:spacing w:before="30" w:after="30"/>
    </w:pPr>
    <w:rPr>
      <w:sz w:val="22"/>
    </w:rPr>
  </w:style>
  <w:style w:type="paragraph" w:customStyle="1" w:styleId="BoxBullet1">
    <w:name w:val="Box Bullet 1"/>
    <w:basedOn w:val="BoxText"/>
    <w:rsid w:val="00F277AF"/>
    <w:pPr>
      <w:numPr>
        <w:numId w:val="3"/>
      </w:numPr>
    </w:pPr>
  </w:style>
  <w:style w:type="paragraph" w:customStyle="1" w:styleId="BoxBullet2">
    <w:name w:val="Box Bullet 2"/>
    <w:basedOn w:val="BoxText"/>
    <w:rsid w:val="00F277AF"/>
    <w:pPr>
      <w:numPr>
        <w:ilvl w:val="1"/>
        <w:numId w:val="3"/>
      </w:numPr>
    </w:pPr>
  </w:style>
  <w:style w:type="paragraph" w:customStyle="1" w:styleId="TableText">
    <w:name w:val="Table Text"/>
    <w:basedOn w:val="Normal"/>
    <w:link w:val="TableTextChar"/>
    <w:rsid w:val="00F277AF"/>
    <w:pPr>
      <w:spacing w:before="30" w:after="30"/>
      <w:jc w:val="left"/>
    </w:pPr>
    <w:rPr>
      <w:sz w:val="22"/>
    </w:rPr>
  </w:style>
  <w:style w:type="paragraph" w:customStyle="1" w:styleId="TableBullet1">
    <w:name w:val="Table Bullet 1"/>
    <w:basedOn w:val="TableText"/>
    <w:rsid w:val="00F277AF"/>
    <w:pPr>
      <w:numPr>
        <w:numId w:val="8"/>
      </w:numPr>
    </w:pPr>
  </w:style>
  <w:style w:type="paragraph" w:customStyle="1" w:styleId="TableBullet2">
    <w:name w:val="Table Bullet 2"/>
    <w:basedOn w:val="TableText"/>
    <w:rsid w:val="00F277AF"/>
    <w:pPr>
      <w:numPr>
        <w:ilvl w:val="1"/>
        <w:numId w:val="8"/>
      </w:numPr>
    </w:pPr>
  </w:style>
  <w:style w:type="paragraph" w:customStyle="1" w:styleId="BoldHeading">
    <w:name w:val="Bold Heading"/>
    <w:basedOn w:val="Heading1"/>
    <w:next w:val="BodyText"/>
    <w:rsid w:val="008C1772"/>
    <w:pPr>
      <w:numPr>
        <w:numId w:val="0"/>
      </w:numPr>
      <w:outlineLvl w:val="9"/>
    </w:pPr>
  </w:style>
  <w:style w:type="paragraph" w:styleId="Caption">
    <w:name w:val="caption"/>
    <w:basedOn w:val="Normal"/>
    <w:next w:val="TableText"/>
    <w:qFormat/>
    <w:rsid w:val="007A7F6F"/>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F277AF"/>
    <w:pPr>
      <w:numPr>
        <w:numId w:val="4"/>
      </w:numPr>
    </w:pPr>
  </w:style>
  <w:style w:type="paragraph" w:styleId="Footer">
    <w:name w:val="footer"/>
    <w:basedOn w:val="Normal"/>
    <w:link w:val="FooterChar"/>
    <w:uiPriority w:val="99"/>
    <w:rsid w:val="00F277AF"/>
    <w:pPr>
      <w:tabs>
        <w:tab w:val="right" w:pos="8505"/>
      </w:tabs>
    </w:pPr>
    <w:rPr>
      <w:sz w:val="20"/>
    </w:rPr>
  </w:style>
  <w:style w:type="character" w:styleId="CommentReference">
    <w:name w:val="annotation reference"/>
    <w:basedOn w:val="DefaultParagraphFont"/>
    <w:uiPriority w:val="99"/>
    <w:semiHidden/>
    <w:rsid w:val="00F277AF"/>
    <w:rPr>
      <w:sz w:val="16"/>
      <w:szCs w:val="16"/>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Geneva 9,Font: Geneva 9,F"/>
    <w:basedOn w:val="Normal"/>
    <w:link w:val="FootnoteTextChar"/>
    <w:qFormat/>
    <w:rsid w:val="000D2350"/>
    <w:pPr>
      <w:tabs>
        <w:tab w:val="left" w:pos="187"/>
      </w:tabs>
      <w:spacing w:after="120"/>
      <w:ind w:left="187" w:hanging="187"/>
    </w:pPr>
    <w:rPr>
      <w:sz w:val="18"/>
      <w:szCs w:val="20"/>
    </w:rPr>
  </w:style>
  <w:style w:type="character" w:styleId="FootnoteReference">
    <w:name w:val="footnote reference"/>
    <w:aliases w:val="ftref,16 Point,Superscript 6 Point,Fußnotenzeichen DISS,BVI fnr,Знак сноски 1,referencia nota al pie,FC, BVI fnr,Comment Text Char1,Footnote Reference1,Referência a notas de rodapé,(NECG) Footnote Reference,Ref,de nota al pie"/>
    <w:basedOn w:val="DefaultParagraphFont"/>
    <w:rsid w:val="00F277AF"/>
    <w:rPr>
      <w:rFonts w:ascii="Times New Roman" w:hAnsi="Times New Roman"/>
      <w:sz w:val="18"/>
      <w:szCs w:val="18"/>
      <w:vertAlign w:val="superscript"/>
      <w:lang w:val="en-US"/>
    </w:rPr>
  </w:style>
  <w:style w:type="paragraph" w:styleId="CommentText">
    <w:name w:val="annotation text"/>
    <w:basedOn w:val="Normal"/>
    <w:link w:val="CommentTextChar"/>
    <w:uiPriority w:val="99"/>
    <w:rsid w:val="00F277AF"/>
    <w:rPr>
      <w:sz w:val="20"/>
      <w:szCs w:val="20"/>
    </w:rPr>
  </w:style>
  <w:style w:type="paragraph" w:styleId="CommentSubject">
    <w:name w:val="annotation subject"/>
    <w:basedOn w:val="CommentText"/>
    <w:next w:val="CommentText"/>
    <w:semiHidden/>
    <w:rsid w:val="00F277AF"/>
    <w:rPr>
      <w:b/>
      <w:bCs/>
    </w:rPr>
  </w:style>
  <w:style w:type="paragraph" w:styleId="BalloonText">
    <w:name w:val="Balloon Text"/>
    <w:basedOn w:val="Normal"/>
    <w:rsid w:val="008C1772"/>
    <w:rPr>
      <w:rFonts w:cs="Tahoma"/>
      <w:sz w:val="16"/>
      <w:szCs w:val="16"/>
    </w:rPr>
  </w:style>
  <w:style w:type="paragraph" w:styleId="Header">
    <w:name w:val="header"/>
    <w:basedOn w:val="Normal"/>
    <w:rsid w:val="000D2350"/>
    <w:pPr>
      <w:keepLines/>
      <w:tabs>
        <w:tab w:val="center" w:pos="4156"/>
        <w:tab w:val="right" w:pos="8312"/>
      </w:tabs>
      <w:jc w:val="center"/>
    </w:pPr>
    <w:rPr>
      <w:sz w:val="20"/>
    </w:rPr>
  </w:style>
  <w:style w:type="character" w:styleId="PageNumber">
    <w:name w:val="page number"/>
    <w:basedOn w:val="DefaultParagraphFont"/>
    <w:rsid w:val="00F277AF"/>
    <w:rPr>
      <w:rFonts w:ascii="Garamond" w:hAnsi="Garamond"/>
      <w:sz w:val="18"/>
      <w:lang w:val="en-US"/>
    </w:rPr>
  </w:style>
  <w:style w:type="paragraph" w:customStyle="1" w:styleId="SourceNoteText">
    <w:name w:val="Source/Note Text"/>
    <w:basedOn w:val="Normal"/>
    <w:rsid w:val="00F277AF"/>
    <w:pPr>
      <w:tabs>
        <w:tab w:val="left" w:pos="743"/>
        <w:tab w:val="left" w:pos="1168"/>
      </w:tabs>
      <w:spacing w:before="120" w:after="30"/>
      <w:ind w:left="743" w:hanging="743"/>
      <w:jc w:val="left"/>
    </w:pPr>
    <w:rPr>
      <w:sz w:val="20"/>
    </w:rPr>
  </w:style>
  <w:style w:type="table" w:styleId="TableGrid">
    <w:name w:val="Table Grid"/>
    <w:basedOn w:val="TableNormal"/>
    <w:rsid w:val="00F277AF"/>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F277AF"/>
    <w:pPr>
      <w:numPr>
        <w:numId w:val="9"/>
      </w:numPr>
    </w:pPr>
  </w:style>
  <w:style w:type="paragraph" w:styleId="TOC1">
    <w:name w:val="toc 1"/>
    <w:basedOn w:val="Normal"/>
    <w:next w:val="Normal"/>
    <w:uiPriority w:val="39"/>
    <w:rsid w:val="00267B8F"/>
    <w:pPr>
      <w:tabs>
        <w:tab w:val="right" w:pos="7655"/>
      </w:tabs>
      <w:spacing w:before="60" w:after="120"/>
      <w:ind w:left="720" w:right="1588" w:hanging="720"/>
      <w:jc w:val="left"/>
    </w:pPr>
    <w:rPr>
      <w:b/>
    </w:rPr>
  </w:style>
  <w:style w:type="paragraph" w:styleId="TOC2">
    <w:name w:val="toc 2"/>
    <w:basedOn w:val="Normal"/>
    <w:next w:val="Normal"/>
    <w:uiPriority w:val="39"/>
    <w:rsid w:val="000D2350"/>
    <w:pPr>
      <w:tabs>
        <w:tab w:val="right" w:pos="7655"/>
      </w:tabs>
      <w:spacing w:after="120"/>
      <w:ind w:left="1440" w:right="1588" w:hanging="720"/>
      <w:jc w:val="left"/>
    </w:pPr>
  </w:style>
  <w:style w:type="paragraph" w:styleId="TOC3">
    <w:name w:val="toc 3"/>
    <w:basedOn w:val="Normal"/>
    <w:next w:val="Normal"/>
    <w:uiPriority w:val="39"/>
    <w:rsid w:val="000D2350"/>
    <w:pPr>
      <w:tabs>
        <w:tab w:val="right" w:pos="7655"/>
      </w:tabs>
      <w:spacing w:after="120"/>
      <w:ind w:left="2160" w:right="1588" w:hanging="720"/>
      <w:jc w:val="left"/>
    </w:pPr>
  </w:style>
  <w:style w:type="paragraph" w:styleId="TableofFigures">
    <w:name w:val="table of figures"/>
    <w:basedOn w:val="TOC1"/>
    <w:next w:val="Normal"/>
    <w:uiPriority w:val="99"/>
    <w:rsid w:val="00267B8F"/>
    <w:pPr>
      <w:ind w:left="0" w:firstLine="0"/>
    </w:pPr>
  </w:style>
  <w:style w:type="character" w:styleId="Hyperlink">
    <w:name w:val="Hyperlink"/>
    <w:basedOn w:val="DefaultParagraphFont"/>
    <w:uiPriority w:val="99"/>
    <w:rsid w:val="000D2350"/>
    <w:rPr>
      <w:color w:val="0000FF"/>
      <w:u w:val="single"/>
      <w:lang w:val="en-US"/>
    </w:rPr>
  </w:style>
  <w:style w:type="paragraph" w:customStyle="1" w:styleId="TableorFigureEnd">
    <w:name w:val="Table or Figure End"/>
    <w:basedOn w:val="Normal"/>
    <w:next w:val="BodyText"/>
    <w:rsid w:val="00F277AF"/>
    <w:pPr>
      <w:pBdr>
        <w:top w:val="single" w:sz="4" w:space="1" w:color="auto"/>
      </w:pBdr>
      <w:tabs>
        <w:tab w:val="right" w:leader="dot" w:pos="8296"/>
      </w:tabs>
      <w:spacing w:before="90"/>
      <w:ind w:left="-57" w:right="-57"/>
    </w:pPr>
  </w:style>
  <w:style w:type="paragraph" w:styleId="Title">
    <w:name w:val="Title"/>
    <w:basedOn w:val="Normal"/>
    <w:link w:val="TitleChar"/>
    <w:uiPriority w:val="10"/>
    <w:qFormat/>
    <w:rsid w:val="00F277AF"/>
    <w:pPr>
      <w:spacing w:after="240"/>
      <w:ind w:left="1134" w:right="1134"/>
      <w:jc w:val="center"/>
    </w:pPr>
    <w:rPr>
      <w:rFonts w:cs="Arial"/>
      <w:b/>
      <w:bCs/>
      <w:kern w:val="28"/>
      <w:sz w:val="48"/>
      <w:szCs w:val="48"/>
    </w:rPr>
  </w:style>
  <w:style w:type="paragraph" w:customStyle="1" w:styleId="PartHeading">
    <w:name w:val="Part Heading"/>
    <w:basedOn w:val="Normal"/>
    <w:next w:val="BodyText"/>
    <w:rsid w:val="008F7B5A"/>
    <w:pPr>
      <w:keepNext/>
      <w:numPr>
        <w:numId w:val="2"/>
      </w:numPr>
      <w:spacing w:before="240" w:after="120"/>
      <w:jc w:val="left"/>
    </w:pPr>
    <w:rPr>
      <w:b/>
      <w:kern w:val="28"/>
      <w:sz w:val="44"/>
    </w:rPr>
  </w:style>
  <w:style w:type="paragraph" w:styleId="TOC4">
    <w:name w:val="toc 4"/>
    <w:basedOn w:val="TOC3"/>
    <w:next w:val="Normal"/>
    <w:rsid w:val="002F1290"/>
    <w:pPr>
      <w:spacing w:before="60"/>
      <w:ind w:left="0" w:firstLine="0"/>
    </w:pPr>
    <w:rPr>
      <w:b/>
    </w:rPr>
  </w:style>
  <w:style w:type="character" w:customStyle="1" w:styleId="CommentTextChar">
    <w:name w:val="Comment Text Char"/>
    <w:basedOn w:val="DefaultParagraphFont"/>
    <w:link w:val="CommentText"/>
    <w:uiPriority w:val="99"/>
    <w:rsid w:val="001408B7"/>
    <w:rPr>
      <w:rFonts w:ascii="Garamond"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locked/>
    <w:rsid w:val="001408B7"/>
    <w:rPr>
      <w:rFonts w:ascii="Garamond" w:hAnsi="Garamond"/>
      <w:sz w:val="24"/>
      <w:szCs w:val="24"/>
      <w:lang w:eastAsia="en-NZ"/>
    </w:rPr>
  </w:style>
  <w:style w:type="character" w:customStyle="1" w:styleId="TitleChar">
    <w:name w:val="Title Char"/>
    <w:basedOn w:val="DefaultParagraphFont"/>
    <w:link w:val="Title"/>
    <w:uiPriority w:val="10"/>
    <w:rsid w:val="001408B7"/>
    <w:rPr>
      <w:rFonts w:ascii="Garamond" w:hAnsi="Garamond" w:cs="Arial"/>
      <w:b/>
      <w:bCs/>
      <w:kern w:val="28"/>
      <w:sz w:val="48"/>
      <w:szCs w:val="48"/>
      <w:lang w:eastAsia="en-NZ"/>
    </w:rPr>
  </w:style>
  <w:style w:type="character" w:styleId="SubtleEmphasis">
    <w:name w:val="Subtle Emphasis"/>
    <w:basedOn w:val="DefaultParagraphFont"/>
    <w:uiPriority w:val="19"/>
    <w:qFormat/>
    <w:rsid w:val="001408B7"/>
    <w:rPr>
      <w:i/>
      <w:iCs/>
      <w:color w:val="808080" w:themeColor="text1" w:themeTint="7F"/>
    </w:rPr>
  </w:style>
  <w:style w:type="paragraph" w:styleId="ListParagraph">
    <w:name w:val="List Paragraph"/>
    <w:basedOn w:val="Normal"/>
    <w:uiPriority w:val="34"/>
    <w:qFormat/>
    <w:rsid w:val="001408B7"/>
    <w:pPr>
      <w:spacing w:after="200" w:line="276" w:lineRule="auto"/>
      <w:ind w:left="720"/>
      <w:contextualSpacing/>
      <w:jc w:val="left"/>
    </w:pPr>
    <w:rPr>
      <w:rFonts w:ascii="Times New Roman" w:eastAsia="Calibri" w:hAnsi="Times New Roman"/>
      <w:szCs w:val="22"/>
      <w:lang w:eastAsia="en-US"/>
    </w:rPr>
  </w:style>
  <w:style w:type="character" w:customStyle="1" w:styleId="BodyTextChar">
    <w:name w:val="Body Text Char"/>
    <w:aliases w:val="sub Char,Body Tex Char,Body Text Char Char Char Char,Body Text Char Char Char1,1body Char,BodText Char,bt Char,body text Char,Body Txt Char,heading3 Char,3 indent Char,heading31 Char,body text1 Char,3 indent1 Char,heading32 Char,b Char"/>
    <w:link w:val="BodyText"/>
    <w:rsid w:val="00DE20B8"/>
    <w:rPr>
      <w:rFonts w:ascii="Garamond" w:hAnsi="Garamond"/>
      <w:sz w:val="24"/>
      <w:szCs w:val="24"/>
      <w:lang w:eastAsia="en-NZ"/>
    </w:rPr>
  </w:style>
  <w:style w:type="character" w:customStyle="1" w:styleId="SubheadingChar">
    <w:name w:val="Subheading Char"/>
    <w:link w:val="Subheading"/>
    <w:locked/>
    <w:rsid w:val="00DE20B8"/>
    <w:rPr>
      <w:rFonts w:ascii="Garamond" w:hAnsi="Garamond"/>
      <w:b/>
      <w:kern w:val="28"/>
      <w:sz w:val="24"/>
      <w:szCs w:val="24"/>
      <w:lang w:eastAsia="en-NZ"/>
    </w:rPr>
  </w:style>
  <w:style w:type="character" w:customStyle="1" w:styleId="ListBullet2Char">
    <w:name w:val="List Bullet 2 Char"/>
    <w:aliases w:val="List Bullet 2 Char Char Char Char"/>
    <w:link w:val="ListBullet2"/>
    <w:rsid w:val="009741BC"/>
    <w:rPr>
      <w:rFonts w:ascii="Garamond" w:hAnsi="Garamond"/>
      <w:sz w:val="24"/>
      <w:szCs w:val="24"/>
      <w:lang w:eastAsia="en-NZ"/>
    </w:rPr>
  </w:style>
  <w:style w:type="character" w:styleId="PlaceholderText">
    <w:name w:val="Placeholder Text"/>
    <w:basedOn w:val="DefaultParagraphFont"/>
    <w:uiPriority w:val="99"/>
    <w:semiHidden/>
    <w:rsid w:val="007456A9"/>
    <w:rPr>
      <w:color w:val="80808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rsid w:val="00AE7C20"/>
    <w:rPr>
      <w:rFonts w:ascii="Garamond" w:hAnsi="Garamond"/>
      <w:sz w:val="18"/>
      <w:lang w:eastAsia="en-NZ"/>
    </w:rPr>
  </w:style>
  <w:style w:type="paragraph" w:customStyle="1" w:styleId="Paragraph">
    <w:name w:val="Paragraph"/>
    <w:aliases w:val="paragraph,p,PARAGRAPH,PG,pa,at"/>
    <w:basedOn w:val="BodyTextIndent"/>
    <w:link w:val="ParagraphChar"/>
    <w:qFormat/>
    <w:rsid w:val="004202A1"/>
    <w:pPr>
      <w:tabs>
        <w:tab w:val="num" w:pos="720"/>
      </w:tabs>
      <w:spacing w:before="120"/>
      <w:ind w:hanging="720"/>
      <w:outlineLvl w:val="1"/>
    </w:pPr>
    <w:rPr>
      <w:rFonts w:ascii="Times New Roman" w:eastAsia="Calibri" w:hAnsi="Times New Roman"/>
      <w:szCs w:val="22"/>
      <w:lang w:val="x-none" w:eastAsia="x-none"/>
    </w:rPr>
  </w:style>
  <w:style w:type="character" w:customStyle="1" w:styleId="ParagraphChar">
    <w:name w:val="Paragraph Char"/>
    <w:link w:val="Paragraph"/>
    <w:rsid w:val="004202A1"/>
    <w:rPr>
      <w:rFonts w:eastAsia="Calibri"/>
      <w:sz w:val="24"/>
      <w:szCs w:val="22"/>
      <w:lang w:val="x-none" w:eastAsia="x-none"/>
    </w:rPr>
  </w:style>
  <w:style w:type="paragraph" w:customStyle="1" w:styleId="AbbrDesc">
    <w:name w:val="AbbrDesc"/>
    <w:basedOn w:val="Normal"/>
    <w:rsid w:val="004202A1"/>
    <w:pPr>
      <w:tabs>
        <w:tab w:val="left" w:pos="3060"/>
      </w:tabs>
    </w:pPr>
    <w:rPr>
      <w:rFonts w:ascii="Times New Roman" w:eastAsia="MS Mincho" w:hAnsi="Times New Roman"/>
      <w:lang w:eastAsia="en-US"/>
    </w:rPr>
  </w:style>
  <w:style w:type="paragraph" w:styleId="BodyTextIndent">
    <w:name w:val="Body Text Indent"/>
    <w:basedOn w:val="Normal"/>
    <w:link w:val="BodyTextIndentChar"/>
    <w:rsid w:val="004202A1"/>
    <w:pPr>
      <w:spacing w:after="120"/>
      <w:ind w:left="360"/>
    </w:pPr>
  </w:style>
  <w:style w:type="character" w:customStyle="1" w:styleId="BodyTextIndentChar">
    <w:name w:val="Body Text Indent Char"/>
    <w:basedOn w:val="DefaultParagraphFont"/>
    <w:link w:val="BodyTextIndent"/>
    <w:rsid w:val="004202A1"/>
    <w:rPr>
      <w:rFonts w:ascii="Garamond" w:hAnsi="Garamond"/>
      <w:sz w:val="24"/>
      <w:szCs w:val="24"/>
      <w:lang w:eastAsia="en-NZ"/>
    </w:rPr>
  </w:style>
  <w:style w:type="character" w:customStyle="1" w:styleId="Heading4Char">
    <w:name w:val="Heading 4 Char"/>
    <w:aliases w:val="Heading 4.a Char"/>
    <w:basedOn w:val="DefaultParagraphFont"/>
    <w:link w:val="Heading4"/>
    <w:rsid w:val="0074369A"/>
    <w:rPr>
      <w:rFonts w:ascii="Garamond" w:hAnsi="Garamond" w:cs="Arial"/>
      <w:b/>
      <w:kern w:val="28"/>
      <w:sz w:val="36"/>
      <w:szCs w:val="36"/>
      <w:lang w:eastAsia="en-NZ"/>
    </w:rPr>
  </w:style>
  <w:style w:type="paragraph" w:customStyle="1" w:styleId="AutoNumpara">
    <w:name w:val="AutoNumpara"/>
    <w:basedOn w:val="BodyTextIndent"/>
    <w:uiPriority w:val="99"/>
    <w:rsid w:val="0074369A"/>
    <w:pPr>
      <w:tabs>
        <w:tab w:val="num" w:pos="720"/>
      </w:tabs>
      <w:spacing w:before="120"/>
      <w:ind w:left="720" w:hanging="720"/>
    </w:pPr>
    <w:rPr>
      <w:rFonts w:ascii="Times New Roman" w:hAnsi="Times New Roman"/>
      <w:noProof/>
      <w:spacing w:val="-2"/>
      <w:szCs w:val="20"/>
      <w:lang w:val="es-ES_tradnl" w:eastAsia="x-none"/>
    </w:rPr>
  </w:style>
  <w:style w:type="paragraph" w:customStyle="1" w:styleId="11Paragraph">
    <w:name w:val="1.1 Paragraph"/>
    <w:basedOn w:val="Normal"/>
    <w:qFormat/>
    <w:rsid w:val="005034D9"/>
    <w:pPr>
      <w:numPr>
        <w:ilvl w:val="1"/>
        <w:numId w:val="14"/>
      </w:numPr>
      <w:spacing w:before="120" w:after="120"/>
    </w:pPr>
    <w:rPr>
      <w:rFonts w:ascii="Times New Roman" w:eastAsia="MS Mincho" w:hAnsi="Times New Roman"/>
      <w:lang w:val="es-ES_tradnl" w:eastAsia="en-US"/>
    </w:rPr>
  </w:style>
  <w:style w:type="paragraph" w:customStyle="1" w:styleId="Default">
    <w:name w:val="Default"/>
    <w:rsid w:val="00ED10BE"/>
    <w:pPr>
      <w:autoSpaceDE w:val="0"/>
      <w:autoSpaceDN w:val="0"/>
      <w:adjustRightInd w:val="0"/>
    </w:pPr>
    <w:rPr>
      <w:color w:val="000000"/>
      <w:sz w:val="24"/>
      <w:szCs w:val="24"/>
    </w:rPr>
  </w:style>
  <w:style w:type="paragraph" w:styleId="Revision">
    <w:name w:val="Revision"/>
    <w:hidden/>
    <w:uiPriority w:val="99"/>
    <w:semiHidden/>
    <w:rsid w:val="003D4329"/>
    <w:rPr>
      <w:rFonts w:ascii="Garamond" w:hAnsi="Garamond"/>
      <w:sz w:val="24"/>
      <w:szCs w:val="24"/>
      <w:lang w:eastAsia="en-NZ"/>
    </w:rPr>
  </w:style>
  <w:style w:type="paragraph" w:customStyle="1" w:styleId="Newpage">
    <w:name w:val="Newpage"/>
    <w:basedOn w:val="Normal"/>
    <w:link w:val="NewpageChar"/>
    <w:rsid w:val="005F713E"/>
    <w:pPr>
      <w:keepNext/>
      <w:tabs>
        <w:tab w:val="left" w:pos="1440"/>
        <w:tab w:val="left" w:pos="3060"/>
      </w:tabs>
      <w:spacing w:before="240"/>
      <w:jc w:val="center"/>
    </w:pPr>
    <w:rPr>
      <w:rFonts w:ascii="Times New Roman" w:hAnsi="Times New Roman"/>
      <w:b/>
      <w:smallCaps/>
      <w:szCs w:val="20"/>
      <w:lang w:eastAsia="en-US"/>
    </w:rPr>
  </w:style>
  <w:style w:type="character" w:customStyle="1" w:styleId="NewpageChar">
    <w:name w:val="Newpage Char"/>
    <w:link w:val="Newpage"/>
    <w:rsid w:val="005F713E"/>
    <w:rPr>
      <w:b/>
      <w:smallCaps/>
      <w:sz w:val="24"/>
    </w:rPr>
  </w:style>
  <w:style w:type="character" w:customStyle="1" w:styleId="FooterChar">
    <w:name w:val="Footer Char"/>
    <w:basedOn w:val="DefaultParagraphFont"/>
    <w:link w:val="Footer"/>
    <w:uiPriority w:val="99"/>
    <w:rsid w:val="0057082B"/>
    <w:rPr>
      <w:rFonts w:ascii="Garamond" w:hAnsi="Garamond"/>
      <w:szCs w:val="24"/>
      <w:lang w:eastAsia="en-NZ"/>
    </w:rPr>
  </w:style>
  <w:style w:type="character" w:customStyle="1" w:styleId="TableTextChar">
    <w:name w:val="Table Text Char"/>
    <w:basedOn w:val="DefaultParagraphFont"/>
    <w:link w:val="TableText"/>
    <w:locked/>
    <w:rsid w:val="003E736F"/>
    <w:rPr>
      <w:rFonts w:ascii="Garamond" w:hAnsi="Garamond"/>
      <w:sz w:val="22"/>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qFormat="1"/>
    <w:lsdException w:name="table of figures" w:uiPriority="99"/>
    <w:lsdException w:name="annotation reference" w:uiPriority="99"/>
    <w:lsdException w:name="Title" w:uiPriority="10"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7AF"/>
    <w:pPr>
      <w:jc w:val="both"/>
    </w:pPr>
    <w:rPr>
      <w:rFonts w:ascii="Garamond" w:hAnsi="Garamond"/>
      <w:sz w:val="24"/>
      <w:szCs w:val="24"/>
      <w:lang w:eastAsia="en-NZ"/>
    </w:rPr>
  </w:style>
  <w:style w:type="paragraph" w:styleId="Heading1">
    <w:name w:val="heading 1"/>
    <w:aliases w:val="Heading 1.I"/>
    <w:basedOn w:val="Normal"/>
    <w:next w:val="BodyText"/>
    <w:qFormat/>
    <w:rsid w:val="00652B91"/>
    <w:pPr>
      <w:keepNext/>
      <w:numPr>
        <w:numId w:val="5"/>
      </w:numPr>
      <w:spacing w:before="240" w:after="120"/>
      <w:jc w:val="left"/>
      <w:outlineLvl w:val="0"/>
    </w:pPr>
    <w:rPr>
      <w:rFonts w:cs="Arial"/>
      <w:b/>
      <w:bCs/>
      <w:kern w:val="28"/>
      <w:sz w:val="36"/>
      <w:szCs w:val="36"/>
    </w:rPr>
  </w:style>
  <w:style w:type="paragraph" w:styleId="Heading2">
    <w:name w:val="heading 2"/>
    <w:basedOn w:val="Normal"/>
    <w:next w:val="BodyText"/>
    <w:qFormat/>
    <w:rsid w:val="00652B91"/>
    <w:pPr>
      <w:keepNext/>
      <w:numPr>
        <w:ilvl w:val="1"/>
        <w:numId w:val="5"/>
      </w:numPr>
      <w:spacing w:before="120" w:after="80"/>
      <w:jc w:val="left"/>
      <w:outlineLvl w:val="1"/>
    </w:pPr>
    <w:rPr>
      <w:rFonts w:cs="Arial"/>
      <w:b/>
      <w:bCs/>
      <w:iCs/>
      <w:kern w:val="28"/>
      <w:sz w:val="28"/>
      <w:szCs w:val="28"/>
    </w:rPr>
  </w:style>
  <w:style w:type="paragraph" w:styleId="Heading3">
    <w:name w:val="heading 3"/>
    <w:basedOn w:val="Normal"/>
    <w:next w:val="BodyText"/>
    <w:qFormat/>
    <w:rsid w:val="00652B91"/>
    <w:pPr>
      <w:keepNext/>
      <w:numPr>
        <w:ilvl w:val="2"/>
        <w:numId w:val="5"/>
      </w:numPr>
      <w:spacing w:after="80"/>
      <w:jc w:val="left"/>
      <w:outlineLvl w:val="2"/>
    </w:pPr>
    <w:rPr>
      <w:rFonts w:cs="Arial"/>
      <w:b/>
      <w:bCs/>
      <w:szCs w:val="26"/>
    </w:rPr>
  </w:style>
  <w:style w:type="paragraph" w:styleId="Heading4">
    <w:name w:val="heading 4"/>
    <w:aliases w:val="Heading 4.a"/>
    <w:basedOn w:val="Heading1"/>
    <w:next w:val="BodyText"/>
    <w:link w:val="Heading4Char"/>
    <w:qFormat/>
    <w:rsid w:val="0088229C"/>
    <w:pPr>
      <w:numPr>
        <w:ilvl w:val="3"/>
      </w:numPr>
      <w:ind w:left="0" w:firstLine="0"/>
      <w:outlineLvl w:val="3"/>
    </w:pPr>
    <w:rPr>
      <w:bCs w:val="0"/>
    </w:rPr>
  </w:style>
  <w:style w:type="paragraph" w:styleId="Heading5">
    <w:name w:val="heading 5"/>
    <w:aliases w:val="Heading 5.(i)"/>
    <w:basedOn w:val="Heading2"/>
    <w:next w:val="BodyText"/>
    <w:qFormat/>
    <w:rsid w:val="00652B91"/>
    <w:pPr>
      <w:numPr>
        <w:ilvl w:val="4"/>
      </w:numPr>
      <w:outlineLvl w:val="4"/>
    </w:pPr>
    <w:rPr>
      <w:bCs w:val="0"/>
      <w:iCs w:val="0"/>
    </w:rPr>
  </w:style>
  <w:style w:type="paragraph" w:styleId="Heading6">
    <w:name w:val="heading 6"/>
    <w:basedOn w:val="Heading3"/>
    <w:next w:val="BodyText"/>
    <w:qFormat/>
    <w:rsid w:val="00652B91"/>
    <w:pPr>
      <w:numPr>
        <w:ilvl w:val="5"/>
      </w:numPr>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ub,Body Tex,Body Text Char Char Char,Body Text Char Char,1body,BodText,bt,body text,Body Txt,heading3,3 indent,heading31,body text1,3 indent1,heading32,body text2,3 indent2,heading33,body text3,3 indent3,heading34,body text4 Char,b,body ...,B"/>
    <w:basedOn w:val="Normal"/>
    <w:link w:val="BodyTextChar"/>
    <w:rsid w:val="00F277AF"/>
    <w:pPr>
      <w:spacing w:after="120"/>
    </w:pPr>
  </w:style>
  <w:style w:type="paragraph" w:customStyle="1" w:styleId="BlockQuotation">
    <w:name w:val="Block Quotation"/>
    <w:basedOn w:val="BodyText"/>
    <w:next w:val="BodyText"/>
    <w:rsid w:val="00F277AF"/>
    <w:pPr>
      <w:keepLines/>
      <w:spacing w:line="280" w:lineRule="atLeast"/>
      <w:ind w:left="720" w:right="720"/>
    </w:pPr>
    <w:rPr>
      <w:i/>
    </w:rPr>
  </w:style>
  <w:style w:type="paragraph" w:customStyle="1" w:styleId="Subheading">
    <w:name w:val="Subheading"/>
    <w:basedOn w:val="BodyText"/>
    <w:next w:val="BodyText"/>
    <w:link w:val="SubheadingChar"/>
    <w:rsid w:val="008C1772"/>
    <w:pPr>
      <w:keepNext/>
      <w:spacing w:after="80"/>
      <w:jc w:val="left"/>
    </w:pPr>
    <w:rPr>
      <w:b/>
      <w:kern w:val="28"/>
    </w:rPr>
  </w:style>
  <w:style w:type="paragraph" w:styleId="ListBullet">
    <w:name w:val="List Bullet"/>
    <w:aliases w:val="List Bullet Title,List Bullet Title Char Char Char,List Bullet Title Char Char Char Char,List Bullet1 Char,List Bullet Char Char Char Char Char Char Char,List Bullet Char Char Char Char,List Bullet Char Char Char Char Char,List Bullet2,Char"/>
    <w:basedOn w:val="BodyText"/>
    <w:link w:val="ListBulletChar"/>
    <w:rsid w:val="00F277AF"/>
    <w:pPr>
      <w:numPr>
        <w:numId w:val="6"/>
      </w:numPr>
    </w:pPr>
  </w:style>
  <w:style w:type="paragraph" w:styleId="ListContinue">
    <w:name w:val="List Continue"/>
    <w:basedOn w:val="BodyText"/>
    <w:rsid w:val="00F277AF"/>
    <w:pPr>
      <w:ind w:left="1004"/>
    </w:pPr>
  </w:style>
  <w:style w:type="paragraph" w:styleId="ListBullet2">
    <w:name w:val="List Bullet 2"/>
    <w:aliases w:val="List Bullet 2 Char Char Char"/>
    <w:basedOn w:val="BodyText"/>
    <w:link w:val="ListBullet2Char"/>
    <w:rsid w:val="00F277AF"/>
    <w:pPr>
      <w:numPr>
        <w:ilvl w:val="1"/>
        <w:numId w:val="6"/>
      </w:numPr>
    </w:pPr>
  </w:style>
  <w:style w:type="paragraph" w:styleId="ListBullet3">
    <w:name w:val="List Bullet 3"/>
    <w:basedOn w:val="BodyText"/>
    <w:rsid w:val="00F277AF"/>
    <w:pPr>
      <w:numPr>
        <w:ilvl w:val="2"/>
        <w:numId w:val="6"/>
      </w:numPr>
    </w:pPr>
  </w:style>
  <w:style w:type="paragraph" w:styleId="ListBullet4">
    <w:name w:val="List Bullet 4"/>
    <w:basedOn w:val="BodyText"/>
    <w:rsid w:val="00F277AF"/>
    <w:pPr>
      <w:numPr>
        <w:ilvl w:val="3"/>
        <w:numId w:val="6"/>
      </w:numPr>
    </w:pPr>
  </w:style>
  <w:style w:type="paragraph" w:styleId="ListContinue2">
    <w:name w:val="List Continue 2"/>
    <w:basedOn w:val="BodyText"/>
    <w:rsid w:val="00F277AF"/>
    <w:pPr>
      <w:ind w:left="1287"/>
    </w:pPr>
  </w:style>
  <w:style w:type="paragraph" w:customStyle="1" w:styleId="Numberedtext">
    <w:name w:val="Numbered text"/>
    <w:basedOn w:val="BodyText"/>
    <w:rsid w:val="00F277AF"/>
    <w:pPr>
      <w:numPr>
        <w:numId w:val="7"/>
      </w:numPr>
    </w:pPr>
  </w:style>
  <w:style w:type="paragraph" w:customStyle="1" w:styleId="BoxText">
    <w:name w:val="Box Text"/>
    <w:basedOn w:val="Normal"/>
    <w:rsid w:val="00F277AF"/>
    <w:pPr>
      <w:spacing w:before="30" w:after="30"/>
    </w:pPr>
    <w:rPr>
      <w:sz w:val="22"/>
    </w:rPr>
  </w:style>
  <w:style w:type="paragraph" w:customStyle="1" w:styleId="BoxBullet1">
    <w:name w:val="Box Bullet 1"/>
    <w:basedOn w:val="BoxText"/>
    <w:rsid w:val="00F277AF"/>
    <w:pPr>
      <w:numPr>
        <w:numId w:val="3"/>
      </w:numPr>
    </w:pPr>
  </w:style>
  <w:style w:type="paragraph" w:customStyle="1" w:styleId="BoxBullet2">
    <w:name w:val="Box Bullet 2"/>
    <w:basedOn w:val="BoxText"/>
    <w:rsid w:val="00F277AF"/>
    <w:pPr>
      <w:numPr>
        <w:ilvl w:val="1"/>
        <w:numId w:val="3"/>
      </w:numPr>
    </w:pPr>
  </w:style>
  <w:style w:type="paragraph" w:customStyle="1" w:styleId="TableText">
    <w:name w:val="Table Text"/>
    <w:basedOn w:val="Normal"/>
    <w:link w:val="TableTextChar"/>
    <w:rsid w:val="00F277AF"/>
    <w:pPr>
      <w:spacing w:before="30" w:after="30"/>
      <w:jc w:val="left"/>
    </w:pPr>
    <w:rPr>
      <w:sz w:val="22"/>
    </w:rPr>
  </w:style>
  <w:style w:type="paragraph" w:customStyle="1" w:styleId="TableBullet1">
    <w:name w:val="Table Bullet 1"/>
    <w:basedOn w:val="TableText"/>
    <w:rsid w:val="00F277AF"/>
    <w:pPr>
      <w:numPr>
        <w:numId w:val="8"/>
      </w:numPr>
    </w:pPr>
  </w:style>
  <w:style w:type="paragraph" w:customStyle="1" w:styleId="TableBullet2">
    <w:name w:val="Table Bullet 2"/>
    <w:basedOn w:val="TableText"/>
    <w:rsid w:val="00F277AF"/>
    <w:pPr>
      <w:numPr>
        <w:ilvl w:val="1"/>
        <w:numId w:val="8"/>
      </w:numPr>
    </w:pPr>
  </w:style>
  <w:style w:type="paragraph" w:customStyle="1" w:styleId="BoldHeading">
    <w:name w:val="Bold Heading"/>
    <w:basedOn w:val="Heading1"/>
    <w:next w:val="BodyText"/>
    <w:rsid w:val="008C1772"/>
    <w:pPr>
      <w:numPr>
        <w:numId w:val="0"/>
      </w:numPr>
      <w:outlineLvl w:val="9"/>
    </w:pPr>
  </w:style>
  <w:style w:type="paragraph" w:styleId="Caption">
    <w:name w:val="caption"/>
    <w:basedOn w:val="Normal"/>
    <w:next w:val="TableText"/>
    <w:qFormat/>
    <w:rsid w:val="007A7F6F"/>
    <w:pPr>
      <w:pBdr>
        <w:bottom w:val="single" w:sz="4" w:space="1" w:color="auto"/>
      </w:pBdr>
      <w:spacing w:after="120" w:line="240" w:lineRule="atLeast"/>
      <w:ind w:left="-57" w:right="-57"/>
      <w:jc w:val="left"/>
    </w:pPr>
    <w:rPr>
      <w:b/>
      <w:bCs/>
      <w:szCs w:val="20"/>
    </w:rPr>
  </w:style>
  <w:style w:type="paragraph" w:customStyle="1" w:styleId="BoxNumberedText">
    <w:name w:val="Box Numbered Text"/>
    <w:basedOn w:val="BoxText"/>
    <w:rsid w:val="00F277AF"/>
    <w:pPr>
      <w:numPr>
        <w:numId w:val="4"/>
      </w:numPr>
    </w:pPr>
  </w:style>
  <w:style w:type="paragraph" w:styleId="Footer">
    <w:name w:val="footer"/>
    <w:basedOn w:val="Normal"/>
    <w:link w:val="FooterChar"/>
    <w:uiPriority w:val="99"/>
    <w:rsid w:val="00F277AF"/>
    <w:pPr>
      <w:tabs>
        <w:tab w:val="right" w:pos="8505"/>
      </w:tabs>
    </w:pPr>
    <w:rPr>
      <w:sz w:val="20"/>
    </w:rPr>
  </w:style>
  <w:style w:type="character" w:styleId="CommentReference">
    <w:name w:val="annotation reference"/>
    <w:basedOn w:val="DefaultParagraphFont"/>
    <w:uiPriority w:val="99"/>
    <w:semiHidden/>
    <w:rsid w:val="00F277AF"/>
    <w:rPr>
      <w:sz w:val="16"/>
      <w:szCs w:val="16"/>
    </w:rPr>
  </w:style>
  <w:style w:type="paragraph" w:styleId="FootnoteText">
    <w:name w:val="footnote text"/>
    <w:aliases w:val="fn,FOOTNOTES,single space,ALTS FOOTNOTE,Footnote Text Char1,Footnote Text Char Char,Note de bas de page Car,footnote text,Fodnotetekst Tegn,Fodnotetekst Tegn Char,footnote text Char Char Char,footnote,ADB,f,ft,Geneva 9,Font: Geneva 9,F"/>
    <w:basedOn w:val="Normal"/>
    <w:link w:val="FootnoteTextChar"/>
    <w:qFormat/>
    <w:rsid w:val="000D2350"/>
    <w:pPr>
      <w:tabs>
        <w:tab w:val="left" w:pos="187"/>
      </w:tabs>
      <w:spacing w:after="120"/>
      <w:ind w:left="187" w:hanging="187"/>
    </w:pPr>
    <w:rPr>
      <w:sz w:val="18"/>
      <w:szCs w:val="20"/>
    </w:rPr>
  </w:style>
  <w:style w:type="character" w:styleId="FootnoteReference">
    <w:name w:val="footnote reference"/>
    <w:aliases w:val="ftref,16 Point,Superscript 6 Point,Fußnotenzeichen DISS,BVI fnr,Знак сноски 1,referencia nota al pie,FC, BVI fnr,Comment Text Char1,Footnote Reference1,Referência a notas de rodapé,(NECG) Footnote Reference,Ref,de nota al pie"/>
    <w:basedOn w:val="DefaultParagraphFont"/>
    <w:rsid w:val="00F277AF"/>
    <w:rPr>
      <w:rFonts w:ascii="Times New Roman" w:hAnsi="Times New Roman"/>
      <w:sz w:val="18"/>
      <w:szCs w:val="18"/>
      <w:vertAlign w:val="superscript"/>
      <w:lang w:val="en-US"/>
    </w:rPr>
  </w:style>
  <w:style w:type="paragraph" w:styleId="CommentText">
    <w:name w:val="annotation text"/>
    <w:basedOn w:val="Normal"/>
    <w:link w:val="CommentTextChar"/>
    <w:uiPriority w:val="99"/>
    <w:rsid w:val="00F277AF"/>
    <w:rPr>
      <w:sz w:val="20"/>
      <w:szCs w:val="20"/>
    </w:rPr>
  </w:style>
  <w:style w:type="paragraph" w:styleId="CommentSubject">
    <w:name w:val="annotation subject"/>
    <w:basedOn w:val="CommentText"/>
    <w:next w:val="CommentText"/>
    <w:semiHidden/>
    <w:rsid w:val="00F277AF"/>
    <w:rPr>
      <w:b/>
      <w:bCs/>
    </w:rPr>
  </w:style>
  <w:style w:type="paragraph" w:styleId="BalloonText">
    <w:name w:val="Balloon Text"/>
    <w:basedOn w:val="Normal"/>
    <w:rsid w:val="008C1772"/>
    <w:rPr>
      <w:rFonts w:cs="Tahoma"/>
      <w:sz w:val="16"/>
      <w:szCs w:val="16"/>
    </w:rPr>
  </w:style>
  <w:style w:type="paragraph" w:styleId="Header">
    <w:name w:val="header"/>
    <w:basedOn w:val="Normal"/>
    <w:rsid w:val="000D2350"/>
    <w:pPr>
      <w:keepLines/>
      <w:tabs>
        <w:tab w:val="center" w:pos="4156"/>
        <w:tab w:val="right" w:pos="8312"/>
      </w:tabs>
      <w:jc w:val="center"/>
    </w:pPr>
    <w:rPr>
      <w:sz w:val="20"/>
    </w:rPr>
  </w:style>
  <w:style w:type="character" w:styleId="PageNumber">
    <w:name w:val="page number"/>
    <w:basedOn w:val="DefaultParagraphFont"/>
    <w:rsid w:val="00F277AF"/>
    <w:rPr>
      <w:rFonts w:ascii="Garamond" w:hAnsi="Garamond"/>
      <w:sz w:val="18"/>
      <w:lang w:val="en-US"/>
    </w:rPr>
  </w:style>
  <w:style w:type="paragraph" w:customStyle="1" w:styleId="SourceNoteText">
    <w:name w:val="Source/Note Text"/>
    <w:basedOn w:val="Normal"/>
    <w:rsid w:val="00F277AF"/>
    <w:pPr>
      <w:tabs>
        <w:tab w:val="left" w:pos="743"/>
        <w:tab w:val="left" w:pos="1168"/>
      </w:tabs>
      <w:spacing w:before="120" w:after="30"/>
      <w:ind w:left="743" w:hanging="743"/>
      <w:jc w:val="left"/>
    </w:pPr>
    <w:rPr>
      <w:sz w:val="20"/>
    </w:rPr>
  </w:style>
  <w:style w:type="table" w:styleId="TableGrid">
    <w:name w:val="Table Grid"/>
    <w:basedOn w:val="TableNormal"/>
    <w:rsid w:val="00F277AF"/>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F277AF"/>
    <w:pPr>
      <w:numPr>
        <w:numId w:val="9"/>
      </w:numPr>
    </w:pPr>
  </w:style>
  <w:style w:type="paragraph" w:styleId="TOC1">
    <w:name w:val="toc 1"/>
    <w:basedOn w:val="Normal"/>
    <w:next w:val="Normal"/>
    <w:uiPriority w:val="39"/>
    <w:rsid w:val="00267B8F"/>
    <w:pPr>
      <w:tabs>
        <w:tab w:val="right" w:pos="7655"/>
      </w:tabs>
      <w:spacing w:before="60" w:after="120"/>
      <w:ind w:left="720" w:right="1588" w:hanging="720"/>
      <w:jc w:val="left"/>
    </w:pPr>
    <w:rPr>
      <w:b/>
    </w:rPr>
  </w:style>
  <w:style w:type="paragraph" w:styleId="TOC2">
    <w:name w:val="toc 2"/>
    <w:basedOn w:val="Normal"/>
    <w:next w:val="Normal"/>
    <w:uiPriority w:val="39"/>
    <w:rsid w:val="000D2350"/>
    <w:pPr>
      <w:tabs>
        <w:tab w:val="right" w:pos="7655"/>
      </w:tabs>
      <w:spacing w:after="120"/>
      <w:ind w:left="1440" w:right="1588" w:hanging="720"/>
      <w:jc w:val="left"/>
    </w:pPr>
  </w:style>
  <w:style w:type="paragraph" w:styleId="TOC3">
    <w:name w:val="toc 3"/>
    <w:basedOn w:val="Normal"/>
    <w:next w:val="Normal"/>
    <w:uiPriority w:val="39"/>
    <w:rsid w:val="000D2350"/>
    <w:pPr>
      <w:tabs>
        <w:tab w:val="right" w:pos="7655"/>
      </w:tabs>
      <w:spacing w:after="120"/>
      <w:ind w:left="2160" w:right="1588" w:hanging="720"/>
      <w:jc w:val="left"/>
    </w:pPr>
  </w:style>
  <w:style w:type="paragraph" w:styleId="TableofFigures">
    <w:name w:val="table of figures"/>
    <w:basedOn w:val="TOC1"/>
    <w:next w:val="Normal"/>
    <w:uiPriority w:val="99"/>
    <w:rsid w:val="00267B8F"/>
    <w:pPr>
      <w:ind w:left="0" w:firstLine="0"/>
    </w:pPr>
  </w:style>
  <w:style w:type="character" w:styleId="Hyperlink">
    <w:name w:val="Hyperlink"/>
    <w:basedOn w:val="DefaultParagraphFont"/>
    <w:uiPriority w:val="99"/>
    <w:rsid w:val="000D2350"/>
    <w:rPr>
      <w:color w:val="0000FF"/>
      <w:u w:val="single"/>
      <w:lang w:val="en-US"/>
    </w:rPr>
  </w:style>
  <w:style w:type="paragraph" w:customStyle="1" w:styleId="TableorFigureEnd">
    <w:name w:val="Table or Figure End"/>
    <w:basedOn w:val="Normal"/>
    <w:next w:val="BodyText"/>
    <w:rsid w:val="00F277AF"/>
    <w:pPr>
      <w:pBdr>
        <w:top w:val="single" w:sz="4" w:space="1" w:color="auto"/>
      </w:pBdr>
      <w:tabs>
        <w:tab w:val="right" w:leader="dot" w:pos="8296"/>
      </w:tabs>
      <w:spacing w:before="90"/>
      <w:ind w:left="-57" w:right="-57"/>
    </w:pPr>
  </w:style>
  <w:style w:type="paragraph" w:styleId="Title">
    <w:name w:val="Title"/>
    <w:basedOn w:val="Normal"/>
    <w:link w:val="TitleChar"/>
    <w:uiPriority w:val="10"/>
    <w:qFormat/>
    <w:rsid w:val="00F277AF"/>
    <w:pPr>
      <w:spacing w:after="240"/>
      <w:ind w:left="1134" w:right="1134"/>
      <w:jc w:val="center"/>
    </w:pPr>
    <w:rPr>
      <w:rFonts w:cs="Arial"/>
      <w:b/>
      <w:bCs/>
      <w:kern w:val="28"/>
      <w:sz w:val="48"/>
      <w:szCs w:val="48"/>
    </w:rPr>
  </w:style>
  <w:style w:type="paragraph" w:customStyle="1" w:styleId="PartHeading">
    <w:name w:val="Part Heading"/>
    <w:basedOn w:val="Normal"/>
    <w:next w:val="BodyText"/>
    <w:rsid w:val="008F7B5A"/>
    <w:pPr>
      <w:keepNext/>
      <w:numPr>
        <w:numId w:val="2"/>
      </w:numPr>
      <w:spacing w:before="240" w:after="120"/>
      <w:jc w:val="left"/>
    </w:pPr>
    <w:rPr>
      <w:b/>
      <w:kern w:val="28"/>
      <w:sz w:val="44"/>
    </w:rPr>
  </w:style>
  <w:style w:type="paragraph" w:styleId="TOC4">
    <w:name w:val="toc 4"/>
    <w:basedOn w:val="TOC3"/>
    <w:next w:val="Normal"/>
    <w:rsid w:val="002F1290"/>
    <w:pPr>
      <w:spacing w:before="60"/>
      <w:ind w:left="0" w:firstLine="0"/>
    </w:pPr>
    <w:rPr>
      <w:b/>
    </w:rPr>
  </w:style>
  <w:style w:type="character" w:customStyle="1" w:styleId="CommentTextChar">
    <w:name w:val="Comment Text Char"/>
    <w:basedOn w:val="DefaultParagraphFont"/>
    <w:link w:val="CommentText"/>
    <w:uiPriority w:val="99"/>
    <w:rsid w:val="001408B7"/>
    <w:rPr>
      <w:rFonts w:ascii="Garamond" w:hAnsi="Garamond"/>
      <w:lang w:eastAsia="en-NZ"/>
    </w:rPr>
  </w:style>
  <w:style w:type="character" w:customStyle="1" w:styleId="ListBulletChar">
    <w:name w:val="List Bullet Char"/>
    <w:aliases w:val="List Bullet Title Char,List Bullet Title Char Char Char Char1,List Bullet Title Char Char Char Char Char,List Bullet1 Char Char,List Bullet Char Char Char Char Char Char Char Char,List Bullet Char Char Char Char Char1,List Bullet2 Char"/>
    <w:basedOn w:val="DefaultParagraphFont"/>
    <w:link w:val="ListBullet"/>
    <w:locked/>
    <w:rsid w:val="001408B7"/>
    <w:rPr>
      <w:rFonts w:ascii="Garamond" w:hAnsi="Garamond"/>
      <w:sz w:val="24"/>
      <w:szCs w:val="24"/>
      <w:lang w:eastAsia="en-NZ"/>
    </w:rPr>
  </w:style>
  <w:style w:type="character" w:customStyle="1" w:styleId="TitleChar">
    <w:name w:val="Title Char"/>
    <w:basedOn w:val="DefaultParagraphFont"/>
    <w:link w:val="Title"/>
    <w:uiPriority w:val="10"/>
    <w:rsid w:val="001408B7"/>
    <w:rPr>
      <w:rFonts w:ascii="Garamond" w:hAnsi="Garamond" w:cs="Arial"/>
      <w:b/>
      <w:bCs/>
      <w:kern w:val="28"/>
      <w:sz w:val="48"/>
      <w:szCs w:val="48"/>
      <w:lang w:eastAsia="en-NZ"/>
    </w:rPr>
  </w:style>
  <w:style w:type="character" w:styleId="SubtleEmphasis">
    <w:name w:val="Subtle Emphasis"/>
    <w:basedOn w:val="DefaultParagraphFont"/>
    <w:uiPriority w:val="19"/>
    <w:qFormat/>
    <w:rsid w:val="001408B7"/>
    <w:rPr>
      <w:i/>
      <w:iCs/>
      <w:color w:val="808080" w:themeColor="text1" w:themeTint="7F"/>
    </w:rPr>
  </w:style>
  <w:style w:type="paragraph" w:styleId="ListParagraph">
    <w:name w:val="List Paragraph"/>
    <w:basedOn w:val="Normal"/>
    <w:uiPriority w:val="34"/>
    <w:qFormat/>
    <w:rsid w:val="001408B7"/>
    <w:pPr>
      <w:spacing w:after="200" w:line="276" w:lineRule="auto"/>
      <w:ind w:left="720"/>
      <w:contextualSpacing/>
      <w:jc w:val="left"/>
    </w:pPr>
    <w:rPr>
      <w:rFonts w:ascii="Times New Roman" w:eastAsia="Calibri" w:hAnsi="Times New Roman"/>
      <w:szCs w:val="22"/>
      <w:lang w:eastAsia="en-US"/>
    </w:rPr>
  </w:style>
  <w:style w:type="character" w:customStyle="1" w:styleId="BodyTextChar">
    <w:name w:val="Body Text Char"/>
    <w:aliases w:val="sub Char,Body Tex Char,Body Text Char Char Char Char,Body Text Char Char Char1,1body Char,BodText Char,bt Char,body text Char,Body Txt Char,heading3 Char,3 indent Char,heading31 Char,body text1 Char,3 indent1 Char,heading32 Char,b Char"/>
    <w:link w:val="BodyText"/>
    <w:rsid w:val="00DE20B8"/>
    <w:rPr>
      <w:rFonts w:ascii="Garamond" w:hAnsi="Garamond"/>
      <w:sz w:val="24"/>
      <w:szCs w:val="24"/>
      <w:lang w:eastAsia="en-NZ"/>
    </w:rPr>
  </w:style>
  <w:style w:type="character" w:customStyle="1" w:styleId="SubheadingChar">
    <w:name w:val="Subheading Char"/>
    <w:link w:val="Subheading"/>
    <w:locked/>
    <w:rsid w:val="00DE20B8"/>
    <w:rPr>
      <w:rFonts w:ascii="Garamond" w:hAnsi="Garamond"/>
      <w:b/>
      <w:kern w:val="28"/>
      <w:sz w:val="24"/>
      <w:szCs w:val="24"/>
      <w:lang w:eastAsia="en-NZ"/>
    </w:rPr>
  </w:style>
  <w:style w:type="character" w:customStyle="1" w:styleId="ListBullet2Char">
    <w:name w:val="List Bullet 2 Char"/>
    <w:aliases w:val="List Bullet 2 Char Char Char Char"/>
    <w:link w:val="ListBullet2"/>
    <w:rsid w:val="009741BC"/>
    <w:rPr>
      <w:rFonts w:ascii="Garamond" w:hAnsi="Garamond"/>
      <w:sz w:val="24"/>
      <w:szCs w:val="24"/>
      <w:lang w:eastAsia="en-NZ"/>
    </w:rPr>
  </w:style>
  <w:style w:type="character" w:styleId="PlaceholderText">
    <w:name w:val="Placeholder Text"/>
    <w:basedOn w:val="DefaultParagraphFont"/>
    <w:uiPriority w:val="99"/>
    <w:semiHidden/>
    <w:rsid w:val="007456A9"/>
    <w:rPr>
      <w:color w:val="808080"/>
    </w:rPr>
  </w:style>
  <w:style w:type="character" w:customStyle="1" w:styleId="FootnoteTextChar">
    <w:name w:val="Footnote Text Char"/>
    <w:aliases w:val="fn Char,FOOTNOTES Char,single space Char,ALTS FOOTNOTE Char,Footnote Text Char1 Char,Footnote Text Char Char Char,Note de bas de page Car Char,footnote text Char,Fodnotetekst Tegn Char1,Fodnotetekst Tegn Char Char,footnote Char,f Char"/>
    <w:link w:val="FootnoteText"/>
    <w:rsid w:val="00AE7C20"/>
    <w:rPr>
      <w:rFonts w:ascii="Garamond" w:hAnsi="Garamond"/>
      <w:sz w:val="18"/>
      <w:lang w:eastAsia="en-NZ"/>
    </w:rPr>
  </w:style>
  <w:style w:type="paragraph" w:customStyle="1" w:styleId="Paragraph">
    <w:name w:val="Paragraph"/>
    <w:aliases w:val="paragraph,p,PARAGRAPH,PG,pa,at"/>
    <w:basedOn w:val="BodyTextIndent"/>
    <w:link w:val="ParagraphChar"/>
    <w:qFormat/>
    <w:rsid w:val="004202A1"/>
    <w:pPr>
      <w:tabs>
        <w:tab w:val="num" w:pos="720"/>
      </w:tabs>
      <w:spacing w:before="120"/>
      <w:ind w:hanging="720"/>
      <w:outlineLvl w:val="1"/>
    </w:pPr>
    <w:rPr>
      <w:rFonts w:ascii="Times New Roman" w:eastAsia="Calibri" w:hAnsi="Times New Roman"/>
      <w:szCs w:val="22"/>
      <w:lang w:val="x-none" w:eastAsia="x-none"/>
    </w:rPr>
  </w:style>
  <w:style w:type="character" w:customStyle="1" w:styleId="ParagraphChar">
    <w:name w:val="Paragraph Char"/>
    <w:link w:val="Paragraph"/>
    <w:rsid w:val="004202A1"/>
    <w:rPr>
      <w:rFonts w:eastAsia="Calibri"/>
      <w:sz w:val="24"/>
      <w:szCs w:val="22"/>
      <w:lang w:val="x-none" w:eastAsia="x-none"/>
    </w:rPr>
  </w:style>
  <w:style w:type="paragraph" w:customStyle="1" w:styleId="AbbrDesc">
    <w:name w:val="AbbrDesc"/>
    <w:basedOn w:val="Normal"/>
    <w:rsid w:val="004202A1"/>
    <w:pPr>
      <w:tabs>
        <w:tab w:val="left" w:pos="3060"/>
      </w:tabs>
    </w:pPr>
    <w:rPr>
      <w:rFonts w:ascii="Times New Roman" w:eastAsia="MS Mincho" w:hAnsi="Times New Roman"/>
      <w:lang w:eastAsia="en-US"/>
    </w:rPr>
  </w:style>
  <w:style w:type="paragraph" w:styleId="BodyTextIndent">
    <w:name w:val="Body Text Indent"/>
    <w:basedOn w:val="Normal"/>
    <w:link w:val="BodyTextIndentChar"/>
    <w:rsid w:val="004202A1"/>
    <w:pPr>
      <w:spacing w:after="120"/>
      <w:ind w:left="360"/>
    </w:pPr>
  </w:style>
  <w:style w:type="character" w:customStyle="1" w:styleId="BodyTextIndentChar">
    <w:name w:val="Body Text Indent Char"/>
    <w:basedOn w:val="DefaultParagraphFont"/>
    <w:link w:val="BodyTextIndent"/>
    <w:rsid w:val="004202A1"/>
    <w:rPr>
      <w:rFonts w:ascii="Garamond" w:hAnsi="Garamond"/>
      <w:sz w:val="24"/>
      <w:szCs w:val="24"/>
      <w:lang w:eastAsia="en-NZ"/>
    </w:rPr>
  </w:style>
  <w:style w:type="character" w:customStyle="1" w:styleId="Heading4Char">
    <w:name w:val="Heading 4 Char"/>
    <w:aliases w:val="Heading 4.a Char"/>
    <w:basedOn w:val="DefaultParagraphFont"/>
    <w:link w:val="Heading4"/>
    <w:rsid w:val="0074369A"/>
    <w:rPr>
      <w:rFonts w:ascii="Garamond" w:hAnsi="Garamond" w:cs="Arial"/>
      <w:b/>
      <w:kern w:val="28"/>
      <w:sz w:val="36"/>
      <w:szCs w:val="36"/>
      <w:lang w:eastAsia="en-NZ"/>
    </w:rPr>
  </w:style>
  <w:style w:type="paragraph" w:customStyle="1" w:styleId="AutoNumpara">
    <w:name w:val="AutoNumpara"/>
    <w:basedOn w:val="BodyTextIndent"/>
    <w:uiPriority w:val="99"/>
    <w:rsid w:val="0074369A"/>
    <w:pPr>
      <w:tabs>
        <w:tab w:val="num" w:pos="720"/>
      </w:tabs>
      <w:spacing w:before="120"/>
      <w:ind w:left="720" w:hanging="720"/>
    </w:pPr>
    <w:rPr>
      <w:rFonts w:ascii="Times New Roman" w:hAnsi="Times New Roman"/>
      <w:noProof/>
      <w:spacing w:val="-2"/>
      <w:szCs w:val="20"/>
      <w:lang w:val="es-ES_tradnl" w:eastAsia="x-none"/>
    </w:rPr>
  </w:style>
  <w:style w:type="paragraph" w:customStyle="1" w:styleId="11Paragraph">
    <w:name w:val="1.1 Paragraph"/>
    <w:basedOn w:val="Normal"/>
    <w:qFormat/>
    <w:rsid w:val="005034D9"/>
    <w:pPr>
      <w:numPr>
        <w:ilvl w:val="1"/>
        <w:numId w:val="14"/>
      </w:numPr>
      <w:spacing w:before="120" w:after="120"/>
    </w:pPr>
    <w:rPr>
      <w:rFonts w:ascii="Times New Roman" w:eastAsia="MS Mincho" w:hAnsi="Times New Roman"/>
      <w:lang w:val="es-ES_tradnl" w:eastAsia="en-US"/>
    </w:rPr>
  </w:style>
  <w:style w:type="paragraph" w:customStyle="1" w:styleId="Default">
    <w:name w:val="Default"/>
    <w:rsid w:val="00ED10BE"/>
    <w:pPr>
      <w:autoSpaceDE w:val="0"/>
      <w:autoSpaceDN w:val="0"/>
      <w:adjustRightInd w:val="0"/>
    </w:pPr>
    <w:rPr>
      <w:color w:val="000000"/>
      <w:sz w:val="24"/>
      <w:szCs w:val="24"/>
    </w:rPr>
  </w:style>
  <w:style w:type="paragraph" w:styleId="Revision">
    <w:name w:val="Revision"/>
    <w:hidden/>
    <w:uiPriority w:val="99"/>
    <w:semiHidden/>
    <w:rsid w:val="003D4329"/>
    <w:rPr>
      <w:rFonts w:ascii="Garamond" w:hAnsi="Garamond"/>
      <w:sz w:val="24"/>
      <w:szCs w:val="24"/>
      <w:lang w:eastAsia="en-NZ"/>
    </w:rPr>
  </w:style>
  <w:style w:type="paragraph" w:customStyle="1" w:styleId="Newpage">
    <w:name w:val="Newpage"/>
    <w:basedOn w:val="Normal"/>
    <w:link w:val="NewpageChar"/>
    <w:rsid w:val="005F713E"/>
    <w:pPr>
      <w:keepNext/>
      <w:tabs>
        <w:tab w:val="left" w:pos="1440"/>
        <w:tab w:val="left" w:pos="3060"/>
      </w:tabs>
      <w:spacing w:before="240"/>
      <w:jc w:val="center"/>
    </w:pPr>
    <w:rPr>
      <w:rFonts w:ascii="Times New Roman" w:hAnsi="Times New Roman"/>
      <w:b/>
      <w:smallCaps/>
      <w:szCs w:val="20"/>
      <w:lang w:eastAsia="en-US"/>
    </w:rPr>
  </w:style>
  <w:style w:type="character" w:customStyle="1" w:styleId="NewpageChar">
    <w:name w:val="Newpage Char"/>
    <w:link w:val="Newpage"/>
    <w:rsid w:val="005F713E"/>
    <w:rPr>
      <w:b/>
      <w:smallCaps/>
      <w:sz w:val="24"/>
    </w:rPr>
  </w:style>
  <w:style w:type="character" w:customStyle="1" w:styleId="FooterChar">
    <w:name w:val="Footer Char"/>
    <w:basedOn w:val="DefaultParagraphFont"/>
    <w:link w:val="Footer"/>
    <w:uiPriority w:val="99"/>
    <w:rsid w:val="0057082B"/>
    <w:rPr>
      <w:rFonts w:ascii="Garamond" w:hAnsi="Garamond"/>
      <w:szCs w:val="24"/>
      <w:lang w:eastAsia="en-NZ"/>
    </w:rPr>
  </w:style>
  <w:style w:type="character" w:customStyle="1" w:styleId="TableTextChar">
    <w:name w:val="Table Text Char"/>
    <w:basedOn w:val="DefaultParagraphFont"/>
    <w:link w:val="TableText"/>
    <w:locked/>
    <w:rsid w:val="003E736F"/>
    <w:rPr>
      <w:rFonts w:ascii="Garamond" w:hAnsi="Garamond"/>
      <w:sz w:val="22"/>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356">
      <w:bodyDiv w:val="1"/>
      <w:marLeft w:val="0"/>
      <w:marRight w:val="0"/>
      <w:marTop w:val="0"/>
      <w:marBottom w:val="0"/>
      <w:divBdr>
        <w:top w:val="none" w:sz="0" w:space="0" w:color="auto"/>
        <w:left w:val="none" w:sz="0" w:space="0" w:color="auto"/>
        <w:bottom w:val="none" w:sz="0" w:space="0" w:color="auto"/>
        <w:right w:val="none" w:sz="0" w:space="0" w:color="auto"/>
      </w:divBdr>
    </w:div>
    <w:div w:id="65959409">
      <w:bodyDiv w:val="1"/>
      <w:marLeft w:val="0"/>
      <w:marRight w:val="0"/>
      <w:marTop w:val="0"/>
      <w:marBottom w:val="0"/>
      <w:divBdr>
        <w:top w:val="none" w:sz="0" w:space="0" w:color="auto"/>
        <w:left w:val="none" w:sz="0" w:space="0" w:color="auto"/>
        <w:bottom w:val="none" w:sz="0" w:space="0" w:color="auto"/>
        <w:right w:val="none" w:sz="0" w:space="0" w:color="auto"/>
      </w:divBdr>
    </w:div>
    <w:div w:id="189296695">
      <w:bodyDiv w:val="1"/>
      <w:marLeft w:val="0"/>
      <w:marRight w:val="0"/>
      <w:marTop w:val="0"/>
      <w:marBottom w:val="0"/>
      <w:divBdr>
        <w:top w:val="none" w:sz="0" w:space="0" w:color="auto"/>
        <w:left w:val="none" w:sz="0" w:space="0" w:color="auto"/>
        <w:bottom w:val="none" w:sz="0" w:space="0" w:color="auto"/>
        <w:right w:val="none" w:sz="0" w:space="0" w:color="auto"/>
      </w:divBdr>
    </w:div>
    <w:div w:id="504514684">
      <w:bodyDiv w:val="1"/>
      <w:marLeft w:val="0"/>
      <w:marRight w:val="0"/>
      <w:marTop w:val="0"/>
      <w:marBottom w:val="0"/>
      <w:divBdr>
        <w:top w:val="none" w:sz="0" w:space="0" w:color="auto"/>
        <w:left w:val="none" w:sz="0" w:space="0" w:color="auto"/>
        <w:bottom w:val="none" w:sz="0" w:space="0" w:color="auto"/>
        <w:right w:val="none" w:sz="0" w:space="0" w:color="auto"/>
      </w:divBdr>
    </w:div>
    <w:div w:id="604460413">
      <w:bodyDiv w:val="1"/>
      <w:marLeft w:val="0"/>
      <w:marRight w:val="0"/>
      <w:marTop w:val="0"/>
      <w:marBottom w:val="0"/>
      <w:divBdr>
        <w:top w:val="none" w:sz="0" w:space="0" w:color="auto"/>
        <w:left w:val="none" w:sz="0" w:space="0" w:color="auto"/>
        <w:bottom w:val="none" w:sz="0" w:space="0" w:color="auto"/>
        <w:right w:val="none" w:sz="0" w:space="0" w:color="auto"/>
      </w:divBdr>
    </w:div>
    <w:div w:id="719862807">
      <w:bodyDiv w:val="1"/>
      <w:marLeft w:val="0"/>
      <w:marRight w:val="0"/>
      <w:marTop w:val="0"/>
      <w:marBottom w:val="0"/>
      <w:divBdr>
        <w:top w:val="none" w:sz="0" w:space="0" w:color="auto"/>
        <w:left w:val="none" w:sz="0" w:space="0" w:color="auto"/>
        <w:bottom w:val="none" w:sz="0" w:space="0" w:color="auto"/>
        <w:right w:val="none" w:sz="0" w:space="0" w:color="auto"/>
      </w:divBdr>
    </w:div>
    <w:div w:id="890381331">
      <w:bodyDiv w:val="1"/>
      <w:marLeft w:val="0"/>
      <w:marRight w:val="0"/>
      <w:marTop w:val="0"/>
      <w:marBottom w:val="0"/>
      <w:divBdr>
        <w:top w:val="none" w:sz="0" w:space="0" w:color="auto"/>
        <w:left w:val="none" w:sz="0" w:space="0" w:color="auto"/>
        <w:bottom w:val="none" w:sz="0" w:space="0" w:color="auto"/>
        <w:right w:val="none" w:sz="0" w:space="0" w:color="auto"/>
      </w:divBdr>
    </w:div>
    <w:div w:id="960649331">
      <w:bodyDiv w:val="1"/>
      <w:marLeft w:val="0"/>
      <w:marRight w:val="0"/>
      <w:marTop w:val="0"/>
      <w:marBottom w:val="0"/>
      <w:divBdr>
        <w:top w:val="none" w:sz="0" w:space="0" w:color="auto"/>
        <w:left w:val="none" w:sz="0" w:space="0" w:color="auto"/>
        <w:bottom w:val="none" w:sz="0" w:space="0" w:color="auto"/>
        <w:right w:val="none" w:sz="0" w:space="0" w:color="auto"/>
      </w:divBdr>
    </w:div>
    <w:div w:id="1033925563">
      <w:bodyDiv w:val="1"/>
      <w:marLeft w:val="0"/>
      <w:marRight w:val="0"/>
      <w:marTop w:val="0"/>
      <w:marBottom w:val="0"/>
      <w:divBdr>
        <w:top w:val="none" w:sz="0" w:space="0" w:color="auto"/>
        <w:left w:val="none" w:sz="0" w:space="0" w:color="auto"/>
        <w:bottom w:val="none" w:sz="0" w:space="0" w:color="auto"/>
        <w:right w:val="none" w:sz="0" w:space="0" w:color="auto"/>
      </w:divBdr>
    </w:div>
    <w:div w:id="1128626075">
      <w:bodyDiv w:val="1"/>
      <w:marLeft w:val="0"/>
      <w:marRight w:val="0"/>
      <w:marTop w:val="0"/>
      <w:marBottom w:val="0"/>
      <w:divBdr>
        <w:top w:val="none" w:sz="0" w:space="0" w:color="auto"/>
        <w:left w:val="none" w:sz="0" w:space="0" w:color="auto"/>
        <w:bottom w:val="none" w:sz="0" w:space="0" w:color="auto"/>
        <w:right w:val="none" w:sz="0" w:space="0" w:color="auto"/>
      </w:divBdr>
    </w:div>
    <w:div w:id="1165587698">
      <w:bodyDiv w:val="1"/>
      <w:marLeft w:val="0"/>
      <w:marRight w:val="0"/>
      <w:marTop w:val="0"/>
      <w:marBottom w:val="0"/>
      <w:divBdr>
        <w:top w:val="none" w:sz="0" w:space="0" w:color="auto"/>
        <w:left w:val="none" w:sz="0" w:space="0" w:color="auto"/>
        <w:bottom w:val="none" w:sz="0" w:space="0" w:color="auto"/>
        <w:right w:val="none" w:sz="0" w:space="0" w:color="auto"/>
      </w:divBdr>
    </w:div>
    <w:div w:id="1558782996">
      <w:bodyDiv w:val="1"/>
      <w:marLeft w:val="0"/>
      <w:marRight w:val="0"/>
      <w:marTop w:val="0"/>
      <w:marBottom w:val="0"/>
      <w:divBdr>
        <w:top w:val="none" w:sz="0" w:space="0" w:color="auto"/>
        <w:left w:val="none" w:sz="0" w:space="0" w:color="auto"/>
        <w:bottom w:val="none" w:sz="0" w:space="0" w:color="auto"/>
        <w:right w:val="none" w:sz="0" w:space="0" w:color="auto"/>
      </w:divBdr>
    </w:div>
    <w:div w:id="1749225506">
      <w:bodyDiv w:val="1"/>
      <w:marLeft w:val="0"/>
      <w:marRight w:val="0"/>
      <w:marTop w:val="0"/>
      <w:marBottom w:val="0"/>
      <w:divBdr>
        <w:top w:val="none" w:sz="0" w:space="0" w:color="auto"/>
        <w:left w:val="none" w:sz="0" w:space="0" w:color="auto"/>
        <w:bottom w:val="none" w:sz="0" w:space="0" w:color="auto"/>
        <w:right w:val="none" w:sz="0" w:space="0" w:color="auto"/>
      </w:divBdr>
    </w:div>
    <w:div w:id="20461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idbdocs.iadb.org/wsdocs/getDocument.aspx?DOCNUM=3968342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dbdocs.iadb.org/wsdocs/getDocument.aspx?DOCNUM=396834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1.eere.energy.gov/geothermal/faqs.html" TargetMode="External"/><Relationship Id="rId2" Type="http://schemas.openxmlformats.org/officeDocument/2006/relationships/hyperlink" Target="http://www.eia.gov/tools/faqs/faq.cfm?id=74&amp;t=11" TargetMode="External"/><Relationship Id="rId1" Type="http://schemas.openxmlformats.org/officeDocument/2006/relationships/hyperlink" Target="https://www1.eere.energy.gov/buildings/appliance_standards/commercial/pdfs/ch_9_ashrae_nopr_tsd.pdf" TargetMode="External"/><Relationship Id="rId5" Type="http://schemas.openxmlformats.org/officeDocument/2006/relationships/hyperlink" Target="https://www.lucelec.com/content/energy-rates" TargetMode="External"/><Relationship Id="rId4" Type="http://schemas.openxmlformats.org/officeDocument/2006/relationships/hyperlink" Target="http://www.domlec.dm/index.php/our-company/news/24-domlec-tariff-she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Castalia%20report%20US\Castalia%20Large%20Reports%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97539AEBFB7E6F4387C0787516276B97"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ez-Operations" ma:contentTypeID="0x01010097539AEBFB7E6F4387C0787516276B9700386E809BC9482A4CAD994A310A296884" ma:contentTypeVersion="0" ma:contentTypeDescription="The base project type from which other project content types inherit their information" ma:contentTypeScope="" ma:versionID="297998dba027f80f2393c6b5237cd851">
  <xsd:schema xmlns:xsd="http://www.w3.org/2001/XMLSchema" xmlns:xs="http://www.w3.org/2001/XMLSchema" xmlns:p="http://schemas.microsoft.com/office/2006/metadata/properties" xmlns:ns2="9c571b2f-e523-4ab2-ba2e-09e151a03ef4" targetNamespace="http://schemas.microsoft.com/office/2006/metadata/properties" ma:root="true" ma:fieldsID="d60754491d7ec2d3e7ed597c575fab90"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o5138a91267540169645e33d09c9ddc6" minOccurs="0"/>
                <xsd:element ref="ns2:TaxCatchAll" minOccurs="0"/>
                <xsd:element ref="ns2:TaxCatchAllLabel" minOccurs="0"/>
                <xsd:element ref="ns2:Project_x0020_Number" minOccurs="0"/>
                <xsd:element ref="ns2:Access_x0020_to_x0020_Information_x00a0_Policy"/>
                <xsd:element ref="ns2:Document_x0020_Author" minOccurs="0"/>
                <xsd:element ref="ns2:Other_x0020_Author" minOccurs="0"/>
                <xsd:element ref="ns2:Approval_x0020_Number" minOccurs="0"/>
                <xsd:element ref="ns2:m555d3814edf4817b4410a4e57f94ce9" minOccurs="0"/>
                <xsd:element ref="ns2:Division_x0020_or_x0020_Unit" minOccurs="0"/>
                <xsd:element ref="ns2:Document_x0020_Language_x0020_IDB" minOccurs="0"/>
                <xsd:element ref="ns2:From_x003a_" minOccurs="0"/>
                <xsd:element ref="ns2:To_x003a_" minOccurs="0"/>
                <xsd:element ref="ns2:Identifier" minOccurs="0"/>
                <xsd:element ref="ns2:j8b96605ee2f4c4e988849e658583fee" minOccurs="0"/>
                <xsd:element ref="ns2:e559ffcc31d34167856647188be35015" minOccurs="0"/>
                <xsd:element ref="ns2:c456731dbc904a5fb605ec556c33e883"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fd0e48b6a66848a9885f717e5bbf40c4" minOccurs="0"/>
                <xsd:element ref="ns2:SISCOR_x0020_Number" minOccurs="0"/>
                <xsd:element ref="ns2:IDBDocs_x0020_Number" minOccurs="0"/>
                <xsd:element ref="ns2:Migration_x0020_Info"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5138a91267540169645e33d09c9ddc6" ma:index="11" nillable="true" ma:taxonomy="true" ma:internalName="o5138a91267540169645e33d09c9ddc6" ma:taxonomyFieldName="Series_x0020_Operations_x0020_IDB" ma:displayName="Series Operations IDB"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a41de92-6688-4701-a290-64badce44de5}" ma:internalName="TaxCatchAll" ma:showField="CatchAllData"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a41de92-6688-4701-a290-64badce44de5}" ma:internalName="TaxCatchAllLabel" ma:readOnly="true" ma:showField="CatchAllDataLabel"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Project_x0020_Number" ma:index="15" nillable="true"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description="Entered by the user or default value pulled from project number" ma:internalName="Approval_x0020_Number">
      <xsd:simpleType>
        <xsd:restriction base="dms:Text">
          <xsd:maxLength value="255"/>
        </xsd:restriction>
      </xsd:simpleType>
    </xsd:element>
    <xsd:element name="m555d3814edf4817b4410a4e57f94ce9" ma:index="20"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internalName="From_x003A_">
      <xsd:simpleType>
        <xsd:restriction base="dms:Text">
          <xsd:maxLength value="255"/>
        </xsd:restriction>
      </xsd:simpleType>
    </xsd:element>
    <xsd:element name="To_x003a_" ma:index="25" nillable="true" ma:displayName="To:"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j8b96605ee2f4c4e988849e658583fee" ma:index="27"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e559ffcc31d34167856647188be35015" ma:index="29"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31"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Phase" ma:index="33" nillable="true" ma:displayName="Phase" ma:internalName="Phase">
      <xsd:simpleType>
        <xsd:restriction base="dms:Text">
          <xsd:maxLength value="255"/>
        </xsd:restriction>
      </xsd:simpleType>
    </xsd:element>
    <xsd:element name="Key_x0020_Document" ma:index="34" nillable="true" ma:displayName="Key Document" ma:default="0" ma:internalName="Key_x0020_Document">
      <xsd:simpleType>
        <xsd:restriction base="dms:Boolean"/>
      </xsd:simpleType>
    </xsd:element>
    <xsd:element name="Business_x0020_Area" ma:index="35" nillable="true" ma:displayName="Business Area" ma:internalName="Business_x0020_Area">
      <xsd:simpleType>
        <xsd:restriction base="dms:Text">
          <xsd:maxLength value="255"/>
        </xsd:restriction>
      </xsd:simpleType>
    </xsd:element>
    <xsd:element name="Project_x0020_Document_x0020_Type" ma:index="36" nillable="true" ma:displayName="Project Document Type" ma:internalName="Project_x0020_Document_x0020_Type">
      <xsd:simpleType>
        <xsd:restriction base="dms:Text">
          <xsd:maxLength value="255"/>
        </xsd:restriction>
      </xsd:simpleType>
    </xsd:element>
    <xsd:element name="Operation_x0020_Type" ma:index="37" nillable="true" ma:displayName="Operation Type" ma:internalName="Operation_x0020_Type">
      <xsd:simpleType>
        <xsd:restriction base="dms:Text">
          <xsd:maxLength value="255"/>
        </xsd:restriction>
      </xsd:simpleType>
    </xsd:element>
    <xsd:element name="Package_x0020_Code" ma:index="38" nillable="true" ma:displayName="Package Code" ma:internalName="Package_x0020_Code">
      <xsd:simpleType>
        <xsd:restriction base="dms:Text">
          <xsd:maxLength value="255"/>
        </xsd:restriction>
      </xsd:simpleType>
    </xsd:element>
    <xsd:element name="fd0e48b6a66848a9885f717e5bbf40c4" ma:index="39"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SISCOR_x0020_Number" ma:index="41" nillable="true" ma:displayName="SISCOR Number" ma:internalName="SISCOR_x0020_Number">
      <xsd:simpleType>
        <xsd:restriction base="dms:Text">
          <xsd:maxLength value="255"/>
        </xsd:restriction>
      </xsd:simpleType>
    </xsd:element>
    <xsd:element name="IDBDocs_x0020_Number" ma:index="42" nillable="true" ma:displayName="IDBDocs Number" ma:description="Brought over as part of Migration" ma:internalName="IDBDocs_x0020_Number">
      <xsd:simpleType>
        <xsd:restriction base="dms:Text">
          <xsd:maxLength value="255"/>
        </xsd:restriction>
      </xsd:simpleType>
    </xsd:element>
    <xsd:element name="Migration_x0020_Info" ma:index="43" nillable="true" ma:displayName="Migration Info" ma:internalName="Migration_x0020_Info">
      <xsd:simpleType>
        <xsd:restriction base="dms:Note"/>
      </xsd:simpleType>
    </xsd:element>
    <xsd:element name="Fiscal_x0020_Year_x0020_IDB" ma:index="44"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39683427</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INE/ENE</Division_x0020_or_x0020_Unit>
    <From_x003a_ xmlns="9c571b2f-e523-4ab2-ba2e-09e151a03ef4" xsi:nil="true"/>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Gischler Blanco, Christiaan</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To_x003a_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RG-L1071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Proposal&lt;/USER_STAGE&gt;&lt;PD_OBJ_TYPE&gt;0&lt;/PD_OBJ_TYPE&gt;&lt;MAKERECORD&gt;Y&lt;/MAKERECORD&gt;&lt;/Data&gt;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ocumentManagement>
</p:properties>
</file>

<file path=customXml/itemProps1.xml><?xml version="1.0" encoding="utf-8"?>
<ds:datastoreItem xmlns:ds="http://schemas.openxmlformats.org/officeDocument/2006/customXml" ds:itemID="{F2033A72-EF7A-407A-9774-F39F4AFE4D95}"/>
</file>

<file path=customXml/itemProps2.xml><?xml version="1.0" encoding="utf-8"?>
<ds:datastoreItem xmlns:ds="http://schemas.openxmlformats.org/officeDocument/2006/customXml" ds:itemID="{74CF017C-0A77-4CB9-A388-F8E06A703B2F}"/>
</file>

<file path=customXml/itemProps3.xml><?xml version="1.0" encoding="utf-8"?>
<ds:datastoreItem xmlns:ds="http://schemas.openxmlformats.org/officeDocument/2006/customXml" ds:itemID="{58AB0E3D-17C2-470C-B393-A3EB8444D715}"/>
</file>

<file path=customXml/itemProps4.xml><?xml version="1.0" encoding="utf-8"?>
<ds:datastoreItem xmlns:ds="http://schemas.openxmlformats.org/officeDocument/2006/customXml" ds:itemID="{17AFB7C2-47B7-4970-A1F4-46761118D862}"/>
</file>

<file path=customXml/itemProps5.xml><?xml version="1.0" encoding="utf-8"?>
<ds:datastoreItem xmlns:ds="http://schemas.openxmlformats.org/officeDocument/2006/customXml" ds:itemID="{9B5C8CA9-64A8-4A47-B46B-EF9C8DF9BF84}"/>
</file>

<file path=customXml/itemProps6.xml><?xml version="1.0" encoding="utf-8"?>
<ds:datastoreItem xmlns:ds="http://schemas.openxmlformats.org/officeDocument/2006/customXml" ds:itemID="{9F8C7D07-BC26-496B-958E-96F32EE52A59}"/>
</file>

<file path=docProps/app.xml><?xml version="1.0" encoding="utf-8"?>
<Properties xmlns="http://schemas.openxmlformats.org/officeDocument/2006/extended-properties" xmlns:vt="http://schemas.openxmlformats.org/officeDocument/2006/docPropsVTypes">
  <Template>Castalia Large Reports US.dotm</Template>
  <TotalTime>624</TotalTime>
  <Pages>34</Pages>
  <Words>9312</Words>
  <Characters>53084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62272</CharactersWithSpaces>
  <SharedDoc>false</SharedDoc>
  <HLinks>
    <vt:vector size="12" baseType="variant">
      <vt:variant>
        <vt:i4>1310777</vt:i4>
      </vt:variant>
      <vt:variant>
        <vt:i4>19</vt:i4>
      </vt:variant>
      <vt:variant>
        <vt:i4>0</vt:i4>
      </vt:variant>
      <vt:variant>
        <vt:i4>5</vt:i4>
      </vt:variant>
      <vt:variant>
        <vt:lpwstr/>
      </vt:variant>
      <vt:variant>
        <vt:lpwstr>_Toc250731801</vt:lpwstr>
      </vt:variant>
      <vt:variant>
        <vt:i4>1310777</vt:i4>
      </vt:variant>
      <vt:variant>
        <vt:i4>10</vt:i4>
      </vt:variant>
      <vt:variant>
        <vt:i4>0</vt:i4>
      </vt:variant>
      <vt:variant>
        <vt:i4>5</vt:i4>
      </vt:variant>
      <vt:variant>
        <vt:lpwstr/>
      </vt:variant>
      <vt:variant>
        <vt:lpwstr>_Toc250731800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E-Link M_E Arrangements</dc:title>
  <dc:creator>Scarlett Santana</dc:creator>
  <dc:description>Release date:  13 July 2010</dc:description>
  <cp:lastModifiedBy>IADB</cp:lastModifiedBy>
  <cp:revision>108</cp:revision>
  <cp:lastPrinted>2015-07-01T18:34:00Z</cp:lastPrinted>
  <dcterms:created xsi:type="dcterms:W3CDTF">2015-07-08T16:56:00Z</dcterms:created>
  <dcterms:modified xsi:type="dcterms:W3CDTF">2015-10-01T14:04:00Z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0x01010097539AEBFB7E6F4387C0787516276B9700386E809BC9482A4CAD994A310A296884</vt:lpwstr>
  </property>
  <property fmtid="{D5CDD505-2E9C-101B-9397-08002B2CF9AE}" pid="3" name="TaxKeyword">
    <vt:lpwstr/>
  </property>
  <property fmtid="{D5CDD505-2E9C-101B-9397-08002B2CF9AE}" pid="4" name="Disclosure Activity">
    <vt:lpwstr>Loan Proposal</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6;#Unclassified|a6dff32e-d477-44cd-a56b-85efe9e0a56c</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6;#Unclassified|a6dff32e-d477-44cd-a56b-85efe9e0a56c</vt:lpwstr>
  </property>
  <property fmtid="{D5CDD505-2E9C-101B-9397-08002B2CF9AE}" pid="12" name="Webtopic">
    <vt:lpwstr>EN-ALT</vt:lpwstr>
  </property>
  <property fmtid="{D5CDD505-2E9C-101B-9397-08002B2CF9AE}" pid="13" name="Sector IDB">
    <vt:lpwstr/>
  </property>
  <property fmtid="{D5CDD505-2E9C-101B-9397-08002B2CF9AE}" pid="14" name="Function Operations IDB">
    <vt:lpwstr>7;#IDBDocs|cca77002-e150-4b2d-ab1f-1d7a7cdcae16</vt:lpwstr>
  </property>
</Properties>
</file>