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1" w:rsidRPr="000C493C" w:rsidRDefault="00CF5271" w:rsidP="007E6104">
      <w:pPr>
        <w:pStyle w:val="Title"/>
        <w:tabs>
          <w:tab w:val="clear" w:pos="1440"/>
          <w:tab w:val="clear" w:pos="3060"/>
        </w:tabs>
        <w:ind w:left="567" w:hanging="567"/>
        <w:outlineLvl w:val="9"/>
        <w:rPr>
          <w:rFonts w:ascii="Arial" w:hAnsi="Arial" w:cs="Arial"/>
          <w:smallCaps/>
          <w:sz w:val="22"/>
          <w:szCs w:val="22"/>
          <w:lang w:val="es-ES"/>
        </w:rPr>
      </w:pPr>
      <w:r w:rsidRPr="000C493C">
        <w:rPr>
          <w:rFonts w:ascii="Arial" w:hAnsi="Arial" w:cs="Arial"/>
          <w:smallCaps/>
          <w:sz w:val="22"/>
          <w:szCs w:val="22"/>
          <w:lang w:val="es-ES"/>
        </w:rPr>
        <w:t>Document</w:t>
      </w:r>
      <w:r w:rsidR="007A1860" w:rsidRPr="000C493C">
        <w:rPr>
          <w:rFonts w:ascii="Arial" w:hAnsi="Arial" w:cs="Arial"/>
          <w:smallCaps/>
          <w:sz w:val="22"/>
          <w:szCs w:val="22"/>
          <w:lang w:val="es-ES"/>
        </w:rPr>
        <w:t>o del Banco Interameric</w:t>
      </w:r>
      <w:r w:rsidR="0002382F" w:rsidRPr="000C493C">
        <w:rPr>
          <w:rFonts w:ascii="Arial" w:hAnsi="Arial" w:cs="Arial"/>
          <w:smallCaps/>
          <w:sz w:val="22"/>
          <w:szCs w:val="22"/>
          <w:lang w:val="es-ES"/>
        </w:rPr>
        <w:t>a</w:t>
      </w:r>
      <w:r w:rsidR="007D03A1" w:rsidRPr="000C493C">
        <w:rPr>
          <w:rFonts w:ascii="Arial" w:hAnsi="Arial" w:cs="Arial"/>
          <w:smallCaps/>
          <w:sz w:val="22"/>
          <w:szCs w:val="22"/>
          <w:lang w:val="es-ES"/>
        </w:rPr>
        <w:t>n</w:t>
      </w:r>
      <w:r w:rsidR="0002382F" w:rsidRPr="000C493C">
        <w:rPr>
          <w:rFonts w:ascii="Arial" w:hAnsi="Arial" w:cs="Arial"/>
          <w:smallCaps/>
          <w:sz w:val="22"/>
          <w:szCs w:val="22"/>
          <w:lang w:val="es-ES"/>
        </w:rPr>
        <w:t>o</w:t>
      </w:r>
      <w:r w:rsidR="007A1860" w:rsidRPr="000C493C">
        <w:rPr>
          <w:rFonts w:ascii="Arial" w:hAnsi="Arial" w:cs="Arial"/>
          <w:smallCaps/>
          <w:sz w:val="22"/>
          <w:szCs w:val="22"/>
          <w:lang w:val="es-ES"/>
        </w:rPr>
        <w:t xml:space="preserve"> de Desarrollo</w:t>
      </w:r>
    </w:p>
    <w:p w:rsidR="00B84211" w:rsidRPr="000C493C" w:rsidRDefault="00B84211" w:rsidP="007E6104">
      <w:pPr>
        <w:pStyle w:val="ListParagraph"/>
        <w:spacing w:before="120" w:after="0" w:line="360" w:lineRule="auto"/>
        <w:ind w:left="567" w:hanging="567"/>
        <w:jc w:val="center"/>
        <w:rPr>
          <w:rFonts w:ascii="Arial" w:hAnsi="Arial" w:cs="Arial"/>
          <w:b/>
          <w:lang w:val="es-ES"/>
        </w:rPr>
      </w:pPr>
    </w:p>
    <w:p w:rsidR="00B84211" w:rsidRPr="000C493C" w:rsidRDefault="00B84211" w:rsidP="007E6104">
      <w:pPr>
        <w:tabs>
          <w:tab w:val="left" w:pos="1440"/>
          <w:tab w:val="left" w:pos="3060"/>
        </w:tabs>
        <w:ind w:left="567" w:hanging="567"/>
        <w:jc w:val="center"/>
        <w:rPr>
          <w:rFonts w:ascii="Arial" w:hAnsi="Arial" w:cs="Arial"/>
          <w:b/>
          <w:smallCaps/>
          <w:lang w:val="es-ES"/>
        </w:rPr>
      </w:pPr>
    </w:p>
    <w:p w:rsidR="00B84211" w:rsidRPr="000C493C" w:rsidRDefault="00B84211"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B84211" w:rsidRPr="000C493C" w:rsidRDefault="007A1860" w:rsidP="007E6104">
      <w:pPr>
        <w:tabs>
          <w:tab w:val="left" w:pos="1440"/>
          <w:tab w:val="left" w:pos="3060"/>
        </w:tabs>
        <w:ind w:left="567" w:hanging="567"/>
        <w:jc w:val="center"/>
        <w:rPr>
          <w:rFonts w:ascii="Arial" w:hAnsi="Arial" w:cs="Arial"/>
          <w:b/>
          <w:smallCaps/>
          <w:lang w:val="es-ES"/>
        </w:rPr>
      </w:pPr>
      <w:r w:rsidRPr="000C493C">
        <w:rPr>
          <w:rFonts w:ascii="Arial" w:hAnsi="Arial" w:cs="Arial"/>
          <w:b/>
          <w:smallCaps/>
          <w:lang w:val="es-ES"/>
        </w:rPr>
        <w:t>República</w:t>
      </w:r>
      <w:r w:rsidR="00A0259C" w:rsidRPr="000C493C">
        <w:rPr>
          <w:rFonts w:ascii="Arial" w:hAnsi="Arial" w:cs="Arial"/>
          <w:b/>
          <w:smallCaps/>
          <w:lang w:val="es-ES"/>
        </w:rPr>
        <w:t xml:space="preserve"> </w:t>
      </w:r>
      <w:r w:rsidR="009419B9" w:rsidRPr="000C493C">
        <w:rPr>
          <w:rFonts w:ascii="Arial" w:hAnsi="Arial" w:cs="Arial"/>
          <w:b/>
          <w:smallCaps/>
          <w:lang w:val="es-ES"/>
        </w:rPr>
        <w:t>De Colombia</w:t>
      </w:r>
      <w:r w:rsidRPr="000C493C">
        <w:rPr>
          <w:rFonts w:ascii="Arial" w:hAnsi="Arial" w:cs="Arial"/>
          <w:b/>
          <w:smallCaps/>
          <w:lang w:val="es-ES"/>
        </w:rPr>
        <w:t xml:space="preserve"> </w:t>
      </w:r>
    </w:p>
    <w:p w:rsidR="00B84211" w:rsidRPr="000C493C" w:rsidRDefault="00B84211"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1C689D" w:rsidRPr="000C493C" w:rsidRDefault="001C689D" w:rsidP="007E6104">
      <w:pPr>
        <w:tabs>
          <w:tab w:val="left" w:pos="1440"/>
          <w:tab w:val="left" w:pos="3060"/>
        </w:tabs>
        <w:ind w:left="567" w:hanging="567"/>
        <w:jc w:val="center"/>
        <w:rPr>
          <w:rFonts w:ascii="Arial" w:hAnsi="Arial" w:cs="Arial"/>
          <w:b/>
          <w:smallCaps/>
          <w:lang w:val="es-ES"/>
        </w:rPr>
      </w:pPr>
    </w:p>
    <w:p w:rsidR="00B84211" w:rsidRPr="000C493C" w:rsidRDefault="00B84211" w:rsidP="007E6104">
      <w:pPr>
        <w:tabs>
          <w:tab w:val="left" w:pos="1440"/>
          <w:tab w:val="left" w:pos="3060"/>
        </w:tabs>
        <w:ind w:left="567" w:hanging="567"/>
        <w:jc w:val="center"/>
        <w:rPr>
          <w:rFonts w:ascii="Arial" w:hAnsi="Arial" w:cs="Arial"/>
          <w:b/>
          <w:smallCaps/>
          <w:lang w:val="es-ES"/>
        </w:rPr>
      </w:pPr>
    </w:p>
    <w:p w:rsidR="009419B9" w:rsidRPr="000C493C" w:rsidRDefault="009419B9" w:rsidP="009419B9">
      <w:pPr>
        <w:pStyle w:val="Newpage"/>
        <w:ind w:left="567" w:hanging="567"/>
        <w:rPr>
          <w:rFonts w:ascii="Arial" w:hAnsi="Arial"/>
          <w:bCs/>
          <w:sz w:val="22"/>
          <w:szCs w:val="22"/>
          <w:lang w:val="es-ES"/>
        </w:rPr>
      </w:pPr>
      <w:bookmarkStart w:id="0" w:name="Book01"/>
      <w:r w:rsidRPr="000C493C">
        <w:rPr>
          <w:rFonts w:ascii="Arial" w:hAnsi="Arial"/>
          <w:bCs/>
          <w:sz w:val="22"/>
          <w:szCs w:val="22"/>
          <w:lang w:val="es-ES"/>
        </w:rPr>
        <w:t xml:space="preserve">Programa de Fortalecimiento Institucional de la Contraloría General de la República </w:t>
      </w:r>
      <w:bookmarkEnd w:id="0"/>
    </w:p>
    <w:p w:rsidR="009419B9" w:rsidRPr="000C493C" w:rsidRDefault="009419B9" w:rsidP="009419B9">
      <w:pPr>
        <w:pStyle w:val="Newpage"/>
        <w:ind w:left="567" w:hanging="567"/>
        <w:rPr>
          <w:rFonts w:ascii="Arial" w:hAnsi="Arial"/>
          <w:bCs/>
          <w:sz w:val="22"/>
          <w:szCs w:val="22"/>
          <w:lang w:val="es-ES"/>
        </w:rPr>
      </w:pPr>
    </w:p>
    <w:p w:rsidR="0043368E" w:rsidRPr="000C493C" w:rsidRDefault="009419B9" w:rsidP="009419B9">
      <w:pPr>
        <w:pStyle w:val="Newpage"/>
        <w:ind w:left="567" w:hanging="567"/>
        <w:rPr>
          <w:rFonts w:ascii="Arial" w:hAnsi="Arial"/>
          <w:bCs/>
          <w:sz w:val="22"/>
          <w:szCs w:val="22"/>
          <w:lang w:val="es-ES"/>
        </w:rPr>
      </w:pPr>
      <w:r w:rsidRPr="000C493C">
        <w:rPr>
          <w:rFonts w:ascii="Arial" w:hAnsi="Arial"/>
          <w:bCs/>
          <w:sz w:val="22"/>
          <w:szCs w:val="22"/>
          <w:lang w:val="es-ES"/>
        </w:rPr>
        <w:t xml:space="preserve"> </w:t>
      </w:r>
      <w:r w:rsidR="00392EF8" w:rsidRPr="000C493C">
        <w:rPr>
          <w:rFonts w:ascii="Arial" w:hAnsi="Arial"/>
          <w:bCs/>
          <w:sz w:val="22"/>
          <w:szCs w:val="22"/>
          <w:lang w:val="es-ES"/>
        </w:rPr>
        <w:t>(</w:t>
      </w:r>
      <w:r w:rsidRPr="000C493C">
        <w:rPr>
          <w:rFonts w:ascii="Arial" w:hAnsi="Arial"/>
          <w:bCs/>
          <w:sz w:val="22"/>
          <w:szCs w:val="22"/>
          <w:lang w:val="es-ES"/>
        </w:rPr>
        <w:t>CO-L1154</w:t>
      </w:r>
      <w:r w:rsidR="00392EF8" w:rsidRPr="000C493C">
        <w:rPr>
          <w:rFonts w:ascii="Arial" w:hAnsi="Arial"/>
          <w:bCs/>
          <w:sz w:val="22"/>
          <w:szCs w:val="22"/>
          <w:lang w:val="es-ES"/>
        </w:rPr>
        <w:t xml:space="preserve">) </w:t>
      </w:r>
      <w:r w:rsidR="002F607A" w:rsidRPr="000C493C">
        <w:rPr>
          <w:rFonts w:ascii="Arial" w:hAnsi="Arial"/>
          <w:bCs/>
          <w:sz w:val="22"/>
          <w:szCs w:val="22"/>
          <w:lang w:val="es-ES"/>
        </w:rPr>
        <w:t xml:space="preserve">  </w:t>
      </w:r>
    </w:p>
    <w:p w:rsidR="00B84211" w:rsidRPr="000C493C" w:rsidRDefault="00B84211" w:rsidP="007E6104">
      <w:pPr>
        <w:pStyle w:val="Newpage"/>
        <w:ind w:left="567" w:hanging="567"/>
        <w:rPr>
          <w:rFonts w:ascii="Arial" w:hAnsi="Arial"/>
          <w:b w:val="0"/>
          <w:caps/>
          <w:smallCaps w:val="0"/>
          <w:sz w:val="22"/>
          <w:szCs w:val="22"/>
          <w:lang w:val="es-ES"/>
        </w:rPr>
      </w:pPr>
    </w:p>
    <w:p w:rsidR="001C689D" w:rsidRPr="000C493C" w:rsidRDefault="001C689D" w:rsidP="007E6104">
      <w:pPr>
        <w:pStyle w:val="Newpage"/>
        <w:ind w:left="567" w:hanging="567"/>
        <w:rPr>
          <w:rFonts w:ascii="Arial" w:hAnsi="Arial"/>
          <w:b w:val="0"/>
          <w:caps/>
          <w:smallCaps w:val="0"/>
          <w:sz w:val="22"/>
          <w:szCs w:val="22"/>
          <w:lang w:val="es-ES"/>
        </w:rPr>
      </w:pPr>
    </w:p>
    <w:p w:rsidR="001C689D" w:rsidRPr="000C493C" w:rsidRDefault="001C689D" w:rsidP="007E6104">
      <w:pPr>
        <w:pStyle w:val="Newpage"/>
        <w:ind w:left="567" w:hanging="567"/>
        <w:rPr>
          <w:rFonts w:ascii="Arial" w:hAnsi="Arial"/>
          <w:b w:val="0"/>
          <w:caps/>
          <w:smallCaps w:val="0"/>
          <w:sz w:val="22"/>
          <w:szCs w:val="22"/>
          <w:lang w:val="es-ES"/>
        </w:rPr>
      </w:pPr>
    </w:p>
    <w:p w:rsidR="001C689D" w:rsidRPr="000C493C" w:rsidRDefault="001C689D" w:rsidP="007E6104">
      <w:pPr>
        <w:pStyle w:val="Newpage"/>
        <w:ind w:left="567" w:hanging="567"/>
        <w:rPr>
          <w:rFonts w:ascii="Arial" w:hAnsi="Arial"/>
          <w:b w:val="0"/>
          <w:caps/>
          <w:smallCaps w:val="0"/>
          <w:sz w:val="22"/>
          <w:szCs w:val="22"/>
          <w:lang w:val="es-ES"/>
        </w:rPr>
      </w:pPr>
    </w:p>
    <w:p w:rsidR="00B84211" w:rsidRPr="000C493C" w:rsidRDefault="00B84211" w:rsidP="007E6104">
      <w:pPr>
        <w:tabs>
          <w:tab w:val="left" w:pos="1440"/>
          <w:tab w:val="left" w:pos="3060"/>
        </w:tabs>
        <w:ind w:left="567" w:hanging="567"/>
        <w:jc w:val="center"/>
        <w:rPr>
          <w:rFonts w:ascii="Arial" w:hAnsi="Arial" w:cs="Arial"/>
          <w:smallCaps/>
          <w:lang w:val="es-ES"/>
        </w:rPr>
      </w:pPr>
    </w:p>
    <w:p w:rsidR="00B84211" w:rsidRPr="000C493C" w:rsidRDefault="007A1860" w:rsidP="007E6104">
      <w:pPr>
        <w:tabs>
          <w:tab w:val="left" w:pos="1440"/>
          <w:tab w:val="left" w:pos="3060"/>
        </w:tabs>
        <w:ind w:left="567" w:hanging="567"/>
        <w:jc w:val="center"/>
        <w:outlineLvl w:val="0"/>
        <w:rPr>
          <w:rFonts w:ascii="Arial" w:hAnsi="Arial" w:cs="Arial"/>
          <w:b/>
          <w:smallCaps/>
          <w:lang w:val="es-ES"/>
        </w:rPr>
      </w:pPr>
      <w:r w:rsidRPr="000C493C">
        <w:rPr>
          <w:rFonts w:ascii="Arial" w:hAnsi="Arial" w:cs="Arial"/>
          <w:b/>
          <w:smallCaps/>
          <w:lang w:val="es-ES"/>
        </w:rPr>
        <w:t>Análisis Económico</w:t>
      </w:r>
    </w:p>
    <w:p w:rsidR="00B84211" w:rsidRPr="000C493C" w:rsidRDefault="00B84211" w:rsidP="007E6104">
      <w:pPr>
        <w:tabs>
          <w:tab w:val="left" w:pos="1440"/>
          <w:tab w:val="left" w:pos="3060"/>
        </w:tabs>
        <w:ind w:left="567" w:hanging="567"/>
        <w:jc w:val="center"/>
        <w:outlineLvl w:val="0"/>
        <w:rPr>
          <w:rFonts w:ascii="Arial" w:hAnsi="Arial" w:cs="Arial"/>
          <w:b/>
          <w:smallCaps/>
          <w:lang w:val="es-ES"/>
        </w:rPr>
      </w:pPr>
    </w:p>
    <w:p w:rsidR="00B84211" w:rsidRPr="000C493C" w:rsidRDefault="00B84211" w:rsidP="007E6104">
      <w:pPr>
        <w:pStyle w:val="ListParagraph"/>
        <w:spacing w:before="120" w:after="0" w:line="360" w:lineRule="auto"/>
        <w:ind w:left="567" w:hanging="567"/>
        <w:jc w:val="center"/>
        <w:rPr>
          <w:rFonts w:ascii="Arial" w:hAnsi="Arial" w:cs="Arial"/>
          <w:b/>
          <w:lang w:val="es-ES"/>
        </w:rPr>
      </w:pPr>
    </w:p>
    <w:p w:rsidR="00B84211" w:rsidRPr="000C493C" w:rsidRDefault="00B84211" w:rsidP="007E6104">
      <w:pPr>
        <w:pStyle w:val="ListParagraph"/>
        <w:spacing w:before="120" w:after="0" w:line="360" w:lineRule="auto"/>
        <w:ind w:left="567" w:hanging="567"/>
        <w:jc w:val="center"/>
        <w:rPr>
          <w:rFonts w:ascii="Arial" w:hAnsi="Arial" w:cs="Arial"/>
          <w:b/>
          <w:lang w:val="es-ES"/>
        </w:rPr>
      </w:pPr>
    </w:p>
    <w:p w:rsidR="00B84211" w:rsidRPr="000C493C" w:rsidRDefault="00B84211" w:rsidP="007E6104">
      <w:pPr>
        <w:pStyle w:val="ListParagraph"/>
        <w:spacing w:before="120" w:after="0" w:line="360" w:lineRule="auto"/>
        <w:ind w:left="567" w:hanging="567"/>
        <w:jc w:val="center"/>
        <w:rPr>
          <w:rFonts w:ascii="Arial" w:hAnsi="Arial" w:cs="Arial"/>
          <w:b/>
          <w:lang w:val="es-ES"/>
        </w:rPr>
      </w:pPr>
    </w:p>
    <w:p w:rsidR="00B84211" w:rsidRPr="000C493C" w:rsidRDefault="00B84211" w:rsidP="007E6104">
      <w:pPr>
        <w:pStyle w:val="ListParagraph"/>
        <w:spacing w:before="120" w:after="0" w:line="360" w:lineRule="auto"/>
        <w:ind w:left="567" w:hanging="567"/>
        <w:jc w:val="both"/>
        <w:rPr>
          <w:rFonts w:ascii="Arial" w:hAnsi="Arial" w:cs="Arial"/>
          <w:b/>
          <w:lang w:val="es-ES"/>
        </w:rPr>
      </w:pPr>
    </w:p>
    <w:p w:rsidR="00B84211" w:rsidRPr="000C493C" w:rsidRDefault="00B84211" w:rsidP="007E6104">
      <w:pPr>
        <w:pStyle w:val="ListParagraph"/>
        <w:spacing w:before="120" w:after="0" w:line="360" w:lineRule="auto"/>
        <w:ind w:left="567" w:hanging="567"/>
        <w:jc w:val="both"/>
        <w:rPr>
          <w:rFonts w:ascii="Arial" w:hAnsi="Arial" w:cs="Arial"/>
          <w:b/>
          <w:lang w:val="es-ES"/>
        </w:rPr>
      </w:pPr>
    </w:p>
    <w:p w:rsidR="00B84211" w:rsidRPr="000C493C" w:rsidRDefault="00B84211" w:rsidP="007E6104">
      <w:pPr>
        <w:pStyle w:val="ListParagraph"/>
        <w:spacing w:before="120" w:after="0" w:line="360" w:lineRule="auto"/>
        <w:ind w:left="567" w:hanging="567"/>
        <w:jc w:val="both"/>
        <w:rPr>
          <w:rFonts w:ascii="Arial" w:hAnsi="Arial" w:cs="Arial"/>
          <w:b/>
          <w:lang w:val="es-ES"/>
        </w:rPr>
      </w:pPr>
    </w:p>
    <w:p w:rsidR="00B84211" w:rsidRPr="000C493C" w:rsidRDefault="00B84211" w:rsidP="007E6104">
      <w:pPr>
        <w:pStyle w:val="ListParagraph"/>
        <w:spacing w:before="120" w:after="0" w:line="360" w:lineRule="auto"/>
        <w:ind w:left="567" w:hanging="567"/>
        <w:jc w:val="both"/>
        <w:rPr>
          <w:rFonts w:ascii="Arial" w:hAnsi="Arial" w:cs="Arial"/>
          <w:b/>
          <w:lang w:val="es-ES"/>
        </w:rPr>
      </w:pPr>
    </w:p>
    <w:p w:rsidR="00B84211" w:rsidRPr="000C493C" w:rsidRDefault="00B84211" w:rsidP="007E6104">
      <w:pPr>
        <w:tabs>
          <w:tab w:val="left" w:pos="1440"/>
          <w:tab w:val="left" w:pos="3060"/>
        </w:tabs>
        <w:ind w:left="567" w:hanging="567"/>
        <w:jc w:val="both"/>
        <w:rPr>
          <w:rFonts w:ascii="Arial" w:hAnsi="Arial" w:cs="Arial"/>
          <w:lang w:val="es-ES"/>
        </w:rPr>
      </w:pPr>
    </w:p>
    <w:p w:rsidR="00B84211" w:rsidRPr="000C493C" w:rsidRDefault="00B84211" w:rsidP="007E6104">
      <w:pPr>
        <w:tabs>
          <w:tab w:val="left" w:pos="1440"/>
          <w:tab w:val="left" w:pos="3060"/>
        </w:tabs>
        <w:ind w:left="567" w:hanging="567"/>
        <w:jc w:val="both"/>
        <w:rPr>
          <w:rFonts w:ascii="Arial" w:hAnsi="Arial" w:cs="Arial"/>
          <w:lang w:val="es-ES"/>
        </w:rPr>
      </w:pPr>
    </w:p>
    <w:p w:rsidR="00B84211" w:rsidRPr="000C493C" w:rsidRDefault="007A1860" w:rsidP="007E6104">
      <w:pPr>
        <w:pStyle w:val="BodyText"/>
        <w:pBdr>
          <w:top w:val="single" w:sz="4" w:space="1" w:color="auto"/>
          <w:left w:val="single" w:sz="4" w:space="4" w:color="auto"/>
          <w:bottom w:val="single" w:sz="4" w:space="1" w:color="auto"/>
          <w:right w:val="single" w:sz="4" w:space="4" w:color="auto"/>
        </w:pBdr>
        <w:tabs>
          <w:tab w:val="left" w:pos="1440"/>
        </w:tabs>
        <w:ind w:left="567" w:hanging="567"/>
        <w:jc w:val="both"/>
        <w:rPr>
          <w:rFonts w:ascii="Arial" w:hAnsi="Arial" w:cs="Arial"/>
          <w:b/>
          <w:sz w:val="20"/>
          <w:lang w:val="es-ES"/>
        </w:rPr>
      </w:pPr>
      <w:r w:rsidRPr="000C493C">
        <w:rPr>
          <w:rFonts w:ascii="Arial" w:hAnsi="Arial" w:cs="Arial"/>
          <w:sz w:val="20"/>
          <w:lang w:val="es-ES"/>
        </w:rPr>
        <w:t>Este documento ha sido preparado por: M</w:t>
      </w:r>
      <w:r w:rsidR="009A4966" w:rsidRPr="000C493C">
        <w:rPr>
          <w:rFonts w:ascii="Arial" w:hAnsi="Arial" w:cs="Arial"/>
          <w:sz w:val="20"/>
          <w:lang w:val="es-ES"/>
        </w:rPr>
        <w:t>artin</w:t>
      </w:r>
      <w:r w:rsidRPr="000C493C">
        <w:rPr>
          <w:rFonts w:ascii="Arial" w:hAnsi="Arial" w:cs="Arial"/>
          <w:sz w:val="20"/>
          <w:lang w:val="es-ES"/>
        </w:rPr>
        <w:t xml:space="preserve"> </w:t>
      </w:r>
      <w:r w:rsidR="009A4966" w:rsidRPr="000C493C">
        <w:rPr>
          <w:rFonts w:ascii="Arial" w:hAnsi="Arial" w:cs="Arial"/>
          <w:sz w:val="20"/>
          <w:lang w:val="es-ES"/>
        </w:rPr>
        <w:t>Rossi</w:t>
      </w:r>
      <w:r w:rsidRPr="000C493C">
        <w:rPr>
          <w:rFonts w:ascii="Arial" w:hAnsi="Arial" w:cs="Arial"/>
          <w:sz w:val="20"/>
          <w:lang w:val="es-ES"/>
        </w:rPr>
        <w:t xml:space="preserve"> (</w:t>
      </w:r>
      <w:r w:rsidR="008E3746" w:rsidRPr="000C493C">
        <w:rPr>
          <w:rFonts w:ascii="Arial" w:hAnsi="Arial" w:cs="Arial"/>
          <w:sz w:val="20"/>
          <w:lang w:val="es-ES"/>
        </w:rPr>
        <w:t>Consultor</w:t>
      </w:r>
      <w:r w:rsidRPr="000C493C">
        <w:rPr>
          <w:rFonts w:ascii="Arial" w:hAnsi="Arial" w:cs="Arial"/>
          <w:sz w:val="20"/>
          <w:lang w:val="es-ES"/>
        </w:rPr>
        <w:t>)</w:t>
      </w:r>
      <w:r w:rsidR="007D03A1" w:rsidRPr="000C493C">
        <w:rPr>
          <w:rFonts w:ascii="Arial" w:hAnsi="Arial" w:cs="Arial"/>
          <w:sz w:val="20"/>
          <w:lang w:val="es-ES"/>
        </w:rPr>
        <w:t>.</w:t>
      </w:r>
      <w:r w:rsidR="00451B0C" w:rsidRPr="000C493C">
        <w:rPr>
          <w:rFonts w:ascii="Arial" w:hAnsi="Arial" w:cs="Arial"/>
          <w:sz w:val="20"/>
          <w:lang w:val="es-ES"/>
        </w:rPr>
        <w:t xml:space="preserve"> </w:t>
      </w:r>
    </w:p>
    <w:p w:rsidR="00B84211" w:rsidRPr="000C493C" w:rsidRDefault="00CF5271" w:rsidP="007E6104">
      <w:pPr>
        <w:spacing w:line="240" w:lineRule="auto"/>
        <w:ind w:left="567" w:hanging="567"/>
        <w:jc w:val="both"/>
        <w:rPr>
          <w:rFonts w:ascii="Arial" w:hAnsi="Arial" w:cs="Arial"/>
          <w:b/>
          <w:i/>
          <w:lang w:val="es-ES"/>
        </w:rPr>
      </w:pPr>
      <w:r w:rsidRPr="000C493C">
        <w:rPr>
          <w:rFonts w:ascii="Arial" w:hAnsi="Arial" w:cs="Arial"/>
          <w:b/>
          <w:lang w:val="es-ES"/>
        </w:rPr>
        <w:br w:type="page"/>
      </w:r>
    </w:p>
    <w:p w:rsidR="00B84211" w:rsidRPr="000C493C" w:rsidRDefault="007A1860" w:rsidP="001C689D">
      <w:pPr>
        <w:numPr>
          <w:ilvl w:val="0"/>
          <w:numId w:val="1"/>
        </w:numPr>
        <w:spacing w:after="0" w:line="240" w:lineRule="auto"/>
        <w:ind w:left="567" w:hanging="567"/>
        <w:jc w:val="center"/>
        <w:rPr>
          <w:rFonts w:ascii="Arial" w:hAnsi="Arial" w:cs="Arial"/>
          <w:b/>
          <w:smallCaps/>
          <w:lang w:val="es-ES"/>
        </w:rPr>
      </w:pPr>
      <w:r w:rsidRPr="000C493C">
        <w:rPr>
          <w:rFonts w:ascii="Arial" w:hAnsi="Arial" w:cs="Arial"/>
          <w:b/>
          <w:smallCaps/>
          <w:lang w:val="es-ES"/>
        </w:rPr>
        <w:lastRenderedPageBreak/>
        <w:t>Introducció</w:t>
      </w:r>
      <w:r w:rsidR="001C3DCA" w:rsidRPr="000C493C">
        <w:rPr>
          <w:rFonts w:ascii="Arial" w:hAnsi="Arial" w:cs="Arial"/>
          <w:b/>
          <w:smallCaps/>
          <w:lang w:val="es-ES"/>
        </w:rPr>
        <w:t>n</w:t>
      </w:r>
    </w:p>
    <w:p w:rsidR="001C689D" w:rsidRPr="000C493C" w:rsidRDefault="001C689D" w:rsidP="001C689D">
      <w:pPr>
        <w:spacing w:after="0" w:line="240" w:lineRule="auto"/>
        <w:ind w:left="567"/>
        <w:jc w:val="both"/>
        <w:rPr>
          <w:rFonts w:ascii="Arial" w:hAnsi="Arial" w:cs="Arial"/>
          <w:b/>
          <w:lang w:val="es-ES"/>
        </w:rPr>
      </w:pPr>
    </w:p>
    <w:p w:rsidR="00B84211" w:rsidRPr="000C493C" w:rsidRDefault="007A1860" w:rsidP="001C689D">
      <w:pPr>
        <w:pStyle w:val="Paragraph"/>
        <w:numPr>
          <w:ilvl w:val="1"/>
          <w:numId w:val="1"/>
        </w:numPr>
        <w:spacing w:before="0" w:after="0"/>
        <w:rPr>
          <w:rFonts w:ascii="Arial" w:hAnsi="Arial" w:cs="Arial"/>
          <w:kern w:val="28"/>
          <w:sz w:val="22"/>
          <w:szCs w:val="22"/>
        </w:rPr>
      </w:pPr>
      <w:r w:rsidRPr="000C493C">
        <w:rPr>
          <w:rFonts w:ascii="Arial" w:hAnsi="Arial" w:cs="Arial"/>
          <w:kern w:val="28"/>
          <w:sz w:val="22"/>
          <w:szCs w:val="22"/>
        </w:rPr>
        <w:t xml:space="preserve">Este documento presenta el análisis económico ex-ante </w:t>
      </w:r>
      <w:r w:rsidR="00E05BAC" w:rsidRPr="000C493C">
        <w:rPr>
          <w:rFonts w:ascii="Arial" w:hAnsi="Arial" w:cs="Arial"/>
          <w:kern w:val="28"/>
          <w:sz w:val="22"/>
          <w:szCs w:val="22"/>
        </w:rPr>
        <w:t xml:space="preserve">del </w:t>
      </w:r>
      <w:r w:rsidR="002D7156" w:rsidRPr="000C493C">
        <w:rPr>
          <w:rFonts w:ascii="Arial" w:hAnsi="Arial" w:cs="Arial"/>
          <w:bCs/>
          <w:kern w:val="28"/>
          <w:sz w:val="22"/>
          <w:szCs w:val="22"/>
        </w:rPr>
        <w:t xml:space="preserve">Programa de Fortalecimiento </w:t>
      </w:r>
      <w:r w:rsidR="00EB0E1A" w:rsidRPr="000C493C">
        <w:rPr>
          <w:rFonts w:ascii="Arial" w:hAnsi="Arial" w:cs="Arial"/>
          <w:bCs/>
          <w:kern w:val="28"/>
          <w:sz w:val="22"/>
          <w:szCs w:val="22"/>
        </w:rPr>
        <w:t>Institucional de la Contraloría General de la República</w:t>
      </w:r>
      <w:r w:rsidR="00F35EFB" w:rsidRPr="000C493C">
        <w:rPr>
          <w:rFonts w:ascii="Arial" w:hAnsi="Arial" w:cs="Arial"/>
          <w:bCs/>
          <w:kern w:val="28"/>
          <w:sz w:val="22"/>
          <w:szCs w:val="22"/>
        </w:rPr>
        <w:t xml:space="preserve"> </w:t>
      </w:r>
      <w:r w:rsidRPr="000C493C">
        <w:rPr>
          <w:rFonts w:ascii="Arial" w:hAnsi="Arial" w:cs="Arial"/>
          <w:kern w:val="28"/>
          <w:sz w:val="22"/>
          <w:szCs w:val="22"/>
        </w:rPr>
        <w:t>(</w:t>
      </w:r>
      <w:r w:rsidR="00EB0E1A" w:rsidRPr="000C493C">
        <w:rPr>
          <w:rFonts w:ascii="Arial" w:hAnsi="Arial" w:cs="Arial"/>
          <w:kern w:val="28"/>
          <w:sz w:val="22"/>
          <w:szCs w:val="22"/>
        </w:rPr>
        <w:t>CO</w:t>
      </w:r>
      <w:r w:rsidR="002308DC" w:rsidRPr="000C493C">
        <w:rPr>
          <w:rFonts w:ascii="Arial" w:hAnsi="Arial" w:cs="Arial"/>
          <w:kern w:val="28"/>
          <w:sz w:val="22"/>
          <w:szCs w:val="22"/>
        </w:rPr>
        <w:t>-</w:t>
      </w:r>
      <w:r w:rsidR="00E56253" w:rsidRPr="000C493C">
        <w:rPr>
          <w:rFonts w:ascii="Arial" w:hAnsi="Arial" w:cs="Arial"/>
          <w:kern w:val="28"/>
          <w:sz w:val="22"/>
          <w:szCs w:val="22"/>
        </w:rPr>
        <w:t>L1</w:t>
      </w:r>
      <w:r w:rsidR="00EB0E1A" w:rsidRPr="000C493C">
        <w:rPr>
          <w:rFonts w:ascii="Arial" w:hAnsi="Arial" w:cs="Arial"/>
          <w:kern w:val="28"/>
          <w:sz w:val="22"/>
          <w:szCs w:val="22"/>
        </w:rPr>
        <w:t>154</w:t>
      </w:r>
      <w:r w:rsidRPr="000C493C">
        <w:rPr>
          <w:rFonts w:ascii="Arial" w:hAnsi="Arial" w:cs="Arial"/>
          <w:kern w:val="28"/>
          <w:sz w:val="22"/>
          <w:szCs w:val="22"/>
        </w:rPr>
        <w:t xml:space="preserve">), cuya ejecución se tiene prevista para </w:t>
      </w:r>
      <w:r w:rsidR="004C19AB" w:rsidRPr="000C493C">
        <w:rPr>
          <w:rFonts w:ascii="Arial" w:hAnsi="Arial" w:cs="Arial"/>
          <w:kern w:val="28"/>
          <w:sz w:val="22"/>
          <w:szCs w:val="22"/>
        </w:rPr>
        <w:t>el período 201</w:t>
      </w:r>
      <w:r w:rsidR="002B2FCB" w:rsidRPr="000C493C">
        <w:rPr>
          <w:rFonts w:ascii="Arial" w:hAnsi="Arial" w:cs="Arial"/>
          <w:kern w:val="28"/>
          <w:sz w:val="22"/>
          <w:szCs w:val="22"/>
        </w:rPr>
        <w:t>6</w:t>
      </w:r>
      <w:r w:rsidR="002308DC" w:rsidRPr="000C493C">
        <w:rPr>
          <w:rFonts w:ascii="Arial" w:hAnsi="Arial" w:cs="Arial"/>
          <w:kern w:val="28"/>
          <w:sz w:val="22"/>
          <w:szCs w:val="22"/>
        </w:rPr>
        <w:t>-</w:t>
      </w:r>
      <w:r w:rsidR="005B4203" w:rsidRPr="000C493C">
        <w:rPr>
          <w:rFonts w:ascii="Arial" w:hAnsi="Arial" w:cs="Arial"/>
          <w:kern w:val="28"/>
          <w:sz w:val="22"/>
          <w:szCs w:val="22"/>
        </w:rPr>
        <w:t>20</w:t>
      </w:r>
      <w:r w:rsidR="00D55D30" w:rsidRPr="000C493C">
        <w:rPr>
          <w:rFonts w:ascii="Arial" w:hAnsi="Arial" w:cs="Arial"/>
          <w:kern w:val="28"/>
          <w:sz w:val="22"/>
          <w:szCs w:val="22"/>
        </w:rPr>
        <w:t>20</w:t>
      </w:r>
      <w:r w:rsidR="004C19AB" w:rsidRPr="000C493C">
        <w:rPr>
          <w:rFonts w:ascii="Arial" w:hAnsi="Arial" w:cs="Arial"/>
          <w:kern w:val="28"/>
          <w:sz w:val="22"/>
          <w:szCs w:val="22"/>
        </w:rPr>
        <w:t>.</w:t>
      </w:r>
      <w:r w:rsidR="00E05BAC" w:rsidRPr="000C493C">
        <w:rPr>
          <w:rFonts w:ascii="Arial" w:hAnsi="Arial" w:cs="Arial"/>
          <w:kern w:val="28"/>
          <w:sz w:val="22"/>
          <w:szCs w:val="22"/>
        </w:rPr>
        <w:t xml:space="preserve"> </w:t>
      </w:r>
      <w:r w:rsidR="004C19AB" w:rsidRPr="000C493C">
        <w:rPr>
          <w:rFonts w:ascii="Arial" w:hAnsi="Arial" w:cs="Arial"/>
          <w:kern w:val="28"/>
          <w:sz w:val="22"/>
          <w:szCs w:val="22"/>
        </w:rPr>
        <w:t>El análisis se lleva a cabo mediante la metodología de costo-</w:t>
      </w:r>
      <w:r w:rsidR="00925598" w:rsidRPr="000C493C">
        <w:rPr>
          <w:rFonts w:ascii="Arial" w:hAnsi="Arial" w:cs="Arial"/>
          <w:kern w:val="28"/>
          <w:sz w:val="22"/>
          <w:szCs w:val="22"/>
        </w:rPr>
        <w:t>beneficio</w:t>
      </w:r>
      <w:r w:rsidR="004C19AB" w:rsidRPr="000C493C">
        <w:rPr>
          <w:rFonts w:ascii="Arial" w:hAnsi="Arial" w:cs="Arial"/>
          <w:kern w:val="28"/>
          <w:sz w:val="22"/>
          <w:szCs w:val="22"/>
        </w:rPr>
        <w:t>.</w:t>
      </w:r>
    </w:p>
    <w:p w:rsidR="001C689D" w:rsidRPr="000C493C" w:rsidRDefault="001C689D" w:rsidP="001C689D">
      <w:pPr>
        <w:pStyle w:val="Paragraph"/>
        <w:numPr>
          <w:ilvl w:val="0"/>
          <w:numId w:val="0"/>
        </w:numPr>
        <w:spacing w:before="0" w:after="0"/>
        <w:ind w:left="567"/>
        <w:rPr>
          <w:rFonts w:ascii="Arial" w:hAnsi="Arial" w:cs="Arial"/>
          <w:kern w:val="28"/>
          <w:sz w:val="22"/>
          <w:szCs w:val="22"/>
        </w:rPr>
      </w:pPr>
    </w:p>
    <w:p w:rsidR="00B84211" w:rsidRPr="000C493C" w:rsidRDefault="004C19AB" w:rsidP="001C689D">
      <w:pPr>
        <w:pStyle w:val="Paragraph"/>
        <w:numPr>
          <w:ilvl w:val="1"/>
          <w:numId w:val="1"/>
        </w:numPr>
        <w:spacing w:before="0" w:after="0"/>
        <w:rPr>
          <w:rFonts w:ascii="Arial" w:hAnsi="Arial" w:cs="Arial"/>
          <w:kern w:val="28"/>
          <w:sz w:val="22"/>
          <w:szCs w:val="22"/>
        </w:rPr>
      </w:pPr>
      <w:r w:rsidRPr="000C493C">
        <w:rPr>
          <w:rFonts w:ascii="Arial" w:hAnsi="Arial" w:cs="Arial"/>
          <w:kern w:val="28"/>
          <w:sz w:val="22"/>
          <w:szCs w:val="22"/>
        </w:rPr>
        <w:t xml:space="preserve">El </w:t>
      </w:r>
      <w:r w:rsidR="008A1308" w:rsidRPr="000C493C">
        <w:rPr>
          <w:rFonts w:ascii="Arial" w:hAnsi="Arial" w:cs="Arial"/>
          <w:kern w:val="28"/>
          <w:sz w:val="22"/>
          <w:szCs w:val="22"/>
        </w:rPr>
        <w:t xml:space="preserve">Programa de Fortalecimiento Institucional de la Contraloría General de la República </w:t>
      </w:r>
      <w:r w:rsidRPr="000C493C">
        <w:rPr>
          <w:rFonts w:ascii="Arial" w:hAnsi="Arial" w:cs="Arial"/>
          <w:kern w:val="28"/>
          <w:sz w:val="22"/>
          <w:szCs w:val="22"/>
        </w:rPr>
        <w:t>(</w:t>
      </w:r>
      <w:r w:rsidR="008A4318" w:rsidRPr="000C493C">
        <w:rPr>
          <w:rFonts w:ascii="Arial" w:hAnsi="Arial" w:cs="Arial"/>
          <w:kern w:val="28"/>
          <w:sz w:val="22"/>
          <w:szCs w:val="22"/>
        </w:rPr>
        <w:t xml:space="preserve">“el Programa”, en adelante) tiene como objetivo </w:t>
      </w:r>
      <w:r w:rsidR="00F423FB" w:rsidRPr="000C493C">
        <w:rPr>
          <w:rFonts w:ascii="Arial" w:hAnsi="Arial" w:cs="Arial"/>
          <w:kern w:val="28"/>
          <w:sz w:val="22"/>
          <w:szCs w:val="22"/>
        </w:rPr>
        <w:t xml:space="preserve">general </w:t>
      </w:r>
      <w:r w:rsidR="007E5F1E" w:rsidRPr="000C493C">
        <w:rPr>
          <w:rFonts w:ascii="Arial" w:hAnsi="Arial" w:cs="Arial"/>
          <w:kern w:val="28"/>
          <w:sz w:val="22"/>
          <w:szCs w:val="22"/>
        </w:rPr>
        <w:t>fortalecer la efectividad del sistema de control fiscal a través del mejoramiento de la calidad y eficiencia de las acciones de control, y la promoción de la transparencia y participación ciudadana</w:t>
      </w:r>
      <w:r w:rsidR="00E05BAC" w:rsidRPr="000C493C">
        <w:rPr>
          <w:rFonts w:ascii="Arial" w:hAnsi="Arial" w:cs="Arial"/>
          <w:kern w:val="28"/>
          <w:sz w:val="22"/>
          <w:szCs w:val="22"/>
        </w:rPr>
        <w:t xml:space="preserve">. </w:t>
      </w:r>
      <w:r w:rsidR="005D1407" w:rsidRPr="000C493C">
        <w:rPr>
          <w:rFonts w:ascii="Arial" w:hAnsi="Arial" w:cs="Arial"/>
          <w:kern w:val="28"/>
          <w:sz w:val="22"/>
          <w:szCs w:val="22"/>
        </w:rPr>
        <w:t>Es</w:t>
      </w:r>
      <w:r w:rsidR="00132D5C" w:rsidRPr="000C493C">
        <w:rPr>
          <w:rFonts w:ascii="Arial" w:hAnsi="Arial" w:cs="Arial"/>
          <w:kern w:val="28"/>
          <w:sz w:val="22"/>
          <w:szCs w:val="22"/>
        </w:rPr>
        <w:t xml:space="preserve"> financiado por el Banco Interamericano de Desarrollo (BID</w:t>
      </w:r>
      <w:r w:rsidR="00FF798B" w:rsidRPr="000C493C">
        <w:rPr>
          <w:rFonts w:ascii="Arial" w:hAnsi="Arial" w:cs="Arial"/>
          <w:kern w:val="28"/>
          <w:sz w:val="22"/>
          <w:szCs w:val="22"/>
        </w:rPr>
        <w:t>)</w:t>
      </w:r>
      <w:r w:rsidR="00F05CE4" w:rsidRPr="000C493C">
        <w:rPr>
          <w:rFonts w:ascii="Arial" w:hAnsi="Arial" w:cs="Arial"/>
          <w:kern w:val="28"/>
          <w:sz w:val="22"/>
          <w:szCs w:val="22"/>
        </w:rPr>
        <w:t>.</w:t>
      </w:r>
    </w:p>
    <w:p w:rsidR="001C689D" w:rsidRPr="000C493C" w:rsidRDefault="001C689D" w:rsidP="001C689D">
      <w:pPr>
        <w:pStyle w:val="Paragraph"/>
        <w:numPr>
          <w:ilvl w:val="0"/>
          <w:numId w:val="0"/>
        </w:numPr>
        <w:spacing w:before="0" w:after="0"/>
        <w:rPr>
          <w:rFonts w:ascii="Arial" w:hAnsi="Arial" w:cs="Arial"/>
          <w:kern w:val="28"/>
          <w:sz w:val="22"/>
          <w:szCs w:val="22"/>
        </w:rPr>
      </w:pPr>
    </w:p>
    <w:p w:rsidR="00B84211" w:rsidRPr="000C493C" w:rsidRDefault="00C355F9" w:rsidP="001C689D">
      <w:pPr>
        <w:pStyle w:val="Paragraph"/>
        <w:numPr>
          <w:ilvl w:val="0"/>
          <w:numId w:val="1"/>
        </w:numPr>
        <w:spacing w:before="0" w:after="0"/>
        <w:ind w:left="567" w:hanging="567"/>
        <w:jc w:val="center"/>
        <w:rPr>
          <w:rFonts w:ascii="Arial" w:hAnsi="Arial" w:cs="Arial"/>
          <w:b/>
          <w:smallCaps/>
          <w:sz w:val="22"/>
          <w:szCs w:val="22"/>
        </w:rPr>
      </w:pPr>
      <w:r w:rsidRPr="000C493C">
        <w:rPr>
          <w:rFonts w:ascii="Arial" w:hAnsi="Arial" w:cs="Arial"/>
          <w:b/>
          <w:smallCaps/>
          <w:sz w:val="22"/>
          <w:szCs w:val="22"/>
        </w:rPr>
        <w:t>Metodología</w:t>
      </w:r>
    </w:p>
    <w:p w:rsidR="001C689D" w:rsidRPr="000C493C" w:rsidRDefault="001C689D" w:rsidP="001C689D">
      <w:pPr>
        <w:pStyle w:val="Paragraph"/>
        <w:numPr>
          <w:ilvl w:val="0"/>
          <w:numId w:val="0"/>
        </w:numPr>
        <w:spacing w:before="0" w:after="0"/>
        <w:ind w:left="567"/>
        <w:rPr>
          <w:rFonts w:ascii="Arial" w:hAnsi="Arial" w:cs="Arial"/>
          <w:b/>
          <w:sz w:val="22"/>
          <w:szCs w:val="22"/>
        </w:rPr>
      </w:pPr>
    </w:p>
    <w:p w:rsidR="00B84211" w:rsidRPr="000C493C" w:rsidRDefault="007B3237" w:rsidP="001C689D">
      <w:pPr>
        <w:pStyle w:val="TitulopostI"/>
        <w:numPr>
          <w:ilvl w:val="0"/>
          <w:numId w:val="43"/>
        </w:numPr>
        <w:spacing w:line="240" w:lineRule="auto"/>
        <w:ind w:left="540" w:hanging="540"/>
        <w:rPr>
          <w:rFonts w:ascii="Arial" w:hAnsi="Arial" w:cs="Arial"/>
          <w:sz w:val="22"/>
          <w:szCs w:val="22"/>
        </w:rPr>
      </w:pPr>
      <w:r w:rsidRPr="000C493C">
        <w:rPr>
          <w:rFonts w:ascii="Arial" w:hAnsi="Arial" w:cs="Arial"/>
          <w:sz w:val="22"/>
          <w:szCs w:val="22"/>
        </w:rPr>
        <w:t>Descripción de la intervención</w:t>
      </w:r>
      <w:r w:rsidR="00A603AC" w:rsidRPr="000C493C">
        <w:rPr>
          <w:rFonts w:ascii="Arial" w:hAnsi="Arial" w:cs="Arial"/>
          <w:sz w:val="22"/>
          <w:szCs w:val="22"/>
        </w:rPr>
        <w:t xml:space="preserve"> </w:t>
      </w:r>
    </w:p>
    <w:p w:rsidR="001C689D" w:rsidRPr="000C493C" w:rsidRDefault="001C689D" w:rsidP="001C689D">
      <w:pPr>
        <w:pStyle w:val="TitulopostI"/>
        <w:spacing w:line="240" w:lineRule="auto"/>
        <w:ind w:left="540" w:firstLine="0"/>
        <w:rPr>
          <w:rFonts w:ascii="Arial" w:hAnsi="Arial" w:cs="Arial"/>
          <w:sz w:val="22"/>
          <w:szCs w:val="22"/>
        </w:rPr>
      </w:pPr>
    </w:p>
    <w:p w:rsidR="00A90AEF" w:rsidRPr="000C493C" w:rsidRDefault="00CC5225" w:rsidP="001C689D">
      <w:pPr>
        <w:pStyle w:val="Paragraph"/>
        <w:numPr>
          <w:ilvl w:val="1"/>
          <w:numId w:val="1"/>
        </w:numPr>
        <w:spacing w:before="0" w:after="0"/>
        <w:rPr>
          <w:rFonts w:ascii="Arial" w:hAnsi="Arial" w:cs="Arial"/>
          <w:kern w:val="28"/>
          <w:sz w:val="22"/>
          <w:szCs w:val="22"/>
        </w:rPr>
      </w:pPr>
      <w:r w:rsidRPr="000C493C">
        <w:rPr>
          <w:rFonts w:ascii="Arial" w:hAnsi="Arial" w:cs="Arial"/>
          <w:kern w:val="28"/>
          <w:sz w:val="22"/>
          <w:szCs w:val="22"/>
        </w:rPr>
        <w:t xml:space="preserve">El </w:t>
      </w:r>
      <w:r w:rsidR="005D4979" w:rsidRPr="000C493C">
        <w:rPr>
          <w:rFonts w:ascii="Arial" w:hAnsi="Arial" w:cs="Arial"/>
          <w:kern w:val="28"/>
          <w:sz w:val="22"/>
          <w:szCs w:val="22"/>
        </w:rPr>
        <w:t>Programa</w:t>
      </w:r>
      <w:r w:rsidR="00556E87" w:rsidRPr="000C493C" w:rsidDel="00556E87">
        <w:rPr>
          <w:rFonts w:ascii="Arial" w:hAnsi="Arial" w:cs="Arial"/>
          <w:kern w:val="28"/>
          <w:sz w:val="22"/>
          <w:szCs w:val="22"/>
        </w:rPr>
        <w:t xml:space="preserve"> </w:t>
      </w:r>
      <w:r w:rsidR="00556E87" w:rsidRPr="000C493C">
        <w:rPr>
          <w:rFonts w:ascii="Arial" w:hAnsi="Arial" w:cs="Arial"/>
          <w:kern w:val="28"/>
          <w:sz w:val="22"/>
          <w:szCs w:val="22"/>
        </w:rPr>
        <w:t xml:space="preserve">puede caracterizarse </w:t>
      </w:r>
      <w:r w:rsidR="00D935D8" w:rsidRPr="000C493C">
        <w:rPr>
          <w:rFonts w:ascii="Arial" w:hAnsi="Arial" w:cs="Arial"/>
          <w:kern w:val="28"/>
          <w:sz w:val="22"/>
          <w:szCs w:val="22"/>
        </w:rPr>
        <w:t>a través de los 3 componentes que lo conforman. Los mismos tienden a mejorar cada uno de ellos un aspecto particular del sistema de control fiscal.</w:t>
      </w:r>
      <w:r w:rsidR="00556E87" w:rsidRPr="000C493C" w:rsidDel="00556E87">
        <w:rPr>
          <w:rFonts w:ascii="Arial" w:hAnsi="Arial" w:cs="Arial"/>
          <w:kern w:val="28"/>
          <w:sz w:val="22"/>
          <w:szCs w:val="22"/>
        </w:rPr>
        <w:t xml:space="preserve"> </w:t>
      </w:r>
      <w:r w:rsidR="005D4979" w:rsidRPr="000C493C">
        <w:rPr>
          <w:rFonts w:ascii="Arial" w:hAnsi="Arial" w:cs="Arial"/>
          <w:kern w:val="28"/>
          <w:sz w:val="22"/>
          <w:szCs w:val="22"/>
        </w:rPr>
        <w:t xml:space="preserve"> </w:t>
      </w:r>
    </w:p>
    <w:p w:rsidR="001C689D" w:rsidRPr="000C493C" w:rsidRDefault="001C689D" w:rsidP="001C689D">
      <w:pPr>
        <w:pStyle w:val="Paragraph"/>
        <w:numPr>
          <w:ilvl w:val="0"/>
          <w:numId w:val="0"/>
        </w:numPr>
        <w:spacing w:before="0" w:after="0"/>
        <w:ind w:left="567"/>
        <w:rPr>
          <w:rFonts w:ascii="Arial" w:hAnsi="Arial" w:cs="Arial"/>
          <w:kern w:val="28"/>
          <w:sz w:val="22"/>
          <w:szCs w:val="22"/>
        </w:rPr>
      </w:pPr>
    </w:p>
    <w:p w:rsidR="00D00D89" w:rsidRPr="000C493C" w:rsidRDefault="00D935D8" w:rsidP="001C689D">
      <w:pPr>
        <w:pStyle w:val="Paragraph"/>
        <w:numPr>
          <w:ilvl w:val="1"/>
          <w:numId w:val="1"/>
        </w:numPr>
        <w:spacing w:before="0" w:after="0"/>
        <w:rPr>
          <w:rFonts w:ascii="Arial" w:hAnsi="Arial" w:cs="Arial"/>
          <w:kern w:val="28"/>
          <w:sz w:val="22"/>
          <w:szCs w:val="22"/>
        </w:rPr>
      </w:pPr>
      <w:r w:rsidRPr="000C493C">
        <w:rPr>
          <w:rFonts w:ascii="Arial" w:hAnsi="Arial" w:cs="Arial"/>
          <w:b/>
          <w:kern w:val="28"/>
          <w:sz w:val="22"/>
          <w:szCs w:val="22"/>
          <w:u w:val="single"/>
        </w:rPr>
        <w:t>Componente 1</w:t>
      </w:r>
      <w:r w:rsidRPr="000C493C">
        <w:rPr>
          <w:rFonts w:ascii="Arial" w:hAnsi="Arial" w:cs="Arial"/>
          <w:kern w:val="28"/>
          <w:sz w:val="22"/>
          <w:szCs w:val="22"/>
        </w:rPr>
        <w:t xml:space="preserve">: </w:t>
      </w:r>
      <w:r w:rsidR="00A734C1" w:rsidRPr="006804E7">
        <w:rPr>
          <w:rFonts w:ascii="Arial" w:hAnsi="Arial" w:cs="Arial"/>
          <w:b/>
          <w:sz w:val="22"/>
          <w:szCs w:val="22"/>
        </w:rPr>
        <w:t>Planeación, ejecución y seguimiento de las acciones de control</w:t>
      </w:r>
      <w:r w:rsidR="00A734C1" w:rsidRPr="000C493C">
        <w:rPr>
          <w:rFonts w:ascii="Arial" w:hAnsi="Arial" w:cs="Arial"/>
          <w:kern w:val="28"/>
          <w:sz w:val="22"/>
          <w:szCs w:val="22"/>
        </w:rPr>
        <w:t xml:space="preserve"> </w:t>
      </w:r>
      <w:r w:rsidRPr="000C493C">
        <w:rPr>
          <w:rFonts w:ascii="Arial" w:hAnsi="Arial" w:cs="Arial"/>
          <w:kern w:val="28"/>
          <w:sz w:val="22"/>
          <w:szCs w:val="22"/>
        </w:rPr>
        <w:t>(US$8,</w:t>
      </w:r>
      <w:r w:rsidR="00A734C1">
        <w:rPr>
          <w:rFonts w:ascii="Arial" w:hAnsi="Arial" w:cs="Arial"/>
          <w:kern w:val="28"/>
          <w:sz w:val="22"/>
          <w:szCs w:val="22"/>
        </w:rPr>
        <w:t>7</w:t>
      </w:r>
      <w:r w:rsidRPr="000C493C">
        <w:rPr>
          <w:rFonts w:ascii="Arial" w:hAnsi="Arial" w:cs="Arial"/>
          <w:kern w:val="28"/>
          <w:sz w:val="22"/>
          <w:szCs w:val="22"/>
        </w:rPr>
        <w:t xml:space="preserve">5 millones). </w:t>
      </w:r>
      <w:r w:rsidR="00B27981" w:rsidRPr="006804E7">
        <w:rPr>
          <w:rFonts w:ascii="Arial" w:hAnsi="Arial" w:cs="Arial"/>
          <w:sz w:val="22"/>
          <w:szCs w:val="22"/>
        </w:rPr>
        <w:t xml:space="preserve">Su objetivo central es </w:t>
      </w:r>
      <w:r w:rsidR="00B27981" w:rsidRPr="006804E7">
        <w:rPr>
          <w:rFonts w:ascii="Arial" w:hAnsi="Arial" w:cs="Arial"/>
          <w:sz w:val="22"/>
          <w:szCs w:val="22"/>
          <w:lang w:val="es-ES_tradnl"/>
        </w:rPr>
        <w:t>es elevar la calidad, a través del mejoramiento de los procesos estratégicos de la CGR y la incorporación de estándares de buenas practicas.</w:t>
      </w:r>
      <w:r w:rsidRPr="000C493C">
        <w:rPr>
          <w:rFonts w:ascii="Arial" w:hAnsi="Arial" w:cs="Arial"/>
          <w:kern w:val="28"/>
          <w:sz w:val="22"/>
          <w:szCs w:val="22"/>
        </w:rPr>
        <w:t xml:space="preserve"> Se prevén las siguientes actividades: (i) formular y poner en marcha el Sistema Estratégico de Vigilancia y Control Fiscal de Mediano Plazo; (ii) diagnosticar, simplificar o eliminar, según el caso, los actuales procesos misionales y administrativos, especialmente los relacionados con el proceso de responsabilidad fiscal; (iii) articular la estrategia, procesos y sistemas de información de la CGR a partir del diseño e implementación de un modelo estándar (arquitectura empresarial) conforme a las recomendaciones del MINTIC; (iv) apoyar la adopción de estándares internacionales de auditoría y control para las EFS, particularmente en lo referente al control basado en riesgos; (v) definir el alcance y competencias de la funció</w:t>
      </w:r>
      <w:r w:rsidR="001C689D" w:rsidRPr="000C493C">
        <w:rPr>
          <w:rFonts w:ascii="Arial" w:hAnsi="Arial" w:cs="Arial"/>
          <w:kern w:val="28"/>
          <w:sz w:val="22"/>
          <w:szCs w:val="22"/>
        </w:rPr>
        <w:t>n de control fiscal macro; (vi) </w:t>
      </w:r>
      <w:r w:rsidRPr="000C493C">
        <w:rPr>
          <w:rFonts w:ascii="Arial" w:hAnsi="Arial" w:cs="Arial"/>
          <w:kern w:val="28"/>
          <w:sz w:val="22"/>
          <w:szCs w:val="22"/>
        </w:rPr>
        <w:t>desarrollar y poner en marcha un sistema de control de calidad de auditorías homologable a las NIA e ISSAI; (vii) implementar un Observatorio de Gasto Público ; (viii) diseñar una estrategia de gestión del cambio y del conocimiento; (ix) fortalecer las capacidades de la CGR para auditar los programas financiados por proveedores externos de apoyo financiero; y (x) dimensionar y analizar las brechas del talento humano con el fin de definir e implementar un modelo de capacitación acorde con los nuevos procesos y sus herramientas de apoyo</w:t>
      </w:r>
      <w:r w:rsidRPr="000C493C">
        <w:rPr>
          <w:rFonts w:ascii="Arial" w:hAnsi="Arial" w:cs="Arial"/>
          <w:sz w:val="22"/>
          <w:szCs w:val="22"/>
        </w:rPr>
        <w:t>.</w:t>
      </w:r>
    </w:p>
    <w:p w:rsidR="001C689D" w:rsidRPr="000C493C" w:rsidRDefault="001C689D" w:rsidP="001C689D">
      <w:pPr>
        <w:pStyle w:val="Paragraph"/>
        <w:numPr>
          <w:ilvl w:val="0"/>
          <w:numId w:val="0"/>
        </w:numPr>
        <w:spacing w:before="0" w:after="0"/>
        <w:ind w:left="567"/>
        <w:rPr>
          <w:rFonts w:ascii="Arial" w:hAnsi="Arial" w:cs="Arial"/>
          <w:kern w:val="28"/>
          <w:sz w:val="22"/>
          <w:szCs w:val="22"/>
        </w:rPr>
      </w:pPr>
    </w:p>
    <w:p w:rsidR="00D935D8" w:rsidRPr="000C493C" w:rsidRDefault="00D935D8" w:rsidP="001C689D">
      <w:pPr>
        <w:pStyle w:val="Paragraph"/>
        <w:numPr>
          <w:ilvl w:val="1"/>
          <w:numId w:val="1"/>
        </w:numPr>
        <w:spacing w:before="0" w:after="0"/>
        <w:rPr>
          <w:rFonts w:ascii="Arial" w:hAnsi="Arial" w:cs="Arial"/>
          <w:kern w:val="28"/>
          <w:sz w:val="22"/>
          <w:szCs w:val="22"/>
        </w:rPr>
      </w:pPr>
      <w:r w:rsidRPr="000C493C">
        <w:rPr>
          <w:rFonts w:ascii="Arial" w:hAnsi="Arial" w:cs="Arial"/>
          <w:b/>
          <w:kern w:val="28"/>
          <w:sz w:val="22"/>
          <w:szCs w:val="22"/>
          <w:u w:val="single"/>
        </w:rPr>
        <w:t>Componente 2</w:t>
      </w:r>
      <w:r w:rsidRPr="000C493C">
        <w:rPr>
          <w:rFonts w:ascii="Arial" w:hAnsi="Arial" w:cs="Arial"/>
          <w:kern w:val="28"/>
          <w:sz w:val="22"/>
          <w:szCs w:val="22"/>
        </w:rPr>
        <w:t xml:space="preserve">: </w:t>
      </w:r>
      <w:r w:rsidR="00A734C1" w:rsidRPr="006804E7">
        <w:rPr>
          <w:rFonts w:ascii="Arial" w:eastAsia="Calibri" w:hAnsi="Arial" w:cs="Arial"/>
          <w:b/>
          <w:spacing w:val="-4"/>
          <w:sz w:val="22"/>
          <w:szCs w:val="22"/>
        </w:rPr>
        <w:t>Gestión de la información para el contr</w:t>
      </w:r>
      <w:r w:rsidR="00A734C1">
        <w:rPr>
          <w:rFonts w:ascii="Arial" w:eastAsia="Calibri" w:hAnsi="Arial" w:cs="Arial"/>
          <w:b/>
          <w:spacing w:val="-4"/>
          <w:sz w:val="22"/>
          <w:szCs w:val="22"/>
        </w:rPr>
        <w:t>o</w:t>
      </w:r>
      <w:r w:rsidR="00A734C1" w:rsidRPr="006804E7">
        <w:rPr>
          <w:rFonts w:ascii="Arial" w:eastAsia="Calibri" w:hAnsi="Arial" w:cs="Arial"/>
          <w:b/>
          <w:spacing w:val="-4"/>
          <w:sz w:val="22"/>
          <w:szCs w:val="22"/>
        </w:rPr>
        <w:t>l fiscal</w:t>
      </w:r>
      <w:r w:rsidRPr="000C493C">
        <w:rPr>
          <w:rFonts w:ascii="Arial" w:hAnsi="Arial" w:cs="Arial"/>
          <w:kern w:val="28"/>
          <w:sz w:val="22"/>
          <w:szCs w:val="22"/>
        </w:rPr>
        <w:t xml:space="preserve"> (US$14,</w:t>
      </w:r>
      <w:r w:rsidR="00BE0ED7">
        <w:rPr>
          <w:rFonts w:ascii="Arial" w:hAnsi="Arial" w:cs="Arial"/>
          <w:kern w:val="28"/>
          <w:sz w:val="22"/>
          <w:szCs w:val="22"/>
        </w:rPr>
        <w:t>7</w:t>
      </w:r>
      <w:r w:rsidRPr="000C493C">
        <w:rPr>
          <w:rFonts w:ascii="Arial" w:hAnsi="Arial" w:cs="Arial"/>
          <w:kern w:val="28"/>
          <w:sz w:val="22"/>
          <w:szCs w:val="22"/>
        </w:rPr>
        <w:t xml:space="preserve"> millones). </w:t>
      </w:r>
      <w:r w:rsidR="00B27981" w:rsidRPr="006804E7">
        <w:rPr>
          <w:rFonts w:ascii="Arial" w:eastAsia="Calibri" w:hAnsi="Arial" w:cs="Arial"/>
          <w:sz w:val="22"/>
          <w:szCs w:val="22"/>
        </w:rPr>
        <w:t xml:space="preserve">Su objetivo central es </w:t>
      </w:r>
      <w:r w:rsidR="00B27981" w:rsidRPr="006804E7">
        <w:rPr>
          <w:rFonts w:ascii="Arial" w:eastAsia="Calibri" w:hAnsi="Arial" w:cs="Arial"/>
          <w:sz w:val="22"/>
          <w:szCs w:val="22"/>
          <w:lang w:val="es-ES_tradnl"/>
        </w:rPr>
        <w:t>es optimizar la gestión de la información de la CGR para el mejoramiento de la eficiencia de las acciones de control fiscal.</w:t>
      </w:r>
      <w:r w:rsidRPr="000C493C">
        <w:rPr>
          <w:rFonts w:ascii="Arial" w:hAnsi="Arial" w:cs="Arial"/>
          <w:kern w:val="28"/>
          <w:sz w:val="22"/>
          <w:szCs w:val="22"/>
        </w:rPr>
        <w:t xml:space="preserve"> Se prevén las siguientes actividades: (i) integrar los sistemas de información de la CGR con el fin de soportar los procesos misionales; (ii) definir una estrategia e implementar políticas y controles que permitan mejorar la calidad de la información y la gestión documental para la toma oportuna de decisiones; (iii) diseñar e implementar un tablero de control, un área de inteligencia de negocios y herramientas de análisis predictivo; (iv) implementar un sistema que soporte el control en línea; (v) diseñar e implementar un plan de recuperación de información en caso de desastres; (vi) mejorar las redes, seguridad, y almacenamiento de datos; (vii) adquirir e implantar el software base y los servicios de infraestructura necesarios</w:t>
      </w:r>
      <w:r w:rsidR="005F24B3" w:rsidRPr="000C493C">
        <w:rPr>
          <w:rFonts w:ascii="Arial" w:hAnsi="Arial" w:cs="Arial"/>
          <w:kern w:val="28"/>
          <w:sz w:val="22"/>
          <w:szCs w:val="22"/>
        </w:rPr>
        <w:t xml:space="preserve"> y (viii) capacitación de personal para la operación de los sistemas de información integrados y el nuevo software.</w:t>
      </w:r>
    </w:p>
    <w:p w:rsidR="00FB10C9" w:rsidRPr="000C493C" w:rsidRDefault="00FB10C9" w:rsidP="001C689D">
      <w:pPr>
        <w:pStyle w:val="Paragraph"/>
        <w:numPr>
          <w:ilvl w:val="1"/>
          <w:numId w:val="1"/>
        </w:numPr>
        <w:spacing w:before="0" w:after="0"/>
        <w:rPr>
          <w:rFonts w:ascii="Arial" w:hAnsi="Arial" w:cs="Arial"/>
          <w:kern w:val="28"/>
          <w:sz w:val="22"/>
          <w:szCs w:val="22"/>
        </w:rPr>
      </w:pPr>
      <w:r w:rsidRPr="000C493C">
        <w:rPr>
          <w:rFonts w:ascii="Arial" w:hAnsi="Arial" w:cs="Arial"/>
          <w:b/>
          <w:kern w:val="28"/>
          <w:sz w:val="22"/>
          <w:szCs w:val="22"/>
          <w:u w:val="single"/>
        </w:rPr>
        <w:lastRenderedPageBreak/>
        <w:t>Componente 3</w:t>
      </w:r>
      <w:r w:rsidRPr="000C493C">
        <w:rPr>
          <w:rFonts w:ascii="Arial" w:hAnsi="Arial" w:cs="Arial"/>
          <w:kern w:val="28"/>
          <w:sz w:val="22"/>
          <w:szCs w:val="22"/>
        </w:rPr>
        <w:t xml:space="preserve">: </w:t>
      </w:r>
      <w:r w:rsidR="00304C04" w:rsidRPr="006804E7">
        <w:rPr>
          <w:rFonts w:ascii="Arial" w:eastAsia="Calibri" w:hAnsi="Arial" w:cs="Arial"/>
          <w:b/>
          <w:sz w:val="22"/>
          <w:szCs w:val="22"/>
        </w:rPr>
        <w:t>Transparencia y participación ciudadana en el control fiscal</w:t>
      </w:r>
      <w:r w:rsidRPr="000C493C">
        <w:rPr>
          <w:rFonts w:ascii="Arial" w:hAnsi="Arial" w:cs="Arial"/>
          <w:kern w:val="28"/>
          <w:sz w:val="22"/>
          <w:szCs w:val="22"/>
        </w:rPr>
        <w:t xml:space="preserve"> (US$5,5 millones). </w:t>
      </w:r>
      <w:r w:rsidR="00B27981" w:rsidRPr="006804E7">
        <w:rPr>
          <w:rFonts w:ascii="Arial" w:eastAsia="Calibri" w:hAnsi="Arial" w:cs="Arial"/>
          <w:sz w:val="22"/>
          <w:szCs w:val="22"/>
        </w:rPr>
        <w:t xml:space="preserve">El objetivo es optimizar los mecanismos a través de los cuales la CGR divulga información de interés público e interactúa con la ciudadanía, </w:t>
      </w:r>
      <w:r w:rsidR="00B27981" w:rsidRPr="006804E7">
        <w:rPr>
          <w:rFonts w:ascii="Arial" w:eastAsia="Calibri" w:hAnsi="Arial" w:cs="Arial"/>
          <w:sz w:val="22"/>
          <w:szCs w:val="22"/>
          <w:lang w:val="es-ES_tradnl"/>
        </w:rPr>
        <w:t>para la promoción de la transparencia y de la participación ciudadana en las acciones de control fiscal.</w:t>
      </w:r>
      <w:r w:rsidRPr="000C493C">
        <w:rPr>
          <w:rFonts w:ascii="Arial" w:hAnsi="Arial" w:cs="Arial"/>
          <w:kern w:val="28"/>
          <w:sz w:val="22"/>
          <w:szCs w:val="22"/>
        </w:rPr>
        <w:t xml:space="preserve"> Se prevén las siguientes actividades: (i) diseñar e implementar un nuevo portal web para la CGR; (ii) elaborar un diagnóstico, definir un plan de mejora para el proceso de gestión de denuncias ciudadanas; (iii) fortalecer el proceso modelo de Gestión de Denuncias  al interior de la CGR y sus herramientas de apoyo que considere la estimación de recursos humanos, financieros y técnicos necesarios, y una metodología de clasificación, priorización y seguimiento; (iv) diseñar e implementar una Estrategia de promoción y fomento del control fiscal participativo que contemple el fortalecimiento de veedurías, talleres de formació</w:t>
      </w:r>
      <w:r w:rsidR="000C493C">
        <w:rPr>
          <w:rFonts w:ascii="Arial" w:hAnsi="Arial" w:cs="Arial"/>
          <w:kern w:val="28"/>
          <w:sz w:val="22"/>
          <w:szCs w:val="22"/>
        </w:rPr>
        <w:t>n, entre otras actividades; (v) </w:t>
      </w:r>
      <w:r w:rsidRPr="000C493C">
        <w:rPr>
          <w:rFonts w:ascii="Arial" w:hAnsi="Arial" w:cs="Arial"/>
          <w:kern w:val="28"/>
          <w:sz w:val="22"/>
          <w:szCs w:val="22"/>
        </w:rPr>
        <w:t>revisar y ajustar la estrategia de comunicación de la CGR, tanto a nivel externo como interno; (vi) diseñar e implementar una estrategia de datos abiertos según los criterios definidos por el MINTIC; y (vii) diseñar y aplicar encuestas de percepción tanto a sujetos de control como a la ciudadanía en general, con el objetivo de recabar información que le permita a la CGR tomar decisiones para mejorar sus prácticas operativas y su imagen frente a la sociedad.</w:t>
      </w:r>
    </w:p>
    <w:p w:rsidR="00330CAE" w:rsidRPr="000C493C" w:rsidRDefault="00330CAE" w:rsidP="00330CAE">
      <w:pPr>
        <w:pStyle w:val="Paragraph"/>
        <w:numPr>
          <w:ilvl w:val="0"/>
          <w:numId w:val="0"/>
        </w:numPr>
        <w:spacing w:before="0" w:after="0"/>
        <w:ind w:left="567"/>
        <w:rPr>
          <w:rFonts w:ascii="Arial" w:hAnsi="Arial" w:cs="Arial"/>
          <w:kern w:val="28"/>
          <w:sz w:val="22"/>
          <w:szCs w:val="22"/>
        </w:rPr>
      </w:pPr>
    </w:p>
    <w:p w:rsidR="00B84211" w:rsidRPr="000C493C" w:rsidRDefault="007B3237" w:rsidP="001C689D">
      <w:pPr>
        <w:pStyle w:val="Paragraph"/>
        <w:numPr>
          <w:ilvl w:val="1"/>
          <w:numId w:val="1"/>
        </w:numPr>
        <w:spacing w:before="0" w:after="0"/>
        <w:rPr>
          <w:rFonts w:ascii="Arial" w:hAnsi="Arial" w:cs="Arial"/>
          <w:b/>
          <w:sz w:val="22"/>
          <w:szCs w:val="22"/>
        </w:rPr>
      </w:pPr>
      <w:r w:rsidRPr="000C493C">
        <w:rPr>
          <w:rFonts w:ascii="Arial" w:hAnsi="Arial" w:cs="Arial"/>
          <w:b/>
          <w:sz w:val="22"/>
          <w:szCs w:val="22"/>
        </w:rPr>
        <w:t>Beneficios esperados</w:t>
      </w:r>
      <w:r w:rsidR="00E27F2E" w:rsidRPr="000C493C">
        <w:rPr>
          <w:rFonts w:ascii="Arial" w:hAnsi="Arial" w:cs="Arial"/>
          <w:b/>
          <w:sz w:val="22"/>
          <w:szCs w:val="22"/>
        </w:rPr>
        <w:t xml:space="preserve"> 1</w:t>
      </w:r>
      <w:r w:rsidR="00330CAE" w:rsidRPr="000C493C">
        <w:rPr>
          <w:rFonts w:ascii="Arial" w:hAnsi="Arial" w:cs="Arial"/>
          <w:b/>
          <w:sz w:val="22"/>
          <w:szCs w:val="22"/>
        </w:rPr>
        <w:t>:</w:t>
      </w:r>
    </w:p>
    <w:p w:rsidR="00123F4E" w:rsidRPr="000C493C" w:rsidRDefault="00E27F2E" w:rsidP="001C689D">
      <w:pPr>
        <w:pStyle w:val="Vieta"/>
        <w:spacing w:line="240" w:lineRule="auto"/>
        <w:rPr>
          <w:rFonts w:ascii="Arial" w:hAnsi="Arial" w:cs="Arial"/>
          <w:sz w:val="22"/>
          <w:szCs w:val="22"/>
        </w:rPr>
      </w:pPr>
      <w:r w:rsidRPr="000C493C">
        <w:rPr>
          <w:rFonts w:ascii="Arial" w:hAnsi="Arial" w:cs="Arial"/>
          <w:sz w:val="22"/>
          <w:szCs w:val="22"/>
        </w:rPr>
        <w:t xml:space="preserve">El primer grupo de beneficios se asocia al incremento en las auditorías </w:t>
      </w:r>
      <w:r w:rsidR="00E265E5">
        <w:rPr>
          <w:rFonts w:ascii="Arial" w:hAnsi="Arial" w:cs="Arial"/>
          <w:sz w:val="22"/>
          <w:szCs w:val="22"/>
        </w:rPr>
        <w:t xml:space="preserve">(cobertura) </w:t>
      </w:r>
      <w:r w:rsidRPr="000C493C">
        <w:rPr>
          <w:rFonts w:ascii="Arial" w:hAnsi="Arial" w:cs="Arial"/>
          <w:sz w:val="22"/>
          <w:szCs w:val="22"/>
        </w:rPr>
        <w:t xml:space="preserve">debido a los componentes </w:t>
      </w:r>
      <w:r w:rsidR="00E30F57" w:rsidRPr="000C493C">
        <w:rPr>
          <w:rFonts w:ascii="Arial" w:hAnsi="Arial" w:cs="Arial"/>
          <w:sz w:val="22"/>
          <w:szCs w:val="22"/>
        </w:rPr>
        <w:t>1 y 2 del programa. El primero de ellos directamente y el segundo mejorando la eficiencia en la gestión de la información mediante una renovación de los recursos informáticos.</w:t>
      </w:r>
      <w:r w:rsidR="001B46D2" w:rsidRPr="000C493C">
        <w:rPr>
          <w:rFonts w:ascii="Arial" w:hAnsi="Arial" w:cs="Arial"/>
          <w:sz w:val="22"/>
          <w:szCs w:val="22"/>
        </w:rPr>
        <w:t xml:space="preserve"> Diversos estudios sugieren que un incremento en las auditorías disminuye</w:t>
      </w:r>
      <w:r w:rsidR="00243A11" w:rsidRPr="000C493C">
        <w:rPr>
          <w:rFonts w:ascii="Arial" w:hAnsi="Arial" w:cs="Arial"/>
          <w:sz w:val="22"/>
          <w:szCs w:val="22"/>
        </w:rPr>
        <w:t>n</w:t>
      </w:r>
      <w:r w:rsidR="001B46D2" w:rsidRPr="000C493C">
        <w:rPr>
          <w:rFonts w:ascii="Arial" w:hAnsi="Arial" w:cs="Arial"/>
          <w:sz w:val="22"/>
          <w:szCs w:val="22"/>
        </w:rPr>
        <w:t xml:space="preserve"> la</w:t>
      </w:r>
      <w:r w:rsidR="00D66965" w:rsidRPr="000C493C">
        <w:rPr>
          <w:rFonts w:ascii="Arial" w:hAnsi="Arial" w:cs="Arial"/>
          <w:sz w:val="22"/>
          <w:szCs w:val="22"/>
        </w:rPr>
        <w:t>s</w:t>
      </w:r>
      <w:r w:rsidR="001B46D2" w:rsidRPr="000C493C">
        <w:rPr>
          <w:rFonts w:ascii="Arial" w:hAnsi="Arial" w:cs="Arial"/>
          <w:sz w:val="22"/>
          <w:szCs w:val="22"/>
        </w:rPr>
        <w:t xml:space="preserve"> </w:t>
      </w:r>
      <w:r w:rsidR="00D66965" w:rsidRPr="000C493C">
        <w:rPr>
          <w:rFonts w:ascii="Arial" w:hAnsi="Arial" w:cs="Arial"/>
          <w:sz w:val="22"/>
          <w:szCs w:val="22"/>
        </w:rPr>
        <w:t>irregularidades</w:t>
      </w:r>
      <w:r w:rsidR="001B46D2" w:rsidRPr="000C493C">
        <w:rPr>
          <w:rFonts w:ascii="Arial" w:hAnsi="Arial" w:cs="Arial"/>
          <w:sz w:val="22"/>
          <w:szCs w:val="22"/>
        </w:rPr>
        <w:t xml:space="preserve">. </w:t>
      </w:r>
      <w:r w:rsidR="00043476" w:rsidRPr="000C493C">
        <w:rPr>
          <w:rFonts w:ascii="Arial" w:hAnsi="Arial" w:cs="Arial"/>
          <w:sz w:val="22"/>
          <w:szCs w:val="22"/>
        </w:rPr>
        <w:t>En Buenos Aires (Argentina), Di Tella y Schargdrodsky</w:t>
      </w:r>
      <w:r w:rsidR="007661BC" w:rsidRPr="000C493C">
        <w:rPr>
          <w:rFonts w:ascii="Arial" w:hAnsi="Arial" w:cs="Arial"/>
          <w:sz w:val="22"/>
          <w:szCs w:val="22"/>
        </w:rPr>
        <w:t xml:space="preserve"> (2003)</w:t>
      </w:r>
      <w:r w:rsidR="0031026F" w:rsidRPr="000C493C">
        <w:rPr>
          <w:rStyle w:val="FootnoteReference"/>
          <w:rFonts w:ascii="Arial" w:hAnsi="Arial" w:cs="Arial"/>
          <w:sz w:val="22"/>
          <w:szCs w:val="22"/>
        </w:rPr>
        <w:footnoteReference w:id="1"/>
      </w:r>
      <w:r w:rsidR="007C7748" w:rsidRPr="000C493C">
        <w:rPr>
          <w:rFonts w:ascii="Arial" w:hAnsi="Arial" w:cs="Arial"/>
          <w:sz w:val="22"/>
          <w:szCs w:val="22"/>
        </w:rPr>
        <w:t xml:space="preserve"> </w:t>
      </w:r>
      <w:r w:rsidR="00043476" w:rsidRPr="000C493C">
        <w:rPr>
          <w:rFonts w:ascii="Arial" w:hAnsi="Arial" w:cs="Arial"/>
          <w:sz w:val="22"/>
          <w:szCs w:val="22"/>
        </w:rPr>
        <w:t>encuentran que al realizar auditorías en l</w:t>
      </w:r>
      <w:r w:rsidR="00BD0F5A" w:rsidRPr="000C493C">
        <w:rPr>
          <w:rFonts w:ascii="Arial" w:hAnsi="Arial" w:cs="Arial"/>
          <w:sz w:val="22"/>
          <w:szCs w:val="22"/>
        </w:rPr>
        <w:t>a</w:t>
      </w:r>
      <w:r w:rsidR="00043476" w:rsidRPr="000C493C">
        <w:rPr>
          <w:rFonts w:ascii="Arial" w:hAnsi="Arial" w:cs="Arial"/>
          <w:sz w:val="22"/>
          <w:szCs w:val="22"/>
        </w:rPr>
        <w:t xml:space="preserve">s </w:t>
      </w:r>
      <w:r w:rsidR="00BD0F5A" w:rsidRPr="000C493C">
        <w:rPr>
          <w:rFonts w:ascii="Arial" w:hAnsi="Arial" w:cs="Arial"/>
          <w:sz w:val="22"/>
          <w:szCs w:val="22"/>
        </w:rPr>
        <w:t xml:space="preserve">compras de </w:t>
      </w:r>
      <w:r w:rsidR="00043476" w:rsidRPr="000C493C">
        <w:rPr>
          <w:rFonts w:ascii="Arial" w:hAnsi="Arial" w:cs="Arial"/>
          <w:sz w:val="22"/>
          <w:szCs w:val="22"/>
        </w:rPr>
        <w:t>hospitales públicos, la</w:t>
      </w:r>
      <w:r w:rsidR="0025338C" w:rsidRPr="000C493C">
        <w:rPr>
          <w:rFonts w:ascii="Arial" w:hAnsi="Arial" w:cs="Arial"/>
          <w:sz w:val="22"/>
          <w:szCs w:val="22"/>
        </w:rPr>
        <w:t>s irregularidades</w:t>
      </w:r>
      <w:r w:rsidR="00043476" w:rsidRPr="000C493C">
        <w:rPr>
          <w:rFonts w:ascii="Arial" w:hAnsi="Arial" w:cs="Arial"/>
          <w:sz w:val="22"/>
          <w:szCs w:val="22"/>
        </w:rPr>
        <w:t xml:space="preserve"> </w:t>
      </w:r>
      <w:r w:rsidR="00C031B1" w:rsidRPr="000C493C">
        <w:rPr>
          <w:rFonts w:ascii="Arial" w:hAnsi="Arial" w:cs="Arial"/>
          <w:sz w:val="22"/>
          <w:szCs w:val="22"/>
        </w:rPr>
        <w:t>(medida</w:t>
      </w:r>
      <w:r w:rsidR="0025338C" w:rsidRPr="000C493C">
        <w:rPr>
          <w:rFonts w:ascii="Arial" w:hAnsi="Arial" w:cs="Arial"/>
          <w:sz w:val="22"/>
          <w:szCs w:val="22"/>
        </w:rPr>
        <w:t>s</w:t>
      </w:r>
      <w:r w:rsidR="00C031B1" w:rsidRPr="000C493C">
        <w:rPr>
          <w:rFonts w:ascii="Arial" w:hAnsi="Arial" w:cs="Arial"/>
          <w:sz w:val="22"/>
          <w:szCs w:val="22"/>
        </w:rPr>
        <w:t xml:space="preserve"> como diferenciales de precios de bienes homogéneos) cae</w:t>
      </w:r>
      <w:r w:rsidR="0025338C" w:rsidRPr="000C493C">
        <w:rPr>
          <w:rFonts w:ascii="Arial" w:hAnsi="Arial" w:cs="Arial"/>
          <w:sz w:val="22"/>
          <w:szCs w:val="22"/>
        </w:rPr>
        <w:t>n</w:t>
      </w:r>
      <w:r w:rsidR="00C031B1" w:rsidRPr="000C493C">
        <w:rPr>
          <w:rFonts w:ascii="Arial" w:hAnsi="Arial" w:cs="Arial"/>
          <w:sz w:val="22"/>
          <w:szCs w:val="22"/>
        </w:rPr>
        <w:t xml:space="preserve"> entre un 10% y un 15%. </w:t>
      </w:r>
      <w:r w:rsidR="007C7748" w:rsidRPr="000C493C">
        <w:rPr>
          <w:rFonts w:ascii="Arial" w:hAnsi="Arial" w:cs="Arial"/>
          <w:sz w:val="22"/>
          <w:szCs w:val="22"/>
        </w:rPr>
        <w:t>Mientras que en Brasil, Beylis, Finan y Mazzocco (2011)</w:t>
      </w:r>
      <w:r w:rsidR="0031026F" w:rsidRPr="000C493C">
        <w:rPr>
          <w:rStyle w:val="FootnoteReference"/>
          <w:rFonts w:ascii="Arial" w:hAnsi="Arial" w:cs="Arial"/>
          <w:sz w:val="22"/>
          <w:szCs w:val="22"/>
        </w:rPr>
        <w:footnoteReference w:id="2"/>
      </w:r>
      <w:r w:rsidR="007C7748" w:rsidRPr="000C493C">
        <w:rPr>
          <w:rFonts w:ascii="Arial" w:hAnsi="Arial" w:cs="Arial"/>
          <w:sz w:val="22"/>
          <w:szCs w:val="22"/>
        </w:rPr>
        <w:t xml:space="preserve"> muestran que al incrementar la misma probabilidad de un 5% a un 17%, </w:t>
      </w:r>
      <w:r w:rsidR="0025338C" w:rsidRPr="000C493C">
        <w:rPr>
          <w:rFonts w:ascii="Arial" w:hAnsi="Arial" w:cs="Arial"/>
          <w:sz w:val="22"/>
          <w:szCs w:val="22"/>
        </w:rPr>
        <w:t>las irregularidades</w:t>
      </w:r>
      <w:r w:rsidR="007C7748" w:rsidRPr="000C493C">
        <w:rPr>
          <w:rFonts w:ascii="Arial" w:hAnsi="Arial" w:cs="Arial"/>
          <w:sz w:val="22"/>
          <w:szCs w:val="22"/>
        </w:rPr>
        <w:t xml:space="preserve"> de los gobiernos municipales se reduce</w:t>
      </w:r>
      <w:r w:rsidR="0025338C" w:rsidRPr="000C493C">
        <w:rPr>
          <w:rFonts w:ascii="Arial" w:hAnsi="Arial" w:cs="Arial"/>
          <w:sz w:val="22"/>
          <w:szCs w:val="22"/>
        </w:rPr>
        <w:t>n</w:t>
      </w:r>
      <w:r w:rsidR="007C7748" w:rsidRPr="000C493C">
        <w:rPr>
          <w:rFonts w:ascii="Arial" w:hAnsi="Arial" w:cs="Arial"/>
          <w:sz w:val="22"/>
          <w:szCs w:val="22"/>
        </w:rPr>
        <w:t xml:space="preserve"> </w:t>
      </w:r>
      <w:r w:rsidR="00F04C96" w:rsidRPr="000C493C">
        <w:rPr>
          <w:rFonts w:ascii="Arial" w:hAnsi="Arial" w:cs="Arial"/>
          <w:sz w:val="22"/>
          <w:szCs w:val="22"/>
        </w:rPr>
        <w:t xml:space="preserve">considerablemente (aproximadamente en </w:t>
      </w:r>
      <w:r w:rsidR="007C7748" w:rsidRPr="000C493C">
        <w:rPr>
          <w:rFonts w:ascii="Arial" w:hAnsi="Arial" w:cs="Arial"/>
          <w:sz w:val="22"/>
          <w:szCs w:val="22"/>
        </w:rPr>
        <w:t>8 veces</w:t>
      </w:r>
      <w:r w:rsidR="00F04C96" w:rsidRPr="000C493C">
        <w:rPr>
          <w:rFonts w:ascii="Arial" w:hAnsi="Arial" w:cs="Arial"/>
          <w:sz w:val="22"/>
          <w:szCs w:val="22"/>
        </w:rPr>
        <w:t>)</w:t>
      </w:r>
      <w:r w:rsidR="007C7748" w:rsidRPr="000C493C">
        <w:rPr>
          <w:rFonts w:ascii="Arial" w:hAnsi="Arial" w:cs="Arial"/>
          <w:sz w:val="22"/>
          <w:szCs w:val="22"/>
        </w:rPr>
        <w:t xml:space="preserve">. </w:t>
      </w:r>
      <w:r w:rsidR="00BA3E35" w:rsidRPr="000C493C">
        <w:rPr>
          <w:rFonts w:ascii="Arial" w:hAnsi="Arial" w:cs="Arial"/>
          <w:sz w:val="22"/>
          <w:szCs w:val="22"/>
        </w:rPr>
        <w:t xml:space="preserve">Por otra parte Bandeira, Pratt y Valetti </w:t>
      </w:r>
      <w:r w:rsidR="0031026F" w:rsidRPr="000C493C">
        <w:rPr>
          <w:rFonts w:ascii="Arial" w:hAnsi="Arial" w:cs="Arial"/>
          <w:sz w:val="22"/>
          <w:szCs w:val="22"/>
        </w:rPr>
        <w:t>(</w:t>
      </w:r>
      <w:r w:rsidR="00964EA4" w:rsidRPr="000C493C">
        <w:rPr>
          <w:rFonts w:ascii="Arial" w:hAnsi="Arial" w:cs="Arial"/>
          <w:sz w:val="22"/>
          <w:szCs w:val="22"/>
        </w:rPr>
        <w:t>2009</w:t>
      </w:r>
      <w:r w:rsidR="0031026F" w:rsidRPr="000C493C">
        <w:rPr>
          <w:rFonts w:ascii="Arial" w:hAnsi="Arial" w:cs="Arial"/>
          <w:sz w:val="22"/>
          <w:szCs w:val="22"/>
        </w:rPr>
        <w:t>)</w:t>
      </w:r>
      <w:r w:rsidR="0031026F" w:rsidRPr="000C493C">
        <w:rPr>
          <w:rStyle w:val="FootnoteReference"/>
          <w:rFonts w:ascii="Arial" w:hAnsi="Arial" w:cs="Arial"/>
          <w:sz w:val="22"/>
          <w:szCs w:val="22"/>
        </w:rPr>
        <w:footnoteReference w:id="3"/>
      </w:r>
      <w:r w:rsidR="0031026F" w:rsidRPr="000C493C">
        <w:rPr>
          <w:rFonts w:ascii="Arial" w:hAnsi="Arial" w:cs="Arial"/>
          <w:sz w:val="22"/>
          <w:szCs w:val="22"/>
        </w:rPr>
        <w:t xml:space="preserve"> </w:t>
      </w:r>
      <w:r w:rsidR="00BA3E35" w:rsidRPr="000C493C">
        <w:rPr>
          <w:rFonts w:ascii="Arial" w:hAnsi="Arial" w:cs="Arial"/>
          <w:sz w:val="22"/>
          <w:szCs w:val="22"/>
        </w:rPr>
        <w:t xml:space="preserve">apuntan a que las pérdidas por </w:t>
      </w:r>
      <w:r w:rsidR="00450F8D" w:rsidRPr="000C493C">
        <w:rPr>
          <w:rFonts w:ascii="Arial" w:hAnsi="Arial" w:cs="Arial"/>
          <w:sz w:val="22"/>
          <w:szCs w:val="22"/>
        </w:rPr>
        <w:t>irregularidades</w:t>
      </w:r>
      <w:r w:rsidR="00BA3E35" w:rsidRPr="000C493C">
        <w:rPr>
          <w:rFonts w:ascii="Arial" w:hAnsi="Arial" w:cs="Arial"/>
          <w:sz w:val="22"/>
          <w:szCs w:val="22"/>
        </w:rPr>
        <w:t xml:space="preserve"> son pequeñas en comparación con las que se producen debido a una mala administración, por ejemplo, cuando los organismos estatales no declaran los precios que pagan en sus compras</w:t>
      </w:r>
      <w:r w:rsidR="005F219A" w:rsidRPr="000C493C">
        <w:rPr>
          <w:rFonts w:ascii="Arial" w:hAnsi="Arial" w:cs="Arial"/>
          <w:sz w:val="22"/>
          <w:szCs w:val="22"/>
        </w:rPr>
        <w:t>, en estos casos, indican, los sobreprecios pueden deberse más bien a ineficiencia (80%).</w:t>
      </w:r>
      <w:r w:rsidR="00BA3E35" w:rsidRPr="000C493C">
        <w:rPr>
          <w:rFonts w:ascii="Arial" w:hAnsi="Arial" w:cs="Arial"/>
          <w:sz w:val="22"/>
          <w:szCs w:val="22"/>
        </w:rPr>
        <w:t xml:space="preserve"> </w:t>
      </w:r>
      <w:r w:rsidR="00E265E5" w:rsidRPr="000C493C">
        <w:rPr>
          <w:rFonts w:ascii="Arial" w:hAnsi="Arial" w:cs="Arial"/>
          <w:sz w:val="22"/>
          <w:szCs w:val="22"/>
        </w:rPr>
        <w:t>Olken (2007)</w:t>
      </w:r>
      <w:r w:rsidR="00E265E5" w:rsidRPr="000C493C">
        <w:rPr>
          <w:rStyle w:val="FootnoteReference"/>
          <w:rFonts w:ascii="Arial" w:hAnsi="Arial" w:cs="Arial"/>
          <w:sz w:val="22"/>
          <w:szCs w:val="22"/>
        </w:rPr>
        <w:footnoteReference w:id="4"/>
      </w:r>
      <w:r w:rsidR="00E265E5" w:rsidRPr="000C493C">
        <w:rPr>
          <w:rFonts w:ascii="Arial" w:hAnsi="Arial" w:cs="Arial"/>
          <w:sz w:val="22"/>
          <w:szCs w:val="22"/>
        </w:rPr>
        <w:t xml:space="preserve">  revela que, en Indonesia, al asignar aleatoriamente auditorías a proyectos financiados con fondos estatales, las irregularidades disminuyen un 8% cuando la probabilidad de ser auditado se incrementa de un 4% a un 100%. </w:t>
      </w:r>
      <w:r w:rsidR="00F04C96" w:rsidRPr="000C493C">
        <w:rPr>
          <w:rFonts w:ascii="Arial" w:hAnsi="Arial" w:cs="Arial"/>
          <w:sz w:val="22"/>
          <w:szCs w:val="22"/>
        </w:rPr>
        <w:t>Si bien en esencia todos los resultados apuntan en la misma dirección, el hecho que la mag</w:t>
      </w:r>
      <w:r w:rsidR="00761AE7" w:rsidRPr="000C493C">
        <w:rPr>
          <w:rFonts w:ascii="Arial" w:hAnsi="Arial" w:cs="Arial"/>
          <w:sz w:val="22"/>
          <w:szCs w:val="22"/>
        </w:rPr>
        <w:t>ni</w:t>
      </w:r>
      <w:r w:rsidR="00F04C96" w:rsidRPr="000C493C">
        <w:rPr>
          <w:rFonts w:ascii="Arial" w:hAnsi="Arial" w:cs="Arial"/>
          <w:sz w:val="22"/>
          <w:szCs w:val="22"/>
        </w:rPr>
        <w:t>tud de los r</w:t>
      </w:r>
      <w:r w:rsidR="00747E11" w:rsidRPr="000C493C">
        <w:rPr>
          <w:rFonts w:ascii="Arial" w:hAnsi="Arial" w:cs="Arial"/>
          <w:sz w:val="22"/>
          <w:szCs w:val="22"/>
        </w:rPr>
        <w:t xml:space="preserve">esultados </w:t>
      </w:r>
      <w:r w:rsidR="00F04C96" w:rsidRPr="000C493C">
        <w:rPr>
          <w:rFonts w:ascii="Arial" w:hAnsi="Arial" w:cs="Arial"/>
          <w:sz w:val="22"/>
          <w:szCs w:val="22"/>
        </w:rPr>
        <w:t xml:space="preserve">sea </w:t>
      </w:r>
      <w:r w:rsidR="00747E11" w:rsidRPr="000C493C">
        <w:rPr>
          <w:rFonts w:ascii="Arial" w:hAnsi="Arial" w:cs="Arial"/>
          <w:sz w:val="22"/>
          <w:szCs w:val="22"/>
        </w:rPr>
        <w:t>tan divers</w:t>
      </w:r>
      <w:r w:rsidR="00F04C96" w:rsidRPr="000C493C">
        <w:rPr>
          <w:rFonts w:ascii="Arial" w:hAnsi="Arial" w:cs="Arial"/>
          <w:sz w:val="22"/>
          <w:szCs w:val="22"/>
        </w:rPr>
        <w:t>a</w:t>
      </w:r>
      <w:r w:rsidR="00747E11" w:rsidRPr="000C493C">
        <w:rPr>
          <w:rFonts w:ascii="Arial" w:hAnsi="Arial" w:cs="Arial"/>
          <w:sz w:val="22"/>
          <w:szCs w:val="22"/>
        </w:rPr>
        <w:t xml:space="preserve"> acentúa la necesidad de</w:t>
      </w:r>
      <w:r w:rsidR="00F04C96" w:rsidRPr="000C493C">
        <w:rPr>
          <w:rFonts w:ascii="Arial" w:hAnsi="Arial" w:cs="Arial"/>
          <w:sz w:val="22"/>
          <w:szCs w:val="22"/>
        </w:rPr>
        <w:t xml:space="preserve"> adoptar</w:t>
      </w:r>
      <w:r w:rsidR="00747E11" w:rsidRPr="000C493C">
        <w:rPr>
          <w:rFonts w:ascii="Arial" w:hAnsi="Arial" w:cs="Arial"/>
          <w:sz w:val="22"/>
          <w:szCs w:val="22"/>
        </w:rPr>
        <w:t xml:space="preserve"> un perfil conservador en el análisis económico. Si bien las características socioeconómicas de Brasil pueden tener más en común con Colombia que Indonesia, es posible que no se pueda esperar el mismo resultado sobre las medidas de </w:t>
      </w:r>
      <w:r w:rsidR="00106234" w:rsidRPr="000C493C">
        <w:rPr>
          <w:rFonts w:ascii="Arial" w:hAnsi="Arial" w:cs="Arial"/>
          <w:sz w:val="22"/>
          <w:szCs w:val="22"/>
        </w:rPr>
        <w:t>irregularidades</w:t>
      </w:r>
      <w:r w:rsidR="00747E11" w:rsidRPr="000C493C">
        <w:rPr>
          <w:rFonts w:ascii="Arial" w:hAnsi="Arial" w:cs="Arial"/>
          <w:sz w:val="22"/>
          <w:szCs w:val="22"/>
        </w:rPr>
        <w:t>. Velando por un análisis conservador, se asumirá que el incremento de las auditorías prov</w:t>
      </w:r>
      <w:r w:rsidR="00895525">
        <w:rPr>
          <w:rFonts w:ascii="Arial" w:hAnsi="Arial" w:cs="Arial"/>
          <w:sz w:val="22"/>
          <w:szCs w:val="22"/>
        </w:rPr>
        <w:t xml:space="preserve">ocado por el programa </w:t>
      </w:r>
      <w:r w:rsidR="00747E11" w:rsidRPr="000C493C">
        <w:rPr>
          <w:rFonts w:ascii="Arial" w:hAnsi="Arial" w:cs="Arial"/>
          <w:sz w:val="22"/>
          <w:szCs w:val="22"/>
        </w:rPr>
        <w:t>redundará en una reducción del 2</w:t>
      </w:r>
      <w:r w:rsidR="00DC5A20" w:rsidRPr="000C493C">
        <w:rPr>
          <w:rFonts w:ascii="Arial" w:hAnsi="Arial" w:cs="Arial"/>
          <w:sz w:val="22"/>
          <w:szCs w:val="22"/>
        </w:rPr>
        <w:t>,5</w:t>
      </w:r>
      <w:r w:rsidR="00747E11" w:rsidRPr="000C493C">
        <w:rPr>
          <w:rFonts w:ascii="Arial" w:hAnsi="Arial" w:cs="Arial"/>
          <w:sz w:val="22"/>
          <w:szCs w:val="22"/>
        </w:rPr>
        <w:t>% en la</w:t>
      </w:r>
      <w:r w:rsidR="00FA557C" w:rsidRPr="000C493C">
        <w:rPr>
          <w:rFonts w:ascii="Arial" w:hAnsi="Arial" w:cs="Arial"/>
          <w:sz w:val="22"/>
          <w:szCs w:val="22"/>
        </w:rPr>
        <w:t>s</w:t>
      </w:r>
      <w:r w:rsidR="00747E11" w:rsidRPr="000C493C">
        <w:rPr>
          <w:rFonts w:ascii="Arial" w:hAnsi="Arial" w:cs="Arial"/>
          <w:sz w:val="22"/>
          <w:szCs w:val="22"/>
        </w:rPr>
        <w:t xml:space="preserve"> </w:t>
      </w:r>
      <w:r w:rsidR="00FA557C" w:rsidRPr="000C493C">
        <w:rPr>
          <w:rFonts w:ascii="Arial" w:hAnsi="Arial" w:cs="Arial"/>
          <w:sz w:val="22"/>
          <w:szCs w:val="22"/>
        </w:rPr>
        <w:lastRenderedPageBreak/>
        <w:t>irregularidades</w:t>
      </w:r>
      <w:r w:rsidR="00747E11" w:rsidRPr="000C493C">
        <w:rPr>
          <w:rFonts w:ascii="Arial" w:hAnsi="Arial" w:cs="Arial"/>
          <w:sz w:val="22"/>
          <w:szCs w:val="22"/>
        </w:rPr>
        <w:t>, supuesto prudente teniendo en cuenta los resultados de los estudios previamente citados.</w:t>
      </w:r>
    </w:p>
    <w:p w:rsidR="00330CAE" w:rsidRPr="000C493C" w:rsidRDefault="00330CAE" w:rsidP="00330CAE">
      <w:pPr>
        <w:pStyle w:val="Vieta"/>
        <w:numPr>
          <w:ilvl w:val="0"/>
          <w:numId w:val="0"/>
        </w:numPr>
        <w:spacing w:line="240" w:lineRule="auto"/>
        <w:ind w:left="993"/>
        <w:rPr>
          <w:rFonts w:ascii="Arial" w:hAnsi="Arial" w:cs="Arial"/>
          <w:sz w:val="22"/>
          <w:szCs w:val="22"/>
        </w:rPr>
      </w:pPr>
    </w:p>
    <w:p w:rsidR="008666CA" w:rsidRPr="000C493C" w:rsidRDefault="008411C0" w:rsidP="001C689D">
      <w:pPr>
        <w:pStyle w:val="Vieta"/>
        <w:spacing w:line="240" w:lineRule="auto"/>
        <w:rPr>
          <w:rFonts w:ascii="Arial" w:hAnsi="Arial" w:cs="Arial"/>
          <w:sz w:val="22"/>
          <w:szCs w:val="22"/>
        </w:rPr>
      </w:pPr>
      <w:r w:rsidRPr="000C493C">
        <w:rPr>
          <w:rFonts w:ascii="Arial" w:hAnsi="Arial" w:cs="Arial"/>
          <w:sz w:val="22"/>
          <w:szCs w:val="22"/>
        </w:rPr>
        <w:t xml:space="preserve">La medida de </w:t>
      </w:r>
      <w:r w:rsidR="00FA557C" w:rsidRPr="000C493C">
        <w:rPr>
          <w:rFonts w:ascii="Arial" w:hAnsi="Arial" w:cs="Arial"/>
          <w:sz w:val="22"/>
          <w:szCs w:val="22"/>
        </w:rPr>
        <w:t>irregularidad</w:t>
      </w:r>
      <w:r w:rsidRPr="000C493C">
        <w:rPr>
          <w:rFonts w:ascii="Arial" w:hAnsi="Arial" w:cs="Arial"/>
          <w:sz w:val="22"/>
          <w:szCs w:val="22"/>
        </w:rPr>
        <w:t xml:space="preserve"> utilizada en este análisis viene dada por la “cuantía de fallos” aportados por la CGR</w:t>
      </w:r>
      <w:r w:rsidR="001A2ED1" w:rsidRPr="000C493C">
        <w:rPr>
          <w:rFonts w:ascii="Arial" w:hAnsi="Arial" w:cs="Arial"/>
          <w:sz w:val="22"/>
          <w:szCs w:val="22"/>
        </w:rPr>
        <w:t xml:space="preserve"> para la serie temporal correspondiente al período 2009-2014.</w:t>
      </w:r>
      <w:r w:rsidR="00756BC7" w:rsidRPr="000C493C">
        <w:rPr>
          <w:rFonts w:ascii="Arial" w:hAnsi="Arial" w:cs="Arial"/>
          <w:sz w:val="22"/>
          <w:szCs w:val="22"/>
        </w:rPr>
        <w:t xml:space="preserve"> Los fallos de responsabilidad fiscal son actos administrativos que tienen como objetivo determinar si un servidor público o particular obró con dolo o culpa en la administración y/o manejo de los recursos públicos, una vez que se produjo un daño al patrimonio del Estado. Este daño es representado monetariamente mediante la “cuantía de fallos”</w:t>
      </w:r>
      <w:r w:rsidR="00E90276" w:rsidRPr="000C493C">
        <w:rPr>
          <w:rFonts w:ascii="Arial" w:hAnsi="Arial" w:cs="Arial"/>
          <w:sz w:val="22"/>
          <w:szCs w:val="22"/>
        </w:rPr>
        <w:t>, es decir, que los fallos aquí presentados son cumplen la función de cuantificar los daños al estado producidos por la gestión de servidores públicos o particulares. El fallo establece finalmente si se actuó con culpa o dolo. De este modo, se pueden interpretar aquellos fallos en los cuales ha sido determinado que se actuó con dolo como actos de corrupci</w:t>
      </w:r>
      <w:r w:rsidR="00E17FBC" w:rsidRPr="000C493C">
        <w:rPr>
          <w:rFonts w:ascii="Arial" w:hAnsi="Arial" w:cs="Arial"/>
          <w:sz w:val="22"/>
          <w:szCs w:val="22"/>
        </w:rPr>
        <w:t>ón, mientras que en los casos de culpa se pueden interpretar como negligencia. Se asume que los efectos del programa sobre corrupción y negligencia son similares, por lo que en adelante simplemente se hablará de “</w:t>
      </w:r>
      <w:r w:rsidR="00EA5935" w:rsidRPr="000C493C">
        <w:rPr>
          <w:rFonts w:ascii="Arial" w:hAnsi="Arial" w:cs="Arial"/>
          <w:sz w:val="22"/>
          <w:szCs w:val="22"/>
        </w:rPr>
        <w:t>irregularidades</w:t>
      </w:r>
      <w:r w:rsidR="00E17FBC" w:rsidRPr="000C493C">
        <w:rPr>
          <w:rFonts w:ascii="Arial" w:hAnsi="Arial" w:cs="Arial"/>
          <w:sz w:val="22"/>
          <w:szCs w:val="22"/>
        </w:rPr>
        <w:t>”</w:t>
      </w:r>
      <w:r w:rsidR="00756BC7" w:rsidRPr="000C493C">
        <w:rPr>
          <w:rFonts w:ascii="Arial" w:hAnsi="Arial" w:cs="Arial"/>
          <w:sz w:val="22"/>
          <w:szCs w:val="22"/>
        </w:rPr>
        <w:t xml:space="preserve">. </w:t>
      </w:r>
      <w:r w:rsidR="005D626A" w:rsidRPr="000C493C">
        <w:rPr>
          <w:rFonts w:ascii="Arial" w:hAnsi="Arial" w:cs="Arial"/>
          <w:sz w:val="22"/>
          <w:szCs w:val="22"/>
        </w:rPr>
        <w:t xml:space="preserve">El efecto sobre </w:t>
      </w:r>
      <w:r w:rsidR="00E72081" w:rsidRPr="000C493C">
        <w:rPr>
          <w:rFonts w:ascii="Arial" w:hAnsi="Arial" w:cs="Arial"/>
          <w:sz w:val="22"/>
          <w:szCs w:val="22"/>
        </w:rPr>
        <w:t>la cuantía de fallos</w:t>
      </w:r>
      <w:r w:rsidR="005D626A" w:rsidRPr="000C493C">
        <w:rPr>
          <w:rFonts w:ascii="Arial" w:hAnsi="Arial" w:cs="Arial"/>
          <w:sz w:val="22"/>
          <w:szCs w:val="22"/>
        </w:rPr>
        <w:t xml:space="preserve"> puede ir en dos direcciones: por un lado, al estar los auditores más entrenados pueden encontrar más</w:t>
      </w:r>
      <w:r w:rsidR="00362D98" w:rsidRPr="000C493C">
        <w:rPr>
          <w:rFonts w:ascii="Arial" w:hAnsi="Arial" w:cs="Arial"/>
          <w:sz w:val="22"/>
          <w:szCs w:val="22"/>
        </w:rPr>
        <w:t xml:space="preserve"> casos de irregularidades,</w:t>
      </w:r>
      <w:r w:rsidR="005D626A" w:rsidRPr="000C493C">
        <w:rPr>
          <w:rFonts w:ascii="Arial" w:hAnsi="Arial" w:cs="Arial"/>
          <w:sz w:val="22"/>
          <w:szCs w:val="22"/>
        </w:rPr>
        <w:t xml:space="preserve"> </w:t>
      </w:r>
      <w:r w:rsidR="005D626A" w:rsidRPr="000C493C">
        <w:rPr>
          <w:rFonts w:ascii="Arial" w:hAnsi="Arial" w:cs="Arial"/>
          <w:i/>
          <w:sz w:val="22"/>
          <w:szCs w:val="22"/>
        </w:rPr>
        <w:t>ceteris paribus</w:t>
      </w:r>
      <w:r w:rsidR="00362D98" w:rsidRPr="000C493C">
        <w:rPr>
          <w:rFonts w:ascii="Arial" w:hAnsi="Arial" w:cs="Arial"/>
          <w:i/>
          <w:sz w:val="22"/>
          <w:szCs w:val="22"/>
        </w:rPr>
        <w:t>,</w:t>
      </w:r>
      <w:r w:rsidR="005D626A" w:rsidRPr="000C493C">
        <w:rPr>
          <w:rFonts w:ascii="Arial" w:hAnsi="Arial" w:cs="Arial"/>
          <w:sz w:val="22"/>
          <w:szCs w:val="22"/>
        </w:rPr>
        <w:t xml:space="preserve"> el comportamie</w:t>
      </w:r>
      <w:r w:rsidR="0031026F" w:rsidRPr="000C493C">
        <w:rPr>
          <w:rFonts w:ascii="Arial" w:hAnsi="Arial" w:cs="Arial"/>
          <w:sz w:val="22"/>
          <w:szCs w:val="22"/>
        </w:rPr>
        <w:t>n</w:t>
      </w:r>
      <w:r w:rsidR="005D626A" w:rsidRPr="000C493C">
        <w:rPr>
          <w:rFonts w:ascii="Arial" w:hAnsi="Arial" w:cs="Arial"/>
          <w:sz w:val="22"/>
          <w:szCs w:val="22"/>
        </w:rPr>
        <w:t>to de los agentes. Pero por otro, puede haber un efecto sobre el comportamiento de los agentes, quienes anticipando que es más probable que los detecten, deciden cometer menos irregularidades</w:t>
      </w:r>
      <w:r w:rsidR="00E72081" w:rsidRPr="000C493C">
        <w:rPr>
          <w:rFonts w:ascii="Arial" w:hAnsi="Arial" w:cs="Arial"/>
          <w:sz w:val="22"/>
          <w:szCs w:val="22"/>
        </w:rPr>
        <w:t xml:space="preserve">. </w:t>
      </w:r>
      <w:r w:rsidR="001A2ED1" w:rsidRPr="000C493C">
        <w:rPr>
          <w:rFonts w:ascii="Arial" w:hAnsi="Arial" w:cs="Arial"/>
          <w:sz w:val="22"/>
          <w:szCs w:val="22"/>
        </w:rPr>
        <w:t xml:space="preserve">Los montos </w:t>
      </w:r>
      <w:r w:rsidR="008666CA" w:rsidRPr="000C493C">
        <w:rPr>
          <w:rFonts w:ascii="Arial" w:hAnsi="Arial" w:cs="Arial"/>
          <w:sz w:val="22"/>
          <w:szCs w:val="22"/>
        </w:rPr>
        <w:t>de esta variable pueden observarse en la siguiente tabla.</w:t>
      </w:r>
    </w:p>
    <w:p w:rsidR="00330CAE" w:rsidRPr="000C493C" w:rsidRDefault="00330CAE" w:rsidP="00330CAE">
      <w:pPr>
        <w:pStyle w:val="Vieta"/>
        <w:numPr>
          <w:ilvl w:val="0"/>
          <w:numId w:val="0"/>
        </w:numPr>
        <w:spacing w:line="240" w:lineRule="auto"/>
        <w:ind w:left="993"/>
        <w:rPr>
          <w:rFonts w:ascii="Arial" w:hAnsi="Arial" w:cs="Arial"/>
          <w:sz w:val="22"/>
          <w:szCs w:val="22"/>
        </w:rPr>
      </w:pPr>
    </w:p>
    <w:tbl>
      <w:tblPr>
        <w:tblStyle w:val="TableGrid"/>
        <w:tblW w:w="0" w:type="auto"/>
        <w:jc w:val="center"/>
        <w:tblInd w:w="993" w:type="dxa"/>
        <w:tblBorders>
          <w:top w:val="none" w:sz="0" w:space="0" w:color="auto"/>
          <w:left w:val="none" w:sz="0" w:space="0" w:color="auto"/>
          <w:right w:val="none" w:sz="0" w:space="0" w:color="auto"/>
        </w:tblBorders>
        <w:tblLook w:val="04A0" w:firstRow="1" w:lastRow="0" w:firstColumn="1" w:lastColumn="0" w:noHBand="0" w:noVBand="1"/>
      </w:tblPr>
      <w:tblGrid>
        <w:gridCol w:w="1554"/>
        <w:gridCol w:w="4494"/>
      </w:tblGrid>
      <w:tr w:rsidR="008666CA" w:rsidRPr="00A734C1" w:rsidTr="00330CAE">
        <w:trPr>
          <w:jc w:val="center"/>
        </w:trPr>
        <w:tc>
          <w:tcPr>
            <w:tcW w:w="0" w:type="auto"/>
            <w:gridSpan w:val="2"/>
            <w:vAlign w:val="bottom"/>
          </w:tcPr>
          <w:p w:rsidR="008666CA" w:rsidRPr="000C493C" w:rsidRDefault="008666CA" w:rsidP="00330CAE">
            <w:pPr>
              <w:pStyle w:val="Vieta"/>
              <w:numPr>
                <w:ilvl w:val="0"/>
                <w:numId w:val="0"/>
              </w:numPr>
              <w:spacing w:line="276" w:lineRule="auto"/>
              <w:jc w:val="center"/>
              <w:rPr>
                <w:rFonts w:ascii="Arial" w:hAnsi="Arial" w:cs="Arial"/>
                <w:b/>
                <w:sz w:val="18"/>
                <w:szCs w:val="18"/>
              </w:rPr>
            </w:pPr>
            <w:r w:rsidRPr="000C493C">
              <w:rPr>
                <w:rFonts w:ascii="Arial" w:hAnsi="Arial" w:cs="Arial"/>
                <w:b/>
                <w:sz w:val="18"/>
                <w:szCs w:val="18"/>
              </w:rPr>
              <w:t>Tabla 1: Cuantía de fallos período 2009-2014 en pesos colombianos.</w:t>
            </w:r>
          </w:p>
        </w:tc>
      </w:tr>
      <w:tr w:rsidR="008666CA" w:rsidRPr="000C493C" w:rsidTr="00330CAE">
        <w:trPr>
          <w:jc w:val="center"/>
        </w:trPr>
        <w:tc>
          <w:tcPr>
            <w:tcW w:w="0" w:type="auto"/>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2009</w:t>
            </w:r>
          </w:p>
        </w:tc>
        <w:tc>
          <w:tcPr>
            <w:tcW w:w="0" w:type="auto"/>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$ 1.100.000</w:t>
            </w:r>
          </w:p>
        </w:tc>
      </w:tr>
      <w:tr w:rsidR="008666CA" w:rsidRPr="000C493C" w:rsidTr="00330CAE">
        <w:trPr>
          <w:jc w:val="center"/>
        </w:trPr>
        <w:tc>
          <w:tcPr>
            <w:tcW w:w="0" w:type="auto"/>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2010</w:t>
            </w:r>
          </w:p>
        </w:tc>
        <w:tc>
          <w:tcPr>
            <w:tcW w:w="0" w:type="auto"/>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$ 8.428.654.603</w:t>
            </w:r>
          </w:p>
        </w:tc>
      </w:tr>
      <w:tr w:rsidR="008666CA" w:rsidRPr="000C493C" w:rsidTr="00330CAE">
        <w:trPr>
          <w:jc w:val="center"/>
        </w:trPr>
        <w:tc>
          <w:tcPr>
            <w:tcW w:w="0" w:type="auto"/>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2011</w:t>
            </w:r>
          </w:p>
        </w:tc>
        <w:tc>
          <w:tcPr>
            <w:tcW w:w="0" w:type="auto"/>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$ 2.594.110.400</w:t>
            </w:r>
          </w:p>
        </w:tc>
      </w:tr>
      <w:tr w:rsidR="008666CA" w:rsidRPr="000C493C" w:rsidTr="00330CAE">
        <w:trPr>
          <w:jc w:val="center"/>
        </w:trPr>
        <w:tc>
          <w:tcPr>
            <w:tcW w:w="0" w:type="auto"/>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2012</w:t>
            </w:r>
          </w:p>
        </w:tc>
        <w:tc>
          <w:tcPr>
            <w:tcW w:w="0" w:type="auto"/>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$ 63.928.466.633</w:t>
            </w:r>
          </w:p>
        </w:tc>
      </w:tr>
      <w:tr w:rsidR="008666CA" w:rsidRPr="000C493C" w:rsidTr="00330CAE">
        <w:trPr>
          <w:jc w:val="center"/>
        </w:trPr>
        <w:tc>
          <w:tcPr>
            <w:tcW w:w="0" w:type="auto"/>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2013</w:t>
            </w:r>
          </w:p>
        </w:tc>
        <w:tc>
          <w:tcPr>
            <w:tcW w:w="0" w:type="auto"/>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$ 1.512.415.093.303</w:t>
            </w:r>
          </w:p>
        </w:tc>
      </w:tr>
      <w:tr w:rsidR="008666CA" w:rsidRPr="000C493C" w:rsidTr="00330CAE">
        <w:trPr>
          <w:jc w:val="center"/>
        </w:trPr>
        <w:tc>
          <w:tcPr>
            <w:tcW w:w="0" w:type="auto"/>
            <w:tcBorders>
              <w:bottom w:val="single" w:sz="4" w:space="0" w:color="000000"/>
            </w:tcBorders>
          </w:tcPr>
          <w:p w:rsidR="008666CA" w:rsidRPr="000C493C" w:rsidRDefault="008666CA" w:rsidP="00330CAE">
            <w:pPr>
              <w:pStyle w:val="Vieta"/>
              <w:numPr>
                <w:ilvl w:val="0"/>
                <w:numId w:val="0"/>
              </w:numPr>
              <w:spacing w:line="240" w:lineRule="auto"/>
              <w:jc w:val="center"/>
              <w:rPr>
                <w:rFonts w:ascii="Arial" w:hAnsi="Arial" w:cs="Arial"/>
                <w:sz w:val="18"/>
                <w:szCs w:val="18"/>
              </w:rPr>
            </w:pPr>
            <w:r w:rsidRPr="000C493C">
              <w:rPr>
                <w:rFonts w:ascii="Arial" w:hAnsi="Arial" w:cs="Arial"/>
                <w:sz w:val="18"/>
                <w:szCs w:val="18"/>
              </w:rPr>
              <w:t>2014</w:t>
            </w:r>
          </w:p>
        </w:tc>
        <w:tc>
          <w:tcPr>
            <w:tcW w:w="0" w:type="auto"/>
            <w:tcBorders>
              <w:bottom w:val="single" w:sz="4" w:space="0" w:color="000000"/>
            </w:tcBorders>
          </w:tcPr>
          <w:p w:rsidR="008666CA" w:rsidRPr="000C493C" w:rsidRDefault="008666CA" w:rsidP="00330CAE">
            <w:pPr>
              <w:spacing w:line="240" w:lineRule="auto"/>
              <w:jc w:val="center"/>
              <w:rPr>
                <w:rFonts w:ascii="Arial" w:hAnsi="Arial" w:cs="Arial"/>
                <w:sz w:val="18"/>
                <w:szCs w:val="18"/>
                <w:lang w:val="es-ES"/>
              </w:rPr>
            </w:pPr>
            <w:r w:rsidRPr="000C493C">
              <w:rPr>
                <w:rFonts w:ascii="Arial" w:hAnsi="Arial" w:cs="Arial"/>
                <w:sz w:val="18"/>
                <w:szCs w:val="18"/>
                <w:lang w:val="es-ES"/>
              </w:rPr>
              <w:t>$ 135.602.914.556</w:t>
            </w:r>
          </w:p>
        </w:tc>
      </w:tr>
      <w:tr w:rsidR="008666CA" w:rsidRPr="000C493C" w:rsidTr="00330CAE">
        <w:trPr>
          <w:jc w:val="center"/>
        </w:trPr>
        <w:tc>
          <w:tcPr>
            <w:tcW w:w="0" w:type="auto"/>
            <w:tcBorders>
              <w:top w:val="single" w:sz="4" w:space="0" w:color="000000"/>
              <w:bottom w:val="nil"/>
            </w:tcBorders>
          </w:tcPr>
          <w:p w:rsidR="008666CA" w:rsidRPr="000C493C" w:rsidRDefault="008666CA" w:rsidP="00330CAE">
            <w:pPr>
              <w:pStyle w:val="Vieta"/>
              <w:numPr>
                <w:ilvl w:val="0"/>
                <w:numId w:val="0"/>
              </w:numPr>
              <w:spacing w:line="240" w:lineRule="auto"/>
              <w:jc w:val="center"/>
              <w:rPr>
                <w:rFonts w:ascii="Arial" w:hAnsi="Arial" w:cs="Arial"/>
                <w:b/>
                <w:sz w:val="18"/>
                <w:szCs w:val="18"/>
              </w:rPr>
            </w:pPr>
            <w:r w:rsidRPr="000C493C">
              <w:rPr>
                <w:rFonts w:ascii="Arial" w:hAnsi="Arial" w:cs="Arial"/>
                <w:b/>
                <w:sz w:val="18"/>
                <w:szCs w:val="18"/>
              </w:rPr>
              <w:t>Total</w:t>
            </w:r>
          </w:p>
        </w:tc>
        <w:tc>
          <w:tcPr>
            <w:tcW w:w="0" w:type="auto"/>
            <w:tcBorders>
              <w:top w:val="single" w:sz="4" w:space="0" w:color="000000"/>
              <w:bottom w:val="nil"/>
            </w:tcBorders>
          </w:tcPr>
          <w:p w:rsidR="008666CA" w:rsidRPr="000C493C" w:rsidRDefault="008666CA" w:rsidP="00330CAE">
            <w:pPr>
              <w:spacing w:line="240" w:lineRule="auto"/>
              <w:jc w:val="center"/>
              <w:rPr>
                <w:rFonts w:ascii="Arial" w:hAnsi="Arial" w:cs="Arial"/>
                <w:b/>
                <w:sz w:val="18"/>
                <w:szCs w:val="18"/>
                <w:lang w:val="es-ES"/>
              </w:rPr>
            </w:pPr>
            <w:r w:rsidRPr="000C493C">
              <w:rPr>
                <w:rFonts w:ascii="Arial" w:hAnsi="Arial" w:cs="Arial"/>
                <w:b/>
                <w:sz w:val="18"/>
                <w:szCs w:val="18"/>
                <w:lang w:val="es-ES"/>
              </w:rPr>
              <w:t>$ 1.722.970.339.495</w:t>
            </w:r>
          </w:p>
        </w:tc>
      </w:tr>
    </w:tbl>
    <w:p w:rsidR="00B84211" w:rsidRPr="000C493C" w:rsidRDefault="007B3237" w:rsidP="000C493C">
      <w:pPr>
        <w:pStyle w:val="TitulopostI"/>
        <w:numPr>
          <w:ilvl w:val="0"/>
          <w:numId w:val="43"/>
        </w:numPr>
        <w:spacing w:before="360" w:line="240" w:lineRule="auto"/>
        <w:ind w:left="547" w:hanging="547"/>
        <w:rPr>
          <w:rFonts w:ascii="Arial" w:hAnsi="Arial" w:cs="Arial"/>
          <w:sz w:val="22"/>
          <w:szCs w:val="22"/>
        </w:rPr>
      </w:pPr>
      <w:r w:rsidRPr="000C493C">
        <w:rPr>
          <w:rFonts w:ascii="Arial" w:hAnsi="Arial" w:cs="Arial"/>
          <w:sz w:val="22"/>
          <w:szCs w:val="22"/>
        </w:rPr>
        <w:t>Supuestos</w:t>
      </w:r>
    </w:p>
    <w:p w:rsidR="00330CAE" w:rsidRPr="000C493C" w:rsidRDefault="00330CAE" w:rsidP="00330CAE">
      <w:pPr>
        <w:pStyle w:val="TitulopostI"/>
        <w:spacing w:line="240" w:lineRule="auto"/>
        <w:ind w:left="540" w:firstLine="0"/>
        <w:rPr>
          <w:rFonts w:ascii="Arial" w:hAnsi="Arial" w:cs="Arial"/>
          <w:sz w:val="22"/>
          <w:szCs w:val="22"/>
        </w:rPr>
      </w:pPr>
    </w:p>
    <w:p w:rsidR="00B84211" w:rsidRPr="000C493C" w:rsidRDefault="007B3237" w:rsidP="00330CAE">
      <w:pPr>
        <w:pStyle w:val="Paragraph"/>
        <w:numPr>
          <w:ilvl w:val="1"/>
          <w:numId w:val="1"/>
        </w:numPr>
        <w:spacing w:before="0" w:after="0"/>
        <w:rPr>
          <w:rFonts w:ascii="Arial" w:hAnsi="Arial" w:cs="Arial"/>
          <w:kern w:val="28"/>
          <w:sz w:val="22"/>
          <w:szCs w:val="22"/>
        </w:rPr>
      </w:pPr>
      <w:r w:rsidRPr="000C493C">
        <w:rPr>
          <w:rFonts w:ascii="Arial" w:hAnsi="Arial" w:cs="Arial"/>
          <w:kern w:val="28"/>
          <w:sz w:val="22"/>
          <w:szCs w:val="22"/>
        </w:rPr>
        <w:t>El cálculo de los beneficios se efectúa utilizando los siguientes supuestos:</w:t>
      </w:r>
    </w:p>
    <w:p w:rsidR="00330CAE" w:rsidRPr="000C493C" w:rsidRDefault="00330CAE" w:rsidP="00330CAE">
      <w:pPr>
        <w:pStyle w:val="Paragraph"/>
        <w:numPr>
          <w:ilvl w:val="0"/>
          <w:numId w:val="0"/>
        </w:numPr>
        <w:spacing w:before="0" w:after="0"/>
        <w:ind w:left="567"/>
        <w:rPr>
          <w:rFonts w:ascii="Arial" w:hAnsi="Arial" w:cs="Arial"/>
          <w:kern w:val="28"/>
          <w:sz w:val="22"/>
          <w:szCs w:val="22"/>
        </w:rPr>
      </w:pPr>
    </w:p>
    <w:p w:rsidR="00B84211" w:rsidRPr="000C493C" w:rsidRDefault="007B3237" w:rsidP="00330CAE">
      <w:pPr>
        <w:pStyle w:val="Vieta"/>
        <w:spacing w:line="240" w:lineRule="auto"/>
        <w:rPr>
          <w:rFonts w:ascii="Arial" w:hAnsi="Arial" w:cs="Arial"/>
          <w:sz w:val="22"/>
          <w:szCs w:val="22"/>
        </w:rPr>
      </w:pPr>
      <w:r w:rsidRPr="000C493C">
        <w:rPr>
          <w:rFonts w:ascii="Arial" w:hAnsi="Arial" w:cs="Arial"/>
          <w:sz w:val="22"/>
          <w:szCs w:val="22"/>
        </w:rPr>
        <w:t>La tasa de descuento utilizada es del 12%, según el estándar del Banco.</w:t>
      </w:r>
    </w:p>
    <w:p w:rsidR="00B84211" w:rsidRPr="000C493C" w:rsidRDefault="00613D8D" w:rsidP="00330CAE">
      <w:pPr>
        <w:pStyle w:val="Vieta"/>
        <w:spacing w:line="240" w:lineRule="auto"/>
        <w:rPr>
          <w:rFonts w:ascii="Arial" w:hAnsi="Arial" w:cs="Arial"/>
          <w:sz w:val="22"/>
          <w:szCs w:val="22"/>
        </w:rPr>
      </w:pPr>
      <w:r w:rsidRPr="000C493C">
        <w:rPr>
          <w:rFonts w:ascii="Arial" w:hAnsi="Arial" w:cs="Arial"/>
          <w:sz w:val="22"/>
          <w:szCs w:val="22"/>
        </w:rPr>
        <w:t xml:space="preserve">Se asume que el monto de </w:t>
      </w:r>
      <w:r w:rsidR="00AE67F5" w:rsidRPr="000C493C">
        <w:rPr>
          <w:rFonts w:ascii="Arial" w:hAnsi="Arial" w:cs="Arial"/>
          <w:sz w:val="22"/>
          <w:szCs w:val="22"/>
        </w:rPr>
        <w:t>fallos sin prog</w:t>
      </w:r>
      <w:r w:rsidR="003F5F59" w:rsidRPr="000C493C">
        <w:rPr>
          <w:rFonts w:ascii="Arial" w:hAnsi="Arial" w:cs="Arial"/>
          <w:sz w:val="22"/>
          <w:szCs w:val="22"/>
        </w:rPr>
        <w:t>rama s</w:t>
      </w:r>
      <w:r w:rsidR="0031026F" w:rsidRPr="000C493C">
        <w:rPr>
          <w:rFonts w:ascii="Arial" w:hAnsi="Arial" w:cs="Arial"/>
          <w:sz w:val="22"/>
          <w:szCs w:val="22"/>
        </w:rPr>
        <w:t>eguiría</w:t>
      </w:r>
      <w:r w:rsidR="003F5F59" w:rsidRPr="000C493C">
        <w:rPr>
          <w:rFonts w:ascii="Arial" w:hAnsi="Arial" w:cs="Arial"/>
          <w:sz w:val="22"/>
          <w:szCs w:val="22"/>
        </w:rPr>
        <w:t xml:space="preserve"> una tendencia lineal</w:t>
      </w:r>
      <w:r w:rsidR="0031026F" w:rsidRPr="000C493C">
        <w:rPr>
          <w:rFonts w:ascii="Arial" w:hAnsi="Arial" w:cs="Arial"/>
          <w:sz w:val="22"/>
          <w:szCs w:val="22"/>
        </w:rPr>
        <w:t xml:space="preserve"> en ausencia del programa</w:t>
      </w:r>
      <w:r w:rsidR="003F5F59" w:rsidRPr="000C493C">
        <w:rPr>
          <w:rFonts w:ascii="Arial" w:hAnsi="Arial" w:cs="Arial"/>
          <w:sz w:val="22"/>
          <w:szCs w:val="22"/>
        </w:rPr>
        <w:t xml:space="preserve">, a partir de la cual se puede estimar </w:t>
      </w:r>
      <w:r w:rsidR="0031026F" w:rsidRPr="000C493C">
        <w:rPr>
          <w:rFonts w:ascii="Arial" w:hAnsi="Arial" w:cs="Arial"/>
          <w:sz w:val="22"/>
          <w:szCs w:val="22"/>
        </w:rPr>
        <w:t>el escenario contrafactual</w:t>
      </w:r>
      <w:r w:rsidR="00CA10B2" w:rsidRPr="000C493C">
        <w:rPr>
          <w:rFonts w:ascii="Arial" w:hAnsi="Arial" w:cs="Arial"/>
          <w:sz w:val="22"/>
          <w:szCs w:val="22"/>
        </w:rPr>
        <w:t xml:space="preserve"> partir d</w:t>
      </w:r>
      <w:r w:rsidR="003F5F59" w:rsidRPr="000C493C">
        <w:rPr>
          <w:rFonts w:ascii="Arial" w:hAnsi="Arial" w:cs="Arial"/>
          <w:sz w:val="22"/>
          <w:szCs w:val="22"/>
        </w:rPr>
        <w:t>el año 2015.</w:t>
      </w:r>
    </w:p>
    <w:p w:rsidR="00B84211" w:rsidRPr="000C493C" w:rsidRDefault="00CB2372" w:rsidP="00330CAE">
      <w:pPr>
        <w:pStyle w:val="Vieta"/>
        <w:spacing w:line="240" w:lineRule="auto"/>
        <w:rPr>
          <w:rFonts w:ascii="Arial" w:hAnsi="Arial" w:cs="Arial"/>
          <w:sz w:val="22"/>
          <w:szCs w:val="22"/>
        </w:rPr>
      </w:pPr>
      <w:r w:rsidRPr="000C493C">
        <w:rPr>
          <w:rFonts w:ascii="Arial" w:hAnsi="Arial" w:cs="Arial"/>
          <w:sz w:val="22"/>
          <w:szCs w:val="22"/>
        </w:rPr>
        <w:t>Se asume que los aumentos en las auditorías debido al programa resultan en una reducción del 2</w:t>
      </w:r>
      <w:r w:rsidR="00522062" w:rsidRPr="000C493C">
        <w:rPr>
          <w:rFonts w:ascii="Arial" w:hAnsi="Arial" w:cs="Arial"/>
          <w:sz w:val="22"/>
          <w:szCs w:val="22"/>
        </w:rPr>
        <w:t>,5</w:t>
      </w:r>
      <w:r w:rsidRPr="000C493C">
        <w:rPr>
          <w:rFonts w:ascii="Arial" w:hAnsi="Arial" w:cs="Arial"/>
          <w:sz w:val="22"/>
          <w:szCs w:val="22"/>
        </w:rPr>
        <w:t xml:space="preserve">% de </w:t>
      </w:r>
      <w:r w:rsidR="007E69D2" w:rsidRPr="000C493C">
        <w:rPr>
          <w:rFonts w:ascii="Arial" w:hAnsi="Arial" w:cs="Arial"/>
          <w:sz w:val="22"/>
          <w:szCs w:val="22"/>
        </w:rPr>
        <w:t>las irregularidades</w:t>
      </w:r>
      <w:r w:rsidR="006E627F" w:rsidRPr="000C493C">
        <w:rPr>
          <w:rFonts w:ascii="Arial" w:hAnsi="Arial" w:cs="Arial"/>
          <w:sz w:val="22"/>
          <w:szCs w:val="22"/>
        </w:rPr>
        <w:t>.</w:t>
      </w:r>
      <w:r w:rsidRPr="000C493C">
        <w:rPr>
          <w:rFonts w:ascii="Arial" w:hAnsi="Arial" w:cs="Arial"/>
          <w:sz w:val="22"/>
          <w:szCs w:val="22"/>
        </w:rPr>
        <w:t xml:space="preserve"> </w:t>
      </w:r>
    </w:p>
    <w:p w:rsidR="007E0C70" w:rsidRPr="000C493C" w:rsidRDefault="007E0C70" w:rsidP="00330CAE">
      <w:pPr>
        <w:pStyle w:val="Vieta"/>
        <w:spacing w:line="240" w:lineRule="auto"/>
        <w:rPr>
          <w:rFonts w:ascii="Arial" w:hAnsi="Arial" w:cs="Arial"/>
          <w:sz w:val="22"/>
          <w:szCs w:val="22"/>
        </w:rPr>
      </w:pPr>
      <w:r w:rsidRPr="000C493C">
        <w:rPr>
          <w:rFonts w:ascii="Arial" w:hAnsi="Arial" w:cs="Arial"/>
          <w:sz w:val="22"/>
          <w:szCs w:val="22"/>
        </w:rPr>
        <w:t xml:space="preserve">El tipo de cambio utilizado para la conversión de pesos colombianos a dólares es de 2.500 pesos colombianos por dólar, según la cotización del 8/04/2015 de la página themoneyconverter.com. </w:t>
      </w:r>
      <w:r w:rsidR="00330CAE" w:rsidRPr="000C493C">
        <w:rPr>
          <w:rFonts w:ascii="Arial" w:hAnsi="Arial" w:cs="Arial"/>
          <w:sz w:val="22"/>
          <w:szCs w:val="22"/>
        </w:rPr>
        <w:t xml:space="preserve"> </w:t>
      </w:r>
    </w:p>
    <w:p w:rsidR="00330CAE" w:rsidRPr="000C493C" w:rsidRDefault="00330CAE" w:rsidP="00330CAE">
      <w:pPr>
        <w:pStyle w:val="Vieta"/>
        <w:numPr>
          <w:ilvl w:val="0"/>
          <w:numId w:val="0"/>
        </w:numPr>
        <w:spacing w:line="240" w:lineRule="auto"/>
        <w:ind w:left="993"/>
        <w:rPr>
          <w:rFonts w:ascii="Arial" w:hAnsi="Arial" w:cs="Arial"/>
          <w:sz w:val="22"/>
          <w:szCs w:val="22"/>
        </w:rPr>
      </w:pPr>
    </w:p>
    <w:p w:rsidR="00B84211" w:rsidRPr="000C493C" w:rsidRDefault="007B3237" w:rsidP="00330CAE">
      <w:pPr>
        <w:pStyle w:val="Paragraph"/>
        <w:numPr>
          <w:ilvl w:val="1"/>
          <w:numId w:val="1"/>
        </w:numPr>
        <w:spacing w:before="0" w:after="0"/>
        <w:rPr>
          <w:rFonts w:ascii="Arial" w:hAnsi="Arial" w:cs="Arial"/>
          <w:kern w:val="28"/>
          <w:sz w:val="22"/>
          <w:szCs w:val="22"/>
        </w:rPr>
      </w:pPr>
      <w:r w:rsidRPr="000C493C">
        <w:rPr>
          <w:rFonts w:ascii="Arial" w:hAnsi="Arial" w:cs="Arial"/>
          <w:kern w:val="28"/>
          <w:sz w:val="22"/>
          <w:szCs w:val="22"/>
        </w:rPr>
        <w:t>Para el cálculo de los costos se utilizan los siguientes supuestos:</w:t>
      </w:r>
    </w:p>
    <w:p w:rsidR="00330CAE" w:rsidRPr="000C493C" w:rsidRDefault="00330CAE" w:rsidP="00330CAE">
      <w:pPr>
        <w:pStyle w:val="Paragraph"/>
        <w:numPr>
          <w:ilvl w:val="0"/>
          <w:numId w:val="0"/>
        </w:numPr>
        <w:spacing w:before="0" w:after="0"/>
        <w:ind w:left="567"/>
        <w:rPr>
          <w:rFonts w:ascii="Arial" w:hAnsi="Arial" w:cs="Arial"/>
          <w:kern w:val="28"/>
          <w:sz w:val="22"/>
          <w:szCs w:val="22"/>
        </w:rPr>
      </w:pPr>
    </w:p>
    <w:p w:rsidR="00B84211" w:rsidRPr="000C493C" w:rsidRDefault="002E147E" w:rsidP="00330CAE">
      <w:pPr>
        <w:pStyle w:val="Vieta"/>
        <w:spacing w:line="240" w:lineRule="auto"/>
        <w:rPr>
          <w:rFonts w:ascii="Arial" w:hAnsi="Arial" w:cs="Arial"/>
          <w:sz w:val="22"/>
          <w:szCs w:val="22"/>
        </w:rPr>
      </w:pPr>
      <w:r w:rsidRPr="000C493C">
        <w:rPr>
          <w:rFonts w:ascii="Arial" w:hAnsi="Arial" w:cs="Arial"/>
          <w:sz w:val="22"/>
          <w:szCs w:val="22"/>
        </w:rPr>
        <w:t xml:space="preserve">Los costos </w:t>
      </w:r>
      <w:r w:rsidR="002217F5" w:rsidRPr="000C493C">
        <w:rPr>
          <w:rFonts w:ascii="Arial" w:hAnsi="Arial" w:cs="Arial"/>
          <w:sz w:val="22"/>
          <w:szCs w:val="22"/>
        </w:rPr>
        <w:t>totales ascienden</w:t>
      </w:r>
      <w:r w:rsidRPr="000C493C">
        <w:rPr>
          <w:rFonts w:ascii="Arial" w:hAnsi="Arial" w:cs="Arial"/>
          <w:sz w:val="22"/>
          <w:szCs w:val="22"/>
        </w:rPr>
        <w:t xml:space="preserve"> a </w:t>
      </w:r>
      <w:r w:rsidR="00F655EB" w:rsidRPr="000C493C">
        <w:rPr>
          <w:rFonts w:ascii="Arial" w:hAnsi="Arial" w:cs="Arial"/>
          <w:sz w:val="22"/>
          <w:szCs w:val="22"/>
        </w:rPr>
        <w:t>30</w:t>
      </w:r>
      <w:r w:rsidR="00D2112D" w:rsidRPr="000C493C">
        <w:rPr>
          <w:rFonts w:ascii="Arial" w:hAnsi="Arial" w:cs="Arial"/>
          <w:sz w:val="22"/>
          <w:szCs w:val="22"/>
        </w:rPr>
        <w:t xml:space="preserve"> </w:t>
      </w:r>
      <w:r w:rsidRPr="000C493C">
        <w:rPr>
          <w:rFonts w:ascii="Arial" w:hAnsi="Arial" w:cs="Arial"/>
          <w:sz w:val="22"/>
          <w:szCs w:val="22"/>
        </w:rPr>
        <w:t>millones de dólares, según datos del programa.</w:t>
      </w:r>
    </w:p>
    <w:p w:rsidR="00B84211" w:rsidRPr="000C493C" w:rsidRDefault="007B3237" w:rsidP="00330CAE">
      <w:pPr>
        <w:pStyle w:val="Vieta"/>
        <w:spacing w:line="240" w:lineRule="auto"/>
        <w:rPr>
          <w:rFonts w:ascii="Arial" w:hAnsi="Arial" w:cs="Arial"/>
          <w:sz w:val="22"/>
          <w:szCs w:val="22"/>
        </w:rPr>
      </w:pPr>
      <w:r w:rsidRPr="000C493C">
        <w:rPr>
          <w:rFonts w:ascii="Arial" w:hAnsi="Arial" w:cs="Arial"/>
          <w:sz w:val="22"/>
          <w:szCs w:val="22"/>
        </w:rPr>
        <w:t>Se asume</w:t>
      </w:r>
      <w:r w:rsidR="00CA10B2" w:rsidRPr="000C493C">
        <w:rPr>
          <w:rFonts w:ascii="Arial" w:hAnsi="Arial" w:cs="Arial"/>
          <w:sz w:val="22"/>
          <w:szCs w:val="22"/>
        </w:rPr>
        <w:t xml:space="preserve"> una ejecución uniforme de los costos</w:t>
      </w:r>
      <w:r w:rsidR="00263D21" w:rsidRPr="000C493C">
        <w:rPr>
          <w:rFonts w:ascii="Arial" w:hAnsi="Arial" w:cs="Arial"/>
          <w:sz w:val="22"/>
          <w:szCs w:val="22"/>
        </w:rPr>
        <w:t xml:space="preserve"> </w:t>
      </w:r>
      <w:r w:rsidR="00CA10B2" w:rsidRPr="000C493C">
        <w:rPr>
          <w:rFonts w:ascii="Arial" w:hAnsi="Arial" w:cs="Arial"/>
          <w:sz w:val="22"/>
          <w:szCs w:val="22"/>
        </w:rPr>
        <w:t>a lo largo del período 201</w:t>
      </w:r>
      <w:r w:rsidR="003E07CA" w:rsidRPr="000C493C">
        <w:rPr>
          <w:rFonts w:ascii="Arial" w:hAnsi="Arial" w:cs="Arial"/>
          <w:sz w:val="22"/>
          <w:szCs w:val="22"/>
        </w:rPr>
        <w:t>6</w:t>
      </w:r>
      <w:r w:rsidR="00CA10B2" w:rsidRPr="000C493C">
        <w:rPr>
          <w:rFonts w:ascii="Arial" w:hAnsi="Arial" w:cs="Arial"/>
          <w:sz w:val="22"/>
          <w:szCs w:val="22"/>
        </w:rPr>
        <w:t>-20</w:t>
      </w:r>
      <w:r w:rsidR="0056189C" w:rsidRPr="000C493C">
        <w:rPr>
          <w:rFonts w:ascii="Arial" w:hAnsi="Arial" w:cs="Arial"/>
          <w:sz w:val="22"/>
          <w:szCs w:val="22"/>
        </w:rPr>
        <w:t>20</w:t>
      </w:r>
      <w:r w:rsidR="00CA10B2" w:rsidRPr="000C493C">
        <w:rPr>
          <w:rFonts w:ascii="Arial" w:hAnsi="Arial" w:cs="Arial"/>
          <w:sz w:val="22"/>
          <w:szCs w:val="22"/>
        </w:rPr>
        <w:t xml:space="preserve">. Esto es, se supone que se ejecutarán </w:t>
      </w:r>
      <w:r w:rsidR="0056189C" w:rsidRPr="000C493C">
        <w:rPr>
          <w:rFonts w:ascii="Arial" w:hAnsi="Arial" w:cs="Arial"/>
          <w:sz w:val="22"/>
          <w:szCs w:val="22"/>
        </w:rPr>
        <w:t>6</w:t>
      </w:r>
      <w:r w:rsidR="00263D21" w:rsidRPr="000C493C">
        <w:rPr>
          <w:rFonts w:ascii="Arial" w:hAnsi="Arial" w:cs="Arial"/>
          <w:sz w:val="22"/>
          <w:szCs w:val="22"/>
        </w:rPr>
        <w:t xml:space="preserve"> millones por año</w:t>
      </w:r>
      <w:r w:rsidR="00E22658" w:rsidRPr="000C493C">
        <w:rPr>
          <w:rFonts w:ascii="Arial" w:hAnsi="Arial" w:cs="Arial"/>
          <w:sz w:val="22"/>
          <w:szCs w:val="22"/>
        </w:rPr>
        <w:t>.</w:t>
      </w:r>
      <w:r w:rsidR="009666E7" w:rsidRPr="000C493C">
        <w:rPr>
          <w:rFonts w:ascii="Arial" w:hAnsi="Arial" w:cs="Arial"/>
          <w:sz w:val="22"/>
          <w:szCs w:val="22"/>
        </w:rPr>
        <w:t xml:space="preserve"> </w:t>
      </w:r>
      <w:r w:rsidR="002E147E" w:rsidRPr="000C493C">
        <w:rPr>
          <w:rFonts w:ascii="Arial" w:hAnsi="Arial" w:cs="Arial"/>
          <w:sz w:val="22"/>
          <w:szCs w:val="22"/>
        </w:rPr>
        <w:t xml:space="preserve"> </w:t>
      </w:r>
    </w:p>
    <w:p w:rsidR="003E07CA" w:rsidRPr="000C493C" w:rsidRDefault="003E07CA" w:rsidP="00330CAE">
      <w:pPr>
        <w:pStyle w:val="Vieta"/>
        <w:spacing w:line="240" w:lineRule="auto"/>
        <w:rPr>
          <w:rFonts w:ascii="Arial" w:hAnsi="Arial" w:cs="Arial"/>
          <w:sz w:val="22"/>
          <w:szCs w:val="22"/>
        </w:rPr>
      </w:pPr>
      <w:r w:rsidRPr="000C493C">
        <w:rPr>
          <w:rFonts w:ascii="Arial" w:hAnsi="Arial" w:cs="Arial"/>
          <w:sz w:val="22"/>
          <w:szCs w:val="22"/>
        </w:rPr>
        <w:t xml:space="preserve">Se adicionan costos por posibles contingencias en la ejecución por </w:t>
      </w:r>
      <w:r w:rsidR="0056189C" w:rsidRPr="000C493C">
        <w:rPr>
          <w:rFonts w:ascii="Arial" w:hAnsi="Arial" w:cs="Arial"/>
          <w:sz w:val="22"/>
          <w:szCs w:val="22"/>
        </w:rPr>
        <w:t>3</w:t>
      </w:r>
      <w:r w:rsidRPr="000C493C">
        <w:rPr>
          <w:rFonts w:ascii="Arial" w:hAnsi="Arial" w:cs="Arial"/>
          <w:sz w:val="22"/>
          <w:szCs w:val="22"/>
        </w:rPr>
        <w:t xml:space="preserve"> millones de dólares, los cuales se asume que siguen la misma distribución uniforme que los costos del programa, por lo que resulta un agregado de </w:t>
      </w:r>
      <w:r w:rsidR="0056189C" w:rsidRPr="000C493C">
        <w:rPr>
          <w:rFonts w:ascii="Arial" w:hAnsi="Arial" w:cs="Arial"/>
          <w:sz w:val="22"/>
          <w:szCs w:val="22"/>
        </w:rPr>
        <w:t>6</w:t>
      </w:r>
      <w:r w:rsidRPr="000C493C">
        <w:rPr>
          <w:rFonts w:ascii="Arial" w:hAnsi="Arial" w:cs="Arial"/>
          <w:sz w:val="22"/>
          <w:szCs w:val="22"/>
        </w:rPr>
        <w:t>00 mil dólares anuales.</w:t>
      </w:r>
    </w:p>
    <w:p w:rsidR="00330CAE" w:rsidRPr="000C493C" w:rsidRDefault="009332ED" w:rsidP="00330CAE">
      <w:pPr>
        <w:pStyle w:val="Vieta"/>
        <w:spacing w:line="240" w:lineRule="auto"/>
        <w:rPr>
          <w:rFonts w:ascii="Arial" w:hAnsi="Arial" w:cs="Arial"/>
          <w:sz w:val="22"/>
          <w:szCs w:val="22"/>
        </w:rPr>
      </w:pPr>
      <w:r w:rsidRPr="000C493C">
        <w:rPr>
          <w:rFonts w:ascii="Arial" w:hAnsi="Arial" w:cs="Arial"/>
          <w:sz w:val="22"/>
          <w:szCs w:val="22"/>
        </w:rPr>
        <w:t xml:space="preserve">El horizonte a partir del cual se calculan beneficios es de </w:t>
      </w:r>
      <w:r w:rsidR="00C6226B" w:rsidRPr="000C493C">
        <w:rPr>
          <w:rFonts w:ascii="Arial" w:hAnsi="Arial" w:cs="Arial"/>
          <w:sz w:val="22"/>
          <w:szCs w:val="22"/>
        </w:rPr>
        <w:t>6</w:t>
      </w:r>
      <w:r w:rsidRPr="000C493C">
        <w:rPr>
          <w:rFonts w:ascii="Arial" w:hAnsi="Arial" w:cs="Arial"/>
          <w:sz w:val="22"/>
          <w:szCs w:val="22"/>
        </w:rPr>
        <w:t xml:space="preserve"> años.</w:t>
      </w:r>
      <w:r w:rsidR="00C36786" w:rsidRPr="000C493C">
        <w:rPr>
          <w:rFonts w:ascii="Arial" w:hAnsi="Arial" w:cs="Arial"/>
          <w:sz w:val="22"/>
          <w:szCs w:val="22"/>
        </w:rPr>
        <w:t xml:space="preserve"> </w:t>
      </w:r>
      <w:r w:rsidR="007B3237" w:rsidRPr="000C493C">
        <w:rPr>
          <w:rFonts w:ascii="Arial" w:hAnsi="Arial" w:cs="Arial"/>
          <w:sz w:val="22"/>
          <w:szCs w:val="22"/>
        </w:rPr>
        <w:t xml:space="preserve">Los beneficios </w:t>
      </w:r>
      <w:r w:rsidR="00E100A9" w:rsidRPr="000C493C">
        <w:rPr>
          <w:rFonts w:ascii="Arial" w:hAnsi="Arial" w:cs="Arial"/>
          <w:sz w:val="22"/>
          <w:szCs w:val="22"/>
        </w:rPr>
        <w:t>se</w:t>
      </w:r>
      <w:r w:rsidR="007B3237" w:rsidRPr="000C493C">
        <w:rPr>
          <w:rFonts w:ascii="Arial" w:hAnsi="Arial" w:cs="Arial"/>
          <w:sz w:val="22"/>
          <w:szCs w:val="22"/>
        </w:rPr>
        <w:t xml:space="preserve"> computa</w:t>
      </w:r>
      <w:r w:rsidR="00E100A9" w:rsidRPr="000C493C">
        <w:rPr>
          <w:rFonts w:ascii="Arial" w:hAnsi="Arial" w:cs="Arial"/>
          <w:sz w:val="22"/>
          <w:szCs w:val="22"/>
        </w:rPr>
        <w:t>n</w:t>
      </w:r>
      <w:r w:rsidR="007B3237" w:rsidRPr="000C493C">
        <w:rPr>
          <w:rFonts w:ascii="Arial" w:hAnsi="Arial" w:cs="Arial"/>
          <w:sz w:val="22"/>
          <w:szCs w:val="22"/>
        </w:rPr>
        <w:t xml:space="preserve"> a partir del </w:t>
      </w:r>
      <w:r w:rsidR="006E627F" w:rsidRPr="000C493C">
        <w:rPr>
          <w:rFonts w:ascii="Arial" w:hAnsi="Arial" w:cs="Arial"/>
          <w:sz w:val="22"/>
          <w:szCs w:val="22"/>
        </w:rPr>
        <w:t>tercer</w:t>
      </w:r>
      <w:r w:rsidR="009666E7" w:rsidRPr="000C493C">
        <w:rPr>
          <w:rFonts w:ascii="Arial" w:hAnsi="Arial" w:cs="Arial"/>
          <w:sz w:val="22"/>
          <w:szCs w:val="22"/>
        </w:rPr>
        <w:t xml:space="preserve"> </w:t>
      </w:r>
      <w:r w:rsidR="007B3237" w:rsidRPr="000C493C">
        <w:rPr>
          <w:rFonts w:ascii="Arial" w:hAnsi="Arial" w:cs="Arial"/>
          <w:sz w:val="22"/>
          <w:szCs w:val="22"/>
        </w:rPr>
        <w:t>año de ejecución</w:t>
      </w:r>
      <w:r w:rsidR="00C6226B" w:rsidRPr="000C493C">
        <w:rPr>
          <w:rFonts w:ascii="Arial" w:hAnsi="Arial" w:cs="Arial"/>
          <w:sz w:val="22"/>
          <w:szCs w:val="22"/>
        </w:rPr>
        <w:t>, teniendo en cuenta una progresión gradual de los efectos del programa. En el tercer año de ejecución solo se considerara un 85% de los efectos finales, el cuarto año un 90%, el quinto un 95%, y el 100% final (es decir, una reducción de las irregularidades del 2%) durante el sexto y último año del horizonte temporal.</w:t>
      </w:r>
    </w:p>
    <w:p w:rsidR="00330CAE" w:rsidRPr="000C493C" w:rsidRDefault="00330CAE" w:rsidP="00330CAE">
      <w:pPr>
        <w:pStyle w:val="Vieta"/>
        <w:numPr>
          <w:ilvl w:val="0"/>
          <w:numId w:val="0"/>
        </w:numPr>
        <w:spacing w:line="240" w:lineRule="auto"/>
        <w:ind w:left="993"/>
        <w:rPr>
          <w:rFonts w:ascii="Arial" w:hAnsi="Arial" w:cs="Arial"/>
          <w:sz w:val="22"/>
          <w:szCs w:val="22"/>
        </w:rPr>
      </w:pPr>
    </w:p>
    <w:p w:rsidR="00B84211" w:rsidRPr="000C493C" w:rsidRDefault="007B3237" w:rsidP="00330CAE">
      <w:pPr>
        <w:pStyle w:val="Vieta"/>
        <w:numPr>
          <w:ilvl w:val="0"/>
          <w:numId w:val="43"/>
        </w:numPr>
        <w:spacing w:line="240" w:lineRule="auto"/>
        <w:ind w:left="630" w:hanging="630"/>
        <w:rPr>
          <w:rFonts w:ascii="Arial" w:hAnsi="Arial" w:cs="Arial"/>
          <w:b/>
          <w:sz w:val="22"/>
          <w:szCs w:val="22"/>
        </w:rPr>
      </w:pPr>
      <w:r w:rsidRPr="000C493C">
        <w:rPr>
          <w:rFonts w:ascii="Arial" w:hAnsi="Arial" w:cs="Arial"/>
          <w:b/>
          <w:sz w:val="22"/>
          <w:szCs w:val="22"/>
        </w:rPr>
        <w:t>Cálculos</w:t>
      </w:r>
    </w:p>
    <w:p w:rsidR="00330CAE" w:rsidRPr="000C493C" w:rsidRDefault="00330CAE" w:rsidP="00330CAE">
      <w:pPr>
        <w:pStyle w:val="Vieta"/>
        <w:numPr>
          <w:ilvl w:val="0"/>
          <w:numId w:val="0"/>
        </w:numPr>
        <w:spacing w:line="240" w:lineRule="auto"/>
        <w:ind w:left="630"/>
        <w:rPr>
          <w:rFonts w:ascii="Arial" w:hAnsi="Arial" w:cs="Arial"/>
          <w:b/>
          <w:sz w:val="22"/>
          <w:szCs w:val="22"/>
        </w:rPr>
      </w:pPr>
    </w:p>
    <w:p w:rsidR="000F5806" w:rsidRPr="000C493C" w:rsidRDefault="007B3237" w:rsidP="00330CAE">
      <w:pPr>
        <w:pStyle w:val="Paragraph"/>
        <w:numPr>
          <w:ilvl w:val="0"/>
          <w:numId w:val="39"/>
        </w:numPr>
        <w:spacing w:before="0" w:after="0"/>
        <w:ind w:left="993" w:hanging="426"/>
        <w:rPr>
          <w:rFonts w:ascii="Arial" w:hAnsi="Arial" w:cs="Arial"/>
          <w:kern w:val="28"/>
          <w:sz w:val="22"/>
          <w:szCs w:val="22"/>
        </w:rPr>
      </w:pPr>
      <w:r w:rsidRPr="000C493C">
        <w:rPr>
          <w:rFonts w:ascii="Arial" w:hAnsi="Arial" w:cs="Arial"/>
          <w:kern w:val="28"/>
          <w:sz w:val="22"/>
          <w:szCs w:val="22"/>
        </w:rPr>
        <w:t xml:space="preserve">El primer cálculo necesario para el análisis consiste en la estimación de los beneficios anuales derivados </w:t>
      </w:r>
      <w:r w:rsidR="004D0522" w:rsidRPr="000C493C">
        <w:rPr>
          <w:rFonts w:ascii="Arial" w:hAnsi="Arial" w:cs="Arial"/>
          <w:kern w:val="28"/>
          <w:sz w:val="22"/>
          <w:szCs w:val="22"/>
        </w:rPr>
        <w:t>de las actividades del programa</w:t>
      </w:r>
      <w:r w:rsidRPr="000C493C">
        <w:rPr>
          <w:rFonts w:ascii="Arial" w:hAnsi="Arial" w:cs="Arial"/>
          <w:kern w:val="28"/>
          <w:sz w:val="22"/>
          <w:szCs w:val="22"/>
        </w:rPr>
        <w:t>. Luego, esta fórmula será replicada para cada año</w:t>
      </w:r>
      <w:r w:rsidR="006A4D9B" w:rsidRPr="000C493C">
        <w:rPr>
          <w:rFonts w:ascii="Arial" w:hAnsi="Arial" w:cs="Arial"/>
          <w:kern w:val="28"/>
          <w:sz w:val="22"/>
          <w:szCs w:val="22"/>
        </w:rPr>
        <w:t>,</w:t>
      </w:r>
      <w:r w:rsidRPr="000C493C">
        <w:rPr>
          <w:rFonts w:ascii="Arial" w:hAnsi="Arial" w:cs="Arial"/>
          <w:kern w:val="28"/>
          <w:sz w:val="22"/>
          <w:szCs w:val="22"/>
        </w:rPr>
        <w:t xml:space="preserve"> aplicándose sobre ella una tasa de descuento del 12%.</w:t>
      </w:r>
      <w:r w:rsidR="00AC13A6" w:rsidRPr="000C493C">
        <w:rPr>
          <w:rFonts w:ascii="Arial" w:hAnsi="Arial" w:cs="Arial"/>
          <w:kern w:val="28"/>
          <w:sz w:val="22"/>
          <w:szCs w:val="22"/>
        </w:rPr>
        <w:t xml:space="preserve"> </w:t>
      </w:r>
    </w:p>
    <w:p w:rsidR="00B84211" w:rsidRPr="000C493C" w:rsidRDefault="007B3237" w:rsidP="00330CAE">
      <w:pPr>
        <w:pStyle w:val="Paragraph"/>
        <w:numPr>
          <w:ilvl w:val="0"/>
          <w:numId w:val="39"/>
        </w:numPr>
        <w:spacing w:before="0" w:after="0"/>
        <w:ind w:left="993" w:hanging="426"/>
        <w:rPr>
          <w:rFonts w:ascii="Arial" w:hAnsi="Arial" w:cs="Arial"/>
          <w:kern w:val="28"/>
          <w:sz w:val="22"/>
          <w:szCs w:val="22"/>
        </w:rPr>
      </w:pPr>
      <w:r w:rsidRPr="000C493C">
        <w:rPr>
          <w:rFonts w:ascii="Arial" w:hAnsi="Arial" w:cs="Arial"/>
          <w:kern w:val="28"/>
          <w:sz w:val="22"/>
          <w:szCs w:val="22"/>
        </w:rPr>
        <w:t xml:space="preserve">Para estimar los beneficios totales se debe tener en cuenta el supuesto de </w:t>
      </w:r>
      <w:r w:rsidR="0031026F" w:rsidRPr="000C493C">
        <w:rPr>
          <w:rFonts w:ascii="Arial" w:hAnsi="Arial" w:cs="Arial"/>
          <w:kern w:val="28"/>
          <w:sz w:val="22"/>
          <w:szCs w:val="22"/>
        </w:rPr>
        <w:t xml:space="preserve">6 </w:t>
      </w:r>
      <w:r w:rsidRPr="000C493C">
        <w:rPr>
          <w:rFonts w:ascii="Arial" w:hAnsi="Arial" w:cs="Arial"/>
          <w:kern w:val="28"/>
          <w:sz w:val="22"/>
          <w:szCs w:val="22"/>
        </w:rPr>
        <w:t xml:space="preserve">años durante los cuales se consideran </w:t>
      </w:r>
      <w:r w:rsidR="00C92E6F" w:rsidRPr="000C493C">
        <w:rPr>
          <w:rFonts w:ascii="Arial" w:hAnsi="Arial" w:cs="Arial"/>
          <w:kern w:val="28"/>
          <w:sz w:val="22"/>
          <w:szCs w:val="22"/>
        </w:rPr>
        <w:t xml:space="preserve">los </w:t>
      </w:r>
      <w:r w:rsidRPr="000C493C">
        <w:rPr>
          <w:rFonts w:ascii="Arial" w:hAnsi="Arial" w:cs="Arial"/>
          <w:kern w:val="28"/>
          <w:sz w:val="22"/>
          <w:szCs w:val="22"/>
        </w:rPr>
        <w:t xml:space="preserve">efectos </w:t>
      </w:r>
      <w:r w:rsidR="006A4D9B" w:rsidRPr="000C493C">
        <w:rPr>
          <w:rFonts w:ascii="Arial" w:hAnsi="Arial" w:cs="Arial"/>
          <w:kern w:val="28"/>
          <w:sz w:val="22"/>
          <w:szCs w:val="22"/>
        </w:rPr>
        <w:t>de los c</w:t>
      </w:r>
      <w:r w:rsidR="00D05B59" w:rsidRPr="000C493C">
        <w:rPr>
          <w:rFonts w:ascii="Arial" w:hAnsi="Arial" w:cs="Arial"/>
          <w:kern w:val="28"/>
          <w:sz w:val="22"/>
          <w:szCs w:val="22"/>
        </w:rPr>
        <w:t>omponentes</w:t>
      </w:r>
      <w:r w:rsidRPr="000C493C">
        <w:rPr>
          <w:rFonts w:ascii="Arial" w:hAnsi="Arial" w:cs="Arial"/>
          <w:kern w:val="28"/>
          <w:sz w:val="22"/>
          <w:szCs w:val="22"/>
        </w:rPr>
        <w:t>. Sin embargo, a efe</w:t>
      </w:r>
      <w:r w:rsidR="006A4D9B" w:rsidRPr="000C493C">
        <w:rPr>
          <w:rFonts w:ascii="Arial" w:hAnsi="Arial" w:cs="Arial"/>
          <w:kern w:val="28"/>
          <w:sz w:val="22"/>
          <w:szCs w:val="22"/>
        </w:rPr>
        <w:t>ctos de obtener el valor actual</w:t>
      </w:r>
      <w:r w:rsidRPr="000C493C">
        <w:rPr>
          <w:rFonts w:ascii="Arial" w:hAnsi="Arial" w:cs="Arial"/>
          <w:kern w:val="28"/>
          <w:sz w:val="22"/>
          <w:szCs w:val="22"/>
        </w:rPr>
        <w:t xml:space="preserve"> debe tenerse en cuenta la ta</w:t>
      </w:r>
      <w:r w:rsidR="006A4D9B" w:rsidRPr="000C493C">
        <w:rPr>
          <w:rFonts w:ascii="Arial" w:hAnsi="Arial" w:cs="Arial"/>
          <w:kern w:val="28"/>
          <w:sz w:val="22"/>
          <w:szCs w:val="22"/>
        </w:rPr>
        <w:t>sa utilizada por el BID del 12%. Esto</w:t>
      </w:r>
      <w:r w:rsidRPr="000C493C">
        <w:rPr>
          <w:rFonts w:ascii="Arial" w:hAnsi="Arial" w:cs="Arial"/>
          <w:kern w:val="28"/>
          <w:sz w:val="22"/>
          <w:szCs w:val="22"/>
        </w:rPr>
        <w:t xml:space="preserve"> nos lleva a que los beneficios totales se </w:t>
      </w:r>
      <w:r w:rsidR="001D28A0" w:rsidRPr="000C493C">
        <w:rPr>
          <w:rFonts w:ascii="Arial" w:hAnsi="Arial" w:cs="Arial"/>
          <w:kern w:val="28"/>
          <w:sz w:val="22"/>
          <w:szCs w:val="22"/>
        </w:rPr>
        <w:t>deberían</w:t>
      </w:r>
      <w:r w:rsidRPr="000C493C">
        <w:rPr>
          <w:rFonts w:ascii="Arial" w:hAnsi="Arial" w:cs="Arial"/>
          <w:kern w:val="28"/>
          <w:sz w:val="22"/>
          <w:szCs w:val="22"/>
        </w:rPr>
        <w:t xml:space="preserve"> calcular mediante la siguiente formula:</w:t>
      </w:r>
    </w:p>
    <w:p w:rsidR="00330CAE" w:rsidRPr="000C493C" w:rsidRDefault="00330CAE" w:rsidP="00330CAE">
      <w:pPr>
        <w:pStyle w:val="Paragraph"/>
        <w:numPr>
          <w:ilvl w:val="0"/>
          <w:numId w:val="0"/>
        </w:numPr>
        <w:spacing w:before="0" w:after="0"/>
        <w:ind w:left="993"/>
        <w:rPr>
          <w:rFonts w:ascii="Arial" w:hAnsi="Arial" w:cs="Arial"/>
          <w:kern w:val="28"/>
          <w:sz w:val="22"/>
          <w:szCs w:val="22"/>
        </w:rPr>
      </w:pPr>
    </w:p>
    <w:p w:rsidR="00B84211" w:rsidRPr="000C493C" w:rsidRDefault="005F7631" w:rsidP="007E6104">
      <w:pPr>
        <w:spacing w:after="0" w:line="480" w:lineRule="auto"/>
        <w:ind w:left="567" w:hanging="567"/>
        <w:jc w:val="both"/>
        <w:rPr>
          <w:rFonts w:ascii="Arial" w:hAnsi="Arial" w:cs="Arial"/>
          <w:kern w:val="28"/>
          <w:szCs w:val="24"/>
          <w:lang w:val="es-ES"/>
        </w:rPr>
      </w:pPr>
      <m:oMathPara>
        <m:oMath>
          <m:sSub>
            <m:sSubPr>
              <m:ctrlPr>
                <w:rPr>
                  <w:rFonts w:ascii="Cambria Math" w:hAnsi="Cambria Math" w:cs="Arial"/>
                  <w:i/>
                  <w:kern w:val="28"/>
                  <w:szCs w:val="24"/>
                  <w:lang w:val="es-ES"/>
                </w:rPr>
              </m:ctrlPr>
            </m:sSubPr>
            <m:e>
              <m:r>
                <w:rPr>
                  <w:rFonts w:ascii="Cambria Math" w:hAnsi="Cambria Math" w:cs="Arial"/>
                  <w:kern w:val="28"/>
                  <w:szCs w:val="24"/>
                  <w:lang w:val="es-ES"/>
                </w:rPr>
                <m:t>B</m:t>
              </m:r>
            </m:e>
            <m:sub>
              <m:r>
                <w:rPr>
                  <w:rFonts w:ascii="Cambria Math" w:hAnsi="Cambria Math" w:cs="Arial"/>
                  <w:kern w:val="28"/>
                  <w:szCs w:val="24"/>
                  <w:lang w:val="es-ES"/>
                </w:rPr>
                <m:t>t</m:t>
              </m:r>
            </m:sub>
          </m:sSub>
          <m:r>
            <w:rPr>
              <w:rFonts w:ascii="Cambria Math" w:hAnsi="Cambria Math" w:cs="Arial"/>
              <w:kern w:val="28"/>
              <w:szCs w:val="24"/>
              <w:lang w:val="es-ES"/>
            </w:rPr>
            <m:t>=</m:t>
          </m:r>
          <m:nary>
            <m:naryPr>
              <m:chr m:val="∑"/>
              <m:limLoc m:val="undOvr"/>
              <m:ctrlPr>
                <w:rPr>
                  <w:rFonts w:ascii="Cambria Math" w:hAnsi="Cambria Math" w:cs="Arial"/>
                  <w:i/>
                  <w:kern w:val="28"/>
                  <w:szCs w:val="24"/>
                  <w:lang w:val="es-ES"/>
                </w:rPr>
              </m:ctrlPr>
            </m:naryPr>
            <m:sub>
              <m:r>
                <w:rPr>
                  <w:rFonts w:ascii="Cambria Math" w:hAnsi="Cambria Math" w:cs="Arial"/>
                  <w:kern w:val="28"/>
                  <w:szCs w:val="24"/>
                  <w:lang w:val="es-ES"/>
                </w:rPr>
                <m:t>t=0</m:t>
              </m:r>
            </m:sub>
            <m:sup>
              <m:r>
                <w:rPr>
                  <w:rFonts w:ascii="Cambria Math" w:hAnsi="Cambria Math" w:cs="Arial"/>
                  <w:kern w:val="28"/>
                  <w:szCs w:val="24"/>
                  <w:lang w:val="es-ES"/>
                </w:rPr>
                <m:t>6</m:t>
              </m:r>
            </m:sup>
            <m:e>
              <m:f>
                <m:fPr>
                  <m:ctrlPr>
                    <w:rPr>
                      <w:rFonts w:ascii="Cambria Math" w:hAnsi="Cambria Math" w:cs="Arial"/>
                      <w:i/>
                      <w:kern w:val="28"/>
                      <w:szCs w:val="24"/>
                      <w:lang w:val="es-ES"/>
                    </w:rPr>
                  </m:ctrlPr>
                </m:fPr>
                <m:num>
                  <m:sSub>
                    <m:sSubPr>
                      <m:ctrlPr>
                        <w:rPr>
                          <w:rFonts w:ascii="Cambria Math" w:hAnsi="Cambria Math" w:cs="Arial"/>
                          <w:i/>
                          <w:kern w:val="28"/>
                          <w:szCs w:val="24"/>
                          <w:lang w:val="es-ES"/>
                        </w:rPr>
                      </m:ctrlPr>
                    </m:sSubPr>
                    <m:e>
                      <m:r>
                        <w:rPr>
                          <w:rFonts w:ascii="Cambria Math" w:hAnsi="Cambria Math" w:cs="Arial"/>
                          <w:kern w:val="28"/>
                          <w:szCs w:val="24"/>
                          <w:lang w:val="es-ES"/>
                        </w:rPr>
                        <m:t>B</m:t>
                      </m:r>
                    </m:e>
                    <m:sub>
                      <m:r>
                        <w:rPr>
                          <w:rFonts w:ascii="Cambria Math" w:hAnsi="Cambria Math" w:cs="Arial"/>
                          <w:kern w:val="28"/>
                          <w:szCs w:val="24"/>
                          <w:lang w:val="es-ES"/>
                        </w:rPr>
                        <m:t>t</m:t>
                      </m:r>
                    </m:sub>
                  </m:sSub>
                </m:num>
                <m:den>
                  <m:sSup>
                    <m:sSupPr>
                      <m:ctrlPr>
                        <w:rPr>
                          <w:rFonts w:ascii="Cambria Math" w:hAnsi="Cambria Math" w:cs="Arial"/>
                          <w:i/>
                          <w:kern w:val="28"/>
                          <w:szCs w:val="24"/>
                          <w:lang w:val="es-ES"/>
                        </w:rPr>
                      </m:ctrlPr>
                    </m:sSupPr>
                    <m:e>
                      <m:r>
                        <w:rPr>
                          <w:rFonts w:ascii="Cambria Math" w:hAnsi="Cambria Math" w:cs="Arial"/>
                          <w:kern w:val="28"/>
                          <w:szCs w:val="24"/>
                          <w:lang w:val="es-ES"/>
                        </w:rPr>
                        <m:t>1,12</m:t>
                      </m:r>
                    </m:e>
                    <m:sup>
                      <m:r>
                        <w:rPr>
                          <w:rFonts w:ascii="Cambria Math" w:hAnsi="Cambria Math" w:cs="Arial"/>
                          <w:kern w:val="28"/>
                          <w:szCs w:val="24"/>
                          <w:lang w:val="es-ES"/>
                        </w:rPr>
                        <m:t>t</m:t>
                      </m:r>
                    </m:sup>
                  </m:sSup>
                </m:den>
              </m:f>
            </m:e>
          </m:nary>
          <m:r>
            <w:rPr>
              <w:rFonts w:ascii="Cambria Math" w:hAnsi="Cambria Math" w:cs="Arial"/>
              <w:kern w:val="28"/>
              <w:szCs w:val="24"/>
              <w:lang w:val="es-ES"/>
            </w:rPr>
            <m:t>,</m:t>
          </m:r>
        </m:oMath>
      </m:oMathPara>
    </w:p>
    <w:p w:rsidR="00B84211" w:rsidRPr="000C493C" w:rsidRDefault="00FD764A" w:rsidP="007E6104">
      <w:pPr>
        <w:pStyle w:val="Paragraph"/>
        <w:numPr>
          <w:ilvl w:val="0"/>
          <w:numId w:val="0"/>
        </w:numPr>
        <w:spacing w:before="0" w:after="0" w:line="480" w:lineRule="auto"/>
        <w:ind w:left="567" w:hanging="567"/>
        <w:rPr>
          <w:rFonts w:ascii="Arial" w:hAnsi="Arial" w:cs="Arial"/>
          <w:kern w:val="28"/>
          <w:sz w:val="22"/>
          <w:szCs w:val="22"/>
        </w:rPr>
      </w:pPr>
      <w:r w:rsidRPr="000C493C">
        <w:rPr>
          <w:rFonts w:ascii="Arial" w:hAnsi="Arial" w:cs="Arial"/>
          <w:kern w:val="28"/>
          <w:sz w:val="22"/>
          <w:szCs w:val="22"/>
        </w:rPr>
        <w:tab/>
      </w:r>
      <w:r w:rsidR="000F5806" w:rsidRPr="000C493C">
        <w:rPr>
          <w:rFonts w:ascii="Arial" w:hAnsi="Arial" w:cs="Arial"/>
          <w:kern w:val="28"/>
          <w:sz w:val="22"/>
          <w:szCs w:val="22"/>
        </w:rPr>
        <w:t>d</w:t>
      </w:r>
      <w:r w:rsidR="007B3237" w:rsidRPr="000C493C">
        <w:rPr>
          <w:rFonts w:ascii="Arial" w:hAnsi="Arial" w:cs="Arial"/>
          <w:kern w:val="28"/>
          <w:sz w:val="22"/>
          <w:szCs w:val="22"/>
        </w:rPr>
        <w:t>onde</w:t>
      </w:r>
      <w:r w:rsidR="004605A7" w:rsidRPr="000C493C">
        <w:rPr>
          <w:rFonts w:ascii="Arial" w:hAnsi="Arial" w:cs="Arial"/>
          <w:kern w:val="28"/>
          <w:sz w:val="22"/>
          <w:szCs w:val="22"/>
        </w:rPr>
        <w:t xml:space="preserve"> </w:t>
      </w:r>
      <w:r w:rsidR="007B3237" w:rsidRPr="000C493C">
        <w:rPr>
          <w:rFonts w:ascii="Arial" w:hAnsi="Arial" w:cs="Arial"/>
          <w:kern w:val="28"/>
          <w:sz w:val="22"/>
          <w:szCs w:val="22"/>
        </w:rPr>
        <w:t xml:space="preserve"> </w:t>
      </w:r>
      <m:oMath>
        <m:r>
          <w:rPr>
            <w:rFonts w:ascii="Cambria Math" w:hAnsi="Cambria Math" w:cs="Arial"/>
            <w:kern w:val="28"/>
            <w:sz w:val="22"/>
            <w:szCs w:val="22"/>
          </w:rPr>
          <m:t>B</m:t>
        </m:r>
      </m:oMath>
      <w:r w:rsidR="007B3237" w:rsidRPr="000C493C">
        <w:rPr>
          <w:rFonts w:ascii="Arial" w:hAnsi="Arial" w:cs="Arial"/>
          <w:kern w:val="28"/>
          <w:sz w:val="22"/>
          <w:szCs w:val="22"/>
        </w:rPr>
        <w:t xml:space="preserve"> denota</w:t>
      </w:r>
      <w:r w:rsidR="00DF5014" w:rsidRPr="000C493C">
        <w:rPr>
          <w:rFonts w:ascii="Arial" w:hAnsi="Arial" w:cs="Arial"/>
          <w:kern w:val="28"/>
          <w:sz w:val="22"/>
          <w:szCs w:val="22"/>
        </w:rPr>
        <w:t xml:space="preserve"> los</w:t>
      </w:r>
      <w:r w:rsidR="007B3237" w:rsidRPr="000C493C">
        <w:rPr>
          <w:rFonts w:ascii="Arial" w:hAnsi="Arial" w:cs="Arial"/>
          <w:kern w:val="28"/>
          <w:sz w:val="22"/>
          <w:szCs w:val="22"/>
        </w:rPr>
        <w:t xml:space="preserve"> beneficios y </w:t>
      </w:r>
      <m:oMath>
        <m:r>
          <w:rPr>
            <w:rFonts w:ascii="Cambria Math" w:hAnsi="Cambria Math" w:cs="Arial"/>
            <w:kern w:val="28"/>
            <w:sz w:val="22"/>
            <w:szCs w:val="22"/>
          </w:rPr>
          <m:t>t</m:t>
        </m:r>
      </m:oMath>
      <w:r w:rsidR="007B3237" w:rsidRPr="000C493C">
        <w:rPr>
          <w:rFonts w:ascii="Arial" w:hAnsi="Arial" w:cs="Arial"/>
          <w:kern w:val="28"/>
          <w:sz w:val="22"/>
          <w:szCs w:val="22"/>
        </w:rPr>
        <w:t xml:space="preserve"> indica el año corriente. </w:t>
      </w:r>
    </w:p>
    <w:p w:rsidR="00B84211" w:rsidRPr="000C493C" w:rsidRDefault="007B3237" w:rsidP="00330CAE">
      <w:pPr>
        <w:pStyle w:val="Paragraph"/>
        <w:numPr>
          <w:ilvl w:val="1"/>
          <w:numId w:val="1"/>
        </w:numPr>
        <w:spacing w:before="0" w:after="0"/>
        <w:ind w:left="562" w:hanging="562"/>
        <w:rPr>
          <w:rFonts w:ascii="Arial" w:hAnsi="Arial" w:cs="Arial"/>
          <w:kern w:val="28"/>
          <w:sz w:val="22"/>
          <w:szCs w:val="22"/>
        </w:rPr>
      </w:pPr>
      <w:r w:rsidRPr="000C493C">
        <w:rPr>
          <w:rFonts w:ascii="Arial" w:hAnsi="Arial" w:cs="Arial"/>
          <w:kern w:val="28"/>
          <w:sz w:val="22"/>
          <w:szCs w:val="22"/>
        </w:rPr>
        <w:t>Los costos de operación se calculan como el valor presente del flujo de gastos del proyecto. La fórmula utilizada es:</w:t>
      </w:r>
    </w:p>
    <w:p w:rsidR="00330CAE" w:rsidRPr="000C493C" w:rsidRDefault="00330CAE" w:rsidP="00330CAE">
      <w:pPr>
        <w:pStyle w:val="Paragraph"/>
        <w:numPr>
          <w:ilvl w:val="0"/>
          <w:numId w:val="0"/>
        </w:numPr>
        <w:spacing w:before="0" w:after="0"/>
        <w:ind w:left="562"/>
        <w:rPr>
          <w:rFonts w:ascii="Arial" w:hAnsi="Arial" w:cs="Arial"/>
          <w:kern w:val="28"/>
          <w:sz w:val="22"/>
          <w:szCs w:val="22"/>
        </w:rPr>
      </w:pPr>
    </w:p>
    <w:p w:rsidR="00B84211" w:rsidRPr="000C493C" w:rsidRDefault="005F7631" w:rsidP="00330CAE">
      <w:pPr>
        <w:spacing w:after="0" w:line="240" w:lineRule="auto"/>
        <w:ind w:left="562" w:hanging="562"/>
        <w:jc w:val="center"/>
        <w:rPr>
          <w:rFonts w:ascii="Arial" w:hAnsi="Arial" w:cs="Arial"/>
          <w:kern w:val="28"/>
          <w:lang w:val="es-ES"/>
        </w:rPr>
      </w:pPr>
      <m:oMathPara>
        <m:oMath>
          <m:sSub>
            <m:sSubPr>
              <m:ctrlPr>
                <w:rPr>
                  <w:rFonts w:ascii="Cambria Math" w:hAnsi="Cambria Math" w:cs="Arial"/>
                  <w:i/>
                  <w:kern w:val="28"/>
                  <w:lang w:val="es-ES"/>
                </w:rPr>
              </m:ctrlPr>
            </m:sSubPr>
            <m:e>
              <m:r>
                <w:rPr>
                  <w:rFonts w:ascii="Cambria Math" w:hAnsi="Cambria Math" w:cs="Arial"/>
                  <w:kern w:val="28"/>
                  <w:lang w:val="es-ES"/>
                </w:rPr>
                <m:t>Co</m:t>
              </m:r>
            </m:e>
            <m:sub>
              <m:r>
                <w:rPr>
                  <w:rFonts w:ascii="Cambria Math" w:hAnsi="Cambria Math" w:cs="Arial"/>
                  <w:kern w:val="28"/>
                  <w:lang w:val="es-ES"/>
                </w:rPr>
                <m:t xml:space="preserve"> </m:t>
              </m:r>
            </m:sub>
          </m:sSub>
          <m:r>
            <w:rPr>
              <w:rFonts w:ascii="Cambria Math" w:hAnsi="Cambria Math" w:cs="Arial"/>
              <w:kern w:val="28"/>
              <w:lang w:val="es-ES"/>
            </w:rPr>
            <m:t>=</m:t>
          </m:r>
          <m:nary>
            <m:naryPr>
              <m:chr m:val="∑"/>
              <m:limLoc m:val="undOvr"/>
              <m:ctrlPr>
                <w:rPr>
                  <w:rFonts w:ascii="Cambria Math" w:hAnsi="Cambria Math" w:cs="Arial"/>
                  <w:i/>
                  <w:kern w:val="28"/>
                  <w:lang w:val="es-ES"/>
                </w:rPr>
              </m:ctrlPr>
            </m:naryPr>
            <m:sub>
              <m:r>
                <w:rPr>
                  <w:rFonts w:ascii="Cambria Math" w:hAnsi="Cambria Math" w:cs="Arial"/>
                  <w:kern w:val="28"/>
                  <w:lang w:val="es-ES"/>
                </w:rPr>
                <m:t>t=0</m:t>
              </m:r>
            </m:sub>
            <m:sup>
              <m:r>
                <w:rPr>
                  <w:rFonts w:ascii="Cambria Math" w:hAnsi="Cambria Math" w:cs="Arial"/>
                  <w:kern w:val="28"/>
                  <w:lang w:val="es-ES"/>
                </w:rPr>
                <m:t>6</m:t>
              </m:r>
            </m:sup>
            <m:e>
              <m:f>
                <m:fPr>
                  <m:ctrlPr>
                    <w:rPr>
                      <w:rFonts w:ascii="Cambria Math" w:hAnsi="Cambria Math" w:cs="Arial"/>
                      <w:i/>
                      <w:kern w:val="28"/>
                      <w:lang w:val="es-ES"/>
                    </w:rPr>
                  </m:ctrlPr>
                </m:fPr>
                <m:num>
                  <m:sSub>
                    <m:sSubPr>
                      <m:ctrlPr>
                        <w:rPr>
                          <w:rFonts w:ascii="Cambria Math" w:hAnsi="Cambria Math" w:cs="Arial"/>
                          <w:i/>
                          <w:kern w:val="28"/>
                          <w:lang w:val="es-ES"/>
                        </w:rPr>
                      </m:ctrlPr>
                    </m:sSubPr>
                    <m:e>
                      <m:r>
                        <w:rPr>
                          <w:rFonts w:ascii="Cambria Math" w:hAnsi="Cambria Math" w:cs="Arial"/>
                          <w:kern w:val="28"/>
                          <w:lang w:val="es-ES"/>
                        </w:rPr>
                        <m:t>g</m:t>
                      </m:r>
                    </m:e>
                    <m:sub>
                      <m:r>
                        <w:rPr>
                          <w:rFonts w:ascii="Cambria Math" w:hAnsi="Cambria Math" w:cs="Arial"/>
                          <w:kern w:val="28"/>
                          <w:lang w:val="es-ES"/>
                        </w:rPr>
                        <m:t>t</m:t>
                      </m:r>
                    </m:sub>
                  </m:sSub>
                </m:num>
                <m:den>
                  <m:sSup>
                    <m:sSupPr>
                      <m:ctrlPr>
                        <w:rPr>
                          <w:rFonts w:ascii="Cambria Math" w:hAnsi="Cambria Math" w:cs="Arial"/>
                          <w:i/>
                          <w:kern w:val="28"/>
                          <w:lang w:val="es-ES"/>
                        </w:rPr>
                      </m:ctrlPr>
                    </m:sSupPr>
                    <m:e>
                      <m:r>
                        <w:rPr>
                          <w:rFonts w:ascii="Cambria Math" w:hAnsi="Cambria Math" w:cs="Arial"/>
                          <w:kern w:val="28"/>
                          <w:lang w:val="es-ES"/>
                        </w:rPr>
                        <m:t>1,12</m:t>
                      </m:r>
                    </m:e>
                    <m:sup>
                      <m:r>
                        <w:rPr>
                          <w:rFonts w:ascii="Cambria Math" w:hAnsi="Cambria Math" w:cs="Arial"/>
                          <w:kern w:val="28"/>
                          <w:lang w:val="es-ES"/>
                        </w:rPr>
                        <m:t>t</m:t>
                      </m:r>
                    </m:sup>
                  </m:sSup>
                </m:den>
              </m:f>
              <m:r>
                <w:rPr>
                  <w:rFonts w:ascii="Cambria Math" w:hAnsi="Cambria Math" w:cs="Arial"/>
                  <w:kern w:val="28"/>
                  <w:lang w:val="es-ES"/>
                </w:rPr>
                <m:t>,</m:t>
              </m:r>
            </m:e>
          </m:nary>
        </m:oMath>
      </m:oMathPara>
    </w:p>
    <w:p w:rsidR="00330CAE" w:rsidRPr="000C493C" w:rsidRDefault="00FD764A" w:rsidP="00330CAE">
      <w:pPr>
        <w:spacing w:after="0" w:line="240" w:lineRule="auto"/>
        <w:ind w:left="562" w:hanging="562"/>
        <w:jc w:val="both"/>
        <w:rPr>
          <w:rFonts w:ascii="Arial" w:hAnsi="Arial" w:cs="Arial"/>
          <w:kern w:val="28"/>
          <w:lang w:val="es-ES"/>
        </w:rPr>
      </w:pPr>
      <w:r w:rsidRPr="000C493C">
        <w:rPr>
          <w:rFonts w:ascii="Arial" w:hAnsi="Arial" w:cs="Arial"/>
          <w:kern w:val="28"/>
          <w:lang w:val="es-ES"/>
        </w:rPr>
        <w:tab/>
      </w:r>
    </w:p>
    <w:p w:rsidR="00B84211" w:rsidRPr="000C493C" w:rsidRDefault="007B3237" w:rsidP="00330CAE">
      <w:pPr>
        <w:spacing w:after="0" w:line="240" w:lineRule="auto"/>
        <w:ind w:left="562"/>
        <w:jc w:val="both"/>
        <w:rPr>
          <w:rFonts w:ascii="Arial" w:hAnsi="Arial" w:cs="Arial"/>
          <w:lang w:val="es-ES"/>
        </w:rPr>
      </w:pPr>
      <w:r w:rsidRPr="000C493C">
        <w:rPr>
          <w:rFonts w:ascii="Arial" w:hAnsi="Arial" w:cs="Arial"/>
          <w:kern w:val="28"/>
          <w:lang w:val="es-ES"/>
        </w:rPr>
        <w:t>donde g es el gas</w:t>
      </w:r>
      <w:r w:rsidRPr="000C493C">
        <w:rPr>
          <w:rFonts w:ascii="Arial" w:hAnsi="Arial" w:cs="Arial"/>
          <w:lang w:val="es-ES"/>
        </w:rPr>
        <w:t xml:space="preserve">to anual </w:t>
      </w:r>
      <w:r w:rsidR="00B35BC5" w:rsidRPr="000C493C">
        <w:rPr>
          <w:rFonts w:ascii="Arial" w:hAnsi="Arial" w:cs="Arial"/>
          <w:lang w:val="es-ES"/>
        </w:rPr>
        <w:t>, mientras</w:t>
      </w:r>
      <w:r w:rsidRPr="000C493C">
        <w:rPr>
          <w:rFonts w:ascii="Arial" w:hAnsi="Arial" w:cs="Arial"/>
          <w:lang w:val="es-ES"/>
        </w:rPr>
        <w:t xml:space="preserve"> t denota el </w:t>
      </w:r>
      <w:r w:rsidR="00027BD0" w:rsidRPr="000C493C">
        <w:rPr>
          <w:rFonts w:ascii="Arial" w:hAnsi="Arial" w:cs="Arial"/>
          <w:lang w:val="es-ES"/>
        </w:rPr>
        <w:t>per</w:t>
      </w:r>
      <w:r w:rsidR="005D1FF0" w:rsidRPr="000C493C">
        <w:rPr>
          <w:rFonts w:ascii="Arial" w:hAnsi="Arial" w:cs="Arial"/>
          <w:lang w:val="es-ES"/>
        </w:rPr>
        <w:t>í</w:t>
      </w:r>
      <w:r w:rsidR="00027BD0" w:rsidRPr="000C493C">
        <w:rPr>
          <w:rFonts w:ascii="Arial" w:hAnsi="Arial" w:cs="Arial"/>
          <w:lang w:val="es-ES"/>
        </w:rPr>
        <w:t>odo</w:t>
      </w:r>
      <w:r w:rsidRPr="000C493C">
        <w:rPr>
          <w:rFonts w:ascii="Arial" w:hAnsi="Arial" w:cs="Arial"/>
          <w:lang w:val="es-ES"/>
        </w:rPr>
        <w:t xml:space="preserve"> corriente. El costo </w:t>
      </w:r>
      <w:r w:rsidR="007C0A5D" w:rsidRPr="000C493C">
        <w:rPr>
          <w:rFonts w:ascii="Arial" w:hAnsi="Arial" w:cs="Arial"/>
          <w:lang w:val="es-ES"/>
        </w:rPr>
        <w:t>total</w:t>
      </w:r>
      <w:r w:rsidRPr="000C493C">
        <w:rPr>
          <w:rFonts w:ascii="Arial" w:hAnsi="Arial" w:cs="Arial"/>
          <w:lang w:val="es-ES"/>
        </w:rPr>
        <w:t xml:space="preserve"> es de USD </w:t>
      </w:r>
      <w:r w:rsidR="009B0D79" w:rsidRPr="000C493C">
        <w:rPr>
          <w:rFonts w:ascii="Arial" w:hAnsi="Arial" w:cs="Arial"/>
          <w:lang w:val="es-ES"/>
        </w:rPr>
        <w:t>30</w:t>
      </w:r>
      <w:r w:rsidR="007C0A5D" w:rsidRPr="000C493C">
        <w:rPr>
          <w:rFonts w:ascii="Arial" w:hAnsi="Arial" w:cs="Arial"/>
          <w:lang w:val="es-ES"/>
        </w:rPr>
        <w:t>.</w:t>
      </w:r>
      <w:r w:rsidR="00DF08EA" w:rsidRPr="000C493C">
        <w:rPr>
          <w:rFonts w:ascii="Arial" w:hAnsi="Arial" w:cs="Arial"/>
          <w:lang w:val="es-ES"/>
        </w:rPr>
        <w:t>0</w:t>
      </w:r>
      <w:r w:rsidR="0064567E" w:rsidRPr="000C493C">
        <w:rPr>
          <w:rFonts w:ascii="Arial" w:hAnsi="Arial" w:cs="Arial"/>
          <w:lang w:val="es-ES"/>
        </w:rPr>
        <w:t>00</w:t>
      </w:r>
      <w:r w:rsidR="007C0A5D" w:rsidRPr="000C493C">
        <w:rPr>
          <w:rFonts w:ascii="Arial" w:hAnsi="Arial" w:cs="Arial"/>
          <w:lang w:val="es-ES"/>
        </w:rPr>
        <w:t>.000</w:t>
      </w:r>
      <w:r w:rsidR="0064567E" w:rsidRPr="000C493C">
        <w:rPr>
          <w:rFonts w:ascii="Arial" w:hAnsi="Arial" w:cs="Arial"/>
          <w:lang w:val="es-ES"/>
        </w:rPr>
        <w:t>.</w:t>
      </w:r>
    </w:p>
    <w:p w:rsidR="00330CAE" w:rsidRPr="000C493C" w:rsidRDefault="00330CAE" w:rsidP="00330CAE">
      <w:pPr>
        <w:spacing w:after="0" w:line="240" w:lineRule="auto"/>
        <w:ind w:left="562"/>
        <w:jc w:val="both"/>
        <w:rPr>
          <w:rFonts w:ascii="Arial" w:hAnsi="Arial" w:cs="Arial"/>
          <w:lang w:val="es-ES"/>
        </w:rPr>
      </w:pPr>
    </w:p>
    <w:tbl>
      <w:tblPr>
        <w:tblW w:w="8505" w:type="dxa"/>
        <w:tblInd w:w="675" w:type="dxa"/>
        <w:tblLayout w:type="fixed"/>
        <w:tblLook w:val="04A0" w:firstRow="1" w:lastRow="0" w:firstColumn="1" w:lastColumn="0" w:noHBand="0" w:noVBand="1"/>
      </w:tblPr>
      <w:tblGrid>
        <w:gridCol w:w="709"/>
        <w:gridCol w:w="2835"/>
        <w:gridCol w:w="2977"/>
        <w:gridCol w:w="1984"/>
      </w:tblGrid>
      <w:tr w:rsidR="007B3237" w:rsidRPr="00A734C1" w:rsidTr="00330CAE">
        <w:trPr>
          <w:trHeight w:val="513"/>
        </w:trPr>
        <w:tc>
          <w:tcPr>
            <w:tcW w:w="8505" w:type="dxa"/>
            <w:gridSpan w:val="4"/>
            <w:tcBorders>
              <w:top w:val="nil"/>
              <w:left w:val="nil"/>
              <w:bottom w:val="single" w:sz="4" w:space="0" w:color="auto"/>
              <w:right w:val="nil"/>
            </w:tcBorders>
            <w:shd w:val="clear" w:color="auto" w:fill="auto"/>
            <w:noWrap/>
            <w:vAlign w:val="bottom"/>
            <w:hideMark/>
          </w:tcPr>
          <w:p w:rsidR="00B84211" w:rsidRPr="000C493C" w:rsidRDefault="007B3237" w:rsidP="007576F3">
            <w:pPr>
              <w:pStyle w:val="TituloTabla"/>
              <w:ind w:left="0"/>
              <w:rPr>
                <w:rFonts w:ascii="Arial" w:hAnsi="Arial" w:cs="Arial"/>
                <w:sz w:val="18"/>
                <w:szCs w:val="18"/>
              </w:rPr>
            </w:pPr>
            <w:r w:rsidRPr="000C493C">
              <w:rPr>
                <w:rFonts w:ascii="Arial" w:hAnsi="Arial" w:cs="Arial"/>
                <w:sz w:val="18"/>
                <w:szCs w:val="18"/>
              </w:rPr>
              <w:t xml:space="preserve">Tabla </w:t>
            </w:r>
            <w:r w:rsidR="009B0D79" w:rsidRPr="000C493C">
              <w:rPr>
                <w:rFonts w:ascii="Arial" w:hAnsi="Arial" w:cs="Arial"/>
                <w:sz w:val="18"/>
                <w:szCs w:val="18"/>
              </w:rPr>
              <w:t>2</w:t>
            </w:r>
            <w:r w:rsidRPr="000C493C">
              <w:rPr>
                <w:rFonts w:ascii="Arial" w:hAnsi="Arial" w:cs="Arial"/>
                <w:sz w:val="18"/>
                <w:szCs w:val="18"/>
              </w:rPr>
              <w:t>. Cálculo del valor monetario en USD de los beneficios</w:t>
            </w:r>
            <w:r w:rsidR="00CA176C" w:rsidRPr="000C493C">
              <w:rPr>
                <w:rFonts w:ascii="Arial" w:hAnsi="Arial" w:cs="Arial"/>
                <w:sz w:val="18"/>
                <w:szCs w:val="18"/>
              </w:rPr>
              <w:t xml:space="preserve"> anuales</w:t>
            </w:r>
            <w:r w:rsidRPr="000C493C">
              <w:rPr>
                <w:rFonts w:ascii="Arial" w:hAnsi="Arial" w:cs="Arial"/>
                <w:sz w:val="18"/>
                <w:szCs w:val="18"/>
              </w:rPr>
              <w:t xml:space="preserve"> derivados de</w:t>
            </w:r>
            <w:r w:rsidR="005472A2" w:rsidRPr="000C493C">
              <w:rPr>
                <w:rFonts w:ascii="Arial" w:hAnsi="Arial" w:cs="Arial"/>
                <w:sz w:val="18"/>
                <w:szCs w:val="18"/>
              </w:rPr>
              <w:t xml:space="preserve">l </w:t>
            </w:r>
            <w:r w:rsidR="004652EF" w:rsidRPr="000C493C">
              <w:rPr>
                <w:rFonts w:ascii="Arial" w:hAnsi="Arial" w:cs="Arial"/>
                <w:sz w:val="18"/>
                <w:szCs w:val="18"/>
              </w:rPr>
              <w:t>Programa</w:t>
            </w:r>
            <w:r w:rsidR="00FF1BB3" w:rsidRPr="000C493C">
              <w:rPr>
                <w:rFonts w:ascii="Arial" w:hAnsi="Arial" w:cs="Arial"/>
                <w:sz w:val="18"/>
                <w:szCs w:val="18"/>
              </w:rPr>
              <w:t xml:space="preserve">, Anuales para el </w:t>
            </w:r>
            <w:r w:rsidR="003E23FF" w:rsidRPr="000C493C">
              <w:rPr>
                <w:rFonts w:ascii="Arial" w:hAnsi="Arial" w:cs="Arial"/>
                <w:sz w:val="18"/>
                <w:szCs w:val="18"/>
              </w:rPr>
              <w:t>período 201</w:t>
            </w:r>
            <w:r w:rsidR="007576F3" w:rsidRPr="000C493C">
              <w:rPr>
                <w:rFonts w:ascii="Arial" w:hAnsi="Arial" w:cs="Arial"/>
                <w:sz w:val="18"/>
                <w:szCs w:val="18"/>
              </w:rPr>
              <w:t>6</w:t>
            </w:r>
            <w:r w:rsidR="003E23FF" w:rsidRPr="000C493C">
              <w:rPr>
                <w:rFonts w:ascii="Arial" w:hAnsi="Arial" w:cs="Arial"/>
                <w:sz w:val="18"/>
                <w:szCs w:val="18"/>
              </w:rPr>
              <w:t>-202</w:t>
            </w:r>
            <w:r w:rsidR="007576F3" w:rsidRPr="000C493C">
              <w:rPr>
                <w:rFonts w:ascii="Arial" w:hAnsi="Arial" w:cs="Arial"/>
                <w:sz w:val="18"/>
                <w:szCs w:val="18"/>
              </w:rPr>
              <w:t>1</w:t>
            </w:r>
          </w:p>
        </w:tc>
      </w:tr>
      <w:tr w:rsidR="006A4CC7" w:rsidRPr="000C493C" w:rsidTr="00330CAE">
        <w:trPr>
          <w:trHeight w:val="280"/>
        </w:trPr>
        <w:tc>
          <w:tcPr>
            <w:tcW w:w="709" w:type="dxa"/>
            <w:tcBorders>
              <w:top w:val="nil"/>
              <w:left w:val="nil"/>
              <w:bottom w:val="nil"/>
              <w:right w:val="nil"/>
            </w:tcBorders>
            <w:shd w:val="clear" w:color="auto" w:fill="auto"/>
            <w:noWrap/>
            <w:vAlign w:val="center"/>
          </w:tcPr>
          <w:p w:rsidR="006A4CC7" w:rsidRPr="000C493C" w:rsidRDefault="006A4CC7" w:rsidP="007E6104">
            <w:pPr>
              <w:spacing w:after="0" w:line="240" w:lineRule="auto"/>
              <w:ind w:left="567" w:hanging="567"/>
              <w:jc w:val="right"/>
              <w:rPr>
                <w:rFonts w:ascii="Arial" w:eastAsia="Times New Roman" w:hAnsi="Arial" w:cs="Arial"/>
                <w:b/>
                <w:color w:val="000000"/>
                <w:sz w:val="18"/>
                <w:szCs w:val="18"/>
                <w:lang w:val="es-ES"/>
              </w:rPr>
            </w:pPr>
            <w:r w:rsidRPr="000C493C">
              <w:rPr>
                <w:rFonts w:ascii="Arial" w:eastAsia="Times New Roman" w:hAnsi="Arial" w:cs="Arial"/>
                <w:b/>
                <w:color w:val="000000"/>
                <w:sz w:val="18"/>
                <w:szCs w:val="18"/>
                <w:lang w:val="es-ES"/>
              </w:rPr>
              <w:t>Año</w:t>
            </w:r>
          </w:p>
        </w:tc>
        <w:tc>
          <w:tcPr>
            <w:tcW w:w="2835" w:type="dxa"/>
            <w:tcBorders>
              <w:top w:val="nil"/>
              <w:left w:val="nil"/>
              <w:bottom w:val="nil"/>
              <w:right w:val="single" w:sz="4" w:space="0" w:color="auto"/>
            </w:tcBorders>
            <w:shd w:val="clear" w:color="auto" w:fill="auto"/>
            <w:noWrap/>
            <w:vAlign w:val="center"/>
          </w:tcPr>
          <w:p w:rsidR="006A4CC7" w:rsidRPr="000C493C" w:rsidRDefault="006A4CC7" w:rsidP="00E4066B">
            <w:pPr>
              <w:spacing w:after="0" w:line="240" w:lineRule="auto"/>
              <w:ind w:left="567" w:hanging="567"/>
              <w:rPr>
                <w:rFonts w:ascii="Arial" w:eastAsia="Times New Roman" w:hAnsi="Arial" w:cs="Arial"/>
                <w:b/>
                <w:bCs/>
                <w:color w:val="000000"/>
                <w:sz w:val="18"/>
                <w:szCs w:val="18"/>
                <w:lang w:val="es-ES"/>
              </w:rPr>
            </w:pPr>
            <w:r w:rsidRPr="000C493C">
              <w:rPr>
                <w:rFonts w:ascii="Arial" w:eastAsia="Times New Roman" w:hAnsi="Arial" w:cs="Arial"/>
                <w:b/>
                <w:bCs/>
                <w:color w:val="000000"/>
                <w:sz w:val="18"/>
                <w:szCs w:val="18"/>
                <w:lang w:val="es-ES"/>
              </w:rPr>
              <w:t>Proyección de Fallos USD</w:t>
            </w:r>
          </w:p>
        </w:tc>
        <w:tc>
          <w:tcPr>
            <w:tcW w:w="2977" w:type="dxa"/>
            <w:tcBorders>
              <w:top w:val="nil"/>
              <w:left w:val="nil"/>
              <w:bottom w:val="nil"/>
              <w:right w:val="single" w:sz="4" w:space="0" w:color="auto"/>
            </w:tcBorders>
            <w:shd w:val="clear" w:color="auto" w:fill="auto"/>
            <w:noWrap/>
            <w:vAlign w:val="center"/>
          </w:tcPr>
          <w:p w:rsidR="006A4CC7" w:rsidRPr="000C493C" w:rsidRDefault="006A4CC7" w:rsidP="006A4CC7">
            <w:pPr>
              <w:spacing w:after="0" w:line="240" w:lineRule="auto"/>
              <w:ind w:left="567" w:hanging="567"/>
              <w:jc w:val="center"/>
              <w:rPr>
                <w:rFonts w:ascii="Arial" w:eastAsia="Times New Roman" w:hAnsi="Arial" w:cs="Arial"/>
                <w:b/>
                <w:color w:val="000000"/>
                <w:sz w:val="18"/>
                <w:szCs w:val="18"/>
                <w:lang w:val="es-ES"/>
              </w:rPr>
            </w:pPr>
            <w:r w:rsidRPr="000C493C">
              <w:rPr>
                <w:rFonts w:ascii="Arial" w:eastAsia="Times New Roman" w:hAnsi="Arial" w:cs="Arial"/>
                <w:b/>
                <w:color w:val="000000"/>
                <w:sz w:val="18"/>
                <w:szCs w:val="18"/>
                <w:lang w:val="es-ES"/>
              </w:rPr>
              <w:t>Fallos con Programa USD</w:t>
            </w:r>
          </w:p>
        </w:tc>
        <w:tc>
          <w:tcPr>
            <w:tcW w:w="1984" w:type="dxa"/>
            <w:tcBorders>
              <w:top w:val="nil"/>
              <w:left w:val="nil"/>
              <w:bottom w:val="nil"/>
              <w:right w:val="nil"/>
            </w:tcBorders>
            <w:shd w:val="clear" w:color="auto" w:fill="auto"/>
            <w:noWrap/>
            <w:vAlign w:val="center"/>
          </w:tcPr>
          <w:p w:rsidR="006A4CC7" w:rsidRPr="000C493C" w:rsidRDefault="006A4CC7" w:rsidP="00B53D28">
            <w:pPr>
              <w:pStyle w:val="Entabla"/>
              <w:rPr>
                <w:rFonts w:ascii="Arial" w:hAnsi="Arial" w:cs="Arial"/>
                <w:b/>
                <w:sz w:val="18"/>
                <w:szCs w:val="18"/>
              </w:rPr>
            </w:pPr>
            <w:r w:rsidRPr="000C493C">
              <w:rPr>
                <w:rFonts w:ascii="Arial" w:hAnsi="Arial" w:cs="Arial"/>
                <w:b/>
                <w:sz w:val="18"/>
                <w:szCs w:val="18"/>
              </w:rPr>
              <w:t>Beneficios Anuales USD</w:t>
            </w:r>
          </w:p>
        </w:tc>
      </w:tr>
      <w:tr w:rsidR="00C404AF" w:rsidRPr="000C493C" w:rsidTr="00330CAE">
        <w:trPr>
          <w:trHeight w:val="280"/>
        </w:trPr>
        <w:tc>
          <w:tcPr>
            <w:tcW w:w="709" w:type="dxa"/>
            <w:tcBorders>
              <w:top w:val="nil"/>
              <w:left w:val="nil"/>
              <w:bottom w:val="nil"/>
              <w:right w:val="nil"/>
            </w:tcBorders>
            <w:shd w:val="clear" w:color="auto" w:fill="auto"/>
            <w:noWrap/>
            <w:hideMark/>
          </w:tcPr>
          <w:p w:rsidR="00C404AF" w:rsidRPr="000C493C" w:rsidRDefault="00C404AF" w:rsidP="00C404AF">
            <w:pPr>
              <w:spacing w:after="0" w:line="240" w:lineRule="auto"/>
              <w:ind w:left="567" w:hanging="567"/>
              <w:rPr>
                <w:rFonts w:ascii="Arial" w:eastAsia="Times New Roman" w:hAnsi="Arial" w:cs="Arial"/>
                <w:color w:val="000000"/>
                <w:sz w:val="18"/>
                <w:szCs w:val="18"/>
                <w:lang w:val="es-ES"/>
              </w:rPr>
            </w:pPr>
            <w:r w:rsidRPr="000C493C">
              <w:rPr>
                <w:rFonts w:ascii="Arial" w:eastAsia="Times New Roman" w:hAnsi="Arial" w:cs="Arial"/>
                <w:color w:val="000000"/>
                <w:sz w:val="18"/>
                <w:szCs w:val="18"/>
                <w:lang w:val="es-ES"/>
              </w:rPr>
              <w:t>2016</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384.931.688</w:t>
            </w:r>
          </w:p>
        </w:tc>
        <w:tc>
          <w:tcPr>
            <w:tcW w:w="2977" w:type="dxa"/>
            <w:tcBorders>
              <w:top w:val="nil"/>
              <w:left w:val="nil"/>
              <w:bottom w:val="nil"/>
              <w:right w:val="single" w:sz="4" w:space="0" w:color="auto"/>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384.931.688</w:t>
            </w:r>
          </w:p>
        </w:tc>
        <w:tc>
          <w:tcPr>
            <w:tcW w:w="1984" w:type="dxa"/>
            <w:tcBorders>
              <w:top w:val="nil"/>
              <w:left w:val="nil"/>
              <w:bottom w:val="nil"/>
              <w:right w:val="nil"/>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0</w:t>
            </w:r>
          </w:p>
        </w:tc>
      </w:tr>
      <w:tr w:rsidR="00C404AF" w:rsidRPr="000C493C" w:rsidTr="00330CAE">
        <w:trPr>
          <w:trHeight w:val="280"/>
        </w:trPr>
        <w:tc>
          <w:tcPr>
            <w:tcW w:w="709" w:type="dxa"/>
            <w:tcBorders>
              <w:top w:val="nil"/>
              <w:left w:val="nil"/>
              <w:bottom w:val="nil"/>
              <w:right w:val="nil"/>
            </w:tcBorders>
            <w:shd w:val="clear" w:color="auto" w:fill="auto"/>
            <w:noWrap/>
            <w:hideMark/>
          </w:tcPr>
          <w:p w:rsidR="00C404AF" w:rsidRPr="000C493C" w:rsidRDefault="00C404AF" w:rsidP="00086175">
            <w:pPr>
              <w:spacing w:after="0" w:line="240" w:lineRule="auto"/>
              <w:ind w:left="567" w:hanging="567"/>
              <w:jc w:val="center"/>
              <w:rPr>
                <w:rFonts w:ascii="Arial" w:eastAsia="Times New Roman" w:hAnsi="Arial" w:cs="Arial"/>
                <w:b/>
                <w:bCs/>
                <w:color w:val="000000"/>
                <w:sz w:val="18"/>
                <w:szCs w:val="18"/>
                <w:lang w:val="es-ES"/>
              </w:rPr>
            </w:pPr>
            <w:r w:rsidRPr="000C493C">
              <w:rPr>
                <w:rFonts w:ascii="Arial" w:eastAsia="Times New Roman" w:hAnsi="Arial" w:cs="Arial"/>
                <w:color w:val="000000"/>
                <w:sz w:val="18"/>
                <w:szCs w:val="18"/>
                <w:lang w:val="es-ES"/>
              </w:rPr>
              <w:t>2017</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444.946.576</w:t>
            </w:r>
          </w:p>
        </w:tc>
        <w:tc>
          <w:tcPr>
            <w:tcW w:w="2977" w:type="dxa"/>
            <w:tcBorders>
              <w:top w:val="nil"/>
              <w:left w:val="nil"/>
              <w:bottom w:val="nil"/>
              <w:right w:val="single" w:sz="4" w:space="0" w:color="auto"/>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444.946.576</w:t>
            </w:r>
          </w:p>
        </w:tc>
        <w:tc>
          <w:tcPr>
            <w:tcW w:w="1984" w:type="dxa"/>
            <w:tcBorders>
              <w:top w:val="nil"/>
              <w:left w:val="nil"/>
              <w:bottom w:val="nil"/>
              <w:right w:val="nil"/>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0</w:t>
            </w:r>
          </w:p>
        </w:tc>
      </w:tr>
      <w:tr w:rsidR="00C404AF" w:rsidRPr="000C493C" w:rsidTr="00330CAE">
        <w:trPr>
          <w:trHeight w:val="280"/>
        </w:trPr>
        <w:tc>
          <w:tcPr>
            <w:tcW w:w="709" w:type="dxa"/>
            <w:tcBorders>
              <w:top w:val="nil"/>
              <w:left w:val="nil"/>
              <w:bottom w:val="nil"/>
              <w:right w:val="nil"/>
            </w:tcBorders>
            <w:shd w:val="clear" w:color="auto" w:fill="auto"/>
            <w:noWrap/>
          </w:tcPr>
          <w:p w:rsidR="00C404AF" w:rsidRPr="000C493C" w:rsidRDefault="00C404AF" w:rsidP="00086175">
            <w:pPr>
              <w:spacing w:after="0" w:line="240" w:lineRule="auto"/>
              <w:ind w:left="567" w:hanging="567"/>
              <w:jc w:val="center"/>
              <w:rPr>
                <w:rFonts w:ascii="Arial" w:eastAsia="Times New Roman" w:hAnsi="Arial" w:cs="Arial"/>
                <w:color w:val="000000"/>
                <w:sz w:val="18"/>
                <w:szCs w:val="18"/>
                <w:lang w:val="es-ES"/>
              </w:rPr>
            </w:pPr>
            <w:r w:rsidRPr="000C493C">
              <w:rPr>
                <w:rFonts w:ascii="Arial" w:eastAsia="Times New Roman" w:hAnsi="Arial" w:cs="Arial"/>
                <w:color w:val="000000"/>
                <w:sz w:val="18"/>
                <w:szCs w:val="18"/>
                <w:lang w:val="es-ES"/>
              </w:rPr>
              <w:t>2018</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504.961.465</w:t>
            </w:r>
          </w:p>
        </w:tc>
        <w:tc>
          <w:tcPr>
            <w:tcW w:w="2977" w:type="dxa"/>
            <w:tcBorders>
              <w:top w:val="nil"/>
              <w:left w:val="nil"/>
              <w:bottom w:val="nil"/>
              <w:right w:val="single" w:sz="4" w:space="0" w:color="auto"/>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494.231.034</w:t>
            </w:r>
          </w:p>
        </w:tc>
        <w:tc>
          <w:tcPr>
            <w:tcW w:w="1984" w:type="dxa"/>
            <w:tcBorders>
              <w:top w:val="nil"/>
              <w:left w:val="nil"/>
              <w:bottom w:val="nil"/>
              <w:right w:val="nil"/>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10.730.431</w:t>
            </w:r>
          </w:p>
        </w:tc>
      </w:tr>
      <w:tr w:rsidR="00C404AF" w:rsidRPr="000C493C" w:rsidTr="00330CAE">
        <w:trPr>
          <w:trHeight w:val="280"/>
        </w:trPr>
        <w:tc>
          <w:tcPr>
            <w:tcW w:w="709" w:type="dxa"/>
            <w:tcBorders>
              <w:top w:val="nil"/>
              <w:left w:val="nil"/>
              <w:bottom w:val="nil"/>
              <w:right w:val="nil"/>
            </w:tcBorders>
            <w:shd w:val="clear" w:color="auto" w:fill="auto"/>
            <w:noWrap/>
            <w:hideMark/>
          </w:tcPr>
          <w:p w:rsidR="00C404AF" w:rsidRPr="000C493C" w:rsidRDefault="00C404AF" w:rsidP="00086175">
            <w:pPr>
              <w:spacing w:after="0" w:line="240" w:lineRule="auto"/>
              <w:ind w:left="567" w:hanging="567"/>
              <w:jc w:val="center"/>
              <w:rPr>
                <w:rFonts w:ascii="Arial" w:eastAsia="Times New Roman" w:hAnsi="Arial" w:cs="Arial"/>
                <w:color w:val="000000"/>
                <w:sz w:val="18"/>
                <w:szCs w:val="18"/>
                <w:lang w:val="es-ES"/>
              </w:rPr>
            </w:pPr>
            <w:r w:rsidRPr="000C493C">
              <w:rPr>
                <w:rFonts w:ascii="Arial" w:eastAsia="Times New Roman" w:hAnsi="Arial" w:cs="Arial"/>
                <w:color w:val="000000"/>
                <w:sz w:val="18"/>
                <w:szCs w:val="18"/>
                <w:lang w:val="es-ES"/>
              </w:rPr>
              <w:t>2019</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564.976.353</w:t>
            </w:r>
          </w:p>
        </w:tc>
        <w:tc>
          <w:tcPr>
            <w:tcW w:w="2977" w:type="dxa"/>
            <w:tcBorders>
              <w:top w:val="nil"/>
              <w:left w:val="nil"/>
              <w:bottom w:val="nil"/>
              <w:right w:val="single" w:sz="4" w:space="0" w:color="auto"/>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552.264.385</w:t>
            </w:r>
          </w:p>
        </w:tc>
        <w:tc>
          <w:tcPr>
            <w:tcW w:w="1984" w:type="dxa"/>
            <w:tcBorders>
              <w:top w:val="nil"/>
              <w:left w:val="nil"/>
              <w:bottom w:val="nil"/>
              <w:right w:val="nil"/>
            </w:tcBorders>
            <w:shd w:val="clear" w:color="auto" w:fill="auto"/>
            <w:noWrap/>
            <w:hideMark/>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12.711.968</w:t>
            </w:r>
          </w:p>
        </w:tc>
      </w:tr>
      <w:tr w:rsidR="00C404AF" w:rsidRPr="000C493C" w:rsidTr="00330CAE">
        <w:trPr>
          <w:trHeight w:val="280"/>
        </w:trPr>
        <w:tc>
          <w:tcPr>
            <w:tcW w:w="709" w:type="dxa"/>
            <w:tcBorders>
              <w:top w:val="nil"/>
              <w:left w:val="nil"/>
              <w:bottom w:val="nil"/>
              <w:right w:val="nil"/>
            </w:tcBorders>
            <w:shd w:val="clear" w:color="auto" w:fill="auto"/>
            <w:noWrap/>
          </w:tcPr>
          <w:p w:rsidR="00C404AF" w:rsidRPr="000C493C" w:rsidRDefault="00C404AF" w:rsidP="00086175">
            <w:pPr>
              <w:spacing w:after="0" w:line="240" w:lineRule="auto"/>
              <w:ind w:left="567" w:hanging="567"/>
              <w:jc w:val="center"/>
              <w:rPr>
                <w:rFonts w:ascii="Arial" w:eastAsia="Times New Roman" w:hAnsi="Arial" w:cs="Arial"/>
                <w:color w:val="000000"/>
                <w:sz w:val="18"/>
                <w:szCs w:val="18"/>
                <w:lang w:val="es-ES"/>
              </w:rPr>
            </w:pPr>
            <w:r w:rsidRPr="000C493C">
              <w:rPr>
                <w:rFonts w:ascii="Arial" w:eastAsia="Times New Roman" w:hAnsi="Arial" w:cs="Arial"/>
                <w:color w:val="000000"/>
                <w:sz w:val="18"/>
                <w:szCs w:val="18"/>
                <w:lang w:val="es-ES"/>
              </w:rPr>
              <w:lastRenderedPageBreak/>
              <w:t>2020</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624.991.242</w:t>
            </w:r>
          </w:p>
        </w:tc>
        <w:tc>
          <w:tcPr>
            <w:tcW w:w="2977" w:type="dxa"/>
            <w:tcBorders>
              <w:top w:val="nil"/>
              <w:left w:val="nil"/>
              <w:bottom w:val="nil"/>
              <w:right w:val="single" w:sz="4" w:space="0" w:color="auto"/>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610.147.700</w:t>
            </w:r>
          </w:p>
        </w:tc>
        <w:tc>
          <w:tcPr>
            <w:tcW w:w="1984" w:type="dxa"/>
            <w:tcBorders>
              <w:top w:val="nil"/>
              <w:left w:val="nil"/>
              <w:bottom w:val="nil"/>
              <w:right w:val="nil"/>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14.843.542</w:t>
            </w:r>
          </w:p>
        </w:tc>
      </w:tr>
      <w:tr w:rsidR="00C404AF" w:rsidRPr="000C493C" w:rsidTr="00330CAE">
        <w:trPr>
          <w:trHeight w:val="293"/>
        </w:trPr>
        <w:tc>
          <w:tcPr>
            <w:tcW w:w="709" w:type="dxa"/>
            <w:tcBorders>
              <w:top w:val="nil"/>
              <w:left w:val="nil"/>
              <w:bottom w:val="nil"/>
              <w:right w:val="nil"/>
            </w:tcBorders>
            <w:shd w:val="clear" w:color="auto" w:fill="auto"/>
            <w:noWrap/>
          </w:tcPr>
          <w:p w:rsidR="00C404AF" w:rsidRPr="000C493C" w:rsidRDefault="00C404AF" w:rsidP="00086175">
            <w:pPr>
              <w:spacing w:after="0" w:line="240" w:lineRule="auto"/>
              <w:ind w:left="567" w:hanging="567"/>
              <w:jc w:val="center"/>
              <w:rPr>
                <w:rFonts w:ascii="Arial" w:eastAsia="Times New Roman" w:hAnsi="Arial" w:cs="Arial"/>
                <w:color w:val="000000"/>
                <w:sz w:val="18"/>
                <w:szCs w:val="18"/>
                <w:lang w:val="es-ES"/>
              </w:rPr>
            </w:pPr>
            <w:r w:rsidRPr="000C493C">
              <w:rPr>
                <w:rFonts w:ascii="Arial" w:eastAsia="Times New Roman" w:hAnsi="Arial" w:cs="Arial"/>
                <w:color w:val="000000"/>
                <w:sz w:val="18"/>
                <w:szCs w:val="18"/>
                <w:lang w:val="es-ES"/>
              </w:rPr>
              <w:t>2021</w:t>
            </w:r>
          </w:p>
        </w:tc>
        <w:tc>
          <w:tcPr>
            <w:tcW w:w="2835" w:type="dxa"/>
            <w:tcBorders>
              <w:top w:val="nil"/>
              <w:left w:val="nil"/>
              <w:bottom w:val="nil"/>
              <w:right w:val="single" w:sz="4" w:space="0" w:color="auto"/>
            </w:tcBorders>
            <w:shd w:val="clear" w:color="auto" w:fill="auto"/>
            <w:noWrap/>
          </w:tcPr>
          <w:p w:rsidR="00C404AF" w:rsidRPr="000C493C" w:rsidRDefault="00C404AF" w:rsidP="00086175">
            <w:pPr>
              <w:jc w:val="center"/>
              <w:rPr>
                <w:rFonts w:ascii="Arial" w:hAnsi="Arial" w:cs="Arial"/>
                <w:sz w:val="18"/>
                <w:szCs w:val="18"/>
                <w:lang w:val="es-ES"/>
              </w:rPr>
            </w:pPr>
            <w:r w:rsidRPr="000C493C">
              <w:rPr>
                <w:rFonts w:ascii="Arial" w:hAnsi="Arial" w:cs="Arial"/>
                <w:sz w:val="18"/>
                <w:szCs w:val="18"/>
                <w:lang w:val="es-ES"/>
              </w:rPr>
              <w:t>685.006.130</w:t>
            </w:r>
          </w:p>
        </w:tc>
        <w:tc>
          <w:tcPr>
            <w:tcW w:w="2977" w:type="dxa"/>
            <w:tcBorders>
              <w:top w:val="nil"/>
              <w:left w:val="nil"/>
              <w:bottom w:val="nil"/>
              <w:right w:val="single" w:sz="4" w:space="0" w:color="auto"/>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667.880.977</w:t>
            </w:r>
          </w:p>
        </w:tc>
        <w:tc>
          <w:tcPr>
            <w:tcW w:w="1984" w:type="dxa"/>
            <w:tcBorders>
              <w:top w:val="nil"/>
              <w:left w:val="nil"/>
              <w:bottom w:val="nil"/>
              <w:right w:val="nil"/>
            </w:tcBorders>
            <w:shd w:val="clear" w:color="auto" w:fill="auto"/>
            <w:noWrap/>
          </w:tcPr>
          <w:p w:rsidR="00C404AF" w:rsidRPr="000C493C" w:rsidRDefault="00C404AF" w:rsidP="00C404AF">
            <w:pPr>
              <w:jc w:val="center"/>
              <w:rPr>
                <w:rFonts w:ascii="Arial" w:hAnsi="Arial" w:cs="Arial"/>
                <w:sz w:val="18"/>
                <w:szCs w:val="18"/>
                <w:lang w:val="es-ES"/>
              </w:rPr>
            </w:pPr>
            <w:r w:rsidRPr="000C493C">
              <w:rPr>
                <w:rFonts w:ascii="Arial" w:hAnsi="Arial" w:cs="Arial"/>
                <w:sz w:val="18"/>
                <w:szCs w:val="18"/>
                <w:lang w:val="es-ES"/>
              </w:rPr>
              <w:t>17.125.153</w:t>
            </w:r>
          </w:p>
        </w:tc>
      </w:tr>
    </w:tbl>
    <w:p w:rsidR="00B84211" w:rsidRPr="000C493C" w:rsidRDefault="00B84211" w:rsidP="00F50CE0">
      <w:pPr>
        <w:spacing w:after="0" w:line="480" w:lineRule="auto"/>
        <w:jc w:val="both"/>
        <w:rPr>
          <w:rFonts w:ascii="Times New Roman" w:hAnsi="Times New Roman"/>
          <w:b/>
          <w:sz w:val="24"/>
          <w:szCs w:val="24"/>
          <w:lang w:val="es-ES"/>
        </w:rPr>
      </w:pPr>
    </w:p>
    <w:p w:rsidR="00B84211" w:rsidRPr="000C493C" w:rsidRDefault="00474B5D" w:rsidP="00330CAE">
      <w:pPr>
        <w:pStyle w:val="ListParagraph"/>
        <w:numPr>
          <w:ilvl w:val="0"/>
          <w:numId w:val="17"/>
        </w:numPr>
        <w:spacing w:after="0" w:line="240" w:lineRule="auto"/>
        <w:jc w:val="center"/>
        <w:rPr>
          <w:rFonts w:ascii="Arial" w:hAnsi="Arial" w:cs="Arial"/>
          <w:b/>
          <w:smallCaps/>
          <w:lang w:val="es-ES"/>
        </w:rPr>
      </w:pPr>
      <w:r w:rsidRPr="000C493C">
        <w:rPr>
          <w:rFonts w:ascii="Arial" w:hAnsi="Arial" w:cs="Arial"/>
          <w:b/>
          <w:smallCaps/>
          <w:lang w:val="es-ES"/>
        </w:rPr>
        <w:t xml:space="preserve">Resultados, </w:t>
      </w:r>
      <w:r w:rsidR="00714298" w:rsidRPr="000C493C">
        <w:rPr>
          <w:rFonts w:ascii="Arial" w:hAnsi="Arial" w:cs="Arial"/>
          <w:b/>
          <w:smallCaps/>
          <w:lang w:val="es-ES"/>
        </w:rPr>
        <w:t>análisis</w:t>
      </w:r>
      <w:r w:rsidR="00FA3356" w:rsidRPr="000C493C">
        <w:rPr>
          <w:rFonts w:ascii="Arial" w:hAnsi="Arial" w:cs="Arial"/>
          <w:b/>
          <w:smallCaps/>
          <w:lang w:val="es-ES"/>
        </w:rPr>
        <w:t xml:space="preserve"> de sensibilidad</w:t>
      </w:r>
      <w:r w:rsidRPr="000C493C">
        <w:rPr>
          <w:rFonts w:ascii="Arial" w:hAnsi="Arial" w:cs="Arial"/>
          <w:b/>
          <w:smallCaps/>
          <w:lang w:val="es-ES"/>
        </w:rPr>
        <w:t xml:space="preserve"> y </w:t>
      </w:r>
      <w:r w:rsidR="00714298" w:rsidRPr="000C493C">
        <w:rPr>
          <w:rFonts w:ascii="Arial" w:hAnsi="Arial" w:cs="Arial"/>
          <w:b/>
          <w:smallCaps/>
          <w:lang w:val="es-ES"/>
        </w:rPr>
        <w:t>discusión</w:t>
      </w:r>
    </w:p>
    <w:p w:rsidR="00330CAE" w:rsidRPr="000C493C" w:rsidRDefault="00330CAE" w:rsidP="00330CAE">
      <w:pPr>
        <w:pStyle w:val="ListParagraph"/>
        <w:spacing w:after="0" w:line="240" w:lineRule="auto"/>
        <w:ind w:left="360"/>
        <w:rPr>
          <w:rFonts w:ascii="Arial" w:hAnsi="Arial" w:cs="Arial"/>
          <w:b/>
          <w:smallCaps/>
          <w:lang w:val="es-ES"/>
        </w:rPr>
      </w:pPr>
    </w:p>
    <w:p w:rsidR="00B84211" w:rsidRPr="000C493C" w:rsidRDefault="00FA3356" w:rsidP="00330CAE">
      <w:pPr>
        <w:pStyle w:val="Paragraph"/>
        <w:numPr>
          <w:ilvl w:val="1"/>
          <w:numId w:val="18"/>
        </w:numPr>
        <w:spacing w:before="0" w:after="0"/>
        <w:ind w:left="567" w:hanging="567"/>
        <w:rPr>
          <w:rFonts w:ascii="Arial" w:hAnsi="Arial" w:cs="Arial"/>
          <w:sz w:val="22"/>
          <w:szCs w:val="22"/>
        </w:rPr>
      </w:pPr>
      <w:r w:rsidRPr="000C493C">
        <w:rPr>
          <w:rFonts w:ascii="Arial" w:hAnsi="Arial" w:cs="Arial"/>
          <w:sz w:val="22"/>
          <w:szCs w:val="22"/>
        </w:rPr>
        <w:t xml:space="preserve">Debido a la </w:t>
      </w:r>
      <w:r w:rsidR="00845A0D" w:rsidRPr="000C493C">
        <w:rPr>
          <w:rFonts w:ascii="Arial" w:hAnsi="Arial" w:cs="Arial"/>
          <w:sz w:val="22"/>
          <w:szCs w:val="22"/>
        </w:rPr>
        <w:t>importancia del supuesto</w:t>
      </w:r>
      <w:r w:rsidRPr="000C493C">
        <w:rPr>
          <w:rFonts w:ascii="Arial" w:hAnsi="Arial" w:cs="Arial"/>
          <w:sz w:val="22"/>
          <w:szCs w:val="22"/>
        </w:rPr>
        <w:t xml:space="preserve"> </w:t>
      </w:r>
      <w:r w:rsidR="00845A0D" w:rsidRPr="000C493C">
        <w:rPr>
          <w:rFonts w:ascii="Arial" w:hAnsi="Arial" w:cs="Arial"/>
          <w:sz w:val="22"/>
          <w:szCs w:val="22"/>
        </w:rPr>
        <w:t>del porcentaje de eficiencia</w:t>
      </w:r>
      <w:r w:rsidRPr="000C493C">
        <w:rPr>
          <w:rFonts w:ascii="Arial" w:hAnsi="Arial" w:cs="Arial"/>
          <w:sz w:val="22"/>
          <w:szCs w:val="22"/>
        </w:rPr>
        <w:t>, presentamo</w:t>
      </w:r>
      <w:r w:rsidR="00845A0D" w:rsidRPr="000C493C">
        <w:rPr>
          <w:rFonts w:ascii="Arial" w:hAnsi="Arial" w:cs="Arial"/>
          <w:sz w:val="22"/>
          <w:szCs w:val="22"/>
        </w:rPr>
        <w:t xml:space="preserve">s los resultados en paralelo del análisis de sensibilidad, en donde se incluyen </w:t>
      </w:r>
      <w:r w:rsidR="00C4637E" w:rsidRPr="000C493C">
        <w:rPr>
          <w:rFonts w:ascii="Arial" w:hAnsi="Arial" w:cs="Arial"/>
          <w:sz w:val="22"/>
          <w:szCs w:val="22"/>
        </w:rPr>
        <w:t>tres</w:t>
      </w:r>
      <w:r w:rsidR="00845A0D" w:rsidRPr="000C493C">
        <w:rPr>
          <w:rFonts w:ascii="Arial" w:hAnsi="Arial" w:cs="Arial"/>
          <w:sz w:val="22"/>
          <w:szCs w:val="22"/>
        </w:rPr>
        <w:t xml:space="preserve"> escenarios alternativos al </w:t>
      </w:r>
      <w:r w:rsidR="00414834" w:rsidRPr="000C493C">
        <w:rPr>
          <w:rFonts w:ascii="Arial" w:hAnsi="Arial" w:cs="Arial"/>
          <w:sz w:val="22"/>
          <w:szCs w:val="22"/>
        </w:rPr>
        <w:t xml:space="preserve">escenario </w:t>
      </w:r>
      <w:r w:rsidR="00845A0D" w:rsidRPr="000C493C">
        <w:rPr>
          <w:rFonts w:ascii="Arial" w:hAnsi="Arial" w:cs="Arial"/>
          <w:sz w:val="22"/>
          <w:szCs w:val="22"/>
        </w:rPr>
        <w:t>base (uno conservador</w:t>
      </w:r>
      <w:r w:rsidR="008C76D7" w:rsidRPr="000C493C">
        <w:rPr>
          <w:rFonts w:ascii="Arial" w:hAnsi="Arial" w:cs="Arial"/>
          <w:sz w:val="22"/>
          <w:szCs w:val="22"/>
        </w:rPr>
        <w:t>, uno ultra-conservador</w:t>
      </w:r>
      <w:r w:rsidR="00845A0D" w:rsidRPr="000C493C">
        <w:rPr>
          <w:rFonts w:ascii="Arial" w:hAnsi="Arial" w:cs="Arial"/>
          <w:sz w:val="22"/>
          <w:szCs w:val="22"/>
        </w:rPr>
        <w:t xml:space="preserve"> y otro </w:t>
      </w:r>
      <w:r w:rsidR="008C76D7" w:rsidRPr="000C493C">
        <w:rPr>
          <w:rFonts w:ascii="Arial" w:hAnsi="Arial" w:cs="Arial"/>
          <w:sz w:val="22"/>
          <w:szCs w:val="22"/>
        </w:rPr>
        <w:t>optimista</w:t>
      </w:r>
      <w:r w:rsidR="00845A0D" w:rsidRPr="000C493C">
        <w:rPr>
          <w:rFonts w:ascii="Arial" w:hAnsi="Arial" w:cs="Arial"/>
          <w:sz w:val="22"/>
          <w:szCs w:val="22"/>
        </w:rPr>
        <w:t>),</w:t>
      </w:r>
      <w:r w:rsidR="009918CD" w:rsidRPr="000C493C">
        <w:rPr>
          <w:rFonts w:ascii="Arial" w:hAnsi="Arial" w:cs="Arial"/>
          <w:sz w:val="22"/>
          <w:szCs w:val="22"/>
        </w:rPr>
        <w:t xml:space="preserve"> en la Tabla </w:t>
      </w:r>
      <w:r w:rsidR="00865B82" w:rsidRPr="000C493C">
        <w:rPr>
          <w:rFonts w:ascii="Arial" w:hAnsi="Arial" w:cs="Arial"/>
          <w:sz w:val="22"/>
          <w:szCs w:val="22"/>
        </w:rPr>
        <w:t>3</w:t>
      </w:r>
      <w:r w:rsidRPr="000C493C">
        <w:rPr>
          <w:rFonts w:ascii="Arial" w:hAnsi="Arial" w:cs="Arial"/>
          <w:sz w:val="22"/>
          <w:szCs w:val="22"/>
        </w:rPr>
        <w:t>.</w:t>
      </w:r>
    </w:p>
    <w:p w:rsidR="00330CAE" w:rsidRPr="000C493C" w:rsidRDefault="00330CAE" w:rsidP="00330CAE">
      <w:pPr>
        <w:pStyle w:val="Paragraph"/>
        <w:numPr>
          <w:ilvl w:val="0"/>
          <w:numId w:val="0"/>
        </w:numPr>
        <w:spacing w:before="0" w:after="0"/>
        <w:ind w:left="567"/>
        <w:rPr>
          <w:rFonts w:ascii="Arial" w:hAnsi="Arial" w:cs="Arial"/>
          <w:sz w:val="22"/>
          <w:szCs w:val="22"/>
        </w:rPr>
      </w:pPr>
    </w:p>
    <w:tbl>
      <w:tblPr>
        <w:tblW w:w="8647" w:type="dxa"/>
        <w:jc w:val="center"/>
        <w:tblInd w:w="675" w:type="dxa"/>
        <w:tblLayout w:type="fixed"/>
        <w:tblLook w:val="04A0" w:firstRow="1" w:lastRow="0" w:firstColumn="1" w:lastColumn="0" w:noHBand="0" w:noVBand="1"/>
      </w:tblPr>
      <w:tblGrid>
        <w:gridCol w:w="1843"/>
        <w:gridCol w:w="1701"/>
        <w:gridCol w:w="1559"/>
        <w:gridCol w:w="1560"/>
        <w:gridCol w:w="1134"/>
        <w:gridCol w:w="850"/>
      </w:tblGrid>
      <w:tr w:rsidR="00BB26A9" w:rsidRPr="00A734C1" w:rsidTr="00330CAE">
        <w:trPr>
          <w:trHeight w:val="300"/>
          <w:jc w:val="center"/>
        </w:trPr>
        <w:tc>
          <w:tcPr>
            <w:tcW w:w="7797" w:type="dxa"/>
            <w:gridSpan w:val="5"/>
            <w:tcBorders>
              <w:top w:val="nil"/>
              <w:left w:val="nil"/>
              <w:bottom w:val="single" w:sz="4" w:space="0" w:color="auto"/>
              <w:right w:val="nil"/>
            </w:tcBorders>
            <w:shd w:val="clear" w:color="auto" w:fill="auto"/>
            <w:vAlign w:val="center"/>
            <w:hideMark/>
          </w:tcPr>
          <w:p w:rsidR="00B84211" w:rsidRPr="000C493C" w:rsidRDefault="008C25C2" w:rsidP="00865B82">
            <w:pPr>
              <w:pStyle w:val="TituloTabla"/>
              <w:rPr>
                <w:rFonts w:ascii="Arial" w:hAnsi="Arial" w:cs="Arial"/>
                <w:b w:val="0"/>
                <w:sz w:val="18"/>
                <w:szCs w:val="18"/>
              </w:rPr>
            </w:pPr>
            <w:r w:rsidRPr="000C493C">
              <w:rPr>
                <w:rFonts w:ascii="Arial" w:hAnsi="Arial" w:cs="Arial"/>
                <w:sz w:val="18"/>
                <w:szCs w:val="18"/>
              </w:rPr>
              <w:t xml:space="preserve">Tabla </w:t>
            </w:r>
            <w:r w:rsidR="00865B82" w:rsidRPr="000C493C">
              <w:rPr>
                <w:rFonts w:ascii="Arial" w:hAnsi="Arial" w:cs="Arial"/>
                <w:sz w:val="18"/>
                <w:szCs w:val="18"/>
              </w:rPr>
              <w:t>3</w:t>
            </w:r>
            <w:r w:rsidRPr="000C493C">
              <w:rPr>
                <w:rFonts w:ascii="Arial" w:hAnsi="Arial" w:cs="Arial"/>
                <w:sz w:val="18"/>
                <w:szCs w:val="18"/>
              </w:rPr>
              <w:t>. Costo-beneficio y escenarios</w:t>
            </w:r>
          </w:p>
        </w:tc>
        <w:tc>
          <w:tcPr>
            <w:tcW w:w="850" w:type="dxa"/>
            <w:tcBorders>
              <w:top w:val="nil"/>
              <w:left w:val="nil"/>
              <w:bottom w:val="single" w:sz="4" w:space="0" w:color="auto"/>
              <w:right w:val="nil"/>
            </w:tcBorders>
            <w:shd w:val="clear" w:color="auto" w:fill="auto"/>
          </w:tcPr>
          <w:p w:rsidR="00B84211" w:rsidRPr="000C493C" w:rsidRDefault="00B84211" w:rsidP="007E6104">
            <w:pPr>
              <w:pStyle w:val="Entabla"/>
              <w:rPr>
                <w:rFonts w:ascii="Arial" w:hAnsi="Arial" w:cs="Arial"/>
                <w:b/>
                <w:sz w:val="18"/>
                <w:szCs w:val="18"/>
              </w:rPr>
            </w:pPr>
          </w:p>
        </w:tc>
      </w:tr>
      <w:tr w:rsidR="00BB26A9" w:rsidRPr="000C493C" w:rsidTr="00330CAE">
        <w:trPr>
          <w:trHeight w:val="720"/>
          <w:jc w:val="center"/>
        </w:trPr>
        <w:tc>
          <w:tcPr>
            <w:tcW w:w="1843" w:type="dxa"/>
            <w:tcBorders>
              <w:top w:val="nil"/>
              <w:left w:val="nil"/>
              <w:bottom w:val="single" w:sz="4" w:space="0" w:color="auto"/>
              <w:right w:val="nil"/>
            </w:tcBorders>
            <w:shd w:val="clear" w:color="auto" w:fill="auto"/>
            <w:noWrap/>
            <w:vAlign w:val="center"/>
            <w:hideMark/>
          </w:tcPr>
          <w:p w:rsidR="00B84211" w:rsidRPr="000C493C" w:rsidRDefault="00B84211" w:rsidP="007E6104">
            <w:pPr>
              <w:pStyle w:val="Entabla"/>
              <w:rPr>
                <w:rFonts w:ascii="Arial" w:hAnsi="Arial" w:cs="Arial"/>
                <w:b/>
                <w:sz w:val="18"/>
                <w:szCs w:val="18"/>
              </w:rPr>
            </w:pPr>
          </w:p>
        </w:tc>
        <w:tc>
          <w:tcPr>
            <w:tcW w:w="1701" w:type="dxa"/>
            <w:tcBorders>
              <w:top w:val="nil"/>
              <w:left w:val="nil"/>
              <w:bottom w:val="single" w:sz="4" w:space="0" w:color="auto"/>
              <w:right w:val="nil"/>
            </w:tcBorders>
            <w:shd w:val="clear" w:color="auto" w:fill="auto"/>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VP Costos (USD)</w:t>
            </w:r>
          </w:p>
        </w:tc>
        <w:tc>
          <w:tcPr>
            <w:tcW w:w="1559" w:type="dxa"/>
            <w:tcBorders>
              <w:top w:val="nil"/>
              <w:left w:val="nil"/>
              <w:bottom w:val="single" w:sz="4" w:space="0" w:color="auto"/>
              <w:right w:val="nil"/>
            </w:tcBorders>
            <w:shd w:val="clear" w:color="auto" w:fill="auto"/>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VP Beneficios</w:t>
            </w:r>
            <w:r w:rsidR="00A603AC" w:rsidRPr="000C493C">
              <w:rPr>
                <w:rFonts w:ascii="Arial" w:hAnsi="Arial" w:cs="Arial"/>
                <w:b/>
                <w:sz w:val="18"/>
                <w:szCs w:val="18"/>
              </w:rPr>
              <w:t xml:space="preserve"> </w:t>
            </w:r>
          </w:p>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(USD)</w:t>
            </w:r>
          </w:p>
        </w:tc>
        <w:tc>
          <w:tcPr>
            <w:tcW w:w="1560" w:type="dxa"/>
            <w:tcBorders>
              <w:top w:val="nil"/>
              <w:left w:val="nil"/>
              <w:bottom w:val="single" w:sz="4" w:space="0" w:color="auto"/>
              <w:right w:val="nil"/>
            </w:tcBorders>
            <w:shd w:val="clear" w:color="auto" w:fill="auto"/>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Valor Presente Neto (USD)</w:t>
            </w:r>
          </w:p>
        </w:tc>
        <w:tc>
          <w:tcPr>
            <w:tcW w:w="1134" w:type="dxa"/>
            <w:tcBorders>
              <w:top w:val="nil"/>
              <w:left w:val="nil"/>
              <w:bottom w:val="single" w:sz="4" w:space="0" w:color="auto"/>
              <w:right w:val="nil"/>
            </w:tcBorders>
            <w:shd w:val="clear" w:color="auto" w:fill="auto"/>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Razón Beneficio/Costo</w:t>
            </w:r>
          </w:p>
        </w:tc>
        <w:tc>
          <w:tcPr>
            <w:tcW w:w="850" w:type="dxa"/>
            <w:tcBorders>
              <w:top w:val="nil"/>
              <w:left w:val="nil"/>
              <w:bottom w:val="single" w:sz="4" w:space="0" w:color="auto"/>
              <w:right w:val="nil"/>
            </w:tcBorders>
            <w:shd w:val="clear" w:color="auto" w:fill="auto"/>
            <w:vAlign w:val="center"/>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T</w:t>
            </w:r>
            <w:r w:rsidR="00BB26A9" w:rsidRPr="000C493C">
              <w:rPr>
                <w:rFonts w:ascii="Arial" w:hAnsi="Arial" w:cs="Arial"/>
                <w:b/>
                <w:sz w:val="18"/>
                <w:szCs w:val="18"/>
              </w:rPr>
              <w:t>IR</w:t>
            </w:r>
          </w:p>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Social</w:t>
            </w:r>
          </w:p>
        </w:tc>
      </w:tr>
      <w:tr w:rsidR="00BB26A9" w:rsidRPr="000C493C" w:rsidTr="00330CAE">
        <w:trPr>
          <w:trHeight w:val="300"/>
          <w:jc w:val="center"/>
        </w:trPr>
        <w:tc>
          <w:tcPr>
            <w:tcW w:w="1843" w:type="dxa"/>
            <w:tcBorders>
              <w:top w:val="nil"/>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Escenario 1-Base</w:t>
            </w:r>
          </w:p>
        </w:tc>
        <w:tc>
          <w:tcPr>
            <w:tcW w:w="1701" w:type="dxa"/>
            <w:tcBorders>
              <w:top w:val="nil"/>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59" w:type="dxa"/>
            <w:tcBorders>
              <w:top w:val="nil"/>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60" w:type="dxa"/>
            <w:tcBorders>
              <w:top w:val="nil"/>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134" w:type="dxa"/>
            <w:tcBorders>
              <w:top w:val="nil"/>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850" w:type="dxa"/>
            <w:tcBorders>
              <w:top w:val="nil"/>
              <w:left w:val="nil"/>
              <w:bottom w:val="single" w:sz="4" w:space="0" w:color="auto"/>
              <w:right w:val="nil"/>
            </w:tcBorders>
            <w:shd w:val="clear" w:color="auto" w:fill="auto"/>
          </w:tcPr>
          <w:p w:rsidR="00B84211" w:rsidRPr="000C493C" w:rsidRDefault="00B84211" w:rsidP="007E6104">
            <w:pPr>
              <w:pStyle w:val="Entabla"/>
              <w:rPr>
                <w:rFonts w:ascii="Arial" w:hAnsi="Arial" w:cs="Arial"/>
                <w:b/>
                <w:sz w:val="18"/>
                <w:szCs w:val="18"/>
              </w:rPr>
            </w:pPr>
          </w:p>
        </w:tc>
      </w:tr>
      <w:tr w:rsidR="00BB26A9" w:rsidRPr="000C493C" w:rsidTr="00330CAE">
        <w:trPr>
          <w:trHeight w:val="300"/>
          <w:jc w:val="center"/>
        </w:trPr>
        <w:tc>
          <w:tcPr>
            <w:tcW w:w="1843" w:type="dxa"/>
            <w:tcBorders>
              <w:top w:val="nil"/>
              <w:left w:val="nil"/>
              <w:bottom w:val="nil"/>
              <w:right w:val="nil"/>
            </w:tcBorders>
            <w:shd w:val="clear" w:color="auto" w:fill="auto"/>
            <w:noWrap/>
            <w:vAlign w:val="center"/>
          </w:tcPr>
          <w:p w:rsidR="00B84211" w:rsidRPr="000C493C" w:rsidRDefault="008C25C2" w:rsidP="007E6104">
            <w:pPr>
              <w:pStyle w:val="Entabla"/>
              <w:rPr>
                <w:rFonts w:ascii="Arial" w:hAnsi="Arial" w:cs="Arial"/>
                <w:sz w:val="18"/>
                <w:szCs w:val="18"/>
              </w:rPr>
            </w:pPr>
            <w:r w:rsidRPr="000C493C">
              <w:rPr>
                <w:rFonts w:ascii="Arial" w:hAnsi="Arial" w:cs="Arial"/>
                <w:sz w:val="18"/>
                <w:szCs w:val="18"/>
              </w:rPr>
              <w:t>Total</w:t>
            </w:r>
          </w:p>
        </w:tc>
        <w:tc>
          <w:tcPr>
            <w:tcW w:w="1701" w:type="dxa"/>
            <w:tcBorders>
              <w:top w:val="nil"/>
              <w:left w:val="nil"/>
              <w:bottom w:val="nil"/>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26.646.506</w:t>
            </w:r>
          </w:p>
        </w:tc>
        <w:tc>
          <w:tcPr>
            <w:tcW w:w="1559" w:type="dxa"/>
            <w:tcBorders>
              <w:top w:val="nil"/>
              <w:left w:val="nil"/>
              <w:bottom w:val="nil"/>
              <w:right w:val="nil"/>
            </w:tcBorders>
            <w:shd w:val="clear" w:color="auto" w:fill="auto"/>
            <w:noWrap/>
            <w:vAlign w:val="center"/>
          </w:tcPr>
          <w:p w:rsidR="00B84211" w:rsidRPr="000C493C" w:rsidRDefault="00CF4102" w:rsidP="007E6104">
            <w:pPr>
              <w:pStyle w:val="Entabla"/>
              <w:rPr>
                <w:rFonts w:ascii="Arial" w:hAnsi="Arial" w:cs="Arial"/>
                <w:sz w:val="18"/>
                <w:szCs w:val="18"/>
              </w:rPr>
            </w:pPr>
            <w:r w:rsidRPr="000C493C">
              <w:rPr>
                <w:rFonts w:ascii="Arial" w:hAnsi="Arial" w:cs="Arial"/>
                <w:sz w:val="18"/>
                <w:szCs w:val="18"/>
              </w:rPr>
              <w:t>36.752.973</w:t>
            </w:r>
          </w:p>
        </w:tc>
        <w:tc>
          <w:tcPr>
            <w:tcW w:w="1560" w:type="dxa"/>
            <w:tcBorders>
              <w:top w:val="nil"/>
              <w:left w:val="nil"/>
              <w:bottom w:val="nil"/>
              <w:right w:val="nil"/>
            </w:tcBorders>
            <w:shd w:val="clear" w:color="auto" w:fill="auto"/>
            <w:noWrap/>
            <w:vAlign w:val="center"/>
          </w:tcPr>
          <w:p w:rsidR="00B84211" w:rsidRPr="000C493C" w:rsidRDefault="00CF4102" w:rsidP="007E6104">
            <w:pPr>
              <w:pStyle w:val="Entabla"/>
              <w:rPr>
                <w:rFonts w:ascii="Arial" w:hAnsi="Arial" w:cs="Arial"/>
                <w:sz w:val="18"/>
                <w:szCs w:val="18"/>
              </w:rPr>
            </w:pPr>
            <w:r w:rsidRPr="000C493C">
              <w:rPr>
                <w:rFonts w:ascii="Arial" w:hAnsi="Arial" w:cs="Arial"/>
                <w:sz w:val="18"/>
                <w:szCs w:val="18"/>
              </w:rPr>
              <w:t>10.106.467</w:t>
            </w:r>
          </w:p>
        </w:tc>
        <w:tc>
          <w:tcPr>
            <w:tcW w:w="1134" w:type="dxa"/>
            <w:tcBorders>
              <w:top w:val="nil"/>
              <w:left w:val="nil"/>
              <w:bottom w:val="nil"/>
              <w:right w:val="nil"/>
            </w:tcBorders>
            <w:shd w:val="clear" w:color="auto" w:fill="auto"/>
            <w:noWrap/>
            <w:vAlign w:val="center"/>
          </w:tcPr>
          <w:p w:rsidR="00B84211" w:rsidRPr="000C493C" w:rsidRDefault="00616FEE" w:rsidP="00CF4102">
            <w:pPr>
              <w:pStyle w:val="Entabla"/>
              <w:rPr>
                <w:rFonts w:ascii="Arial" w:hAnsi="Arial" w:cs="Arial"/>
                <w:sz w:val="18"/>
                <w:szCs w:val="18"/>
              </w:rPr>
            </w:pPr>
            <w:r w:rsidRPr="000C493C">
              <w:rPr>
                <w:rFonts w:ascii="Arial" w:hAnsi="Arial" w:cs="Arial"/>
                <w:sz w:val="18"/>
                <w:szCs w:val="18"/>
              </w:rPr>
              <w:t>1,</w:t>
            </w:r>
            <w:r w:rsidR="00CF4102" w:rsidRPr="000C493C">
              <w:rPr>
                <w:rFonts w:ascii="Arial" w:hAnsi="Arial" w:cs="Arial"/>
                <w:sz w:val="18"/>
                <w:szCs w:val="18"/>
              </w:rPr>
              <w:t>38</w:t>
            </w:r>
          </w:p>
        </w:tc>
        <w:tc>
          <w:tcPr>
            <w:tcW w:w="850" w:type="dxa"/>
            <w:tcBorders>
              <w:top w:val="nil"/>
              <w:left w:val="nil"/>
              <w:bottom w:val="nil"/>
              <w:right w:val="nil"/>
            </w:tcBorders>
            <w:shd w:val="clear" w:color="auto" w:fill="auto"/>
            <w:vAlign w:val="center"/>
          </w:tcPr>
          <w:p w:rsidR="00B84211" w:rsidRPr="000C493C" w:rsidRDefault="00CF4102" w:rsidP="00427DDD">
            <w:pPr>
              <w:pStyle w:val="Entabla"/>
              <w:rPr>
                <w:rFonts w:ascii="Arial" w:hAnsi="Arial" w:cs="Arial"/>
                <w:sz w:val="18"/>
                <w:szCs w:val="18"/>
              </w:rPr>
            </w:pPr>
            <w:r w:rsidRPr="000C493C">
              <w:rPr>
                <w:rFonts w:ascii="Arial" w:hAnsi="Arial" w:cs="Arial"/>
                <w:sz w:val="18"/>
                <w:szCs w:val="18"/>
              </w:rPr>
              <w:t>33</w:t>
            </w:r>
            <w:r w:rsidR="008C25C2" w:rsidRPr="000C493C">
              <w:rPr>
                <w:rFonts w:ascii="Arial" w:hAnsi="Arial" w:cs="Arial"/>
                <w:sz w:val="18"/>
                <w:szCs w:val="18"/>
              </w:rPr>
              <w:t>%</w:t>
            </w:r>
          </w:p>
        </w:tc>
      </w:tr>
      <w:tr w:rsidR="00BB26A9" w:rsidRPr="000C493C" w:rsidTr="00330CAE">
        <w:trPr>
          <w:trHeight w:val="300"/>
          <w:jc w:val="center"/>
        </w:trPr>
        <w:tc>
          <w:tcPr>
            <w:tcW w:w="1843" w:type="dxa"/>
            <w:tcBorders>
              <w:top w:val="single" w:sz="4" w:space="0" w:color="auto"/>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Escenario 2-</w:t>
            </w:r>
            <w:r w:rsidR="0041238D" w:rsidRPr="000C493C">
              <w:rPr>
                <w:rFonts w:ascii="Arial" w:hAnsi="Arial" w:cs="Arial"/>
                <w:b/>
                <w:sz w:val="18"/>
                <w:szCs w:val="18"/>
              </w:rPr>
              <w:t xml:space="preserve">Ultra </w:t>
            </w:r>
            <w:r w:rsidRPr="000C493C">
              <w:rPr>
                <w:rFonts w:ascii="Arial" w:hAnsi="Arial" w:cs="Arial"/>
                <w:b/>
                <w:sz w:val="18"/>
                <w:szCs w:val="18"/>
              </w:rPr>
              <w:t>Conservador</w:t>
            </w:r>
          </w:p>
        </w:tc>
        <w:tc>
          <w:tcPr>
            <w:tcW w:w="1701" w:type="dxa"/>
            <w:tcBorders>
              <w:top w:val="single" w:sz="4" w:space="0" w:color="auto"/>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60" w:type="dxa"/>
            <w:tcBorders>
              <w:top w:val="single" w:sz="4" w:space="0" w:color="auto"/>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134" w:type="dxa"/>
            <w:tcBorders>
              <w:top w:val="single" w:sz="4" w:space="0" w:color="auto"/>
              <w:left w:val="nil"/>
              <w:bottom w:val="single" w:sz="4" w:space="0" w:color="auto"/>
              <w:right w:val="nil"/>
            </w:tcBorders>
            <w:shd w:val="clear" w:color="auto" w:fill="auto"/>
            <w:noWrap/>
            <w:vAlign w:val="center"/>
            <w:hideMark/>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850" w:type="dxa"/>
            <w:tcBorders>
              <w:top w:val="single" w:sz="4" w:space="0" w:color="auto"/>
              <w:left w:val="nil"/>
              <w:bottom w:val="single" w:sz="4" w:space="0" w:color="auto"/>
              <w:right w:val="nil"/>
            </w:tcBorders>
            <w:shd w:val="clear" w:color="auto" w:fill="auto"/>
          </w:tcPr>
          <w:p w:rsidR="00B84211" w:rsidRPr="000C493C" w:rsidRDefault="00B84211" w:rsidP="007E6104">
            <w:pPr>
              <w:pStyle w:val="Entabla"/>
              <w:rPr>
                <w:rFonts w:ascii="Arial" w:hAnsi="Arial" w:cs="Arial"/>
                <w:b/>
                <w:sz w:val="18"/>
                <w:szCs w:val="18"/>
              </w:rPr>
            </w:pPr>
          </w:p>
        </w:tc>
      </w:tr>
      <w:tr w:rsidR="00BB26A9" w:rsidRPr="000C493C" w:rsidTr="00330CAE">
        <w:trPr>
          <w:trHeight w:val="300"/>
          <w:jc w:val="center"/>
        </w:trPr>
        <w:tc>
          <w:tcPr>
            <w:tcW w:w="1843" w:type="dxa"/>
            <w:tcBorders>
              <w:top w:val="nil"/>
              <w:left w:val="nil"/>
              <w:bottom w:val="nil"/>
              <w:right w:val="nil"/>
            </w:tcBorders>
            <w:shd w:val="clear" w:color="auto" w:fill="auto"/>
            <w:noWrap/>
            <w:vAlign w:val="center"/>
          </w:tcPr>
          <w:p w:rsidR="00B84211" w:rsidRPr="000C493C" w:rsidRDefault="008C25C2" w:rsidP="007E6104">
            <w:pPr>
              <w:pStyle w:val="Entabla"/>
              <w:rPr>
                <w:rFonts w:ascii="Arial" w:hAnsi="Arial" w:cs="Arial"/>
                <w:sz w:val="18"/>
                <w:szCs w:val="18"/>
              </w:rPr>
            </w:pPr>
            <w:r w:rsidRPr="000C493C">
              <w:rPr>
                <w:rFonts w:ascii="Arial" w:hAnsi="Arial" w:cs="Arial"/>
                <w:sz w:val="18"/>
                <w:szCs w:val="18"/>
              </w:rPr>
              <w:t>Total</w:t>
            </w:r>
          </w:p>
        </w:tc>
        <w:tc>
          <w:tcPr>
            <w:tcW w:w="1701" w:type="dxa"/>
            <w:tcBorders>
              <w:top w:val="nil"/>
              <w:left w:val="nil"/>
              <w:bottom w:val="nil"/>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26.646.506</w:t>
            </w:r>
          </w:p>
        </w:tc>
        <w:tc>
          <w:tcPr>
            <w:tcW w:w="1559" w:type="dxa"/>
            <w:tcBorders>
              <w:top w:val="nil"/>
              <w:left w:val="nil"/>
              <w:bottom w:val="nil"/>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27.932.259</w:t>
            </w:r>
          </w:p>
        </w:tc>
        <w:tc>
          <w:tcPr>
            <w:tcW w:w="1560" w:type="dxa"/>
            <w:tcBorders>
              <w:top w:val="nil"/>
              <w:left w:val="nil"/>
              <w:bottom w:val="nil"/>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1.285.754</w:t>
            </w:r>
          </w:p>
        </w:tc>
        <w:tc>
          <w:tcPr>
            <w:tcW w:w="1134" w:type="dxa"/>
            <w:tcBorders>
              <w:top w:val="nil"/>
              <w:left w:val="nil"/>
              <w:bottom w:val="nil"/>
              <w:right w:val="nil"/>
            </w:tcBorders>
            <w:shd w:val="clear" w:color="auto" w:fill="auto"/>
            <w:noWrap/>
            <w:vAlign w:val="center"/>
          </w:tcPr>
          <w:p w:rsidR="00B84211" w:rsidRPr="000C493C" w:rsidRDefault="00D2420F" w:rsidP="001D0054">
            <w:pPr>
              <w:pStyle w:val="Entabla"/>
              <w:rPr>
                <w:rFonts w:ascii="Arial" w:hAnsi="Arial" w:cs="Arial"/>
                <w:sz w:val="18"/>
                <w:szCs w:val="18"/>
              </w:rPr>
            </w:pPr>
            <w:r w:rsidRPr="000C493C">
              <w:rPr>
                <w:rFonts w:ascii="Arial" w:hAnsi="Arial" w:cs="Arial"/>
                <w:sz w:val="18"/>
                <w:szCs w:val="18"/>
              </w:rPr>
              <w:t>1,</w:t>
            </w:r>
            <w:r w:rsidR="001D0054" w:rsidRPr="000C493C">
              <w:rPr>
                <w:rFonts w:ascii="Arial" w:hAnsi="Arial" w:cs="Arial"/>
                <w:sz w:val="18"/>
                <w:szCs w:val="18"/>
              </w:rPr>
              <w:t>05</w:t>
            </w:r>
          </w:p>
        </w:tc>
        <w:tc>
          <w:tcPr>
            <w:tcW w:w="850" w:type="dxa"/>
            <w:tcBorders>
              <w:top w:val="nil"/>
              <w:left w:val="nil"/>
              <w:bottom w:val="nil"/>
              <w:right w:val="nil"/>
            </w:tcBorders>
            <w:shd w:val="clear" w:color="auto" w:fill="auto"/>
            <w:vAlign w:val="center"/>
          </w:tcPr>
          <w:p w:rsidR="00B84211" w:rsidRPr="000C493C" w:rsidRDefault="00084A43" w:rsidP="001D0054">
            <w:pPr>
              <w:pStyle w:val="Entabla"/>
              <w:rPr>
                <w:rFonts w:ascii="Arial" w:hAnsi="Arial" w:cs="Arial"/>
                <w:sz w:val="18"/>
                <w:szCs w:val="18"/>
              </w:rPr>
            </w:pPr>
            <w:r w:rsidRPr="000C493C">
              <w:rPr>
                <w:rFonts w:ascii="Arial" w:hAnsi="Arial" w:cs="Arial"/>
                <w:sz w:val="18"/>
                <w:szCs w:val="18"/>
              </w:rPr>
              <w:t>1</w:t>
            </w:r>
            <w:r w:rsidR="001D0054" w:rsidRPr="000C493C">
              <w:rPr>
                <w:rFonts w:ascii="Arial" w:hAnsi="Arial" w:cs="Arial"/>
                <w:sz w:val="18"/>
                <w:szCs w:val="18"/>
              </w:rPr>
              <w:t>5</w:t>
            </w:r>
            <w:r w:rsidR="008C25C2" w:rsidRPr="000C493C">
              <w:rPr>
                <w:rFonts w:ascii="Arial" w:hAnsi="Arial" w:cs="Arial"/>
                <w:sz w:val="18"/>
                <w:szCs w:val="18"/>
              </w:rPr>
              <w:t>%</w:t>
            </w:r>
          </w:p>
        </w:tc>
      </w:tr>
      <w:tr w:rsidR="00BB26A9" w:rsidRPr="000C493C" w:rsidTr="00330CAE">
        <w:trPr>
          <w:trHeight w:val="287"/>
          <w:jc w:val="center"/>
        </w:trPr>
        <w:tc>
          <w:tcPr>
            <w:tcW w:w="1843" w:type="dxa"/>
            <w:tcBorders>
              <w:top w:val="single" w:sz="4" w:space="0" w:color="auto"/>
              <w:left w:val="nil"/>
              <w:bottom w:val="single" w:sz="4" w:space="0" w:color="auto"/>
              <w:right w:val="nil"/>
            </w:tcBorders>
            <w:shd w:val="clear" w:color="auto" w:fill="auto"/>
            <w:vAlign w:val="center"/>
          </w:tcPr>
          <w:p w:rsidR="00B84211" w:rsidRPr="000C493C" w:rsidRDefault="008C25C2" w:rsidP="0041238D">
            <w:pPr>
              <w:pStyle w:val="Entabla"/>
              <w:rPr>
                <w:rFonts w:ascii="Arial" w:hAnsi="Arial" w:cs="Arial"/>
                <w:b/>
                <w:sz w:val="18"/>
                <w:szCs w:val="18"/>
              </w:rPr>
            </w:pPr>
            <w:r w:rsidRPr="000C493C">
              <w:rPr>
                <w:rFonts w:ascii="Arial" w:hAnsi="Arial" w:cs="Arial"/>
                <w:b/>
                <w:sz w:val="18"/>
                <w:szCs w:val="18"/>
              </w:rPr>
              <w:t>Escenario 3-</w:t>
            </w:r>
            <w:r w:rsidR="0041238D" w:rsidRPr="000C493C">
              <w:rPr>
                <w:rFonts w:ascii="Arial" w:hAnsi="Arial" w:cs="Arial"/>
                <w:b/>
                <w:sz w:val="18"/>
                <w:szCs w:val="18"/>
              </w:rPr>
              <w:t>Conservador</w:t>
            </w:r>
          </w:p>
        </w:tc>
        <w:tc>
          <w:tcPr>
            <w:tcW w:w="1701" w:type="dxa"/>
            <w:tcBorders>
              <w:top w:val="single" w:sz="4" w:space="0" w:color="auto"/>
              <w:left w:val="nil"/>
              <w:bottom w:val="single" w:sz="4" w:space="0" w:color="auto"/>
              <w:right w:val="nil"/>
            </w:tcBorders>
            <w:shd w:val="clear" w:color="auto" w:fill="auto"/>
            <w:noWrap/>
            <w:vAlign w:val="center"/>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59" w:type="dxa"/>
            <w:tcBorders>
              <w:top w:val="single" w:sz="4" w:space="0" w:color="auto"/>
              <w:left w:val="nil"/>
              <w:bottom w:val="single" w:sz="4" w:space="0" w:color="auto"/>
              <w:right w:val="nil"/>
            </w:tcBorders>
            <w:shd w:val="clear" w:color="auto" w:fill="auto"/>
            <w:noWrap/>
            <w:vAlign w:val="center"/>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560" w:type="dxa"/>
            <w:tcBorders>
              <w:top w:val="single" w:sz="4" w:space="0" w:color="auto"/>
              <w:left w:val="nil"/>
              <w:bottom w:val="single" w:sz="4" w:space="0" w:color="auto"/>
              <w:right w:val="nil"/>
            </w:tcBorders>
            <w:shd w:val="clear" w:color="auto" w:fill="auto"/>
            <w:noWrap/>
            <w:vAlign w:val="center"/>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1134" w:type="dxa"/>
            <w:tcBorders>
              <w:top w:val="single" w:sz="4" w:space="0" w:color="auto"/>
              <w:left w:val="nil"/>
              <w:bottom w:val="single" w:sz="4" w:space="0" w:color="auto"/>
              <w:right w:val="nil"/>
            </w:tcBorders>
            <w:shd w:val="clear" w:color="auto" w:fill="auto"/>
            <w:noWrap/>
            <w:vAlign w:val="center"/>
          </w:tcPr>
          <w:p w:rsidR="00B84211" w:rsidRPr="000C493C" w:rsidRDefault="008C25C2" w:rsidP="007E6104">
            <w:pPr>
              <w:pStyle w:val="Entabla"/>
              <w:rPr>
                <w:rFonts w:ascii="Arial" w:hAnsi="Arial" w:cs="Arial"/>
                <w:b/>
                <w:sz w:val="18"/>
                <w:szCs w:val="18"/>
              </w:rPr>
            </w:pPr>
            <w:r w:rsidRPr="000C493C">
              <w:rPr>
                <w:rFonts w:ascii="Arial" w:hAnsi="Arial" w:cs="Arial"/>
                <w:b/>
                <w:sz w:val="18"/>
                <w:szCs w:val="18"/>
              </w:rPr>
              <w:t> </w:t>
            </w:r>
          </w:p>
        </w:tc>
        <w:tc>
          <w:tcPr>
            <w:tcW w:w="850" w:type="dxa"/>
            <w:tcBorders>
              <w:top w:val="single" w:sz="4" w:space="0" w:color="auto"/>
              <w:left w:val="nil"/>
              <w:bottom w:val="single" w:sz="4" w:space="0" w:color="auto"/>
              <w:right w:val="nil"/>
            </w:tcBorders>
            <w:shd w:val="clear" w:color="auto" w:fill="auto"/>
          </w:tcPr>
          <w:p w:rsidR="00B84211" w:rsidRPr="000C493C" w:rsidRDefault="00B84211" w:rsidP="007E6104">
            <w:pPr>
              <w:pStyle w:val="Entabla"/>
              <w:rPr>
                <w:rFonts w:ascii="Arial" w:hAnsi="Arial" w:cs="Arial"/>
                <w:b/>
                <w:sz w:val="18"/>
                <w:szCs w:val="18"/>
              </w:rPr>
            </w:pPr>
          </w:p>
        </w:tc>
      </w:tr>
      <w:tr w:rsidR="00BB26A9" w:rsidRPr="000C493C" w:rsidTr="00330CAE">
        <w:trPr>
          <w:trHeight w:val="300"/>
          <w:jc w:val="center"/>
        </w:trPr>
        <w:tc>
          <w:tcPr>
            <w:tcW w:w="1843" w:type="dxa"/>
            <w:tcBorders>
              <w:top w:val="nil"/>
              <w:left w:val="nil"/>
              <w:bottom w:val="single" w:sz="4" w:space="0" w:color="auto"/>
              <w:right w:val="nil"/>
            </w:tcBorders>
            <w:shd w:val="clear" w:color="auto" w:fill="auto"/>
            <w:noWrap/>
            <w:vAlign w:val="center"/>
          </w:tcPr>
          <w:p w:rsidR="00B84211" w:rsidRPr="000C493C" w:rsidRDefault="008C25C2" w:rsidP="007E6104">
            <w:pPr>
              <w:pStyle w:val="Entabla"/>
              <w:rPr>
                <w:rFonts w:ascii="Arial" w:hAnsi="Arial" w:cs="Arial"/>
                <w:sz w:val="18"/>
                <w:szCs w:val="18"/>
              </w:rPr>
            </w:pPr>
            <w:r w:rsidRPr="000C493C">
              <w:rPr>
                <w:rFonts w:ascii="Arial" w:hAnsi="Arial" w:cs="Arial"/>
                <w:sz w:val="18"/>
                <w:szCs w:val="18"/>
              </w:rPr>
              <w:t>Total</w:t>
            </w:r>
          </w:p>
        </w:tc>
        <w:tc>
          <w:tcPr>
            <w:tcW w:w="1701" w:type="dxa"/>
            <w:tcBorders>
              <w:top w:val="nil"/>
              <w:left w:val="nil"/>
              <w:bottom w:val="single" w:sz="4" w:space="0" w:color="auto"/>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26.646.506</w:t>
            </w:r>
          </w:p>
        </w:tc>
        <w:tc>
          <w:tcPr>
            <w:tcW w:w="1559" w:type="dxa"/>
            <w:tcBorders>
              <w:top w:val="nil"/>
              <w:left w:val="nil"/>
              <w:bottom w:val="single" w:sz="4" w:space="0" w:color="auto"/>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30.872.497</w:t>
            </w:r>
          </w:p>
        </w:tc>
        <w:tc>
          <w:tcPr>
            <w:tcW w:w="1560" w:type="dxa"/>
            <w:tcBorders>
              <w:top w:val="nil"/>
              <w:left w:val="nil"/>
              <w:bottom w:val="single" w:sz="4" w:space="0" w:color="auto"/>
              <w:right w:val="nil"/>
            </w:tcBorders>
            <w:shd w:val="clear" w:color="auto" w:fill="auto"/>
            <w:noWrap/>
            <w:vAlign w:val="center"/>
          </w:tcPr>
          <w:p w:rsidR="00B84211" w:rsidRPr="000C493C" w:rsidRDefault="001D0054" w:rsidP="007E6104">
            <w:pPr>
              <w:pStyle w:val="Entabla"/>
              <w:rPr>
                <w:rFonts w:ascii="Arial" w:hAnsi="Arial" w:cs="Arial"/>
                <w:sz w:val="18"/>
                <w:szCs w:val="18"/>
              </w:rPr>
            </w:pPr>
            <w:r w:rsidRPr="000C493C">
              <w:rPr>
                <w:rFonts w:ascii="Arial" w:hAnsi="Arial" w:cs="Arial"/>
                <w:sz w:val="18"/>
                <w:szCs w:val="18"/>
              </w:rPr>
              <w:t>4.225.991</w:t>
            </w:r>
          </w:p>
        </w:tc>
        <w:tc>
          <w:tcPr>
            <w:tcW w:w="1134" w:type="dxa"/>
            <w:tcBorders>
              <w:top w:val="nil"/>
              <w:left w:val="nil"/>
              <w:bottom w:val="single" w:sz="4" w:space="0" w:color="auto"/>
              <w:right w:val="nil"/>
            </w:tcBorders>
            <w:shd w:val="clear" w:color="auto" w:fill="auto"/>
            <w:noWrap/>
            <w:vAlign w:val="center"/>
          </w:tcPr>
          <w:p w:rsidR="00B84211" w:rsidRPr="000C493C" w:rsidRDefault="001D0054" w:rsidP="00B3481C">
            <w:pPr>
              <w:pStyle w:val="Entabla"/>
              <w:rPr>
                <w:rFonts w:ascii="Arial" w:hAnsi="Arial" w:cs="Arial"/>
                <w:sz w:val="18"/>
                <w:szCs w:val="18"/>
              </w:rPr>
            </w:pPr>
            <w:r w:rsidRPr="000C493C">
              <w:rPr>
                <w:rFonts w:ascii="Arial" w:hAnsi="Arial" w:cs="Arial"/>
                <w:sz w:val="18"/>
                <w:szCs w:val="18"/>
              </w:rPr>
              <w:t>1,16</w:t>
            </w:r>
          </w:p>
        </w:tc>
        <w:tc>
          <w:tcPr>
            <w:tcW w:w="850" w:type="dxa"/>
            <w:tcBorders>
              <w:top w:val="nil"/>
              <w:left w:val="nil"/>
              <w:bottom w:val="single" w:sz="4" w:space="0" w:color="auto"/>
              <w:right w:val="nil"/>
            </w:tcBorders>
            <w:shd w:val="clear" w:color="auto" w:fill="auto"/>
            <w:vAlign w:val="center"/>
          </w:tcPr>
          <w:p w:rsidR="00B84211" w:rsidRPr="000C493C" w:rsidRDefault="001D0054" w:rsidP="00B3481C">
            <w:pPr>
              <w:pStyle w:val="Entabla"/>
              <w:rPr>
                <w:rFonts w:ascii="Arial" w:hAnsi="Arial" w:cs="Arial"/>
                <w:sz w:val="18"/>
                <w:szCs w:val="18"/>
              </w:rPr>
            </w:pPr>
            <w:r w:rsidRPr="000C493C">
              <w:rPr>
                <w:rFonts w:ascii="Arial" w:hAnsi="Arial" w:cs="Arial"/>
                <w:sz w:val="18"/>
                <w:szCs w:val="18"/>
              </w:rPr>
              <w:t>22</w:t>
            </w:r>
            <w:r w:rsidR="000C0E70" w:rsidRPr="000C493C">
              <w:rPr>
                <w:rFonts w:ascii="Arial" w:hAnsi="Arial" w:cs="Arial"/>
                <w:sz w:val="18"/>
                <w:szCs w:val="18"/>
              </w:rPr>
              <w:t>%</w:t>
            </w:r>
          </w:p>
        </w:tc>
      </w:tr>
      <w:tr w:rsidR="0041238D" w:rsidRPr="000C493C" w:rsidTr="00330CAE">
        <w:trPr>
          <w:trHeight w:val="300"/>
          <w:jc w:val="center"/>
        </w:trPr>
        <w:tc>
          <w:tcPr>
            <w:tcW w:w="1843" w:type="dxa"/>
            <w:tcBorders>
              <w:top w:val="single" w:sz="4" w:space="0" w:color="auto"/>
              <w:left w:val="nil"/>
              <w:bottom w:val="single" w:sz="4" w:space="0" w:color="auto"/>
              <w:right w:val="nil"/>
            </w:tcBorders>
            <w:shd w:val="clear" w:color="auto" w:fill="auto"/>
            <w:noWrap/>
            <w:vAlign w:val="center"/>
          </w:tcPr>
          <w:p w:rsidR="0041238D" w:rsidRPr="000C493C" w:rsidRDefault="0041238D" w:rsidP="0041238D">
            <w:pPr>
              <w:pStyle w:val="Entabla"/>
              <w:rPr>
                <w:rFonts w:ascii="Arial" w:hAnsi="Arial" w:cs="Arial"/>
                <w:b/>
                <w:sz w:val="18"/>
                <w:szCs w:val="18"/>
              </w:rPr>
            </w:pPr>
            <w:r w:rsidRPr="000C493C">
              <w:rPr>
                <w:rFonts w:ascii="Arial" w:hAnsi="Arial" w:cs="Arial"/>
                <w:b/>
                <w:sz w:val="18"/>
                <w:szCs w:val="18"/>
              </w:rPr>
              <w:t>Escenario 4-Optimista</w:t>
            </w:r>
          </w:p>
        </w:tc>
        <w:tc>
          <w:tcPr>
            <w:tcW w:w="1701" w:type="dxa"/>
            <w:tcBorders>
              <w:top w:val="single" w:sz="4" w:space="0" w:color="auto"/>
              <w:left w:val="nil"/>
              <w:bottom w:val="single" w:sz="4" w:space="0" w:color="auto"/>
              <w:right w:val="nil"/>
            </w:tcBorders>
            <w:shd w:val="clear" w:color="auto" w:fill="auto"/>
            <w:noWrap/>
            <w:vAlign w:val="center"/>
          </w:tcPr>
          <w:p w:rsidR="0041238D" w:rsidRPr="000C493C" w:rsidRDefault="0041238D" w:rsidP="00F84E15">
            <w:pPr>
              <w:pStyle w:val="Entabla"/>
              <w:rPr>
                <w:rFonts w:ascii="Arial" w:hAnsi="Arial" w:cs="Arial"/>
                <w:b/>
                <w:sz w:val="18"/>
                <w:szCs w:val="18"/>
              </w:rPr>
            </w:pPr>
            <w:r w:rsidRPr="000C493C">
              <w:rPr>
                <w:rFonts w:ascii="Arial" w:hAnsi="Arial" w:cs="Arial"/>
                <w:b/>
                <w:sz w:val="18"/>
                <w:szCs w:val="18"/>
              </w:rPr>
              <w:t> </w:t>
            </w:r>
          </w:p>
        </w:tc>
        <w:tc>
          <w:tcPr>
            <w:tcW w:w="1559" w:type="dxa"/>
            <w:tcBorders>
              <w:top w:val="single" w:sz="4" w:space="0" w:color="auto"/>
              <w:left w:val="nil"/>
              <w:bottom w:val="single" w:sz="4" w:space="0" w:color="auto"/>
              <w:right w:val="nil"/>
            </w:tcBorders>
            <w:shd w:val="clear" w:color="auto" w:fill="auto"/>
            <w:noWrap/>
            <w:vAlign w:val="center"/>
          </w:tcPr>
          <w:p w:rsidR="0041238D" w:rsidRPr="000C493C" w:rsidRDefault="0041238D" w:rsidP="00F84E15">
            <w:pPr>
              <w:pStyle w:val="Entabla"/>
              <w:rPr>
                <w:rFonts w:ascii="Arial" w:hAnsi="Arial" w:cs="Arial"/>
                <w:b/>
                <w:sz w:val="18"/>
                <w:szCs w:val="18"/>
              </w:rPr>
            </w:pPr>
            <w:r w:rsidRPr="000C493C">
              <w:rPr>
                <w:rFonts w:ascii="Arial" w:hAnsi="Arial" w:cs="Arial"/>
                <w:b/>
                <w:sz w:val="18"/>
                <w:szCs w:val="18"/>
              </w:rPr>
              <w:t> </w:t>
            </w:r>
          </w:p>
        </w:tc>
        <w:tc>
          <w:tcPr>
            <w:tcW w:w="1560" w:type="dxa"/>
            <w:tcBorders>
              <w:top w:val="single" w:sz="4" w:space="0" w:color="auto"/>
              <w:left w:val="nil"/>
              <w:bottom w:val="single" w:sz="4" w:space="0" w:color="auto"/>
              <w:right w:val="nil"/>
            </w:tcBorders>
            <w:shd w:val="clear" w:color="auto" w:fill="auto"/>
            <w:noWrap/>
            <w:vAlign w:val="center"/>
          </w:tcPr>
          <w:p w:rsidR="0041238D" w:rsidRPr="000C493C" w:rsidRDefault="0041238D" w:rsidP="00F84E15">
            <w:pPr>
              <w:pStyle w:val="Entabla"/>
              <w:rPr>
                <w:rFonts w:ascii="Arial" w:hAnsi="Arial" w:cs="Arial"/>
                <w:b/>
                <w:sz w:val="18"/>
                <w:szCs w:val="18"/>
              </w:rPr>
            </w:pPr>
            <w:r w:rsidRPr="000C493C">
              <w:rPr>
                <w:rFonts w:ascii="Arial" w:hAnsi="Arial" w:cs="Arial"/>
                <w:b/>
                <w:sz w:val="18"/>
                <w:szCs w:val="18"/>
              </w:rPr>
              <w:t> </w:t>
            </w:r>
          </w:p>
        </w:tc>
        <w:tc>
          <w:tcPr>
            <w:tcW w:w="1134" w:type="dxa"/>
            <w:tcBorders>
              <w:top w:val="single" w:sz="4" w:space="0" w:color="auto"/>
              <w:left w:val="nil"/>
              <w:bottom w:val="single" w:sz="4" w:space="0" w:color="auto"/>
              <w:right w:val="nil"/>
            </w:tcBorders>
            <w:shd w:val="clear" w:color="auto" w:fill="auto"/>
            <w:noWrap/>
            <w:vAlign w:val="center"/>
          </w:tcPr>
          <w:p w:rsidR="0041238D" w:rsidRPr="000C493C" w:rsidRDefault="0041238D" w:rsidP="00F84E15">
            <w:pPr>
              <w:pStyle w:val="Entabla"/>
              <w:rPr>
                <w:rFonts w:ascii="Arial" w:hAnsi="Arial" w:cs="Arial"/>
                <w:b/>
                <w:sz w:val="18"/>
                <w:szCs w:val="18"/>
              </w:rPr>
            </w:pPr>
            <w:r w:rsidRPr="000C493C">
              <w:rPr>
                <w:rFonts w:ascii="Arial" w:hAnsi="Arial" w:cs="Arial"/>
                <w:b/>
                <w:sz w:val="18"/>
                <w:szCs w:val="18"/>
              </w:rPr>
              <w:t> </w:t>
            </w:r>
          </w:p>
        </w:tc>
        <w:tc>
          <w:tcPr>
            <w:tcW w:w="850" w:type="dxa"/>
            <w:tcBorders>
              <w:top w:val="single" w:sz="4" w:space="0" w:color="auto"/>
              <w:left w:val="nil"/>
              <w:bottom w:val="single" w:sz="4" w:space="0" w:color="auto"/>
              <w:right w:val="nil"/>
            </w:tcBorders>
            <w:shd w:val="clear" w:color="auto" w:fill="auto"/>
          </w:tcPr>
          <w:p w:rsidR="0041238D" w:rsidRPr="000C493C" w:rsidRDefault="0041238D" w:rsidP="00F84E15">
            <w:pPr>
              <w:pStyle w:val="Entabla"/>
              <w:rPr>
                <w:rFonts w:ascii="Arial" w:hAnsi="Arial" w:cs="Arial"/>
                <w:b/>
                <w:sz w:val="18"/>
                <w:szCs w:val="18"/>
              </w:rPr>
            </w:pPr>
          </w:p>
        </w:tc>
      </w:tr>
      <w:tr w:rsidR="0041238D" w:rsidRPr="000C493C" w:rsidTr="00330CAE">
        <w:trPr>
          <w:trHeight w:val="300"/>
          <w:jc w:val="center"/>
        </w:trPr>
        <w:tc>
          <w:tcPr>
            <w:tcW w:w="1843" w:type="dxa"/>
            <w:tcBorders>
              <w:top w:val="single" w:sz="4" w:space="0" w:color="auto"/>
              <w:left w:val="nil"/>
              <w:bottom w:val="nil"/>
              <w:right w:val="nil"/>
            </w:tcBorders>
            <w:shd w:val="clear" w:color="auto" w:fill="auto"/>
            <w:noWrap/>
            <w:vAlign w:val="center"/>
          </w:tcPr>
          <w:p w:rsidR="0041238D" w:rsidRPr="000C493C" w:rsidRDefault="0041238D" w:rsidP="00F84E15">
            <w:pPr>
              <w:pStyle w:val="Entabla"/>
              <w:rPr>
                <w:rFonts w:ascii="Arial" w:hAnsi="Arial" w:cs="Arial"/>
                <w:sz w:val="18"/>
                <w:szCs w:val="18"/>
              </w:rPr>
            </w:pPr>
            <w:r w:rsidRPr="000C493C">
              <w:rPr>
                <w:rFonts w:ascii="Arial" w:hAnsi="Arial" w:cs="Arial"/>
                <w:sz w:val="18"/>
                <w:szCs w:val="18"/>
              </w:rPr>
              <w:t>Total</w:t>
            </w:r>
          </w:p>
        </w:tc>
        <w:tc>
          <w:tcPr>
            <w:tcW w:w="1701" w:type="dxa"/>
            <w:tcBorders>
              <w:top w:val="single" w:sz="4" w:space="0" w:color="auto"/>
              <w:left w:val="nil"/>
              <w:bottom w:val="nil"/>
              <w:right w:val="nil"/>
            </w:tcBorders>
            <w:shd w:val="clear" w:color="auto" w:fill="auto"/>
            <w:noWrap/>
            <w:vAlign w:val="center"/>
          </w:tcPr>
          <w:p w:rsidR="0041238D" w:rsidRPr="000C493C" w:rsidRDefault="0041238D" w:rsidP="00F84E15">
            <w:pPr>
              <w:pStyle w:val="Entabla"/>
              <w:rPr>
                <w:rFonts w:ascii="Arial" w:hAnsi="Arial" w:cs="Arial"/>
                <w:sz w:val="18"/>
                <w:szCs w:val="18"/>
              </w:rPr>
            </w:pPr>
            <w:r w:rsidRPr="000C493C">
              <w:rPr>
                <w:rFonts w:ascii="Arial" w:hAnsi="Arial" w:cs="Arial"/>
                <w:sz w:val="18"/>
                <w:szCs w:val="18"/>
              </w:rPr>
              <w:t>26.646.506</w:t>
            </w:r>
          </w:p>
        </w:tc>
        <w:tc>
          <w:tcPr>
            <w:tcW w:w="1559" w:type="dxa"/>
            <w:tcBorders>
              <w:top w:val="single" w:sz="4" w:space="0" w:color="auto"/>
              <w:left w:val="nil"/>
              <w:bottom w:val="nil"/>
              <w:right w:val="nil"/>
            </w:tcBorders>
            <w:shd w:val="clear" w:color="auto" w:fill="auto"/>
            <w:noWrap/>
            <w:vAlign w:val="center"/>
          </w:tcPr>
          <w:p w:rsidR="0041238D" w:rsidRPr="000C493C" w:rsidRDefault="009B0AF7" w:rsidP="00F84E15">
            <w:pPr>
              <w:pStyle w:val="Entabla"/>
              <w:rPr>
                <w:rFonts w:ascii="Arial" w:hAnsi="Arial" w:cs="Arial"/>
                <w:sz w:val="18"/>
                <w:szCs w:val="18"/>
              </w:rPr>
            </w:pPr>
            <w:r w:rsidRPr="000C493C">
              <w:rPr>
                <w:rFonts w:ascii="Arial" w:hAnsi="Arial" w:cs="Arial"/>
                <w:sz w:val="18"/>
                <w:szCs w:val="18"/>
              </w:rPr>
              <w:t>44.103.567</w:t>
            </w:r>
          </w:p>
        </w:tc>
        <w:tc>
          <w:tcPr>
            <w:tcW w:w="1560" w:type="dxa"/>
            <w:tcBorders>
              <w:top w:val="single" w:sz="4" w:space="0" w:color="auto"/>
              <w:left w:val="nil"/>
              <w:bottom w:val="nil"/>
              <w:right w:val="nil"/>
            </w:tcBorders>
            <w:shd w:val="clear" w:color="auto" w:fill="auto"/>
            <w:noWrap/>
            <w:vAlign w:val="center"/>
          </w:tcPr>
          <w:p w:rsidR="0041238D" w:rsidRPr="000C493C" w:rsidRDefault="009B0AF7" w:rsidP="00F84E15">
            <w:pPr>
              <w:pStyle w:val="Entabla"/>
              <w:rPr>
                <w:rFonts w:ascii="Arial" w:hAnsi="Arial" w:cs="Arial"/>
                <w:sz w:val="18"/>
                <w:szCs w:val="18"/>
              </w:rPr>
            </w:pPr>
            <w:r w:rsidRPr="000C493C">
              <w:rPr>
                <w:rFonts w:ascii="Arial" w:hAnsi="Arial" w:cs="Arial"/>
                <w:sz w:val="18"/>
                <w:szCs w:val="18"/>
              </w:rPr>
              <w:t>17.457.062</w:t>
            </w:r>
          </w:p>
        </w:tc>
        <w:tc>
          <w:tcPr>
            <w:tcW w:w="1134" w:type="dxa"/>
            <w:tcBorders>
              <w:top w:val="single" w:sz="4" w:space="0" w:color="auto"/>
              <w:left w:val="nil"/>
              <w:bottom w:val="nil"/>
              <w:right w:val="nil"/>
            </w:tcBorders>
            <w:shd w:val="clear" w:color="auto" w:fill="auto"/>
            <w:noWrap/>
            <w:vAlign w:val="center"/>
          </w:tcPr>
          <w:p w:rsidR="0041238D" w:rsidRPr="000C493C" w:rsidRDefault="0041238D" w:rsidP="009B0AF7">
            <w:pPr>
              <w:pStyle w:val="Entabla"/>
              <w:rPr>
                <w:rFonts w:ascii="Arial" w:hAnsi="Arial" w:cs="Arial"/>
                <w:sz w:val="18"/>
                <w:szCs w:val="18"/>
              </w:rPr>
            </w:pPr>
            <w:r w:rsidRPr="000C493C">
              <w:rPr>
                <w:rFonts w:ascii="Arial" w:hAnsi="Arial" w:cs="Arial"/>
                <w:sz w:val="18"/>
                <w:szCs w:val="18"/>
              </w:rPr>
              <w:t>1,</w:t>
            </w:r>
            <w:r w:rsidR="009B0AF7" w:rsidRPr="000C493C">
              <w:rPr>
                <w:rFonts w:ascii="Arial" w:hAnsi="Arial" w:cs="Arial"/>
                <w:sz w:val="18"/>
                <w:szCs w:val="18"/>
              </w:rPr>
              <w:t>6</w:t>
            </w:r>
            <w:r w:rsidRPr="000C493C">
              <w:rPr>
                <w:rFonts w:ascii="Arial" w:hAnsi="Arial" w:cs="Arial"/>
                <w:sz w:val="18"/>
                <w:szCs w:val="18"/>
              </w:rPr>
              <w:t>6</w:t>
            </w:r>
          </w:p>
        </w:tc>
        <w:tc>
          <w:tcPr>
            <w:tcW w:w="850" w:type="dxa"/>
            <w:tcBorders>
              <w:top w:val="single" w:sz="4" w:space="0" w:color="auto"/>
              <w:left w:val="nil"/>
              <w:bottom w:val="nil"/>
              <w:right w:val="nil"/>
            </w:tcBorders>
            <w:shd w:val="clear" w:color="auto" w:fill="auto"/>
            <w:vAlign w:val="center"/>
          </w:tcPr>
          <w:p w:rsidR="0041238D" w:rsidRPr="000C493C" w:rsidRDefault="009B0AF7" w:rsidP="00F84E15">
            <w:pPr>
              <w:pStyle w:val="Entabla"/>
              <w:rPr>
                <w:rFonts w:ascii="Arial" w:hAnsi="Arial" w:cs="Arial"/>
                <w:sz w:val="18"/>
                <w:szCs w:val="18"/>
              </w:rPr>
            </w:pPr>
            <w:r w:rsidRPr="000C493C">
              <w:rPr>
                <w:rFonts w:ascii="Arial" w:hAnsi="Arial" w:cs="Arial"/>
                <w:sz w:val="18"/>
                <w:szCs w:val="18"/>
              </w:rPr>
              <w:t>47</w:t>
            </w:r>
            <w:r w:rsidR="0041238D" w:rsidRPr="000C493C">
              <w:rPr>
                <w:rFonts w:ascii="Arial" w:hAnsi="Arial" w:cs="Arial"/>
                <w:sz w:val="18"/>
                <w:szCs w:val="18"/>
              </w:rPr>
              <w:t>%</w:t>
            </w:r>
          </w:p>
        </w:tc>
      </w:tr>
      <w:tr w:rsidR="0041238D" w:rsidRPr="000C493C" w:rsidTr="00330CAE">
        <w:trPr>
          <w:trHeight w:val="287"/>
          <w:jc w:val="center"/>
        </w:trPr>
        <w:tc>
          <w:tcPr>
            <w:tcW w:w="1843" w:type="dxa"/>
            <w:tcBorders>
              <w:top w:val="single" w:sz="4" w:space="0" w:color="auto"/>
              <w:left w:val="nil"/>
              <w:bottom w:val="single" w:sz="4" w:space="0" w:color="auto"/>
              <w:right w:val="nil"/>
            </w:tcBorders>
            <w:shd w:val="clear" w:color="auto" w:fill="auto"/>
            <w:vAlign w:val="center"/>
          </w:tcPr>
          <w:p w:rsidR="0041238D" w:rsidRPr="000C493C" w:rsidRDefault="0041238D" w:rsidP="00FD2BE4">
            <w:pPr>
              <w:pStyle w:val="Entabla"/>
              <w:rPr>
                <w:rFonts w:ascii="Arial" w:hAnsi="Arial" w:cs="Arial"/>
                <w:b/>
                <w:sz w:val="18"/>
                <w:szCs w:val="18"/>
              </w:rPr>
            </w:pPr>
            <w:r w:rsidRPr="000C493C">
              <w:rPr>
                <w:rFonts w:ascii="Arial" w:hAnsi="Arial" w:cs="Arial"/>
                <w:b/>
                <w:sz w:val="18"/>
                <w:szCs w:val="18"/>
              </w:rPr>
              <w:t>Escenario De Rentabilidad Mínima</w:t>
            </w:r>
          </w:p>
        </w:tc>
        <w:tc>
          <w:tcPr>
            <w:tcW w:w="1701" w:type="dxa"/>
            <w:tcBorders>
              <w:top w:val="single" w:sz="4" w:space="0" w:color="auto"/>
              <w:left w:val="nil"/>
              <w:bottom w:val="single" w:sz="4" w:space="0" w:color="auto"/>
              <w:right w:val="nil"/>
            </w:tcBorders>
            <w:shd w:val="clear" w:color="auto" w:fill="auto"/>
            <w:noWrap/>
            <w:vAlign w:val="center"/>
          </w:tcPr>
          <w:p w:rsidR="0041238D" w:rsidRPr="000C493C" w:rsidRDefault="0041238D" w:rsidP="007D4064">
            <w:pPr>
              <w:pStyle w:val="Entabla"/>
              <w:rPr>
                <w:rFonts w:ascii="Arial" w:hAnsi="Arial" w:cs="Arial"/>
                <w:b/>
                <w:sz w:val="18"/>
                <w:szCs w:val="18"/>
              </w:rPr>
            </w:pPr>
            <w:r w:rsidRPr="000C493C">
              <w:rPr>
                <w:rFonts w:ascii="Arial" w:hAnsi="Arial" w:cs="Arial"/>
                <w:b/>
                <w:sz w:val="18"/>
                <w:szCs w:val="18"/>
              </w:rPr>
              <w:t> </w:t>
            </w:r>
          </w:p>
        </w:tc>
        <w:tc>
          <w:tcPr>
            <w:tcW w:w="1559" w:type="dxa"/>
            <w:tcBorders>
              <w:top w:val="single" w:sz="4" w:space="0" w:color="auto"/>
              <w:left w:val="nil"/>
              <w:bottom w:val="single" w:sz="4" w:space="0" w:color="auto"/>
              <w:right w:val="nil"/>
            </w:tcBorders>
            <w:shd w:val="clear" w:color="auto" w:fill="auto"/>
            <w:noWrap/>
            <w:vAlign w:val="center"/>
          </w:tcPr>
          <w:p w:rsidR="0041238D" w:rsidRPr="000C493C" w:rsidRDefault="0041238D" w:rsidP="007D4064">
            <w:pPr>
              <w:pStyle w:val="Entabla"/>
              <w:rPr>
                <w:rFonts w:ascii="Arial" w:hAnsi="Arial" w:cs="Arial"/>
                <w:b/>
                <w:sz w:val="18"/>
                <w:szCs w:val="18"/>
              </w:rPr>
            </w:pPr>
            <w:r w:rsidRPr="000C493C">
              <w:rPr>
                <w:rFonts w:ascii="Arial" w:hAnsi="Arial" w:cs="Arial"/>
                <w:b/>
                <w:sz w:val="18"/>
                <w:szCs w:val="18"/>
              </w:rPr>
              <w:t> </w:t>
            </w:r>
          </w:p>
        </w:tc>
        <w:tc>
          <w:tcPr>
            <w:tcW w:w="1560" w:type="dxa"/>
            <w:tcBorders>
              <w:top w:val="single" w:sz="4" w:space="0" w:color="auto"/>
              <w:left w:val="nil"/>
              <w:bottom w:val="single" w:sz="4" w:space="0" w:color="auto"/>
              <w:right w:val="nil"/>
            </w:tcBorders>
            <w:shd w:val="clear" w:color="auto" w:fill="auto"/>
            <w:noWrap/>
            <w:vAlign w:val="center"/>
          </w:tcPr>
          <w:p w:rsidR="0041238D" w:rsidRPr="000C493C" w:rsidRDefault="0041238D" w:rsidP="007D4064">
            <w:pPr>
              <w:pStyle w:val="Entabla"/>
              <w:rPr>
                <w:rFonts w:ascii="Arial" w:hAnsi="Arial" w:cs="Arial"/>
                <w:b/>
                <w:sz w:val="18"/>
                <w:szCs w:val="18"/>
              </w:rPr>
            </w:pPr>
            <w:r w:rsidRPr="000C493C">
              <w:rPr>
                <w:rFonts w:ascii="Arial" w:hAnsi="Arial" w:cs="Arial"/>
                <w:b/>
                <w:sz w:val="18"/>
                <w:szCs w:val="18"/>
              </w:rPr>
              <w:t> </w:t>
            </w:r>
          </w:p>
        </w:tc>
        <w:tc>
          <w:tcPr>
            <w:tcW w:w="1134" w:type="dxa"/>
            <w:tcBorders>
              <w:top w:val="single" w:sz="4" w:space="0" w:color="auto"/>
              <w:left w:val="nil"/>
              <w:bottom w:val="single" w:sz="4" w:space="0" w:color="auto"/>
              <w:right w:val="nil"/>
            </w:tcBorders>
            <w:shd w:val="clear" w:color="auto" w:fill="auto"/>
            <w:noWrap/>
            <w:vAlign w:val="center"/>
          </w:tcPr>
          <w:p w:rsidR="0041238D" w:rsidRPr="000C493C" w:rsidRDefault="0041238D" w:rsidP="007D4064">
            <w:pPr>
              <w:pStyle w:val="Entabla"/>
              <w:rPr>
                <w:rFonts w:ascii="Arial" w:hAnsi="Arial" w:cs="Arial"/>
                <w:b/>
                <w:sz w:val="18"/>
                <w:szCs w:val="18"/>
              </w:rPr>
            </w:pPr>
            <w:r w:rsidRPr="000C493C">
              <w:rPr>
                <w:rFonts w:ascii="Arial" w:hAnsi="Arial" w:cs="Arial"/>
                <w:b/>
                <w:sz w:val="18"/>
                <w:szCs w:val="18"/>
              </w:rPr>
              <w:t> </w:t>
            </w:r>
          </w:p>
        </w:tc>
        <w:tc>
          <w:tcPr>
            <w:tcW w:w="850" w:type="dxa"/>
            <w:tcBorders>
              <w:top w:val="single" w:sz="4" w:space="0" w:color="auto"/>
              <w:left w:val="nil"/>
              <w:bottom w:val="single" w:sz="4" w:space="0" w:color="auto"/>
              <w:right w:val="nil"/>
            </w:tcBorders>
            <w:shd w:val="clear" w:color="auto" w:fill="auto"/>
          </w:tcPr>
          <w:p w:rsidR="0041238D" w:rsidRPr="000C493C" w:rsidRDefault="0041238D" w:rsidP="007D4064">
            <w:pPr>
              <w:pStyle w:val="Entabla"/>
              <w:rPr>
                <w:rFonts w:ascii="Arial" w:hAnsi="Arial" w:cs="Arial"/>
                <w:b/>
                <w:sz w:val="18"/>
                <w:szCs w:val="18"/>
              </w:rPr>
            </w:pPr>
          </w:p>
        </w:tc>
      </w:tr>
      <w:tr w:rsidR="0041238D" w:rsidRPr="000C493C" w:rsidTr="00330CAE">
        <w:trPr>
          <w:trHeight w:val="300"/>
          <w:jc w:val="center"/>
        </w:trPr>
        <w:tc>
          <w:tcPr>
            <w:tcW w:w="1843" w:type="dxa"/>
            <w:tcBorders>
              <w:top w:val="nil"/>
              <w:left w:val="nil"/>
              <w:bottom w:val="nil"/>
              <w:right w:val="nil"/>
            </w:tcBorders>
            <w:shd w:val="clear" w:color="auto" w:fill="auto"/>
            <w:noWrap/>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Total</w:t>
            </w:r>
          </w:p>
        </w:tc>
        <w:tc>
          <w:tcPr>
            <w:tcW w:w="1701" w:type="dxa"/>
            <w:tcBorders>
              <w:top w:val="nil"/>
              <w:left w:val="nil"/>
              <w:bottom w:val="nil"/>
              <w:right w:val="nil"/>
            </w:tcBorders>
            <w:shd w:val="clear" w:color="auto" w:fill="auto"/>
            <w:noWrap/>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26.646.506</w:t>
            </w:r>
          </w:p>
        </w:tc>
        <w:tc>
          <w:tcPr>
            <w:tcW w:w="1559" w:type="dxa"/>
            <w:tcBorders>
              <w:top w:val="nil"/>
              <w:left w:val="nil"/>
              <w:bottom w:val="nil"/>
              <w:right w:val="nil"/>
            </w:tcBorders>
            <w:shd w:val="clear" w:color="auto" w:fill="auto"/>
            <w:noWrap/>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26.756.164</w:t>
            </w:r>
          </w:p>
        </w:tc>
        <w:tc>
          <w:tcPr>
            <w:tcW w:w="1560" w:type="dxa"/>
            <w:tcBorders>
              <w:top w:val="nil"/>
              <w:left w:val="nil"/>
              <w:bottom w:val="nil"/>
              <w:right w:val="nil"/>
            </w:tcBorders>
            <w:shd w:val="clear" w:color="auto" w:fill="auto"/>
            <w:noWrap/>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109.659</w:t>
            </w:r>
          </w:p>
        </w:tc>
        <w:tc>
          <w:tcPr>
            <w:tcW w:w="1134" w:type="dxa"/>
            <w:tcBorders>
              <w:top w:val="nil"/>
              <w:left w:val="nil"/>
              <w:bottom w:val="nil"/>
              <w:right w:val="nil"/>
            </w:tcBorders>
            <w:shd w:val="clear" w:color="auto" w:fill="auto"/>
            <w:noWrap/>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1,00</w:t>
            </w:r>
          </w:p>
        </w:tc>
        <w:tc>
          <w:tcPr>
            <w:tcW w:w="850" w:type="dxa"/>
            <w:tcBorders>
              <w:top w:val="nil"/>
              <w:left w:val="nil"/>
              <w:bottom w:val="nil"/>
              <w:right w:val="nil"/>
            </w:tcBorders>
            <w:shd w:val="clear" w:color="auto" w:fill="auto"/>
            <w:vAlign w:val="center"/>
          </w:tcPr>
          <w:p w:rsidR="0041238D" w:rsidRPr="000C493C" w:rsidRDefault="0041238D" w:rsidP="007D4064">
            <w:pPr>
              <w:pStyle w:val="Entabla"/>
              <w:rPr>
                <w:rFonts w:ascii="Arial" w:hAnsi="Arial" w:cs="Arial"/>
                <w:sz w:val="18"/>
                <w:szCs w:val="18"/>
              </w:rPr>
            </w:pPr>
            <w:r w:rsidRPr="000C493C">
              <w:rPr>
                <w:rFonts w:ascii="Arial" w:hAnsi="Arial" w:cs="Arial"/>
                <w:sz w:val="18"/>
                <w:szCs w:val="18"/>
              </w:rPr>
              <w:t>12%</w:t>
            </w:r>
          </w:p>
        </w:tc>
      </w:tr>
      <w:tr w:rsidR="0041238D" w:rsidRPr="000C493C" w:rsidTr="00330CAE">
        <w:trPr>
          <w:trHeight w:val="300"/>
          <w:jc w:val="center"/>
        </w:trPr>
        <w:tc>
          <w:tcPr>
            <w:tcW w:w="1843" w:type="dxa"/>
            <w:tcBorders>
              <w:top w:val="nil"/>
              <w:left w:val="nil"/>
              <w:bottom w:val="nil"/>
              <w:right w:val="nil"/>
            </w:tcBorders>
            <w:shd w:val="clear" w:color="auto" w:fill="auto"/>
            <w:noWrap/>
            <w:vAlign w:val="center"/>
          </w:tcPr>
          <w:p w:rsidR="0041238D" w:rsidRPr="000C493C" w:rsidRDefault="0041238D" w:rsidP="007E6104">
            <w:pPr>
              <w:pStyle w:val="Entabla"/>
              <w:rPr>
                <w:rFonts w:ascii="Arial" w:hAnsi="Arial" w:cs="Arial"/>
                <w:sz w:val="18"/>
                <w:szCs w:val="18"/>
              </w:rPr>
            </w:pPr>
          </w:p>
        </w:tc>
        <w:tc>
          <w:tcPr>
            <w:tcW w:w="1701" w:type="dxa"/>
            <w:tcBorders>
              <w:top w:val="nil"/>
              <w:left w:val="nil"/>
              <w:bottom w:val="nil"/>
              <w:right w:val="nil"/>
            </w:tcBorders>
            <w:shd w:val="clear" w:color="auto" w:fill="auto"/>
            <w:noWrap/>
            <w:vAlign w:val="center"/>
          </w:tcPr>
          <w:p w:rsidR="0041238D" w:rsidRPr="000C493C" w:rsidRDefault="0041238D" w:rsidP="007E6104">
            <w:pPr>
              <w:pStyle w:val="Entabla"/>
              <w:rPr>
                <w:rFonts w:ascii="Arial" w:hAnsi="Arial" w:cs="Arial"/>
                <w:sz w:val="18"/>
                <w:szCs w:val="18"/>
              </w:rPr>
            </w:pPr>
          </w:p>
        </w:tc>
        <w:tc>
          <w:tcPr>
            <w:tcW w:w="1559" w:type="dxa"/>
            <w:tcBorders>
              <w:top w:val="nil"/>
              <w:left w:val="nil"/>
              <w:bottom w:val="nil"/>
              <w:right w:val="nil"/>
            </w:tcBorders>
            <w:shd w:val="clear" w:color="auto" w:fill="auto"/>
            <w:noWrap/>
            <w:vAlign w:val="center"/>
          </w:tcPr>
          <w:p w:rsidR="0041238D" w:rsidRPr="000C493C" w:rsidRDefault="0041238D" w:rsidP="007E6104">
            <w:pPr>
              <w:pStyle w:val="Entabla"/>
              <w:rPr>
                <w:rFonts w:ascii="Arial" w:hAnsi="Arial" w:cs="Arial"/>
                <w:sz w:val="18"/>
                <w:szCs w:val="18"/>
              </w:rPr>
            </w:pPr>
          </w:p>
        </w:tc>
        <w:tc>
          <w:tcPr>
            <w:tcW w:w="1560" w:type="dxa"/>
            <w:tcBorders>
              <w:top w:val="nil"/>
              <w:left w:val="nil"/>
              <w:bottom w:val="nil"/>
              <w:right w:val="nil"/>
            </w:tcBorders>
            <w:shd w:val="clear" w:color="auto" w:fill="auto"/>
            <w:noWrap/>
            <w:vAlign w:val="center"/>
          </w:tcPr>
          <w:p w:rsidR="0041238D" w:rsidRPr="000C493C" w:rsidRDefault="0041238D" w:rsidP="007E6104">
            <w:pPr>
              <w:pStyle w:val="Entabla"/>
              <w:rPr>
                <w:rFonts w:ascii="Arial" w:hAnsi="Arial" w:cs="Arial"/>
                <w:sz w:val="18"/>
                <w:szCs w:val="18"/>
              </w:rPr>
            </w:pPr>
          </w:p>
        </w:tc>
        <w:tc>
          <w:tcPr>
            <w:tcW w:w="1134" w:type="dxa"/>
            <w:tcBorders>
              <w:top w:val="nil"/>
              <w:left w:val="nil"/>
              <w:bottom w:val="nil"/>
              <w:right w:val="nil"/>
            </w:tcBorders>
            <w:shd w:val="clear" w:color="auto" w:fill="auto"/>
            <w:noWrap/>
            <w:vAlign w:val="center"/>
          </w:tcPr>
          <w:p w:rsidR="0041238D" w:rsidRPr="000C493C" w:rsidRDefault="0041238D" w:rsidP="00B3481C">
            <w:pPr>
              <w:pStyle w:val="Entabla"/>
              <w:rPr>
                <w:rFonts w:ascii="Arial" w:hAnsi="Arial" w:cs="Arial"/>
                <w:sz w:val="18"/>
                <w:szCs w:val="18"/>
              </w:rPr>
            </w:pPr>
          </w:p>
        </w:tc>
        <w:tc>
          <w:tcPr>
            <w:tcW w:w="850" w:type="dxa"/>
            <w:tcBorders>
              <w:top w:val="nil"/>
              <w:left w:val="nil"/>
              <w:bottom w:val="nil"/>
              <w:right w:val="nil"/>
            </w:tcBorders>
            <w:shd w:val="clear" w:color="auto" w:fill="auto"/>
            <w:vAlign w:val="center"/>
          </w:tcPr>
          <w:p w:rsidR="0041238D" w:rsidRPr="000C493C" w:rsidRDefault="0041238D" w:rsidP="00B3481C">
            <w:pPr>
              <w:pStyle w:val="Entabla"/>
              <w:rPr>
                <w:rFonts w:ascii="Arial" w:hAnsi="Arial" w:cs="Arial"/>
                <w:sz w:val="18"/>
                <w:szCs w:val="18"/>
              </w:rPr>
            </w:pPr>
          </w:p>
        </w:tc>
      </w:tr>
    </w:tbl>
    <w:p w:rsidR="00330CAE" w:rsidRPr="000C493C" w:rsidRDefault="00330CAE" w:rsidP="00330CAE">
      <w:pPr>
        <w:pStyle w:val="Paragraph"/>
        <w:numPr>
          <w:ilvl w:val="0"/>
          <w:numId w:val="0"/>
        </w:numPr>
        <w:spacing w:before="0" w:after="0"/>
        <w:rPr>
          <w:rFonts w:ascii="Arial" w:hAnsi="Arial" w:cs="Arial"/>
          <w:sz w:val="22"/>
          <w:szCs w:val="22"/>
        </w:rPr>
      </w:pPr>
    </w:p>
    <w:p w:rsidR="00B84211" w:rsidRPr="000C493C" w:rsidRDefault="009D413B" w:rsidP="00330CAE">
      <w:pPr>
        <w:pStyle w:val="Paragraph"/>
        <w:numPr>
          <w:ilvl w:val="1"/>
          <w:numId w:val="18"/>
        </w:numPr>
        <w:spacing w:before="0" w:after="0"/>
        <w:ind w:left="567" w:hanging="567"/>
        <w:rPr>
          <w:rFonts w:ascii="Arial" w:hAnsi="Arial" w:cs="Arial"/>
          <w:sz w:val="22"/>
          <w:szCs w:val="22"/>
        </w:rPr>
      </w:pPr>
      <w:r w:rsidRPr="000C493C">
        <w:rPr>
          <w:rFonts w:ascii="Arial" w:hAnsi="Arial" w:cs="Arial"/>
          <w:sz w:val="22"/>
          <w:szCs w:val="22"/>
        </w:rPr>
        <w:t>En el escenario base</w:t>
      </w:r>
      <w:r w:rsidR="00CF7330" w:rsidRPr="000C493C">
        <w:rPr>
          <w:rFonts w:ascii="Arial" w:hAnsi="Arial" w:cs="Arial"/>
          <w:sz w:val="22"/>
          <w:szCs w:val="22"/>
        </w:rPr>
        <w:t>,</w:t>
      </w:r>
      <w:r w:rsidRPr="000C493C">
        <w:rPr>
          <w:rFonts w:ascii="Arial" w:hAnsi="Arial" w:cs="Arial"/>
          <w:sz w:val="22"/>
          <w:szCs w:val="22"/>
        </w:rPr>
        <w:t xml:space="preserve"> la relación costo beneficio para el </w:t>
      </w:r>
      <w:r w:rsidR="00F50CE0" w:rsidRPr="000C493C">
        <w:rPr>
          <w:rFonts w:ascii="Arial" w:hAnsi="Arial" w:cs="Arial"/>
          <w:sz w:val="22"/>
          <w:szCs w:val="22"/>
        </w:rPr>
        <w:t>P</w:t>
      </w:r>
      <w:r w:rsidRPr="000C493C">
        <w:rPr>
          <w:rFonts w:ascii="Arial" w:hAnsi="Arial" w:cs="Arial"/>
          <w:sz w:val="22"/>
          <w:szCs w:val="22"/>
        </w:rPr>
        <w:t xml:space="preserve">rograma resulta ser de </w:t>
      </w:r>
      <w:r w:rsidR="00B15D32" w:rsidRPr="000C493C">
        <w:rPr>
          <w:rFonts w:ascii="Arial" w:hAnsi="Arial" w:cs="Arial"/>
          <w:sz w:val="22"/>
          <w:szCs w:val="22"/>
        </w:rPr>
        <w:t>1,</w:t>
      </w:r>
      <w:r w:rsidR="00DF5FCB" w:rsidRPr="000C493C">
        <w:rPr>
          <w:rFonts w:ascii="Arial" w:hAnsi="Arial" w:cs="Arial"/>
          <w:sz w:val="22"/>
          <w:szCs w:val="22"/>
        </w:rPr>
        <w:t>38</w:t>
      </w:r>
      <w:r w:rsidR="00765476" w:rsidRPr="000C493C">
        <w:rPr>
          <w:rFonts w:ascii="Arial" w:hAnsi="Arial" w:cs="Arial"/>
          <w:sz w:val="22"/>
          <w:szCs w:val="22"/>
        </w:rPr>
        <w:t>.</w:t>
      </w:r>
      <w:r w:rsidRPr="000C493C">
        <w:rPr>
          <w:rFonts w:ascii="Arial" w:hAnsi="Arial" w:cs="Arial"/>
          <w:sz w:val="22"/>
          <w:szCs w:val="22"/>
        </w:rPr>
        <w:t xml:space="preserve"> Esto significa que se espera recuperar </w:t>
      </w:r>
      <w:r w:rsidR="00B15D32" w:rsidRPr="000C493C">
        <w:rPr>
          <w:rFonts w:ascii="Arial" w:hAnsi="Arial" w:cs="Arial"/>
          <w:sz w:val="22"/>
          <w:szCs w:val="22"/>
        </w:rPr>
        <w:t>1,</w:t>
      </w:r>
      <w:r w:rsidR="00493DE6" w:rsidRPr="000C493C">
        <w:rPr>
          <w:rFonts w:ascii="Arial" w:hAnsi="Arial" w:cs="Arial"/>
          <w:sz w:val="22"/>
          <w:szCs w:val="22"/>
        </w:rPr>
        <w:t>38</w:t>
      </w:r>
      <w:r w:rsidR="004862B0" w:rsidRPr="000C493C">
        <w:rPr>
          <w:rFonts w:ascii="Arial" w:hAnsi="Arial" w:cs="Arial"/>
          <w:sz w:val="22"/>
          <w:szCs w:val="22"/>
        </w:rPr>
        <w:t xml:space="preserve"> </w:t>
      </w:r>
      <w:r w:rsidRPr="000C493C">
        <w:rPr>
          <w:rFonts w:ascii="Arial" w:hAnsi="Arial" w:cs="Arial"/>
          <w:sz w:val="22"/>
          <w:szCs w:val="22"/>
        </w:rPr>
        <w:t>dólares por cada dólar invertido en el proyecto.</w:t>
      </w:r>
      <w:r w:rsidR="00494BDC" w:rsidRPr="000C493C">
        <w:rPr>
          <w:rFonts w:ascii="Arial" w:hAnsi="Arial" w:cs="Arial"/>
          <w:sz w:val="22"/>
          <w:szCs w:val="22"/>
        </w:rPr>
        <w:t xml:space="preserve"> </w:t>
      </w:r>
      <w:r w:rsidRPr="000C493C">
        <w:rPr>
          <w:rFonts w:ascii="Arial" w:hAnsi="Arial" w:cs="Arial"/>
          <w:sz w:val="22"/>
          <w:szCs w:val="22"/>
        </w:rPr>
        <w:t xml:space="preserve">La TIR social resulta ser del </w:t>
      </w:r>
      <w:r w:rsidR="00493DE6" w:rsidRPr="000C493C">
        <w:rPr>
          <w:rFonts w:ascii="Arial" w:hAnsi="Arial" w:cs="Arial"/>
          <w:sz w:val="22"/>
          <w:szCs w:val="22"/>
        </w:rPr>
        <w:t>33</w:t>
      </w:r>
      <w:r w:rsidR="00F50CE0" w:rsidRPr="000C493C">
        <w:rPr>
          <w:rFonts w:ascii="Arial" w:hAnsi="Arial" w:cs="Arial"/>
          <w:sz w:val="22"/>
          <w:szCs w:val="22"/>
        </w:rPr>
        <w:t xml:space="preserve">%. En este escenario </w:t>
      </w:r>
      <w:r w:rsidR="002A07F8" w:rsidRPr="000C493C">
        <w:rPr>
          <w:rFonts w:ascii="Arial" w:hAnsi="Arial" w:cs="Arial"/>
          <w:sz w:val="22"/>
          <w:szCs w:val="22"/>
        </w:rPr>
        <w:t xml:space="preserve">se asume una reducción de </w:t>
      </w:r>
      <w:r w:rsidR="00EC2D81" w:rsidRPr="000C493C">
        <w:rPr>
          <w:rFonts w:ascii="Arial" w:hAnsi="Arial" w:cs="Arial"/>
          <w:sz w:val="22"/>
          <w:szCs w:val="22"/>
        </w:rPr>
        <w:t>las irregularidades</w:t>
      </w:r>
      <w:r w:rsidR="002A07F8" w:rsidRPr="000C493C">
        <w:rPr>
          <w:rFonts w:ascii="Arial" w:hAnsi="Arial" w:cs="Arial"/>
          <w:sz w:val="22"/>
          <w:szCs w:val="22"/>
        </w:rPr>
        <w:t xml:space="preserve"> del 2</w:t>
      </w:r>
      <w:r w:rsidR="0080063D" w:rsidRPr="000C493C">
        <w:rPr>
          <w:rFonts w:ascii="Arial" w:hAnsi="Arial" w:cs="Arial"/>
          <w:sz w:val="22"/>
          <w:szCs w:val="22"/>
        </w:rPr>
        <w:t>,5</w:t>
      </w:r>
      <w:r w:rsidR="002A07F8" w:rsidRPr="000C493C">
        <w:rPr>
          <w:rFonts w:ascii="Arial" w:hAnsi="Arial" w:cs="Arial"/>
          <w:sz w:val="22"/>
          <w:szCs w:val="22"/>
        </w:rPr>
        <w:t>%</w:t>
      </w:r>
      <w:r w:rsidR="000614DA" w:rsidRPr="000C493C">
        <w:rPr>
          <w:rFonts w:ascii="Arial" w:hAnsi="Arial" w:cs="Arial"/>
          <w:sz w:val="22"/>
          <w:szCs w:val="22"/>
        </w:rPr>
        <w:t>.</w:t>
      </w:r>
      <w:r w:rsidR="00A97B69" w:rsidRPr="000C493C">
        <w:rPr>
          <w:rFonts w:ascii="Arial" w:hAnsi="Arial" w:cs="Arial"/>
          <w:sz w:val="22"/>
          <w:szCs w:val="22"/>
        </w:rPr>
        <w:t xml:space="preserve"> </w:t>
      </w:r>
    </w:p>
    <w:p w:rsidR="00330CAE" w:rsidRPr="000C493C" w:rsidRDefault="00330CAE" w:rsidP="00330CAE">
      <w:pPr>
        <w:pStyle w:val="Paragraph"/>
        <w:numPr>
          <w:ilvl w:val="0"/>
          <w:numId w:val="0"/>
        </w:numPr>
        <w:spacing w:before="0" w:after="0"/>
        <w:ind w:left="567"/>
        <w:rPr>
          <w:rFonts w:ascii="Arial" w:hAnsi="Arial" w:cs="Arial"/>
          <w:sz w:val="22"/>
          <w:szCs w:val="22"/>
        </w:rPr>
      </w:pPr>
    </w:p>
    <w:p w:rsidR="00487425" w:rsidRPr="000C493C" w:rsidRDefault="00487425" w:rsidP="00330CAE">
      <w:pPr>
        <w:pStyle w:val="Paragraph"/>
        <w:numPr>
          <w:ilvl w:val="0"/>
          <w:numId w:val="45"/>
        </w:numPr>
        <w:spacing w:before="0" w:after="0"/>
        <w:ind w:left="540" w:hanging="540"/>
        <w:rPr>
          <w:rFonts w:ascii="Arial" w:hAnsi="Arial" w:cs="Arial"/>
          <w:b/>
          <w:sz w:val="22"/>
          <w:szCs w:val="22"/>
        </w:rPr>
      </w:pPr>
      <w:r w:rsidRPr="000C493C">
        <w:rPr>
          <w:rFonts w:ascii="Arial" w:hAnsi="Arial" w:cs="Arial"/>
          <w:b/>
          <w:sz w:val="22"/>
          <w:szCs w:val="22"/>
        </w:rPr>
        <w:t xml:space="preserve">Escenario </w:t>
      </w:r>
      <w:r w:rsidR="00CA6182" w:rsidRPr="000C493C">
        <w:rPr>
          <w:rFonts w:ascii="Arial" w:hAnsi="Arial" w:cs="Arial"/>
          <w:b/>
          <w:sz w:val="22"/>
          <w:szCs w:val="22"/>
        </w:rPr>
        <w:t>Ultra-</w:t>
      </w:r>
      <w:r w:rsidRPr="000C493C">
        <w:rPr>
          <w:rFonts w:ascii="Arial" w:hAnsi="Arial" w:cs="Arial"/>
          <w:b/>
          <w:sz w:val="22"/>
          <w:szCs w:val="22"/>
        </w:rPr>
        <w:t>Conservador</w:t>
      </w:r>
    </w:p>
    <w:p w:rsidR="00330CAE" w:rsidRPr="000C493C" w:rsidRDefault="00330CAE" w:rsidP="00330CAE">
      <w:pPr>
        <w:pStyle w:val="Paragraph"/>
        <w:numPr>
          <w:ilvl w:val="0"/>
          <w:numId w:val="0"/>
        </w:numPr>
        <w:spacing w:before="0" w:after="0"/>
        <w:ind w:left="540"/>
        <w:rPr>
          <w:rFonts w:ascii="Arial" w:hAnsi="Arial" w:cs="Arial"/>
          <w:b/>
          <w:sz w:val="22"/>
          <w:szCs w:val="22"/>
        </w:rPr>
      </w:pPr>
    </w:p>
    <w:p w:rsidR="00BB39B4" w:rsidRPr="000C493C" w:rsidRDefault="00CC18C4" w:rsidP="00330CAE">
      <w:pPr>
        <w:pStyle w:val="Paragraph"/>
        <w:numPr>
          <w:ilvl w:val="1"/>
          <w:numId w:val="18"/>
        </w:numPr>
        <w:spacing w:before="0" w:after="0"/>
        <w:ind w:left="540" w:hanging="540"/>
        <w:rPr>
          <w:rFonts w:ascii="Arial" w:hAnsi="Arial" w:cs="Arial"/>
          <w:sz w:val="22"/>
          <w:szCs w:val="22"/>
        </w:rPr>
      </w:pPr>
      <w:r w:rsidRPr="000C493C">
        <w:rPr>
          <w:rFonts w:ascii="Arial" w:hAnsi="Arial" w:cs="Arial"/>
          <w:sz w:val="22"/>
          <w:szCs w:val="22"/>
        </w:rPr>
        <w:t>En el escenario más conservador, donde</w:t>
      </w:r>
      <w:r w:rsidR="003714B4" w:rsidRPr="000C493C">
        <w:rPr>
          <w:rFonts w:ascii="Arial" w:hAnsi="Arial" w:cs="Arial"/>
          <w:sz w:val="22"/>
          <w:szCs w:val="22"/>
        </w:rPr>
        <w:t xml:space="preserve"> </w:t>
      </w:r>
      <w:r w:rsidR="00B01AF3" w:rsidRPr="000C493C">
        <w:rPr>
          <w:rFonts w:ascii="Arial" w:hAnsi="Arial" w:cs="Arial"/>
          <w:sz w:val="22"/>
          <w:szCs w:val="22"/>
        </w:rPr>
        <w:t xml:space="preserve">la reducción </w:t>
      </w:r>
      <w:r w:rsidR="00BE2119" w:rsidRPr="000C493C">
        <w:rPr>
          <w:rFonts w:ascii="Arial" w:hAnsi="Arial" w:cs="Arial"/>
          <w:sz w:val="22"/>
          <w:szCs w:val="22"/>
        </w:rPr>
        <w:t>de la</w:t>
      </w:r>
      <w:r w:rsidR="00EC2D81" w:rsidRPr="000C493C">
        <w:rPr>
          <w:rFonts w:ascii="Arial" w:hAnsi="Arial" w:cs="Arial"/>
          <w:sz w:val="22"/>
          <w:szCs w:val="22"/>
        </w:rPr>
        <w:t>s</w:t>
      </w:r>
      <w:r w:rsidR="00BE2119" w:rsidRPr="000C493C">
        <w:rPr>
          <w:rFonts w:ascii="Arial" w:hAnsi="Arial" w:cs="Arial"/>
          <w:sz w:val="22"/>
          <w:szCs w:val="22"/>
        </w:rPr>
        <w:t xml:space="preserve"> </w:t>
      </w:r>
      <w:r w:rsidR="00EC2D81" w:rsidRPr="000C493C">
        <w:rPr>
          <w:rFonts w:ascii="Arial" w:hAnsi="Arial" w:cs="Arial"/>
          <w:sz w:val="22"/>
          <w:szCs w:val="22"/>
        </w:rPr>
        <w:t>irregularidades</w:t>
      </w:r>
      <w:r w:rsidR="00BE2119" w:rsidRPr="000C493C">
        <w:rPr>
          <w:rFonts w:ascii="Arial" w:hAnsi="Arial" w:cs="Arial"/>
          <w:sz w:val="22"/>
          <w:szCs w:val="22"/>
        </w:rPr>
        <w:t xml:space="preserve"> es del 1</w:t>
      </w:r>
      <w:r w:rsidR="00587377" w:rsidRPr="000C493C">
        <w:rPr>
          <w:rFonts w:ascii="Arial" w:hAnsi="Arial" w:cs="Arial"/>
          <w:sz w:val="22"/>
          <w:szCs w:val="22"/>
        </w:rPr>
        <w:t>,9</w:t>
      </w:r>
      <w:r w:rsidR="00BE2119" w:rsidRPr="000C493C">
        <w:rPr>
          <w:rFonts w:ascii="Arial" w:hAnsi="Arial" w:cs="Arial"/>
          <w:sz w:val="22"/>
          <w:szCs w:val="22"/>
        </w:rPr>
        <w:t>%</w:t>
      </w:r>
      <w:r w:rsidR="00EF592D" w:rsidRPr="000C493C">
        <w:rPr>
          <w:rFonts w:ascii="Arial" w:hAnsi="Arial" w:cs="Arial"/>
          <w:sz w:val="22"/>
          <w:szCs w:val="22"/>
        </w:rPr>
        <w:t>,</w:t>
      </w:r>
      <w:r w:rsidR="00F50CE0" w:rsidRPr="000C493C">
        <w:rPr>
          <w:rFonts w:ascii="Arial" w:hAnsi="Arial" w:cs="Arial"/>
          <w:sz w:val="22"/>
          <w:szCs w:val="22"/>
        </w:rPr>
        <w:t xml:space="preserve"> la</w:t>
      </w:r>
      <w:r w:rsidR="00CA6562" w:rsidRPr="000C493C">
        <w:rPr>
          <w:rFonts w:ascii="Arial" w:hAnsi="Arial" w:cs="Arial"/>
          <w:sz w:val="22"/>
          <w:szCs w:val="22"/>
        </w:rPr>
        <w:t xml:space="preserve"> </w:t>
      </w:r>
      <w:r w:rsidR="009D413B" w:rsidRPr="000C493C">
        <w:rPr>
          <w:rFonts w:ascii="Arial" w:hAnsi="Arial" w:cs="Arial"/>
          <w:sz w:val="22"/>
          <w:szCs w:val="22"/>
        </w:rPr>
        <w:t xml:space="preserve">TIR social </w:t>
      </w:r>
      <w:r w:rsidR="00F50CE0" w:rsidRPr="000C493C">
        <w:rPr>
          <w:rFonts w:ascii="Arial" w:hAnsi="Arial" w:cs="Arial"/>
          <w:sz w:val="22"/>
          <w:szCs w:val="22"/>
        </w:rPr>
        <w:t xml:space="preserve">del Programa resulta ser </w:t>
      </w:r>
      <w:r w:rsidR="009D413B" w:rsidRPr="000C493C">
        <w:rPr>
          <w:rFonts w:ascii="Arial" w:hAnsi="Arial" w:cs="Arial"/>
          <w:sz w:val="22"/>
          <w:szCs w:val="22"/>
        </w:rPr>
        <w:t xml:space="preserve">del </w:t>
      </w:r>
      <w:r w:rsidR="004862B0" w:rsidRPr="000C493C">
        <w:rPr>
          <w:rFonts w:ascii="Arial" w:hAnsi="Arial" w:cs="Arial"/>
          <w:sz w:val="22"/>
          <w:szCs w:val="22"/>
        </w:rPr>
        <w:t>1</w:t>
      </w:r>
      <w:r w:rsidR="00587377" w:rsidRPr="000C493C">
        <w:rPr>
          <w:rFonts w:ascii="Arial" w:hAnsi="Arial" w:cs="Arial"/>
          <w:sz w:val="22"/>
          <w:szCs w:val="22"/>
        </w:rPr>
        <w:t>5</w:t>
      </w:r>
      <w:r w:rsidR="009D413B" w:rsidRPr="000C493C">
        <w:rPr>
          <w:rFonts w:ascii="Arial" w:hAnsi="Arial" w:cs="Arial"/>
          <w:sz w:val="22"/>
          <w:szCs w:val="22"/>
        </w:rPr>
        <w:t>%.</w:t>
      </w:r>
      <w:r w:rsidR="00BE2119" w:rsidRPr="000C493C">
        <w:rPr>
          <w:rFonts w:ascii="Arial" w:hAnsi="Arial" w:cs="Arial"/>
          <w:sz w:val="22"/>
          <w:szCs w:val="22"/>
        </w:rPr>
        <w:t xml:space="preserve"> </w:t>
      </w:r>
      <w:r w:rsidR="00232169" w:rsidRPr="000C493C">
        <w:rPr>
          <w:rFonts w:ascii="Arial" w:hAnsi="Arial" w:cs="Arial"/>
          <w:sz w:val="22"/>
          <w:szCs w:val="22"/>
        </w:rPr>
        <w:t xml:space="preserve">En este escenario desfavorable, la relación costo beneficio asciende a </w:t>
      </w:r>
      <w:r w:rsidR="005E6BF5" w:rsidRPr="000C493C">
        <w:rPr>
          <w:rFonts w:ascii="Arial" w:hAnsi="Arial" w:cs="Arial"/>
          <w:sz w:val="22"/>
          <w:szCs w:val="22"/>
        </w:rPr>
        <w:t>1,</w:t>
      </w:r>
      <w:r w:rsidR="00587377" w:rsidRPr="000C493C">
        <w:rPr>
          <w:rFonts w:ascii="Arial" w:hAnsi="Arial" w:cs="Arial"/>
          <w:sz w:val="22"/>
          <w:szCs w:val="22"/>
        </w:rPr>
        <w:t>05</w:t>
      </w:r>
      <w:r w:rsidR="00232169" w:rsidRPr="000C493C">
        <w:rPr>
          <w:rFonts w:ascii="Arial" w:hAnsi="Arial" w:cs="Arial"/>
          <w:sz w:val="22"/>
          <w:szCs w:val="22"/>
        </w:rPr>
        <w:t xml:space="preserve">, por lo que se espera recuperar </w:t>
      </w:r>
      <w:r w:rsidR="005E6BF5" w:rsidRPr="000C493C">
        <w:rPr>
          <w:rFonts w:ascii="Arial" w:hAnsi="Arial" w:cs="Arial"/>
          <w:sz w:val="22"/>
          <w:szCs w:val="22"/>
        </w:rPr>
        <w:t>1,</w:t>
      </w:r>
      <w:r w:rsidR="00587377" w:rsidRPr="000C493C">
        <w:rPr>
          <w:rFonts w:ascii="Arial" w:hAnsi="Arial" w:cs="Arial"/>
          <w:sz w:val="22"/>
          <w:szCs w:val="22"/>
        </w:rPr>
        <w:t>05</w:t>
      </w:r>
      <w:r w:rsidR="00232169" w:rsidRPr="000C493C">
        <w:rPr>
          <w:rFonts w:ascii="Arial" w:hAnsi="Arial" w:cs="Arial"/>
          <w:sz w:val="22"/>
          <w:szCs w:val="22"/>
        </w:rPr>
        <w:t xml:space="preserve"> dólares por ca</w:t>
      </w:r>
      <w:r w:rsidR="009C18D2" w:rsidRPr="000C493C">
        <w:rPr>
          <w:rFonts w:ascii="Arial" w:hAnsi="Arial" w:cs="Arial"/>
          <w:sz w:val="22"/>
          <w:szCs w:val="22"/>
        </w:rPr>
        <w:t xml:space="preserve">da uno invertido en el proyecto, </w:t>
      </w:r>
      <w:r w:rsidR="00F955E2" w:rsidRPr="000C493C">
        <w:rPr>
          <w:rFonts w:ascii="Arial" w:hAnsi="Arial" w:cs="Arial"/>
          <w:sz w:val="22"/>
          <w:szCs w:val="22"/>
        </w:rPr>
        <w:t>en consecuencia</w:t>
      </w:r>
      <w:r w:rsidR="009C18D2" w:rsidRPr="000C493C">
        <w:rPr>
          <w:rFonts w:ascii="Arial" w:hAnsi="Arial" w:cs="Arial"/>
          <w:sz w:val="22"/>
          <w:szCs w:val="22"/>
        </w:rPr>
        <w:t xml:space="preserve"> el programa sigue siendo rentable.</w:t>
      </w:r>
      <w:r w:rsidR="00407DA8" w:rsidRPr="000C493C">
        <w:rPr>
          <w:rFonts w:ascii="Arial" w:hAnsi="Arial" w:cs="Arial"/>
          <w:sz w:val="22"/>
          <w:szCs w:val="22"/>
        </w:rPr>
        <w:t xml:space="preserve"> </w:t>
      </w:r>
    </w:p>
    <w:p w:rsidR="00330CAE" w:rsidRPr="000C493C" w:rsidRDefault="00330CAE" w:rsidP="00330CAE">
      <w:pPr>
        <w:pStyle w:val="Paragraph"/>
        <w:numPr>
          <w:ilvl w:val="0"/>
          <w:numId w:val="0"/>
        </w:numPr>
        <w:spacing w:before="0" w:after="0"/>
        <w:ind w:left="540"/>
        <w:rPr>
          <w:rFonts w:ascii="Arial" w:hAnsi="Arial" w:cs="Arial"/>
          <w:sz w:val="22"/>
          <w:szCs w:val="22"/>
        </w:rPr>
      </w:pPr>
    </w:p>
    <w:p w:rsidR="00330CAE" w:rsidRDefault="00330CAE" w:rsidP="00330CAE">
      <w:pPr>
        <w:pStyle w:val="Paragraph"/>
        <w:numPr>
          <w:ilvl w:val="0"/>
          <w:numId w:val="0"/>
        </w:numPr>
        <w:spacing w:before="0" w:after="0"/>
        <w:ind w:left="540"/>
        <w:rPr>
          <w:rFonts w:ascii="Arial" w:hAnsi="Arial" w:cs="Arial"/>
          <w:sz w:val="22"/>
          <w:szCs w:val="22"/>
        </w:rPr>
      </w:pPr>
    </w:p>
    <w:p w:rsidR="005F7631" w:rsidRDefault="005F7631" w:rsidP="00330CAE">
      <w:pPr>
        <w:pStyle w:val="Paragraph"/>
        <w:numPr>
          <w:ilvl w:val="0"/>
          <w:numId w:val="0"/>
        </w:numPr>
        <w:spacing w:before="0" w:after="0"/>
        <w:ind w:left="540"/>
        <w:rPr>
          <w:rFonts w:ascii="Arial" w:hAnsi="Arial" w:cs="Arial"/>
          <w:sz w:val="22"/>
          <w:szCs w:val="22"/>
        </w:rPr>
      </w:pPr>
    </w:p>
    <w:p w:rsidR="005F7631" w:rsidRDefault="005F7631" w:rsidP="00330CAE">
      <w:pPr>
        <w:pStyle w:val="Paragraph"/>
        <w:numPr>
          <w:ilvl w:val="0"/>
          <w:numId w:val="0"/>
        </w:numPr>
        <w:spacing w:before="0" w:after="0"/>
        <w:ind w:left="540"/>
        <w:rPr>
          <w:rFonts w:ascii="Arial" w:hAnsi="Arial" w:cs="Arial"/>
          <w:sz w:val="22"/>
          <w:szCs w:val="22"/>
        </w:rPr>
      </w:pPr>
    </w:p>
    <w:p w:rsidR="005F7631" w:rsidRPr="000C493C" w:rsidRDefault="005F7631" w:rsidP="00330CAE">
      <w:pPr>
        <w:pStyle w:val="Paragraph"/>
        <w:numPr>
          <w:ilvl w:val="0"/>
          <w:numId w:val="0"/>
        </w:numPr>
        <w:spacing w:before="0" w:after="0"/>
        <w:ind w:left="540"/>
        <w:rPr>
          <w:rFonts w:ascii="Arial" w:hAnsi="Arial" w:cs="Arial"/>
          <w:sz w:val="22"/>
          <w:szCs w:val="22"/>
        </w:rPr>
      </w:pPr>
      <w:bookmarkStart w:id="1" w:name="_GoBack"/>
      <w:bookmarkEnd w:id="1"/>
    </w:p>
    <w:p w:rsidR="00487425" w:rsidRPr="000C493C" w:rsidRDefault="00487425" w:rsidP="00330CAE">
      <w:pPr>
        <w:pStyle w:val="Paragraph"/>
        <w:numPr>
          <w:ilvl w:val="0"/>
          <w:numId w:val="45"/>
        </w:numPr>
        <w:spacing w:before="0" w:after="0"/>
        <w:ind w:left="540" w:hanging="540"/>
        <w:rPr>
          <w:rFonts w:ascii="Arial" w:hAnsi="Arial" w:cs="Arial"/>
          <w:b/>
          <w:sz w:val="22"/>
          <w:szCs w:val="22"/>
        </w:rPr>
      </w:pPr>
      <w:r w:rsidRPr="000C493C">
        <w:rPr>
          <w:rFonts w:ascii="Arial" w:hAnsi="Arial" w:cs="Arial"/>
          <w:b/>
          <w:sz w:val="22"/>
          <w:szCs w:val="22"/>
        </w:rPr>
        <w:t xml:space="preserve">Escenario </w:t>
      </w:r>
      <w:r w:rsidR="00CA6182" w:rsidRPr="000C493C">
        <w:rPr>
          <w:rFonts w:ascii="Arial" w:hAnsi="Arial" w:cs="Arial"/>
          <w:b/>
          <w:sz w:val="22"/>
          <w:szCs w:val="22"/>
        </w:rPr>
        <w:t>Conservador</w:t>
      </w:r>
    </w:p>
    <w:p w:rsidR="00330CAE" w:rsidRPr="000C493C" w:rsidRDefault="00330CAE" w:rsidP="00330CAE">
      <w:pPr>
        <w:pStyle w:val="Paragraph"/>
        <w:numPr>
          <w:ilvl w:val="0"/>
          <w:numId w:val="0"/>
        </w:numPr>
        <w:spacing w:before="0" w:after="0"/>
        <w:ind w:left="540"/>
        <w:rPr>
          <w:rFonts w:ascii="Arial" w:hAnsi="Arial" w:cs="Arial"/>
          <w:b/>
          <w:sz w:val="22"/>
          <w:szCs w:val="22"/>
        </w:rPr>
      </w:pPr>
    </w:p>
    <w:p w:rsidR="00330CAE" w:rsidRPr="00083257" w:rsidRDefault="00A32B3D" w:rsidP="00083257">
      <w:pPr>
        <w:pStyle w:val="Paragraph"/>
        <w:numPr>
          <w:ilvl w:val="1"/>
          <w:numId w:val="18"/>
        </w:numPr>
        <w:spacing w:before="0" w:after="0"/>
        <w:ind w:left="540" w:hanging="540"/>
        <w:rPr>
          <w:rFonts w:ascii="Arial" w:hAnsi="Arial" w:cs="Arial"/>
          <w:sz w:val="22"/>
          <w:szCs w:val="22"/>
        </w:rPr>
      </w:pPr>
      <w:r w:rsidRPr="000C493C">
        <w:rPr>
          <w:rFonts w:ascii="Arial" w:hAnsi="Arial" w:cs="Arial"/>
          <w:sz w:val="22"/>
          <w:szCs w:val="22"/>
        </w:rPr>
        <w:t xml:space="preserve">En un escenario </w:t>
      </w:r>
      <w:r w:rsidR="00CA6182" w:rsidRPr="000C493C">
        <w:rPr>
          <w:rFonts w:ascii="Arial" w:hAnsi="Arial" w:cs="Arial"/>
          <w:sz w:val="22"/>
          <w:szCs w:val="22"/>
        </w:rPr>
        <w:t>moderadamente conservador</w:t>
      </w:r>
      <w:r w:rsidRPr="000C493C">
        <w:rPr>
          <w:rFonts w:ascii="Arial" w:hAnsi="Arial" w:cs="Arial"/>
          <w:sz w:val="22"/>
          <w:szCs w:val="22"/>
        </w:rPr>
        <w:t xml:space="preserve">, donde </w:t>
      </w:r>
      <w:r w:rsidR="00B01AF3" w:rsidRPr="000C493C">
        <w:rPr>
          <w:rFonts w:ascii="Arial" w:hAnsi="Arial" w:cs="Arial"/>
          <w:sz w:val="22"/>
          <w:szCs w:val="22"/>
        </w:rPr>
        <w:t xml:space="preserve">la reducción </w:t>
      </w:r>
      <w:r w:rsidR="00C03FBB" w:rsidRPr="000C493C">
        <w:rPr>
          <w:rFonts w:ascii="Arial" w:hAnsi="Arial" w:cs="Arial"/>
          <w:sz w:val="22"/>
          <w:szCs w:val="22"/>
        </w:rPr>
        <w:t xml:space="preserve">de </w:t>
      </w:r>
      <w:r w:rsidR="00B27900" w:rsidRPr="000C493C">
        <w:rPr>
          <w:rFonts w:ascii="Arial" w:hAnsi="Arial" w:cs="Arial"/>
          <w:sz w:val="22"/>
          <w:szCs w:val="22"/>
        </w:rPr>
        <w:t>las irregularidades</w:t>
      </w:r>
      <w:r w:rsidR="00C03FBB" w:rsidRPr="000C493C">
        <w:rPr>
          <w:rFonts w:ascii="Arial" w:hAnsi="Arial" w:cs="Arial"/>
          <w:sz w:val="22"/>
          <w:szCs w:val="22"/>
        </w:rPr>
        <w:t xml:space="preserve"> es del </w:t>
      </w:r>
      <w:r w:rsidR="00317175" w:rsidRPr="000C493C">
        <w:rPr>
          <w:rFonts w:ascii="Arial" w:hAnsi="Arial" w:cs="Arial"/>
          <w:sz w:val="22"/>
          <w:szCs w:val="22"/>
        </w:rPr>
        <w:t>2,1</w:t>
      </w:r>
      <w:r w:rsidR="00C03FBB" w:rsidRPr="000C493C">
        <w:rPr>
          <w:rFonts w:ascii="Arial" w:hAnsi="Arial" w:cs="Arial"/>
          <w:sz w:val="22"/>
          <w:szCs w:val="22"/>
        </w:rPr>
        <w:t>%</w:t>
      </w:r>
      <w:r w:rsidR="00B01AF3" w:rsidRPr="000C493C">
        <w:rPr>
          <w:rFonts w:ascii="Arial" w:hAnsi="Arial" w:cs="Arial"/>
          <w:sz w:val="22"/>
          <w:szCs w:val="22"/>
        </w:rPr>
        <w:t xml:space="preserve">, </w:t>
      </w:r>
      <w:r w:rsidR="009A65E9" w:rsidRPr="000C493C">
        <w:rPr>
          <w:rFonts w:ascii="Arial" w:hAnsi="Arial" w:cs="Arial"/>
          <w:sz w:val="22"/>
          <w:szCs w:val="22"/>
        </w:rPr>
        <w:t>s</w:t>
      </w:r>
      <w:r w:rsidRPr="000C493C">
        <w:rPr>
          <w:rFonts w:ascii="Arial" w:hAnsi="Arial" w:cs="Arial"/>
          <w:sz w:val="22"/>
          <w:szCs w:val="22"/>
        </w:rPr>
        <w:t xml:space="preserve">e obtiene una TIR social del </w:t>
      </w:r>
      <w:r w:rsidR="00317175" w:rsidRPr="000C493C">
        <w:rPr>
          <w:rFonts w:ascii="Arial" w:hAnsi="Arial" w:cs="Arial"/>
          <w:sz w:val="22"/>
          <w:szCs w:val="22"/>
        </w:rPr>
        <w:t>22</w:t>
      </w:r>
      <w:r w:rsidRPr="000C493C">
        <w:rPr>
          <w:rFonts w:ascii="Arial" w:hAnsi="Arial" w:cs="Arial"/>
          <w:sz w:val="22"/>
          <w:szCs w:val="22"/>
        </w:rPr>
        <w:t>%</w:t>
      </w:r>
      <w:r w:rsidR="00C532DF" w:rsidRPr="000C493C">
        <w:rPr>
          <w:rFonts w:ascii="Arial" w:hAnsi="Arial" w:cs="Arial"/>
          <w:sz w:val="22"/>
          <w:szCs w:val="22"/>
        </w:rPr>
        <w:t xml:space="preserve">, </w:t>
      </w:r>
      <w:r w:rsidR="006F1335" w:rsidRPr="000C493C">
        <w:rPr>
          <w:rFonts w:ascii="Arial" w:hAnsi="Arial" w:cs="Arial"/>
          <w:sz w:val="22"/>
          <w:szCs w:val="22"/>
        </w:rPr>
        <w:t xml:space="preserve">con una razón costo beneficio de </w:t>
      </w:r>
      <w:r w:rsidR="00317175" w:rsidRPr="000C493C">
        <w:rPr>
          <w:rFonts w:ascii="Arial" w:hAnsi="Arial" w:cs="Arial"/>
          <w:sz w:val="22"/>
          <w:szCs w:val="22"/>
        </w:rPr>
        <w:t>1,16</w:t>
      </w:r>
      <w:r w:rsidR="006F1335" w:rsidRPr="000C493C">
        <w:rPr>
          <w:rFonts w:ascii="Arial" w:hAnsi="Arial" w:cs="Arial"/>
          <w:sz w:val="22"/>
          <w:szCs w:val="22"/>
        </w:rPr>
        <w:t>.</w:t>
      </w:r>
      <w:r w:rsidR="0049291F" w:rsidRPr="000C493C">
        <w:rPr>
          <w:rFonts w:ascii="Arial" w:hAnsi="Arial" w:cs="Arial"/>
          <w:sz w:val="22"/>
          <w:szCs w:val="22"/>
        </w:rPr>
        <w:t xml:space="preserve"> </w:t>
      </w:r>
    </w:p>
    <w:p w:rsidR="00330CAE" w:rsidRPr="000C493C" w:rsidRDefault="00CA6182" w:rsidP="00330CAE">
      <w:pPr>
        <w:pStyle w:val="Paragraph"/>
        <w:numPr>
          <w:ilvl w:val="0"/>
          <w:numId w:val="45"/>
        </w:numPr>
        <w:spacing w:after="0"/>
        <w:ind w:left="540" w:hanging="540"/>
        <w:rPr>
          <w:rFonts w:ascii="Arial" w:hAnsi="Arial" w:cs="Arial"/>
          <w:b/>
          <w:sz w:val="22"/>
          <w:szCs w:val="22"/>
        </w:rPr>
      </w:pPr>
      <w:r w:rsidRPr="000C493C">
        <w:rPr>
          <w:rFonts w:ascii="Arial" w:hAnsi="Arial" w:cs="Arial"/>
          <w:b/>
          <w:sz w:val="22"/>
          <w:szCs w:val="22"/>
        </w:rPr>
        <w:t>Escenario Optimista</w:t>
      </w:r>
    </w:p>
    <w:p w:rsidR="00CA6182" w:rsidRPr="000C493C" w:rsidRDefault="00CA6182" w:rsidP="00330CAE">
      <w:pPr>
        <w:pStyle w:val="Paragraph"/>
        <w:numPr>
          <w:ilvl w:val="1"/>
          <w:numId w:val="18"/>
        </w:numPr>
        <w:spacing w:after="0"/>
        <w:ind w:left="540" w:hanging="540"/>
        <w:rPr>
          <w:rFonts w:ascii="Arial" w:hAnsi="Arial" w:cs="Arial"/>
          <w:b/>
          <w:sz w:val="22"/>
          <w:szCs w:val="22"/>
        </w:rPr>
      </w:pPr>
      <w:r w:rsidRPr="000C493C">
        <w:rPr>
          <w:rFonts w:ascii="Arial" w:hAnsi="Arial" w:cs="Arial"/>
          <w:sz w:val="22"/>
          <w:szCs w:val="22"/>
        </w:rPr>
        <w:lastRenderedPageBreak/>
        <w:t>En un escenario optimista, donde la reducción de las irregularidades es del 3%, se obtiene una TIR social del 47%, con una razón costo beneficio de 1,66.</w:t>
      </w:r>
    </w:p>
    <w:p w:rsidR="00330CAE" w:rsidRPr="000C493C" w:rsidRDefault="00330CAE" w:rsidP="00330CAE">
      <w:pPr>
        <w:pStyle w:val="Paragraph"/>
        <w:numPr>
          <w:ilvl w:val="0"/>
          <w:numId w:val="0"/>
        </w:numPr>
        <w:spacing w:after="0"/>
        <w:ind w:left="540"/>
        <w:rPr>
          <w:rFonts w:ascii="Arial" w:hAnsi="Arial" w:cs="Arial"/>
          <w:b/>
          <w:sz w:val="22"/>
          <w:szCs w:val="22"/>
        </w:rPr>
      </w:pPr>
    </w:p>
    <w:p w:rsidR="0031026F" w:rsidRPr="000C493C" w:rsidRDefault="0031026F" w:rsidP="00EA6CF1">
      <w:pPr>
        <w:pStyle w:val="Paragraph"/>
        <w:numPr>
          <w:ilvl w:val="0"/>
          <w:numId w:val="45"/>
        </w:numPr>
        <w:spacing w:before="0" w:after="0"/>
        <w:ind w:left="540" w:hanging="540"/>
        <w:rPr>
          <w:rFonts w:ascii="Arial" w:hAnsi="Arial" w:cs="Arial"/>
          <w:kern w:val="28"/>
          <w:sz w:val="22"/>
          <w:szCs w:val="22"/>
        </w:rPr>
      </w:pPr>
      <w:r w:rsidRPr="000C493C">
        <w:rPr>
          <w:rFonts w:ascii="Arial" w:hAnsi="Arial" w:cs="Arial"/>
          <w:b/>
          <w:sz w:val="22"/>
          <w:szCs w:val="22"/>
        </w:rPr>
        <w:t>Escenario De Rentabilidad Mínima</w:t>
      </w:r>
    </w:p>
    <w:p w:rsidR="00EA6CF1" w:rsidRPr="000C493C" w:rsidRDefault="00EA6CF1" w:rsidP="00EA6CF1">
      <w:pPr>
        <w:pStyle w:val="Paragraph"/>
        <w:numPr>
          <w:ilvl w:val="0"/>
          <w:numId w:val="0"/>
        </w:numPr>
        <w:spacing w:before="0" w:after="0"/>
        <w:ind w:left="540"/>
        <w:rPr>
          <w:rFonts w:ascii="Arial" w:hAnsi="Arial" w:cs="Arial"/>
          <w:kern w:val="28"/>
          <w:sz w:val="22"/>
          <w:szCs w:val="22"/>
        </w:rPr>
      </w:pPr>
    </w:p>
    <w:p w:rsidR="0031026F" w:rsidRPr="000C493C" w:rsidRDefault="0031026F" w:rsidP="00EA6CF1">
      <w:pPr>
        <w:pStyle w:val="Paragraph"/>
        <w:numPr>
          <w:ilvl w:val="1"/>
          <w:numId w:val="18"/>
        </w:numPr>
        <w:spacing w:before="0" w:after="0"/>
        <w:ind w:left="540" w:hanging="540"/>
        <w:rPr>
          <w:rFonts w:ascii="Arial" w:hAnsi="Arial" w:cs="Arial"/>
          <w:sz w:val="22"/>
          <w:szCs w:val="22"/>
        </w:rPr>
      </w:pPr>
      <w:r w:rsidRPr="000C493C">
        <w:rPr>
          <w:rFonts w:ascii="Arial" w:hAnsi="Arial" w:cs="Arial"/>
          <w:sz w:val="22"/>
          <w:szCs w:val="22"/>
        </w:rPr>
        <w:t>El mínimo porcentaje de reducción de las irregularidades debido al Programa que resulta en que el mismo sea rentable es del 1,82% (ver escenario de rentabilidad mínima, en la tabla 3). Por debajo de ese nivel se obtiene un Valor Presente Neto negativo, una relación costo beneficio menor que 1 y una TIR social menor al 12%.</w:t>
      </w:r>
    </w:p>
    <w:p w:rsidR="00EA6CF1" w:rsidRPr="000C493C" w:rsidRDefault="00EA6CF1" w:rsidP="00EA6CF1">
      <w:pPr>
        <w:pStyle w:val="Paragraph"/>
        <w:numPr>
          <w:ilvl w:val="0"/>
          <w:numId w:val="0"/>
        </w:numPr>
        <w:spacing w:before="0" w:after="0"/>
        <w:ind w:left="540"/>
        <w:rPr>
          <w:rFonts w:ascii="Arial" w:hAnsi="Arial" w:cs="Arial"/>
          <w:sz w:val="22"/>
          <w:szCs w:val="22"/>
        </w:rPr>
      </w:pPr>
    </w:p>
    <w:p w:rsidR="00747A62" w:rsidRPr="000C493C" w:rsidRDefault="00E113B0" w:rsidP="00EA6CF1">
      <w:pPr>
        <w:pStyle w:val="Paragraph"/>
        <w:numPr>
          <w:ilvl w:val="1"/>
          <w:numId w:val="18"/>
        </w:numPr>
        <w:spacing w:before="0" w:after="0"/>
        <w:ind w:left="540" w:hanging="540"/>
        <w:rPr>
          <w:rFonts w:ascii="Arial" w:hAnsi="Arial" w:cs="Arial"/>
          <w:sz w:val="22"/>
          <w:szCs w:val="22"/>
        </w:rPr>
      </w:pPr>
      <w:r w:rsidRPr="000C493C">
        <w:rPr>
          <w:rFonts w:ascii="Arial" w:hAnsi="Arial" w:cs="Arial"/>
          <w:kern w:val="28"/>
          <w:sz w:val="22"/>
          <w:szCs w:val="22"/>
        </w:rPr>
        <w:t>Se espera que el programa tenga una alta rentabilidad social. La tasa interna de retorno se situaría por encima del 18%, con un Valor Presente Neto de 2.755.873USD en el escenario base, en base al análisis de sensibilidad. La variable sensible identificada es la reducción de las irregularidades, la cual explica el 100% de la variación del VPN. Por ello, en el escenario conservador se han aplicado valores menores. Aun así, el Programa resulta rentable, ya que reporta una TIR del 15%, superior al 12% establecido por el Banco.</w:t>
      </w:r>
    </w:p>
    <w:sectPr w:rsidR="00747A62" w:rsidRPr="000C493C" w:rsidSect="007E6104">
      <w:footerReference w:type="default" r:id="rId10"/>
      <w:pgSz w:w="11907" w:h="16839" w:code="9"/>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8E" w:rsidRDefault="0012148E" w:rsidP="00CF5271">
      <w:pPr>
        <w:spacing w:after="0" w:line="240" w:lineRule="auto"/>
      </w:pPr>
      <w:r>
        <w:separator/>
      </w:r>
    </w:p>
  </w:endnote>
  <w:endnote w:type="continuationSeparator" w:id="0">
    <w:p w:rsidR="0012148E" w:rsidRDefault="0012148E"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3536"/>
      <w:docPartObj>
        <w:docPartGallery w:val="Page Numbers (Bottom of Page)"/>
        <w:docPartUnique/>
      </w:docPartObj>
    </w:sdtPr>
    <w:sdtEndPr/>
    <w:sdtContent>
      <w:p w:rsidR="00647ECD" w:rsidRDefault="002C4E0A">
        <w:pPr>
          <w:pStyle w:val="Footer"/>
          <w:jc w:val="center"/>
        </w:pPr>
        <w:r>
          <w:fldChar w:fldCharType="begin"/>
        </w:r>
        <w:r w:rsidR="00647ECD">
          <w:instrText>PAGE   \* MERGEFORMAT</w:instrText>
        </w:r>
        <w:r>
          <w:fldChar w:fldCharType="separate"/>
        </w:r>
        <w:r w:rsidR="005F7631" w:rsidRPr="005F7631">
          <w:rPr>
            <w:noProof/>
            <w:lang w:val="es-ES"/>
          </w:rPr>
          <w:t>7</w:t>
        </w:r>
        <w:r>
          <w:rPr>
            <w:noProof/>
            <w:lang w:val="es-ES"/>
          </w:rPr>
          <w:fldChar w:fldCharType="end"/>
        </w:r>
      </w:p>
    </w:sdtContent>
  </w:sdt>
  <w:p w:rsidR="00647ECD" w:rsidRDefault="0064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8E" w:rsidRDefault="0012148E" w:rsidP="00CF5271">
      <w:pPr>
        <w:spacing w:after="0" w:line="240" w:lineRule="auto"/>
      </w:pPr>
      <w:r>
        <w:separator/>
      </w:r>
    </w:p>
  </w:footnote>
  <w:footnote w:type="continuationSeparator" w:id="0">
    <w:p w:rsidR="0012148E" w:rsidRDefault="0012148E" w:rsidP="00CF5271">
      <w:pPr>
        <w:spacing w:after="0" w:line="240" w:lineRule="auto"/>
      </w:pPr>
      <w:r>
        <w:continuationSeparator/>
      </w:r>
    </w:p>
  </w:footnote>
  <w:footnote w:id="1">
    <w:p w:rsidR="0031026F" w:rsidRPr="000C493C" w:rsidRDefault="0031026F" w:rsidP="000C493C">
      <w:pPr>
        <w:pStyle w:val="FootnoteText"/>
        <w:ind w:left="180" w:hanging="180"/>
        <w:rPr>
          <w:rFonts w:ascii="Arial" w:hAnsi="Arial" w:cs="Arial"/>
          <w:sz w:val="18"/>
          <w:szCs w:val="18"/>
        </w:rPr>
      </w:pPr>
      <w:r w:rsidRPr="000C493C">
        <w:rPr>
          <w:rStyle w:val="FootnoteReference"/>
          <w:rFonts w:ascii="Arial" w:hAnsi="Arial" w:cs="Arial"/>
          <w:sz w:val="18"/>
          <w:szCs w:val="18"/>
        </w:rPr>
        <w:footnoteRef/>
      </w:r>
      <w:r w:rsidRPr="000C493C">
        <w:rPr>
          <w:rFonts w:ascii="Arial" w:hAnsi="Arial" w:cs="Arial"/>
          <w:sz w:val="18"/>
          <w:szCs w:val="18"/>
        </w:rPr>
        <w:t xml:space="preserve"> </w:t>
      </w:r>
      <w:r w:rsidR="000C493C">
        <w:rPr>
          <w:rFonts w:ascii="Arial" w:hAnsi="Arial" w:cs="Arial"/>
          <w:sz w:val="18"/>
          <w:szCs w:val="18"/>
        </w:rPr>
        <w:t xml:space="preserve"> </w:t>
      </w:r>
      <w:r w:rsidRPr="000C493C">
        <w:rPr>
          <w:rFonts w:ascii="Arial" w:hAnsi="Arial" w:cs="Arial"/>
          <w:sz w:val="18"/>
          <w:szCs w:val="18"/>
        </w:rPr>
        <w:t xml:space="preserve">Di Tella, R. y E. Schargrodsky (2003). </w:t>
      </w:r>
      <w:r w:rsidR="007050ED" w:rsidRPr="000C493C">
        <w:rPr>
          <w:rFonts w:ascii="Arial" w:hAnsi="Arial" w:cs="Arial"/>
          <w:sz w:val="18"/>
          <w:szCs w:val="18"/>
        </w:rPr>
        <w:t>“</w:t>
      </w:r>
      <w:r w:rsidR="00BC7784" w:rsidRPr="000C493C">
        <w:rPr>
          <w:rFonts w:ascii="Arial" w:hAnsi="Arial" w:cs="Arial"/>
          <w:sz w:val="18"/>
          <w:szCs w:val="18"/>
        </w:rPr>
        <w:t>The Role of Wages and Auditing during a Crackdown on Corruption in the City of Buenos Aires</w:t>
      </w:r>
      <w:r w:rsidR="00561975" w:rsidRPr="000C493C">
        <w:rPr>
          <w:rFonts w:ascii="Arial" w:hAnsi="Arial" w:cs="Arial"/>
          <w:sz w:val="18"/>
          <w:szCs w:val="18"/>
        </w:rPr>
        <w:t>”.</w:t>
      </w:r>
      <w:r w:rsidR="00BC7784" w:rsidRPr="000C493C">
        <w:rPr>
          <w:rFonts w:ascii="Arial" w:hAnsi="Arial" w:cs="Arial"/>
          <w:sz w:val="18"/>
          <w:szCs w:val="18"/>
        </w:rPr>
        <w:t xml:space="preserve"> </w:t>
      </w:r>
      <w:r w:rsidR="00A70DC1" w:rsidRPr="000C493C">
        <w:rPr>
          <w:rFonts w:ascii="Arial" w:hAnsi="Arial" w:cs="Arial"/>
          <w:sz w:val="18"/>
          <w:szCs w:val="18"/>
        </w:rPr>
        <w:t xml:space="preserve">Journal of Law and Economics </w:t>
      </w:r>
      <w:r w:rsidR="00561975" w:rsidRPr="000C493C">
        <w:rPr>
          <w:rFonts w:ascii="Arial" w:hAnsi="Arial" w:cs="Arial"/>
          <w:sz w:val="18"/>
          <w:szCs w:val="18"/>
        </w:rPr>
        <w:t>XLVI</w:t>
      </w:r>
      <w:r w:rsidR="00A70DC1" w:rsidRPr="000C493C">
        <w:rPr>
          <w:rFonts w:ascii="Arial" w:hAnsi="Arial" w:cs="Arial"/>
          <w:sz w:val="18"/>
          <w:szCs w:val="18"/>
        </w:rPr>
        <w:t>.</w:t>
      </w:r>
    </w:p>
  </w:footnote>
  <w:footnote w:id="2">
    <w:p w:rsidR="0031026F" w:rsidRPr="000C493C" w:rsidRDefault="0031026F" w:rsidP="000C493C">
      <w:pPr>
        <w:pStyle w:val="FootnoteText"/>
        <w:ind w:left="180" w:hanging="180"/>
        <w:rPr>
          <w:rFonts w:ascii="Arial" w:hAnsi="Arial" w:cs="Arial"/>
          <w:sz w:val="18"/>
          <w:szCs w:val="18"/>
        </w:rPr>
      </w:pPr>
      <w:r w:rsidRPr="000C493C">
        <w:rPr>
          <w:rStyle w:val="FootnoteReference"/>
          <w:rFonts w:ascii="Arial" w:hAnsi="Arial" w:cs="Arial"/>
          <w:sz w:val="18"/>
          <w:szCs w:val="18"/>
        </w:rPr>
        <w:footnoteRef/>
      </w:r>
      <w:r w:rsidRPr="000C493C">
        <w:rPr>
          <w:rFonts w:ascii="Arial" w:hAnsi="Arial" w:cs="Arial"/>
          <w:sz w:val="18"/>
          <w:szCs w:val="18"/>
        </w:rPr>
        <w:t xml:space="preserve"> </w:t>
      </w:r>
      <w:r w:rsidR="000C493C">
        <w:rPr>
          <w:rFonts w:ascii="Arial" w:hAnsi="Arial" w:cs="Arial"/>
          <w:sz w:val="18"/>
          <w:szCs w:val="18"/>
        </w:rPr>
        <w:t xml:space="preserve"> </w:t>
      </w:r>
      <w:r w:rsidRPr="000C493C">
        <w:rPr>
          <w:rFonts w:ascii="Arial" w:hAnsi="Arial" w:cs="Arial"/>
          <w:sz w:val="18"/>
          <w:szCs w:val="18"/>
        </w:rPr>
        <w:t xml:space="preserve">Beylis, Finan y Mazzocco (2011). </w:t>
      </w:r>
      <w:r w:rsidR="00DC3F16" w:rsidRPr="000C493C">
        <w:rPr>
          <w:rFonts w:ascii="Arial" w:hAnsi="Arial" w:cs="Arial"/>
          <w:sz w:val="18"/>
          <w:szCs w:val="18"/>
        </w:rPr>
        <w:t>” Understanding Corruption: Theory and Evidence from the Audits of Local Governments”.</w:t>
      </w:r>
      <w:r w:rsidR="00561975" w:rsidRPr="000C493C">
        <w:rPr>
          <w:rFonts w:ascii="Arial" w:hAnsi="Arial" w:cs="Arial"/>
          <w:sz w:val="18"/>
          <w:szCs w:val="18"/>
        </w:rPr>
        <w:t xml:space="preserve"> Mimeo 2011</w:t>
      </w:r>
      <w:r w:rsidR="00A70DC1" w:rsidRPr="000C493C">
        <w:rPr>
          <w:rFonts w:ascii="Arial" w:hAnsi="Arial" w:cs="Arial"/>
          <w:sz w:val="18"/>
          <w:szCs w:val="18"/>
        </w:rPr>
        <w:t>.</w:t>
      </w:r>
    </w:p>
  </w:footnote>
  <w:footnote w:id="3">
    <w:p w:rsidR="0031026F" w:rsidRPr="000C493C" w:rsidRDefault="0031026F" w:rsidP="000C493C">
      <w:pPr>
        <w:pStyle w:val="FootnoteText"/>
        <w:ind w:left="180" w:hanging="180"/>
        <w:rPr>
          <w:rFonts w:ascii="Arial" w:hAnsi="Arial" w:cs="Arial"/>
          <w:sz w:val="18"/>
          <w:szCs w:val="18"/>
        </w:rPr>
      </w:pPr>
      <w:r w:rsidRPr="000C493C">
        <w:rPr>
          <w:rStyle w:val="FootnoteReference"/>
          <w:rFonts w:ascii="Arial" w:hAnsi="Arial" w:cs="Arial"/>
          <w:sz w:val="18"/>
          <w:szCs w:val="18"/>
        </w:rPr>
        <w:footnoteRef/>
      </w:r>
      <w:r w:rsidRPr="000C493C">
        <w:rPr>
          <w:rFonts w:ascii="Arial" w:hAnsi="Arial" w:cs="Arial"/>
          <w:sz w:val="18"/>
          <w:szCs w:val="18"/>
        </w:rPr>
        <w:t xml:space="preserve"> </w:t>
      </w:r>
      <w:r w:rsidR="000C493C">
        <w:rPr>
          <w:rFonts w:ascii="Arial" w:hAnsi="Arial" w:cs="Arial"/>
          <w:sz w:val="18"/>
          <w:szCs w:val="18"/>
        </w:rPr>
        <w:t xml:space="preserve"> </w:t>
      </w:r>
      <w:r w:rsidRPr="000C493C">
        <w:rPr>
          <w:rFonts w:ascii="Arial" w:hAnsi="Arial" w:cs="Arial"/>
          <w:sz w:val="18"/>
          <w:szCs w:val="18"/>
        </w:rPr>
        <w:t>Bandeira, Pratt y Valetti (</w:t>
      </w:r>
      <w:r w:rsidR="007050ED" w:rsidRPr="000C493C">
        <w:rPr>
          <w:rFonts w:ascii="Arial" w:hAnsi="Arial" w:cs="Arial"/>
          <w:sz w:val="18"/>
          <w:szCs w:val="18"/>
        </w:rPr>
        <w:t>2009</w:t>
      </w:r>
      <w:r w:rsidRPr="000C493C">
        <w:rPr>
          <w:rFonts w:ascii="Arial" w:hAnsi="Arial" w:cs="Arial"/>
          <w:sz w:val="18"/>
          <w:szCs w:val="18"/>
        </w:rPr>
        <w:t>)</w:t>
      </w:r>
      <w:r w:rsidR="007050ED" w:rsidRPr="000C493C">
        <w:rPr>
          <w:rFonts w:ascii="Arial" w:hAnsi="Arial" w:cs="Arial"/>
          <w:sz w:val="18"/>
          <w:szCs w:val="18"/>
        </w:rPr>
        <w:t>. “Active and Passive Waste in Government Spending: Evidence from a Policy Experiment”</w:t>
      </w:r>
      <w:r w:rsidR="00561975" w:rsidRPr="000C493C">
        <w:rPr>
          <w:rFonts w:ascii="Arial" w:hAnsi="Arial" w:cs="Arial"/>
          <w:sz w:val="18"/>
          <w:szCs w:val="18"/>
        </w:rPr>
        <w:t xml:space="preserve">. </w:t>
      </w:r>
      <w:r w:rsidR="00A70DC1" w:rsidRPr="000C493C">
        <w:rPr>
          <w:rFonts w:ascii="Arial" w:hAnsi="Arial" w:cs="Arial"/>
          <w:sz w:val="18"/>
          <w:szCs w:val="18"/>
        </w:rPr>
        <w:t>American Economic Review 99 (</w:t>
      </w:r>
      <w:r w:rsidR="00561975" w:rsidRPr="000C493C">
        <w:rPr>
          <w:rFonts w:ascii="Arial" w:hAnsi="Arial" w:cs="Arial"/>
          <w:sz w:val="18"/>
          <w:szCs w:val="18"/>
        </w:rPr>
        <w:t>4</w:t>
      </w:r>
      <w:r w:rsidR="00A70DC1" w:rsidRPr="000C493C">
        <w:rPr>
          <w:rFonts w:ascii="Arial" w:hAnsi="Arial" w:cs="Arial"/>
          <w:sz w:val="18"/>
          <w:szCs w:val="18"/>
        </w:rPr>
        <w:t>).</w:t>
      </w:r>
    </w:p>
  </w:footnote>
  <w:footnote w:id="4">
    <w:p w:rsidR="00E265E5" w:rsidRPr="000C493C" w:rsidRDefault="00E265E5" w:rsidP="00E265E5">
      <w:pPr>
        <w:pStyle w:val="FootnoteText"/>
        <w:ind w:left="180" w:hanging="180"/>
        <w:rPr>
          <w:rFonts w:ascii="Arial" w:hAnsi="Arial" w:cs="Arial"/>
          <w:sz w:val="18"/>
          <w:szCs w:val="18"/>
        </w:rPr>
      </w:pPr>
      <w:r w:rsidRPr="000C493C">
        <w:rPr>
          <w:rStyle w:val="FootnoteReference"/>
          <w:rFonts w:ascii="Arial" w:hAnsi="Arial" w:cs="Arial"/>
          <w:sz w:val="18"/>
          <w:szCs w:val="18"/>
        </w:rPr>
        <w:footnoteRef/>
      </w:r>
      <w:r w:rsidRPr="000C493C">
        <w:rPr>
          <w:rFonts w:ascii="Arial" w:hAnsi="Arial" w:cs="Arial"/>
          <w:sz w:val="18"/>
          <w:szCs w:val="18"/>
        </w:rPr>
        <w:t xml:space="preserve"> </w:t>
      </w:r>
      <w:r>
        <w:rPr>
          <w:rFonts w:ascii="Arial" w:hAnsi="Arial" w:cs="Arial"/>
          <w:sz w:val="18"/>
          <w:szCs w:val="18"/>
        </w:rPr>
        <w:t xml:space="preserve"> </w:t>
      </w:r>
      <w:r w:rsidRPr="000C493C">
        <w:rPr>
          <w:rFonts w:ascii="Arial" w:hAnsi="Arial" w:cs="Arial"/>
          <w:sz w:val="18"/>
          <w:szCs w:val="18"/>
        </w:rPr>
        <w:t>Olken, B. (2007). “Monitoring Corruption: Evidence from a Field</w:t>
      </w:r>
      <w:r>
        <w:rPr>
          <w:rFonts w:ascii="Arial" w:hAnsi="Arial" w:cs="Arial"/>
          <w:sz w:val="18"/>
          <w:szCs w:val="18"/>
        </w:rPr>
        <w:t xml:space="preserve"> </w:t>
      </w:r>
      <w:r w:rsidRPr="000C493C">
        <w:rPr>
          <w:rFonts w:ascii="Arial" w:hAnsi="Arial" w:cs="Arial"/>
          <w:sz w:val="18"/>
          <w:szCs w:val="18"/>
        </w:rPr>
        <w:t>Experiment in Indonesia”. Journal of Political Economy 115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12558B"/>
    <w:multiLevelType w:val="multilevel"/>
    <w:tmpl w:val="05003B36"/>
    <w:lvl w:ilvl="0">
      <w:start w:val="2"/>
      <w:numFmt w:val="upperRoman"/>
      <w:lvlText w:val="%1."/>
      <w:lvlJc w:val="left"/>
      <w:pPr>
        <w:ind w:left="360" w:hanging="360"/>
      </w:pPr>
      <w:rPr>
        <w:rFonts w:hint="default"/>
      </w:rPr>
    </w:lvl>
    <w:lvl w:ilvl="1">
      <w:start w:val="29"/>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6410C7C"/>
    <w:multiLevelType w:val="multilevel"/>
    <w:tmpl w:val="963CF36C"/>
    <w:lvl w:ilvl="0">
      <w:start w:val="2"/>
      <w:numFmt w:val="upperRoman"/>
      <w:lvlText w:val="%1."/>
      <w:lvlJc w:val="left"/>
      <w:pPr>
        <w:ind w:left="360" w:hanging="360"/>
      </w:pPr>
      <w:rPr>
        <w:rFonts w:hint="default"/>
      </w:rPr>
    </w:lvl>
    <w:lvl w:ilvl="1">
      <w:start w:val="3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092D46FD"/>
    <w:multiLevelType w:val="hybridMultilevel"/>
    <w:tmpl w:val="139A7F2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B30E87"/>
    <w:multiLevelType w:val="hybridMultilevel"/>
    <w:tmpl w:val="F27E7A8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5">
    <w:nsid w:val="0D0479F0"/>
    <w:multiLevelType w:val="multilevel"/>
    <w:tmpl w:val="3DF8A7F0"/>
    <w:lvl w:ilvl="0">
      <w:start w:val="2"/>
      <w:numFmt w:val="upperRoman"/>
      <w:lvlText w:val="%1."/>
      <w:lvlJc w:val="left"/>
      <w:pPr>
        <w:ind w:left="360" w:hanging="360"/>
      </w:pPr>
      <w:rPr>
        <w:rFonts w:hint="default"/>
      </w:rPr>
    </w:lvl>
    <w:lvl w:ilvl="1">
      <w:start w:val="14"/>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0EE92EF6"/>
    <w:multiLevelType w:val="hybridMultilevel"/>
    <w:tmpl w:val="BF5223B0"/>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8">
    <w:nsid w:val="197F5EE9"/>
    <w:multiLevelType w:val="multilevel"/>
    <w:tmpl w:val="82A8D918"/>
    <w:lvl w:ilvl="0">
      <w:start w:val="3"/>
      <w:numFmt w:val="upperRoman"/>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51A134E"/>
    <w:multiLevelType w:val="hybridMultilevel"/>
    <w:tmpl w:val="DB70D110"/>
    <w:lvl w:ilvl="0" w:tplc="3A4A7F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FE6527F"/>
    <w:multiLevelType w:val="hybridMultilevel"/>
    <w:tmpl w:val="2DA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0217"/>
    <w:multiLevelType w:val="hybridMultilevel"/>
    <w:tmpl w:val="AA2A9F5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4">
    <w:nsid w:val="32523458"/>
    <w:multiLevelType w:val="multilevel"/>
    <w:tmpl w:val="5AE8D1D0"/>
    <w:lvl w:ilvl="0">
      <w:start w:val="2"/>
      <w:numFmt w:val="upperRoman"/>
      <w:lvlText w:val="%1."/>
      <w:lvlJc w:val="left"/>
      <w:pPr>
        <w:ind w:left="36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9315F2A"/>
    <w:multiLevelType w:val="hybridMultilevel"/>
    <w:tmpl w:val="B9BE31FC"/>
    <w:lvl w:ilvl="0" w:tplc="5A225D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99B3534"/>
    <w:multiLevelType w:val="hybridMultilevel"/>
    <w:tmpl w:val="88B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41C8B"/>
    <w:multiLevelType w:val="hybridMultilevel"/>
    <w:tmpl w:val="7BD0702C"/>
    <w:lvl w:ilvl="0" w:tplc="CDE2F0EE">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D855344"/>
    <w:multiLevelType w:val="hybridMultilevel"/>
    <w:tmpl w:val="4790C17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9">
    <w:nsid w:val="3FAA1FF4"/>
    <w:multiLevelType w:val="hybridMultilevel"/>
    <w:tmpl w:val="05CCD4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4077347"/>
    <w:multiLevelType w:val="multilevel"/>
    <w:tmpl w:val="59F8F138"/>
    <w:lvl w:ilvl="0">
      <w:start w:val="1"/>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4436E3E"/>
    <w:multiLevelType w:val="multilevel"/>
    <w:tmpl w:val="3BDEFE04"/>
    <w:styleLink w:val="LFO11"/>
    <w:lvl w:ilvl="0">
      <w:start w:val="1"/>
      <w:numFmt w:val="upperRoman"/>
      <w:lvlText w:val="%1."/>
      <w:lvlJc w:val="center"/>
      <w:pPr>
        <w:ind w:left="1440" w:firstLine="0"/>
      </w:pPr>
      <w:rPr>
        <w:rFonts w:cs="Times New Roman"/>
        <w:b/>
        <w:i w:val="0"/>
      </w:rPr>
    </w:lvl>
    <w:lvl w:ilvl="1">
      <w:start w:val="1"/>
      <w:numFmt w:val="decimal"/>
      <w:lvlText w:val="%1.%2"/>
      <w:lvlJc w:val="left"/>
      <w:pPr>
        <w:ind w:left="2448" w:hanging="1296"/>
      </w:pPr>
      <w:rPr>
        <w:rFonts w:cs="Times New Roman"/>
        <w:b w:val="0"/>
      </w:rPr>
    </w:lvl>
    <w:lvl w:ilvl="2">
      <w:start w:val="1"/>
      <w:numFmt w:val="lowerLetter"/>
      <w:lvlText w:val="%3."/>
      <w:lvlJc w:val="left"/>
      <w:pPr>
        <w:ind w:left="2304" w:hanging="432"/>
      </w:pPr>
      <w:rPr>
        <w:rFonts w:cs="Times New Roman"/>
        <w:b w:val="0"/>
      </w:rPr>
    </w:lvl>
    <w:lvl w:ilvl="3">
      <w:start w:val="1"/>
      <w:numFmt w:val="lowerRoman"/>
      <w:lvlText w:val="%4."/>
      <w:lvlJc w:val="right"/>
      <w:pPr>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2">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49A50BB4"/>
    <w:multiLevelType w:val="hybridMultilevel"/>
    <w:tmpl w:val="A5F67072"/>
    <w:lvl w:ilvl="0" w:tplc="D3B66F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25">
    <w:nsid w:val="4E892846"/>
    <w:multiLevelType w:val="hybridMultilevel"/>
    <w:tmpl w:val="F9CED9EA"/>
    <w:lvl w:ilvl="0" w:tplc="81062F4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6">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2BC483E"/>
    <w:multiLevelType w:val="hybridMultilevel"/>
    <w:tmpl w:val="8534AD4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nsid w:val="53164ADB"/>
    <w:multiLevelType w:val="hybridMultilevel"/>
    <w:tmpl w:val="8AE8743C"/>
    <w:lvl w:ilvl="0" w:tplc="B426A0DC">
      <w:start w:val="1"/>
      <w:numFmt w:val="upperRoman"/>
      <w:lvlText w:val="%1-"/>
      <w:lvlJc w:val="left"/>
      <w:pPr>
        <w:ind w:left="1222" w:hanging="72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9">
    <w:nsid w:val="5B644567"/>
    <w:multiLevelType w:val="multilevel"/>
    <w:tmpl w:val="F68CE6CE"/>
    <w:lvl w:ilvl="0">
      <w:start w:val="2"/>
      <w:numFmt w:val="upperRoman"/>
      <w:lvlText w:val="%1."/>
      <w:lvlJc w:val="left"/>
      <w:pPr>
        <w:ind w:left="360" w:hanging="360"/>
      </w:pPr>
      <w:rPr>
        <w:rFonts w:hint="default"/>
      </w:rPr>
    </w:lvl>
    <w:lvl w:ilvl="1">
      <w:start w:val="1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5E506BF0"/>
    <w:multiLevelType w:val="hybridMultilevel"/>
    <w:tmpl w:val="35C4F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316066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37F441C"/>
    <w:multiLevelType w:val="hybridMultilevel"/>
    <w:tmpl w:val="715EB80E"/>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3">
    <w:nsid w:val="67E34CED"/>
    <w:multiLevelType w:val="hybridMultilevel"/>
    <w:tmpl w:val="E1E8079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4">
    <w:nsid w:val="69F708A5"/>
    <w:multiLevelType w:val="hybridMultilevel"/>
    <w:tmpl w:val="1E2612E8"/>
    <w:lvl w:ilvl="0" w:tplc="BA80758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031FC0"/>
    <w:multiLevelType w:val="multilevel"/>
    <w:tmpl w:val="97D2EBFA"/>
    <w:lvl w:ilvl="0">
      <w:start w:val="2"/>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6"/>
  </w:num>
  <w:num w:numId="2">
    <w:abstractNumId w:val="16"/>
  </w:num>
  <w:num w:numId="3">
    <w:abstractNumId w:val="12"/>
  </w:num>
  <w:num w:numId="4">
    <w:abstractNumId w:val="6"/>
  </w:num>
  <w:num w:numId="5">
    <w:abstractNumId w:val="1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14"/>
  </w:num>
  <w:num w:numId="15">
    <w:abstractNumId w:val="3"/>
  </w:num>
  <w:num w:numId="16">
    <w:abstractNumId w:val="29"/>
  </w:num>
  <w:num w:numId="17">
    <w:abstractNumId w:val="9"/>
  </w:num>
  <w:num w:numId="18">
    <w:abstractNumId w:val="8"/>
  </w:num>
  <w:num w:numId="19">
    <w:abstractNumId w:val="13"/>
  </w:num>
  <w:num w:numId="20">
    <w:abstractNumId w:val="31"/>
  </w:num>
  <w:num w:numId="21">
    <w:abstractNumId w:val="22"/>
  </w:num>
  <w:num w:numId="22">
    <w:abstractNumId w:val="18"/>
  </w:num>
  <w:num w:numId="23">
    <w:abstractNumId w:val="28"/>
  </w:num>
  <w:num w:numId="24">
    <w:abstractNumId w:val="6"/>
  </w:num>
  <w:num w:numId="25">
    <w:abstractNumId w:val="19"/>
  </w:num>
  <w:num w:numId="26">
    <w:abstractNumId w:val="10"/>
  </w:num>
  <w:num w:numId="27">
    <w:abstractNumId w:val="25"/>
  </w:num>
  <w:num w:numId="28">
    <w:abstractNumId w:val="24"/>
  </w:num>
  <w:num w:numId="29">
    <w:abstractNumId w:val="33"/>
  </w:num>
  <w:num w:numId="30">
    <w:abstractNumId w:val="35"/>
  </w:num>
  <w:num w:numId="31">
    <w:abstractNumId w:val="1"/>
  </w:num>
  <w:num w:numId="32">
    <w:abstractNumId w:val="2"/>
  </w:num>
  <w:num w:numId="33">
    <w:abstractNumId w:val="20"/>
  </w:num>
  <w:num w:numId="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7"/>
  </w:num>
  <w:num w:numId="37">
    <w:abstractNumId w:val="7"/>
  </w:num>
  <w:num w:numId="38">
    <w:abstractNumId w:val="5"/>
  </w:num>
  <w:num w:numId="39">
    <w:abstractNumId w:val="30"/>
  </w:num>
  <w:num w:numId="40">
    <w:abstractNumId w:val="21"/>
  </w:num>
  <w:num w:numId="41">
    <w:abstractNumId w:val="32"/>
  </w:num>
  <w:num w:numId="42">
    <w:abstractNumId w:val="23"/>
  </w:num>
  <w:num w:numId="43">
    <w:abstractNumId w:val="15"/>
  </w:num>
  <w:num w:numId="44">
    <w:abstractNumId w:val="17"/>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033"/>
    <w:rsid w:val="0000578A"/>
    <w:rsid w:val="00005EDC"/>
    <w:rsid w:val="00010E91"/>
    <w:rsid w:val="00011434"/>
    <w:rsid w:val="000117CA"/>
    <w:rsid w:val="00012B9A"/>
    <w:rsid w:val="00013021"/>
    <w:rsid w:val="0001439F"/>
    <w:rsid w:val="00014B7A"/>
    <w:rsid w:val="000156EF"/>
    <w:rsid w:val="00015C84"/>
    <w:rsid w:val="000163C5"/>
    <w:rsid w:val="00020C10"/>
    <w:rsid w:val="0002367A"/>
    <w:rsid w:val="0002382F"/>
    <w:rsid w:val="00023DC1"/>
    <w:rsid w:val="00024850"/>
    <w:rsid w:val="000250B3"/>
    <w:rsid w:val="00027BD0"/>
    <w:rsid w:val="00027E0D"/>
    <w:rsid w:val="00030267"/>
    <w:rsid w:val="00030B76"/>
    <w:rsid w:val="00031E1C"/>
    <w:rsid w:val="00040932"/>
    <w:rsid w:val="00040F7F"/>
    <w:rsid w:val="00041856"/>
    <w:rsid w:val="00043476"/>
    <w:rsid w:val="000435C2"/>
    <w:rsid w:val="000447E8"/>
    <w:rsid w:val="0004549A"/>
    <w:rsid w:val="00045FAD"/>
    <w:rsid w:val="000467EF"/>
    <w:rsid w:val="0005034C"/>
    <w:rsid w:val="0005267A"/>
    <w:rsid w:val="00055C95"/>
    <w:rsid w:val="00057937"/>
    <w:rsid w:val="00057E88"/>
    <w:rsid w:val="00060365"/>
    <w:rsid w:val="000614DA"/>
    <w:rsid w:val="000615C6"/>
    <w:rsid w:val="00062917"/>
    <w:rsid w:val="0006373A"/>
    <w:rsid w:val="00065851"/>
    <w:rsid w:val="0006705A"/>
    <w:rsid w:val="0007214A"/>
    <w:rsid w:val="000722A4"/>
    <w:rsid w:val="00072EAB"/>
    <w:rsid w:val="00073D06"/>
    <w:rsid w:val="00080C5C"/>
    <w:rsid w:val="00080F7E"/>
    <w:rsid w:val="00083257"/>
    <w:rsid w:val="00084A43"/>
    <w:rsid w:val="00086175"/>
    <w:rsid w:val="00086A1C"/>
    <w:rsid w:val="00086C0F"/>
    <w:rsid w:val="000918F4"/>
    <w:rsid w:val="00094F89"/>
    <w:rsid w:val="00095862"/>
    <w:rsid w:val="00096255"/>
    <w:rsid w:val="00097D91"/>
    <w:rsid w:val="000A005B"/>
    <w:rsid w:val="000A2537"/>
    <w:rsid w:val="000A254F"/>
    <w:rsid w:val="000A474D"/>
    <w:rsid w:val="000A57B1"/>
    <w:rsid w:val="000A6211"/>
    <w:rsid w:val="000A69B7"/>
    <w:rsid w:val="000A7FC3"/>
    <w:rsid w:val="000B0A43"/>
    <w:rsid w:val="000B0C63"/>
    <w:rsid w:val="000B389F"/>
    <w:rsid w:val="000B3A68"/>
    <w:rsid w:val="000B3F73"/>
    <w:rsid w:val="000B6483"/>
    <w:rsid w:val="000C0E70"/>
    <w:rsid w:val="000C17DD"/>
    <w:rsid w:val="000C46A7"/>
    <w:rsid w:val="000C46E0"/>
    <w:rsid w:val="000C493C"/>
    <w:rsid w:val="000C6E12"/>
    <w:rsid w:val="000D3602"/>
    <w:rsid w:val="000D3AFA"/>
    <w:rsid w:val="000D575B"/>
    <w:rsid w:val="000D64EC"/>
    <w:rsid w:val="000D6C2A"/>
    <w:rsid w:val="000D7B3F"/>
    <w:rsid w:val="000E08D9"/>
    <w:rsid w:val="000E3540"/>
    <w:rsid w:val="000E505C"/>
    <w:rsid w:val="000E5B7C"/>
    <w:rsid w:val="000E5FFA"/>
    <w:rsid w:val="000F4BF7"/>
    <w:rsid w:val="000F4C37"/>
    <w:rsid w:val="000F5806"/>
    <w:rsid w:val="00100AB6"/>
    <w:rsid w:val="001024FC"/>
    <w:rsid w:val="00106234"/>
    <w:rsid w:val="00107A6D"/>
    <w:rsid w:val="00110CE8"/>
    <w:rsid w:val="00111647"/>
    <w:rsid w:val="001127C4"/>
    <w:rsid w:val="00112CE5"/>
    <w:rsid w:val="0011395A"/>
    <w:rsid w:val="001143E4"/>
    <w:rsid w:val="001144BE"/>
    <w:rsid w:val="00117D42"/>
    <w:rsid w:val="00120318"/>
    <w:rsid w:val="0012148E"/>
    <w:rsid w:val="00123F4E"/>
    <w:rsid w:val="001246EE"/>
    <w:rsid w:val="0012509D"/>
    <w:rsid w:val="0012683F"/>
    <w:rsid w:val="00126F3F"/>
    <w:rsid w:val="00132D5C"/>
    <w:rsid w:val="0013499E"/>
    <w:rsid w:val="00135419"/>
    <w:rsid w:val="00135879"/>
    <w:rsid w:val="00140173"/>
    <w:rsid w:val="001423A3"/>
    <w:rsid w:val="001439C9"/>
    <w:rsid w:val="00146B6D"/>
    <w:rsid w:val="001472FC"/>
    <w:rsid w:val="0015295A"/>
    <w:rsid w:val="0015534D"/>
    <w:rsid w:val="00155361"/>
    <w:rsid w:val="00156D2A"/>
    <w:rsid w:val="0016092D"/>
    <w:rsid w:val="001633BC"/>
    <w:rsid w:val="00163675"/>
    <w:rsid w:val="0016597C"/>
    <w:rsid w:val="00166F59"/>
    <w:rsid w:val="00167B44"/>
    <w:rsid w:val="00170F5E"/>
    <w:rsid w:val="00171377"/>
    <w:rsid w:val="001720BB"/>
    <w:rsid w:val="00173607"/>
    <w:rsid w:val="00173B6F"/>
    <w:rsid w:val="00174B82"/>
    <w:rsid w:val="001767D4"/>
    <w:rsid w:val="00177C3F"/>
    <w:rsid w:val="0018179A"/>
    <w:rsid w:val="00182F7A"/>
    <w:rsid w:val="00183F9E"/>
    <w:rsid w:val="00184F99"/>
    <w:rsid w:val="0018538F"/>
    <w:rsid w:val="001865CF"/>
    <w:rsid w:val="00187201"/>
    <w:rsid w:val="001A2ED1"/>
    <w:rsid w:val="001A631D"/>
    <w:rsid w:val="001A7BB1"/>
    <w:rsid w:val="001B02F9"/>
    <w:rsid w:val="001B0A90"/>
    <w:rsid w:val="001B46D2"/>
    <w:rsid w:val="001B5785"/>
    <w:rsid w:val="001B6084"/>
    <w:rsid w:val="001C0414"/>
    <w:rsid w:val="001C268B"/>
    <w:rsid w:val="001C2F21"/>
    <w:rsid w:val="001C3DCA"/>
    <w:rsid w:val="001C689D"/>
    <w:rsid w:val="001D0054"/>
    <w:rsid w:val="001D162B"/>
    <w:rsid w:val="001D28A0"/>
    <w:rsid w:val="001D40EA"/>
    <w:rsid w:val="001D419B"/>
    <w:rsid w:val="001D7ADC"/>
    <w:rsid w:val="001D7F81"/>
    <w:rsid w:val="001E0AA0"/>
    <w:rsid w:val="001E1015"/>
    <w:rsid w:val="001E150A"/>
    <w:rsid w:val="001F0D61"/>
    <w:rsid w:val="001F36D4"/>
    <w:rsid w:val="001F5569"/>
    <w:rsid w:val="00200D80"/>
    <w:rsid w:val="00201A8D"/>
    <w:rsid w:val="00203219"/>
    <w:rsid w:val="00203AA9"/>
    <w:rsid w:val="00204652"/>
    <w:rsid w:val="00205916"/>
    <w:rsid w:val="00207204"/>
    <w:rsid w:val="0021056E"/>
    <w:rsid w:val="00212AE0"/>
    <w:rsid w:val="00215D5A"/>
    <w:rsid w:val="002168BA"/>
    <w:rsid w:val="00217F46"/>
    <w:rsid w:val="002216F9"/>
    <w:rsid w:val="002217F5"/>
    <w:rsid w:val="00224144"/>
    <w:rsid w:val="00224867"/>
    <w:rsid w:val="002306A0"/>
    <w:rsid w:val="002308DC"/>
    <w:rsid w:val="00230968"/>
    <w:rsid w:val="0023096C"/>
    <w:rsid w:val="00232169"/>
    <w:rsid w:val="002341D5"/>
    <w:rsid w:val="002363CE"/>
    <w:rsid w:val="002366E5"/>
    <w:rsid w:val="0023775E"/>
    <w:rsid w:val="00240208"/>
    <w:rsid w:val="00243A11"/>
    <w:rsid w:val="00245F30"/>
    <w:rsid w:val="002463B2"/>
    <w:rsid w:val="0025036F"/>
    <w:rsid w:val="002523AA"/>
    <w:rsid w:val="00252502"/>
    <w:rsid w:val="0025338C"/>
    <w:rsid w:val="00253B58"/>
    <w:rsid w:val="0025778E"/>
    <w:rsid w:val="00260D92"/>
    <w:rsid w:val="00261879"/>
    <w:rsid w:val="00263BC4"/>
    <w:rsid w:val="00263D21"/>
    <w:rsid w:val="00265B09"/>
    <w:rsid w:val="00266113"/>
    <w:rsid w:val="0027433B"/>
    <w:rsid w:val="002743B9"/>
    <w:rsid w:val="002743F5"/>
    <w:rsid w:val="00276369"/>
    <w:rsid w:val="00277B05"/>
    <w:rsid w:val="00277D36"/>
    <w:rsid w:val="00277E59"/>
    <w:rsid w:val="00286534"/>
    <w:rsid w:val="002873E1"/>
    <w:rsid w:val="0029622F"/>
    <w:rsid w:val="00296F07"/>
    <w:rsid w:val="002979CE"/>
    <w:rsid w:val="002A075A"/>
    <w:rsid w:val="002A07F8"/>
    <w:rsid w:val="002A1FC4"/>
    <w:rsid w:val="002A2073"/>
    <w:rsid w:val="002A21EA"/>
    <w:rsid w:val="002A4399"/>
    <w:rsid w:val="002A45C2"/>
    <w:rsid w:val="002B18ED"/>
    <w:rsid w:val="002B2363"/>
    <w:rsid w:val="002B2FCB"/>
    <w:rsid w:val="002B31BC"/>
    <w:rsid w:val="002B59C1"/>
    <w:rsid w:val="002B6B10"/>
    <w:rsid w:val="002B7111"/>
    <w:rsid w:val="002C1CD6"/>
    <w:rsid w:val="002C3AEE"/>
    <w:rsid w:val="002C4E0A"/>
    <w:rsid w:val="002C4E45"/>
    <w:rsid w:val="002C5167"/>
    <w:rsid w:val="002C54E7"/>
    <w:rsid w:val="002C571F"/>
    <w:rsid w:val="002D29C7"/>
    <w:rsid w:val="002D4369"/>
    <w:rsid w:val="002D4E00"/>
    <w:rsid w:val="002D63D4"/>
    <w:rsid w:val="002D6F93"/>
    <w:rsid w:val="002D7156"/>
    <w:rsid w:val="002D7584"/>
    <w:rsid w:val="002D7864"/>
    <w:rsid w:val="002D78F7"/>
    <w:rsid w:val="002E1368"/>
    <w:rsid w:val="002E147E"/>
    <w:rsid w:val="002E2141"/>
    <w:rsid w:val="002E4202"/>
    <w:rsid w:val="002E4618"/>
    <w:rsid w:val="002E68B4"/>
    <w:rsid w:val="002E6B84"/>
    <w:rsid w:val="002E6BE0"/>
    <w:rsid w:val="002E7C5D"/>
    <w:rsid w:val="002E7D19"/>
    <w:rsid w:val="002F1652"/>
    <w:rsid w:val="002F1A99"/>
    <w:rsid w:val="002F27CA"/>
    <w:rsid w:val="002F4237"/>
    <w:rsid w:val="002F50C6"/>
    <w:rsid w:val="002F607A"/>
    <w:rsid w:val="002F7EA4"/>
    <w:rsid w:val="00300939"/>
    <w:rsid w:val="00300D75"/>
    <w:rsid w:val="00304C04"/>
    <w:rsid w:val="0030518D"/>
    <w:rsid w:val="00305FBE"/>
    <w:rsid w:val="00307417"/>
    <w:rsid w:val="0031026F"/>
    <w:rsid w:val="003129AE"/>
    <w:rsid w:val="00313961"/>
    <w:rsid w:val="00317175"/>
    <w:rsid w:val="003208FA"/>
    <w:rsid w:val="0032279A"/>
    <w:rsid w:val="00323CBD"/>
    <w:rsid w:val="00323F4D"/>
    <w:rsid w:val="0032488E"/>
    <w:rsid w:val="00327543"/>
    <w:rsid w:val="00330CAE"/>
    <w:rsid w:val="003311E6"/>
    <w:rsid w:val="00332AA0"/>
    <w:rsid w:val="003332AB"/>
    <w:rsid w:val="003376DF"/>
    <w:rsid w:val="0034132F"/>
    <w:rsid w:val="00341701"/>
    <w:rsid w:val="00343381"/>
    <w:rsid w:val="003436D1"/>
    <w:rsid w:val="00345F41"/>
    <w:rsid w:val="00350002"/>
    <w:rsid w:val="003501B6"/>
    <w:rsid w:val="0035041C"/>
    <w:rsid w:val="00356AD0"/>
    <w:rsid w:val="00356FCF"/>
    <w:rsid w:val="00357556"/>
    <w:rsid w:val="00357790"/>
    <w:rsid w:val="00360C5E"/>
    <w:rsid w:val="00362D8A"/>
    <w:rsid w:val="00362D98"/>
    <w:rsid w:val="00364F9A"/>
    <w:rsid w:val="0036507D"/>
    <w:rsid w:val="00365153"/>
    <w:rsid w:val="003714B4"/>
    <w:rsid w:val="00376FC1"/>
    <w:rsid w:val="003805D2"/>
    <w:rsid w:val="00381F8D"/>
    <w:rsid w:val="003826EE"/>
    <w:rsid w:val="00384560"/>
    <w:rsid w:val="00386B8A"/>
    <w:rsid w:val="0039137B"/>
    <w:rsid w:val="00392749"/>
    <w:rsid w:val="00392B9C"/>
    <w:rsid w:val="00392EF8"/>
    <w:rsid w:val="00393C04"/>
    <w:rsid w:val="00395746"/>
    <w:rsid w:val="00395F8D"/>
    <w:rsid w:val="003970BE"/>
    <w:rsid w:val="003A04DA"/>
    <w:rsid w:val="003A068D"/>
    <w:rsid w:val="003A0E30"/>
    <w:rsid w:val="003A3D54"/>
    <w:rsid w:val="003A453B"/>
    <w:rsid w:val="003A4F00"/>
    <w:rsid w:val="003A70D6"/>
    <w:rsid w:val="003B0030"/>
    <w:rsid w:val="003B0AAC"/>
    <w:rsid w:val="003B386A"/>
    <w:rsid w:val="003C0446"/>
    <w:rsid w:val="003C08A4"/>
    <w:rsid w:val="003C0E3B"/>
    <w:rsid w:val="003C1BA3"/>
    <w:rsid w:val="003C286E"/>
    <w:rsid w:val="003C3C2F"/>
    <w:rsid w:val="003C531B"/>
    <w:rsid w:val="003C64D3"/>
    <w:rsid w:val="003C64E0"/>
    <w:rsid w:val="003C7FE9"/>
    <w:rsid w:val="003D182A"/>
    <w:rsid w:val="003D308B"/>
    <w:rsid w:val="003D469B"/>
    <w:rsid w:val="003D4E74"/>
    <w:rsid w:val="003D5EC2"/>
    <w:rsid w:val="003D6624"/>
    <w:rsid w:val="003D7F8D"/>
    <w:rsid w:val="003E07CA"/>
    <w:rsid w:val="003E23FF"/>
    <w:rsid w:val="003E494A"/>
    <w:rsid w:val="003E61DA"/>
    <w:rsid w:val="003E71C0"/>
    <w:rsid w:val="003F0640"/>
    <w:rsid w:val="003F5F59"/>
    <w:rsid w:val="003F7517"/>
    <w:rsid w:val="003F76E1"/>
    <w:rsid w:val="00402721"/>
    <w:rsid w:val="00403432"/>
    <w:rsid w:val="00406444"/>
    <w:rsid w:val="00406498"/>
    <w:rsid w:val="004078AA"/>
    <w:rsid w:val="00407DA8"/>
    <w:rsid w:val="0041238D"/>
    <w:rsid w:val="00414834"/>
    <w:rsid w:val="00415D21"/>
    <w:rsid w:val="00420840"/>
    <w:rsid w:val="004210C5"/>
    <w:rsid w:val="00422863"/>
    <w:rsid w:val="00423EB8"/>
    <w:rsid w:val="00424539"/>
    <w:rsid w:val="004249B4"/>
    <w:rsid w:val="0042561E"/>
    <w:rsid w:val="0042581D"/>
    <w:rsid w:val="00426736"/>
    <w:rsid w:val="0042796B"/>
    <w:rsid w:val="00427DDD"/>
    <w:rsid w:val="00431689"/>
    <w:rsid w:val="0043368E"/>
    <w:rsid w:val="00435054"/>
    <w:rsid w:val="0043555F"/>
    <w:rsid w:val="00435E75"/>
    <w:rsid w:val="004421F2"/>
    <w:rsid w:val="0044222B"/>
    <w:rsid w:val="00442B47"/>
    <w:rsid w:val="00445382"/>
    <w:rsid w:val="004463E8"/>
    <w:rsid w:val="00447402"/>
    <w:rsid w:val="004478AE"/>
    <w:rsid w:val="00450BC1"/>
    <w:rsid w:val="00450F8D"/>
    <w:rsid w:val="00451B0C"/>
    <w:rsid w:val="00451FD3"/>
    <w:rsid w:val="00455A69"/>
    <w:rsid w:val="00455B45"/>
    <w:rsid w:val="00456A59"/>
    <w:rsid w:val="004605A7"/>
    <w:rsid w:val="00460F68"/>
    <w:rsid w:val="0046105C"/>
    <w:rsid w:val="004616E7"/>
    <w:rsid w:val="004617EA"/>
    <w:rsid w:val="0046186B"/>
    <w:rsid w:val="00462308"/>
    <w:rsid w:val="00464FD1"/>
    <w:rsid w:val="004652EF"/>
    <w:rsid w:val="00467669"/>
    <w:rsid w:val="00470D03"/>
    <w:rsid w:val="0047251F"/>
    <w:rsid w:val="00473037"/>
    <w:rsid w:val="00473371"/>
    <w:rsid w:val="00473E76"/>
    <w:rsid w:val="00474B5D"/>
    <w:rsid w:val="004807B4"/>
    <w:rsid w:val="00483327"/>
    <w:rsid w:val="00484351"/>
    <w:rsid w:val="00484DB6"/>
    <w:rsid w:val="004857AE"/>
    <w:rsid w:val="004862B0"/>
    <w:rsid w:val="004869E4"/>
    <w:rsid w:val="00487425"/>
    <w:rsid w:val="00487558"/>
    <w:rsid w:val="004876EE"/>
    <w:rsid w:val="00487742"/>
    <w:rsid w:val="004927EB"/>
    <w:rsid w:val="0049291F"/>
    <w:rsid w:val="00493DE6"/>
    <w:rsid w:val="00493FE5"/>
    <w:rsid w:val="0049433A"/>
    <w:rsid w:val="00494BDC"/>
    <w:rsid w:val="00494E6E"/>
    <w:rsid w:val="00495C1F"/>
    <w:rsid w:val="0049738C"/>
    <w:rsid w:val="004975A2"/>
    <w:rsid w:val="004A1160"/>
    <w:rsid w:val="004A2F7B"/>
    <w:rsid w:val="004A7491"/>
    <w:rsid w:val="004B371F"/>
    <w:rsid w:val="004B3A59"/>
    <w:rsid w:val="004B3A79"/>
    <w:rsid w:val="004B451F"/>
    <w:rsid w:val="004B4A7A"/>
    <w:rsid w:val="004B52C3"/>
    <w:rsid w:val="004B5559"/>
    <w:rsid w:val="004B7A5A"/>
    <w:rsid w:val="004C1201"/>
    <w:rsid w:val="004C19AB"/>
    <w:rsid w:val="004C3C2F"/>
    <w:rsid w:val="004C3FBA"/>
    <w:rsid w:val="004C43FE"/>
    <w:rsid w:val="004C613C"/>
    <w:rsid w:val="004C7D80"/>
    <w:rsid w:val="004D0522"/>
    <w:rsid w:val="004D0A04"/>
    <w:rsid w:val="004D2C56"/>
    <w:rsid w:val="004D396D"/>
    <w:rsid w:val="004D3E6C"/>
    <w:rsid w:val="004D4BD0"/>
    <w:rsid w:val="004D5EFD"/>
    <w:rsid w:val="004D5F1D"/>
    <w:rsid w:val="004D6A36"/>
    <w:rsid w:val="004E084F"/>
    <w:rsid w:val="004E20F6"/>
    <w:rsid w:val="004E3F85"/>
    <w:rsid w:val="004E4612"/>
    <w:rsid w:val="004E4981"/>
    <w:rsid w:val="004E4DAC"/>
    <w:rsid w:val="004F08F8"/>
    <w:rsid w:val="004F3763"/>
    <w:rsid w:val="004F4C0D"/>
    <w:rsid w:val="004F5B95"/>
    <w:rsid w:val="004F6CED"/>
    <w:rsid w:val="00500101"/>
    <w:rsid w:val="00503448"/>
    <w:rsid w:val="0050552A"/>
    <w:rsid w:val="00505CE7"/>
    <w:rsid w:val="0050796D"/>
    <w:rsid w:val="005117E4"/>
    <w:rsid w:val="00514048"/>
    <w:rsid w:val="00522062"/>
    <w:rsid w:val="0052321D"/>
    <w:rsid w:val="0052640E"/>
    <w:rsid w:val="0052734A"/>
    <w:rsid w:val="00527A94"/>
    <w:rsid w:val="0053084E"/>
    <w:rsid w:val="00530CB6"/>
    <w:rsid w:val="00531850"/>
    <w:rsid w:val="00531FC8"/>
    <w:rsid w:val="005345AD"/>
    <w:rsid w:val="00535F75"/>
    <w:rsid w:val="005365B2"/>
    <w:rsid w:val="00536B0A"/>
    <w:rsid w:val="0053746A"/>
    <w:rsid w:val="005406EA"/>
    <w:rsid w:val="00540CE0"/>
    <w:rsid w:val="00541132"/>
    <w:rsid w:val="0054153B"/>
    <w:rsid w:val="005444A9"/>
    <w:rsid w:val="005472A2"/>
    <w:rsid w:val="0054751A"/>
    <w:rsid w:val="0054785D"/>
    <w:rsid w:val="00547BAD"/>
    <w:rsid w:val="005525E3"/>
    <w:rsid w:val="00553641"/>
    <w:rsid w:val="00555355"/>
    <w:rsid w:val="0055695F"/>
    <w:rsid w:val="00556A21"/>
    <w:rsid w:val="00556E87"/>
    <w:rsid w:val="00560CD8"/>
    <w:rsid w:val="00561458"/>
    <w:rsid w:val="0056189C"/>
    <w:rsid w:val="00561975"/>
    <w:rsid w:val="00562F67"/>
    <w:rsid w:val="00564A23"/>
    <w:rsid w:val="00565115"/>
    <w:rsid w:val="005657FD"/>
    <w:rsid w:val="005733C4"/>
    <w:rsid w:val="0057752B"/>
    <w:rsid w:val="00581D67"/>
    <w:rsid w:val="005820FB"/>
    <w:rsid w:val="00582BAA"/>
    <w:rsid w:val="005855F5"/>
    <w:rsid w:val="00585D0A"/>
    <w:rsid w:val="00585DBC"/>
    <w:rsid w:val="00585E7B"/>
    <w:rsid w:val="00587377"/>
    <w:rsid w:val="005907BE"/>
    <w:rsid w:val="00591D6A"/>
    <w:rsid w:val="005922B4"/>
    <w:rsid w:val="00594670"/>
    <w:rsid w:val="00594C97"/>
    <w:rsid w:val="00596C8E"/>
    <w:rsid w:val="005A14BF"/>
    <w:rsid w:val="005A44FF"/>
    <w:rsid w:val="005A4675"/>
    <w:rsid w:val="005A62B7"/>
    <w:rsid w:val="005A729A"/>
    <w:rsid w:val="005B1889"/>
    <w:rsid w:val="005B4203"/>
    <w:rsid w:val="005B552B"/>
    <w:rsid w:val="005B7D48"/>
    <w:rsid w:val="005C25A0"/>
    <w:rsid w:val="005C4489"/>
    <w:rsid w:val="005C5ED1"/>
    <w:rsid w:val="005C769A"/>
    <w:rsid w:val="005D1407"/>
    <w:rsid w:val="005D1BF1"/>
    <w:rsid w:val="005D1FF0"/>
    <w:rsid w:val="005D430F"/>
    <w:rsid w:val="005D4979"/>
    <w:rsid w:val="005D58EE"/>
    <w:rsid w:val="005D61CC"/>
    <w:rsid w:val="005D626A"/>
    <w:rsid w:val="005D6FE2"/>
    <w:rsid w:val="005E0AC0"/>
    <w:rsid w:val="005E12BF"/>
    <w:rsid w:val="005E1BF9"/>
    <w:rsid w:val="005E2C6A"/>
    <w:rsid w:val="005E393C"/>
    <w:rsid w:val="005E3B8C"/>
    <w:rsid w:val="005E51D4"/>
    <w:rsid w:val="005E6BF5"/>
    <w:rsid w:val="005F075B"/>
    <w:rsid w:val="005F219A"/>
    <w:rsid w:val="005F2399"/>
    <w:rsid w:val="005F24B3"/>
    <w:rsid w:val="005F6FA6"/>
    <w:rsid w:val="005F7631"/>
    <w:rsid w:val="005F7A38"/>
    <w:rsid w:val="0060241A"/>
    <w:rsid w:val="00602B69"/>
    <w:rsid w:val="006035E1"/>
    <w:rsid w:val="00606FC3"/>
    <w:rsid w:val="00610781"/>
    <w:rsid w:val="00611904"/>
    <w:rsid w:val="00613D8D"/>
    <w:rsid w:val="00615AA5"/>
    <w:rsid w:val="00616FEE"/>
    <w:rsid w:val="006225CF"/>
    <w:rsid w:val="00630148"/>
    <w:rsid w:val="006333A4"/>
    <w:rsid w:val="00633D23"/>
    <w:rsid w:val="00637A31"/>
    <w:rsid w:val="0064058B"/>
    <w:rsid w:val="00641DCD"/>
    <w:rsid w:val="00643CF0"/>
    <w:rsid w:val="00644464"/>
    <w:rsid w:val="00644B26"/>
    <w:rsid w:val="00644BD2"/>
    <w:rsid w:val="0064567E"/>
    <w:rsid w:val="00647ECD"/>
    <w:rsid w:val="00650041"/>
    <w:rsid w:val="00650062"/>
    <w:rsid w:val="00652A91"/>
    <w:rsid w:val="00655149"/>
    <w:rsid w:val="00655622"/>
    <w:rsid w:val="00656301"/>
    <w:rsid w:val="00660E3A"/>
    <w:rsid w:val="00661C9D"/>
    <w:rsid w:val="0066373D"/>
    <w:rsid w:val="00673804"/>
    <w:rsid w:val="00674CA7"/>
    <w:rsid w:val="0067514B"/>
    <w:rsid w:val="00676A1C"/>
    <w:rsid w:val="0068043E"/>
    <w:rsid w:val="00682E42"/>
    <w:rsid w:val="00686499"/>
    <w:rsid w:val="00687A6D"/>
    <w:rsid w:val="006901EF"/>
    <w:rsid w:val="00691245"/>
    <w:rsid w:val="006920F7"/>
    <w:rsid w:val="00693534"/>
    <w:rsid w:val="00693EDE"/>
    <w:rsid w:val="0069414B"/>
    <w:rsid w:val="00694696"/>
    <w:rsid w:val="006947ED"/>
    <w:rsid w:val="00695E2F"/>
    <w:rsid w:val="006970B1"/>
    <w:rsid w:val="006A1D50"/>
    <w:rsid w:val="006A2923"/>
    <w:rsid w:val="006A2F52"/>
    <w:rsid w:val="006A3973"/>
    <w:rsid w:val="006A4CC7"/>
    <w:rsid w:val="006A4D9B"/>
    <w:rsid w:val="006A6F3A"/>
    <w:rsid w:val="006A7086"/>
    <w:rsid w:val="006B2EE6"/>
    <w:rsid w:val="006B4A02"/>
    <w:rsid w:val="006C159C"/>
    <w:rsid w:val="006C6081"/>
    <w:rsid w:val="006C6185"/>
    <w:rsid w:val="006C74D3"/>
    <w:rsid w:val="006D12A4"/>
    <w:rsid w:val="006D2177"/>
    <w:rsid w:val="006D2F82"/>
    <w:rsid w:val="006D4733"/>
    <w:rsid w:val="006E23DC"/>
    <w:rsid w:val="006E3238"/>
    <w:rsid w:val="006E4B83"/>
    <w:rsid w:val="006E4C85"/>
    <w:rsid w:val="006E56CD"/>
    <w:rsid w:val="006E627F"/>
    <w:rsid w:val="006F1335"/>
    <w:rsid w:val="006F1DBA"/>
    <w:rsid w:val="006F5BA4"/>
    <w:rsid w:val="006F7FCE"/>
    <w:rsid w:val="0070240E"/>
    <w:rsid w:val="007050ED"/>
    <w:rsid w:val="00706FAB"/>
    <w:rsid w:val="0070703D"/>
    <w:rsid w:val="007113A9"/>
    <w:rsid w:val="00714298"/>
    <w:rsid w:val="0071464D"/>
    <w:rsid w:val="007156F1"/>
    <w:rsid w:val="0072034B"/>
    <w:rsid w:val="007206C7"/>
    <w:rsid w:val="007207F3"/>
    <w:rsid w:val="007233D8"/>
    <w:rsid w:val="00723F82"/>
    <w:rsid w:val="00724814"/>
    <w:rsid w:val="00726740"/>
    <w:rsid w:val="00727D7D"/>
    <w:rsid w:val="0073491B"/>
    <w:rsid w:val="00735129"/>
    <w:rsid w:val="0073585A"/>
    <w:rsid w:val="00735B51"/>
    <w:rsid w:val="00737A5A"/>
    <w:rsid w:val="00737E64"/>
    <w:rsid w:val="007421EB"/>
    <w:rsid w:val="00742F6D"/>
    <w:rsid w:val="00745C05"/>
    <w:rsid w:val="00746A2E"/>
    <w:rsid w:val="00747A62"/>
    <w:rsid w:val="00747E11"/>
    <w:rsid w:val="00753456"/>
    <w:rsid w:val="00753A4E"/>
    <w:rsid w:val="007548CD"/>
    <w:rsid w:val="00754F54"/>
    <w:rsid w:val="00755D01"/>
    <w:rsid w:val="00756BC7"/>
    <w:rsid w:val="007576F3"/>
    <w:rsid w:val="0076009F"/>
    <w:rsid w:val="00761160"/>
    <w:rsid w:val="0076199C"/>
    <w:rsid w:val="00761AE7"/>
    <w:rsid w:val="00762226"/>
    <w:rsid w:val="00764181"/>
    <w:rsid w:val="00765476"/>
    <w:rsid w:val="007661BC"/>
    <w:rsid w:val="00771C06"/>
    <w:rsid w:val="0077209E"/>
    <w:rsid w:val="0077338B"/>
    <w:rsid w:val="00775EDE"/>
    <w:rsid w:val="00781F2B"/>
    <w:rsid w:val="00783D86"/>
    <w:rsid w:val="00786DDF"/>
    <w:rsid w:val="0078704A"/>
    <w:rsid w:val="00787D25"/>
    <w:rsid w:val="0079324F"/>
    <w:rsid w:val="00794002"/>
    <w:rsid w:val="00794A2B"/>
    <w:rsid w:val="007A1860"/>
    <w:rsid w:val="007A2BF3"/>
    <w:rsid w:val="007A2EB7"/>
    <w:rsid w:val="007A3E89"/>
    <w:rsid w:val="007A4DEC"/>
    <w:rsid w:val="007A5122"/>
    <w:rsid w:val="007A5AB1"/>
    <w:rsid w:val="007B3205"/>
    <w:rsid w:val="007B3237"/>
    <w:rsid w:val="007B5A16"/>
    <w:rsid w:val="007C00FA"/>
    <w:rsid w:val="007C0A5D"/>
    <w:rsid w:val="007C10BC"/>
    <w:rsid w:val="007C3FE6"/>
    <w:rsid w:val="007C5385"/>
    <w:rsid w:val="007C6EC6"/>
    <w:rsid w:val="007C7748"/>
    <w:rsid w:val="007D03A1"/>
    <w:rsid w:val="007D396A"/>
    <w:rsid w:val="007D7037"/>
    <w:rsid w:val="007E059C"/>
    <w:rsid w:val="007E05E0"/>
    <w:rsid w:val="007E0C70"/>
    <w:rsid w:val="007E0EDD"/>
    <w:rsid w:val="007E2918"/>
    <w:rsid w:val="007E4510"/>
    <w:rsid w:val="007E5F1E"/>
    <w:rsid w:val="007E6104"/>
    <w:rsid w:val="007E69D2"/>
    <w:rsid w:val="007E6BEA"/>
    <w:rsid w:val="007F0085"/>
    <w:rsid w:val="007F1482"/>
    <w:rsid w:val="007F3457"/>
    <w:rsid w:val="007F5638"/>
    <w:rsid w:val="007F5F25"/>
    <w:rsid w:val="0080063D"/>
    <w:rsid w:val="00800DFF"/>
    <w:rsid w:val="00801DB9"/>
    <w:rsid w:val="00802A5A"/>
    <w:rsid w:val="00803086"/>
    <w:rsid w:val="00803677"/>
    <w:rsid w:val="00804A5A"/>
    <w:rsid w:val="00804E39"/>
    <w:rsid w:val="0080650D"/>
    <w:rsid w:val="00812835"/>
    <w:rsid w:val="00813877"/>
    <w:rsid w:val="00813CCF"/>
    <w:rsid w:val="00814B33"/>
    <w:rsid w:val="008160A7"/>
    <w:rsid w:val="00816159"/>
    <w:rsid w:val="0081697B"/>
    <w:rsid w:val="00820714"/>
    <w:rsid w:val="00821327"/>
    <w:rsid w:val="00821A94"/>
    <w:rsid w:val="00823012"/>
    <w:rsid w:val="0082652B"/>
    <w:rsid w:val="00830578"/>
    <w:rsid w:val="008342BD"/>
    <w:rsid w:val="008411C0"/>
    <w:rsid w:val="008420C0"/>
    <w:rsid w:val="008421E0"/>
    <w:rsid w:val="00844712"/>
    <w:rsid w:val="00845A0D"/>
    <w:rsid w:val="00845DA1"/>
    <w:rsid w:val="00847203"/>
    <w:rsid w:val="00850F9E"/>
    <w:rsid w:val="00851537"/>
    <w:rsid w:val="008531B3"/>
    <w:rsid w:val="00853632"/>
    <w:rsid w:val="008544A7"/>
    <w:rsid w:val="008545AC"/>
    <w:rsid w:val="008562A6"/>
    <w:rsid w:val="008565FD"/>
    <w:rsid w:val="00857E5B"/>
    <w:rsid w:val="00860164"/>
    <w:rsid w:val="008612C1"/>
    <w:rsid w:val="0086359C"/>
    <w:rsid w:val="008655A5"/>
    <w:rsid w:val="00865B82"/>
    <w:rsid w:val="008666CA"/>
    <w:rsid w:val="00867419"/>
    <w:rsid w:val="00872416"/>
    <w:rsid w:val="00872ACC"/>
    <w:rsid w:val="00872DDA"/>
    <w:rsid w:val="00873423"/>
    <w:rsid w:val="00882279"/>
    <w:rsid w:val="00882457"/>
    <w:rsid w:val="00887F82"/>
    <w:rsid w:val="00890E4A"/>
    <w:rsid w:val="00890F73"/>
    <w:rsid w:val="00891479"/>
    <w:rsid w:val="00891BA0"/>
    <w:rsid w:val="00892643"/>
    <w:rsid w:val="008944F0"/>
    <w:rsid w:val="00895525"/>
    <w:rsid w:val="008964CD"/>
    <w:rsid w:val="00896682"/>
    <w:rsid w:val="00896E57"/>
    <w:rsid w:val="008A0563"/>
    <w:rsid w:val="008A0F20"/>
    <w:rsid w:val="008A1308"/>
    <w:rsid w:val="008A17D7"/>
    <w:rsid w:val="008A367D"/>
    <w:rsid w:val="008A3DC6"/>
    <w:rsid w:val="008A4318"/>
    <w:rsid w:val="008A4F02"/>
    <w:rsid w:val="008A63BB"/>
    <w:rsid w:val="008A7E16"/>
    <w:rsid w:val="008B12CE"/>
    <w:rsid w:val="008B459C"/>
    <w:rsid w:val="008B4FC8"/>
    <w:rsid w:val="008B69F9"/>
    <w:rsid w:val="008B7AB8"/>
    <w:rsid w:val="008C25C2"/>
    <w:rsid w:val="008C2D30"/>
    <w:rsid w:val="008C76D7"/>
    <w:rsid w:val="008C7A94"/>
    <w:rsid w:val="008D0D1F"/>
    <w:rsid w:val="008D249D"/>
    <w:rsid w:val="008D3D73"/>
    <w:rsid w:val="008D4059"/>
    <w:rsid w:val="008E0408"/>
    <w:rsid w:val="008E3746"/>
    <w:rsid w:val="008E3EE0"/>
    <w:rsid w:val="008E522D"/>
    <w:rsid w:val="008E72AB"/>
    <w:rsid w:val="008E7C3E"/>
    <w:rsid w:val="008F115E"/>
    <w:rsid w:val="008F1C90"/>
    <w:rsid w:val="008F4543"/>
    <w:rsid w:val="008F47C0"/>
    <w:rsid w:val="008F68AE"/>
    <w:rsid w:val="00900812"/>
    <w:rsid w:val="00907BAE"/>
    <w:rsid w:val="00911C97"/>
    <w:rsid w:val="00914524"/>
    <w:rsid w:val="0091507A"/>
    <w:rsid w:val="00915BD2"/>
    <w:rsid w:val="00916829"/>
    <w:rsid w:val="00920841"/>
    <w:rsid w:val="00920A10"/>
    <w:rsid w:val="00920B6A"/>
    <w:rsid w:val="00920CA6"/>
    <w:rsid w:val="00921462"/>
    <w:rsid w:val="0092321C"/>
    <w:rsid w:val="0092482A"/>
    <w:rsid w:val="00925598"/>
    <w:rsid w:val="00925E70"/>
    <w:rsid w:val="0092631B"/>
    <w:rsid w:val="00926C85"/>
    <w:rsid w:val="00927096"/>
    <w:rsid w:val="009307E2"/>
    <w:rsid w:val="00930885"/>
    <w:rsid w:val="00932AF4"/>
    <w:rsid w:val="009332ED"/>
    <w:rsid w:val="00934177"/>
    <w:rsid w:val="009343CE"/>
    <w:rsid w:val="00934A94"/>
    <w:rsid w:val="009370D5"/>
    <w:rsid w:val="00937224"/>
    <w:rsid w:val="00937C74"/>
    <w:rsid w:val="00940623"/>
    <w:rsid w:val="009419B9"/>
    <w:rsid w:val="00941AE5"/>
    <w:rsid w:val="009423CA"/>
    <w:rsid w:val="00942E03"/>
    <w:rsid w:val="00946BAC"/>
    <w:rsid w:val="00950D15"/>
    <w:rsid w:val="00953137"/>
    <w:rsid w:val="0095645D"/>
    <w:rsid w:val="00961843"/>
    <w:rsid w:val="00961A68"/>
    <w:rsid w:val="00961D7D"/>
    <w:rsid w:val="00961FAB"/>
    <w:rsid w:val="00962BB2"/>
    <w:rsid w:val="00962D5E"/>
    <w:rsid w:val="0096316F"/>
    <w:rsid w:val="00963526"/>
    <w:rsid w:val="00964EA4"/>
    <w:rsid w:val="00965CEF"/>
    <w:rsid w:val="00966650"/>
    <w:rsid w:val="009666E7"/>
    <w:rsid w:val="00967D93"/>
    <w:rsid w:val="00972C35"/>
    <w:rsid w:val="00974805"/>
    <w:rsid w:val="00975398"/>
    <w:rsid w:val="00975FC6"/>
    <w:rsid w:val="009776F0"/>
    <w:rsid w:val="00977940"/>
    <w:rsid w:val="00980792"/>
    <w:rsid w:val="00980972"/>
    <w:rsid w:val="00981783"/>
    <w:rsid w:val="00982BD1"/>
    <w:rsid w:val="00983703"/>
    <w:rsid w:val="009859C5"/>
    <w:rsid w:val="00990A2D"/>
    <w:rsid w:val="009918CD"/>
    <w:rsid w:val="00991F14"/>
    <w:rsid w:val="00991FB6"/>
    <w:rsid w:val="00992C30"/>
    <w:rsid w:val="00993463"/>
    <w:rsid w:val="00993B65"/>
    <w:rsid w:val="009A1E1E"/>
    <w:rsid w:val="009A4966"/>
    <w:rsid w:val="009A4A07"/>
    <w:rsid w:val="009A5E1A"/>
    <w:rsid w:val="009A65E9"/>
    <w:rsid w:val="009B04E7"/>
    <w:rsid w:val="009B0AF7"/>
    <w:rsid w:val="009B0D79"/>
    <w:rsid w:val="009B0F27"/>
    <w:rsid w:val="009B370F"/>
    <w:rsid w:val="009B4C36"/>
    <w:rsid w:val="009C18D2"/>
    <w:rsid w:val="009C2917"/>
    <w:rsid w:val="009C65AC"/>
    <w:rsid w:val="009D0CF9"/>
    <w:rsid w:val="009D173F"/>
    <w:rsid w:val="009D40C4"/>
    <w:rsid w:val="009D413B"/>
    <w:rsid w:val="009D42E9"/>
    <w:rsid w:val="009D4D7F"/>
    <w:rsid w:val="009D50EA"/>
    <w:rsid w:val="009D5338"/>
    <w:rsid w:val="009D7700"/>
    <w:rsid w:val="009E022D"/>
    <w:rsid w:val="009E028C"/>
    <w:rsid w:val="009E3F16"/>
    <w:rsid w:val="009E4ACB"/>
    <w:rsid w:val="009E6A82"/>
    <w:rsid w:val="009F09D0"/>
    <w:rsid w:val="009F58A4"/>
    <w:rsid w:val="009F63DC"/>
    <w:rsid w:val="009F7935"/>
    <w:rsid w:val="00A00FF6"/>
    <w:rsid w:val="00A0126B"/>
    <w:rsid w:val="00A01685"/>
    <w:rsid w:val="00A0230B"/>
    <w:rsid w:val="00A0259C"/>
    <w:rsid w:val="00A0293B"/>
    <w:rsid w:val="00A02B1D"/>
    <w:rsid w:val="00A04200"/>
    <w:rsid w:val="00A04CB3"/>
    <w:rsid w:val="00A14CEE"/>
    <w:rsid w:val="00A1566C"/>
    <w:rsid w:val="00A1699D"/>
    <w:rsid w:val="00A172F8"/>
    <w:rsid w:val="00A1751E"/>
    <w:rsid w:val="00A20D2B"/>
    <w:rsid w:val="00A257D9"/>
    <w:rsid w:val="00A26883"/>
    <w:rsid w:val="00A2721E"/>
    <w:rsid w:val="00A32B3D"/>
    <w:rsid w:val="00A33C47"/>
    <w:rsid w:val="00A35086"/>
    <w:rsid w:val="00A433A3"/>
    <w:rsid w:val="00A460A1"/>
    <w:rsid w:val="00A47BDF"/>
    <w:rsid w:val="00A549A0"/>
    <w:rsid w:val="00A54F3E"/>
    <w:rsid w:val="00A550A8"/>
    <w:rsid w:val="00A603AC"/>
    <w:rsid w:val="00A608E4"/>
    <w:rsid w:val="00A61C24"/>
    <w:rsid w:val="00A61DE9"/>
    <w:rsid w:val="00A62FF6"/>
    <w:rsid w:val="00A66C13"/>
    <w:rsid w:val="00A70DC1"/>
    <w:rsid w:val="00A72576"/>
    <w:rsid w:val="00A734C1"/>
    <w:rsid w:val="00A74324"/>
    <w:rsid w:val="00A76FBF"/>
    <w:rsid w:val="00A77092"/>
    <w:rsid w:val="00A81295"/>
    <w:rsid w:val="00A813DF"/>
    <w:rsid w:val="00A81CE3"/>
    <w:rsid w:val="00A82D67"/>
    <w:rsid w:val="00A83752"/>
    <w:rsid w:val="00A84ECC"/>
    <w:rsid w:val="00A855AD"/>
    <w:rsid w:val="00A860A0"/>
    <w:rsid w:val="00A864B0"/>
    <w:rsid w:val="00A87A33"/>
    <w:rsid w:val="00A90AEF"/>
    <w:rsid w:val="00A93CD2"/>
    <w:rsid w:val="00A93FC3"/>
    <w:rsid w:val="00A9449D"/>
    <w:rsid w:val="00A95476"/>
    <w:rsid w:val="00A955A2"/>
    <w:rsid w:val="00A9787E"/>
    <w:rsid w:val="00A978AC"/>
    <w:rsid w:val="00A97B69"/>
    <w:rsid w:val="00A97E3C"/>
    <w:rsid w:val="00AA0BF9"/>
    <w:rsid w:val="00AA1166"/>
    <w:rsid w:val="00AA5C3E"/>
    <w:rsid w:val="00AA7352"/>
    <w:rsid w:val="00AB1713"/>
    <w:rsid w:val="00AB2757"/>
    <w:rsid w:val="00AB2BA1"/>
    <w:rsid w:val="00AB4B14"/>
    <w:rsid w:val="00AB6CD8"/>
    <w:rsid w:val="00AC07DB"/>
    <w:rsid w:val="00AC0A66"/>
    <w:rsid w:val="00AC13A6"/>
    <w:rsid w:val="00AC466A"/>
    <w:rsid w:val="00AC5430"/>
    <w:rsid w:val="00AD0FC3"/>
    <w:rsid w:val="00AD23EB"/>
    <w:rsid w:val="00AD3B25"/>
    <w:rsid w:val="00AD3F87"/>
    <w:rsid w:val="00AD4BFC"/>
    <w:rsid w:val="00AD73E4"/>
    <w:rsid w:val="00AD7D22"/>
    <w:rsid w:val="00AE0F64"/>
    <w:rsid w:val="00AE1E4C"/>
    <w:rsid w:val="00AE3564"/>
    <w:rsid w:val="00AE58EE"/>
    <w:rsid w:val="00AE67F5"/>
    <w:rsid w:val="00AE6DE6"/>
    <w:rsid w:val="00AE7557"/>
    <w:rsid w:val="00AF4DCA"/>
    <w:rsid w:val="00AF70F4"/>
    <w:rsid w:val="00AF7D8C"/>
    <w:rsid w:val="00B000F6"/>
    <w:rsid w:val="00B00914"/>
    <w:rsid w:val="00B01AF3"/>
    <w:rsid w:val="00B01B77"/>
    <w:rsid w:val="00B04792"/>
    <w:rsid w:val="00B05BE1"/>
    <w:rsid w:val="00B07174"/>
    <w:rsid w:val="00B12527"/>
    <w:rsid w:val="00B15D32"/>
    <w:rsid w:val="00B15E5E"/>
    <w:rsid w:val="00B166BF"/>
    <w:rsid w:val="00B2552C"/>
    <w:rsid w:val="00B27409"/>
    <w:rsid w:val="00B27900"/>
    <w:rsid w:val="00B27981"/>
    <w:rsid w:val="00B30804"/>
    <w:rsid w:val="00B31AC1"/>
    <w:rsid w:val="00B31C08"/>
    <w:rsid w:val="00B327D1"/>
    <w:rsid w:val="00B3348B"/>
    <w:rsid w:val="00B33F2C"/>
    <w:rsid w:val="00B3481C"/>
    <w:rsid w:val="00B35BC5"/>
    <w:rsid w:val="00B365D7"/>
    <w:rsid w:val="00B37B5D"/>
    <w:rsid w:val="00B41B79"/>
    <w:rsid w:val="00B436A7"/>
    <w:rsid w:val="00B44A5B"/>
    <w:rsid w:val="00B44DED"/>
    <w:rsid w:val="00B5091F"/>
    <w:rsid w:val="00B5093D"/>
    <w:rsid w:val="00B517AE"/>
    <w:rsid w:val="00B52224"/>
    <w:rsid w:val="00B53D28"/>
    <w:rsid w:val="00B62558"/>
    <w:rsid w:val="00B630E4"/>
    <w:rsid w:val="00B63B95"/>
    <w:rsid w:val="00B675FC"/>
    <w:rsid w:val="00B67967"/>
    <w:rsid w:val="00B74B48"/>
    <w:rsid w:val="00B77242"/>
    <w:rsid w:val="00B80436"/>
    <w:rsid w:val="00B80BC4"/>
    <w:rsid w:val="00B80DCB"/>
    <w:rsid w:val="00B84170"/>
    <w:rsid w:val="00B84211"/>
    <w:rsid w:val="00B84846"/>
    <w:rsid w:val="00B84935"/>
    <w:rsid w:val="00B851FE"/>
    <w:rsid w:val="00B90D94"/>
    <w:rsid w:val="00B91090"/>
    <w:rsid w:val="00B91CE5"/>
    <w:rsid w:val="00B937D9"/>
    <w:rsid w:val="00B93BAE"/>
    <w:rsid w:val="00B94BCF"/>
    <w:rsid w:val="00B966FD"/>
    <w:rsid w:val="00B97D21"/>
    <w:rsid w:val="00BA0115"/>
    <w:rsid w:val="00BA2275"/>
    <w:rsid w:val="00BA263C"/>
    <w:rsid w:val="00BA2700"/>
    <w:rsid w:val="00BA3E35"/>
    <w:rsid w:val="00BA63B6"/>
    <w:rsid w:val="00BA6CE0"/>
    <w:rsid w:val="00BA6EAC"/>
    <w:rsid w:val="00BB1949"/>
    <w:rsid w:val="00BB26A9"/>
    <w:rsid w:val="00BB39B4"/>
    <w:rsid w:val="00BB51DD"/>
    <w:rsid w:val="00BB6E97"/>
    <w:rsid w:val="00BB78BA"/>
    <w:rsid w:val="00BC01D6"/>
    <w:rsid w:val="00BC03A6"/>
    <w:rsid w:val="00BC212A"/>
    <w:rsid w:val="00BC232B"/>
    <w:rsid w:val="00BC2797"/>
    <w:rsid w:val="00BC3EE3"/>
    <w:rsid w:val="00BC43C4"/>
    <w:rsid w:val="00BC635B"/>
    <w:rsid w:val="00BC6CE8"/>
    <w:rsid w:val="00BC71F0"/>
    <w:rsid w:val="00BC7784"/>
    <w:rsid w:val="00BC7E94"/>
    <w:rsid w:val="00BD0F5A"/>
    <w:rsid w:val="00BD5D60"/>
    <w:rsid w:val="00BD5D9B"/>
    <w:rsid w:val="00BD6299"/>
    <w:rsid w:val="00BE0ED7"/>
    <w:rsid w:val="00BE2119"/>
    <w:rsid w:val="00BE2AA0"/>
    <w:rsid w:val="00BE31DE"/>
    <w:rsid w:val="00BE3F32"/>
    <w:rsid w:val="00BE4543"/>
    <w:rsid w:val="00BE4820"/>
    <w:rsid w:val="00BE762A"/>
    <w:rsid w:val="00BF32A4"/>
    <w:rsid w:val="00BF3D88"/>
    <w:rsid w:val="00BF4BF9"/>
    <w:rsid w:val="00BF5A48"/>
    <w:rsid w:val="00BF7239"/>
    <w:rsid w:val="00BF7BCB"/>
    <w:rsid w:val="00C01BC9"/>
    <w:rsid w:val="00C031B1"/>
    <w:rsid w:val="00C03FBB"/>
    <w:rsid w:val="00C04A88"/>
    <w:rsid w:val="00C0546D"/>
    <w:rsid w:val="00C05A30"/>
    <w:rsid w:val="00C05CBC"/>
    <w:rsid w:val="00C06015"/>
    <w:rsid w:val="00C071A9"/>
    <w:rsid w:val="00C115D2"/>
    <w:rsid w:val="00C125F7"/>
    <w:rsid w:val="00C13665"/>
    <w:rsid w:val="00C14659"/>
    <w:rsid w:val="00C1484C"/>
    <w:rsid w:val="00C14D67"/>
    <w:rsid w:val="00C14EFA"/>
    <w:rsid w:val="00C15D8B"/>
    <w:rsid w:val="00C1665B"/>
    <w:rsid w:val="00C22A4D"/>
    <w:rsid w:val="00C23152"/>
    <w:rsid w:val="00C2366A"/>
    <w:rsid w:val="00C23DDB"/>
    <w:rsid w:val="00C25CE5"/>
    <w:rsid w:val="00C27FA0"/>
    <w:rsid w:val="00C319BC"/>
    <w:rsid w:val="00C32A84"/>
    <w:rsid w:val="00C34460"/>
    <w:rsid w:val="00C355F9"/>
    <w:rsid w:val="00C36786"/>
    <w:rsid w:val="00C404AF"/>
    <w:rsid w:val="00C40814"/>
    <w:rsid w:val="00C45B91"/>
    <w:rsid w:val="00C46051"/>
    <w:rsid w:val="00C4637E"/>
    <w:rsid w:val="00C477F4"/>
    <w:rsid w:val="00C47DEE"/>
    <w:rsid w:val="00C47DEF"/>
    <w:rsid w:val="00C50195"/>
    <w:rsid w:val="00C5211C"/>
    <w:rsid w:val="00C52307"/>
    <w:rsid w:val="00C53279"/>
    <w:rsid w:val="00C532DF"/>
    <w:rsid w:val="00C54F41"/>
    <w:rsid w:val="00C55882"/>
    <w:rsid w:val="00C577C1"/>
    <w:rsid w:val="00C578B0"/>
    <w:rsid w:val="00C60479"/>
    <w:rsid w:val="00C6226B"/>
    <w:rsid w:val="00C627C5"/>
    <w:rsid w:val="00C63D35"/>
    <w:rsid w:val="00C650E5"/>
    <w:rsid w:val="00C66157"/>
    <w:rsid w:val="00C66239"/>
    <w:rsid w:val="00C67595"/>
    <w:rsid w:val="00C71725"/>
    <w:rsid w:val="00C71A4D"/>
    <w:rsid w:val="00C721C5"/>
    <w:rsid w:val="00C82BAF"/>
    <w:rsid w:val="00C8418E"/>
    <w:rsid w:val="00C846E4"/>
    <w:rsid w:val="00C85A38"/>
    <w:rsid w:val="00C87956"/>
    <w:rsid w:val="00C87A29"/>
    <w:rsid w:val="00C92E6F"/>
    <w:rsid w:val="00C9352C"/>
    <w:rsid w:val="00C9392E"/>
    <w:rsid w:val="00C957C4"/>
    <w:rsid w:val="00C9681A"/>
    <w:rsid w:val="00CA10B2"/>
    <w:rsid w:val="00CA176C"/>
    <w:rsid w:val="00CA2349"/>
    <w:rsid w:val="00CA565D"/>
    <w:rsid w:val="00CA6182"/>
    <w:rsid w:val="00CA6562"/>
    <w:rsid w:val="00CA6DA4"/>
    <w:rsid w:val="00CA72C8"/>
    <w:rsid w:val="00CA7F7D"/>
    <w:rsid w:val="00CB2372"/>
    <w:rsid w:val="00CB4E36"/>
    <w:rsid w:val="00CB53E6"/>
    <w:rsid w:val="00CB5CCB"/>
    <w:rsid w:val="00CB7E8F"/>
    <w:rsid w:val="00CB7E91"/>
    <w:rsid w:val="00CC18C4"/>
    <w:rsid w:val="00CC22E0"/>
    <w:rsid w:val="00CC3953"/>
    <w:rsid w:val="00CC5225"/>
    <w:rsid w:val="00CC64BF"/>
    <w:rsid w:val="00CD02A4"/>
    <w:rsid w:val="00CD0C4B"/>
    <w:rsid w:val="00CD3ED4"/>
    <w:rsid w:val="00CD5FF8"/>
    <w:rsid w:val="00CD66BA"/>
    <w:rsid w:val="00CE5086"/>
    <w:rsid w:val="00CE6897"/>
    <w:rsid w:val="00CE7D0F"/>
    <w:rsid w:val="00CF015C"/>
    <w:rsid w:val="00CF2DD8"/>
    <w:rsid w:val="00CF3A39"/>
    <w:rsid w:val="00CF4102"/>
    <w:rsid w:val="00CF5271"/>
    <w:rsid w:val="00CF60DF"/>
    <w:rsid w:val="00CF7330"/>
    <w:rsid w:val="00D00C63"/>
    <w:rsid w:val="00D00D89"/>
    <w:rsid w:val="00D01597"/>
    <w:rsid w:val="00D03452"/>
    <w:rsid w:val="00D038FF"/>
    <w:rsid w:val="00D0461E"/>
    <w:rsid w:val="00D05B59"/>
    <w:rsid w:val="00D05DFB"/>
    <w:rsid w:val="00D07137"/>
    <w:rsid w:val="00D103FA"/>
    <w:rsid w:val="00D106A1"/>
    <w:rsid w:val="00D13462"/>
    <w:rsid w:val="00D13AAB"/>
    <w:rsid w:val="00D2112D"/>
    <w:rsid w:val="00D226F4"/>
    <w:rsid w:val="00D2420F"/>
    <w:rsid w:val="00D30299"/>
    <w:rsid w:val="00D332FF"/>
    <w:rsid w:val="00D33AE2"/>
    <w:rsid w:val="00D3688C"/>
    <w:rsid w:val="00D42405"/>
    <w:rsid w:val="00D50779"/>
    <w:rsid w:val="00D50E32"/>
    <w:rsid w:val="00D54711"/>
    <w:rsid w:val="00D54DA0"/>
    <w:rsid w:val="00D55D30"/>
    <w:rsid w:val="00D571CD"/>
    <w:rsid w:val="00D60630"/>
    <w:rsid w:val="00D62A83"/>
    <w:rsid w:val="00D63057"/>
    <w:rsid w:val="00D64D02"/>
    <w:rsid w:val="00D66965"/>
    <w:rsid w:val="00D7219E"/>
    <w:rsid w:val="00D74199"/>
    <w:rsid w:val="00D74CFA"/>
    <w:rsid w:val="00D778E1"/>
    <w:rsid w:val="00D80714"/>
    <w:rsid w:val="00D81FB2"/>
    <w:rsid w:val="00D8256F"/>
    <w:rsid w:val="00D82D04"/>
    <w:rsid w:val="00D873E2"/>
    <w:rsid w:val="00D87D38"/>
    <w:rsid w:val="00D91720"/>
    <w:rsid w:val="00D92085"/>
    <w:rsid w:val="00D929E6"/>
    <w:rsid w:val="00D935D8"/>
    <w:rsid w:val="00D9571A"/>
    <w:rsid w:val="00D96F65"/>
    <w:rsid w:val="00D973E5"/>
    <w:rsid w:val="00DA03C6"/>
    <w:rsid w:val="00DA0515"/>
    <w:rsid w:val="00DA353D"/>
    <w:rsid w:val="00DA42C2"/>
    <w:rsid w:val="00DA4A02"/>
    <w:rsid w:val="00DA4EAC"/>
    <w:rsid w:val="00DA6C88"/>
    <w:rsid w:val="00DA7B73"/>
    <w:rsid w:val="00DB04A9"/>
    <w:rsid w:val="00DB0AC0"/>
    <w:rsid w:val="00DB1E63"/>
    <w:rsid w:val="00DB1E70"/>
    <w:rsid w:val="00DB2945"/>
    <w:rsid w:val="00DB4774"/>
    <w:rsid w:val="00DB55CC"/>
    <w:rsid w:val="00DB6A84"/>
    <w:rsid w:val="00DC111A"/>
    <w:rsid w:val="00DC2972"/>
    <w:rsid w:val="00DC3F16"/>
    <w:rsid w:val="00DC451D"/>
    <w:rsid w:val="00DC4A76"/>
    <w:rsid w:val="00DC5A20"/>
    <w:rsid w:val="00DD0124"/>
    <w:rsid w:val="00DD4545"/>
    <w:rsid w:val="00DD5F33"/>
    <w:rsid w:val="00DE0CB5"/>
    <w:rsid w:val="00DE0EDB"/>
    <w:rsid w:val="00DE30CB"/>
    <w:rsid w:val="00DE4343"/>
    <w:rsid w:val="00DE4381"/>
    <w:rsid w:val="00DE45F3"/>
    <w:rsid w:val="00DE5A93"/>
    <w:rsid w:val="00DE5E12"/>
    <w:rsid w:val="00DE67E6"/>
    <w:rsid w:val="00DF01D2"/>
    <w:rsid w:val="00DF08EA"/>
    <w:rsid w:val="00DF33B8"/>
    <w:rsid w:val="00DF3C59"/>
    <w:rsid w:val="00DF5014"/>
    <w:rsid w:val="00DF5FCB"/>
    <w:rsid w:val="00DF712D"/>
    <w:rsid w:val="00E0052C"/>
    <w:rsid w:val="00E01B5E"/>
    <w:rsid w:val="00E034AD"/>
    <w:rsid w:val="00E0395C"/>
    <w:rsid w:val="00E05BAC"/>
    <w:rsid w:val="00E05FCF"/>
    <w:rsid w:val="00E0652C"/>
    <w:rsid w:val="00E075D7"/>
    <w:rsid w:val="00E100A9"/>
    <w:rsid w:val="00E113B0"/>
    <w:rsid w:val="00E12856"/>
    <w:rsid w:val="00E13251"/>
    <w:rsid w:val="00E15B0C"/>
    <w:rsid w:val="00E1680F"/>
    <w:rsid w:val="00E1793E"/>
    <w:rsid w:val="00E17FBC"/>
    <w:rsid w:val="00E20373"/>
    <w:rsid w:val="00E208D2"/>
    <w:rsid w:val="00E2153E"/>
    <w:rsid w:val="00E21DC0"/>
    <w:rsid w:val="00E22658"/>
    <w:rsid w:val="00E22A0C"/>
    <w:rsid w:val="00E22BFA"/>
    <w:rsid w:val="00E23B5D"/>
    <w:rsid w:val="00E24CC2"/>
    <w:rsid w:val="00E25A0A"/>
    <w:rsid w:val="00E25C4D"/>
    <w:rsid w:val="00E261D6"/>
    <w:rsid w:val="00E265E5"/>
    <w:rsid w:val="00E27F2E"/>
    <w:rsid w:val="00E3050A"/>
    <w:rsid w:val="00E30F57"/>
    <w:rsid w:val="00E3177A"/>
    <w:rsid w:val="00E31FCD"/>
    <w:rsid w:val="00E338D8"/>
    <w:rsid w:val="00E36C31"/>
    <w:rsid w:val="00E400E8"/>
    <w:rsid w:val="00E4066B"/>
    <w:rsid w:val="00E44BC2"/>
    <w:rsid w:val="00E512F7"/>
    <w:rsid w:val="00E52118"/>
    <w:rsid w:val="00E522DD"/>
    <w:rsid w:val="00E52A02"/>
    <w:rsid w:val="00E557A8"/>
    <w:rsid w:val="00E56253"/>
    <w:rsid w:val="00E57C9B"/>
    <w:rsid w:val="00E60766"/>
    <w:rsid w:val="00E60F8D"/>
    <w:rsid w:val="00E61986"/>
    <w:rsid w:val="00E61E99"/>
    <w:rsid w:val="00E62F03"/>
    <w:rsid w:val="00E67426"/>
    <w:rsid w:val="00E709CF"/>
    <w:rsid w:val="00E70C96"/>
    <w:rsid w:val="00E71EE4"/>
    <w:rsid w:val="00E72081"/>
    <w:rsid w:val="00E72531"/>
    <w:rsid w:val="00E75009"/>
    <w:rsid w:val="00E750DC"/>
    <w:rsid w:val="00E76D3C"/>
    <w:rsid w:val="00E90276"/>
    <w:rsid w:val="00E9266B"/>
    <w:rsid w:val="00E937A6"/>
    <w:rsid w:val="00E93EC4"/>
    <w:rsid w:val="00E94D1A"/>
    <w:rsid w:val="00E9507C"/>
    <w:rsid w:val="00E96630"/>
    <w:rsid w:val="00E97233"/>
    <w:rsid w:val="00EA153D"/>
    <w:rsid w:val="00EA3A74"/>
    <w:rsid w:val="00EA3C7B"/>
    <w:rsid w:val="00EA5935"/>
    <w:rsid w:val="00EA5AB9"/>
    <w:rsid w:val="00EA62A9"/>
    <w:rsid w:val="00EA6CF1"/>
    <w:rsid w:val="00EA6DE8"/>
    <w:rsid w:val="00EB0E1A"/>
    <w:rsid w:val="00EB0ED7"/>
    <w:rsid w:val="00EB2191"/>
    <w:rsid w:val="00EB21E9"/>
    <w:rsid w:val="00EB3481"/>
    <w:rsid w:val="00EB7535"/>
    <w:rsid w:val="00EB7821"/>
    <w:rsid w:val="00EC01E1"/>
    <w:rsid w:val="00EC0C69"/>
    <w:rsid w:val="00EC1595"/>
    <w:rsid w:val="00EC17E2"/>
    <w:rsid w:val="00EC2D81"/>
    <w:rsid w:val="00EC494D"/>
    <w:rsid w:val="00EC4EF0"/>
    <w:rsid w:val="00EC7258"/>
    <w:rsid w:val="00ED23E9"/>
    <w:rsid w:val="00ED3D81"/>
    <w:rsid w:val="00ED575B"/>
    <w:rsid w:val="00ED5D18"/>
    <w:rsid w:val="00EE0318"/>
    <w:rsid w:val="00EE39AF"/>
    <w:rsid w:val="00EE5D02"/>
    <w:rsid w:val="00EE6148"/>
    <w:rsid w:val="00EE7C33"/>
    <w:rsid w:val="00EF0196"/>
    <w:rsid w:val="00EF10FB"/>
    <w:rsid w:val="00EF1461"/>
    <w:rsid w:val="00EF592D"/>
    <w:rsid w:val="00EF5AB0"/>
    <w:rsid w:val="00EF7A1B"/>
    <w:rsid w:val="00EF7F66"/>
    <w:rsid w:val="00F01653"/>
    <w:rsid w:val="00F025D9"/>
    <w:rsid w:val="00F039DF"/>
    <w:rsid w:val="00F0446A"/>
    <w:rsid w:val="00F04C96"/>
    <w:rsid w:val="00F05CE4"/>
    <w:rsid w:val="00F062DC"/>
    <w:rsid w:val="00F07DCE"/>
    <w:rsid w:val="00F10A0B"/>
    <w:rsid w:val="00F156F5"/>
    <w:rsid w:val="00F157DC"/>
    <w:rsid w:val="00F171DA"/>
    <w:rsid w:val="00F178E2"/>
    <w:rsid w:val="00F2161B"/>
    <w:rsid w:val="00F33301"/>
    <w:rsid w:val="00F35EFB"/>
    <w:rsid w:val="00F40502"/>
    <w:rsid w:val="00F407E2"/>
    <w:rsid w:val="00F412C8"/>
    <w:rsid w:val="00F423FB"/>
    <w:rsid w:val="00F43063"/>
    <w:rsid w:val="00F4692D"/>
    <w:rsid w:val="00F50CE0"/>
    <w:rsid w:val="00F50D3D"/>
    <w:rsid w:val="00F57611"/>
    <w:rsid w:val="00F57E3E"/>
    <w:rsid w:val="00F62F2A"/>
    <w:rsid w:val="00F655EB"/>
    <w:rsid w:val="00F65C7B"/>
    <w:rsid w:val="00F65CEE"/>
    <w:rsid w:val="00F6741C"/>
    <w:rsid w:val="00F67CDA"/>
    <w:rsid w:val="00F70B80"/>
    <w:rsid w:val="00F71CF0"/>
    <w:rsid w:val="00F72B00"/>
    <w:rsid w:val="00F7338E"/>
    <w:rsid w:val="00F7751C"/>
    <w:rsid w:val="00F80206"/>
    <w:rsid w:val="00F8090C"/>
    <w:rsid w:val="00F822B6"/>
    <w:rsid w:val="00F82303"/>
    <w:rsid w:val="00F83868"/>
    <w:rsid w:val="00F84141"/>
    <w:rsid w:val="00F841EB"/>
    <w:rsid w:val="00F8625B"/>
    <w:rsid w:val="00F8691D"/>
    <w:rsid w:val="00F87077"/>
    <w:rsid w:val="00F877F9"/>
    <w:rsid w:val="00F9183B"/>
    <w:rsid w:val="00F91CCC"/>
    <w:rsid w:val="00F955E2"/>
    <w:rsid w:val="00FA3356"/>
    <w:rsid w:val="00FA3871"/>
    <w:rsid w:val="00FA557C"/>
    <w:rsid w:val="00FA6C39"/>
    <w:rsid w:val="00FA76AF"/>
    <w:rsid w:val="00FB0227"/>
    <w:rsid w:val="00FB10C9"/>
    <w:rsid w:val="00FB19B7"/>
    <w:rsid w:val="00FB1C2D"/>
    <w:rsid w:val="00FB2394"/>
    <w:rsid w:val="00FB31DF"/>
    <w:rsid w:val="00FB67F8"/>
    <w:rsid w:val="00FB6E81"/>
    <w:rsid w:val="00FB7E51"/>
    <w:rsid w:val="00FC1D84"/>
    <w:rsid w:val="00FC47EA"/>
    <w:rsid w:val="00FC51E7"/>
    <w:rsid w:val="00FC6601"/>
    <w:rsid w:val="00FD2BE4"/>
    <w:rsid w:val="00FD2FC9"/>
    <w:rsid w:val="00FD3666"/>
    <w:rsid w:val="00FD5FB9"/>
    <w:rsid w:val="00FD68F7"/>
    <w:rsid w:val="00FD764A"/>
    <w:rsid w:val="00FE01C3"/>
    <w:rsid w:val="00FE0824"/>
    <w:rsid w:val="00FE2B21"/>
    <w:rsid w:val="00FE3694"/>
    <w:rsid w:val="00FE3831"/>
    <w:rsid w:val="00FE4470"/>
    <w:rsid w:val="00FE4942"/>
    <w:rsid w:val="00FE5501"/>
    <w:rsid w:val="00FE6672"/>
    <w:rsid w:val="00FF1BB3"/>
    <w:rsid w:val="00FF1EA7"/>
    <w:rsid w:val="00FF3EFC"/>
    <w:rsid w:val="00FF564A"/>
    <w:rsid w:val="00FF5E4E"/>
    <w:rsid w:val="00FF5E57"/>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numbering" w:customStyle="1" w:styleId="LFO11">
    <w:name w:val="LFO11"/>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numbering" w:customStyle="1" w:styleId="LFO11">
    <w:name w:val="LFO1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325">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1014763473">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40892969">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053AFA23808344F9BB485D01A2ADACD" ma:contentTypeVersion="0" ma:contentTypeDescription="A content type to manage public (operations) IDB documents" ma:contentTypeScope="" ma:versionID="5c82c3a357e79b008714e9b05d6ef674">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39611494</IDBDocs_x0020_Number>
    <Document_x0020_Author xmlns="9c571b2f-e523-4ab2-ba2e-09e151a03ef4">Arisi, Diego</Document_x0020_Author>
    <Publication_x0020_Type xmlns="9c571b2f-e523-4ab2-ba2e-09e151a03ef4" xsi:nil="true"/>
    <Operation_x0020_Type xmlns="9c571b2f-e523-4ab2-ba2e-09e151a03ef4" xsi:nil="true"/>
    <TaxCatchAll xmlns="9c571b2f-e523-4ab2-ba2e-09e151a03ef4">
      <Value>2</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CO-L1154</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AF1A5BBB-B2E7-47EF-B4A3-8CDAD3475C83}"/>
</file>

<file path=customXml/itemProps2.xml><?xml version="1.0" encoding="utf-8"?>
<ds:datastoreItem xmlns:ds="http://schemas.openxmlformats.org/officeDocument/2006/customXml" ds:itemID="{F4A3106E-6EAD-4CBE-915E-D9F0E6B412B5}"/>
</file>

<file path=customXml/itemProps3.xml><?xml version="1.0" encoding="utf-8"?>
<ds:datastoreItem xmlns:ds="http://schemas.openxmlformats.org/officeDocument/2006/customXml" ds:itemID="{68925A20-7C9D-4D1B-BCFD-27DDB8E05DF0}"/>
</file>

<file path=customXml/itemProps4.xml><?xml version="1.0" encoding="utf-8"?>
<ds:datastoreItem xmlns:ds="http://schemas.openxmlformats.org/officeDocument/2006/customXml" ds:itemID="{AF797294-6C02-4F1E-81A3-8EA3A6EE3C96}"/>
</file>

<file path=customXml/itemProps5.xml><?xml version="1.0" encoding="utf-8"?>
<ds:datastoreItem xmlns:ds="http://schemas.openxmlformats.org/officeDocument/2006/customXml" ds:itemID="{5F8257C3-E4C5-4F7D-81DE-2F2FDE47DC35}"/>
</file>

<file path=customXml/itemProps6.xml><?xml version="1.0" encoding="utf-8"?>
<ds:datastoreItem xmlns:ds="http://schemas.openxmlformats.org/officeDocument/2006/customXml" ds:itemID="{BE9DD3D3-F3D7-4B71-BB38-E4EF44C8C7C4}"/>
</file>

<file path=customXml/itemProps7.xml><?xml version="1.0" encoding="utf-8"?>
<ds:datastoreItem xmlns:ds="http://schemas.openxmlformats.org/officeDocument/2006/customXml" ds:itemID="{760BFC00-11C7-4E0D-9E7B-240CD62C792A}"/>
</file>

<file path=docProps/app.xml><?xml version="1.0" encoding="utf-8"?>
<Properties xmlns="http://schemas.openxmlformats.org/officeDocument/2006/extended-properties" xmlns:vt="http://schemas.openxmlformats.org/officeDocument/2006/docPropsVTypes">
  <Template>Normal.dotm</Template>
  <TotalTime>37</TotalTime>
  <Pages>7</Pages>
  <Words>2264</Words>
  <Characters>12906</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1_a_ Análisis del Costo del Programa versión word</dc:title>
  <dc:creator>Gibbons</dc:creator>
  <cp:lastModifiedBy>IADB</cp:lastModifiedBy>
  <cp:revision>13</cp:revision>
  <cp:lastPrinted>2012-04-19T20:57:00Z</cp:lastPrinted>
  <dcterms:created xsi:type="dcterms:W3CDTF">2015-06-17T19:38:00Z</dcterms:created>
  <dcterms:modified xsi:type="dcterms:W3CDTF">2015-10-27T00:18:00Z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0x01010046CF21643EE8D14686A648AA6DAD0892003053AFA23808344F9BB485D01A2ADACD</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2;#Monitoring and Reporting|df3c2aa1-d63e-41aa-b1f5-bb15dee691ca</vt:lpwstr>
  </property>
</Properties>
</file>