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6.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5.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62C" w:rsidRPr="00600ED9" w:rsidRDefault="00B8062C" w:rsidP="00752C48">
      <w:pPr>
        <w:spacing w:line="240" w:lineRule="auto"/>
      </w:pPr>
    </w:p>
    <w:sdt>
      <w:sdtPr>
        <w:rPr>
          <w:rFonts w:asciiTheme="majorHAnsi" w:eastAsiaTheme="majorEastAsia" w:hAnsiTheme="majorHAnsi" w:cstheme="majorBidi"/>
          <w:caps/>
          <w:color w:val="17365D" w:themeColor="text2" w:themeShade="BF"/>
          <w:spacing w:val="5"/>
          <w:kern w:val="28"/>
          <w:sz w:val="52"/>
          <w:szCs w:val="52"/>
          <w:lang w:val="es-ES_tradnl"/>
        </w:rPr>
        <w:id w:val="21694392"/>
        <w:docPartObj>
          <w:docPartGallery w:val="Cover Pages"/>
          <w:docPartUnique/>
        </w:docPartObj>
      </w:sdtPr>
      <w:sdtEndPr>
        <w:rPr>
          <w:rFonts w:asciiTheme="minorHAnsi" w:eastAsia="Tahoma" w:hAnsiTheme="minorHAnsi"/>
          <w:caps w:val="0"/>
          <w:color w:val="365F91" w:themeColor="accent1" w:themeShade="BF"/>
          <w:spacing w:val="-3"/>
        </w:rPr>
      </w:sdtEndPr>
      <w:sdtContent>
        <w:tbl>
          <w:tblPr>
            <w:tblW w:w="5000" w:type="pct"/>
            <w:jc w:val="center"/>
            <w:tblLook w:val="04A0" w:firstRow="1" w:lastRow="0" w:firstColumn="1" w:lastColumn="0" w:noHBand="0" w:noVBand="1"/>
          </w:tblPr>
          <w:tblGrid>
            <w:gridCol w:w="10190"/>
          </w:tblGrid>
          <w:tr w:rsidR="005B3B80" w:rsidRPr="00600ED9">
            <w:trPr>
              <w:trHeight w:val="2880"/>
              <w:jc w:val="center"/>
            </w:trPr>
            <w:tc>
              <w:tcPr>
                <w:tcW w:w="5000" w:type="pct"/>
              </w:tcPr>
              <w:p w:rsidR="005B3B80" w:rsidRPr="00600ED9" w:rsidRDefault="005B3B80" w:rsidP="00752C48">
                <w:pPr>
                  <w:pStyle w:val="NoSpacing"/>
                  <w:tabs>
                    <w:tab w:val="center" w:pos="4680"/>
                    <w:tab w:val="right" w:pos="9360"/>
                  </w:tabs>
                  <w:spacing w:before="100" w:beforeAutospacing="1" w:afterAutospacing="1"/>
                  <w:jc w:val="center"/>
                  <w:rPr>
                    <w:rFonts w:eastAsiaTheme="majorEastAsia" w:cstheme="majorBidi"/>
                    <w:caps/>
                    <w:lang w:val="es-ES_tradnl"/>
                  </w:rPr>
                </w:pPr>
              </w:p>
              <w:p w:rsidR="00B8062C" w:rsidRPr="00600ED9" w:rsidRDefault="00B8062C" w:rsidP="00752C48">
                <w:pPr>
                  <w:pStyle w:val="NoSpacing"/>
                  <w:jc w:val="center"/>
                  <w:rPr>
                    <w:rFonts w:eastAsiaTheme="majorEastAsia" w:cstheme="majorBidi"/>
                    <w:caps/>
                    <w:lang w:val="es-ES_tradnl"/>
                  </w:rPr>
                </w:pPr>
              </w:p>
              <w:p w:rsidR="007F27D4" w:rsidRPr="00600ED9" w:rsidRDefault="007F27D4" w:rsidP="00752C48">
                <w:pPr>
                  <w:pStyle w:val="NoSpacing"/>
                  <w:jc w:val="center"/>
                  <w:rPr>
                    <w:rFonts w:eastAsiaTheme="majorEastAsia" w:cstheme="majorBidi"/>
                    <w:caps/>
                    <w:lang w:val="es-ES_tradnl"/>
                  </w:rPr>
                </w:pPr>
              </w:p>
              <w:p w:rsidR="000A22AE" w:rsidRPr="00600ED9" w:rsidRDefault="000A22AE" w:rsidP="00752C48">
                <w:pPr>
                  <w:pStyle w:val="NoSpacing"/>
                  <w:jc w:val="center"/>
                  <w:rPr>
                    <w:rFonts w:eastAsiaTheme="majorEastAsia" w:cstheme="majorBidi"/>
                    <w:caps/>
                    <w:lang w:val="es-ES_tradnl"/>
                  </w:rPr>
                </w:pPr>
              </w:p>
              <w:p w:rsidR="007F27D4" w:rsidRPr="00600ED9" w:rsidRDefault="00233205" w:rsidP="00752C48">
                <w:pPr>
                  <w:pStyle w:val="NoSpacing"/>
                  <w:jc w:val="center"/>
                  <w:rPr>
                    <w:rFonts w:ascii="Century Gothic" w:hAnsi="Century Gothic"/>
                    <w:sz w:val="56"/>
                    <w:lang w:val="es-ES_tradnl"/>
                  </w:rPr>
                </w:pPr>
                <w:sdt>
                  <w:sdtPr>
                    <w:rPr>
                      <w:rFonts w:ascii="Century Gothic" w:eastAsiaTheme="majorEastAsia" w:hAnsi="Century Gothic" w:cstheme="majorBidi"/>
                      <w:sz w:val="56"/>
                      <w:szCs w:val="44"/>
                      <w:lang w:val="es-ES_tradnl"/>
                    </w:rPr>
                    <w:alias w:val="Subtitle"/>
                    <w:id w:val="-1728069151"/>
                    <w:dataBinding w:prefixMappings="xmlns:ns0='http://schemas.openxmlformats.org/package/2006/metadata/core-properties' xmlns:ns1='http://purl.org/dc/elements/1.1/'" w:xpath="/ns0:coreProperties[1]/ns1:subject[1]" w:storeItemID="{6C3C8BC8-F283-45AE-878A-BAB7291924A1}"/>
                    <w:text/>
                  </w:sdtPr>
                  <w:sdtEndPr>
                    <w:rPr>
                      <w:rFonts w:eastAsiaTheme="minorEastAsia" w:cstheme="minorBidi"/>
                      <w:szCs w:val="22"/>
                    </w:rPr>
                  </w:sdtEndPr>
                  <w:sdtContent>
                    <w:r w:rsidR="000A22AE" w:rsidRPr="00600ED9">
                      <w:rPr>
                        <w:rFonts w:ascii="Century Gothic" w:eastAsiaTheme="majorEastAsia" w:hAnsi="Century Gothic" w:cstheme="majorBidi"/>
                        <w:sz w:val="56"/>
                        <w:szCs w:val="44"/>
                        <w:lang w:val="es-ES_tradnl"/>
                      </w:rPr>
                      <w:t>Contraloría General de la República de Colombia</w:t>
                    </w:r>
                  </w:sdtContent>
                </w:sdt>
              </w:p>
              <w:p w:rsidR="000A22AE" w:rsidRPr="00600ED9" w:rsidRDefault="000A22AE" w:rsidP="00752C48">
                <w:pPr>
                  <w:pStyle w:val="NoSpacing"/>
                  <w:jc w:val="center"/>
                  <w:rPr>
                    <w:rFonts w:ascii="Century Gothic" w:hAnsi="Century Gothic"/>
                    <w:sz w:val="48"/>
                    <w:lang w:val="es-ES_tradnl"/>
                  </w:rPr>
                </w:pPr>
              </w:p>
              <w:p w:rsidR="000A22AE" w:rsidRPr="00600ED9" w:rsidRDefault="000A22AE" w:rsidP="00752C48">
                <w:pPr>
                  <w:pStyle w:val="NoSpacing"/>
                  <w:jc w:val="center"/>
                  <w:rPr>
                    <w:rFonts w:ascii="Century Gothic" w:hAnsi="Century Gothic"/>
                    <w:sz w:val="48"/>
                    <w:lang w:val="es-ES_tradnl"/>
                  </w:rPr>
                </w:pPr>
              </w:p>
              <w:p w:rsidR="000A22AE" w:rsidRPr="00600ED9" w:rsidRDefault="00D66C2A" w:rsidP="00752C48">
                <w:pPr>
                  <w:spacing w:line="240" w:lineRule="auto"/>
                  <w:jc w:val="center"/>
                  <w:rPr>
                    <w:rFonts w:cs="Times New Roman"/>
                    <w:sz w:val="56"/>
                    <w:szCs w:val="72"/>
                  </w:rPr>
                </w:pPr>
                <w:r w:rsidRPr="00600ED9">
                  <w:rPr>
                    <w:rFonts w:cs="Times New Roman"/>
                    <w:sz w:val="56"/>
                    <w:szCs w:val="72"/>
                  </w:rPr>
                  <w:t xml:space="preserve">Informe Diagnóstico </w:t>
                </w:r>
                <w:r w:rsidR="000A22AE" w:rsidRPr="00600ED9">
                  <w:rPr>
                    <w:rFonts w:cs="Times New Roman"/>
                    <w:sz w:val="56"/>
                    <w:szCs w:val="72"/>
                  </w:rPr>
                  <w:t>del Desempeño</w:t>
                </w:r>
              </w:p>
              <w:p w:rsidR="000A22AE" w:rsidRPr="00600ED9" w:rsidRDefault="000A22AE" w:rsidP="00752C48">
                <w:pPr>
                  <w:spacing w:line="240" w:lineRule="auto"/>
                  <w:jc w:val="center"/>
                  <w:rPr>
                    <w:rFonts w:cs="Times New Roman"/>
                    <w:b/>
                    <w:sz w:val="36"/>
                    <w:szCs w:val="36"/>
                  </w:rPr>
                </w:pPr>
                <w:r w:rsidRPr="00600ED9">
                  <w:rPr>
                    <w:rFonts w:cs="Times New Roman"/>
                    <w:b/>
                    <w:sz w:val="36"/>
                    <w:szCs w:val="36"/>
                  </w:rPr>
                  <w:t xml:space="preserve">Basado en </w:t>
                </w:r>
                <w:r w:rsidR="0038118C" w:rsidRPr="00600ED9">
                  <w:rPr>
                    <w:rFonts w:cs="Times New Roman"/>
                    <w:b/>
                    <w:sz w:val="36"/>
                    <w:szCs w:val="36"/>
                  </w:rPr>
                  <w:t>la</w:t>
                </w:r>
                <w:r w:rsidRPr="00600ED9">
                  <w:rPr>
                    <w:rFonts w:cs="Times New Roman"/>
                    <w:b/>
                    <w:sz w:val="36"/>
                    <w:szCs w:val="36"/>
                  </w:rPr>
                  <w:t xml:space="preserve"> Metodología del Marco de Medición del Desempeño de las Entidades Fiscalizad</w:t>
                </w:r>
                <w:r w:rsidR="00B42282" w:rsidRPr="00600ED9">
                  <w:rPr>
                    <w:rFonts w:cs="Times New Roman"/>
                    <w:b/>
                    <w:sz w:val="36"/>
                    <w:szCs w:val="36"/>
                  </w:rPr>
                  <w:t xml:space="preserve">oras Superiores de INTOSAI (MMD </w:t>
                </w:r>
                <w:r w:rsidRPr="00600ED9">
                  <w:rPr>
                    <w:rFonts w:cs="Times New Roman"/>
                    <w:b/>
                    <w:sz w:val="36"/>
                    <w:szCs w:val="36"/>
                  </w:rPr>
                  <w:t>EFS)</w:t>
                </w:r>
              </w:p>
              <w:p w:rsidR="000A22AE" w:rsidRPr="00600ED9" w:rsidRDefault="000A22AE" w:rsidP="00752C48">
                <w:pPr>
                  <w:pStyle w:val="NoSpacing"/>
                  <w:jc w:val="center"/>
                  <w:rPr>
                    <w:rFonts w:ascii="Century Gothic" w:hAnsi="Century Gothic"/>
                    <w:sz w:val="52"/>
                    <w:lang w:val="es-ES_tradnl"/>
                  </w:rPr>
                </w:pPr>
              </w:p>
              <w:p w:rsidR="00D66C2A" w:rsidRPr="00600ED9" w:rsidRDefault="00D66C2A" w:rsidP="00752C48">
                <w:pPr>
                  <w:pStyle w:val="NoSpacing"/>
                  <w:jc w:val="center"/>
                  <w:rPr>
                    <w:rFonts w:ascii="Century Gothic" w:hAnsi="Century Gothic"/>
                    <w:sz w:val="52"/>
                    <w:lang w:val="es-ES_tradnl"/>
                  </w:rPr>
                </w:pPr>
              </w:p>
              <w:p w:rsidR="00D66C2A" w:rsidRPr="00600ED9" w:rsidRDefault="00D66C2A" w:rsidP="00752C48">
                <w:pPr>
                  <w:pStyle w:val="NoSpacing"/>
                  <w:jc w:val="center"/>
                  <w:rPr>
                    <w:rFonts w:ascii="Century Gothic" w:hAnsi="Century Gothic"/>
                    <w:sz w:val="52"/>
                    <w:lang w:val="es-ES_tradnl"/>
                  </w:rPr>
                </w:pPr>
              </w:p>
              <w:p w:rsidR="000A22AE" w:rsidRPr="00600ED9" w:rsidRDefault="000A22AE" w:rsidP="00752C48">
                <w:pPr>
                  <w:pStyle w:val="NoSpacing"/>
                  <w:jc w:val="center"/>
                  <w:rPr>
                    <w:rFonts w:eastAsiaTheme="majorEastAsia" w:cstheme="majorBidi"/>
                    <w:caps/>
                    <w:lang w:val="es-ES_tradnl"/>
                  </w:rPr>
                </w:pPr>
              </w:p>
              <w:p w:rsidR="007F27D4" w:rsidRPr="00600ED9" w:rsidRDefault="00FF548F" w:rsidP="00752C48">
                <w:pPr>
                  <w:pStyle w:val="NoSpacing"/>
                  <w:jc w:val="center"/>
                  <w:rPr>
                    <w:rFonts w:eastAsiaTheme="majorEastAsia" w:cstheme="majorBidi"/>
                    <w:caps/>
                    <w:lang w:val="es-ES_tradnl"/>
                  </w:rPr>
                </w:pPr>
                <w:r w:rsidRPr="00600ED9">
                  <w:rPr>
                    <w:noProof/>
                  </w:rPr>
                  <w:drawing>
                    <wp:inline distT="0" distB="0" distL="0" distR="0" wp14:anchorId="72F9C61C" wp14:editId="7332241E">
                      <wp:extent cx="3729990" cy="746687"/>
                      <wp:effectExtent l="0" t="0" r="3810" b="0"/>
                      <wp:docPr id="4" name="Imagen 4" descr="\\localhost\Users\ulisesg\Library\Caches\IDBLogo_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calhost\Users\ulisesg\Library\Caches\IDBLogo_es.gif"/>
                              <pic:cNvPicPr>
                                <a:picLocks noChangeAspect="1" noChangeArrowheads="1"/>
                              </pic:cNvPicPr>
                            </pic:nvPicPr>
                            <pic:blipFill rotWithShape="1">
                              <a:blip r:embed="rId10">
                                <a:extLst>
                                  <a:ext uri="{28A0092B-C50C-407E-A947-70E740481C1C}">
                                    <a14:useLocalDpi xmlns:a14="http://schemas.microsoft.com/office/drawing/2010/main" val="0"/>
                                  </a:ext>
                                </a:extLst>
                              </a:blip>
                              <a:srcRect r="13900"/>
                              <a:stretch/>
                            </pic:blipFill>
                            <pic:spPr bwMode="auto">
                              <a:xfrm>
                                <a:off x="0" y="0"/>
                                <a:ext cx="3760134" cy="752721"/>
                              </a:xfrm>
                              <a:prstGeom prst="rect">
                                <a:avLst/>
                              </a:prstGeom>
                              <a:noFill/>
                              <a:ln>
                                <a:noFill/>
                              </a:ln>
                              <a:extLst>
                                <a:ext uri="{53640926-AAD7-44D8-BBD7-CCE9431645EC}">
                                  <a14:shadowObscured xmlns:a14="http://schemas.microsoft.com/office/drawing/2010/main"/>
                                </a:ext>
                              </a:extLst>
                            </pic:spPr>
                          </pic:pic>
                        </a:graphicData>
                      </a:graphic>
                    </wp:inline>
                  </w:drawing>
                </w:r>
              </w:p>
              <w:p w:rsidR="007F27D4" w:rsidRPr="00600ED9" w:rsidRDefault="007F27D4" w:rsidP="00401E0B">
                <w:pPr>
                  <w:pStyle w:val="NoSpacing"/>
                  <w:jc w:val="center"/>
                  <w:rPr>
                    <w:rFonts w:eastAsiaTheme="majorEastAsia" w:cstheme="majorBidi"/>
                    <w:caps/>
                    <w:lang w:val="es-ES_tradnl"/>
                  </w:rPr>
                </w:pPr>
              </w:p>
              <w:p w:rsidR="007F27D4" w:rsidRPr="00600ED9" w:rsidRDefault="000A22AE" w:rsidP="00BC1EC9">
                <w:pPr>
                  <w:pStyle w:val="NoSpacing"/>
                  <w:jc w:val="center"/>
                  <w:rPr>
                    <w:rFonts w:eastAsiaTheme="majorEastAsia" w:cstheme="majorBidi"/>
                    <w:caps/>
                    <w:lang w:val="es-ES_tradnl"/>
                  </w:rPr>
                </w:pPr>
                <w:r w:rsidRPr="00600ED9">
                  <w:rPr>
                    <w:rFonts w:cs="Times New Roman"/>
                    <w:b/>
                    <w:lang w:val="es-ES_tradnl"/>
                  </w:rPr>
                  <w:t>Documento del Banco Interamericano de Desarrollo</w:t>
                </w:r>
              </w:p>
              <w:p w:rsidR="00651F6F" w:rsidRPr="00600ED9" w:rsidRDefault="00651F6F" w:rsidP="00DD26FA">
                <w:pPr>
                  <w:pStyle w:val="NoSpacing"/>
                  <w:jc w:val="center"/>
                  <w:rPr>
                    <w:rFonts w:eastAsiaTheme="majorEastAsia" w:cstheme="majorBidi"/>
                    <w:b/>
                    <w:caps/>
                    <w:lang w:val="es-ES_tradnl"/>
                  </w:rPr>
                </w:pPr>
              </w:p>
              <w:p w:rsidR="00651F6F" w:rsidRPr="00600ED9" w:rsidRDefault="00651F6F" w:rsidP="001C7BF6">
                <w:pPr>
                  <w:pStyle w:val="NoSpacing"/>
                  <w:jc w:val="center"/>
                  <w:rPr>
                    <w:rFonts w:eastAsiaTheme="majorEastAsia" w:cstheme="majorBidi"/>
                    <w:b/>
                    <w:caps/>
                    <w:lang w:val="es-ES_tradnl"/>
                  </w:rPr>
                </w:pPr>
              </w:p>
              <w:p w:rsidR="00D66C2A" w:rsidRPr="00600ED9" w:rsidRDefault="00D66C2A" w:rsidP="003C6AB2">
                <w:pPr>
                  <w:pStyle w:val="NoSpacing"/>
                  <w:jc w:val="center"/>
                  <w:rPr>
                    <w:rFonts w:eastAsiaTheme="majorEastAsia" w:cstheme="majorBidi"/>
                    <w:b/>
                    <w:caps/>
                    <w:lang w:val="es-ES_tradnl"/>
                  </w:rPr>
                </w:pPr>
              </w:p>
              <w:p w:rsidR="00D66C2A" w:rsidRPr="00600ED9" w:rsidRDefault="00D66C2A" w:rsidP="003409DE">
                <w:pPr>
                  <w:pStyle w:val="NoSpacing"/>
                  <w:jc w:val="center"/>
                  <w:rPr>
                    <w:rFonts w:eastAsiaTheme="majorEastAsia" w:cstheme="majorBidi"/>
                    <w:b/>
                    <w:caps/>
                    <w:lang w:val="es-ES_tradnl"/>
                  </w:rPr>
                </w:pPr>
              </w:p>
              <w:p w:rsidR="00D66C2A" w:rsidRPr="00600ED9" w:rsidRDefault="00D66C2A" w:rsidP="003409DE">
                <w:pPr>
                  <w:pStyle w:val="NoSpacing"/>
                  <w:jc w:val="center"/>
                  <w:rPr>
                    <w:rFonts w:eastAsiaTheme="majorEastAsia" w:cstheme="majorBidi"/>
                    <w:b/>
                    <w:caps/>
                    <w:lang w:val="es-ES_tradnl"/>
                  </w:rPr>
                </w:pPr>
              </w:p>
              <w:p w:rsidR="00B8062C" w:rsidRPr="00600ED9" w:rsidRDefault="0038118C" w:rsidP="003409DE">
                <w:pPr>
                  <w:pStyle w:val="NoSpacing"/>
                  <w:jc w:val="center"/>
                  <w:rPr>
                    <w:rFonts w:eastAsiaTheme="majorEastAsia" w:cstheme="majorBidi"/>
                    <w:b/>
                    <w:caps/>
                    <w:sz w:val="28"/>
                    <w:lang w:val="es-ES_tradnl"/>
                  </w:rPr>
                </w:pPr>
                <w:r w:rsidRPr="00600ED9">
                  <w:rPr>
                    <w:rFonts w:eastAsiaTheme="majorEastAsia" w:cstheme="majorBidi"/>
                    <w:b/>
                    <w:sz w:val="28"/>
                    <w:lang w:val="es-ES_tradnl"/>
                  </w:rPr>
                  <w:t xml:space="preserve">Mayo </w:t>
                </w:r>
                <w:r w:rsidR="004A77E3" w:rsidRPr="00600ED9">
                  <w:rPr>
                    <w:rFonts w:eastAsiaTheme="majorEastAsia" w:cstheme="majorBidi"/>
                    <w:b/>
                    <w:sz w:val="28"/>
                    <w:lang w:val="es-ES_tradnl"/>
                  </w:rPr>
                  <w:t>de 2015</w:t>
                </w:r>
              </w:p>
            </w:tc>
          </w:tr>
        </w:tbl>
        <w:p w:rsidR="005E54E6" w:rsidRPr="00600ED9" w:rsidRDefault="005E54E6" w:rsidP="00401E0B">
          <w:pPr>
            <w:spacing w:line="240" w:lineRule="auto"/>
            <w:jc w:val="center"/>
            <w:rPr>
              <w:rFonts w:cs="Times New Roman"/>
              <w:b/>
            </w:rPr>
          </w:pPr>
        </w:p>
        <w:p w:rsidR="00F55ACD" w:rsidRPr="00600ED9" w:rsidRDefault="00F55ACD" w:rsidP="00BC1EC9">
          <w:pPr>
            <w:spacing w:line="240" w:lineRule="auto"/>
            <w:jc w:val="center"/>
            <w:rPr>
              <w:rFonts w:cs="Times New Roman"/>
              <w:b/>
            </w:rPr>
          </w:pPr>
        </w:p>
        <w:p w:rsidR="00B43CFD" w:rsidRPr="00600ED9" w:rsidRDefault="00B43CFD" w:rsidP="00BC1EC9">
          <w:pPr>
            <w:spacing w:line="240" w:lineRule="auto"/>
            <w:rPr>
              <w:rFonts w:cs="Times New Roman"/>
              <w:b/>
            </w:rPr>
          </w:pPr>
        </w:p>
        <w:p w:rsidR="00E550D2" w:rsidRPr="00600ED9" w:rsidRDefault="00E550D2" w:rsidP="00E550D2">
          <w:pPr>
            <w:tabs>
              <w:tab w:val="left" w:pos="4937"/>
            </w:tabs>
            <w:spacing w:line="240" w:lineRule="auto"/>
            <w:jc w:val="both"/>
          </w:pPr>
          <w:r w:rsidRPr="00600ED9">
            <w:lastRenderedPageBreak/>
            <w:tab/>
          </w:r>
        </w:p>
        <w:p w:rsidR="00E550D2" w:rsidRPr="00600ED9" w:rsidRDefault="00E550D2" w:rsidP="00E550D2">
          <w:pPr>
            <w:spacing w:line="240" w:lineRule="auto"/>
            <w:ind w:left="454" w:right="454"/>
            <w:jc w:val="both"/>
            <w:rPr>
              <w:rFonts w:cs="Arial"/>
            </w:rPr>
          </w:pPr>
        </w:p>
        <w:p w:rsidR="00E550D2" w:rsidRPr="00600ED9" w:rsidRDefault="00E550D2" w:rsidP="00E550D2">
          <w:pPr>
            <w:spacing w:line="240" w:lineRule="auto"/>
            <w:ind w:left="454" w:right="454"/>
            <w:jc w:val="both"/>
            <w:rPr>
              <w:rFonts w:cs="Arial"/>
            </w:rPr>
          </w:pPr>
        </w:p>
        <w:p w:rsidR="00E550D2" w:rsidRPr="00600ED9" w:rsidRDefault="00E550D2" w:rsidP="00E550D2">
          <w:pPr>
            <w:spacing w:line="240" w:lineRule="auto"/>
            <w:ind w:left="454" w:right="454"/>
            <w:jc w:val="both"/>
            <w:rPr>
              <w:rFonts w:cs="Arial"/>
            </w:rPr>
          </w:pPr>
        </w:p>
        <w:p w:rsidR="00E550D2" w:rsidRPr="00600ED9" w:rsidRDefault="00E550D2" w:rsidP="00E550D2">
          <w:pPr>
            <w:spacing w:line="240" w:lineRule="auto"/>
            <w:ind w:left="454" w:right="454"/>
            <w:jc w:val="both"/>
            <w:rPr>
              <w:rFonts w:cs="Arial"/>
            </w:rPr>
          </w:pPr>
        </w:p>
        <w:p w:rsidR="00E550D2" w:rsidRPr="00600ED9" w:rsidRDefault="00E550D2" w:rsidP="00E550D2">
          <w:pPr>
            <w:spacing w:line="240" w:lineRule="auto"/>
            <w:ind w:left="454" w:right="454"/>
            <w:jc w:val="both"/>
            <w:rPr>
              <w:rFonts w:cs="Arial"/>
            </w:rPr>
          </w:pPr>
        </w:p>
        <w:p w:rsidR="00E550D2" w:rsidRPr="00600ED9" w:rsidRDefault="00E550D2" w:rsidP="00E550D2">
          <w:pPr>
            <w:spacing w:line="240" w:lineRule="auto"/>
            <w:ind w:left="454" w:right="454"/>
            <w:jc w:val="both"/>
            <w:rPr>
              <w:rFonts w:cs="Arial"/>
            </w:rPr>
          </w:pPr>
        </w:p>
        <w:p w:rsidR="00E550D2" w:rsidRPr="00600ED9" w:rsidRDefault="00E550D2" w:rsidP="00E550D2">
          <w:pPr>
            <w:spacing w:line="240" w:lineRule="auto"/>
            <w:ind w:left="454" w:right="454"/>
            <w:jc w:val="both"/>
            <w:rPr>
              <w:rFonts w:cs="Arial"/>
            </w:rPr>
          </w:pPr>
        </w:p>
        <w:p w:rsidR="00E550D2" w:rsidRPr="00600ED9" w:rsidRDefault="00E550D2" w:rsidP="00E550D2">
          <w:pPr>
            <w:spacing w:line="240" w:lineRule="auto"/>
            <w:ind w:left="454" w:right="454"/>
            <w:jc w:val="both"/>
            <w:rPr>
              <w:rFonts w:cs="Arial"/>
            </w:rPr>
          </w:pPr>
        </w:p>
        <w:p w:rsidR="00E550D2" w:rsidRPr="00600ED9" w:rsidRDefault="00E550D2" w:rsidP="00E550D2">
          <w:pPr>
            <w:spacing w:line="240" w:lineRule="auto"/>
            <w:ind w:left="454" w:right="454"/>
            <w:jc w:val="both"/>
            <w:rPr>
              <w:rFonts w:cs="Arial"/>
            </w:rPr>
          </w:pPr>
        </w:p>
        <w:p w:rsidR="00E550D2" w:rsidRPr="00600ED9" w:rsidRDefault="00E550D2" w:rsidP="00E550D2">
          <w:pPr>
            <w:spacing w:line="240" w:lineRule="auto"/>
            <w:ind w:left="454" w:right="454"/>
            <w:jc w:val="both"/>
            <w:rPr>
              <w:rFonts w:cs="Arial"/>
            </w:rPr>
          </w:pPr>
        </w:p>
        <w:p w:rsidR="00E550D2" w:rsidRPr="00600ED9" w:rsidRDefault="00E550D2" w:rsidP="00E550D2">
          <w:pPr>
            <w:spacing w:line="240" w:lineRule="auto"/>
            <w:ind w:left="454" w:right="454"/>
            <w:jc w:val="both"/>
            <w:rPr>
              <w:rFonts w:cs="Arial"/>
            </w:rPr>
          </w:pPr>
        </w:p>
        <w:p w:rsidR="00E550D2" w:rsidRPr="00600ED9" w:rsidRDefault="00E550D2" w:rsidP="00E550D2">
          <w:pPr>
            <w:spacing w:line="240" w:lineRule="auto"/>
            <w:ind w:left="454" w:right="454"/>
            <w:jc w:val="both"/>
            <w:rPr>
              <w:rFonts w:cs="Arial"/>
            </w:rPr>
          </w:pPr>
        </w:p>
        <w:p w:rsidR="00E550D2" w:rsidRPr="00600ED9" w:rsidRDefault="00E550D2" w:rsidP="00E550D2">
          <w:pPr>
            <w:spacing w:line="240" w:lineRule="auto"/>
            <w:ind w:left="454" w:right="454"/>
            <w:jc w:val="both"/>
            <w:rPr>
              <w:rFonts w:cs="Arial"/>
            </w:rPr>
          </w:pPr>
        </w:p>
        <w:p w:rsidR="00E550D2" w:rsidRPr="00600ED9" w:rsidRDefault="00E550D2" w:rsidP="00E550D2">
          <w:pPr>
            <w:spacing w:line="240" w:lineRule="auto"/>
            <w:ind w:left="454" w:right="454"/>
            <w:jc w:val="both"/>
            <w:rPr>
              <w:rFonts w:cs="Arial"/>
            </w:rPr>
          </w:pPr>
        </w:p>
        <w:p w:rsidR="00E550D2" w:rsidRPr="00600ED9" w:rsidRDefault="00E550D2" w:rsidP="00E550D2">
          <w:pPr>
            <w:spacing w:line="240" w:lineRule="auto"/>
            <w:ind w:left="454" w:right="454"/>
            <w:jc w:val="both"/>
            <w:rPr>
              <w:rFonts w:cs="Arial"/>
            </w:rPr>
          </w:pPr>
        </w:p>
        <w:p w:rsidR="00E550D2" w:rsidRPr="00600ED9" w:rsidRDefault="00E550D2" w:rsidP="00E550D2">
          <w:pPr>
            <w:spacing w:line="240" w:lineRule="auto"/>
            <w:ind w:left="454" w:right="454"/>
            <w:jc w:val="both"/>
            <w:rPr>
              <w:rFonts w:cs="Arial"/>
            </w:rPr>
          </w:pPr>
        </w:p>
        <w:p w:rsidR="00E550D2" w:rsidRPr="00600ED9" w:rsidRDefault="00E550D2" w:rsidP="00E550D2">
          <w:pPr>
            <w:spacing w:line="240" w:lineRule="auto"/>
            <w:ind w:left="454" w:right="454"/>
            <w:jc w:val="both"/>
            <w:rPr>
              <w:rFonts w:cs="Arial"/>
            </w:rPr>
          </w:pPr>
        </w:p>
        <w:p w:rsidR="00E550D2" w:rsidRPr="00600ED9" w:rsidRDefault="00E550D2" w:rsidP="00E550D2">
          <w:pPr>
            <w:spacing w:line="240" w:lineRule="auto"/>
            <w:ind w:left="454" w:right="454"/>
            <w:jc w:val="both"/>
            <w:rPr>
              <w:rFonts w:cs="Arial"/>
            </w:rPr>
          </w:pPr>
        </w:p>
        <w:p w:rsidR="00E550D2" w:rsidRPr="00600ED9" w:rsidRDefault="00E550D2" w:rsidP="00E550D2">
          <w:pPr>
            <w:spacing w:line="240" w:lineRule="auto"/>
            <w:ind w:left="454" w:right="454"/>
            <w:jc w:val="both"/>
            <w:rPr>
              <w:rFonts w:cs="Arial"/>
            </w:rPr>
          </w:pPr>
        </w:p>
        <w:p w:rsidR="00E550D2" w:rsidRPr="00600ED9" w:rsidRDefault="00E550D2" w:rsidP="00E550D2">
          <w:pPr>
            <w:spacing w:line="240" w:lineRule="auto"/>
            <w:ind w:left="454" w:right="454"/>
            <w:jc w:val="both"/>
            <w:rPr>
              <w:rFonts w:cs="Arial"/>
            </w:rPr>
          </w:pPr>
        </w:p>
        <w:p w:rsidR="00E550D2" w:rsidRPr="00600ED9" w:rsidRDefault="00E550D2" w:rsidP="00E550D2">
          <w:pPr>
            <w:pBdr>
              <w:top w:val="single" w:sz="4" w:space="1" w:color="auto"/>
              <w:left w:val="single" w:sz="4" w:space="4" w:color="auto"/>
              <w:bottom w:val="single" w:sz="4" w:space="1" w:color="auto"/>
              <w:right w:val="single" w:sz="4" w:space="4" w:color="auto"/>
            </w:pBdr>
            <w:spacing w:line="240" w:lineRule="auto"/>
            <w:ind w:left="454" w:right="454"/>
            <w:jc w:val="both"/>
            <w:rPr>
              <w:rFonts w:cs="Arial"/>
              <w:i/>
            </w:rPr>
          </w:pPr>
          <w:r w:rsidRPr="00600ED9">
            <w:rPr>
              <w:rFonts w:cs="Arial"/>
              <w:i/>
            </w:rPr>
            <w:t xml:space="preserve">"Este documento ha sido producido bajo financiamiento del Banco Interamericano de Desarrollo, contiene información confidencial en una o más de las diez excepciones de las Políticas de Acceso a la Información, y su contenido es solo para uso interno del Banco y de la Contraloría General de la República de Colombia. Por lo tanto, no se puede divulgar fuera de </w:t>
          </w:r>
          <w:r w:rsidR="00600ED9" w:rsidRPr="00600ED9">
            <w:rPr>
              <w:rFonts w:cs="Arial"/>
              <w:i/>
            </w:rPr>
            <w:t>éstas</w:t>
          </w:r>
          <w:r w:rsidRPr="00600ED9">
            <w:rPr>
              <w:rFonts w:cs="Arial"/>
              <w:i/>
            </w:rPr>
            <w:t xml:space="preserve"> dos instituciones. Está disponible únicamente para un grupo restringido de personas dentro del BID y de la </w:t>
          </w:r>
          <w:r w:rsidR="00600ED9" w:rsidRPr="00600ED9">
            <w:rPr>
              <w:rFonts w:cs="Arial"/>
              <w:i/>
            </w:rPr>
            <w:t>Contraloría</w:t>
          </w:r>
          <w:r w:rsidRPr="00600ED9">
            <w:rPr>
              <w:rFonts w:cs="Arial"/>
              <w:i/>
            </w:rPr>
            <w:t xml:space="preserve"> General de la República de Colombia.”</w:t>
          </w:r>
        </w:p>
        <w:p w:rsidR="00E550D2" w:rsidRPr="00600ED9" w:rsidRDefault="00E550D2">
          <w:pPr>
            <w:rPr>
              <w:rFonts w:cs="Times New Roman"/>
              <w:b/>
              <w:sz w:val="28"/>
              <w:szCs w:val="28"/>
            </w:rPr>
          </w:pPr>
          <w:r w:rsidRPr="00600ED9">
            <w:rPr>
              <w:rFonts w:cs="Times New Roman"/>
              <w:b/>
              <w:sz w:val="28"/>
              <w:szCs w:val="28"/>
            </w:rPr>
            <w:br w:type="page"/>
          </w:r>
        </w:p>
        <w:p w:rsidR="005E54E6" w:rsidRPr="00600ED9" w:rsidRDefault="00134FF6" w:rsidP="00DD26FA">
          <w:pPr>
            <w:spacing w:line="240" w:lineRule="auto"/>
            <w:jc w:val="center"/>
            <w:rPr>
              <w:rFonts w:cs="Times New Roman"/>
              <w:b/>
              <w:sz w:val="28"/>
              <w:szCs w:val="28"/>
            </w:rPr>
          </w:pPr>
          <w:r w:rsidRPr="00600ED9">
            <w:rPr>
              <w:rFonts w:cs="Times New Roman"/>
              <w:b/>
              <w:sz w:val="28"/>
              <w:szCs w:val="28"/>
            </w:rPr>
            <w:lastRenderedPageBreak/>
            <w:t>Lista de Abreviaturas</w:t>
          </w:r>
        </w:p>
        <w:p w:rsidR="00A716E9" w:rsidRPr="00600ED9" w:rsidRDefault="00A716E9" w:rsidP="001C7BF6">
          <w:pPr>
            <w:pStyle w:val="NoSpacing"/>
            <w:rPr>
              <w:lang w:val="es-ES_tradnl"/>
            </w:rPr>
          </w:pPr>
        </w:p>
        <w:p w:rsidR="00E53B2A" w:rsidRPr="00600ED9" w:rsidRDefault="00E53B2A" w:rsidP="003409DE">
          <w:pPr>
            <w:pStyle w:val="NoSpacing"/>
            <w:rPr>
              <w:lang w:val="es-ES_tradnl"/>
            </w:rPr>
          </w:pPr>
          <w:r w:rsidRPr="00600ED9">
            <w:rPr>
              <w:lang w:val="es-ES_tradnl"/>
            </w:rPr>
            <w:t>AGR</w:t>
          </w:r>
          <w:r w:rsidRPr="00600ED9">
            <w:rPr>
              <w:lang w:val="es-ES_tradnl"/>
            </w:rPr>
            <w:tab/>
          </w:r>
          <w:r w:rsidRPr="00600ED9">
            <w:rPr>
              <w:lang w:val="es-ES_tradnl"/>
            </w:rPr>
            <w:tab/>
            <w:t>Auditoría General de la República</w:t>
          </w:r>
        </w:p>
        <w:p w:rsidR="00E53B2A" w:rsidRPr="00600ED9" w:rsidRDefault="00E53B2A" w:rsidP="003409DE">
          <w:pPr>
            <w:pStyle w:val="NoSpacing"/>
            <w:rPr>
              <w:lang w:val="es-ES_tradnl"/>
            </w:rPr>
          </w:pPr>
          <w:r w:rsidRPr="00600ED9">
            <w:rPr>
              <w:lang w:val="es-ES_tradnl"/>
            </w:rPr>
            <w:t>CGRC</w:t>
          </w:r>
          <w:r w:rsidRPr="00600ED9">
            <w:rPr>
              <w:lang w:val="es-ES_tradnl"/>
            </w:rPr>
            <w:tab/>
          </w:r>
          <w:r w:rsidRPr="00600ED9">
            <w:rPr>
              <w:lang w:val="es-ES_tradnl"/>
            </w:rPr>
            <w:tab/>
            <w:t>Contraloría General de la República de Colombia</w:t>
          </w:r>
        </w:p>
        <w:p w:rsidR="00E53B2A" w:rsidRPr="00600ED9" w:rsidRDefault="00E53B2A" w:rsidP="003409DE">
          <w:pPr>
            <w:pStyle w:val="NoSpacing"/>
            <w:rPr>
              <w:lang w:val="es-ES_tradnl"/>
            </w:rPr>
          </w:pPr>
          <w:r w:rsidRPr="00600ED9">
            <w:rPr>
              <w:lang w:val="es-ES_tradnl"/>
            </w:rPr>
            <w:t>CE-CGRC</w:t>
          </w:r>
          <w:r w:rsidRPr="00600ED9">
            <w:rPr>
              <w:lang w:val="es-ES_tradnl"/>
            </w:rPr>
            <w:tab/>
            <w:t>Código de Ética de la Contraloría General de la República</w:t>
          </w:r>
        </w:p>
        <w:p w:rsidR="00E53B2A" w:rsidRPr="00600ED9" w:rsidRDefault="00E53B2A" w:rsidP="003409DE">
          <w:pPr>
            <w:pStyle w:val="NoSpacing"/>
            <w:rPr>
              <w:lang w:val="es-ES_tradnl"/>
            </w:rPr>
          </w:pPr>
          <w:r w:rsidRPr="00600ED9">
            <w:rPr>
              <w:lang w:val="es-ES_tradnl"/>
            </w:rPr>
            <w:t>EFS</w:t>
          </w:r>
          <w:r w:rsidRPr="00600ED9">
            <w:rPr>
              <w:lang w:val="es-ES_tradnl"/>
            </w:rPr>
            <w:tab/>
          </w:r>
          <w:r w:rsidRPr="00600ED9">
            <w:rPr>
              <w:lang w:val="es-ES_tradnl"/>
            </w:rPr>
            <w:tab/>
            <w:t>Entidades Fiscalizadoras Superiores</w:t>
          </w:r>
        </w:p>
        <w:p w:rsidR="00E53B2A" w:rsidRPr="00600ED9" w:rsidRDefault="00E53B2A" w:rsidP="003409DE">
          <w:pPr>
            <w:pStyle w:val="NoSpacing"/>
            <w:rPr>
              <w:lang w:val="es-ES_tradnl"/>
            </w:rPr>
          </w:pPr>
          <w:r w:rsidRPr="00600ED9">
            <w:rPr>
              <w:lang w:val="es-ES_tradnl"/>
            </w:rPr>
            <w:t>IDI-INTOSAI</w:t>
          </w:r>
          <w:r w:rsidRPr="00600ED9">
            <w:rPr>
              <w:lang w:val="es-ES_tradnl"/>
            </w:rPr>
            <w:tab/>
            <w:t>Iniciativa para el Desarrollo de la INTOSAI</w:t>
          </w:r>
        </w:p>
        <w:p w:rsidR="00E53B2A" w:rsidRPr="00600ED9" w:rsidRDefault="00E53B2A" w:rsidP="003409DE">
          <w:pPr>
            <w:pStyle w:val="NoSpacing"/>
            <w:rPr>
              <w:lang w:val="es-ES_tradnl"/>
            </w:rPr>
          </w:pPr>
          <w:r w:rsidRPr="00600ED9">
            <w:rPr>
              <w:lang w:val="es-ES_tradnl"/>
            </w:rPr>
            <w:t>INTOSAI</w:t>
          </w:r>
          <w:r w:rsidRPr="00600ED9">
            <w:rPr>
              <w:lang w:val="es-ES_tradnl"/>
            </w:rPr>
            <w:tab/>
            <w:t>Organización Internacional de Entidades Fiscalizadoras Superiores</w:t>
          </w:r>
        </w:p>
        <w:p w:rsidR="00E53B2A" w:rsidRPr="00600ED9" w:rsidRDefault="00E53B2A" w:rsidP="003409DE">
          <w:pPr>
            <w:pStyle w:val="NoSpacing"/>
            <w:rPr>
              <w:lang w:val="es-ES_tradnl"/>
            </w:rPr>
          </w:pPr>
          <w:proofErr w:type="spellStart"/>
          <w:r w:rsidRPr="00600ED9">
            <w:rPr>
              <w:lang w:val="es-ES_tradnl"/>
            </w:rPr>
            <w:t>ISSAIs</w:t>
          </w:r>
          <w:proofErr w:type="spellEnd"/>
          <w:r w:rsidRPr="00600ED9">
            <w:rPr>
              <w:lang w:val="es-ES_tradnl"/>
            </w:rPr>
            <w:tab/>
          </w:r>
          <w:r w:rsidRPr="00600ED9">
            <w:rPr>
              <w:lang w:val="es-ES_tradnl"/>
            </w:rPr>
            <w:tab/>
            <w:t>Normas Internacionales de las Entidades Fiscalizadoras Superiores</w:t>
          </w:r>
        </w:p>
        <w:p w:rsidR="00E53B2A" w:rsidRPr="00600ED9" w:rsidRDefault="00E53B2A" w:rsidP="003409DE">
          <w:pPr>
            <w:pStyle w:val="NoSpacing"/>
            <w:rPr>
              <w:lang w:val="es-ES_tradnl"/>
            </w:rPr>
          </w:pPr>
          <w:r w:rsidRPr="00600ED9">
            <w:rPr>
              <w:lang w:val="es-ES_tradnl"/>
            </w:rPr>
            <w:t>MIR</w:t>
          </w:r>
          <w:r w:rsidRPr="00600ED9">
            <w:rPr>
              <w:lang w:val="es-ES_tradnl"/>
            </w:rPr>
            <w:tab/>
          </w:r>
          <w:r w:rsidRPr="00600ED9">
            <w:rPr>
              <w:lang w:val="es-ES_tradnl"/>
            </w:rPr>
            <w:tab/>
            <w:t>Matrices de Importancia Relativa</w:t>
          </w:r>
        </w:p>
        <w:p w:rsidR="00E53B2A" w:rsidRPr="00600ED9" w:rsidRDefault="00C62CFC" w:rsidP="003409DE">
          <w:pPr>
            <w:pStyle w:val="NoSpacing"/>
            <w:rPr>
              <w:lang w:val="es-ES_tradnl"/>
            </w:rPr>
          </w:pPr>
          <w:r w:rsidRPr="00600ED9">
            <w:rPr>
              <w:lang w:val="es-ES_tradnl"/>
            </w:rPr>
            <w:t xml:space="preserve">MMD </w:t>
          </w:r>
          <w:r w:rsidR="00E53B2A" w:rsidRPr="00600ED9">
            <w:rPr>
              <w:lang w:val="es-ES_tradnl"/>
            </w:rPr>
            <w:t>EFS</w:t>
          </w:r>
          <w:r w:rsidR="00E53B2A" w:rsidRPr="00600ED9">
            <w:rPr>
              <w:lang w:val="es-ES_tradnl"/>
            </w:rPr>
            <w:tab/>
            <w:t>Marco de Medición de Desempeño de las Entidades Fiscalizadoras Superiores</w:t>
          </w:r>
        </w:p>
        <w:p w:rsidR="00E53B2A" w:rsidRPr="00600ED9" w:rsidRDefault="005E54E6" w:rsidP="003409DE">
          <w:pPr>
            <w:pStyle w:val="NoSpacing"/>
            <w:rPr>
              <w:lang w:val="es-ES_tradnl"/>
            </w:rPr>
          </w:pPr>
          <w:r w:rsidRPr="00600ED9">
            <w:rPr>
              <w:lang w:val="es-ES_tradnl"/>
            </w:rPr>
            <w:t>MPLPR</w:t>
          </w:r>
          <w:r w:rsidR="00E53B2A" w:rsidRPr="00600ED9">
            <w:rPr>
              <w:lang w:val="es-ES_tradnl"/>
            </w:rPr>
            <w:tab/>
          </w:r>
          <w:r w:rsidR="00E53B2A" w:rsidRPr="00600ED9">
            <w:rPr>
              <w:lang w:val="es-ES_tradnl"/>
            </w:rPr>
            <w:tab/>
            <w:t xml:space="preserve">Matriz de Planificación y Programación </w:t>
          </w:r>
        </w:p>
        <w:p w:rsidR="00E53B2A" w:rsidRPr="00600ED9" w:rsidRDefault="00E53B2A" w:rsidP="003409DE">
          <w:pPr>
            <w:pStyle w:val="NoSpacing"/>
            <w:rPr>
              <w:lang w:val="es-ES_tradnl"/>
            </w:rPr>
          </w:pPr>
          <w:r w:rsidRPr="00600ED9">
            <w:rPr>
              <w:lang w:val="es-ES_tradnl"/>
            </w:rPr>
            <w:t>MR</w:t>
          </w:r>
          <w:r w:rsidRPr="00600ED9">
            <w:rPr>
              <w:lang w:val="es-ES_tradnl"/>
            </w:rPr>
            <w:tab/>
          </w:r>
          <w:r w:rsidRPr="00600ED9">
            <w:rPr>
              <w:lang w:val="es-ES_tradnl"/>
            </w:rPr>
            <w:tab/>
            <w:t>Matrices de Riesgo</w:t>
          </w:r>
        </w:p>
        <w:p w:rsidR="00845981" w:rsidRPr="00600ED9" w:rsidRDefault="00845981" w:rsidP="003409DE">
          <w:pPr>
            <w:pStyle w:val="NoSpacing"/>
            <w:rPr>
              <w:lang w:val="es-ES_tradnl"/>
            </w:rPr>
          </w:pPr>
          <w:r w:rsidRPr="00600ED9">
            <w:rPr>
              <w:lang w:val="es-ES_tradnl"/>
            </w:rPr>
            <w:t>MRCE</w:t>
          </w:r>
          <w:r w:rsidRPr="00600ED9">
            <w:rPr>
              <w:lang w:val="es-ES_tradnl"/>
            </w:rPr>
            <w:tab/>
          </w:r>
          <w:r w:rsidRPr="00600ED9">
            <w:rPr>
              <w:lang w:val="es-ES_tradnl"/>
            </w:rPr>
            <w:tab/>
            <w:t xml:space="preserve">Marco Rector del Control Externo </w:t>
          </w:r>
        </w:p>
        <w:p w:rsidR="00E53B2A" w:rsidRPr="00600ED9" w:rsidRDefault="00E53B2A" w:rsidP="003409DE">
          <w:pPr>
            <w:pStyle w:val="NoSpacing"/>
            <w:rPr>
              <w:lang w:val="es-ES_tradnl"/>
            </w:rPr>
          </w:pPr>
          <w:r w:rsidRPr="00600ED9">
            <w:rPr>
              <w:lang w:val="es-ES_tradnl"/>
            </w:rPr>
            <w:t>NAGU</w:t>
          </w:r>
          <w:r w:rsidRPr="00600ED9">
            <w:rPr>
              <w:lang w:val="es-ES_tradnl"/>
            </w:rPr>
            <w:tab/>
          </w:r>
          <w:r w:rsidRPr="00600ED9">
            <w:rPr>
              <w:lang w:val="es-ES_tradnl"/>
            </w:rPr>
            <w:tab/>
            <w:t xml:space="preserve">Normas de </w:t>
          </w:r>
          <w:r w:rsidR="005C54C5" w:rsidRPr="00600ED9">
            <w:rPr>
              <w:lang w:val="es-ES_tradnl"/>
            </w:rPr>
            <w:t>Auditoría</w:t>
          </w:r>
          <w:r w:rsidRPr="00600ED9">
            <w:rPr>
              <w:lang w:val="es-ES_tradnl"/>
            </w:rPr>
            <w:t xml:space="preserve"> Gubernamental </w:t>
          </w:r>
        </w:p>
        <w:p w:rsidR="00E53B2A" w:rsidRPr="00600ED9" w:rsidRDefault="00E53B2A" w:rsidP="003409DE">
          <w:pPr>
            <w:pStyle w:val="NoSpacing"/>
            <w:rPr>
              <w:lang w:val="es-ES_tradnl"/>
            </w:rPr>
          </w:pPr>
          <w:r w:rsidRPr="00600ED9">
            <w:rPr>
              <w:lang w:val="es-ES_tradnl"/>
            </w:rPr>
            <w:t>NIAS</w:t>
          </w:r>
          <w:r w:rsidRPr="00600ED9">
            <w:rPr>
              <w:lang w:val="es-ES_tradnl"/>
            </w:rPr>
            <w:tab/>
          </w:r>
          <w:r w:rsidRPr="00600ED9">
            <w:rPr>
              <w:lang w:val="es-ES_tradnl"/>
            </w:rPr>
            <w:tab/>
            <w:t xml:space="preserve">Normas Internacionales de </w:t>
          </w:r>
          <w:r w:rsidR="005C54C5" w:rsidRPr="00600ED9">
            <w:rPr>
              <w:lang w:val="es-ES_tradnl"/>
            </w:rPr>
            <w:t>Auditoría</w:t>
          </w:r>
        </w:p>
        <w:p w:rsidR="00E53B2A" w:rsidRPr="00600ED9" w:rsidRDefault="00E53B2A" w:rsidP="003409DE">
          <w:pPr>
            <w:pStyle w:val="NoSpacing"/>
            <w:rPr>
              <w:lang w:val="es-ES_tradnl"/>
            </w:rPr>
          </w:pPr>
          <w:r w:rsidRPr="00600ED9">
            <w:rPr>
              <w:lang w:val="es-ES_tradnl"/>
            </w:rPr>
            <w:t xml:space="preserve">NTCGP </w:t>
          </w:r>
          <w:r w:rsidRPr="00600ED9">
            <w:rPr>
              <w:lang w:val="es-ES_tradnl"/>
            </w:rPr>
            <w:tab/>
          </w:r>
          <w:r w:rsidRPr="00600ED9">
            <w:rPr>
              <w:lang w:val="es-ES_tradnl"/>
            </w:rPr>
            <w:tab/>
            <w:t xml:space="preserve">Norma Técnica de Calidad en la Gestión Pública </w:t>
          </w:r>
        </w:p>
        <w:p w:rsidR="00E53B2A" w:rsidRPr="00600ED9" w:rsidRDefault="00E53B2A" w:rsidP="003409DE">
          <w:pPr>
            <w:pStyle w:val="NoSpacing"/>
            <w:rPr>
              <w:lang w:val="es-ES_tradnl"/>
            </w:rPr>
          </w:pPr>
          <w:r w:rsidRPr="00600ED9">
            <w:rPr>
              <w:lang w:val="es-ES_tradnl"/>
            </w:rPr>
            <w:t>OCI</w:t>
          </w:r>
          <w:r w:rsidRPr="00600ED9">
            <w:rPr>
              <w:lang w:val="es-ES_tradnl"/>
            </w:rPr>
            <w:tab/>
          </w:r>
          <w:r w:rsidRPr="00600ED9">
            <w:rPr>
              <w:lang w:val="es-ES_tradnl"/>
            </w:rPr>
            <w:tab/>
            <w:t>Oficina de Control Interno</w:t>
          </w:r>
        </w:p>
        <w:p w:rsidR="00E53B2A" w:rsidRPr="00600ED9" w:rsidRDefault="00E53B2A" w:rsidP="003409DE">
          <w:pPr>
            <w:pStyle w:val="NoSpacing"/>
            <w:rPr>
              <w:lang w:val="es-ES_tradnl"/>
            </w:rPr>
          </w:pPr>
          <w:r w:rsidRPr="00600ED9">
            <w:rPr>
              <w:lang w:val="es-ES_tradnl"/>
            </w:rPr>
            <w:t xml:space="preserve">OCDE </w:t>
          </w:r>
          <w:r w:rsidRPr="00600ED9">
            <w:rPr>
              <w:lang w:val="es-ES_tradnl"/>
            </w:rPr>
            <w:tab/>
          </w:r>
          <w:r w:rsidRPr="00600ED9">
            <w:rPr>
              <w:lang w:val="es-ES_tradnl"/>
            </w:rPr>
            <w:tab/>
            <w:t xml:space="preserve">Organización para la Cooperación y el Desarrollo Económicos </w:t>
          </w:r>
        </w:p>
        <w:p w:rsidR="00E53B2A" w:rsidRPr="00600ED9" w:rsidRDefault="00E53B2A" w:rsidP="003409DE">
          <w:pPr>
            <w:pStyle w:val="NoSpacing"/>
            <w:rPr>
              <w:lang w:val="es-ES_tradnl"/>
            </w:rPr>
          </w:pPr>
          <w:r w:rsidRPr="00600ED9">
            <w:rPr>
              <w:lang w:val="es-ES_tradnl"/>
            </w:rPr>
            <w:t xml:space="preserve">OEA </w:t>
          </w:r>
          <w:r w:rsidRPr="00600ED9">
            <w:rPr>
              <w:lang w:val="es-ES_tradnl"/>
            </w:rPr>
            <w:tab/>
          </w:r>
          <w:r w:rsidRPr="00600ED9">
            <w:rPr>
              <w:lang w:val="es-ES_tradnl"/>
            </w:rPr>
            <w:tab/>
            <w:t xml:space="preserve">Organización de Estados Americanos </w:t>
          </w:r>
        </w:p>
        <w:p w:rsidR="00E53B2A" w:rsidRPr="00600ED9" w:rsidRDefault="00E53B2A" w:rsidP="003409DE">
          <w:pPr>
            <w:pStyle w:val="NoSpacing"/>
            <w:rPr>
              <w:lang w:val="es-ES_tradnl"/>
            </w:rPr>
          </w:pPr>
          <w:r w:rsidRPr="00600ED9">
            <w:rPr>
              <w:lang w:val="es-ES_tradnl"/>
            </w:rPr>
            <w:t>OLACEFS</w:t>
          </w:r>
          <w:r w:rsidRPr="00600ED9">
            <w:rPr>
              <w:lang w:val="es-ES_tradnl"/>
            </w:rPr>
            <w:tab/>
            <w:t>Organización Latinoamericana y del Caribe de Entidades Fiscalizadoras Superiores</w:t>
          </w:r>
        </w:p>
        <w:p w:rsidR="00E53B2A" w:rsidRPr="00600ED9" w:rsidRDefault="00E53B2A" w:rsidP="003409DE">
          <w:pPr>
            <w:pStyle w:val="NoSpacing"/>
            <w:rPr>
              <w:lang w:val="es-ES_tradnl"/>
            </w:rPr>
          </w:pPr>
          <w:r w:rsidRPr="00600ED9">
            <w:rPr>
              <w:lang w:val="es-ES_tradnl"/>
            </w:rPr>
            <w:t>PAA</w:t>
          </w:r>
          <w:r w:rsidRPr="00600ED9">
            <w:rPr>
              <w:lang w:val="es-ES_tradnl"/>
            </w:rPr>
            <w:tab/>
          </w:r>
          <w:r w:rsidRPr="00600ED9">
            <w:rPr>
              <w:lang w:val="es-ES_tradnl"/>
            </w:rPr>
            <w:tab/>
            <w:t xml:space="preserve">Plan de Acción Anual  </w:t>
          </w:r>
        </w:p>
        <w:p w:rsidR="00E53B2A" w:rsidRPr="00600ED9" w:rsidRDefault="00E53B2A" w:rsidP="003409DE">
          <w:pPr>
            <w:pStyle w:val="NoSpacing"/>
            <w:rPr>
              <w:lang w:val="es-ES_tradnl"/>
            </w:rPr>
          </w:pPr>
          <w:r w:rsidRPr="00600ED9">
            <w:rPr>
              <w:lang w:val="es-ES_tradnl"/>
            </w:rPr>
            <w:t xml:space="preserve">PAC </w:t>
          </w:r>
          <w:r w:rsidRPr="00600ED9">
            <w:rPr>
              <w:lang w:val="es-ES_tradnl"/>
            </w:rPr>
            <w:tab/>
          </w:r>
          <w:r w:rsidRPr="00600ED9">
            <w:rPr>
              <w:lang w:val="es-ES_tradnl"/>
            </w:rPr>
            <w:tab/>
            <w:t xml:space="preserve">Programas Anuales de Capacitación </w:t>
          </w:r>
        </w:p>
        <w:p w:rsidR="00E53B2A" w:rsidRPr="00600ED9" w:rsidRDefault="00E53B2A" w:rsidP="003409DE">
          <w:pPr>
            <w:pStyle w:val="NoSpacing"/>
            <w:rPr>
              <w:lang w:val="es-ES_tradnl"/>
            </w:rPr>
          </w:pPr>
          <w:r w:rsidRPr="00600ED9">
            <w:rPr>
              <w:lang w:val="es-ES_tradnl"/>
            </w:rPr>
            <w:t>PE</w:t>
          </w:r>
          <w:r w:rsidR="00A41AA3" w:rsidRPr="00600ED9">
            <w:rPr>
              <w:lang w:val="es-ES_tradnl"/>
            </w:rPr>
            <w:t>I</w:t>
          </w:r>
          <w:r w:rsidRPr="00600ED9">
            <w:rPr>
              <w:lang w:val="es-ES_tradnl"/>
            </w:rPr>
            <w:tab/>
          </w:r>
          <w:r w:rsidRPr="00600ED9">
            <w:rPr>
              <w:lang w:val="es-ES_tradnl"/>
            </w:rPr>
            <w:tab/>
            <w:t>Plan Estratégico</w:t>
          </w:r>
          <w:r w:rsidR="00A41AA3" w:rsidRPr="00600ED9">
            <w:rPr>
              <w:lang w:val="es-ES_tradnl"/>
            </w:rPr>
            <w:t xml:space="preserve"> Institucional</w:t>
          </w:r>
        </w:p>
        <w:p w:rsidR="00E53B2A" w:rsidRPr="00600ED9" w:rsidRDefault="00E53B2A" w:rsidP="003409DE">
          <w:pPr>
            <w:pStyle w:val="NoSpacing"/>
            <w:rPr>
              <w:lang w:val="es-ES_tradnl"/>
            </w:rPr>
          </w:pPr>
          <w:r w:rsidRPr="00600ED9">
            <w:rPr>
              <w:lang w:val="es-ES_tradnl"/>
            </w:rPr>
            <w:t>PVCF</w:t>
          </w:r>
          <w:r w:rsidRPr="00600ED9">
            <w:rPr>
              <w:lang w:val="es-ES_tradnl"/>
            </w:rPr>
            <w:tab/>
          </w:r>
          <w:r w:rsidRPr="00600ED9">
            <w:rPr>
              <w:lang w:val="es-ES_tradnl"/>
            </w:rPr>
            <w:tab/>
            <w:t>Plan de Vigilancia y Control Fiscal</w:t>
          </w:r>
        </w:p>
        <w:p w:rsidR="00E53B2A" w:rsidRPr="00600ED9" w:rsidRDefault="00E53B2A" w:rsidP="003409DE">
          <w:pPr>
            <w:pStyle w:val="NoSpacing"/>
            <w:rPr>
              <w:lang w:val="es-ES_tradnl"/>
            </w:rPr>
          </w:pPr>
          <w:r w:rsidRPr="00600ED9">
            <w:rPr>
              <w:lang w:val="es-ES_tradnl"/>
            </w:rPr>
            <w:t>SICA</w:t>
          </w:r>
          <w:r w:rsidRPr="00600ED9">
            <w:rPr>
              <w:lang w:val="es-ES_tradnl"/>
            </w:rPr>
            <w:tab/>
          </w:r>
          <w:r w:rsidRPr="00600ED9">
            <w:rPr>
              <w:lang w:val="es-ES_tradnl"/>
            </w:rPr>
            <w:tab/>
            <w:t>Sistema integrado para el  Control de Auditorías</w:t>
          </w:r>
        </w:p>
        <w:p w:rsidR="00E53B2A" w:rsidRPr="00600ED9" w:rsidRDefault="00E53B2A" w:rsidP="003409DE">
          <w:pPr>
            <w:pStyle w:val="NoSpacing"/>
            <w:rPr>
              <w:lang w:val="es-ES_tradnl"/>
            </w:rPr>
          </w:pPr>
          <w:r w:rsidRPr="00600ED9">
            <w:rPr>
              <w:lang w:val="es-ES_tradnl"/>
            </w:rPr>
            <w:t>SIGCC</w:t>
          </w:r>
          <w:r w:rsidRPr="00600ED9">
            <w:rPr>
              <w:lang w:val="es-ES_tradnl"/>
            </w:rPr>
            <w:tab/>
          </w:r>
          <w:r w:rsidRPr="00600ED9">
            <w:rPr>
              <w:lang w:val="es-ES_tradnl"/>
            </w:rPr>
            <w:tab/>
            <w:t>Sistema Integrado de Gestión y Control de Calidad</w:t>
          </w:r>
        </w:p>
        <w:p w:rsidR="00E53B2A" w:rsidRPr="00600ED9" w:rsidRDefault="00E53B2A" w:rsidP="003409DE">
          <w:pPr>
            <w:pStyle w:val="NoSpacing"/>
            <w:rPr>
              <w:lang w:val="es-ES_tradnl"/>
            </w:rPr>
          </w:pPr>
          <w:r w:rsidRPr="00600ED9">
            <w:rPr>
              <w:lang w:val="es-ES_tradnl"/>
            </w:rPr>
            <w:t>SIRECI</w:t>
          </w:r>
          <w:r w:rsidRPr="00600ED9">
            <w:rPr>
              <w:lang w:val="es-ES_tradnl"/>
            </w:rPr>
            <w:tab/>
          </w:r>
          <w:r w:rsidRPr="00600ED9">
            <w:rPr>
              <w:lang w:val="es-ES_tradnl"/>
            </w:rPr>
            <w:tab/>
            <w:t>Sistema de Rendición de Cuentas e Informes</w:t>
          </w:r>
        </w:p>
        <w:p w:rsidR="00E53B2A" w:rsidRPr="00600ED9" w:rsidRDefault="00E53B2A" w:rsidP="003409DE">
          <w:pPr>
            <w:pStyle w:val="NoSpacing"/>
            <w:rPr>
              <w:lang w:val="es-ES_tradnl"/>
            </w:rPr>
          </w:pPr>
          <w:r w:rsidRPr="00600ED9">
            <w:rPr>
              <w:lang w:val="es-ES_tradnl"/>
            </w:rPr>
            <w:t xml:space="preserve">SISED </w:t>
          </w:r>
          <w:r w:rsidRPr="00600ED9">
            <w:rPr>
              <w:lang w:val="es-ES_tradnl"/>
            </w:rPr>
            <w:tab/>
          </w:r>
          <w:r w:rsidRPr="00600ED9">
            <w:rPr>
              <w:lang w:val="es-ES_tradnl"/>
            </w:rPr>
            <w:tab/>
            <w:t xml:space="preserve">Sistema Integrado de Evaluación del Desempeño </w:t>
          </w:r>
        </w:p>
        <w:p w:rsidR="00E53B2A" w:rsidRPr="00600ED9" w:rsidRDefault="00E53B2A" w:rsidP="003409DE">
          <w:pPr>
            <w:pStyle w:val="NoSpacing"/>
            <w:rPr>
              <w:lang w:val="es-ES_tradnl"/>
            </w:rPr>
          </w:pPr>
          <w:proofErr w:type="spellStart"/>
          <w:r w:rsidRPr="00600ED9">
            <w:rPr>
              <w:lang w:val="es-ES_tradnl"/>
            </w:rPr>
            <w:t>TICs</w:t>
          </w:r>
          <w:proofErr w:type="spellEnd"/>
          <w:r w:rsidRPr="00600ED9">
            <w:rPr>
              <w:lang w:val="es-ES_tradnl"/>
            </w:rPr>
            <w:tab/>
          </w:r>
          <w:r w:rsidRPr="00600ED9">
            <w:rPr>
              <w:lang w:val="es-ES_tradnl"/>
            </w:rPr>
            <w:tab/>
            <w:t>Tecnología, Información y Comunicaciones</w:t>
          </w:r>
        </w:p>
        <w:p w:rsidR="00E53B2A" w:rsidRPr="00600ED9" w:rsidRDefault="00E53B2A" w:rsidP="003409DE">
          <w:pPr>
            <w:pStyle w:val="NoSpacing"/>
            <w:rPr>
              <w:lang w:val="es-ES_tradnl"/>
            </w:rPr>
          </w:pPr>
          <w:r w:rsidRPr="00600ED9">
            <w:rPr>
              <w:lang w:val="es-ES_tradnl"/>
            </w:rPr>
            <w:t xml:space="preserve">UATC </w:t>
          </w:r>
          <w:r w:rsidRPr="00600ED9">
            <w:rPr>
              <w:lang w:val="es-ES_tradnl"/>
            </w:rPr>
            <w:tab/>
          </w:r>
          <w:r w:rsidRPr="00600ED9">
            <w:rPr>
              <w:lang w:val="es-ES_tradnl"/>
            </w:rPr>
            <w:tab/>
            <w:t xml:space="preserve">Unidad de Apoyo Técnico al Congreso </w:t>
          </w:r>
        </w:p>
        <w:p w:rsidR="00E53B2A" w:rsidRPr="00600ED9" w:rsidRDefault="00E53B2A" w:rsidP="003409DE">
          <w:pPr>
            <w:pStyle w:val="NoSpacing"/>
            <w:rPr>
              <w:lang w:val="es-ES_tradnl"/>
            </w:rPr>
          </w:pPr>
          <w:proofErr w:type="spellStart"/>
          <w:r w:rsidRPr="00600ED9">
            <w:rPr>
              <w:lang w:val="es-ES_tradnl"/>
            </w:rPr>
            <w:t>UEs</w:t>
          </w:r>
          <w:proofErr w:type="spellEnd"/>
          <w:r w:rsidRPr="00600ED9">
            <w:rPr>
              <w:lang w:val="es-ES_tradnl"/>
            </w:rPr>
            <w:t xml:space="preserve"> </w:t>
          </w:r>
          <w:r w:rsidRPr="00600ED9">
            <w:rPr>
              <w:lang w:val="es-ES_tradnl"/>
            </w:rPr>
            <w:tab/>
          </w:r>
          <w:r w:rsidRPr="00600ED9">
            <w:rPr>
              <w:lang w:val="es-ES_tradnl"/>
            </w:rPr>
            <w:tab/>
            <w:t xml:space="preserve">Unidades Ejecutoras </w:t>
          </w:r>
        </w:p>
        <w:p w:rsidR="00CA380D" w:rsidRPr="00600ED9" w:rsidRDefault="00E53B2A" w:rsidP="003409DE">
          <w:pPr>
            <w:pStyle w:val="NoSpacing"/>
            <w:rPr>
              <w:lang w:val="es-ES_tradnl"/>
            </w:rPr>
          </w:pPr>
          <w:r w:rsidRPr="00600ED9">
            <w:rPr>
              <w:lang w:val="es-ES_tradnl"/>
            </w:rPr>
            <w:t xml:space="preserve">USATI </w:t>
          </w:r>
          <w:r w:rsidRPr="00600ED9">
            <w:rPr>
              <w:lang w:val="es-ES_tradnl"/>
            </w:rPr>
            <w:tab/>
          </w:r>
          <w:r w:rsidRPr="00600ED9">
            <w:rPr>
              <w:lang w:val="es-ES_tradnl"/>
            </w:rPr>
            <w:tab/>
            <w:t>Unidad de Seguridad y Aseguramiento Tecnológico e Informático</w:t>
          </w:r>
        </w:p>
        <w:p w:rsidR="00D13EB4" w:rsidRPr="00600ED9" w:rsidRDefault="00CA380D">
          <w:pPr>
            <w:rPr>
              <w:rFonts w:cs="Times New Roman"/>
              <w:sz w:val="20"/>
              <w:szCs w:val="20"/>
            </w:rPr>
          </w:pPr>
          <w:r w:rsidRPr="00600ED9">
            <w:rPr>
              <w:rFonts w:cs="Times New Roman"/>
              <w:sz w:val="20"/>
              <w:szCs w:val="20"/>
            </w:rPr>
            <w:br w:type="page"/>
          </w:r>
        </w:p>
        <w:p w:rsidR="00134FF6" w:rsidRPr="00600ED9" w:rsidRDefault="00CA380D" w:rsidP="00D15C57">
          <w:pPr>
            <w:spacing w:after="0" w:line="240" w:lineRule="auto"/>
            <w:jc w:val="center"/>
            <w:rPr>
              <w:rFonts w:cs="Times New Roman"/>
              <w:b/>
              <w:sz w:val="28"/>
              <w:szCs w:val="28"/>
            </w:rPr>
          </w:pPr>
          <w:r w:rsidRPr="00600ED9">
            <w:rPr>
              <w:rFonts w:cs="Times New Roman"/>
              <w:b/>
              <w:sz w:val="28"/>
              <w:szCs w:val="28"/>
            </w:rPr>
            <w:lastRenderedPageBreak/>
            <w:t>Contenido</w:t>
          </w:r>
        </w:p>
        <w:p w:rsidR="009A35A3" w:rsidRPr="00D94E25" w:rsidRDefault="0034337B" w:rsidP="00D15C57">
          <w:pPr>
            <w:pStyle w:val="TOC1"/>
            <w:tabs>
              <w:tab w:val="right" w:leader="dot" w:pos="9964"/>
            </w:tabs>
            <w:spacing w:before="0" w:line="240" w:lineRule="auto"/>
            <w:rPr>
              <w:rFonts w:eastAsiaTheme="minorEastAsia"/>
              <w:b w:val="0"/>
              <w:caps w:val="0"/>
              <w:noProof/>
              <w:sz w:val="24"/>
              <w:szCs w:val="24"/>
              <w:lang w:eastAsia="ja-JP"/>
            </w:rPr>
          </w:pPr>
          <w:r w:rsidRPr="00D94E25">
            <w:rPr>
              <w:caps w:val="0"/>
              <w:sz w:val="24"/>
              <w:szCs w:val="24"/>
              <w:u w:val="single"/>
            </w:rPr>
            <w:fldChar w:fldCharType="begin"/>
          </w:r>
          <w:r w:rsidRPr="00D94E25">
            <w:rPr>
              <w:caps w:val="0"/>
              <w:sz w:val="24"/>
              <w:szCs w:val="24"/>
              <w:u w:val="single"/>
            </w:rPr>
            <w:instrText xml:space="preserve"> TOC \t "Título 1;2;Título 2;3;Título 3;4;Título 4;4;Título;1" </w:instrText>
          </w:r>
          <w:r w:rsidRPr="00D94E25">
            <w:rPr>
              <w:caps w:val="0"/>
              <w:sz w:val="24"/>
              <w:szCs w:val="24"/>
              <w:u w:val="single"/>
            </w:rPr>
            <w:fldChar w:fldCharType="separate"/>
          </w:r>
        </w:p>
        <w:p w:rsidR="009A35A3" w:rsidRPr="00D94E25" w:rsidRDefault="009A35A3" w:rsidP="003409DE">
          <w:pPr>
            <w:pStyle w:val="TOC1"/>
            <w:tabs>
              <w:tab w:val="left" w:pos="421"/>
              <w:tab w:val="right" w:leader="dot" w:pos="9964"/>
            </w:tabs>
            <w:spacing w:line="240" w:lineRule="auto"/>
            <w:rPr>
              <w:rFonts w:eastAsiaTheme="minorEastAsia"/>
              <w:b w:val="0"/>
              <w:caps w:val="0"/>
              <w:noProof/>
              <w:sz w:val="24"/>
              <w:szCs w:val="24"/>
              <w:lang w:eastAsia="ja-JP"/>
            </w:rPr>
          </w:pPr>
          <w:r w:rsidRPr="00D94E25">
            <w:rPr>
              <w:noProof/>
            </w:rPr>
            <w:t>1.</w:t>
          </w:r>
          <w:r w:rsidRPr="00D94E25">
            <w:rPr>
              <w:rFonts w:eastAsiaTheme="minorEastAsia"/>
              <w:b w:val="0"/>
              <w:caps w:val="0"/>
              <w:noProof/>
              <w:sz w:val="24"/>
              <w:szCs w:val="24"/>
              <w:lang w:eastAsia="ja-JP"/>
            </w:rPr>
            <w:tab/>
          </w:r>
          <w:r w:rsidRPr="00D94E25">
            <w:rPr>
              <w:noProof/>
            </w:rPr>
            <w:t>Resumen Ejecutivo</w:t>
          </w:r>
          <w:r w:rsidRPr="00D94E25">
            <w:rPr>
              <w:noProof/>
            </w:rPr>
            <w:tab/>
          </w:r>
          <w:r w:rsidR="00D94E25" w:rsidRPr="00D94E25">
            <w:rPr>
              <w:noProof/>
            </w:rPr>
            <w:t>5</w:t>
          </w:r>
        </w:p>
        <w:p w:rsidR="009A35A3" w:rsidRPr="00D94E25" w:rsidRDefault="009A35A3" w:rsidP="003409DE">
          <w:pPr>
            <w:pStyle w:val="TOC1"/>
            <w:tabs>
              <w:tab w:val="left" w:pos="421"/>
              <w:tab w:val="right" w:leader="dot" w:pos="9964"/>
            </w:tabs>
            <w:spacing w:line="240" w:lineRule="auto"/>
            <w:rPr>
              <w:rFonts w:eastAsiaTheme="minorEastAsia"/>
              <w:b w:val="0"/>
              <w:caps w:val="0"/>
              <w:noProof/>
              <w:sz w:val="24"/>
              <w:szCs w:val="24"/>
              <w:lang w:eastAsia="ja-JP"/>
            </w:rPr>
          </w:pPr>
          <w:r w:rsidRPr="00D94E25">
            <w:rPr>
              <w:noProof/>
            </w:rPr>
            <w:t>2.</w:t>
          </w:r>
          <w:r w:rsidRPr="00D94E25">
            <w:rPr>
              <w:rFonts w:eastAsiaTheme="minorEastAsia"/>
              <w:b w:val="0"/>
              <w:caps w:val="0"/>
              <w:noProof/>
              <w:sz w:val="24"/>
              <w:szCs w:val="24"/>
              <w:lang w:eastAsia="ja-JP"/>
            </w:rPr>
            <w:tab/>
          </w:r>
          <w:r w:rsidRPr="00D94E25">
            <w:rPr>
              <w:noProof/>
            </w:rPr>
            <w:t>Introducción</w:t>
          </w:r>
          <w:r w:rsidRPr="00D94E25">
            <w:rPr>
              <w:noProof/>
            </w:rPr>
            <w:tab/>
          </w:r>
          <w:r w:rsidRPr="00D94E25">
            <w:rPr>
              <w:noProof/>
            </w:rPr>
            <w:fldChar w:fldCharType="begin"/>
          </w:r>
          <w:r w:rsidRPr="00D94E25">
            <w:rPr>
              <w:noProof/>
            </w:rPr>
            <w:instrText xml:space="preserve"> PAGEREF _Toc295932899 \h </w:instrText>
          </w:r>
          <w:r w:rsidRPr="00D94E25">
            <w:rPr>
              <w:noProof/>
            </w:rPr>
          </w:r>
          <w:r w:rsidRPr="00D94E25">
            <w:rPr>
              <w:noProof/>
            </w:rPr>
            <w:fldChar w:fldCharType="separate"/>
          </w:r>
          <w:r w:rsidR="00C47F89">
            <w:rPr>
              <w:noProof/>
            </w:rPr>
            <w:t>11</w:t>
          </w:r>
          <w:r w:rsidRPr="00D94E25">
            <w:rPr>
              <w:noProof/>
            </w:rPr>
            <w:fldChar w:fldCharType="end"/>
          </w:r>
        </w:p>
        <w:p w:rsidR="009A35A3" w:rsidRPr="00D94E25" w:rsidRDefault="009A35A3" w:rsidP="003409DE">
          <w:pPr>
            <w:pStyle w:val="TOC2"/>
            <w:tabs>
              <w:tab w:val="left" w:pos="642"/>
              <w:tab w:val="right" w:leader="dot" w:pos="9964"/>
            </w:tabs>
            <w:spacing w:line="240" w:lineRule="auto"/>
            <w:rPr>
              <w:rFonts w:eastAsiaTheme="minorEastAsia"/>
              <w:smallCaps w:val="0"/>
              <w:noProof/>
              <w:sz w:val="24"/>
              <w:szCs w:val="24"/>
              <w:lang w:eastAsia="ja-JP"/>
            </w:rPr>
          </w:pPr>
          <w:r w:rsidRPr="00D94E25">
            <w:rPr>
              <w:noProof/>
            </w:rPr>
            <w:t>A.</w:t>
          </w:r>
          <w:r w:rsidRPr="00D94E25">
            <w:rPr>
              <w:rFonts w:eastAsiaTheme="minorEastAsia"/>
              <w:smallCaps w:val="0"/>
              <w:noProof/>
              <w:sz w:val="24"/>
              <w:szCs w:val="24"/>
              <w:lang w:eastAsia="ja-JP"/>
            </w:rPr>
            <w:tab/>
          </w:r>
          <w:r w:rsidRPr="00D94E25">
            <w:rPr>
              <w:noProof/>
            </w:rPr>
            <w:t>Objetivos</w:t>
          </w:r>
          <w:r w:rsidRPr="00D94E25">
            <w:rPr>
              <w:noProof/>
            </w:rPr>
            <w:tab/>
          </w:r>
          <w:r w:rsidRPr="00D94E25">
            <w:rPr>
              <w:noProof/>
            </w:rPr>
            <w:fldChar w:fldCharType="begin"/>
          </w:r>
          <w:r w:rsidRPr="00D94E25">
            <w:rPr>
              <w:noProof/>
            </w:rPr>
            <w:instrText xml:space="preserve"> PAGEREF _Toc295932900 \h </w:instrText>
          </w:r>
          <w:r w:rsidRPr="00D94E25">
            <w:rPr>
              <w:noProof/>
            </w:rPr>
          </w:r>
          <w:r w:rsidRPr="00D94E25">
            <w:rPr>
              <w:noProof/>
            </w:rPr>
            <w:fldChar w:fldCharType="separate"/>
          </w:r>
          <w:r w:rsidR="00C47F89">
            <w:rPr>
              <w:noProof/>
            </w:rPr>
            <w:t>11</w:t>
          </w:r>
          <w:r w:rsidRPr="00D94E25">
            <w:rPr>
              <w:noProof/>
            </w:rPr>
            <w:fldChar w:fldCharType="end"/>
          </w:r>
        </w:p>
        <w:p w:rsidR="009A35A3" w:rsidRPr="00D94E25" w:rsidRDefault="009A35A3" w:rsidP="003409DE">
          <w:pPr>
            <w:pStyle w:val="TOC2"/>
            <w:tabs>
              <w:tab w:val="left" w:pos="640"/>
              <w:tab w:val="right" w:leader="dot" w:pos="9964"/>
            </w:tabs>
            <w:spacing w:line="240" w:lineRule="auto"/>
            <w:rPr>
              <w:rFonts w:eastAsiaTheme="minorEastAsia"/>
              <w:smallCaps w:val="0"/>
              <w:noProof/>
              <w:sz w:val="24"/>
              <w:szCs w:val="24"/>
              <w:lang w:eastAsia="ja-JP"/>
            </w:rPr>
          </w:pPr>
          <w:r w:rsidRPr="00D94E25">
            <w:rPr>
              <w:noProof/>
            </w:rPr>
            <w:t>B.</w:t>
          </w:r>
          <w:r w:rsidRPr="00D94E25">
            <w:rPr>
              <w:rFonts w:eastAsiaTheme="minorEastAsia"/>
              <w:smallCaps w:val="0"/>
              <w:noProof/>
              <w:sz w:val="24"/>
              <w:szCs w:val="24"/>
              <w:lang w:eastAsia="ja-JP"/>
            </w:rPr>
            <w:tab/>
          </w:r>
          <w:r w:rsidRPr="00D94E25">
            <w:rPr>
              <w:noProof/>
            </w:rPr>
            <w:t>Alcance  y Metodología</w:t>
          </w:r>
          <w:r w:rsidRPr="00D94E25">
            <w:rPr>
              <w:noProof/>
            </w:rPr>
            <w:tab/>
          </w:r>
          <w:r w:rsidRPr="00D94E25">
            <w:rPr>
              <w:noProof/>
            </w:rPr>
            <w:fldChar w:fldCharType="begin"/>
          </w:r>
          <w:r w:rsidRPr="00D94E25">
            <w:rPr>
              <w:noProof/>
            </w:rPr>
            <w:instrText xml:space="preserve"> PAGEREF _Toc295932901 \h </w:instrText>
          </w:r>
          <w:r w:rsidRPr="00D94E25">
            <w:rPr>
              <w:noProof/>
            </w:rPr>
          </w:r>
          <w:r w:rsidRPr="00D94E25">
            <w:rPr>
              <w:noProof/>
            </w:rPr>
            <w:fldChar w:fldCharType="separate"/>
          </w:r>
          <w:r w:rsidR="00C47F89">
            <w:rPr>
              <w:noProof/>
            </w:rPr>
            <w:t>11</w:t>
          </w:r>
          <w:r w:rsidRPr="00D94E25">
            <w:rPr>
              <w:noProof/>
            </w:rPr>
            <w:fldChar w:fldCharType="end"/>
          </w:r>
        </w:p>
        <w:p w:rsidR="009A35A3" w:rsidRPr="00D94E25" w:rsidRDefault="009A35A3" w:rsidP="003409DE">
          <w:pPr>
            <w:pStyle w:val="TOC2"/>
            <w:tabs>
              <w:tab w:val="left" w:pos="629"/>
              <w:tab w:val="right" w:leader="dot" w:pos="9964"/>
            </w:tabs>
            <w:spacing w:line="240" w:lineRule="auto"/>
            <w:rPr>
              <w:rFonts w:eastAsiaTheme="minorEastAsia"/>
              <w:smallCaps w:val="0"/>
              <w:noProof/>
              <w:sz w:val="24"/>
              <w:szCs w:val="24"/>
              <w:lang w:eastAsia="ja-JP"/>
            </w:rPr>
          </w:pPr>
          <w:r w:rsidRPr="00D94E25">
            <w:rPr>
              <w:noProof/>
            </w:rPr>
            <w:t>C.</w:t>
          </w:r>
          <w:r w:rsidRPr="00D94E25">
            <w:rPr>
              <w:rFonts w:eastAsiaTheme="minorEastAsia"/>
              <w:smallCaps w:val="0"/>
              <w:noProof/>
              <w:sz w:val="24"/>
              <w:szCs w:val="24"/>
              <w:lang w:eastAsia="ja-JP"/>
            </w:rPr>
            <w:tab/>
          </w:r>
          <w:r w:rsidRPr="00D94E25">
            <w:rPr>
              <w:noProof/>
            </w:rPr>
            <w:t xml:space="preserve">Proceso </w:t>
          </w:r>
          <w:r w:rsidR="00F023F8">
            <w:rPr>
              <w:noProof/>
            </w:rPr>
            <w:t xml:space="preserve">para el </w:t>
          </w:r>
          <w:r w:rsidRPr="00D94E25">
            <w:rPr>
              <w:noProof/>
            </w:rPr>
            <w:t>Diagnóstico</w:t>
          </w:r>
          <w:r w:rsidRPr="00D94E25">
            <w:rPr>
              <w:noProof/>
            </w:rPr>
            <w:tab/>
          </w:r>
          <w:r w:rsidRPr="00D94E25">
            <w:rPr>
              <w:noProof/>
            </w:rPr>
            <w:fldChar w:fldCharType="begin"/>
          </w:r>
          <w:r w:rsidRPr="00D94E25">
            <w:rPr>
              <w:noProof/>
            </w:rPr>
            <w:instrText xml:space="preserve"> PAGEREF _Toc295932902 \h </w:instrText>
          </w:r>
          <w:r w:rsidRPr="00D94E25">
            <w:rPr>
              <w:noProof/>
            </w:rPr>
          </w:r>
          <w:r w:rsidRPr="00D94E25">
            <w:rPr>
              <w:noProof/>
            </w:rPr>
            <w:fldChar w:fldCharType="separate"/>
          </w:r>
          <w:r w:rsidR="00C47F89">
            <w:rPr>
              <w:noProof/>
            </w:rPr>
            <w:t>12</w:t>
          </w:r>
          <w:r w:rsidRPr="00D94E25">
            <w:rPr>
              <w:noProof/>
            </w:rPr>
            <w:fldChar w:fldCharType="end"/>
          </w:r>
        </w:p>
        <w:p w:rsidR="009A35A3" w:rsidRPr="00D94E25" w:rsidRDefault="009A35A3" w:rsidP="003409DE">
          <w:pPr>
            <w:pStyle w:val="TOC1"/>
            <w:tabs>
              <w:tab w:val="left" w:pos="421"/>
              <w:tab w:val="right" w:leader="dot" w:pos="9964"/>
            </w:tabs>
            <w:spacing w:line="240" w:lineRule="auto"/>
            <w:rPr>
              <w:rFonts w:eastAsiaTheme="minorEastAsia"/>
              <w:b w:val="0"/>
              <w:caps w:val="0"/>
              <w:noProof/>
              <w:sz w:val="24"/>
              <w:szCs w:val="24"/>
              <w:lang w:eastAsia="ja-JP"/>
            </w:rPr>
          </w:pPr>
          <w:r w:rsidRPr="00D94E25">
            <w:rPr>
              <w:noProof/>
            </w:rPr>
            <w:t>3.</w:t>
          </w:r>
          <w:r w:rsidRPr="00D94E25">
            <w:rPr>
              <w:rFonts w:eastAsiaTheme="minorEastAsia"/>
              <w:b w:val="0"/>
              <w:caps w:val="0"/>
              <w:noProof/>
              <w:sz w:val="24"/>
              <w:szCs w:val="24"/>
              <w:lang w:eastAsia="ja-JP"/>
            </w:rPr>
            <w:tab/>
          </w:r>
          <w:r w:rsidR="00D94E25" w:rsidRPr="00D94E25">
            <w:rPr>
              <w:noProof/>
            </w:rPr>
            <w:t>FUNCIONES</w:t>
          </w:r>
          <w:r w:rsidR="00320BD6" w:rsidRPr="00D94E25">
            <w:rPr>
              <w:noProof/>
            </w:rPr>
            <w:t>, responsabilidades</w:t>
          </w:r>
          <w:r w:rsidR="00975882" w:rsidRPr="00D94E25">
            <w:rPr>
              <w:noProof/>
            </w:rPr>
            <w:t xml:space="preserve"> y </w:t>
          </w:r>
          <w:r w:rsidR="00D94E25" w:rsidRPr="00D94E25">
            <w:rPr>
              <w:noProof/>
            </w:rPr>
            <w:t xml:space="preserve">organización </w:t>
          </w:r>
          <w:r w:rsidRPr="00D94E25">
            <w:rPr>
              <w:noProof/>
            </w:rPr>
            <w:t>de la Contraloría</w:t>
          </w:r>
          <w:r w:rsidRPr="00D94E25">
            <w:rPr>
              <w:noProof/>
            </w:rPr>
            <w:tab/>
          </w:r>
          <w:r w:rsidRPr="00D94E25">
            <w:rPr>
              <w:noProof/>
            </w:rPr>
            <w:fldChar w:fldCharType="begin"/>
          </w:r>
          <w:r w:rsidRPr="00D94E25">
            <w:rPr>
              <w:noProof/>
            </w:rPr>
            <w:instrText xml:space="preserve"> PAGEREF _Toc295932903 \h </w:instrText>
          </w:r>
          <w:r w:rsidRPr="00D94E25">
            <w:rPr>
              <w:noProof/>
            </w:rPr>
          </w:r>
          <w:r w:rsidRPr="00D94E25">
            <w:rPr>
              <w:noProof/>
            </w:rPr>
            <w:fldChar w:fldCharType="separate"/>
          </w:r>
          <w:r w:rsidR="00C47F89">
            <w:rPr>
              <w:noProof/>
            </w:rPr>
            <w:t>14</w:t>
          </w:r>
          <w:r w:rsidRPr="00D94E25">
            <w:rPr>
              <w:noProof/>
            </w:rPr>
            <w:fldChar w:fldCharType="end"/>
          </w:r>
        </w:p>
        <w:p w:rsidR="009A35A3" w:rsidRPr="00D94E25" w:rsidRDefault="009A35A3" w:rsidP="003409DE">
          <w:pPr>
            <w:pStyle w:val="TOC1"/>
            <w:tabs>
              <w:tab w:val="left" w:pos="421"/>
              <w:tab w:val="right" w:leader="dot" w:pos="9964"/>
            </w:tabs>
            <w:spacing w:line="240" w:lineRule="auto"/>
            <w:rPr>
              <w:rFonts w:eastAsiaTheme="minorEastAsia"/>
              <w:b w:val="0"/>
              <w:caps w:val="0"/>
              <w:noProof/>
              <w:sz w:val="24"/>
              <w:szCs w:val="24"/>
              <w:lang w:eastAsia="ja-JP"/>
            </w:rPr>
          </w:pPr>
          <w:r w:rsidRPr="00D94E25">
            <w:rPr>
              <w:noProof/>
            </w:rPr>
            <w:t>4.</w:t>
          </w:r>
          <w:r w:rsidRPr="00D94E25">
            <w:rPr>
              <w:rFonts w:eastAsiaTheme="minorEastAsia"/>
              <w:b w:val="0"/>
              <w:caps w:val="0"/>
              <w:noProof/>
              <w:sz w:val="24"/>
              <w:szCs w:val="24"/>
              <w:lang w:eastAsia="ja-JP"/>
            </w:rPr>
            <w:tab/>
          </w:r>
          <w:r w:rsidRPr="00D94E25">
            <w:rPr>
              <w:noProof/>
            </w:rPr>
            <w:t>Diagnóstico del Ambiente, la Capacidad y el Desempeño de la Contraloría</w:t>
          </w:r>
          <w:r w:rsidRPr="00D94E25">
            <w:rPr>
              <w:noProof/>
            </w:rPr>
            <w:tab/>
          </w:r>
          <w:r w:rsidR="00DC2098" w:rsidRPr="00D94E25">
            <w:rPr>
              <w:noProof/>
            </w:rPr>
            <w:t>1</w:t>
          </w:r>
          <w:r w:rsidR="00D94E25" w:rsidRPr="00D94E25">
            <w:rPr>
              <w:noProof/>
            </w:rPr>
            <w:t>7</w:t>
          </w:r>
        </w:p>
        <w:p w:rsidR="009A35A3" w:rsidRPr="00D94E25" w:rsidRDefault="009A35A3" w:rsidP="003409DE">
          <w:pPr>
            <w:pStyle w:val="TOC2"/>
            <w:tabs>
              <w:tab w:val="left" w:pos="642"/>
              <w:tab w:val="right" w:leader="dot" w:pos="9964"/>
            </w:tabs>
            <w:spacing w:line="240" w:lineRule="auto"/>
            <w:rPr>
              <w:rFonts w:eastAsiaTheme="minorEastAsia"/>
              <w:smallCaps w:val="0"/>
              <w:noProof/>
              <w:sz w:val="24"/>
              <w:szCs w:val="24"/>
              <w:lang w:eastAsia="ja-JP"/>
            </w:rPr>
          </w:pPr>
          <w:r w:rsidRPr="00D94E25">
            <w:rPr>
              <w:noProof/>
            </w:rPr>
            <w:t>A.</w:t>
          </w:r>
          <w:r w:rsidRPr="00D94E25">
            <w:rPr>
              <w:rFonts w:eastAsiaTheme="minorEastAsia"/>
              <w:smallCaps w:val="0"/>
              <w:noProof/>
              <w:sz w:val="24"/>
              <w:szCs w:val="24"/>
              <w:lang w:eastAsia="ja-JP"/>
            </w:rPr>
            <w:tab/>
          </w:r>
          <w:r w:rsidRPr="00D94E25">
            <w:rPr>
              <w:noProof/>
            </w:rPr>
            <w:t>Dominio A: Desempeño de la EFS</w:t>
          </w:r>
          <w:r w:rsidRPr="00D94E25">
            <w:rPr>
              <w:noProof/>
            </w:rPr>
            <w:tab/>
          </w:r>
          <w:r w:rsidR="00DC2098" w:rsidRPr="00D94E25">
            <w:rPr>
              <w:noProof/>
            </w:rPr>
            <w:t>1</w:t>
          </w:r>
          <w:r w:rsidR="00D94E25" w:rsidRPr="00D94E25">
            <w:rPr>
              <w:noProof/>
            </w:rPr>
            <w:t>7</w:t>
          </w:r>
        </w:p>
        <w:p w:rsidR="009A35A3" w:rsidRPr="00D94E25" w:rsidRDefault="009A35A3" w:rsidP="003409DE">
          <w:pPr>
            <w:pStyle w:val="TOC3"/>
            <w:tabs>
              <w:tab w:val="left" w:pos="840"/>
              <w:tab w:val="right" w:leader="dot" w:pos="9964"/>
            </w:tabs>
            <w:spacing w:line="240" w:lineRule="auto"/>
            <w:rPr>
              <w:rFonts w:eastAsiaTheme="minorEastAsia"/>
              <w:i w:val="0"/>
              <w:noProof/>
              <w:sz w:val="24"/>
              <w:szCs w:val="24"/>
              <w:lang w:eastAsia="ja-JP"/>
            </w:rPr>
          </w:pPr>
          <w:r w:rsidRPr="00D94E25">
            <w:rPr>
              <w:i w:val="0"/>
              <w:noProof/>
            </w:rPr>
            <w:t>a.</w:t>
          </w:r>
          <w:r w:rsidRPr="00D94E25">
            <w:rPr>
              <w:rFonts w:eastAsiaTheme="minorEastAsia"/>
              <w:i w:val="0"/>
              <w:noProof/>
              <w:sz w:val="24"/>
              <w:szCs w:val="24"/>
              <w:lang w:eastAsia="ja-JP"/>
            </w:rPr>
            <w:tab/>
          </w:r>
          <w:r w:rsidRPr="00D94E25">
            <w:rPr>
              <w:i w:val="0"/>
              <w:noProof/>
            </w:rPr>
            <w:t>EFS 1 – Resultados de la Auditoría Financiera</w:t>
          </w:r>
          <w:r w:rsidRPr="00D94E25">
            <w:rPr>
              <w:i w:val="0"/>
              <w:noProof/>
            </w:rPr>
            <w:tab/>
          </w:r>
          <w:r w:rsidR="00DC2098" w:rsidRPr="00D94E25">
            <w:rPr>
              <w:i w:val="0"/>
              <w:noProof/>
            </w:rPr>
            <w:t>1</w:t>
          </w:r>
          <w:r w:rsidR="00D94E25" w:rsidRPr="00D94E25">
            <w:rPr>
              <w:i w:val="0"/>
              <w:noProof/>
            </w:rPr>
            <w:t>7</w:t>
          </w:r>
        </w:p>
        <w:p w:rsidR="009A35A3" w:rsidRPr="00D94E25" w:rsidRDefault="009A35A3" w:rsidP="003409DE">
          <w:pPr>
            <w:pStyle w:val="TOC3"/>
            <w:tabs>
              <w:tab w:val="left" w:pos="838"/>
              <w:tab w:val="right" w:leader="dot" w:pos="9964"/>
            </w:tabs>
            <w:spacing w:line="240" w:lineRule="auto"/>
            <w:rPr>
              <w:rFonts w:eastAsiaTheme="minorEastAsia"/>
              <w:i w:val="0"/>
              <w:noProof/>
              <w:sz w:val="24"/>
              <w:szCs w:val="24"/>
              <w:lang w:eastAsia="ja-JP"/>
            </w:rPr>
          </w:pPr>
          <w:r w:rsidRPr="00D94E25">
            <w:rPr>
              <w:i w:val="0"/>
              <w:noProof/>
            </w:rPr>
            <w:t>b.</w:t>
          </w:r>
          <w:r w:rsidRPr="00D94E25">
            <w:rPr>
              <w:rFonts w:eastAsiaTheme="minorEastAsia"/>
              <w:i w:val="0"/>
              <w:noProof/>
              <w:sz w:val="24"/>
              <w:szCs w:val="24"/>
              <w:lang w:eastAsia="ja-JP"/>
            </w:rPr>
            <w:tab/>
          </w:r>
          <w:r w:rsidRPr="00D94E25">
            <w:rPr>
              <w:i w:val="0"/>
              <w:noProof/>
            </w:rPr>
            <w:t>EFS 2 – Resultados de la Auditoría de Cumplimiento</w:t>
          </w:r>
          <w:r w:rsidRPr="00D94E25">
            <w:rPr>
              <w:i w:val="0"/>
              <w:noProof/>
            </w:rPr>
            <w:tab/>
          </w:r>
          <w:r w:rsidRPr="00D94E25">
            <w:rPr>
              <w:i w:val="0"/>
              <w:noProof/>
            </w:rPr>
            <w:fldChar w:fldCharType="begin"/>
          </w:r>
          <w:r w:rsidRPr="00D94E25">
            <w:rPr>
              <w:i w:val="0"/>
              <w:noProof/>
            </w:rPr>
            <w:instrText xml:space="preserve"> PAGEREF _Toc295932907 \h </w:instrText>
          </w:r>
          <w:r w:rsidRPr="00D94E25">
            <w:rPr>
              <w:i w:val="0"/>
              <w:noProof/>
            </w:rPr>
          </w:r>
          <w:r w:rsidRPr="00D94E25">
            <w:rPr>
              <w:i w:val="0"/>
              <w:noProof/>
            </w:rPr>
            <w:fldChar w:fldCharType="separate"/>
          </w:r>
          <w:r w:rsidR="00C47F89">
            <w:rPr>
              <w:i w:val="0"/>
              <w:noProof/>
            </w:rPr>
            <w:t>20</w:t>
          </w:r>
          <w:r w:rsidRPr="00D94E25">
            <w:rPr>
              <w:i w:val="0"/>
              <w:noProof/>
            </w:rPr>
            <w:fldChar w:fldCharType="end"/>
          </w:r>
        </w:p>
        <w:p w:rsidR="009A35A3" w:rsidRPr="00D94E25" w:rsidRDefault="009A35A3" w:rsidP="003409DE">
          <w:pPr>
            <w:pStyle w:val="TOC3"/>
            <w:tabs>
              <w:tab w:val="left" w:pos="819"/>
              <w:tab w:val="right" w:leader="dot" w:pos="9964"/>
            </w:tabs>
            <w:spacing w:line="240" w:lineRule="auto"/>
            <w:rPr>
              <w:rFonts w:eastAsiaTheme="minorEastAsia"/>
              <w:i w:val="0"/>
              <w:noProof/>
              <w:sz w:val="24"/>
              <w:szCs w:val="24"/>
              <w:lang w:eastAsia="ja-JP"/>
            </w:rPr>
          </w:pPr>
          <w:r w:rsidRPr="00D94E25">
            <w:rPr>
              <w:i w:val="0"/>
              <w:noProof/>
            </w:rPr>
            <w:t>c.</w:t>
          </w:r>
          <w:r w:rsidRPr="00D94E25">
            <w:rPr>
              <w:rFonts w:eastAsiaTheme="minorEastAsia"/>
              <w:i w:val="0"/>
              <w:noProof/>
              <w:sz w:val="24"/>
              <w:szCs w:val="24"/>
              <w:lang w:eastAsia="ja-JP"/>
            </w:rPr>
            <w:tab/>
          </w:r>
          <w:r w:rsidRPr="00D94E25">
            <w:rPr>
              <w:i w:val="0"/>
              <w:noProof/>
            </w:rPr>
            <w:t>EFS 3 – Resultados de la Auditoría de Desempeño</w:t>
          </w:r>
          <w:r w:rsidRPr="00D94E25">
            <w:rPr>
              <w:i w:val="0"/>
              <w:noProof/>
            </w:rPr>
            <w:tab/>
          </w:r>
          <w:r w:rsidRPr="00D94E25">
            <w:rPr>
              <w:i w:val="0"/>
              <w:noProof/>
            </w:rPr>
            <w:fldChar w:fldCharType="begin"/>
          </w:r>
          <w:r w:rsidRPr="00D94E25">
            <w:rPr>
              <w:i w:val="0"/>
              <w:noProof/>
            </w:rPr>
            <w:instrText xml:space="preserve"> PAGEREF _Toc295932908 \h </w:instrText>
          </w:r>
          <w:r w:rsidRPr="00D94E25">
            <w:rPr>
              <w:i w:val="0"/>
              <w:noProof/>
            </w:rPr>
          </w:r>
          <w:r w:rsidRPr="00D94E25">
            <w:rPr>
              <w:i w:val="0"/>
              <w:noProof/>
            </w:rPr>
            <w:fldChar w:fldCharType="separate"/>
          </w:r>
          <w:r w:rsidR="00C47F89">
            <w:rPr>
              <w:i w:val="0"/>
              <w:noProof/>
            </w:rPr>
            <w:t>21</w:t>
          </w:r>
          <w:r w:rsidRPr="00D94E25">
            <w:rPr>
              <w:i w:val="0"/>
              <w:noProof/>
            </w:rPr>
            <w:fldChar w:fldCharType="end"/>
          </w:r>
        </w:p>
        <w:p w:rsidR="009A35A3" w:rsidRPr="00D94E25" w:rsidRDefault="009A35A3" w:rsidP="003409DE">
          <w:pPr>
            <w:pStyle w:val="TOC3"/>
            <w:tabs>
              <w:tab w:val="left" w:pos="839"/>
              <w:tab w:val="right" w:leader="dot" w:pos="9964"/>
            </w:tabs>
            <w:spacing w:line="240" w:lineRule="auto"/>
            <w:rPr>
              <w:rFonts w:eastAsiaTheme="minorEastAsia"/>
              <w:i w:val="0"/>
              <w:noProof/>
              <w:sz w:val="24"/>
              <w:szCs w:val="24"/>
              <w:lang w:eastAsia="ja-JP"/>
            </w:rPr>
          </w:pPr>
          <w:r w:rsidRPr="00D94E25">
            <w:rPr>
              <w:rFonts w:eastAsia="Calibri" w:cs="Times New Roman"/>
              <w:i w:val="0"/>
              <w:noProof/>
            </w:rPr>
            <w:t>d.</w:t>
          </w:r>
          <w:r w:rsidRPr="00D94E25">
            <w:rPr>
              <w:rFonts w:eastAsiaTheme="minorEastAsia"/>
              <w:i w:val="0"/>
              <w:noProof/>
              <w:sz w:val="24"/>
              <w:szCs w:val="24"/>
              <w:lang w:eastAsia="ja-JP"/>
            </w:rPr>
            <w:tab/>
          </w:r>
          <w:r w:rsidRPr="00D94E25">
            <w:rPr>
              <w:rFonts w:eastAsia="Calibri" w:cs="Times New Roman"/>
              <w:i w:val="0"/>
              <w:noProof/>
            </w:rPr>
            <w:t>EFS 5 – Informe Anual de la EFS y otros Informes</w:t>
          </w:r>
          <w:r w:rsidRPr="00D94E25">
            <w:rPr>
              <w:i w:val="0"/>
              <w:noProof/>
            </w:rPr>
            <w:tab/>
          </w:r>
          <w:r w:rsidRPr="00D94E25">
            <w:rPr>
              <w:i w:val="0"/>
              <w:noProof/>
            </w:rPr>
            <w:fldChar w:fldCharType="begin"/>
          </w:r>
          <w:r w:rsidRPr="00D94E25">
            <w:rPr>
              <w:i w:val="0"/>
              <w:noProof/>
            </w:rPr>
            <w:instrText xml:space="preserve"> PAGEREF _Toc295932909 \h </w:instrText>
          </w:r>
          <w:r w:rsidRPr="00D94E25">
            <w:rPr>
              <w:i w:val="0"/>
              <w:noProof/>
            </w:rPr>
          </w:r>
          <w:r w:rsidRPr="00D94E25">
            <w:rPr>
              <w:i w:val="0"/>
              <w:noProof/>
            </w:rPr>
            <w:fldChar w:fldCharType="separate"/>
          </w:r>
          <w:r w:rsidR="00C47F89">
            <w:rPr>
              <w:i w:val="0"/>
              <w:noProof/>
            </w:rPr>
            <w:t>23</w:t>
          </w:r>
          <w:r w:rsidRPr="00D94E25">
            <w:rPr>
              <w:i w:val="0"/>
              <w:noProof/>
            </w:rPr>
            <w:fldChar w:fldCharType="end"/>
          </w:r>
        </w:p>
        <w:p w:rsidR="009A35A3" w:rsidRPr="00D94E25" w:rsidRDefault="009A35A3" w:rsidP="003409DE">
          <w:pPr>
            <w:pStyle w:val="TOC2"/>
            <w:tabs>
              <w:tab w:val="left" w:pos="640"/>
              <w:tab w:val="right" w:leader="dot" w:pos="9964"/>
            </w:tabs>
            <w:spacing w:line="240" w:lineRule="auto"/>
            <w:rPr>
              <w:rFonts w:eastAsiaTheme="minorEastAsia"/>
              <w:smallCaps w:val="0"/>
              <w:noProof/>
              <w:sz w:val="24"/>
              <w:szCs w:val="24"/>
              <w:lang w:eastAsia="ja-JP"/>
            </w:rPr>
          </w:pPr>
          <w:r w:rsidRPr="00D94E25">
            <w:rPr>
              <w:noProof/>
            </w:rPr>
            <w:t>B.</w:t>
          </w:r>
          <w:r w:rsidRPr="00D94E25">
            <w:rPr>
              <w:rFonts w:eastAsiaTheme="minorEastAsia"/>
              <w:smallCaps w:val="0"/>
              <w:noProof/>
              <w:sz w:val="24"/>
              <w:szCs w:val="24"/>
              <w:lang w:eastAsia="ja-JP"/>
            </w:rPr>
            <w:tab/>
          </w:r>
          <w:r w:rsidRPr="00D94E25">
            <w:rPr>
              <w:noProof/>
            </w:rPr>
            <w:t>Dominio B: Independencia y Marco Legal</w:t>
          </w:r>
          <w:r w:rsidRPr="00D94E25">
            <w:rPr>
              <w:noProof/>
            </w:rPr>
            <w:tab/>
          </w:r>
          <w:r w:rsidRPr="00D94E25">
            <w:rPr>
              <w:noProof/>
            </w:rPr>
            <w:fldChar w:fldCharType="begin"/>
          </w:r>
          <w:r w:rsidRPr="00D94E25">
            <w:rPr>
              <w:noProof/>
            </w:rPr>
            <w:instrText xml:space="preserve"> PAGEREF _Toc295932910 \h </w:instrText>
          </w:r>
          <w:r w:rsidRPr="00D94E25">
            <w:rPr>
              <w:noProof/>
            </w:rPr>
          </w:r>
          <w:r w:rsidRPr="00D94E25">
            <w:rPr>
              <w:noProof/>
            </w:rPr>
            <w:fldChar w:fldCharType="separate"/>
          </w:r>
          <w:r w:rsidR="00C47F89">
            <w:rPr>
              <w:noProof/>
            </w:rPr>
            <w:t>26</w:t>
          </w:r>
          <w:r w:rsidRPr="00D94E25">
            <w:rPr>
              <w:noProof/>
            </w:rPr>
            <w:fldChar w:fldCharType="end"/>
          </w:r>
        </w:p>
        <w:p w:rsidR="009A35A3" w:rsidRPr="00D94E25" w:rsidRDefault="009A35A3" w:rsidP="003409DE">
          <w:pPr>
            <w:pStyle w:val="TOC3"/>
            <w:tabs>
              <w:tab w:val="left" w:pos="840"/>
              <w:tab w:val="right" w:leader="dot" w:pos="9964"/>
            </w:tabs>
            <w:spacing w:line="240" w:lineRule="auto"/>
            <w:rPr>
              <w:rFonts w:eastAsiaTheme="minorEastAsia"/>
              <w:i w:val="0"/>
              <w:noProof/>
              <w:sz w:val="24"/>
              <w:szCs w:val="24"/>
              <w:lang w:eastAsia="ja-JP"/>
            </w:rPr>
          </w:pPr>
          <w:r w:rsidRPr="00D94E25">
            <w:rPr>
              <w:i w:val="0"/>
              <w:noProof/>
            </w:rPr>
            <w:t>a.</w:t>
          </w:r>
          <w:r w:rsidRPr="00D94E25">
            <w:rPr>
              <w:rFonts w:eastAsiaTheme="minorEastAsia"/>
              <w:i w:val="0"/>
              <w:noProof/>
              <w:sz w:val="24"/>
              <w:szCs w:val="24"/>
              <w:lang w:eastAsia="ja-JP"/>
            </w:rPr>
            <w:tab/>
          </w:r>
          <w:r w:rsidRPr="00D94E25">
            <w:rPr>
              <w:i w:val="0"/>
              <w:noProof/>
            </w:rPr>
            <w:t>EFS 6 – Independencia de la EFS</w:t>
          </w:r>
          <w:r w:rsidRPr="00D94E25">
            <w:rPr>
              <w:i w:val="0"/>
              <w:noProof/>
            </w:rPr>
            <w:tab/>
          </w:r>
          <w:r w:rsidRPr="00D94E25">
            <w:rPr>
              <w:i w:val="0"/>
              <w:noProof/>
            </w:rPr>
            <w:fldChar w:fldCharType="begin"/>
          </w:r>
          <w:r w:rsidRPr="00D94E25">
            <w:rPr>
              <w:i w:val="0"/>
              <w:noProof/>
            </w:rPr>
            <w:instrText xml:space="preserve"> PAGEREF _Toc295932911 \h </w:instrText>
          </w:r>
          <w:r w:rsidRPr="00D94E25">
            <w:rPr>
              <w:i w:val="0"/>
              <w:noProof/>
            </w:rPr>
          </w:r>
          <w:r w:rsidRPr="00D94E25">
            <w:rPr>
              <w:i w:val="0"/>
              <w:noProof/>
            </w:rPr>
            <w:fldChar w:fldCharType="separate"/>
          </w:r>
          <w:r w:rsidR="00C47F89">
            <w:rPr>
              <w:i w:val="0"/>
              <w:noProof/>
            </w:rPr>
            <w:t>26</w:t>
          </w:r>
          <w:r w:rsidRPr="00D94E25">
            <w:rPr>
              <w:i w:val="0"/>
              <w:noProof/>
            </w:rPr>
            <w:fldChar w:fldCharType="end"/>
          </w:r>
        </w:p>
        <w:p w:rsidR="009A35A3" w:rsidRPr="00D94E25" w:rsidRDefault="009A35A3" w:rsidP="003409DE">
          <w:pPr>
            <w:pStyle w:val="TOC3"/>
            <w:tabs>
              <w:tab w:val="left" w:pos="838"/>
              <w:tab w:val="right" w:leader="dot" w:pos="9964"/>
            </w:tabs>
            <w:spacing w:line="240" w:lineRule="auto"/>
            <w:rPr>
              <w:rFonts w:eastAsiaTheme="minorEastAsia"/>
              <w:i w:val="0"/>
              <w:noProof/>
              <w:sz w:val="24"/>
              <w:szCs w:val="24"/>
              <w:lang w:eastAsia="ja-JP"/>
            </w:rPr>
          </w:pPr>
          <w:r w:rsidRPr="00D94E25">
            <w:rPr>
              <w:i w:val="0"/>
              <w:noProof/>
            </w:rPr>
            <w:t>b.</w:t>
          </w:r>
          <w:r w:rsidRPr="00D94E25">
            <w:rPr>
              <w:rFonts w:eastAsiaTheme="minorEastAsia"/>
              <w:i w:val="0"/>
              <w:noProof/>
              <w:sz w:val="24"/>
              <w:szCs w:val="24"/>
              <w:lang w:eastAsia="ja-JP"/>
            </w:rPr>
            <w:tab/>
          </w:r>
          <w:r w:rsidRPr="00D94E25">
            <w:rPr>
              <w:i w:val="0"/>
              <w:noProof/>
            </w:rPr>
            <w:t>EFS 7 – Mandato de la EFS</w:t>
          </w:r>
          <w:r w:rsidRPr="00D94E25">
            <w:rPr>
              <w:i w:val="0"/>
              <w:noProof/>
            </w:rPr>
            <w:tab/>
          </w:r>
          <w:r w:rsidR="00D94E25" w:rsidRPr="00D94E25">
            <w:rPr>
              <w:i w:val="0"/>
              <w:noProof/>
            </w:rPr>
            <w:t>29</w:t>
          </w:r>
        </w:p>
        <w:p w:rsidR="009A35A3" w:rsidRPr="00D94E25" w:rsidRDefault="009A35A3" w:rsidP="003409DE">
          <w:pPr>
            <w:pStyle w:val="TOC2"/>
            <w:tabs>
              <w:tab w:val="left" w:pos="629"/>
              <w:tab w:val="right" w:leader="dot" w:pos="9964"/>
            </w:tabs>
            <w:spacing w:line="240" w:lineRule="auto"/>
            <w:rPr>
              <w:rFonts w:eastAsiaTheme="minorEastAsia"/>
              <w:smallCaps w:val="0"/>
              <w:noProof/>
              <w:sz w:val="24"/>
              <w:szCs w:val="24"/>
              <w:lang w:eastAsia="ja-JP"/>
            </w:rPr>
          </w:pPr>
          <w:r w:rsidRPr="00D94E25">
            <w:rPr>
              <w:noProof/>
            </w:rPr>
            <w:t>C.</w:t>
          </w:r>
          <w:r w:rsidRPr="00D94E25">
            <w:rPr>
              <w:rFonts w:eastAsiaTheme="minorEastAsia"/>
              <w:smallCaps w:val="0"/>
              <w:noProof/>
              <w:sz w:val="24"/>
              <w:szCs w:val="24"/>
              <w:lang w:eastAsia="ja-JP"/>
            </w:rPr>
            <w:tab/>
          </w:r>
          <w:r w:rsidRPr="00D94E25">
            <w:rPr>
              <w:noProof/>
            </w:rPr>
            <w:t>Dominio C: Estrategia para el Desarrollo Organizacional</w:t>
          </w:r>
          <w:r w:rsidRPr="00D94E25">
            <w:rPr>
              <w:noProof/>
            </w:rPr>
            <w:tab/>
          </w:r>
          <w:r w:rsidRPr="00D94E25">
            <w:rPr>
              <w:noProof/>
            </w:rPr>
            <w:fldChar w:fldCharType="begin"/>
          </w:r>
          <w:r w:rsidRPr="00D94E25">
            <w:rPr>
              <w:noProof/>
            </w:rPr>
            <w:instrText xml:space="preserve"> PAGEREF _Toc295932913 \h </w:instrText>
          </w:r>
          <w:r w:rsidRPr="00D94E25">
            <w:rPr>
              <w:noProof/>
            </w:rPr>
          </w:r>
          <w:r w:rsidRPr="00D94E25">
            <w:rPr>
              <w:noProof/>
            </w:rPr>
            <w:fldChar w:fldCharType="separate"/>
          </w:r>
          <w:r w:rsidR="00C47F89">
            <w:rPr>
              <w:noProof/>
            </w:rPr>
            <w:t>32</w:t>
          </w:r>
          <w:r w:rsidRPr="00D94E25">
            <w:rPr>
              <w:noProof/>
            </w:rPr>
            <w:fldChar w:fldCharType="end"/>
          </w:r>
        </w:p>
        <w:p w:rsidR="009A35A3" w:rsidRPr="00D94E25" w:rsidRDefault="009A35A3" w:rsidP="003409DE">
          <w:pPr>
            <w:pStyle w:val="TOC3"/>
            <w:tabs>
              <w:tab w:val="left" w:pos="840"/>
              <w:tab w:val="right" w:leader="dot" w:pos="9964"/>
            </w:tabs>
            <w:spacing w:line="240" w:lineRule="auto"/>
            <w:rPr>
              <w:rFonts w:eastAsiaTheme="minorEastAsia"/>
              <w:i w:val="0"/>
              <w:noProof/>
              <w:sz w:val="24"/>
              <w:szCs w:val="24"/>
              <w:lang w:eastAsia="ja-JP"/>
            </w:rPr>
          </w:pPr>
          <w:r w:rsidRPr="00D94E25">
            <w:rPr>
              <w:i w:val="0"/>
              <w:noProof/>
            </w:rPr>
            <w:t>a.</w:t>
          </w:r>
          <w:r w:rsidRPr="00D94E25">
            <w:rPr>
              <w:rFonts w:eastAsiaTheme="minorEastAsia"/>
              <w:i w:val="0"/>
              <w:noProof/>
              <w:sz w:val="24"/>
              <w:szCs w:val="24"/>
              <w:lang w:eastAsia="ja-JP"/>
            </w:rPr>
            <w:tab/>
          </w:r>
          <w:r w:rsidRPr="00D94E25">
            <w:rPr>
              <w:i w:val="0"/>
              <w:noProof/>
            </w:rPr>
            <w:t>EFS 8 – Estrategia para el Desarrollo Organizacional</w:t>
          </w:r>
          <w:r w:rsidRPr="00D94E25">
            <w:rPr>
              <w:i w:val="0"/>
              <w:noProof/>
            </w:rPr>
            <w:tab/>
          </w:r>
          <w:r w:rsidRPr="00D94E25">
            <w:rPr>
              <w:i w:val="0"/>
              <w:noProof/>
            </w:rPr>
            <w:fldChar w:fldCharType="begin"/>
          </w:r>
          <w:r w:rsidRPr="00D94E25">
            <w:rPr>
              <w:i w:val="0"/>
              <w:noProof/>
            </w:rPr>
            <w:instrText xml:space="preserve"> PAGEREF _Toc295932914 \h </w:instrText>
          </w:r>
          <w:r w:rsidRPr="00D94E25">
            <w:rPr>
              <w:i w:val="0"/>
              <w:noProof/>
            </w:rPr>
          </w:r>
          <w:r w:rsidRPr="00D94E25">
            <w:rPr>
              <w:i w:val="0"/>
              <w:noProof/>
            </w:rPr>
            <w:fldChar w:fldCharType="separate"/>
          </w:r>
          <w:r w:rsidR="00C47F89">
            <w:rPr>
              <w:i w:val="0"/>
              <w:noProof/>
            </w:rPr>
            <w:t>32</w:t>
          </w:r>
          <w:r w:rsidRPr="00D94E25">
            <w:rPr>
              <w:i w:val="0"/>
              <w:noProof/>
            </w:rPr>
            <w:fldChar w:fldCharType="end"/>
          </w:r>
        </w:p>
        <w:p w:rsidR="009A35A3" w:rsidRPr="00D94E25" w:rsidRDefault="009A35A3" w:rsidP="003409DE">
          <w:pPr>
            <w:pStyle w:val="TOC2"/>
            <w:tabs>
              <w:tab w:val="left" w:pos="651"/>
              <w:tab w:val="right" w:leader="dot" w:pos="9964"/>
            </w:tabs>
            <w:spacing w:line="240" w:lineRule="auto"/>
            <w:rPr>
              <w:rFonts w:eastAsiaTheme="minorEastAsia"/>
              <w:smallCaps w:val="0"/>
              <w:noProof/>
              <w:sz w:val="24"/>
              <w:szCs w:val="24"/>
              <w:lang w:eastAsia="ja-JP"/>
            </w:rPr>
          </w:pPr>
          <w:r w:rsidRPr="00D94E25">
            <w:rPr>
              <w:noProof/>
            </w:rPr>
            <w:t>D.</w:t>
          </w:r>
          <w:r w:rsidRPr="00D94E25">
            <w:rPr>
              <w:rFonts w:eastAsiaTheme="minorEastAsia"/>
              <w:smallCaps w:val="0"/>
              <w:noProof/>
              <w:sz w:val="24"/>
              <w:szCs w:val="24"/>
              <w:lang w:eastAsia="ja-JP"/>
            </w:rPr>
            <w:tab/>
          </w:r>
          <w:r w:rsidRPr="00D94E25">
            <w:rPr>
              <w:noProof/>
            </w:rPr>
            <w:t>Dominio D: Normas y Metodología de Auditoría</w:t>
          </w:r>
          <w:r w:rsidRPr="00D94E25">
            <w:rPr>
              <w:noProof/>
            </w:rPr>
            <w:tab/>
          </w:r>
          <w:r w:rsidRPr="00D94E25">
            <w:rPr>
              <w:noProof/>
            </w:rPr>
            <w:fldChar w:fldCharType="begin"/>
          </w:r>
          <w:r w:rsidRPr="00D94E25">
            <w:rPr>
              <w:noProof/>
            </w:rPr>
            <w:instrText xml:space="preserve"> PAGEREF _Toc295932915 \h </w:instrText>
          </w:r>
          <w:r w:rsidRPr="00D94E25">
            <w:rPr>
              <w:noProof/>
            </w:rPr>
          </w:r>
          <w:r w:rsidRPr="00D94E25">
            <w:rPr>
              <w:noProof/>
            </w:rPr>
            <w:fldChar w:fldCharType="separate"/>
          </w:r>
          <w:r w:rsidR="00C47F89">
            <w:rPr>
              <w:noProof/>
            </w:rPr>
            <w:t>35</w:t>
          </w:r>
          <w:r w:rsidRPr="00D94E25">
            <w:rPr>
              <w:noProof/>
            </w:rPr>
            <w:fldChar w:fldCharType="end"/>
          </w:r>
        </w:p>
        <w:p w:rsidR="009A35A3" w:rsidRPr="00D94E25" w:rsidRDefault="009A35A3" w:rsidP="003409DE">
          <w:pPr>
            <w:pStyle w:val="TOC3"/>
            <w:tabs>
              <w:tab w:val="left" w:pos="840"/>
              <w:tab w:val="right" w:leader="dot" w:pos="9964"/>
            </w:tabs>
            <w:spacing w:line="240" w:lineRule="auto"/>
            <w:rPr>
              <w:rFonts w:eastAsiaTheme="minorEastAsia"/>
              <w:i w:val="0"/>
              <w:noProof/>
              <w:sz w:val="24"/>
              <w:szCs w:val="24"/>
              <w:lang w:eastAsia="ja-JP"/>
            </w:rPr>
          </w:pPr>
          <w:r w:rsidRPr="00D94E25">
            <w:rPr>
              <w:rFonts w:eastAsia="Calibri" w:cs="Times New Roman"/>
              <w:i w:val="0"/>
              <w:noProof/>
            </w:rPr>
            <w:t>a.</w:t>
          </w:r>
          <w:r w:rsidRPr="00D94E25">
            <w:rPr>
              <w:rFonts w:eastAsiaTheme="minorEastAsia"/>
              <w:i w:val="0"/>
              <w:noProof/>
              <w:sz w:val="24"/>
              <w:szCs w:val="24"/>
              <w:lang w:eastAsia="ja-JP"/>
            </w:rPr>
            <w:tab/>
          </w:r>
          <w:r w:rsidRPr="00D94E25">
            <w:rPr>
              <w:i w:val="0"/>
              <w:noProof/>
            </w:rPr>
            <w:t>EFS 9 – Planificación de auditoría y gestión de la calidad de la</w:t>
          </w:r>
          <w:r w:rsidRPr="00D94E25">
            <w:rPr>
              <w:rFonts w:eastAsia="Calibri" w:cs="Times New Roman"/>
              <w:i w:val="0"/>
              <w:noProof/>
            </w:rPr>
            <w:t xml:space="preserve"> EFS</w:t>
          </w:r>
          <w:r w:rsidRPr="00D94E25">
            <w:rPr>
              <w:i w:val="0"/>
              <w:noProof/>
            </w:rPr>
            <w:tab/>
          </w:r>
          <w:r w:rsidRPr="00D94E25">
            <w:rPr>
              <w:i w:val="0"/>
              <w:noProof/>
            </w:rPr>
            <w:fldChar w:fldCharType="begin"/>
          </w:r>
          <w:r w:rsidRPr="00D94E25">
            <w:rPr>
              <w:i w:val="0"/>
              <w:noProof/>
            </w:rPr>
            <w:instrText xml:space="preserve"> PAGEREF _Toc295932916 \h </w:instrText>
          </w:r>
          <w:r w:rsidRPr="00D94E25">
            <w:rPr>
              <w:i w:val="0"/>
              <w:noProof/>
            </w:rPr>
          </w:r>
          <w:r w:rsidRPr="00D94E25">
            <w:rPr>
              <w:i w:val="0"/>
              <w:noProof/>
            </w:rPr>
            <w:fldChar w:fldCharType="separate"/>
          </w:r>
          <w:r w:rsidR="00C47F89">
            <w:rPr>
              <w:i w:val="0"/>
              <w:noProof/>
            </w:rPr>
            <w:t>35</w:t>
          </w:r>
          <w:r w:rsidRPr="00D94E25">
            <w:rPr>
              <w:i w:val="0"/>
              <w:noProof/>
            </w:rPr>
            <w:fldChar w:fldCharType="end"/>
          </w:r>
        </w:p>
        <w:p w:rsidR="009A35A3" w:rsidRPr="00D94E25" w:rsidRDefault="009A35A3" w:rsidP="003409DE">
          <w:pPr>
            <w:pStyle w:val="TOC3"/>
            <w:tabs>
              <w:tab w:val="left" w:pos="838"/>
              <w:tab w:val="right" w:leader="dot" w:pos="9964"/>
            </w:tabs>
            <w:spacing w:line="240" w:lineRule="auto"/>
            <w:rPr>
              <w:rFonts w:eastAsiaTheme="minorEastAsia"/>
              <w:i w:val="0"/>
              <w:noProof/>
              <w:sz w:val="24"/>
              <w:szCs w:val="24"/>
              <w:lang w:eastAsia="ja-JP"/>
            </w:rPr>
          </w:pPr>
          <w:r w:rsidRPr="00D94E25">
            <w:rPr>
              <w:i w:val="0"/>
              <w:noProof/>
            </w:rPr>
            <w:t>b.</w:t>
          </w:r>
          <w:r w:rsidRPr="00D94E25">
            <w:rPr>
              <w:rFonts w:eastAsiaTheme="minorEastAsia"/>
              <w:i w:val="0"/>
              <w:noProof/>
              <w:sz w:val="24"/>
              <w:szCs w:val="24"/>
              <w:lang w:eastAsia="ja-JP"/>
            </w:rPr>
            <w:tab/>
          </w:r>
          <w:r w:rsidRPr="00D94E25">
            <w:rPr>
              <w:i w:val="0"/>
              <w:noProof/>
            </w:rPr>
            <w:t>EFS 10 – Aseguramiento de la Calidad de los Procesos de Auditoría</w:t>
          </w:r>
          <w:r w:rsidRPr="00D94E25">
            <w:rPr>
              <w:i w:val="0"/>
              <w:noProof/>
            </w:rPr>
            <w:tab/>
          </w:r>
          <w:r w:rsidR="00D94E25" w:rsidRPr="00D94E25">
            <w:rPr>
              <w:i w:val="0"/>
              <w:noProof/>
            </w:rPr>
            <w:t>38</w:t>
          </w:r>
        </w:p>
        <w:p w:rsidR="009A35A3" w:rsidRPr="00D94E25" w:rsidRDefault="009A35A3" w:rsidP="003409DE">
          <w:pPr>
            <w:pStyle w:val="TOC3"/>
            <w:tabs>
              <w:tab w:val="left" w:pos="819"/>
              <w:tab w:val="right" w:leader="dot" w:pos="9964"/>
            </w:tabs>
            <w:spacing w:line="240" w:lineRule="auto"/>
            <w:rPr>
              <w:rFonts w:eastAsiaTheme="minorEastAsia"/>
              <w:i w:val="0"/>
              <w:noProof/>
              <w:sz w:val="24"/>
              <w:szCs w:val="24"/>
              <w:lang w:eastAsia="ja-JP"/>
            </w:rPr>
          </w:pPr>
          <w:r w:rsidRPr="00D94E25">
            <w:rPr>
              <w:i w:val="0"/>
              <w:noProof/>
            </w:rPr>
            <w:t>c.</w:t>
          </w:r>
          <w:r w:rsidRPr="00D94E25">
            <w:rPr>
              <w:rFonts w:eastAsiaTheme="minorEastAsia"/>
              <w:i w:val="0"/>
              <w:noProof/>
              <w:sz w:val="24"/>
              <w:szCs w:val="24"/>
              <w:lang w:eastAsia="ja-JP"/>
            </w:rPr>
            <w:tab/>
          </w:r>
          <w:r w:rsidRPr="00D94E25">
            <w:rPr>
              <w:i w:val="0"/>
              <w:noProof/>
            </w:rPr>
            <w:t>EFS 11 – Fundamentos de la Auditoría Financiera</w:t>
          </w:r>
          <w:r w:rsidRPr="00D94E25">
            <w:rPr>
              <w:i w:val="0"/>
              <w:noProof/>
            </w:rPr>
            <w:tab/>
          </w:r>
          <w:r w:rsidR="00D94E25" w:rsidRPr="00D94E25">
            <w:rPr>
              <w:i w:val="0"/>
              <w:noProof/>
            </w:rPr>
            <w:t>39</w:t>
          </w:r>
        </w:p>
        <w:p w:rsidR="009A35A3" w:rsidRPr="00D94E25" w:rsidRDefault="009A35A3" w:rsidP="003409DE">
          <w:pPr>
            <w:pStyle w:val="TOC3"/>
            <w:tabs>
              <w:tab w:val="left" w:pos="839"/>
              <w:tab w:val="right" w:leader="dot" w:pos="9964"/>
            </w:tabs>
            <w:spacing w:line="240" w:lineRule="auto"/>
            <w:rPr>
              <w:rFonts w:eastAsiaTheme="minorEastAsia"/>
              <w:i w:val="0"/>
              <w:noProof/>
              <w:sz w:val="24"/>
              <w:szCs w:val="24"/>
              <w:lang w:eastAsia="ja-JP"/>
            </w:rPr>
          </w:pPr>
          <w:r w:rsidRPr="00D94E25">
            <w:rPr>
              <w:i w:val="0"/>
              <w:noProof/>
            </w:rPr>
            <w:t>d.</w:t>
          </w:r>
          <w:r w:rsidRPr="00D94E25">
            <w:rPr>
              <w:rFonts w:eastAsiaTheme="minorEastAsia"/>
              <w:i w:val="0"/>
              <w:noProof/>
              <w:sz w:val="24"/>
              <w:szCs w:val="24"/>
              <w:lang w:eastAsia="ja-JP"/>
            </w:rPr>
            <w:tab/>
          </w:r>
          <w:r w:rsidRPr="00D94E25">
            <w:rPr>
              <w:i w:val="0"/>
              <w:noProof/>
            </w:rPr>
            <w:t>EFS 12 – Proceso de la Auditoría Financiera</w:t>
          </w:r>
          <w:r w:rsidRPr="00D94E25">
            <w:rPr>
              <w:i w:val="0"/>
              <w:noProof/>
            </w:rPr>
            <w:tab/>
          </w:r>
          <w:r w:rsidRPr="00D94E25">
            <w:rPr>
              <w:i w:val="0"/>
              <w:noProof/>
            </w:rPr>
            <w:fldChar w:fldCharType="begin"/>
          </w:r>
          <w:r w:rsidRPr="00D94E25">
            <w:rPr>
              <w:i w:val="0"/>
              <w:noProof/>
            </w:rPr>
            <w:instrText xml:space="preserve"> PAGEREF _Toc295932919 \h </w:instrText>
          </w:r>
          <w:r w:rsidRPr="00D94E25">
            <w:rPr>
              <w:i w:val="0"/>
              <w:noProof/>
            </w:rPr>
          </w:r>
          <w:r w:rsidRPr="00D94E25">
            <w:rPr>
              <w:i w:val="0"/>
              <w:noProof/>
            </w:rPr>
            <w:fldChar w:fldCharType="separate"/>
          </w:r>
          <w:r w:rsidR="00C47F89">
            <w:rPr>
              <w:i w:val="0"/>
              <w:noProof/>
            </w:rPr>
            <w:t>41</w:t>
          </w:r>
          <w:r w:rsidRPr="00D94E25">
            <w:rPr>
              <w:i w:val="0"/>
              <w:noProof/>
            </w:rPr>
            <w:fldChar w:fldCharType="end"/>
          </w:r>
        </w:p>
        <w:p w:rsidR="009A35A3" w:rsidRPr="00D94E25" w:rsidRDefault="009A35A3" w:rsidP="003409DE">
          <w:pPr>
            <w:pStyle w:val="TOC3"/>
            <w:tabs>
              <w:tab w:val="left" w:pos="824"/>
              <w:tab w:val="right" w:leader="dot" w:pos="9964"/>
            </w:tabs>
            <w:spacing w:line="240" w:lineRule="auto"/>
            <w:rPr>
              <w:rFonts w:eastAsiaTheme="minorEastAsia"/>
              <w:i w:val="0"/>
              <w:noProof/>
              <w:sz w:val="24"/>
              <w:szCs w:val="24"/>
              <w:lang w:eastAsia="ja-JP"/>
            </w:rPr>
          </w:pPr>
          <w:r w:rsidRPr="00D94E25">
            <w:rPr>
              <w:i w:val="0"/>
              <w:noProof/>
            </w:rPr>
            <w:t>e.</w:t>
          </w:r>
          <w:r w:rsidRPr="00D94E25">
            <w:rPr>
              <w:rFonts w:eastAsiaTheme="minorEastAsia"/>
              <w:i w:val="0"/>
              <w:noProof/>
              <w:sz w:val="24"/>
              <w:szCs w:val="24"/>
              <w:lang w:eastAsia="ja-JP"/>
            </w:rPr>
            <w:tab/>
          </w:r>
          <w:r w:rsidRPr="00D94E25">
            <w:rPr>
              <w:i w:val="0"/>
              <w:noProof/>
            </w:rPr>
            <w:t>EFS 13 – Fundamentos de la Auditoría de Cumplimiento</w:t>
          </w:r>
          <w:r w:rsidRPr="00D94E25">
            <w:rPr>
              <w:i w:val="0"/>
              <w:noProof/>
            </w:rPr>
            <w:tab/>
          </w:r>
          <w:r w:rsidRPr="00D94E25">
            <w:rPr>
              <w:i w:val="0"/>
              <w:noProof/>
            </w:rPr>
            <w:fldChar w:fldCharType="begin"/>
          </w:r>
          <w:r w:rsidRPr="00D94E25">
            <w:rPr>
              <w:i w:val="0"/>
              <w:noProof/>
            </w:rPr>
            <w:instrText xml:space="preserve"> PAGEREF _Toc295932920 \h </w:instrText>
          </w:r>
          <w:r w:rsidRPr="00D94E25">
            <w:rPr>
              <w:i w:val="0"/>
              <w:noProof/>
            </w:rPr>
          </w:r>
          <w:r w:rsidRPr="00D94E25">
            <w:rPr>
              <w:i w:val="0"/>
              <w:noProof/>
            </w:rPr>
            <w:fldChar w:fldCharType="separate"/>
          </w:r>
          <w:r w:rsidR="00C47F89">
            <w:rPr>
              <w:i w:val="0"/>
              <w:noProof/>
            </w:rPr>
            <w:t>45</w:t>
          </w:r>
          <w:r w:rsidRPr="00D94E25">
            <w:rPr>
              <w:i w:val="0"/>
              <w:noProof/>
            </w:rPr>
            <w:fldChar w:fldCharType="end"/>
          </w:r>
        </w:p>
        <w:p w:rsidR="009A35A3" w:rsidRPr="00D94E25" w:rsidRDefault="009A35A3" w:rsidP="003409DE">
          <w:pPr>
            <w:pStyle w:val="TOC3"/>
            <w:tabs>
              <w:tab w:val="left" w:pos="788"/>
              <w:tab w:val="right" w:leader="dot" w:pos="9964"/>
            </w:tabs>
            <w:spacing w:line="240" w:lineRule="auto"/>
            <w:rPr>
              <w:rFonts w:eastAsiaTheme="minorEastAsia"/>
              <w:i w:val="0"/>
              <w:noProof/>
              <w:sz w:val="24"/>
              <w:szCs w:val="24"/>
              <w:lang w:eastAsia="ja-JP"/>
            </w:rPr>
          </w:pPr>
          <w:r w:rsidRPr="00D94E25">
            <w:rPr>
              <w:i w:val="0"/>
              <w:noProof/>
            </w:rPr>
            <w:t>f.</w:t>
          </w:r>
          <w:r w:rsidRPr="00D94E25">
            <w:rPr>
              <w:rFonts w:eastAsiaTheme="minorEastAsia"/>
              <w:i w:val="0"/>
              <w:noProof/>
              <w:sz w:val="24"/>
              <w:szCs w:val="24"/>
              <w:lang w:eastAsia="ja-JP"/>
            </w:rPr>
            <w:tab/>
          </w:r>
          <w:r w:rsidRPr="00D94E25">
            <w:rPr>
              <w:i w:val="0"/>
              <w:noProof/>
            </w:rPr>
            <w:t>EFS 14 – Proceso de la Auditoría de Cumplimiento</w:t>
          </w:r>
          <w:r w:rsidRPr="00D94E25">
            <w:rPr>
              <w:i w:val="0"/>
              <w:noProof/>
            </w:rPr>
            <w:tab/>
          </w:r>
          <w:r w:rsidR="00D94E25" w:rsidRPr="00D94E25">
            <w:rPr>
              <w:i w:val="0"/>
              <w:noProof/>
            </w:rPr>
            <w:t>47</w:t>
          </w:r>
        </w:p>
        <w:p w:rsidR="009A35A3" w:rsidRPr="00D94E25" w:rsidRDefault="009A35A3" w:rsidP="003409DE">
          <w:pPr>
            <w:pStyle w:val="TOC3"/>
            <w:tabs>
              <w:tab w:val="left" w:pos="839"/>
              <w:tab w:val="right" w:leader="dot" w:pos="9964"/>
            </w:tabs>
            <w:spacing w:line="240" w:lineRule="auto"/>
            <w:rPr>
              <w:rFonts w:eastAsiaTheme="minorEastAsia"/>
              <w:i w:val="0"/>
              <w:noProof/>
              <w:sz w:val="24"/>
              <w:szCs w:val="24"/>
              <w:lang w:eastAsia="ja-JP"/>
            </w:rPr>
          </w:pPr>
          <w:r w:rsidRPr="00D94E25">
            <w:rPr>
              <w:i w:val="0"/>
              <w:noProof/>
            </w:rPr>
            <w:t>g.</w:t>
          </w:r>
          <w:r w:rsidRPr="00D94E25">
            <w:rPr>
              <w:rFonts w:eastAsiaTheme="minorEastAsia"/>
              <w:i w:val="0"/>
              <w:noProof/>
              <w:sz w:val="24"/>
              <w:szCs w:val="24"/>
              <w:lang w:eastAsia="ja-JP"/>
            </w:rPr>
            <w:tab/>
          </w:r>
          <w:r w:rsidRPr="00D94E25">
            <w:rPr>
              <w:i w:val="0"/>
              <w:noProof/>
            </w:rPr>
            <w:t>EFS 15 – Fundamentos de la Auditoría de Desempeño</w:t>
          </w:r>
          <w:r w:rsidRPr="00D94E25">
            <w:rPr>
              <w:i w:val="0"/>
              <w:noProof/>
            </w:rPr>
            <w:tab/>
          </w:r>
          <w:r w:rsidR="00D94E25" w:rsidRPr="00D94E25">
            <w:rPr>
              <w:i w:val="0"/>
              <w:noProof/>
            </w:rPr>
            <w:t>48</w:t>
          </w:r>
        </w:p>
        <w:p w:rsidR="009A35A3" w:rsidRPr="00D94E25" w:rsidRDefault="009A35A3" w:rsidP="003409DE">
          <w:pPr>
            <w:pStyle w:val="TOC3"/>
            <w:tabs>
              <w:tab w:val="left" w:pos="840"/>
              <w:tab w:val="right" w:leader="dot" w:pos="9964"/>
            </w:tabs>
            <w:spacing w:line="240" w:lineRule="auto"/>
            <w:rPr>
              <w:rFonts w:eastAsiaTheme="minorEastAsia"/>
              <w:i w:val="0"/>
              <w:noProof/>
              <w:sz w:val="24"/>
              <w:szCs w:val="24"/>
              <w:lang w:eastAsia="ja-JP"/>
            </w:rPr>
          </w:pPr>
          <w:r w:rsidRPr="00D94E25">
            <w:rPr>
              <w:i w:val="0"/>
              <w:noProof/>
            </w:rPr>
            <w:t>h.</w:t>
          </w:r>
          <w:r w:rsidRPr="00D94E25">
            <w:rPr>
              <w:rFonts w:eastAsiaTheme="minorEastAsia"/>
              <w:i w:val="0"/>
              <w:noProof/>
              <w:sz w:val="24"/>
              <w:szCs w:val="24"/>
              <w:lang w:eastAsia="ja-JP"/>
            </w:rPr>
            <w:tab/>
          </w:r>
          <w:r w:rsidRPr="00D94E25">
            <w:rPr>
              <w:i w:val="0"/>
              <w:noProof/>
            </w:rPr>
            <w:t>EFS 16 – Proceso de la Auditoría de Desempeño</w:t>
          </w:r>
          <w:r w:rsidRPr="00D94E25">
            <w:rPr>
              <w:i w:val="0"/>
              <w:noProof/>
            </w:rPr>
            <w:tab/>
          </w:r>
          <w:r w:rsidR="00D94E25" w:rsidRPr="00D94E25">
            <w:rPr>
              <w:i w:val="0"/>
              <w:noProof/>
            </w:rPr>
            <w:t>49</w:t>
          </w:r>
        </w:p>
        <w:p w:rsidR="009A35A3" w:rsidRPr="00D94E25" w:rsidRDefault="009A35A3" w:rsidP="003409DE">
          <w:pPr>
            <w:pStyle w:val="TOC2"/>
            <w:tabs>
              <w:tab w:val="left" w:pos="632"/>
              <w:tab w:val="right" w:leader="dot" w:pos="9964"/>
            </w:tabs>
            <w:spacing w:line="240" w:lineRule="auto"/>
            <w:rPr>
              <w:rFonts w:eastAsiaTheme="minorEastAsia"/>
              <w:smallCaps w:val="0"/>
              <w:noProof/>
              <w:sz w:val="24"/>
              <w:szCs w:val="24"/>
              <w:lang w:eastAsia="ja-JP"/>
            </w:rPr>
          </w:pPr>
          <w:r w:rsidRPr="00D94E25">
            <w:rPr>
              <w:noProof/>
            </w:rPr>
            <w:t>E.</w:t>
          </w:r>
          <w:r w:rsidRPr="00D94E25">
            <w:rPr>
              <w:rFonts w:eastAsiaTheme="minorEastAsia"/>
              <w:smallCaps w:val="0"/>
              <w:noProof/>
              <w:sz w:val="24"/>
              <w:szCs w:val="24"/>
              <w:lang w:eastAsia="ja-JP"/>
            </w:rPr>
            <w:tab/>
          </w:r>
          <w:r w:rsidRPr="00D94E25">
            <w:rPr>
              <w:noProof/>
            </w:rPr>
            <w:t>Dominio E: Estructuras de Gestión y Apoyo</w:t>
          </w:r>
          <w:r w:rsidRPr="00D94E25">
            <w:rPr>
              <w:noProof/>
            </w:rPr>
            <w:tab/>
          </w:r>
          <w:r w:rsidRPr="00D94E25">
            <w:rPr>
              <w:noProof/>
            </w:rPr>
            <w:fldChar w:fldCharType="begin"/>
          </w:r>
          <w:r w:rsidRPr="00D94E25">
            <w:rPr>
              <w:noProof/>
            </w:rPr>
            <w:instrText xml:space="preserve"> PAGEREF _Toc295932924 \h </w:instrText>
          </w:r>
          <w:r w:rsidRPr="00D94E25">
            <w:rPr>
              <w:noProof/>
            </w:rPr>
          </w:r>
          <w:r w:rsidRPr="00D94E25">
            <w:rPr>
              <w:noProof/>
            </w:rPr>
            <w:fldChar w:fldCharType="separate"/>
          </w:r>
          <w:r w:rsidR="00C47F89">
            <w:rPr>
              <w:noProof/>
            </w:rPr>
            <w:t>51</w:t>
          </w:r>
          <w:r w:rsidRPr="00D94E25">
            <w:rPr>
              <w:noProof/>
            </w:rPr>
            <w:fldChar w:fldCharType="end"/>
          </w:r>
        </w:p>
        <w:p w:rsidR="009A35A3" w:rsidRPr="00D94E25" w:rsidRDefault="009A35A3" w:rsidP="003409DE">
          <w:pPr>
            <w:pStyle w:val="TOC3"/>
            <w:tabs>
              <w:tab w:val="left" w:pos="840"/>
              <w:tab w:val="right" w:leader="dot" w:pos="9964"/>
            </w:tabs>
            <w:spacing w:line="240" w:lineRule="auto"/>
            <w:rPr>
              <w:rFonts w:eastAsiaTheme="minorEastAsia"/>
              <w:i w:val="0"/>
              <w:noProof/>
              <w:sz w:val="24"/>
              <w:szCs w:val="24"/>
              <w:lang w:eastAsia="ja-JP"/>
            </w:rPr>
          </w:pPr>
          <w:r w:rsidRPr="00D94E25">
            <w:rPr>
              <w:i w:val="0"/>
              <w:noProof/>
            </w:rPr>
            <w:t>a.</w:t>
          </w:r>
          <w:r w:rsidRPr="00D94E25">
            <w:rPr>
              <w:rFonts w:eastAsiaTheme="minorEastAsia"/>
              <w:i w:val="0"/>
              <w:noProof/>
              <w:sz w:val="24"/>
              <w:szCs w:val="24"/>
              <w:lang w:eastAsia="ja-JP"/>
            </w:rPr>
            <w:tab/>
          </w:r>
          <w:r w:rsidRPr="00D94E25">
            <w:rPr>
              <w:i w:val="0"/>
              <w:noProof/>
            </w:rPr>
            <w:t>EFS 18 – Ética, Gestión y Control Interno</w:t>
          </w:r>
          <w:r w:rsidRPr="00D94E25">
            <w:rPr>
              <w:i w:val="0"/>
              <w:noProof/>
            </w:rPr>
            <w:tab/>
          </w:r>
          <w:r w:rsidRPr="00D94E25">
            <w:rPr>
              <w:i w:val="0"/>
              <w:noProof/>
            </w:rPr>
            <w:fldChar w:fldCharType="begin"/>
          </w:r>
          <w:r w:rsidRPr="00D94E25">
            <w:rPr>
              <w:i w:val="0"/>
              <w:noProof/>
            </w:rPr>
            <w:instrText xml:space="preserve"> PAGEREF _Toc295932925 \h </w:instrText>
          </w:r>
          <w:r w:rsidRPr="00D94E25">
            <w:rPr>
              <w:i w:val="0"/>
              <w:noProof/>
            </w:rPr>
          </w:r>
          <w:r w:rsidRPr="00D94E25">
            <w:rPr>
              <w:i w:val="0"/>
              <w:noProof/>
            </w:rPr>
            <w:fldChar w:fldCharType="separate"/>
          </w:r>
          <w:r w:rsidR="00C47F89">
            <w:rPr>
              <w:i w:val="0"/>
              <w:noProof/>
            </w:rPr>
            <w:t>52</w:t>
          </w:r>
          <w:r w:rsidRPr="00D94E25">
            <w:rPr>
              <w:i w:val="0"/>
              <w:noProof/>
            </w:rPr>
            <w:fldChar w:fldCharType="end"/>
          </w:r>
        </w:p>
        <w:p w:rsidR="009A35A3" w:rsidRPr="00D94E25" w:rsidRDefault="009A35A3" w:rsidP="003409DE">
          <w:pPr>
            <w:pStyle w:val="TOC3"/>
            <w:tabs>
              <w:tab w:val="left" w:pos="838"/>
              <w:tab w:val="right" w:leader="dot" w:pos="9964"/>
            </w:tabs>
            <w:spacing w:line="240" w:lineRule="auto"/>
            <w:rPr>
              <w:rFonts w:eastAsiaTheme="minorEastAsia"/>
              <w:i w:val="0"/>
              <w:noProof/>
              <w:sz w:val="24"/>
              <w:szCs w:val="24"/>
              <w:lang w:eastAsia="ja-JP"/>
            </w:rPr>
          </w:pPr>
          <w:r w:rsidRPr="00D94E25">
            <w:rPr>
              <w:i w:val="0"/>
              <w:noProof/>
            </w:rPr>
            <w:t>b.</w:t>
          </w:r>
          <w:r w:rsidRPr="00D94E25">
            <w:rPr>
              <w:rFonts w:eastAsiaTheme="minorEastAsia"/>
              <w:i w:val="0"/>
              <w:noProof/>
              <w:sz w:val="24"/>
              <w:szCs w:val="24"/>
              <w:lang w:eastAsia="ja-JP"/>
            </w:rPr>
            <w:tab/>
          </w:r>
          <w:r w:rsidRPr="00D94E25">
            <w:rPr>
              <w:i w:val="0"/>
              <w:noProof/>
            </w:rPr>
            <w:t>EFS 19 – Gestión de Activos y Servicios de Apoyo</w:t>
          </w:r>
          <w:r w:rsidRPr="00D94E25">
            <w:rPr>
              <w:i w:val="0"/>
              <w:noProof/>
            </w:rPr>
            <w:tab/>
          </w:r>
          <w:r w:rsidR="00D94E25">
            <w:rPr>
              <w:i w:val="0"/>
              <w:noProof/>
            </w:rPr>
            <w:t>56</w:t>
          </w:r>
        </w:p>
        <w:p w:rsidR="009A35A3" w:rsidRPr="00D94E25" w:rsidRDefault="009A35A3" w:rsidP="003409DE">
          <w:pPr>
            <w:pStyle w:val="TOC2"/>
            <w:tabs>
              <w:tab w:val="left" w:pos="623"/>
              <w:tab w:val="right" w:leader="dot" w:pos="9964"/>
            </w:tabs>
            <w:spacing w:line="240" w:lineRule="auto"/>
            <w:rPr>
              <w:rFonts w:eastAsiaTheme="minorEastAsia"/>
              <w:smallCaps w:val="0"/>
              <w:noProof/>
              <w:sz w:val="24"/>
              <w:szCs w:val="24"/>
              <w:lang w:eastAsia="ja-JP"/>
            </w:rPr>
          </w:pPr>
          <w:r w:rsidRPr="00D94E25">
            <w:rPr>
              <w:noProof/>
            </w:rPr>
            <w:t>F.</w:t>
          </w:r>
          <w:r w:rsidRPr="00D94E25">
            <w:rPr>
              <w:rFonts w:eastAsiaTheme="minorEastAsia"/>
              <w:smallCaps w:val="0"/>
              <w:noProof/>
              <w:sz w:val="24"/>
              <w:szCs w:val="24"/>
              <w:lang w:eastAsia="ja-JP"/>
            </w:rPr>
            <w:tab/>
          </w:r>
          <w:r w:rsidRPr="00D94E25">
            <w:rPr>
              <w:noProof/>
            </w:rPr>
            <w:t>Dominio F: Recursos Humanos y Liderazgo</w:t>
          </w:r>
          <w:r w:rsidRPr="00D94E25">
            <w:rPr>
              <w:noProof/>
            </w:rPr>
            <w:tab/>
          </w:r>
          <w:r w:rsidRPr="00D94E25">
            <w:rPr>
              <w:noProof/>
            </w:rPr>
            <w:fldChar w:fldCharType="begin"/>
          </w:r>
          <w:r w:rsidRPr="00D94E25">
            <w:rPr>
              <w:noProof/>
            </w:rPr>
            <w:instrText xml:space="preserve"> PAGEREF _Toc295932927 \h </w:instrText>
          </w:r>
          <w:r w:rsidRPr="00D94E25">
            <w:rPr>
              <w:noProof/>
            </w:rPr>
          </w:r>
          <w:r w:rsidRPr="00D94E25">
            <w:rPr>
              <w:noProof/>
            </w:rPr>
            <w:fldChar w:fldCharType="separate"/>
          </w:r>
          <w:r w:rsidR="00C47F89">
            <w:rPr>
              <w:noProof/>
            </w:rPr>
            <w:t>57</w:t>
          </w:r>
          <w:r w:rsidRPr="00D94E25">
            <w:rPr>
              <w:noProof/>
            </w:rPr>
            <w:fldChar w:fldCharType="end"/>
          </w:r>
        </w:p>
        <w:p w:rsidR="009A35A3" w:rsidRPr="00D94E25" w:rsidRDefault="009A35A3" w:rsidP="003409DE">
          <w:pPr>
            <w:pStyle w:val="TOC3"/>
            <w:tabs>
              <w:tab w:val="left" w:pos="840"/>
              <w:tab w:val="right" w:leader="dot" w:pos="9964"/>
            </w:tabs>
            <w:spacing w:line="240" w:lineRule="auto"/>
            <w:rPr>
              <w:rFonts w:eastAsiaTheme="minorEastAsia"/>
              <w:i w:val="0"/>
              <w:noProof/>
              <w:sz w:val="24"/>
              <w:szCs w:val="24"/>
              <w:lang w:eastAsia="ja-JP"/>
            </w:rPr>
          </w:pPr>
          <w:r w:rsidRPr="00D94E25">
            <w:rPr>
              <w:i w:val="0"/>
              <w:noProof/>
            </w:rPr>
            <w:t>a.</w:t>
          </w:r>
          <w:r w:rsidRPr="00D94E25">
            <w:rPr>
              <w:rFonts w:eastAsiaTheme="minorEastAsia"/>
              <w:i w:val="0"/>
              <w:noProof/>
              <w:sz w:val="24"/>
              <w:szCs w:val="24"/>
              <w:lang w:eastAsia="ja-JP"/>
            </w:rPr>
            <w:tab/>
          </w:r>
          <w:r w:rsidRPr="00D94E25">
            <w:rPr>
              <w:i w:val="0"/>
              <w:noProof/>
            </w:rPr>
            <w:t>EFS 20 - Liderazgo y Función de Recursos Humanos</w:t>
          </w:r>
          <w:r w:rsidRPr="00D94E25">
            <w:rPr>
              <w:i w:val="0"/>
              <w:noProof/>
            </w:rPr>
            <w:tab/>
          </w:r>
          <w:r w:rsidR="00D94E25">
            <w:rPr>
              <w:i w:val="0"/>
              <w:noProof/>
            </w:rPr>
            <w:t>57</w:t>
          </w:r>
        </w:p>
        <w:p w:rsidR="009A35A3" w:rsidRPr="00D94E25" w:rsidRDefault="009A35A3" w:rsidP="003409DE">
          <w:pPr>
            <w:pStyle w:val="TOC3"/>
            <w:tabs>
              <w:tab w:val="left" w:pos="838"/>
              <w:tab w:val="right" w:leader="dot" w:pos="9964"/>
            </w:tabs>
            <w:spacing w:line="240" w:lineRule="auto"/>
            <w:rPr>
              <w:rFonts w:eastAsiaTheme="minorEastAsia"/>
              <w:i w:val="0"/>
              <w:noProof/>
              <w:sz w:val="24"/>
              <w:szCs w:val="24"/>
              <w:lang w:eastAsia="ja-JP"/>
            </w:rPr>
          </w:pPr>
          <w:r w:rsidRPr="00D94E25">
            <w:rPr>
              <w:i w:val="0"/>
              <w:noProof/>
            </w:rPr>
            <w:t>b.</w:t>
          </w:r>
          <w:r w:rsidRPr="00D94E25">
            <w:rPr>
              <w:rFonts w:eastAsiaTheme="minorEastAsia"/>
              <w:i w:val="0"/>
              <w:noProof/>
              <w:sz w:val="24"/>
              <w:szCs w:val="24"/>
              <w:lang w:eastAsia="ja-JP"/>
            </w:rPr>
            <w:tab/>
          </w:r>
          <w:r w:rsidRPr="00D94E25">
            <w:rPr>
              <w:i w:val="0"/>
              <w:noProof/>
            </w:rPr>
            <w:t>EFS 21 - Desarrollo y Capacitación Profesional</w:t>
          </w:r>
          <w:r w:rsidRPr="00D94E25">
            <w:rPr>
              <w:i w:val="0"/>
              <w:noProof/>
            </w:rPr>
            <w:tab/>
          </w:r>
          <w:r w:rsidR="00D94E25">
            <w:rPr>
              <w:i w:val="0"/>
              <w:noProof/>
            </w:rPr>
            <w:t>61</w:t>
          </w:r>
        </w:p>
        <w:p w:rsidR="009A35A3" w:rsidRPr="00D94E25" w:rsidRDefault="009A35A3" w:rsidP="003409DE">
          <w:pPr>
            <w:pStyle w:val="TOC2"/>
            <w:tabs>
              <w:tab w:val="left" w:pos="640"/>
              <w:tab w:val="right" w:leader="dot" w:pos="9964"/>
            </w:tabs>
            <w:spacing w:line="240" w:lineRule="auto"/>
            <w:rPr>
              <w:rFonts w:eastAsiaTheme="minorEastAsia"/>
              <w:smallCaps w:val="0"/>
              <w:noProof/>
              <w:sz w:val="24"/>
              <w:szCs w:val="24"/>
              <w:lang w:eastAsia="ja-JP"/>
            </w:rPr>
          </w:pPr>
          <w:r w:rsidRPr="00D94E25">
            <w:rPr>
              <w:noProof/>
            </w:rPr>
            <w:t>G.</w:t>
          </w:r>
          <w:r w:rsidRPr="00D94E25">
            <w:rPr>
              <w:rFonts w:eastAsiaTheme="minorEastAsia"/>
              <w:smallCaps w:val="0"/>
              <w:noProof/>
              <w:sz w:val="24"/>
              <w:szCs w:val="24"/>
              <w:lang w:eastAsia="ja-JP"/>
            </w:rPr>
            <w:tab/>
          </w:r>
          <w:r w:rsidRPr="00D94E25">
            <w:rPr>
              <w:noProof/>
            </w:rPr>
            <w:t>Dominio G: Comunicación y Gestión de las Partes Interesadas</w:t>
          </w:r>
          <w:r w:rsidRPr="00D94E25">
            <w:rPr>
              <w:noProof/>
            </w:rPr>
            <w:tab/>
          </w:r>
          <w:r w:rsidRPr="00D94E25">
            <w:rPr>
              <w:noProof/>
            </w:rPr>
            <w:fldChar w:fldCharType="begin"/>
          </w:r>
          <w:r w:rsidRPr="00D94E25">
            <w:rPr>
              <w:noProof/>
            </w:rPr>
            <w:instrText xml:space="preserve"> PAGEREF _Toc295932930 \h </w:instrText>
          </w:r>
          <w:r w:rsidRPr="00D94E25">
            <w:rPr>
              <w:noProof/>
            </w:rPr>
          </w:r>
          <w:r w:rsidRPr="00D94E25">
            <w:rPr>
              <w:noProof/>
            </w:rPr>
            <w:fldChar w:fldCharType="separate"/>
          </w:r>
          <w:r w:rsidR="00C47F89">
            <w:rPr>
              <w:noProof/>
            </w:rPr>
            <w:t>62</w:t>
          </w:r>
          <w:r w:rsidRPr="00D94E25">
            <w:rPr>
              <w:noProof/>
            </w:rPr>
            <w:fldChar w:fldCharType="end"/>
          </w:r>
        </w:p>
        <w:p w:rsidR="009A35A3" w:rsidRPr="00D94E25" w:rsidRDefault="009A35A3" w:rsidP="003409DE">
          <w:pPr>
            <w:pStyle w:val="TOC3"/>
            <w:tabs>
              <w:tab w:val="left" w:pos="840"/>
              <w:tab w:val="right" w:leader="dot" w:pos="9964"/>
            </w:tabs>
            <w:spacing w:line="240" w:lineRule="auto"/>
            <w:rPr>
              <w:rFonts w:eastAsiaTheme="minorEastAsia"/>
              <w:i w:val="0"/>
              <w:noProof/>
              <w:sz w:val="24"/>
              <w:szCs w:val="24"/>
              <w:lang w:eastAsia="ja-JP"/>
            </w:rPr>
          </w:pPr>
          <w:r w:rsidRPr="00D94E25">
            <w:rPr>
              <w:i w:val="0"/>
              <w:noProof/>
            </w:rPr>
            <w:t>a.</w:t>
          </w:r>
          <w:r w:rsidRPr="00D94E25">
            <w:rPr>
              <w:rFonts w:eastAsiaTheme="minorEastAsia"/>
              <w:i w:val="0"/>
              <w:noProof/>
              <w:sz w:val="24"/>
              <w:szCs w:val="24"/>
              <w:lang w:eastAsia="ja-JP"/>
            </w:rPr>
            <w:tab/>
          </w:r>
          <w:r w:rsidRPr="00D94E25">
            <w:rPr>
              <w:i w:val="0"/>
              <w:noProof/>
            </w:rPr>
            <w:t>EFS 22 - Estrategia de Comunicación y Comunicación Interna</w:t>
          </w:r>
          <w:r w:rsidRPr="00D94E25">
            <w:rPr>
              <w:i w:val="0"/>
              <w:noProof/>
            </w:rPr>
            <w:tab/>
          </w:r>
          <w:r w:rsidRPr="00D94E25">
            <w:rPr>
              <w:i w:val="0"/>
              <w:noProof/>
            </w:rPr>
            <w:fldChar w:fldCharType="begin"/>
          </w:r>
          <w:r w:rsidRPr="00D94E25">
            <w:rPr>
              <w:i w:val="0"/>
              <w:noProof/>
            </w:rPr>
            <w:instrText xml:space="preserve"> PAGEREF _Toc295932931 \h </w:instrText>
          </w:r>
          <w:r w:rsidRPr="00D94E25">
            <w:rPr>
              <w:i w:val="0"/>
              <w:noProof/>
            </w:rPr>
          </w:r>
          <w:r w:rsidRPr="00D94E25">
            <w:rPr>
              <w:i w:val="0"/>
              <w:noProof/>
            </w:rPr>
            <w:fldChar w:fldCharType="separate"/>
          </w:r>
          <w:r w:rsidR="00C47F89">
            <w:rPr>
              <w:i w:val="0"/>
              <w:noProof/>
            </w:rPr>
            <w:t>63</w:t>
          </w:r>
          <w:r w:rsidRPr="00D94E25">
            <w:rPr>
              <w:i w:val="0"/>
              <w:noProof/>
            </w:rPr>
            <w:fldChar w:fldCharType="end"/>
          </w:r>
        </w:p>
        <w:p w:rsidR="009A35A3" w:rsidRPr="00D94E25" w:rsidRDefault="009A35A3" w:rsidP="003409DE">
          <w:pPr>
            <w:pStyle w:val="TOC3"/>
            <w:tabs>
              <w:tab w:val="left" w:pos="838"/>
              <w:tab w:val="right" w:leader="dot" w:pos="9964"/>
            </w:tabs>
            <w:spacing w:line="240" w:lineRule="auto"/>
            <w:rPr>
              <w:rFonts w:eastAsiaTheme="minorEastAsia"/>
              <w:i w:val="0"/>
              <w:noProof/>
              <w:sz w:val="24"/>
              <w:szCs w:val="24"/>
              <w:lang w:eastAsia="ja-JP"/>
            </w:rPr>
          </w:pPr>
          <w:r w:rsidRPr="00D94E25">
            <w:rPr>
              <w:i w:val="0"/>
              <w:noProof/>
            </w:rPr>
            <w:t>b.</w:t>
          </w:r>
          <w:r w:rsidRPr="00D94E25">
            <w:rPr>
              <w:rFonts w:eastAsiaTheme="minorEastAsia"/>
              <w:i w:val="0"/>
              <w:noProof/>
              <w:sz w:val="24"/>
              <w:szCs w:val="24"/>
              <w:lang w:eastAsia="ja-JP"/>
            </w:rPr>
            <w:tab/>
          </w:r>
          <w:r w:rsidRPr="00D94E25">
            <w:rPr>
              <w:i w:val="0"/>
              <w:noProof/>
            </w:rPr>
            <w:t>EFS23 - Comunicación con el Poder Legislativo, Ejecutivo y Judicial</w:t>
          </w:r>
          <w:r w:rsidRPr="00D94E25">
            <w:rPr>
              <w:i w:val="0"/>
              <w:noProof/>
            </w:rPr>
            <w:tab/>
          </w:r>
          <w:r w:rsidRPr="00D94E25">
            <w:rPr>
              <w:i w:val="0"/>
              <w:noProof/>
            </w:rPr>
            <w:fldChar w:fldCharType="begin"/>
          </w:r>
          <w:r w:rsidRPr="00D94E25">
            <w:rPr>
              <w:i w:val="0"/>
              <w:noProof/>
            </w:rPr>
            <w:instrText xml:space="preserve"> PAGEREF _Toc295932932 \h </w:instrText>
          </w:r>
          <w:r w:rsidRPr="00D94E25">
            <w:rPr>
              <w:i w:val="0"/>
              <w:noProof/>
            </w:rPr>
          </w:r>
          <w:r w:rsidRPr="00D94E25">
            <w:rPr>
              <w:i w:val="0"/>
              <w:noProof/>
            </w:rPr>
            <w:fldChar w:fldCharType="separate"/>
          </w:r>
          <w:r w:rsidR="00C47F89">
            <w:rPr>
              <w:i w:val="0"/>
              <w:noProof/>
            </w:rPr>
            <w:t>64</w:t>
          </w:r>
          <w:r w:rsidRPr="00D94E25">
            <w:rPr>
              <w:i w:val="0"/>
              <w:noProof/>
            </w:rPr>
            <w:fldChar w:fldCharType="end"/>
          </w:r>
        </w:p>
        <w:p w:rsidR="009A35A3" w:rsidRPr="00D94E25" w:rsidRDefault="009A35A3" w:rsidP="003409DE">
          <w:pPr>
            <w:pStyle w:val="TOC3"/>
            <w:tabs>
              <w:tab w:val="left" w:pos="819"/>
              <w:tab w:val="right" w:leader="dot" w:pos="9964"/>
            </w:tabs>
            <w:spacing w:line="240" w:lineRule="auto"/>
            <w:rPr>
              <w:rFonts w:eastAsiaTheme="minorEastAsia"/>
              <w:i w:val="0"/>
              <w:noProof/>
              <w:sz w:val="24"/>
              <w:szCs w:val="24"/>
              <w:lang w:eastAsia="ja-JP"/>
            </w:rPr>
          </w:pPr>
          <w:r w:rsidRPr="00D94E25">
            <w:rPr>
              <w:rFonts w:eastAsia="Calibri" w:cs="Times New Roman"/>
              <w:i w:val="0"/>
              <w:noProof/>
            </w:rPr>
            <w:t>c.</w:t>
          </w:r>
          <w:r w:rsidRPr="00D94E25">
            <w:rPr>
              <w:rFonts w:eastAsiaTheme="minorEastAsia"/>
              <w:i w:val="0"/>
              <w:noProof/>
              <w:sz w:val="24"/>
              <w:szCs w:val="24"/>
              <w:lang w:eastAsia="ja-JP"/>
            </w:rPr>
            <w:tab/>
          </w:r>
          <w:r w:rsidRPr="00D94E25">
            <w:rPr>
              <w:rFonts w:eastAsia="Calibri" w:cs="Times New Roman"/>
              <w:i w:val="0"/>
              <w:noProof/>
            </w:rPr>
            <w:t>EFS24 - Comunicación los Medios, los Ciudadanos y la Sociedad Civil</w:t>
          </w:r>
          <w:r w:rsidRPr="00D94E25">
            <w:rPr>
              <w:i w:val="0"/>
              <w:noProof/>
            </w:rPr>
            <w:tab/>
          </w:r>
          <w:r w:rsidR="00D94E25">
            <w:rPr>
              <w:i w:val="0"/>
              <w:noProof/>
            </w:rPr>
            <w:t>66</w:t>
          </w:r>
        </w:p>
        <w:p w:rsidR="009A35A3" w:rsidRPr="00D94E25" w:rsidRDefault="009A35A3" w:rsidP="003409DE">
          <w:pPr>
            <w:pStyle w:val="TOC1"/>
            <w:tabs>
              <w:tab w:val="left" w:pos="421"/>
              <w:tab w:val="right" w:leader="dot" w:pos="9964"/>
            </w:tabs>
            <w:spacing w:line="240" w:lineRule="auto"/>
            <w:rPr>
              <w:rFonts w:eastAsiaTheme="minorEastAsia"/>
              <w:b w:val="0"/>
              <w:caps w:val="0"/>
              <w:noProof/>
              <w:sz w:val="24"/>
              <w:szCs w:val="24"/>
              <w:lang w:eastAsia="ja-JP"/>
            </w:rPr>
          </w:pPr>
          <w:r w:rsidRPr="00D94E25">
            <w:rPr>
              <w:noProof/>
            </w:rPr>
            <w:t>5.</w:t>
          </w:r>
          <w:r w:rsidRPr="00D94E25">
            <w:rPr>
              <w:rFonts w:eastAsiaTheme="minorEastAsia"/>
              <w:b w:val="0"/>
              <w:caps w:val="0"/>
              <w:noProof/>
              <w:sz w:val="24"/>
              <w:szCs w:val="24"/>
              <w:lang w:eastAsia="ja-JP"/>
            </w:rPr>
            <w:tab/>
          </w:r>
          <w:r w:rsidRPr="00D94E25">
            <w:rPr>
              <w:noProof/>
            </w:rPr>
            <w:t>Otras Funciones que impactan el desempeño de la Contraloría</w:t>
          </w:r>
          <w:r w:rsidRPr="00D94E25">
            <w:rPr>
              <w:noProof/>
            </w:rPr>
            <w:tab/>
          </w:r>
          <w:r w:rsidR="00D94E25">
            <w:rPr>
              <w:noProof/>
            </w:rPr>
            <w:t>68</w:t>
          </w:r>
        </w:p>
        <w:p w:rsidR="009A35A3" w:rsidRPr="00D94E25" w:rsidRDefault="009A35A3" w:rsidP="003409DE">
          <w:pPr>
            <w:pStyle w:val="TOC2"/>
            <w:tabs>
              <w:tab w:val="left" w:pos="642"/>
              <w:tab w:val="right" w:leader="dot" w:pos="9964"/>
            </w:tabs>
            <w:spacing w:line="240" w:lineRule="auto"/>
            <w:rPr>
              <w:rFonts w:eastAsiaTheme="minorEastAsia"/>
              <w:smallCaps w:val="0"/>
              <w:noProof/>
              <w:sz w:val="24"/>
              <w:szCs w:val="24"/>
              <w:lang w:eastAsia="ja-JP"/>
            </w:rPr>
          </w:pPr>
          <w:r w:rsidRPr="00D94E25">
            <w:rPr>
              <w:noProof/>
            </w:rPr>
            <w:t>A.</w:t>
          </w:r>
          <w:r w:rsidRPr="00D94E25">
            <w:rPr>
              <w:rFonts w:eastAsiaTheme="minorEastAsia"/>
              <w:smallCaps w:val="0"/>
              <w:noProof/>
              <w:sz w:val="24"/>
              <w:szCs w:val="24"/>
              <w:lang w:eastAsia="ja-JP"/>
            </w:rPr>
            <w:tab/>
          </w:r>
          <w:r w:rsidRPr="00D94E25">
            <w:rPr>
              <w:noProof/>
            </w:rPr>
            <w:t>Control Macro</w:t>
          </w:r>
          <w:r w:rsidRPr="00D94E25">
            <w:rPr>
              <w:noProof/>
            </w:rPr>
            <w:tab/>
          </w:r>
          <w:r w:rsidR="00D94E25">
            <w:rPr>
              <w:noProof/>
            </w:rPr>
            <w:t>68</w:t>
          </w:r>
        </w:p>
        <w:p w:rsidR="009A35A3" w:rsidRPr="00D94E25" w:rsidRDefault="009A35A3" w:rsidP="003409DE">
          <w:pPr>
            <w:pStyle w:val="TOC2"/>
            <w:tabs>
              <w:tab w:val="left" w:pos="640"/>
              <w:tab w:val="right" w:leader="dot" w:pos="9964"/>
            </w:tabs>
            <w:spacing w:line="240" w:lineRule="auto"/>
            <w:rPr>
              <w:rFonts w:eastAsiaTheme="minorEastAsia"/>
              <w:smallCaps w:val="0"/>
              <w:noProof/>
              <w:sz w:val="24"/>
              <w:szCs w:val="24"/>
              <w:lang w:eastAsia="ja-JP"/>
            </w:rPr>
          </w:pPr>
          <w:r w:rsidRPr="00D94E25">
            <w:rPr>
              <w:noProof/>
            </w:rPr>
            <w:t>B.</w:t>
          </w:r>
          <w:r w:rsidRPr="00D94E25">
            <w:rPr>
              <w:rFonts w:eastAsiaTheme="minorEastAsia"/>
              <w:smallCaps w:val="0"/>
              <w:noProof/>
              <w:sz w:val="24"/>
              <w:szCs w:val="24"/>
              <w:lang w:eastAsia="ja-JP"/>
            </w:rPr>
            <w:tab/>
          </w:r>
          <w:r w:rsidRPr="00D94E25">
            <w:rPr>
              <w:noProof/>
            </w:rPr>
            <w:t>Responsabilidad Fiscal</w:t>
          </w:r>
          <w:r w:rsidRPr="00D94E25">
            <w:rPr>
              <w:noProof/>
            </w:rPr>
            <w:tab/>
          </w:r>
          <w:r w:rsidR="00D94E25">
            <w:rPr>
              <w:noProof/>
            </w:rPr>
            <w:t>69</w:t>
          </w:r>
        </w:p>
        <w:p w:rsidR="009A35A3" w:rsidRPr="00D94E25" w:rsidRDefault="009A35A3" w:rsidP="003409DE">
          <w:pPr>
            <w:pStyle w:val="TOC2"/>
            <w:tabs>
              <w:tab w:val="left" w:pos="629"/>
              <w:tab w:val="right" w:leader="dot" w:pos="9964"/>
            </w:tabs>
            <w:spacing w:line="240" w:lineRule="auto"/>
            <w:rPr>
              <w:rFonts w:eastAsiaTheme="minorEastAsia"/>
              <w:smallCaps w:val="0"/>
              <w:noProof/>
              <w:sz w:val="24"/>
              <w:szCs w:val="24"/>
              <w:lang w:eastAsia="ja-JP"/>
            </w:rPr>
          </w:pPr>
          <w:r w:rsidRPr="00D94E25">
            <w:rPr>
              <w:noProof/>
            </w:rPr>
            <w:t>C.</w:t>
          </w:r>
          <w:r w:rsidRPr="00D94E25">
            <w:rPr>
              <w:rFonts w:eastAsiaTheme="minorEastAsia"/>
              <w:smallCaps w:val="0"/>
              <w:noProof/>
              <w:sz w:val="24"/>
              <w:szCs w:val="24"/>
              <w:lang w:eastAsia="ja-JP"/>
            </w:rPr>
            <w:tab/>
          </w:r>
          <w:r w:rsidRPr="00D94E25">
            <w:rPr>
              <w:noProof/>
            </w:rPr>
            <w:t>Responsabilidad Patrimonial del Estado</w:t>
          </w:r>
          <w:r w:rsidRPr="00D94E25">
            <w:rPr>
              <w:noProof/>
            </w:rPr>
            <w:tab/>
          </w:r>
          <w:r w:rsidRPr="00D94E25">
            <w:rPr>
              <w:noProof/>
            </w:rPr>
            <w:fldChar w:fldCharType="begin"/>
          </w:r>
          <w:r w:rsidRPr="00D94E25">
            <w:rPr>
              <w:noProof/>
            </w:rPr>
            <w:instrText xml:space="preserve"> PAGEREF _Toc295932937 \h </w:instrText>
          </w:r>
          <w:r w:rsidRPr="00D94E25">
            <w:rPr>
              <w:noProof/>
            </w:rPr>
          </w:r>
          <w:r w:rsidRPr="00D94E25">
            <w:rPr>
              <w:noProof/>
            </w:rPr>
            <w:fldChar w:fldCharType="separate"/>
          </w:r>
          <w:r w:rsidR="00C47F89">
            <w:rPr>
              <w:noProof/>
            </w:rPr>
            <w:t>70</w:t>
          </w:r>
          <w:r w:rsidRPr="00D94E25">
            <w:rPr>
              <w:noProof/>
            </w:rPr>
            <w:fldChar w:fldCharType="end"/>
          </w:r>
        </w:p>
        <w:p w:rsidR="009A35A3" w:rsidRPr="00D94E25" w:rsidRDefault="009A35A3" w:rsidP="003409DE">
          <w:pPr>
            <w:pStyle w:val="TOC1"/>
            <w:tabs>
              <w:tab w:val="left" w:pos="421"/>
              <w:tab w:val="right" w:leader="dot" w:pos="9964"/>
            </w:tabs>
            <w:spacing w:line="240" w:lineRule="auto"/>
            <w:rPr>
              <w:rFonts w:eastAsiaTheme="minorEastAsia"/>
              <w:b w:val="0"/>
              <w:caps w:val="0"/>
              <w:noProof/>
              <w:sz w:val="24"/>
              <w:szCs w:val="24"/>
              <w:lang w:eastAsia="ja-JP"/>
            </w:rPr>
          </w:pPr>
          <w:r w:rsidRPr="00D94E25">
            <w:rPr>
              <w:noProof/>
            </w:rPr>
            <w:t>6.</w:t>
          </w:r>
          <w:r w:rsidRPr="00D94E25">
            <w:rPr>
              <w:rFonts w:eastAsiaTheme="minorEastAsia"/>
              <w:b w:val="0"/>
              <w:caps w:val="0"/>
              <w:noProof/>
              <w:sz w:val="24"/>
              <w:szCs w:val="24"/>
              <w:lang w:eastAsia="ja-JP"/>
            </w:rPr>
            <w:tab/>
          </w:r>
          <w:r w:rsidRPr="00D94E25">
            <w:rPr>
              <w:noProof/>
            </w:rPr>
            <w:t>Anexo A – Plan de Acción</w:t>
          </w:r>
          <w:r w:rsidRPr="00D94E25">
            <w:rPr>
              <w:noProof/>
            </w:rPr>
            <w:tab/>
          </w:r>
          <w:r w:rsidRPr="00D94E25">
            <w:rPr>
              <w:noProof/>
            </w:rPr>
            <w:fldChar w:fldCharType="begin"/>
          </w:r>
          <w:r w:rsidRPr="00D94E25">
            <w:rPr>
              <w:noProof/>
            </w:rPr>
            <w:instrText xml:space="preserve"> PAGEREF _Toc295932938 \h </w:instrText>
          </w:r>
          <w:r w:rsidRPr="00D94E25">
            <w:rPr>
              <w:noProof/>
            </w:rPr>
          </w:r>
          <w:r w:rsidRPr="00D94E25">
            <w:rPr>
              <w:noProof/>
            </w:rPr>
            <w:fldChar w:fldCharType="separate"/>
          </w:r>
          <w:r w:rsidR="00C47F89">
            <w:rPr>
              <w:noProof/>
            </w:rPr>
            <w:t>72</w:t>
          </w:r>
          <w:r w:rsidRPr="00D94E25">
            <w:rPr>
              <w:noProof/>
            </w:rPr>
            <w:fldChar w:fldCharType="end"/>
          </w:r>
        </w:p>
        <w:p w:rsidR="009A35A3" w:rsidRPr="00D94E25" w:rsidRDefault="009A35A3" w:rsidP="003409DE">
          <w:pPr>
            <w:pStyle w:val="TOC1"/>
            <w:tabs>
              <w:tab w:val="left" w:pos="421"/>
              <w:tab w:val="right" w:leader="dot" w:pos="9964"/>
            </w:tabs>
            <w:spacing w:line="240" w:lineRule="auto"/>
            <w:rPr>
              <w:rFonts w:eastAsiaTheme="minorEastAsia"/>
              <w:b w:val="0"/>
              <w:caps w:val="0"/>
              <w:noProof/>
              <w:sz w:val="24"/>
              <w:szCs w:val="24"/>
              <w:lang w:eastAsia="ja-JP"/>
            </w:rPr>
          </w:pPr>
          <w:r w:rsidRPr="00D94E25">
            <w:rPr>
              <w:noProof/>
            </w:rPr>
            <w:t>7.</w:t>
          </w:r>
          <w:r w:rsidRPr="00D94E25">
            <w:rPr>
              <w:rFonts w:eastAsiaTheme="minorEastAsia"/>
              <w:b w:val="0"/>
              <w:caps w:val="0"/>
              <w:noProof/>
              <w:sz w:val="24"/>
              <w:szCs w:val="24"/>
              <w:lang w:eastAsia="ja-JP"/>
            </w:rPr>
            <w:tab/>
          </w:r>
          <w:r w:rsidRPr="00D94E25">
            <w:rPr>
              <w:noProof/>
            </w:rPr>
            <w:t>Anexo B – Fuentes de Información</w:t>
          </w:r>
          <w:r w:rsidRPr="00D94E25">
            <w:rPr>
              <w:noProof/>
            </w:rPr>
            <w:tab/>
          </w:r>
          <w:r w:rsidRPr="00D94E25">
            <w:rPr>
              <w:noProof/>
            </w:rPr>
            <w:fldChar w:fldCharType="begin"/>
          </w:r>
          <w:r w:rsidRPr="00D94E25">
            <w:rPr>
              <w:noProof/>
            </w:rPr>
            <w:instrText xml:space="preserve"> PAGEREF _Toc295932939 \h </w:instrText>
          </w:r>
          <w:r w:rsidRPr="00D94E25">
            <w:rPr>
              <w:noProof/>
            </w:rPr>
          </w:r>
          <w:r w:rsidRPr="00D94E25">
            <w:rPr>
              <w:noProof/>
            </w:rPr>
            <w:fldChar w:fldCharType="separate"/>
          </w:r>
          <w:r w:rsidR="00C47F89">
            <w:rPr>
              <w:noProof/>
            </w:rPr>
            <w:t>72</w:t>
          </w:r>
          <w:r w:rsidRPr="00D94E25">
            <w:rPr>
              <w:noProof/>
            </w:rPr>
            <w:fldChar w:fldCharType="end"/>
          </w:r>
        </w:p>
        <w:p w:rsidR="00EA6A41" w:rsidRPr="00D94E25" w:rsidRDefault="0034337B" w:rsidP="00D15C57">
          <w:pPr>
            <w:spacing w:line="240" w:lineRule="auto"/>
            <w:jc w:val="both"/>
          </w:pPr>
          <w:r w:rsidRPr="00D94E25">
            <w:rPr>
              <w:caps/>
              <w:sz w:val="24"/>
              <w:szCs w:val="24"/>
              <w:u w:val="single"/>
            </w:rPr>
            <w:fldChar w:fldCharType="end"/>
          </w:r>
          <w:r w:rsidR="00EA6A41" w:rsidRPr="00D94E25">
            <w:br w:type="page"/>
          </w:r>
        </w:p>
        <w:p w:rsidR="0086511E" w:rsidRPr="00600ED9" w:rsidRDefault="00134FF6" w:rsidP="00401E0B">
          <w:pPr>
            <w:pStyle w:val="Title"/>
            <w:jc w:val="both"/>
            <w:rPr>
              <w:lang w:val="es-ES_tradnl"/>
            </w:rPr>
          </w:pPr>
          <w:bookmarkStart w:id="0" w:name="_Toc295932898"/>
          <w:r w:rsidRPr="00600ED9">
            <w:rPr>
              <w:lang w:val="es-ES_tradnl"/>
            </w:rPr>
            <w:lastRenderedPageBreak/>
            <w:t>Resumen Ejecutivo</w:t>
          </w:r>
          <w:bookmarkEnd w:id="0"/>
        </w:p>
        <w:p w:rsidR="00764811" w:rsidRPr="00600ED9" w:rsidRDefault="00B26966" w:rsidP="00BC1EC9">
          <w:pPr>
            <w:spacing w:line="240" w:lineRule="auto"/>
            <w:jc w:val="both"/>
          </w:pPr>
          <w:r w:rsidRPr="00600ED9">
            <w:t>El diagnó</w:t>
          </w:r>
          <w:r w:rsidR="00BB73F6" w:rsidRPr="00600ED9">
            <w:t>stico materia de este informe</w:t>
          </w:r>
          <w:r w:rsidR="00C749BF" w:rsidRPr="00600ED9">
            <w:t>,</w:t>
          </w:r>
          <w:r w:rsidR="00FA7EB4" w:rsidRPr="00600ED9">
            <w:t xml:space="preserve"> se orientó a identificar </w:t>
          </w:r>
          <w:r w:rsidR="0038118C" w:rsidRPr="00600ED9">
            <w:t>el desempeño de la CGR</w:t>
          </w:r>
          <w:r w:rsidR="004F42B9">
            <w:t>C</w:t>
          </w:r>
          <w:r w:rsidR="0038118C" w:rsidRPr="00600ED9">
            <w:t xml:space="preserve"> respecto a los estándares internacionales y las mejores prácticas en el desarrollo de sus funciones, establecer </w:t>
          </w:r>
          <w:r w:rsidR="00B95A27" w:rsidRPr="00600ED9">
            <w:t xml:space="preserve">las brechas existentes frente a dichos estándares, y con base a ello determinar las </w:t>
          </w:r>
          <w:r w:rsidR="00FA7EB4" w:rsidRPr="00600ED9">
            <w:t>oportunidades de mejora</w:t>
          </w:r>
          <w:r w:rsidR="00DF6E23" w:rsidRPr="00600ED9">
            <w:t xml:space="preserve"> </w:t>
          </w:r>
          <w:r w:rsidR="00F911A5" w:rsidRPr="00600ED9">
            <w:t xml:space="preserve">de la </w:t>
          </w:r>
          <w:r w:rsidR="00852260" w:rsidRPr="00600ED9">
            <w:t>Contraloría General de la República de Colombia (</w:t>
          </w:r>
          <w:r w:rsidR="00F911A5" w:rsidRPr="00600ED9">
            <w:t>CGRC</w:t>
          </w:r>
          <w:r w:rsidR="00852260" w:rsidRPr="00600ED9">
            <w:t>)</w:t>
          </w:r>
          <w:r w:rsidR="00DF6E23" w:rsidRPr="00600ED9">
            <w:t>,</w:t>
          </w:r>
          <w:r w:rsidR="00FA7EB4" w:rsidRPr="00600ED9">
            <w:t xml:space="preserve"> para</w:t>
          </w:r>
          <w:r w:rsidR="0038118C" w:rsidRPr="00600ED9">
            <w:t xml:space="preserve"> elaborar y acordar un plan de fortalecimiento </w:t>
          </w:r>
          <w:r w:rsidR="00387926" w:rsidRPr="00600ED9">
            <w:t>técnico</w:t>
          </w:r>
          <w:r w:rsidR="0038118C" w:rsidRPr="00600ED9">
            <w:t xml:space="preserve">, y </w:t>
          </w:r>
          <w:r w:rsidR="00B95A27" w:rsidRPr="00600ED9">
            <w:t xml:space="preserve">servir de insumo en </w:t>
          </w:r>
          <w:r w:rsidR="00FA7EB4" w:rsidRPr="00600ED9">
            <w:t xml:space="preserve">la preparación de una operación de </w:t>
          </w:r>
          <w:r w:rsidR="00B95A27" w:rsidRPr="00600ED9">
            <w:t xml:space="preserve">préstamo </w:t>
          </w:r>
          <w:r w:rsidR="00764811" w:rsidRPr="00600ED9">
            <w:t>por parte</w:t>
          </w:r>
          <w:r w:rsidR="00FA7EB4" w:rsidRPr="00600ED9">
            <w:t xml:space="preserve"> del Banco Interamericano de Desarrollo (BID)</w:t>
          </w:r>
          <w:r w:rsidR="00604ACE" w:rsidRPr="00600ED9">
            <w:t xml:space="preserve">; así mismo, </w:t>
          </w:r>
          <w:r w:rsidR="00764811" w:rsidRPr="00600ED9">
            <w:t xml:space="preserve">a partir de los resultados obtenidos, </w:t>
          </w:r>
          <w:r w:rsidR="00BD7393" w:rsidRPr="00600ED9">
            <w:t xml:space="preserve">determinar las </w:t>
          </w:r>
          <w:r w:rsidR="00B95A27" w:rsidRPr="00600ED9">
            <w:t xml:space="preserve">principales </w:t>
          </w:r>
          <w:r w:rsidR="00BD7393" w:rsidRPr="00600ED9">
            <w:t xml:space="preserve">líneas de acción </w:t>
          </w:r>
          <w:r w:rsidR="00764811" w:rsidRPr="00600ED9">
            <w:t xml:space="preserve">para que la CGRC </w:t>
          </w:r>
          <w:r w:rsidR="00B95A27" w:rsidRPr="00600ED9">
            <w:t xml:space="preserve">complemente con </w:t>
          </w:r>
          <w:r w:rsidR="00764811" w:rsidRPr="00600ED9">
            <w:t xml:space="preserve">su </w:t>
          </w:r>
          <w:r w:rsidR="00604ACE" w:rsidRPr="00600ED9">
            <w:t xml:space="preserve">Plan Estratégico 2014/2018, </w:t>
          </w:r>
          <w:r w:rsidR="00B95A27" w:rsidRPr="00600ED9">
            <w:t xml:space="preserve">en su proceso de </w:t>
          </w:r>
          <w:r w:rsidR="00912AD8" w:rsidRPr="00600ED9">
            <w:t>fortalecimiento</w:t>
          </w:r>
          <w:r w:rsidR="00764811" w:rsidRPr="00600ED9">
            <w:t>.</w:t>
          </w:r>
          <w:r w:rsidR="00BB73F6" w:rsidRPr="00600ED9">
            <w:t xml:space="preserve"> </w:t>
          </w:r>
        </w:p>
        <w:p w:rsidR="00A87342" w:rsidRPr="00600ED9" w:rsidRDefault="00BB73F6" w:rsidP="00D15C57">
          <w:pPr>
            <w:spacing w:after="0" w:line="240" w:lineRule="auto"/>
            <w:jc w:val="both"/>
            <w:rPr>
              <w:rFonts w:cs="Calibri"/>
            </w:rPr>
          </w:pPr>
          <w:r w:rsidRPr="00600ED9">
            <w:t>El diagnóstico no debe entenderse como  una evaluación o equivalente de la CGRC</w:t>
          </w:r>
          <w:r w:rsidR="0038118C" w:rsidRPr="00600ED9">
            <w:t>,</w:t>
          </w:r>
          <w:r w:rsidRPr="00600ED9">
            <w:t xml:space="preserve"> ni como  una prueba piloto oficial para </w:t>
          </w:r>
          <w:r w:rsidR="005B48EC" w:rsidRPr="00600ED9">
            <w:t xml:space="preserve">la organización Internacional de Instituciones Superiores de </w:t>
          </w:r>
          <w:r w:rsidR="005C54C5" w:rsidRPr="00600ED9">
            <w:t>Auditoría</w:t>
          </w:r>
          <w:r w:rsidR="005B48EC" w:rsidRPr="00600ED9">
            <w:t xml:space="preserve"> (</w:t>
          </w:r>
          <w:r w:rsidRPr="00600ED9">
            <w:t>INTOSAI</w:t>
          </w:r>
          <w:r w:rsidR="005B48EC" w:rsidRPr="00600ED9">
            <w:t>)</w:t>
          </w:r>
          <w:r w:rsidR="009556EF" w:rsidRPr="00600ED9">
            <w:t>.</w:t>
          </w:r>
          <w:r w:rsidR="00764811" w:rsidRPr="00600ED9">
            <w:t xml:space="preserve"> </w:t>
          </w:r>
          <w:r w:rsidR="003C4A7B" w:rsidRPr="00600ED9">
            <w:rPr>
              <w:rFonts w:cs="Calibri"/>
            </w:rPr>
            <w:t xml:space="preserve">A </w:t>
          </w:r>
          <w:r w:rsidR="00BB48C5" w:rsidRPr="00600ED9">
            <w:rPr>
              <w:rFonts w:cs="Calibri"/>
            </w:rPr>
            <w:t>continuación</w:t>
          </w:r>
          <w:r w:rsidR="003C4A7B" w:rsidRPr="00600ED9">
            <w:rPr>
              <w:rFonts w:cs="Calibri"/>
            </w:rPr>
            <w:t xml:space="preserve"> se resumen los </w:t>
          </w:r>
          <w:r w:rsidR="000C1C2F" w:rsidRPr="00600ED9">
            <w:rPr>
              <w:rFonts w:cs="Calibri"/>
            </w:rPr>
            <w:t xml:space="preserve">principales </w:t>
          </w:r>
          <w:r w:rsidR="00A87342" w:rsidRPr="00600ED9">
            <w:rPr>
              <w:rFonts w:cs="Calibri"/>
            </w:rPr>
            <w:t xml:space="preserve">resultados </w:t>
          </w:r>
          <w:r w:rsidR="009556EF" w:rsidRPr="00600ED9">
            <w:rPr>
              <w:rFonts w:cs="Calibri"/>
            </w:rPr>
            <w:t>del diagnó</w:t>
          </w:r>
          <w:r w:rsidR="007E36C8" w:rsidRPr="00600ED9">
            <w:rPr>
              <w:rFonts w:cs="Calibri"/>
            </w:rPr>
            <w:t>stico:</w:t>
          </w:r>
        </w:p>
        <w:p w:rsidR="0064659A" w:rsidRPr="00600ED9" w:rsidRDefault="0064659A" w:rsidP="00D15C57">
          <w:pPr>
            <w:spacing w:after="0" w:line="240" w:lineRule="auto"/>
            <w:jc w:val="both"/>
            <w:rPr>
              <w:rFonts w:cs="Calibri"/>
            </w:rPr>
          </w:pPr>
        </w:p>
        <w:p w:rsidR="00A87342" w:rsidRPr="00600ED9" w:rsidRDefault="00A87342" w:rsidP="00D15C57">
          <w:pPr>
            <w:spacing w:after="0" w:line="240" w:lineRule="auto"/>
            <w:jc w:val="both"/>
            <w:rPr>
              <w:rFonts w:cs="Calibri"/>
              <w:b/>
              <w:bCs/>
              <w:smallCaps/>
              <w:color w:val="365F91" w:themeColor="accent1" w:themeShade="BF"/>
            </w:rPr>
          </w:pPr>
          <w:r w:rsidRPr="00600ED9">
            <w:rPr>
              <w:rFonts w:cs="Calibri"/>
              <w:b/>
              <w:bCs/>
              <w:smallCaps/>
              <w:color w:val="365F91" w:themeColor="accent1" w:themeShade="BF"/>
            </w:rPr>
            <w:t xml:space="preserve">Desempeño </w:t>
          </w:r>
          <w:r w:rsidR="00501F71" w:rsidRPr="00600ED9">
            <w:rPr>
              <w:rFonts w:cs="Calibri"/>
              <w:b/>
              <w:bCs/>
              <w:smallCaps/>
              <w:color w:val="365F91" w:themeColor="accent1" w:themeShade="BF"/>
            </w:rPr>
            <w:t xml:space="preserve">General </w:t>
          </w:r>
          <w:r w:rsidRPr="00600ED9">
            <w:rPr>
              <w:rFonts w:cs="Calibri"/>
              <w:b/>
              <w:bCs/>
              <w:smallCaps/>
              <w:color w:val="365F91" w:themeColor="accent1" w:themeShade="BF"/>
            </w:rPr>
            <w:t xml:space="preserve">de la </w:t>
          </w:r>
          <w:r w:rsidR="00C62CFC" w:rsidRPr="00600ED9">
            <w:rPr>
              <w:rFonts w:cs="Calibri"/>
              <w:b/>
              <w:bCs/>
              <w:smallCaps/>
              <w:color w:val="365F91" w:themeColor="accent1" w:themeShade="BF"/>
            </w:rPr>
            <w:t>Contraloría</w:t>
          </w:r>
          <w:r w:rsidR="00501F71" w:rsidRPr="00600ED9">
            <w:rPr>
              <w:rFonts w:cs="Calibri"/>
              <w:b/>
              <w:bCs/>
              <w:smallCaps/>
              <w:color w:val="365F91" w:themeColor="accent1" w:themeShade="BF"/>
            </w:rPr>
            <w:t xml:space="preserve"> general de la Rep</w:t>
          </w:r>
          <w:r w:rsidR="00852260" w:rsidRPr="00600ED9">
            <w:rPr>
              <w:rFonts w:cs="Calibri"/>
              <w:b/>
              <w:bCs/>
              <w:smallCaps/>
              <w:color w:val="365F91" w:themeColor="accent1" w:themeShade="BF"/>
            </w:rPr>
            <w:t>ú</w:t>
          </w:r>
          <w:r w:rsidR="00501F71" w:rsidRPr="00600ED9">
            <w:rPr>
              <w:rFonts w:cs="Calibri"/>
              <w:b/>
              <w:bCs/>
              <w:smallCaps/>
              <w:color w:val="365F91" w:themeColor="accent1" w:themeShade="BF"/>
            </w:rPr>
            <w:t>blica</w:t>
          </w:r>
          <w:r w:rsidR="00872AB9" w:rsidRPr="00600ED9">
            <w:rPr>
              <w:rFonts w:cs="Calibri"/>
              <w:b/>
              <w:bCs/>
              <w:smallCaps/>
              <w:color w:val="365F91" w:themeColor="accent1" w:themeShade="BF"/>
            </w:rPr>
            <w:t xml:space="preserve"> </w:t>
          </w:r>
        </w:p>
        <w:p w:rsidR="00D15C57" w:rsidRPr="00600ED9" w:rsidRDefault="00D15C57" w:rsidP="00D15C57">
          <w:pPr>
            <w:spacing w:after="0" w:line="240" w:lineRule="auto"/>
            <w:jc w:val="both"/>
            <w:rPr>
              <w:rFonts w:cs="Calibri"/>
              <w:b/>
              <w:bCs/>
              <w:smallCaps/>
              <w:color w:val="365F91" w:themeColor="accent1" w:themeShade="BF"/>
            </w:rPr>
          </w:pPr>
        </w:p>
        <w:p w:rsidR="00005E91" w:rsidRPr="00600ED9" w:rsidRDefault="00222CAF" w:rsidP="00D15C57">
          <w:pPr>
            <w:spacing w:after="0" w:line="240" w:lineRule="auto"/>
            <w:jc w:val="both"/>
          </w:pPr>
          <w:r w:rsidRPr="00600ED9">
            <w:rPr>
              <w:b/>
            </w:rPr>
            <w:t xml:space="preserve">Alcance del Control </w:t>
          </w:r>
          <w:r w:rsidR="00F83BA3" w:rsidRPr="00600ED9">
            <w:rPr>
              <w:b/>
            </w:rPr>
            <w:t>Externo</w:t>
          </w:r>
          <w:r w:rsidRPr="00600ED9">
            <w:t xml:space="preserve">. </w:t>
          </w:r>
          <w:r w:rsidR="0091242F" w:rsidRPr="00600ED9">
            <w:t xml:space="preserve">Desde su marco </w:t>
          </w:r>
          <w:r w:rsidR="002F662D" w:rsidRPr="00600ED9">
            <w:t>técnico</w:t>
          </w:r>
          <w:r w:rsidR="0091242F" w:rsidRPr="00600ED9">
            <w:t xml:space="preserve"> y legal, </w:t>
          </w:r>
          <w:r w:rsidR="00263745" w:rsidRPr="00600ED9">
            <w:t>est</w:t>
          </w:r>
          <w:r w:rsidR="0075721D" w:rsidRPr="00600ED9">
            <w:t>á</w:t>
          </w:r>
          <w:r w:rsidR="00263745" w:rsidRPr="00600ED9">
            <w:t xml:space="preserve"> previsto que </w:t>
          </w:r>
          <w:r w:rsidR="006649E2" w:rsidRPr="00600ED9">
            <w:t xml:space="preserve">la CGRC </w:t>
          </w:r>
          <w:r w:rsidR="00263745" w:rsidRPr="00600ED9">
            <w:t xml:space="preserve">realice </w:t>
          </w:r>
          <w:r w:rsidR="005A164E" w:rsidRPr="00600ED9">
            <w:t xml:space="preserve">el control fiscal mediante </w:t>
          </w:r>
          <w:r w:rsidR="00005E91" w:rsidRPr="00600ED9">
            <w:rPr>
              <w:b/>
            </w:rPr>
            <w:t>auditorías gubernamentales con un enfoque integral</w:t>
          </w:r>
          <w:r w:rsidR="005A164E" w:rsidRPr="00600ED9">
            <w:t xml:space="preserve">, </w:t>
          </w:r>
          <w:r w:rsidR="00377EC4" w:rsidRPr="00600ED9">
            <w:t>con un alcance que contempla auditor</w:t>
          </w:r>
          <w:r w:rsidR="00852260" w:rsidRPr="00600ED9">
            <w:t>í</w:t>
          </w:r>
          <w:r w:rsidR="00377EC4" w:rsidRPr="00600ED9">
            <w:t>as de</w:t>
          </w:r>
          <w:r w:rsidR="00F352E8" w:rsidRPr="00600ED9">
            <w:t xml:space="preserve">l </w:t>
          </w:r>
          <w:r w:rsidR="00852260" w:rsidRPr="00600ED9">
            <w:t>c</w:t>
          </w:r>
          <w:r w:rsidR="00F352E8" w:rsidRPr="00600ED9">
            <w:t xml:space="preserve">ontrol </w:t>
          </w:r>
          <w:r w:rsidR="00852260" w:rsidRPr="00600ED9">
            <w:t>i</w:t>
          </w:r>
          <w:r w:rsidR="00F352E8" w:rsidRPr="00600ED9">
            <w:t xml:space="preserve">nterno y los aspectos </w:t>
          </w:r>
          <w:r w:rsidR="00005E91" w:rsidRPr="00600ED9">
            <w:t>financiero</w:t>
          </w:r>
          <w:r w:rsidR="00F352E8" w:rsidRPr="00600ED9">
            <w:t>s</w:t>
          </w:r>
          <w:r w:rsidR="00005E91" w:rsidRPr="00600ED9">
            <w:t xml:space="preserve">, </w:t>
          </w:r>
          <w:r w:rsidR="00F352E8" w:rsidRPr="00600ED9">
            <w:t>legales  y de desempe</w:t>
          </w:r>
          <w:r w:rsidR="00852260" w:rsidRPr="00600ED9">
            <w:t>ñ</w:t>
          </w:r>
          <w:r w:rsidR="00F352E8" w:rsidRPr="00600ED9">
            <w:t xml:space="preserve">o de la </w:t>
          </w:r>
          <w:r w:rsidR="00852260" w:rsidRPr="00600ED9">
            <w:t>gestión</w:t>
          </w:r>
          <w:r w:rsidR="00F352E8" w:rsidRPr="00600ED9">
            <w:t xml:space="preserve"> de los recursos p</w:t>
          </w:r>
          <w:r w:rsidR="00852260" w:rsidRPr="00600ED9">
            <w:t>ú</w:t>
          </w:r>
          <w:r w:rsidR="00F352E8" w:rsidRPr="00600ED9">
            <w:t xml:space="preserve">blicos. </w:t>
          </w:r>
          <w:r w:rsidR="00005E91" w:rsidRPr="00600ED9">
            <w:t>Sin embargo e</w:t>
          </w:r>
          <w:r w:rsidR="005A164E" w:rsidRPr="00600ED9">
            <w:t xml:space="preserve">ste enfoque no desarrolla procedimientos específicos para cada tipo de auditoría,  y </w:t>
          </w:r>
          <w:r w:rsidR="006649E2" w:rsidRPr="00600ED9">
            <w:t>en la prá</w:t>
          </w:r>
          <w:r w:rsidR="0091242F" w:rsidRPr="00600ED9">
            <w:t>ctica</w:t>
          </w:r>
          <w:r w:rsidR="00F352E8" w:rsidRPr="00600ED9">
            <w:t xml:space="preserve">  </w:t>
          </w:r>
          <w:r w:rsidR="005A164E" w:rsidRPr="00600ED9">
            <w:t xml:space="preserve">se concentra </w:t>
          </w:r>
          <w:r w:rsidR="00B36442" w:rsidRPr="00600ED9">
            <w:t xml:space="preserve">básicamente </w:t>
          </w:r>
          <w:r w:rsidR="005A164E" w:rsidRPr="00600ED9">
            <w:t>en aspectos financieros y de cumplimiento</w:t>
          </w:r>
          <w:r w:rsidR="0091242F" w:rsidRPr="00600ED9">
            <w:t xml:space="preserve">. </w:t>
          </w:r>
          <w:r w:rsidR="00B36442" w:rsidRPr="00600ED9">
            <w:t>Esta circunstancia le resta oportunidad de ejercer una supervisi</w:t>
          </w:r>
          <w:r w:rsidR="00852260" w:rsidRPr="00600ED9">
            <w:t>ó</w:t>
          </w:r>
          <w:r w:rsidR="00B36442" w:rsidRPr="00600ED9">
            <w:t>n re</w:t>
          </w:r>
          <w:r w:rsidR="008C0C8E" w:rsidRPr="00600ED9">
            <w:t>al</w:t>
          </w:r>
          <w:r w:rsidR="00B36442" w:rsidRPr="00600ED9">
            <w:t>mente completa de la gesti</w:t>
          </w:r>
          <w:r w:rsidR="00852260" w:rsidRPr="00600ED9">
            <w:t>ó</w:t>
          </w:r>
          <w:r w:rsidR="00B36442" w:rsidRPr="00600ED9">
            <w:t>n p</w:t>
          </w:r>
          <w:r w:rsidR="00852260" w:rsidRPr="00600ED9">
            <w:t>ú</w:t>
          </w:r>
          <w:r w:rsidR="00B36442" w:rsidRPr="00600ED9">
            <w:t>blica y generar valor agr</w:t>
          </w:r>
          <w:r w:rsidR="00A37789" w:rsidRPr="00600ED9">
            <w:t>e</w:t>
          </w:r>
          <w:r w:rsidR="00B36442" w:rsidRPr="00600ED9">
            <w:t xml:space="preserve">gado para elevar la capacidad de la </w:t>
          </w:r>
          <w:r w:rsidR="00852260" w:rsidRPr="00600ED9">
            <w:t>gestión</w:t>
          </w:r>
          <w:r w:rsidR="00F83BA3" w:rsidRPr="00600ED9">
            <w:t>,</w:t>
          </w:r>
          <w:r w:rsidR="00B36442" w:rsidRPr="00600ED9">
            <w:t xml:space="preserve"> </w:t>
          </w:r>
          <w:r w:rsidR="008C0C8E" w:rsidRPr="00600ED9">
            <w:t>al tiempo que disuadir cond</w:t>
          </w:r>
          <w:r w:rsidR="00B36442" w:rsidRPr="00600ED9">
            <w:t>u</w:t>
          </w:r>
          <w:r w:rsidR="008C0C8E" w:rsidRPr="00600ED9">
            <w:t>c</w:t>
          </w:r>
          <w:r w:rsidR="00B36442" w:rsidRPr="00600ED9">
            <w:t xml:space="preserve">tas indebidas o iniciar acciones que </w:t>
          </w:r>
          <w:r w:rsidR="008C0C8E" w:rsidRPr="00600ED9">
            <w:t xml:space="preserve">contribuyan a </w:t>
          </w:r>
          <w:r w:rsidR="00B36442" w:rsidRPr="00600ED9">
            <w:t>preserv</w:t>
          </w:r>
          <w:r w:rsidR="008C0C8E" w:rsidRPr="00600ED9">
            <w:t>ar</w:t>
          </w:r>
          <w:r w:rsidR="00B36442" w:rsidRPr="00600ED9">
            <w:t xml:space="preserve"> los </w:t>
          </w:r>
          <w:r w:rsidR="00852260" w:rsidRPr="00600ED9">
            <w:t>recursos</w:t>
          </w:r>
          <w:r w:rsidR="00B36442" w:rsidRPr="00600ED9">
            <w:t xml:space="preserve"> y el patrimonio </w:t>
          </w:r>
          <w:r w:rsidR="00852260" w:rsidRPr="00600ED9">
            <w:t>públicos</w:t>
          </w:r>
          <w:r w:rsidR="00B36442" w:rsidRPr="00600ED9">
            <w:t>.</w:t>
          </w:r>
        </w:p>
        <w:p w:rsidR="00D15C57" w:rsidRPr="00600ED9" w:rsidRDefault="00D15C57" w:rsidP="00D15C57">
          <w:pPr>
            <w:spacing w:after="0" w:line="240" w:lineRule="auto"/>
            <w:jc w:val="both"/>
          </w:pPr>
        </w:p>
        <w:p w:rsidR="00F554C9" w:rsidRPr="00600ED9" w:rsidRDefault="00222CAF" w:rsidP="00BC1EC9">
          <w:pPr>
            <w:pStyle w:val="NoSpacing"/>
            <w:jc w:val="both"/>
            <w:rPr>
              <w:lang w:val="es-ES_tradnl"/>
            </w:rPr>
          </w:pPr>
          <w:r w:rsidRPr="00600ED9">
            <w:rPr>
              <w:b/>
              <w:lang w:val="es-ES_tradnl"/>
            </w:rPr>
            <w:t xml:space="preserve">Informes de </w:t>
          </w:r>
          <w:r w:rsidR="00852260" w:rsidRPr="00600ED9">
            <w:rPr>
              <w:b/>
              <w:lang w:val="es-ES_tradnl"/>
            </w:rPr>
            <w:t>Gestión</w:t>
          </w:r>
          <w:r w:rsidRPr="00600ED9">
            <w:rPr>
              <w:b/>
              <w:lang w:val="es-ES_tradnl"/>
            </w:rPr>
            <w:t xml:space="preserve"> y </w:t>
          </w:r>
          <w:r w:rsidR="00F83BA3" w:rsidRPr="00600ED9">
            <w:rPr>
              <w:b/>
              <w:lang w:val="es-ES_tradnl"/>
            </w:rPr>
            <w:t xml:space="preserve">Resultados </w:t>
          </w:r>
          <w:r w:rsidRPr="00600ED9">
            <w:rPr>
              <w:b/>
              <w:lang w:val="es-ES_tradnl"/>
            </w:rPr>
            <w:t>del Control Externo</w:t>
          </w:r>
          <w:r w:rsidRPr="00600ED9">
            <w:rPr>
              <w:lang w:val="es-ES_tradnl"/>
            </w:rPr>
            <w:t xml:space="preserve">. </w:t>
          </w:r>
          <w:r w:rsidR="00F554C9" w:rsidRPr="00600ED9">
            <w:rPr>
              <w:lang w:val="es-ES_tradnl"/>
            </w:rPr>
            <w:t xml:space="preserve">El Informe de Gestión y otros informes anuales que </w:t>
          </w:r>
          <w:r w:rsidR="007C608B" w:rsidRPr="00600ED9">
            <w:rPr>
              <w:lang w:val="es-ES_tradnl"/>
            </w:rPr>
            <w:t xml:space="preserve">presenta la CGRC </w:t>
          </w:r>
          <w:r w:rsidR="00F554C9" w:rsidRPr="00600ED9">
            <w:rPr>
              <w:lang w:val="es-ES_tradnl"/>
            </w:rPr>
            <w:t xml:space="preserve">por mandato constitucional, son de libre acceso </w:t>
          </w:r>
          <w:r w:rsidR="00852260" w:rsidRPr="00600ED9">
            <w:rPr>
              <w:lang w:val="es-ES_tradnl"/>
            </w:rPr>
            <w:t>a través de</w:t>
          </w:r>
          <w:r w:rsidR="007C608B" w:rsidRPr="00600ED9">
            <w:rPr>
              <w:lang w:val="es-ES_tradnl"/>
            </w:rPr>
            <w:t xml:space="preserve"> </w:t>
          </w:r>
          <w:r w:rsidR="00852260" w:rsidRPr="00600ED9">
            <w:rPr>
              <w:lang w:val="es-ES_tradnl"/>
            </w:rPr>
            <w:t>la</w:t>
          </w:r>
          <w:r w:rsidR="007C608B" w:rsidRPr="00600ED9">
            <w:rPr>
              <w:lang w:val="es-ES_tradnl"/>
            </w:rPr>
            <w:t xml:space="preserve"> publica</w:t>
          </w:r>
          <w:r w:rsidR="00852260" w:rsidRPr="00600ED9">
            <w:rPr>
              <w:lang w:val="es-ES_tradnl"/>
            </w:rPr>
            <w:t>ción</w:t>
          </w:r>
          <w:r w:rsidR="007C608B" w:rsidRPr="00600ED9">
            <w:rPr>
              <w:lang w:val="es-ES_tradnl"/>
            </w:rPr>
            <w:t xml:space="preserve"> en su </w:t>
          </w:r>
          <w:r w:rsidR="00F83BA3" w:rsidRPr="00600ED9">
            <w:rPr>
              <w:lang w:val="es-ES_tradnl"/>
            </w:rPr>
            <w:t xml:space="preserve">página </w:t>
          </w:r>
          <w:r w:rsidR="00F554C9" w:rsidRPr="00600ED9">
            <w:rPr>
              <w:lang w:val="es-ES_tradnl"/>
            </w:rPr>
            <w:t xml:space="preserve">web institucional.  Sin embargo, la CGRC </w:t>
          </w:r>
          <w:r w:rsidR="007C608B" w:rsidRPr="00600ED9">
            <w:rPr>
              <w:lang w:val="es-ES_tradnl"/>
            </w:rPr>
            <w:t>debe hacer m</w:t>
          </w:r>
          <w:r w:rsidR="00852260" w:rsidRPr="00600ED9">
            <w:rPr>
              <w:lang w:val="es-ES_tradnl"/>
            </w:rPr>
            <w:t>á</w:t>
          </w:r>
          <w:r w:rsidR="007C608B" w:rsidRPr="00600ED9">
            <w:rPr>
              <w:lang w:val="es-ES_tradnl"/>
            </w:rPr>
            <w:t xml:space="preserve">s visible su </w:t>
          </w:r>
          <w:r w:rsidR="00852260" w:rsidRPr="00600ED9">
            <w:rPr>
              <w:lang w:val="es-ES_tradnl"/>
            </w:rPr>
            <w:t>gestión</w:t>
          </w:r>
          <w:r w:rsidR="007C608B" w:rsidRPr="00600ED9">
            <w:rPr>
              <w:lang w:val="es-ES_tradnl"/>
            </w:rPr>
            <w:t xml:space="preserve"> </w:t>
          </w:r>
          <w:r w:rsidRPr="00600ED9">
            <w:rPr>
              <w:lang w:val="es-ES_tradnl"/>
            </w:rPr>
            <w:t xml:space="preserve">e identificar y utilizar espacios y medios que le acerquen a los ciudadanos y </w:t>
          </w:r>
          <w:r w:rsidR="00852260" w:rsidRPr="00600ED9">
            <w:rPr>
              <w:lang w:val="es-ES_tradnl"/>
            </w:rPr>
            <w:t>otros</w:t>
          </w:r>
          <w:r w:rsidRPr="00600ED9">
            <w:rPr>
              <w:lang w:val="es-ES_tradnl"/>
            </w:rPr>
            <w:t xml:space="preserve"> grupos de interés. </w:t>
          </w:r>
          <w:r w:rsidR="00852260" w:rsidRPr="00600ED9">
            <w:rPr>
              <w:lang w:val="es-ES_tradnl"/>
            </w:rPr>
            <w:t>L</w:t>
          </w:r>
          <w:r w:rsidR="002401E7" w:rsidRPr="00600ED9">
            <w:rPr>
              <w:lang w:val="es-ES_tradnl"/>
            </w:rPr>
            <w:t>as iniciativas de comunicación</w:t>
          </w:r>
          <w:r w:rsidR="00F83BA3" w:rsidRPr="00600ED9">
            <w:rPr>
              <w:lang w:val="es-ES_tradnl"/>
            </w:rPr>
            <w:t>,</w:t>
          </w:r>
          <w:r w:rsidR="002401E7" w:rsidRPr="00600ED9">
            <w:rPr>
              <w:lang w:val="es-ES_tradnl"/>
            </w:rPr>
            <w:t xml:space="preserve"> deben corresponder a una estrategia formalizada en un Plan de Comunicaciones, el cual se base en las necesidades de los  grupos de interés</w:t>
          </w:r>
          <w:r w:rsidR="00ED371D" w:rsidRPr="00600ED9">
            <w:rPr>
              <w:lang w:val="es-ES_tradnl"/>
            </w:rPr>
            <w:t>. Los instrumen</w:t>
          </w:r>
          <w:r w:rsidR="002401E7" w:rsidRPr="00600ED9">
            <w:rPr>
              <w:lang w:val="es-ES_tradnl"/>
            </w:rPr>
            <w:t xml:space="preserve">tos y medios resultantes deben medirse </w:t>
          </w:r>
          <w:r w:rsidR="00852260" w:rsidRPr="00600ED9">
            <w:rPr>
              <w:lang w:val="es-ES_tradnl"/>
            </w:rPr>
            <w:t>periódicamente</w:t>
          </w:r>
          <w:r w:rsidR="000501ED" w:rsidRPr="00600ED9">
            <w:rPr>
              <w:lang w:val="es-ES_tradnl"/>
            </w:rPr>
            <w:t xml:space="preserve">, </w:t>
          </w:r>
          <w:r w:rsidR="002401E7" w:rsidRPr="00600ED9">
            <w:rPr>
              <w:lang w:val="es-ES_tradnl"/>
            </w:rPr>
            <w:t>para establecer su efectividad</w:t>
          </w:r>
          <w:r w:rsidR="000501ED" w:rsidRPr="00600ED9">
            <w:rPr>
              <w:lang w:val="es-ES_tradnl"/>
            </w:rPr>
            <w:t xml:space="preserve">, introducir mejoras </w:t>
          </w:r>
          <w:r w:rsidR="002401E7" w:rsidRPr="00600ED9">
            <w:rPr>
              <w:lang w:val="es-ES_tradnl"/>
            </w:rPr>
            <w:t xml:space="preserve">y sostener el posicionamiento </w:t>
          </w:r>
          <w:r w:rsidR="000501ED" w:rsidRPr="00600ED9">
            <w:rPr>
              <w:lang w:val="es-ES_tradnl"/>
            </w:rPr>
            <w:t xml:space="preserve">de la </w:t>
          </w:r>
          <w:r w:rsidR="00852260" w:rsidRPr="00600ED9">
            <w:rPr>
              <w:lang w:val="es-ES_tradnl"/>
            </w:rPr>
            <w:t>imagen</w:t>
          </w:r>
          <w:r w:rsidR="000501ED" w:rsidRPr="00600ED9">
            <w:rPr>
              <w:lang w:val="es-ES_tradnl"/>
            </w:rPr>
            <w:t xml:space="preserve"> de la CGRC en </w:t>
          </w:r>
          <w:r w:rsidR="002401E7" w:rsidRPr="00600ED9">
            <w:rPr>
              <w:lang w:val="es-ES_tradnl"/>
            </w:rPr>
            <w:t xml:space="preserve"> tal</w:t>
          </w:r>
          <w:r w:rsidR="000501ED" w:rsidRPr="00600ED9">
            <w:rPr>
              <w:lang w:val="es-ES_tradnl"/>
            </w:rPr>
            <w:t>e</w:t>
          </w:r>
          <w:r w:rsidR="002401E7" w:rsidRPr="00600ED9">
            <w:rPr>
              <w:lang w:val="es-ES_tradnl"/>
            </w:rPr>
            <w:t xml:space="preserve">s grupos de </w:t>
          </w:r>
          <w:r w:rsidR="00852260" w:rsidRPr="00600ED9">
            <w:rPr>
              <w:lang w:val="es-ES_tradnl"/>
            </w:rPr>
            <w:t>interés</w:t>
          </w:r>
          <w:r w:rsidR="002401E7" w:rsidRPr="00600ED9">
            <w:rPr>
              <w:lang w:val="es-ES_tradnl"/>
            </w:rPr>
            <w:t>.</w:t>
          </w:r>
        </w:p>
        <w:p w:rsidR="004A77E3" w:rsidRPr="00600ED9" w:rsidRDefault="004A77E3" w:rsidP="00BC1EC9">
          <w:pPr>
            <w:pStyle w:val="NoSpacing"/>
            <w:jc w:val="both"/>
            <w:rPr>
              <w:lang w:val="es-ES_tradnl"/>
            </w:rPr>
          </w:pPr>
        </w:p>
        <w:p w:rsidR="00A37789" w:rsidRPr="00600ED9" w:rsidRDefault="00852260" w:rsidP="00DD26FA">
          <w:pPr>
            <w:spacing w:line="240" w:lineRule="auto"/>
            <w:jc w:val="both"/>
          </w:pPr>
          <w:r w:rsidRPr="00600ED9">
            <w:rPr>
              <w:b/>
            </w:rPr>
            <w:t>Adhesión</w:t>
          </w:r>
          <w:r w:rsidR="00A25422" w:rsidRPr="00600ED9">
            <w:rPr>
              <w:b/>
            </w:rPr>
            <w:t xml:space="preserve"> a las Normas Internacionales. </w:t>
          </w:r>
          <w:r w:rsidR="00005E91" w:rsidRPr="00600ED9">
            <w:t xml:space="preserve">La práctica </w:t>
          </w:r>
          <w:r w:rsidRPr="00600ED9">
            <w:t>profesional</w:t>
          </w:r>
          <w:r w:rsidR="00005E91" w:rsidRPr="00600ED9">
            <w:t xml:space="preserve"> de la CGRC no ha sido sometida a un programa de revisión</w:t>
          </w:r>
          <w:r w:rsidR="00023542" w:rsidRPr="00600ED9">
            <w:t>,</w:t>
          </w:r>
          <w:r w:rsidR="00005E91" w:rsidRPr="00600ED9">
            <w:t xml:space="preserve"> </w:t>
          </w:r>
          <w:r w:rsidR="00A25422" w:rsidRPr="00600ED9">
            <w:t xml:space="preserve">para establecer su grado de </w:t>
          </w:r>
          <w:r w:rsidRPr="00600ED9">
            <w:t>adhesión</w:t>
          </w:r>
          <w:r w:rsidR="00A25422" w:rsidRPr="00600ED9">
            <w:t xml:space="preserve"> a las </w:t>
          </w:r>
          <w:r w:rsidRPr="00600ED9">
            <w:t>N</w:t>
          </w:r>
          <w:r w:rsidR="00A25422" w:rsidRPr="00600ED9">
            <w:t xml:space="preserve">ormas </w:t>
          </w:r>
          <w:r w:rsidRPr="00600ED9">
            <w:t>I</w:t>
          </w:r>
          <w:r w:rsidR="00A25422" w:rsidRPr="00600ED9">
            <w:t>nternacio</w:t>
          </w:r>
          <w:r w:rsidR="00CE768F" w:rsidRPr="00600ED9">
            <w:t>na</w:t>
          </w:r>
          <w:r w:rsidR="00A25422" w:rsidRPr="00600ED9">
            <w:t>les de las Entid</w:t>
          </w:r>
          <w:r w:rsidR="00CE768F" w:rsidRPr="00600ED9">
            <w:t>ad</w:t>
          </w:r>
          <w:r w:rsidR="00A25422" w:rsidRPr="00600ED9">
            <w:t xml:space="preserve">es de </w:t>
          </w:r>
          <w:r w:rsidRPr="00600ED9">
            <w:t>Fiscalización</w:t>
          </w:r>
          <w:r w:rsidR="00A25422" w:rsidRPr="00600ED9">
            <w:t xml:space="preserve"> Superior</w:t>
          </w:r>
          <w:r w:rsidR="007209AD" w:rsidRPr="00600ED9">
            <w:t xml:space="preserve"> (ISSAI</w:t>
          </w:r>
          <w:r w:rsidRPr="00600ED9">
            <w:t>)</w:t>
          </w:r>
          <w:r w:rsidR="00A25422" w:rsidRPr="00600ED9">
            <w:t xml:space="preserve">. </w:t>
          </w:r>
          <w:r w:rsidR="00CE768F" w:rsidRPr="00600ED9">
            <w:t xml:space="preserve">Una </w:t>
          </w:r>
          <w:r w:rsidRPr="00600ED9">
            <w:t>evaluación</w:t>
          </w:r>
          <w:r w:rsidR="00CE768F" w:rsidRPr="00600ED9">
            <w:t xml:space="preserve"> estructurada, como el programa 3i de IDI- NTOSAI, le </w:t>
          </w:r>
          <w:r w:rsidRPr="00600ED9">
            <w:t>permitiría</w:t>
          </w:r>
          <w:r w:rsidR="00CE768F" w:rsidRPr="00600ED9">
            <w:t xml:space="preserve"> </w:t>
          </w:r>
          <w:r w:rsidR="00325CD8" w:rsidRPr="00600ED9">
            <w:t xml:space="preserve">identificar las </w:t>
          </w:r>
          <w:r w:rsidR="00CE768F" w:rsidRPr="00600ED9">
            <w:t xml:space="preserve">necesidades de ajuste </w:t>
          </w:r>
          <w:r w:rsidR="00325CD8" w:rsidRPr="00600ED9">
            <w:t xml:space="preserve">y por </w:t>
          </w:r>
          <w:r w:rsidR="008C0C8E" w:rsidRPr="00600ED9">
            <w:t>consigui</w:t>
          </w:r>
          <w:r w:rsidR="00501F71" w:rsidRPr="00600ED9">
            <w:t>en</w:t>
          </w:r>
          <w:r w:rsidR="008C0C8E" w:rsidRPr="00600ED9">
            <w:t>te elevar su capacidad institucional</w:t>
          </w:r>
          <w:r w:rsidR="00501F71" w:rsidRPr="00600ED9">
            <w:t xml:space="preserve"> de conformidad con l</w:t>
          </w:r>
          <w:r w:rsidR="001A097A" w:rsidRPr="00600ED9">
            <w:t>as mejores prá</w:t>
          </w:r>
          <w:r w:rsidR="00CE768F" w:rsidRPr="00600ED9">
            <w:t xml:space="preserve">cticas. De esta manera, se </w:t>
          </w:r>
          <w:r w:rsidR="00501F71" w:rsidRPr="00600ED9">
            <w:t>contribuir</w:t>
          </w:r>
          <w:r w:rsidR="00023542" w:rsidRPr="00600ED9">
            <w:t>á</w:t>
          </w:r>
          <w:r w:rsidR="00501F71" w:rsidRPr="00600ED9">
            <w:t xml:space="preserve"> en forma importante </w:t>
          </w:r>
          <w:r w:rsidR="00023542" w:rsidRPr="00600ED9">
            <w:t xml:space="preserve">en </w:t>
          </w:r>
          <w:r w:rsidR="00221485" w:rsidRPr="00600ED9">
            <w:t xml:space="preserve">la </w:t>
          </w:r>
          <w:r w:rsidRPr="00600ED9">
            <w:t>incorporación</w:t>
          </w:r>
          <w:r w:rsidR="001A097A" w:rsidRPr="00600ED9">
            <w:t xml:space="preserve"> de</w:t>
          </w:r>
          <w:r w:rsidR="00023542" w:rsidRPr="00600ED9">
            <w:t xml:space="preserve"> Colombia </w:t>
          </w:r>
          <w:r w:rsidR="00221485" w:rsidRPr="00600ED9">
            <w:t>dentro del gr</w:t>
          </w:r>
          <w:r w:rsidR="001A097A" w:rsidRPr="00600ED9">
            <w:t xml:space="preserve">upo de </w:t>
          </w:r>
          <w:r w:rsidRPr="00600ED9">
            <w:t>países</w:t>
          </w:r>
          <w:r w:rsidR="00501F71" w:rsidRPr="00600ED9">
            <w:t xml:space="preserve"> de la </w:t>
          </w:r>
          <w:r w:rsidR="00845981" w:rsidRPr="00600ED9">
            <w:t xml:space="preserve"> Organización para la Cooperación y el Desarrollo Económicos (OCDE)</w:t>
          </w:r>
          <w:r w:rsidR="00005E91" w:rsidRPr="00600ED9">
            <w:t xml:space="preserve">. </w:t>
          </w:r>
        </w:p>
        <w:p w:rsidR="0075721D" w:rsidRPr="00600ED9" w:rsidRDefault="00444D5B" w:rsidP="001C7BF6">
          <w:pPr>
            <w:spacing w:line="240" w:lineRule="auto"/>
            <w:jc w:val="both"/>
          </w:pPr>
          <w:r w:rsidRPr="00600ED9">
            <w:t>Un medio para elevar tanto la capacidad como la imagen institucional de la CGRC</w:t>
          </w:r>
          <w:r w:rsidR="00EA3352" w:rsidRPr="00600ED9">
            <w:t>,</w:t>
          </w:r>
          <w:r w:rsidRPr="00600ED9">
            <w:t xml:space="preserve"> es e</w:t>
          </w:r>
          <w:r w:rsidR="00A37789" w:rsidRPr="00600ED9">
            <w:t>l desarro</w:t>
          </w:r>
          <w:r w:rsidR="004A6DBF" w:rsidRPr="00600ED9">
            <w:t>l</w:t>
          </w:r>
          <w:r w:rsidR="00A37789" w:rsidRPr="00600ED9">
            <w:t>lo de un proyecto integral q</w:t>
          </w:r>
          <w:r w:rsidR="00CE779B" w:rsidRPr="00600ED9">
            <w:t>ue se base en el diagn</w:t>
          </w:r>
          <w:r w:rsidR="00A37789" w:rsidRPr="00600ED9">
            <w:t>óst</w:t>
          </w:r>
          <w:r w:rsidR="00CE779B" w:rsidRPr="00600ED9">
            <w:t xml:space="preserve">ico </w:t>
          </w:r>
          <w:r w:rsidR="00A37789" w:rsidRPr="00600ED9">
            <w:t xml:space="preserve">de </w:t>
          </w:r>
          <w:r w:rsidR="00912AD8" w:rsidRPr="00600ED9">
            <w:t>necesidades, para</w:t>
          </w:r>
          <w:r w:rsidR="00A37789" w:rsidRPr="00600ED9">
            <w:t xml:space="preserve"> ajustarse a las normas y mejores </w:t>
          </w:r>
          <w:r w:rsidR="00387926" w:rsidRPr="00600ED9">
            <w:t>prácticas</w:t>
          </w:r>
          <w:r w:rsidR="00A37789" w:rsidRPr="00600ED9">
            <w:t xml:space="preserve"> internacionales.</w:t>
          </w:r>
          <w:r w:rsidR="00CE779B" w:rsidRPr="00600ED9">
            <w:t xml:space="preserve"> </w:t>
          </w:r>
          <w:r w:rsidRPr="00600ED9">
            <w:t xml:space="preserve">Un proyecto como este,  </w:t>
          </w:r>
          <w:r w:rsidR="00EA3352" w:rsidRPr="00600ED9">
            <w:t xml:space="preserve">permite el </w:t>
          </w:r>
          <w:r w:rsidR="009556EF" w:rsidRPr="00600ED9">
            <w:t>diseñ</w:t>
          </w:r>
          <w:r w:rsidR="00EA3352" w:rsidRPr="00600ED9">
            <w:t>o</w:t>
          </w:r>
          <w:r w:rsidR="004A6DBF" w:rsidRPr="00600ED9">
            <w:t xml:space="preserve">  e implanta</w:t>
          </w:r>
          <w:r w:rsidR="00EA3352" w:rsidRPr="00600ED9">
            <w:t>ción</w:t>
          </w:r>
          <w:r w:rsidR="004A6DBF" w:rsidRPr="00600ED9">
            <w:t xml:space="preserve"> </w:t>
          </w:r>
          <w:r w:rsidR="00EA3352" w:rsidRPr="00600ED9">
            <w:t>d</w:t>
          </w:r>
          <w:r w:rsidR="0075721D" w:rsidRPr="00600ED9">
            <w:t>e</w:t>
          </w:r>
          <w:r w:rsidR="00F74C33" w:rsidRPr="00600ED9">
            <w:t>l Marco Rector del Control Externo (MRCE)</w:t>
          </w:r>
          <w:r w:rsidR="00400C51" w:rsidRPr="00600ED9">
            <w:t xml:space="preserve">, </w:t>
          </w:r>
          <w:r w:rsidR="00EA3352" w:rsidRPr="00600ED9">
            <w:t>dando el soporte a</w:t>
          </w:r>
          <w:r w:rsidR="00400C51" w:rsidRPr="00600ED9">
            <w:t xml:space="preserve"> </w:t>
          </w:r>
          <w:r w:rsidR="004A6DBF" w:rsidRPr="00600ED9">
            <w:t>u</w:t>
          </w:r>
          <w:r w:rsidR="00CE779B" w:rsidRPr="00600ED9">
            <w:t>n nuevo Sistema de Auditor</w:t>
          </w:r>
          <w:r w:rsidR="00852260" w:rsidRPr="00600ED9">
            <w:t>í</w:t>
          </w:r>
          <w:r w:rsidR="00CE779B" w:rsidRPr="00600ED9">
            <w:t>a Gubernamental,</w:t>
          </w:r>
          <w:r w:rsidR="004A6DBF" w:rsidRPr="00600ED9">
            <w:t xml:space="preserve"> </w:t>
          </w:r>
          <w:r w:rsidR="00400C51" w:rsidRPr="00600ED9">
            <w:t xml:space="preserve">compuesto por un Manual General de </w:t>
          </w:r>
          <w:r w:rsidR="005C54C5" w:rsidRPr="00600ED9">
            <w:t>Auditoría</w:t>
          </w:r>
          <w:r w:rsidR="00400C51" w:rsidRPr="00600ED9">
            <w:t xml:space="preserve"> Gubernamental y Módulos o Guías especializadas para cada tipo de intervención de la </w:t>
          </w:r>
          <w:r w:rsidR="00400C51" w:rsidRPr="00600ED9">
            <w:lastRenderedPageBreak/>
            <w:t xml:space="preserve">CGRC. El MRCE </w:t>
          </w:r>
          <w:r w:rsidRPr="00600ED9">
            <w:t xml:space="preserve">se </w:t>
          </w:r>
          <w:r w:rsidR="00852260" w:rsidRPr="00600ED9">
            <w:t>mediría</w:t>
          </w:r>
          <w:r w:rsidRPr="00600ED9">
            <w:t xml:space="preserve"> </w:t>
          </w:r>
          <w:r w:rsidR="00852260" w:rsidRPr="00600ED9">
            <w:t>periódicamente</w:t>
          </w:r>
          <w:r w:rsidR="00CE779B" w:rsidRPr="00600ED9">
            <w:t xml:space="preserve"> en su efectividad y calidad</w:t>
          </w:r>
          <w:r w:rsidR="00EA3352" w:rsidRPr="00600ED9">
            <w:t>,</w:t>
          </w:r>
          <w:r w:rsidR="00517682" w:rsidRPr="00600ED9">
            <w:t xml:space="preserve"> </w:t>
          </w:r>
          <w:r w:rsidR="00400C51" w:rsidRPr="00600ED9">
            <w:t xml:space="preserve">mediante el </w:t>
          </w:r>
          <w:r w:rsidR="00AD4E0A" w:rsidRPr="00600ED9">
            <w:t>Marco de Medición del Desempeño de las Entidades de Fiscalización Superior (</w:t>
          </w:r>
          <w:r w:rsidR="00400C51" w:rsidRPr="00600ED9">
            <w:t>MMD</w:t>
          </w:r>
          <w:r w:rsidR="0075721D" w:rsidRPr="00600ED9">
            <w:t>-</w:t>
          </w:r>
          <w:r w:rsidR="00400C51" w:rsidRPr="00600ED9">
            <w:t>EFS</w:t>
          </w:r>
          <w:r w:rsidR="00AD4E0A" w:rsidRPr="00600ED9">
            <w:t>)</w:t>
          </w:r>
          <w:r w:rsidR="00517682" w:rsidRPr="00600ED9">
            <w:t xml:space="preserve"> y revisiones de pares</w:t>
          </w:r>
          <w:r w:rsidR="00EA3352" w:rsidRPr="00600ED9">
            <w:t>,</w:t>
          </w:r>
          <w:r w:rsidR="00517682" w:rsidRPr="00600ED9">
            <w:t xml:space="preserve"> </w:t>
          </w:r>
          <w:r w:rsidR="00EA3352" w:rsidRPr="00600ED9">
            <w:t xml:space="preserve">con un mayor nivel de </w:t>
          </w:r>
          <w:r w:rsidR="00517682" w:rsidRPr="00600ED9">
            <w:t>desempeño.</w:t>
          </w:r>
          <w:r w:rsidR="001338B8" w:rsidRPr="00600ED9">
            <w:t xml:space="preserve"> </w:t>
          </w:r>
        </w:p>
        <w:p w:rsidR="001C70A6" w:rsidRPr="00600ED9" w:rsidRDefault="001338B8" w:rsidP="00BC1EC9">
          <w:pPr>
            <w:spacing w:line="240" w:lineRule="auto"/>
            <w:jc w:val="both"/>
          </w:pPr>
          <w:r w:rsidRPr="00600ED9">
            <w:t xml:space="preserve">El diseño e </w:t>
          </w:r>
          <w:r w:rsidR="00852260" w:rsidRPr="00600ED9">
            <w:t>implantación</w:t>
          </w:r>
          <w:r w:rsidRPr="00600ED9">
            <w:t xml:space="preserve"> debe </w:t>
          </w:r>
          <w:r w:rsidR="00852260" w:rsidRPr="00600ED9">
            <w:t>prever</w:t>
          </w:r>
          <w:r w:rsidR="00444D5B" w:rsidRPr="00600ED9">
            <w:t xml:space="preserve"> elementos para su sostenibilidad en el tiempo.</w:t>
          </w:r>
          <w:r w:rsidR="007C78D6" w:rsidRPr="00600ED9">
            <w:t xml:space="preserve"> Una de las </w:t>
          </w:r>
          <w:r w:rsidR="00444D5B" w:rsidRPr="00600ED9">
            <w:t xml:space="preserve">formas de </w:t>
          </w:r>
          <w:r w:rsidRPr="00600ED9">
            <w:t>sostenimiento</w:t>
          </w:r>
          <w:r w:rsidR="00EA3352" w:rsidRPr="00600ED9">
            <w:t>,</w:t>
          </w:r>
          <w:r w:rsidRPr="00600ED9">
            <w:t xml:space="preserve"> </w:t>
          </w:r>
          <w:r w:rsidR="00852260" w:rsidRPr="00600ED9">
            <w:t>será</w:t>
          </w:r>
          <w:r w:rsidRPr="00600ED9">
            <w:t xml:space="preserve"> </w:t>
          </w:r>
          <w:r w:rsidR="00444D5B" w:rsidRPr="00600ED9">
            <w:t xml:space="preserve">la </w:t>
          </w:r>
          <w:r w:rsidR="00852260" w:rsidRPr="00600ED9">
            <w:t>interacción</w:t>
          </w:r>
          <w:r w:rsidR="007C78D6" w:rsidRPr="00600ED9">
            <w:t xml:space="preserve"> permanente y genuina con la sociedad civil, quien constituye el auditor primario y usuario final de los servicios del </w:t>
          </w:r>
          <w:r w:rsidR="00852260" w:rsidRPr="00600ED9">
            <w:t>s</w:t>
          </w:r>
          <w:r w:rsidR="007C78D6" w:rsidRPr="00600ED9">
            <w:t xml:space="preserve">ector </w:t>
          </w:r>
          <w:r w:rsidR="00852260" w:rsidRPr="00600ED9">
            <w:t>p</w:t>
          </w:r>
          <w:r w:rsidR="007C78D6" w:rsidRPr="00600ED9">
            <w:t>úblico</w:t>
          </w:r>
          <w:r w:rsidR="00FA378A" w:rsidRPr="00600ED9">
            <w:t>.</w:t>
          </w:r>
          <w:r w:rsidR="00517682" w:rsidRPr="00600ED9">
            <w:t xml:space="preserve"> </w:t>
          </w:r>
          <w:r w:rsidRPr="00600ED9">
            <w:t>Otra forma importante</w:t>
          </w:r>
          <w:r w:rsidR="00FA378A" w:rsidRPr="00600ED9">
            <w:t xml:space="preserve"> de aportar a la sostenibilidad, </w:t>
          </w:r>
          <w:r w:rsidRPr="00600ED9">
            <w:t xml:space="preserve"> es una </w:t>
          </w:r>
          <w:r w:rsidR="00852260" w:rsidRPr="00600ED9">
            <w:t>relación</w:t>
          </w:r>
          <w:r w:rsidRPr="00600ED9">
            <w:t xml:space="preserve"> de productividad continua con el </w:t>
          </w:r>
          <w:r w:rsidR="00852260" w:rsidRPr="00600ED9">
            <w:t>P</w:t>
          </w:r>
          <w:r w:rsidRPr="00600ED9">
            <w:t xml:space="preserve">oder Legislativo, para que haga uso del </w:t>
          </w:r>
          <w:r w:rsidR="00852260" w:rsidRPr="00600ED9">
            <w:t>c</w:t>
          </w:r>
          <w:r w:rsidRPr="00600ED9">
            <w:t xml:space="preserve">ontrol externo en su </w:t>
          </w:r>
          <w:r w:rsidR="00852260" w:rsidRPr="00600ED9">
            <w:t>misión</w:t>
          </w:r>
          <w:r w:rsidRPr="00600ED9">
            <w:t xml:space="preserve"> constitucional de </w:t>
          </w:r>
          <w:r w:rsidR="00852260" w:rsidRPr="00600ED9">
            <w:t>supervisión</w:t>
          </w:r>
          <w:r w:rsidRPr="00600ED9">
            <w:t xml:space="preserve"> del Poder </w:t>
          </w:r>
          <w:r w:rsidR="00852260" w:rsidRPr="00600ED9">
            <w:t>E</w:t>
          </w:r>
          <w:r w:rsidRPr="00600ED9">
            <w:t xml:space="preserve">jecutivo y en la </w:t>
          </w:r>
          <w:r w:rsidR="00852260" w:rsidRPr="00600ED9">
            <w:t>preparación</w:t>
          </w:r>
          <w:r w:rsidRPr="00600ED9">
            <w:t xml:space="preserve"> de nuevas leyes. </w:t>
          </w:r>
          <w:r w:rsidR="00D334EB" w:rsidRPr="00600ED9">
            <w:t>Informes con r</w:t>
          </w:r>
          <w:r w:rsidRPr="00600ED9">
            <w:t>ecomendaciones de valor</w:t>
          </w:r>
          <w:r w:rsidR="00D334EB" w:rsidRPr="00600ED9">
            <w:t xml:space="preserve"> agregado, como ahorros, </w:t>
          </w:r>
          <w:r w:rsidR="00852260" w:rsidRPr="00600ED9">
            <w:t>prevención</w:t>
          </w:r>
          <w:r w:rsidR="00D334EB" w:rsidRPr="00600ED9">
            <w:t xml:space="preserve"> de riesgos, e </w:t>
          </w:r>
          <w:r w:rsidR="00852260" w:rsidRPr="00600ED9">
            <w:t>identificación</w:t>
          </w:r>
          <w:r w:rsidR="00D334EB" w:rsidRPr="00600ED9">
            <w:t xml:space="preserve"> de oportunidades de mejor servicio a los ciudadanos</w:t>
          </w:r>
          <w:r w:rsidRPr="00600ED9">
            <w:t xml:space="preserve">, dirigidas </w:t>
          </w:r>
          <w:r w:rsidR="00D334EB" w:rsidRPr="00600ED9">
            <w:t xml:space="preserve">al </w:t>
          </w:r>
          <w:r w:rsidR="00852260" w:rsidRPr="00600ED9">
            <w:t>P</w:t>
          </w:r>
          <w:r w:rsidR="00D334EB" w:rsidRPr="00600ED9">
            <w:t xml:space="preserve">oder </w:t>
          </w:r>
          <w:r w:rsidR="00852260" w:rsidRPr="00600ED9">
            <w:t>E</w:t>
          </w:r>
          <w:r w:rsidR="00D334EB" w:rsidRPr="00600ED9">
            <w:t>jecutivo, representará</w:t>
          </w:r>
          <w:r w:rsidRPr="00600ED9">
            <w:t xml:space="preserve">n </w:t>
          </w:r>
          <w:r w:rsidR="00852260" w:rsidRPr="00600ED9">
            <w:t>también</w:t>
          </w:r>
          <w:r w:rsidRPr="00600ED9">
            <w:t xml:space="preserve"> un punto de apoyo para la </w:t>
          </w:r>
          <w:r w:rsidR="00852260" w:rsidRPr="00600ED9">
            <w:t>sostenibilidad</w:t>
          </w:r>
          <w:r w:rsidRPr="00600ED9">
            <w:t>.</w:t>
          </w:r>
        </w:p>
        <w:p w:rsidR="00A87342" w:rsidRPr="00600ED9" w:rsidRDefault="00A87342" w:rsidP="00D15C57">
          <w:pPr>
            <w:spacing w:after="0" w:line="240" w:lineRule="auto"/>
            <w:jc w:val="both"/>
            <w:rPr>
              <w:rFonts w:cs="Calibri"/>
              <w:b/>
              <w:bCs/>
              <w:smallCaps/>
              <w:color w:val="365F91" w:themeColor="accent1" w:themeShade="BF"/>
            </w:rPr>
          </w:pPr>
          <w:r w:rsidRPr="00600ED9">
            <w:rPr>
              <w:rFonts w:cs="Calibri"/>
              <w:b/>
              <w:bCs/>
              <w:smallCaps/>
              <w:color w:val="365F91" w:themeColor="accent1" w:themeShade="BF"/>
            </w:rPr>
            <w:t xml:space="preserve">Independencia y Marco Legal de la </w:t>
          </w:r>
          <w:r w:rsidR="005E7DA1" w:rsidRPr="00600ED9">
            <w:rPr>
              <w:rFonts w:cs="Calibri"/>
              <w:b/>
              <w:bCs/>
              <w:smallCaps/>
              <w:color w:val="365F91" w:themeColor="accent1" w:themeShade="BF"/>
            </w:rPr>
            <w:t>Entidad de Fiscalización Superior</w:t>
          </w:r>
        </w:p>
        <w:p w:rsidR="00D15C57" w:rsidRPr="00600ED9" w:rsidRDefault="00D15C57" w:rsidP="00D15C57">
          <w:pPr>
            <w:spacing w:after="0" w:line="240" w:lineRule="auto"/>
            <w:jc w:val="both"/>
            <w:rPr>
              <w:rFonts w:cs="Calibri"/>
              <w:b/>
              <w:bCs/>
              <w:smallCaps/>
              <w:color w:val="365F91" w:themeColor="accent1" w:themeShade="BF"/>
            </w:rPr>
          </w:pPr>
        </w:p>
        <w:p w:rsidR="001C70A6" w:rsidRPr="00600ED9" w:rsidRDefault="005E7DA1" w:rsidP="00D15C57">
          <w:pPr>
            <w:spacing w:after="0" w:line="240" w:lineRule="auto"/>
            <w:jc w:val="both"/>
          </w:pPr>
          <w:r w:rsidRPr="00600ED9">
            <w:t>La independencia de la Contraloría</w:t>
          </w:r>
          <w:r w:rsidR="00E06D3A" w:rsidRPr="00600ED9">
            <w:t xml:space="preserve">, su </w:t>
          </w:r>
          <w:r w:rsidR="00912AD8" w:rsidRPr="00600ED9">
            <w:t>mandato y</w:t>
          </w:r>
          <w:r w:rsidRPr="00600ED9">
            <w:t xml:space="preserve"> </w:t>
          </w:r>
          <w:r w:rsidR="00E06D3A" w:rsidRPr="00600ED9">
            <w:t>la</w:t>
          </w:r>
          <w:r w:rsidRPr="00600ED9">
            <w:t xml:space="preserve"> relación con otros Organismos del Estado, está claramente definida en el marco legal conformado de manera principista, </w:t>
          </w:r>
          <w:r w:rsidR="000D50CF" w:rsidRPr="00600ED9">
            <w:t xml:space="preserve">desde </w:t>
          </w:r>
          <w:r w:rsidRPr="00600ED9">
            <w:t>la Constitución</w:t>
          </w:r>
          <w:r w:rsidR="000D50CF" w:rsidRPr="00600ED9">
            <w:t xml:space="preserve"> vigente</w:t>
          </w:r>
          <w:r w:rsidR="007A1234" w:rsidRPr="00600ED9">
            <w:t xml:space="preserve"> y la </w:t>
          </w:r>
          <w:r w:rsidR="0075721D" w:rsidRPr="00600ED9">
            <w:t>L</w:t>
          </w:r>
          <w:r w:rsidR="007A1234" w:rsidRPr="00600ED9">
            <w:t xml:space="preserve">ey </w:t>
          </w:r>
          <w:r w:rsidR="0075721D" w:rsidRPr="00600ED9">
            <w:t>O</w:t>
          </w:r>
          <w:r w:rsidR="007A1234" w:rsidRPr="00600ED9">
            <w:t>rgánica de la CGRC</w:t>
          </w:r>
          <w:r w:rsidR="000D50CF" w:rsidRPr="00600ED9">
            <w:t xml:space="preserve">. </w:t>
          </w:r>
        </w:p>
        <w:p w:rsidR="00D15C57" w:rsidRPr="00600ED9" w:rsidRDefault="00D15C57" w:rsidP="00D15C57">
          <w:pPr>
            <w:spacing w:after="0" w:line="240" w:lineRule="auto"/>
            <w:jc w:val="both"/>
            <w:rPr>
              <w:u w:val="single"/>
            </w:rPr>
          </w:pPr>
        </w:p>
        <w:p w:rsidR="005E7DA1" w:rsidRPr="00600ED9" w:rsidRDefault="005E7DA1" w:rsidP="00D15C57">
          <w:pPr>
            <w:pStyle w:val="ListParagraph"/>
            <w:spacing w:after="0" w:line="240" w:lineRule="auto"/>
            <w:ind w:left="0"/>
            <w:jc w:val="both"/>
          </w:pPr>
          <w:r w:rsidRPr="00600ED9">
            <w:t xml:space="preserve">La Ley le confiere el mandato de auditar a todas las entidades del gobierno y le proporciona los poderes y protecciones constitucionales generales, incluyendo el no estar sujeto al control o dirección de ninguna autoridad en la selección de sus asuntos de auditoría, y tampoco recibir interferencia en la selección de </w:t>
          </w:r>
          <w:r w:rsidR="0066645E" w:rsidRPr="00600ED9">
            <w:t xml:space="preserve">las  </w:t>
          </w:r>
          <w:r w:rsidR="00600ED9" w:rsidRPr="00600ED9">
            <w:t>entidades,</w:t>
          </w:r>
          <w:r w:rsidRPr="00600ED9">
            <w:t xml:space="preserve"> </w:t>
          </w:r>
          <w:r w:rsidR="00F20E16" w:rsidRPr="00600ED9">
            <w:t>alcance</w:t>
          </w:r>
          <w:r w:rsidRPr="00600ED9">
            <w:t xml:space="preserve"> y contenidos de sus informes. </w:t>
          </w:r>
        </w:p>
        <w:p w:rsidR="005E7DA1" w:rsidRPr="00600ED9" w:rsidRDefault="005E7DA1" w:rsidP="00D15C57">
          <w:pPr>
            <w:pStyle w:val="ListParagraph"/>
            <w:spacing w:after="0" w:line="240" w:lineRule="auto"/>
            <w:ind w:left="0"/>
            <w:jc w:val="both"/>
          </w:pPr>
        </w:p>
        <w:p w:rsidR="005E7DA1" w:rsidRPr="00600ED9" w:rsidRDefault="005E7DA1" w:rsidP="00D15C57">
          <w:pPr>
            <w:pStyle w:val="ListParagraph"/>
            <w:spacing w:after="0" w:line="240" w:lineRule="auto"/>
            <w:ind w:left="0"/>
            <w:jc w:val="both"/>
          </w:pPr>
          <w:r w:rsidRPr="00600ED9">
            <w:t>La CGRC informa al Congreso</w:t>
          </w:r>
          <w:r w:rsidR="00E03BFF" w:rsidRPr="00600ED9">
            <w:t>,</w:t>
          </w:r>
          <w:r w:rsidRPr="00600ED9">
            <w:t xml:space="preserve"> </w:t>
          </w:r>
          <w:r w:rsidR="00584B33" w:rsidRPr="00600ED9">
            <w:t xml:space="preserve">y </w:t>
          </w:r>
          <w:r w:rsidRPr="00600ED9">
            <w:t>a c</w:t>
          </w:r>
          <w:r w:rsidR="001852A9" w:rsidRPr="00600ED9">
            <w:t xml:space="preserve">ualquier otro Organismo público </w:t>
          </w:r>
          <w:r w:rsidRPr="00600ED9">
            <w:t xml:space="preserve">responsable, de acuerdo con </w:t>
          </w:r>
          <w:r w:rsidR="00584B33" w:rsidRPr="00600ED9">
            <w:t xml:space="preserve">el </w:t>
          </w:r>
          <w:r w:rsidRPr="00600ED9">
            <w:t>asunto que estime conveniente, por lo menos una vez al año. De igual forma, de acuerdo con el mandato constitucional, por lo menos anualmente publica sus informes de auditoría. Adicionalmente, cuenta dentro de su estructura orgánica con una Dependencia encargada de coordinar las relaciones con el Congreso de la República.</w:t>
          </w:r>
        </w:p>
        <w:p w:rsidR="00D15C57" w:rsidRPr="00600ED9" w:rsidRDefault="00D15C57" w:rsidP="00D15C57">
          <w:pPr>
            <w:pStyle w:val="ListParagraph"/>
            <w:spacing w:after="0" w:line="240" w:lineRule="auto"/>
            <w:ind w:left="0"/>
            <w:jc w:val="both"/>
          </w:pPr>
        </w:p>
        <w:p w:rsidR="00E06D3A" w:rsidRPr="00600ED9" w:rsidRDefault="00E06D3A" w:rsidP="00D15C57">
          <w:pPr>
            <w:spacing w:after="0" w:line="240" w:lineRule="auto"/>
            <w:jc w:val="both"/>
            <w:rPr>
              <w:b/>
              <w:bCs/>
              <w:smallCaps/>
              <w:color w:val="365F91" w:themeColor="accent1" w:themeShade="BF"/>
            </w:rPr>
          </w:pPr>
          <w:r w:rsidRPr="00600ED9">
            <w:rPr>
              <w:b/>
              <w:bCs/>
              <w:smallCaps/>
              <w:color w:val="365F91" w:themeColor="accent1" w:themeShade="BF"/>
            </w:rPr>
            <w:t>Estrategia para el Desarrollo Organizacional</w:t>
          </w:r>
        </w:p>
        <w:p w:rsidR="00D15C57" w:rsidRPr="00600ED9" w:rsidRDefault="00D15C57" w:rsidP="00D15C57">
          <w:pPr>
            <w:spacing w:after="0" w:line="240" w:lineRule="auto"/>
            <w:jc w:val="both"/>
            <w:rPr>
              <w:rFonts w:cs="Calibri"/>
              <w:bCs/>
              <w:smallCaps/>
              <w:color w:val="365F91" w:themeColor="accent1" w:themeShade="BF"/>
            </w:rPr>
          </w:pPr>
        </w:p>
        <w:p w:rsidR="001C70A6" w:rsidRPr="00600ED9" w:rsidRDefault="002A7EEE" w:rsidP="00D15C57">
          <w:pPr>
            <w:spacing w:after="0" w:line="240" w:lineRule="auto"/>
            <w:jc w:val="both"/>
          </w:pPr>
          <w:r w:rsidRPr="00600ED9">
            <w:t xml:space="preserve">En la medida que se fortalezca su </w:t>
          </w:r>
          <w:r w:rsidR="007A1234" w:rsidRPr="00600ED9">
            <w:t xml:space="preserve">capacidad técnica, </w:t>
          </w:r>
          <w:r w:rsidR="0075721D" w:rsidRPr="00600ED9">
            <w:t>l</w:t>
          </w:r>
          <w:r w:rsidR="00A20799" w:rsidRPr="00600ED9">
            <w:t xml:space="preserve">a CGRC por tener el mandato de evaluar la calidad de la </w:t>
          </w:r>
          <w:r w:rsidR="00584B33" w:rsidRPr="00600ED9">
            <w:t>gestión</w:t>
          </w:r>
          <w:r w:rsidR="00A20799" w:rsidRPr="00600ED9">
            <w:t xml:space="preserve"> p</w:t>
          </w:r>
          <w:r w:rsidR="00584B33" w:rsidRPr="00600ED9">
            <w:t>ú</w:t>
          </w:r>
          <w:r w:rsidR="00A20799" w:rsidRPr="00600ED9">
            <w:t xml:space="preserve">blica en general, requiere presentarse como </w:t>
          </w:r>
          <w:r w:rsidRPr="00600ED9">
            <w:t xml:space="preserve">entidad </w:t>
          </w:r>
          <w:r w:rsidR="00A20799" w:rsidRPr="00600ED9">
            <w:t xml:space="preserve">modelo en cuanto a su </w:t>
          </w:r>
          <w:r w:rsidR="00F90FAB" w:rsidRPr="00600ED9">
            <w:t>estructura y funcionamiento.</w:t>
          </w:r>
          <w:r w:rsidR="00A20799" w:rsidRPr="00600ED9">
            <w:rPr>
              <w:rFonts w:cs="Calibri"/>
            </w:rPr>
            <w:t xml:space="preserve"> </w:t>
          </w:r>
          <w:r w:rsidR="00A87342" w:rsidRPr="00600ED9">
            <w:t xml:space="preserve">En la Estrategia para el Desarrollo Organizacional, las brechas </w:t>
          </w:r>
          <w:r w:rsidR="001314E3" w:rsidRPr="00600ED9">
            <w:t xml:space="preserve">frente a </w:t>
          </w:r>
          <w:r w:rsidR="00A87342" w:rsidRPr="00600ED9">
            <w:t xml:space="preserve"> mejores </w:t>
          </w:r>
          <w:r w:rsidR="00387926" w:rsidRPr="00600ED9">
            <w:t>prácticas</w:t>
          </w:r>
          <w:r w:rsidR="00A87342" w:rsidRPr="00600ED9">
            <w:t xml:space="preserve"> incluyen la actualización, el diseño y la implementación de guías para el proceso de planeación institucional, de tal forma que desde la Alta Gerencia se fomen</w:t>
          </w:r>
          <w:r w:rsidR="00D15C57" w:rsidRPr="00600ED9">
            <w:t xml:space="preserve">te la cultura de la planeación </w:t>
          </w:r>
          <w:r w:rsidR="00A87342" w:rsidRPr="00600ED9">
            <w:t>basada en el estudio de las necesidades de los grupos de interés y la  gestión del riesgo</w:t>
          </w:r>
          <w:r w:rsidR="00A20799" w:rsidRPr="00600ED9">
            <w:t xml:space="preserve">. Igualmente, </w:t>
          </w:r>
          <w:r w:rsidR="00A87342" w:rsidRPr="00600ED9">
            <w:t xml:space="preserve"> el establecimiento, articulación y so</w:t>
          </w:r>
          <w:r w:rsidR="00D15C57" w:rsidRPr="00600ED9">
            <w:t>stenibilidad de</w:t>
          </w:r>
          <w:r w:rsidR="00A87342" w:rsidRPr="00600ED9">
            <w:t xml:space="preserve"> recursos para la ejecución de los planes y el análisis </w:t>
          </w:r>
          <w:r w:rsidR="00387926" w:rsidRPr="00600ED9">
            <w:t>continúo</w:t>
          </w:r>
          <w:r w:rsidR="00A87342" w:rsidRPr="00600ED9">
            <w:t xml:space="preserve"> del desempeño</w:t>
          </w:r>
          <w:r w:rsidR="001C70A6" w:rsidRPr="00600ED9">
            <w:t>.</w:t>
          </w:r>
          <w:r w:rsidR="00A20799" w:rsidRPr="00600ED9">
            <w:t xml:space="preserve"> </w:t>
          </w:r>
        </w:p>
        <w:p w:rsidR="00D15C57" w:rsidRPr="00600ED9" w:rsidRDefault="00D15C57" w:rsidP="00D15C57">
          <w:pPr>
            <w:spacing w:after="0" w:line="240" w:lineRule="auto"/>
            <w:jc w:val="both"/>
          </w:pPr>
        </w:p>
        <w:p w:rsidR="00823CB7" w:rsidRPr="00600ED9" w:rsidRDefault="001314E3" w:rsidP="00D15C57">
          <w:pPr>
            <w:spacing w:after="0" w:line="240" w:lineRule="auto"/>
            <w:jc w:val="both"/>
          </w:pPr>
          <w:r w:rsidRPr="00600ED9">
            <w:t xml:space="preserve">Así mismo, es necesaria la revisión y actualización de los procedimientos de la CGRC para llevar a cabo </w:t>
          </w:r>
          <w:r w:rsidR="007E5F6B" w:rsidRPr="00600ED9">
            <w:t>l</w:t>
          </w:r>
          <w:r w:rsidRPr="00600ED9">
            <w:t>a adecuada Planeación Estratégica, incorpor</w:t>
          </w:r>
          <w:r w:rsidR="007E5F6B" w:rsidRPr="00600ED9">
            <w:t>ando</w:t>
          </w:r>
          <w:r w:rsidRPr="00600ED9">
            <w:t xml:space="preserve"> las etapas de preparación, ejecución, </w:t>
          </w:r>
          <w:r w:rsidR="00912AD8" w:rsidRPr="00600ED9">
            <w:t>monitoreo</w:t>
          </w:r>
          <w:r w:rsidRPr="00600ED9">
            <w:t xml:space="preserve"> y seguimiento periódico, </w:t>
          </w:r>
          <w:r w:rsidR="00DD26FA" w:rsidRPr="00600ED9">
            <w:t xml:space="preserve">para alcanzar los resultados previstos en </w:t>
          </w:r>
          <w:r w:rsidRPr="00600ED9">
            <w:t xml:space="preserve">los objetivos institucionales, </w:t>
          </w:r>
          <w:r w:rsidR="00823CB7" w:rsidRPr="00600ED9">
            <w:t>la toma de acciones oportunas</w:t>
          </w:r>
          <w:r w:rsidR="00DD26FA" w:rsidRPr="00600ED9">
            <w:t>,</w:t>
          </w:r>
          <w:r w:rsidR="00823CB7" w:rsidRPr="00600ED9">
            <w:t xml:space="preserve"> y al mejoramiento del posicionamiento de la CGR</w:t>
          </w:r>
          <w:r w:rsidR="00DD26FA" w:rsidRPr="00600ED9">
            <w:t>C, frente a la ciudadanía</w:t>
          </w:r>
          <w:r w:rsidR="00823CB7" w:rsidRPr="00600ED9">
            <w:t>.</w:t>
          </w:r>
        </w:p>
        <w:p w:rsidR="00D15C57" w:rsidRPr="00600ED9" w:rsidRDefault="00D15C57" w:rsidP="00D15C57">
          <w:pPr>
            <w:spacing w:after="0" w:line="240" w:lineRule="auto"/>
            <w:jc w:val="both"/>
          </w:pPr>
        </w:p>
        <w:p w:rsidR="00A87342" w:rsidRPr="00600ED9" w:rsidRDefault="00A87342" w:rsidP="00D15C57">
          <w:pPr>
            <w:spacing w:after="0" w:line="240" w:lineRule="auto"/>
            <w:jc w:val="both"/>
            <w:rPr>
              <w:rFonts w:cs="Calibri"/>
              <w:b/>
              <w:bCs/>
              <w:smallCaps/>
              <w:color w:val="365F91" w:themeColor="accent1" w:themeShade="BF"/>
            </w:rPr>
          </w:pPr>
          <w:r w:rsidRPr="00600ED9">
            <w:rPr>
              <w:rFonts w:cs="Calibri"/>
              <w:b/>
              <w:bCs/>
              <w:smallCaps/>
              <w:color w:val="365F91" w:themeColor="accent1" w:themeShade="BF"/>
            </w:rPr>
            <w:t>Metodología de Auditoría</w:t>
          </w:r>
        </w:p>
        <w:p w:rsidR="00D15C57" w:rsidRPr="00600ED9" w:rsidRDefault="00D15C57" w:rsidP="00D15C57">
          <w:pPr>
            <w:spacing w:after="0" w:line="240" w:lineRule="auto"/>
            <w:jc w:val="both"/>
            <w:rPr>
              <w:rFonts w:cs="Calibri"/>
              <w:b/>
              <w:bCs/>
              <w:smallCaps/>
              <w:color w:val="365F91" w:themeColor="accent1" w:themeShade="BF"/>
            </w:rPr>
          </w:pPr>
        </w:p>
        <w:p w:rsidR="002D5C5D" w:rsidRPr="00600ED9" w:rsidRDefault="002D5C5D" w:rsidP="00D15C57">
          <w:pPr>
            <w:pStyle w:val="Normaltabletext"/>
            <w:spacing w:after="0"/>
            <w:rPr>
              <w:rFonts w:cs="Calibri"/>
              <w:sz w:val="22"/>
              <w:szCs w:val="22"/>
              <w:lang w:val="es-ES_tradnl"/>
            </w:rPr>
          </w:pPr>
          <w:r w:rsidRPr="00600ED9">
            <w:rPr>
              <w:rFonts w:cs="Calibri"/>
              <w:sz w:val="22"/>
              <w:szCs w:val="22"/>
              <w:lang w:val="es-ES_tradnl"/>
            </w:rPr>
            <w:t xml:space="preserve">La CGRC dispone de </w:t>
          </w:r>
          <w:r w:rsidR="00584B33" w:rsidRPr="00600ED9">
            <w:rPr>
              <w:rFonts w:cs="Calibri"/>
              <w:sz w:val="22"/>
              <w:szCs w:val="22"/>
              <w:lang w:val="es-ES_tradnl"/>
            </w:rPr>
            <w:t xml:space="preserve">un marco metodológico </w:t>
          </w:r>
          <w:r w:rsidR="007C473D" w:rsidRPr="00600ED9">
            <w:rPr>
              <w:rFonts w:cs="Calibri"/>
              <w:sz w:val="22"/>
              <w:szCs w:val="22"/>
              <w:lang w:val="es-ES_tradnl"/>
            </w:rPr>
            <w:t xml:space="preserve">para la </w:t>
          </w:r>
          <w:r w:rsidR="0038118C" w:rsidRPr="00600ED9">
            <w:rPr>
              <w:rFonts w:cs="Calibri"/>
              <w:sz w:val="22"/>
              <w:szCs w:val="22"/>
              <w:lang w:val="es-ES_tradnl"/>
            </w:rPr>
            <w:t>práctica</w:t>
          </w:r>
          <w:r w:rsidR="007C473D" w:rsidRPr="00600ED9">
            <w:rPr>
              <w:rFonts w:cs="Calibri"/>
              <w:sz w:val="22"/>
              <w:szCs w:val="22"/>
              <w:lang w:val="es-ES_tradnl"/>
            </w:rPr>
            <w:t xml:space="preserve"> de auditor</w:t>
          </w:r>
          <w:r w:rsidR="00584B33" w:rsidRPr="00600ED9">
            <w:rPr>
              <w:rFonts w:cs="Calibri"/>
              <w:sz w:val="22"/>
              <w:szCs w:val="22"/>
              <w:lang w:val="es-ES_tradnl"/>
            </w:rPr>
            <w:t>í</w:t>
          </w:r>
          <w:r w:rsidR="007C473D" w:rsidRPr="00600ED9">
            <w:rPr>
              <w:rFonts w:cs="Calibri"/>
              <w:sz w:val="22"/>
              <w:szCs w:val="22"/>
              <w:lang w:val="es-ES_tradnl"/>
            </w:rPr>
            <w:t>a gubernam</w:t>
          </w:r>
          <w:r w:rsidR="00F96C9B" w:rsidRPr="00600ED9">
            <w:rPr>
              <w:rFonts w:cs="Calibri"/>
              <w:sz w:val="22"/>
              <w:szCs w:val="22"/>
              <w:lang w:val="es-ES_tradnl"/>
            </w:rPr>
            <w:t xml:space="preserve">ental, </w:t>
          </w:r>
          <w:r w:rsidRPr="00600ED9">
            <w:rPr>
              <w:rFonts w:cs="Calibri"/>
              <w:sz w:val="22"/>
              <w:szCs w:val="22"/>
              <w:lang w:val="es-ES_tradnl"/>
            </w:rPr>
            <w:t>formalizad</w:t>
          </w:r>
          <w:r w:rsidR="00584B33" w:rsidRPr="00600ED9">
            <w:rPr>
              <w:rFonts w:cs="Calibri"/>
              <w:sz w:val="22"/>
              <w:szCs w:val="22"/>
              <w:lang w:val="es-ES_tradnl"/>
            </w:rPr>
            <w:t>o</w:t>
          </w:r>
          <w:r w:rsidRPr="00600ED9">
            <w:rPr>
              <w:rFonts w:cs="Calibri"/>
              <w:sz w:val="22"/>
              <w:szCs w:val="22"/>
              <w:lang w:val="es-ES_tradnl"/>
            </w:rPr>
            <w:t xml:space="preserve"> en la </w:t>
          </w:r>
          <w:r w:rsidRPr="00600ED9">
            <w:rPr>
              <w:rFonts w:cs="Calibri"/>
              <w:i/>
              <w:sz w:val="22"/>
              <w:szCs w:val="22"/>
              <w:lang w:val="es-ES_tradnl"/>
            </w:rPr>
            <w:t xml:space="preserve">Guía de Auditoría Ajustada al </w:t>
          </w:r>
          <w:r w:rsidR="00775663" w:rsidRPr="00600ED9">
            <w:rPr>
              <w:i/>
              <w:sz w:val="22"/>
              <w:szCs w:val="22"/>
              <w:lang w:val="es-ES_tradnl"/>
            </w:rPr>
            <w:t xml:space="preserve">Sistema </w:t>
          </w:r>
          <w:r w:rsidR="00EF7544" w:rsidRPr="00600ED9">
            <w:rPr>
              <w:i/>
              <w:sz w:val="22"/>
              <w:szCs w:val="22"/>
              <w:lang w:val="es-ES_tradnl"/>
            </w:rPr>
            <w:t xml:space="preserve">Integrado </w:t>
          </w:r>
          <w:r w:rsidR="00775663" w:rsidRPr="00600ED9">
            <w:rPr>
              <w:i/>
              <w:sz w:val="22"/>
              <w:szCs w:val="22"/>
              <w:lang w:val="es-ES_tradnl"/>
            </w:rPr>
            <w:t>para el  Control de Auditorías</w:t>
          </w:r>
          <w:r w:rsidR="00775663" w:rsidRPr="00600ED9">
            <w:rPr>
              <w:rFonts w:cs="Calibri"/>
              <w:i/>
              <w:sz w:val="22"/>
              <w:szCs w:val="22"/>
              <w:lang w:val="es-ES_tradnl"/>
            </w:rPr>
            <w:t xml:space="preserve"> (</w:t>
          </w:r>
          <w:r w:rsidRPr="00600ED9">
            <w:rPr>
              <w:rFonts w:cs="Calibri"/>
              <w:i/>
              <w:sz w:val="22"/>
              <w:szCs w:val="22"/>
              <w:lang w:val="es-ES_tradnl"/>
            </w:rPr>
            <w:t>SICA</w:t>
          </w:r>
          <w:r w:rsidR="00775663" w:rsidRPr="00600ED9">
            <w:rPr>
              <w:rFonts w:cs="Calibri"/>
              <w:i/>
              <w:sz w:val="22"/>
              <w:szCs w:val="22"/>
              <w:lang w:val="es-ES_tradnl"/>
            </w:rPr>
            <w:t>)</w:t>
          </w:r>
          <w:r w:rsidR="007E5F6B" w:rsidRPr="00600ED9">
            <w:rPr>
              <w:rFonts w:cs="Calibri"/>
              <w:i/>
              <w:sz w:val="22"/>
              <w:szCs w:val="22"/>
              <w:lang w:val="es-ES_tradnl"/>
            </w:rPr>
            <w:t>,</w:t>
          </w:r>
          <w:r w:rsidRPr="00600ED9">
            <w:rPr>
              <w:rFonts w:cs="Calibri"/>
              <w:i/>
              <w:sz w:val="22"/>
              <w:szCs w:val="22"/>
              <w:lang w:val="es-ES_tradnl"/>
            </w:rPr>
            <w:t xml:space="preserve"> </w:t>
          </w:r>
          <w:r w:rsidRPr="00600ED9">
            <w:rPr>
              <w:rFonts w:cs="Calibri"/>
              <w:sz w:val="22"/>
              <w:szCs w:val="22"/>
              <w:lang w:val="es-ES_tradnl"/>
            </w:rPr>
            <w:t xml:space="preserve">y plasmados anualmente en el </w:t>
          </w:r>
          <w:r w:rsidRPr="00600ED9">
            <w:rPr>
              <w:rFonts w:cs="Calibri"/>
              <w:i/>
              <w:sz w:val="22"/>
              <w:szCs w:val="22"/>
              <w:lang w:val="es-ES_tradnl"/>
            </w:rPr>
            <w:t>Plan de Vigilancia y Control Fiscal (PVCF)</w:t>
          </w:r>
          <w:r w:rsidRPr="00600ED9">
            <w:rPr>
              <w:rFonts w:cs="Calibri"/>
              <w:sz w:val="22"/>
              <w:szCs w:val="22"/>
              <w:lang w:val="es-ES_tradnl"/>
            </w:rPr>
            <w:t>.</w:t>
          </w:r>
        </w:p>
        <w:p w:rsidR="00CC0A60" w:rsidRPr="00600ED9" w:rsidRDefault="004660F6" w:rsidP="00D15C57">
          <w:pPr>
            <w:spacing w:after="0" w:line="240" w:lineRule="auto"/>
            <w:jc w:val="both"/>
            <w:rPr>
              <w:rFonts w:eastAsia="Calibri" w:cs="Arial"/>
            </w:rPr>
          </w:pPr>
          <w:r w:rsidRPr="00600ED9">
            <w:rPr>
              <w:rFonts w:eastAsia="Calibri" w:cs="Arial"/>
            </w:rPr>
            <w:lastRenderedPageBreak/>
            <w:t xml:space="preserve">La </w:t>
          </w:r>
          <w:r w:rsidR="00584B33" w:rsidRPr="00600ED9">
            <w:rPr>
              <w:rFonts w:eastAsia="Calibri" w:cs="Arial"/>
            </w:rPr>
            <w:t>metodología</w:t>
          </w:r>
          <w:r w:rsidR="00F96C9B" w:rsidRPr="00600ED9">
            <w:rPr>
              <w:rFonts w:eastAsia="Calibri" w:cs="Arial"/>
            </w:rPr>
            <w:t xml:space="preserve"> mencionada, </w:t>
          </w:r>
          <w:r w:rsidR="0038118C" w:rsidRPr="00600ED9">
            <w:rPr>
              <w:rFonts w:eastAsia="Calibri" w:cs="Arial"/>
            </w:rPr>
            <w:t>está</w:t>
          </w:r>
          <w:r w:rsidRPr="00600ED9">
            <w:rPr>
              <w:rFonts w:eastAsia="Calibri" w:cs="Arial"/>
            </w:rPr>
            <w:t xml:space="preserve"> ajustada parcialmente a las </w:t>
          </w:r>
          <w:r w:rsidR="00F96C9B" w:rsidRPr="00600ED9">
            <w:rPr>
              <w:rFonts w:eastAsia="Calibri" w:cs="Arial"/>
            </w:rPr>
            <w:t>normas internacionales</w:t>
          </w:r>
          <w:r w:rsidR="007E5F6B" w:rsidRPr="00600ED9">
            <w:rPr>
              <w:rFonts w:eastAsia="Calibri" w:cs="Arial"/>
            </w:rPr>
            <w:t xml:space="preserve"> de auditoría</w:t>
          </w:r>
          <w:r w:rsidR="0093085D" w:rsidRPr="00600ED9">
            <w:rPr>
              <w:rFonts w:eastAsia="Calibri" w:cs="Arial"/>
            </w:rPr>
            <w:t xml:space="preserve">, </w:t>
          </w:r>
          <w:r w:rsidRPr="00600ED9">
            <w:rPr>
              <w:rFonts w:eastAsia="Calibri" w:cs="Arial"/>
            </w:rPr>
            <w:t xml:space="preserve">lo que se revela en </w:t>
          </w:r>
          <w:r w:rsidR="002D0F5E" w:rsidRPr="00600ED9">
            <w:rPr>
              <w:rFonts w:eastAsia="Calibri" w:cs="Arial"/>
            </w:rPr>
            <w:t xml:space="preserve">los </w:t>
          </w:r>
          <w:r w:rsidR="00584B33" w:rsidRPr="00600ED9">
            <w:rPr>
              <w:rFonts w:eastAsia="Calibri" w:cs="Arial"/>
            </w:rPr>
            <w:t>análisis</w:t>
          </w:r>
          <w:r w:rsidR="002D0F5E" w:rsidRPr="00600ED9">
            <w:rPr>
              <w:rFonts w:eastAsia="Calibri" w:cs="Arial"/>
            </w:rPr>
            <w:t xml:space="preserve"> </w:t>
          </w:r>
          <w:r w:rsidR="003C7C54" w:rsidRPr="00600ED9">
            <w:rPr>
              <w:rFonts w:eastAsia="Calibri" w:cs="Arial"/>
            </w:rPr>
            <w:t xml:space="preserve">de </w:t>
          </w:r>
          <w:r w:rsidR="00584B33" w:rsidRPr="00600ED9">
            <w:rPr>
              <w:rFonts w:eastAsia="Calibri" w:cs="Arial"/>
            </w:rPr>
            <w:t>información</w:t>
          </w:r>
          <w:r w:rsidR="003C7C54" w:rsidRPr="00600ED9">
            <w:rPr>
              <w:rFonts w:eastAsia="Calibri" w:cs="Arial"/>
            </w:rPr>
            <w:t xml:space="preserve"> y </w:t>
          </w:r>
          <w:r w:rsidR="002D0F5E" w:rsidRPr="00600ED9">
            <w:rPr>
              <w:rFonts w:eastAsia="Calibri" w:cs="Arial"/>
            </w:rPr>
            <w:t xml:space="preserve">el </w:t>
          </w:r>
          <w:r w:rsidR="003C7C54" w:rsidRPr="00600ED9">
            <w:rPr>
              <w:rFonts w:eastAsia="Calibri" w:cs="Arial"/>
            </w:rPr>
            <w:t xml:space="preserve">criterio profesional </w:t>
          </w:r>
          <w:r w:rsidR="002D0F5E" w:rsidRPr="00600ED9">
            <w:rPr>
              <w:rFonts w:eastAsia="Calibri" w:cs="Arial"/>
            </w:rPr>
            <w:t xml:space="preserve">aplicado </w:t>
          </w:r>
          <w:r w:rsidR="003C7C54" w:rsidRPr="00600ED9">
            <w:rPr>
              <w:rFonts w:eastAsia="Calibri" w:cs="Arial"/>
            </w:rPr>
            <w:t>para determinar</w:t>
          </w:r>
          <w:r w:rsidR="0093085D" w:rsidRPr="00600ED9">
            <w:rPr>
              <w:rFonts w:eastAsia="Calibri" w:cs="Arial"/>
            </w:rPr>
            <w:t xml:space="preserve"> la naturaleza, oportunidad, alcance y descripción de los procedimientos de auditoría, </w:t>
          </w:r>
          <w:r w:rsidR="003C7C54" w:rsidRPr="00600ED9">
            <w:rPr>
              <w:rFonts w:eastAsia="Calibri" w:cs="Arial"/>
            </w:rPr>
            <w:t xml:space="preserve">la </w:t>
          </w:r>
          <w:r w:rsidR="0093085D" w:rsidRPr="00600ED9">
            <w:rPr>
              <w:rFonts w:eastAsia="Calibri" w:cs="Arial"/>
            </w:rPr>
            <w:t xml:space="preserve">suficiencia de la evidencia de respaldo de las conclusiones y </w:t>
          </w:r>
          <w:r w:rsidR="003C7C54" w:rsidRPr="00600ED9">
            <w:rPr>
              <w:rFonts w:eastAsia="Calibri" w:cs="Arial"/>
            </w:rPr>
            <w:t xml:space="preserve">la </w:t>
          </w:r>
          <w:r w:rsidR="0093085D" w:rsidRPr="00600ED9">
            <w:rPr>
              <w:rFonts w:eastAsia="Calibri" w:cs="Arial"/>
            </w:rPr>
            <w:t>comunicación de los resultados.</w:t>
          </w:r>
          <w:r w:rsidR="003C7C54" w:rsidRPr="00600ED9">
            <w:rPr>
              <w:rFonts w:eastAsia="Calibri" w:cs="Arial"/>
            </w:rPr>
            <w:t xml:space="preserve"> </w:t>
          </w:r>
          <w:r w:rsidR="000B2F1F" w:rsidRPr="00600ED9">
            <w:rPr>
              <w:rFonts w:eastAsia="Calibri" w:cs="Arial"/>
            </w:rPr>
            <w:t>El Marco técnico sugerido en los párrafos</w:t>
          </w:r>
          <w:r w:rsidR="00EF7544" w:rsidRPr="00600ED9">
            <w:rPr>
              <w:rFonts w:eastAsia="Calibri" w:cs="Arial"/>
            </w:rPr>
            <w:t xml:space="preserve"> anteriores</w:t>
          </w:r>
          <w:r w:rsidR="000B2F1F" w:rsidRPr="00600ED9">
            <w:rPr>
              <w:rFonts w:eastAsia="Calibri" w:cs="Arial"/>
            </w:rPr>
            <w:t>, elevaría la capacidad técnica</w:t>
          </w:r>
          <w:r w:rsidR="007E5F6B" w:rsidRPr="00600ED9">
            <w:rPr>
              <w:rFonts w:eastAsia="Calibri" w:cs="Arial"/>
            </w:rPr>
            <w:t>,</w:t>
          </w:r>
          <w:r w:rsidR="000B2F1F" w:rsidRPr="00600ED9">
            <w:rPr>
              <w:rFonts w:eastAsia="Calibri" w:cs="Arial"/>
            </w:rPr>
            <w:t xml:space="preserve"> </w:t>
          </w:r>
          <w:r w:rsidR="007E5F6B" w:rsidRPr="00600ED9">
            <w:rPr>
              <w:rFonts w:eastAsia="Calibri" w:cs="Arial"/>
            </w:rPr>
            <w:t xml:space="preserve">disminuyendo las brechas entre </w:t>
          </w:r>
          <w:r w:rsidR="000B2F1F" w:rsidRPr="00600ED9">
            <w:rPr>
              <w:rFonts w:eastAsia="Calibri" w:cs="Arial"/>
            </w:rPr>
            <w:t xml:space="preserve">la </w:t>
          </w:r>
          <w:r w:rsidR="0038118C" w:rsidRPr="00600ED9">
            <w:rPr>
              <w:rFonts w:eastAsia="Calibri" w:cs="Arial"/>
            </w:rPr>
            <w:t>práctica</w:t>
          </w:r>
          <w:r w:rsidR="000B2F1F" w:rsidRPr="00600ED9">
            <w:rPr>
              <w:rFonts w:eastAsia="Calibri" w:cs="Arial"/>
            </w:rPr>
            <w:t xml:space="preserve"> profesional de la CGRC </w:t>
          </w:r>
          <w:r w:rsidR="007E5F6B" w:rsidRPr="00600ED9">
            <w:rPr>
              <w:rFonts w:eastAsia="Calibri" w:cs="Arial"/>
            </w:rPr>
            <w:t>y</w:t>
          </w:r>
          <w:r w:rsidR="000B2F1F" w:rsidRPr="00600ED9">
            <w:rPr>
              <w:rFonts w:eastAsia="Calibri" w:cs="Arial"/>
            </w:rPr>
            <w:t xml:space="preserve"> los estándares</w:t>
          </w:r>
          <w:r w:rsidR="00EF7544" w:rsidRPr="00600ED9">
            <w:rPr>
              <w:rFonts w:eastAsia="Calibri" w:cs="Arial"/>
            </w:rPr>
            <w:t xml:space="preserve"> internacionales</w:t>
          </w:r>
          <w:r w:rsidR="000B2F1F" w:rsidRPr="00600ED9">
            <w:rPr>
              <w:rFonts w:eastAsia="Calibri" w:cs="Arial"/>
            </w:rPr>
            <w:t xml:space="preserve"> y mejores pr</w:t>
          </w:r>
          <w:r w:rsidR="0075721D" w:rsidRPr="00600ED9">
            <w:rPr>
              <w:rFonts w:eastAsia="Calibri" w:cs="Arial"/>
            </w:rPr>
            <w:t>á</w:t>
          </w:r>
          <w:r w:rsidR="000B2F1F" w:rsidRPr="00600ED9">
            <w:rPr>
              <w:rFonts w:eastAsia="Calibri" w:cs="Arial"/>
            </w:rPr>
            <w:t xml:space="preserve">cticas, lo que favorecerá un </w:t>
          </w:r>
          <w:r w:rsidR="0075721D" w:rsidRPr="00600ED9">
            <w:rPr>
              <w:rFonts w:eastAsia="Calibri" w:cs="Arial"/>
            </w:rPr>
            <w:t>c</w:t>
          </w:r>
          <w:r w:rsidR="000B2F1F" w:rsidRPr="00600ED9">
            <w:rPr>
              <w:rFonts w:eastAsia="Calibri" w:cs="Arial"/>
            </w:rPr>
            <w:t xml:space="preserve">ontrol externo con relación positiva </w:t>
          </w:r>
          <w:r w:rsidR="0075721D" w:rsidRPr="00600ED9">
            <w:rPr>
              <w:rFonts w:eastAsia="Calibri" w:cs="Arial"/>
            </w:rPr>
            <w:t>de</w:t>
          </w:r>
          <w:r w:rsidR="000B2F1F" w:rsidRPr="00600ED9">
            <w:rPr>
              <w:rFonts w:eastAsia="Calibri" w:cs="Arial"/>
            </w:rPr>
            <w:t xml:space="preserve"> </w:t>
          </w:r>
          <w:r w:rsidR="00FB24DA" w:rsidRPr="00600ED9">
            <w:rPr>
              <w:rFonts w:eastAsia="Calibri" w:cs="Arial"/>
            </w:rPr>
            <w:t>costo/</w:t>
          </w:r>
          <w:r w:rsidR="000B2F1F" w:rsidRPr="00600ED9">
            <w:rPr>
              <w:rFonts w:eastAsia="Calibri" w:cs="Arial"/>
            </w:rPr>
            <w:t>beneficio.</w:t>
          </w:r>
        </w:p>
        <w:p w:rsidR="00D15C57" w:rsidRPr="00600ED9" w:rsidRDefault="00D15C57" w:rsidP="00D15C57">
          <w:pPr>
            <w:spacing w:after="0" w:line="240" w:lineRule="auto"/>
            <w:jc w:val="both"/>
            <w:rPr>
              <w:rFonts w:eastAsia="Calibri" w:cs="Arial"/>
            </w:rPr>
          </w:pPr>
        </w:p>
        <w:p w:rsidR="002D5C5D" w:rsidRPr="00600ED9" w:rsidRDefault="00CC0A60" w:rsidP="00D15C57">
          <w:pPr>
            <w:spacing w:after="0" w:line="240" w:lineRule="auto"/>
            <w:jc w:val="both"/>
            <w:rPr>
              <w:rFonts w:cs="Calibri"/>
            </w:rPr>
          </w:pPr>
          <w:r w:rsidRPr="00600ED9">
            <w:rPr>
              <w:rFonts w:eastAsia="Calibri" w:cs="Arial"/>
            </w:rPr>
            <w:t xml:space="preserve">Otro aspecto importante </w:t>
          </w:r>
          <w:r w:rsidR="00AF34FF" w:rsidRPr="00600ED9">
            <w:rPr>
              <w:rFonts w:eastAsia="Calibri" w:cs="Arial"/>
            </w:rPr>
            <w:t xml:space="preserve">para la eficiencia, eficacia y </w:t>
          </w:r>
          <w:r w:rsidR="00584B33" w:rsidRPr="00600ED9">
            <w:rPr>
              <w:rFonts w:eastAsia="Calibri" w:cs="Arial"/>
            </w:rPr>
            <w:t>economía</w:t>
          </w:r>
          <w:r w:rsidR="00AF34FF" w:rsidRPr="00600ED9">
            <w:rPr>
              <w:rFonts w:eastAsia="Calibri" w:cs="Arial"/>
            </w:rPr>
            <w:t xml:space="preserve"> en el desempeño de los recursos profesionales</w:t>
          </w:r>
          <w:r w:rsidR="00584B33" w:rsidRPr="00600ED9">
            <w:rPr>
              <w:rFonts w:eastAsia="Calibri" w:cs="Arial"/>
            </w:rPr>
            <w:t>,</w:t>
          </w:r>
          <w:r w:rsidR="00AF34FF" w:rsidRPr="00600ED9">
            <w:rPr>
              <w:rFonts w:eastAsia="Calibri" w:cs="Arial"/>
            </w:rPr>
            <w:t xml:space="preserve"> es la </w:t>
          </w:r>
          <w:r w:rsidR="00584B33" w:rsidRPr="00600ED9">
            <w:rPr>
              <w:rFonts w:eastAsia="Calibri" w:cs="Arial"/>
            </w:rPr>
            <w:t>vinculación</w:t>
          </w:r>
          <w:r w:rsidR="00AF34FF" w:rsidRPr="00600ED9">
            <w:rPr>
              <w:rFonts w:eastAsia="Calibri" w:cs="Arial"/>
            </w:rPr>
            <w:t xml:space="preserve"> de </w:t>
          </w:r>
          <w:r w:rsidR="00CF5B3C" w:rsidRPr="00600ED9">
            <w:rPr>
              <w:rFonts w:eastAsia="Calibri" w:cs="Arial"/>
            </w:rPr>
            <w:t xml:space="preserve">los </w:t>
          </w:r>
          <w:r w:rsidR="00AF34FF" w:rsidRPr="00600ED9">
            <w:rPr>
              <w:rFonts w:eastAsia="Calibri" w:cs="Arial"/>
            </w:rPr>
            <w:t>planes y programas de trabajo</w:t>
          </w:r>
          <w:r w:rsidR="007E5F6B" w:rsidRPr="00600ED9">
            <w:rPr>
              <w:rFonts w:eastAsia="Calibri" w:cs="Arial"/>
            </w:rPr>
            <w:t>,</w:t>
          </w:r>
          <w:r w:rsidR="00AF34FF" w:rsidRPr="00600ED9">
            <w:rPr>
              <w:rFonts w:eastAsia="Calibri" w:cs="Arial"/>
            </w:rPr>
            <w:t xml:space="preserve"> con l</w:t>
          </w:r>
          <w:r w:rsidR="002D5C5D" w:rsidRPr="00600ED9">
            <w:rPr>
              <w:rFonts w:eastAsia="Calibri" w:cs="Arial"/>
            </w:rPr>
            <w:t>os recursos humanos y financieros que se requerirán para su ejecución,</w:t>
          </w:r>
          <w:r w:rsidR="00EC4EF4" w:rsidRPr="00600ED9">
            <w:rPr>
              <w:rFonts w:eastAsia="Calibri" w:cs="Arial"/>
            </w:rPr>
            <w:t xml:space="preserve"> </w:t>
          </w:r>
          <w:r w:rsidR="00584B33" w:rsidRPr="00600ED9">
            <w:rPr>
              <w:rFonts w:eastAsia="Calibri" w:cs="Arial"/>
            </w:rPr>
            <w:t>así</w:t>
          </w:r>
          <w:r w:rsidR="00EC4EF4" w:rsidRPr="00600ED9">
            <w:rPr>
              <w:rFonts w:eastAsia="Calibri" w:cs="Arial"/>
            </w:rPr>
            <w:t xml:space="preserve"> como </w:t>
          </w:r>
          <w:r w:rsidR="002D5C5D" w:rsidRPr="00600ED9">
            <w:rPr>
              <w:rFonts w:eastAsia="Calibri" w:cs="Arial"/>
            </w:rPr>
            <w:t>la evaluación de los riesgos o de las posibles restricciones que podrían limitar su ejecución</w:t>
          </w:r>
          <w:r w:rsidR="007E5F6B" w:rsidRPr="00600ED9">
            <w:rPr>
              <w:rFonts w:eastAsia="Calibri" w:cs="Arial"/>
            </w:rPr>
            <w:t>,</w:t>
          </w:r>
          <w:r w:rsidR="00EC4EF4" w:rsidRPr="00600ED9">
            <w:rPr>
              <w:rFonts w:eastAsia="Calibri" w:cs="Arial"/>
            </w:rPr>
            <w:t xml:space="preserve"> y la </w:t>
          </w:r>
          <w:r w:rsidR="00584B33" w:rsidRPr="00600ED9">
            <w:rPr>
              <w:rFonts w:eastAsia="Calibri" w:cs="Arial"/>
            </w:rPr>
            <w:t>preparación</w:t>
          </w:r>
          <w:r w:rsidR="00EC4EF4" w:rsidRPr="00600ED9">
            <w:rPr>
              <w:rFonts w:eastAsia="Calibri" w:cs="Arial"/>
            </w:rPr>
            <w:t xml:space="preserve"> de </w:t>
          </w:r>
          <w:r w:rsidR="002D5C5D" w:rsidRPr="00600ED9">
            <w:rPr>
              <w:rFonts w:cs="Calibri"/>
            </w:rPr>
            <w:t>un informe</w:t>
          </w:r>
          <w:r w:rsidR="00EC4EF4" w:rsidRPr="00600ED9">
            <w:rPr>
              <w:rFonts w:cs="Calibri"/>
            </w:rPr>
            <w:t xml:space="preserve"> sobre la </w:t>
          </w:r>
          <w:r w:rsidR="002D5C5D" w:rsidRPr="00600ED9">
            <w:rPr>
              <w:rFonts w:cs="Calibri"/>
            </w:rPr>
            <w:t xml:space="preserve">evaluación del cumplimiento del </w:t>
          </w:r>
          <w:r w:rsidR="00584B33" w:rsidRPr="00600ED9">
            <w:rPr>
              <w:rFonts w:cs="Calibri"/>
            </w:rPr>
            <w:t>PVCF</w:t>
          </w:r>
          <w:r w:rsidR="002D5C5D" w:rsidRPr="00600ED9">
            <w:rPr>
              <w:rFonts w:cs="Calibri"/>
            </w:rPr>
            <w:t xml:space="preserve"> al finalizar cada vigencia fiscal.</w:t>
          </w:r>
        </w:p>
        <w:p w:rsidR="00D15C57" w:rsidRPr="00600ED9" w:rsidRDefault="00D15C57" w:rsidP="00D15C57">
          <w:pPr>
            <w:spacing w:after="0" w:line="240" w:lineRule="auto"/>
            <w:jc w:val="both"/>
            <w:rPr>
              <w:rFonts w:eastAsia="Calibri" w:cs="Arial"/>
            </w:rPr>
          </w:pPr>
        </w:p>
        <w:p w:rsidR="002D5C5D" w:rsidRPr="00600ED9" w:rsidRDefault="00A41291" w:rsidP="00D15C57">
          <w:pPr>
            <w:spacing w:after="0" w:line="240" w:lineRule="auto"/>
            <w:jc w:val="both"/>
            <w:rPr>
              <w:b/>
              <w:bCs/>
              <w:smallCaps/>
              <w:color w:val="365F91" w:themeColor="accent1" w:themeShade="BF"/>
            </w:rPr>
          </w:pPr>
          <w:r w:rsidRPr="00600ED9">
            <w:rPr>
              <w:b/>
              <w:bCs/>
              <w:smallCaps/>
              <w:color w:val="365F91" w:themeColor="accent1" w:themeShade="BF"/>
            </w:rPr>
            <w:t>Estructuras de Gestión y Apoyo</w:t>
          </w:r>
        </w:p>
        <w:p w:rsidR="00D15C57" w:rsidRPr="00600ED9" w:rsidRDefault="00D15C57" w:rsidP="00D15C57">
          <w:pPr>
            <w:spacing w:after="0" w:line="240" w:lineRule="auto"/>
            <w:jc w:val="both"/>
            <w:rPr>
              <w:rFonts w:cs="Calibri"/>
              <w:bCs/>
              <w:smallCaps/>
              <w:color w:val="365F91" w:themeColor="accent1" w:themeShade="BF"/>
            </w:rPr>
          </w:pPr>
        </w:p>
        <w:p w:rsidR="00A87342" w:rsidRPr="00600ED9" w:rsidRDefault="00AE71BE" w:rsidP="00D15C57">
          <w:pPr>
            <w:pStyle w:val="NoSpacing"/>
            <w:jc w:val="both"/>
            <w:rPr>
              <w:lang w:val="es-ES_tradnl"/>
            </w:rPr>
          </w:pPr>
          <w:r w:rsidRPr="00600ED9">
            <w:rPr>
              <w:lang w:val="es-ES_tradnl"/>
            </w:rPr>
            <w:t>A</w:t>
          </w:r>
          <w:r w:rsidR="000F3F18" w:rsidRPr="00600ED9">
            <w:rPr>
              <w:lang w:val="es-ES_tradnl"/>
            </w:rPr>
            <w:t xml:space="preserve">l </w:t>
          </w:r>
          <w:r w:rsidRPr="00600ED9">
            <w:rPr>
              <w:lang w:val="es-ES_tradnl"/>
            </w:rPr>
            <w:t>inter</w:t>
          </w:r>
          <w:r w:rsidR="000F3F18" w:rsidRPr="00600ED9">
            <w:rPr>
              <w:lang w:val="es-ES_tradnl"/>
            </w:rPr>
            <w:t>ior</w:t>
          </w:r>
          <w:r w:rsidRPr="00600ED9">
            <w:rPr>
              <w:lang w:val="es-ES_tradnl"/>
            </w:rPr>
            <w:t xml:space="preserve"> de </w:t>
          </w:r>
          <w:r w:rsidR="000F3F18" w:rsidRPr="00600ED9">
            <w:rPr>
              <w:lang w:val="es-ES_tradnl"/>
            </w:rPr>
            <w:t>la</w:t>
          </w:r>
          <w:r w:rsidR="00A87342" w:rsidRPr="00600ED9">
            <w:rPr>
              <w:lang w:val="es-ES_tradnl"/>
            </w:rPr>
            <w:t xml:space="preserve"> </w:t>
          </w:r>
          <w:r w:rsidR="00431CA4" w:rsidRPr="00600ED9">
            <w:rPr>
              <w:lang w:val="es-ES_tradnl"/>
            </w:rPr>
            <w:t>CGR</w:t>
          </w:r>
          <w:r w:rsidR="00A87342" w:rsidRPr="00600ED9">
            <w:rPr>
              <w:lang w:val="es-ES_tradnl"/>
            </w:rPr>
            <w:t>C</w:t>
          </w:r>
          <w:r w:rsidRPr="00600ED9">
            <w:rPr>
              <w:lang w:val="es-ES_tradnl"/>
            </w:rPr>
            <w:t xml:space="preserve">, se </w:t>
          </w:r>
          <w:r w:rsidR="00A87342" w:rsidRPr="00600ED9">
            <w:rPr>
              <w:lang w:val="es-ES_tradnl"/>
            </w:rPr>
            <w:t>ha</w:t>
          </w:r>
          <w:r w:rsidRPr="00600ED9">
            <w:rPr>
              <w:lang w:val="es-ES_tradnl"/>
            </w:rPr>
            <w:t xml:space="preserve">n </w:t>
          </w:r>
          <w:r w:rsidR="00A87342" w:rsidRPr="00600ED9">
            <w:rPr>
              <w:lang w:val="es-ES_tradnl"/>
            </w:rPr>
            <w:t xml:space="preserve">implementado parcialmente políticas en aspectos como la ética, la gestión en general y el control interno. Sin embargo, la política de ética e integridad no ha incorporado requerimientos de actualización, basados en experiencias derivadas de su aplicación, en necesidades cambiantes </w:t>
          </w:r>
          <w:r w:rsidR="000F3F18" w:rsidRPr="00600ED9">
            <w:rPr>
              <w:lang w:val="es-ES_tradnl"/>
            </w:rPr>
            <w:t>d</w:t>
          </w:r>
          <w:r w:rsidR="00A87342" w:rsidRPr="00600ED9">
            <w:rPr>
              <w:lang w:val="es-ES_tradnl"/>
            </w:rPr>
            <w:t>el comportamiento del personal</w:t>
          </w:r>
          <w:r w:rsidR="000F3F18" w:rsidRPr="00600ED9">
            <w:rPr>
              <w:lang w:val="es-ES_tradnl"/>
            </w:rPr>
            <w:t>,</w:t>
          </w:r>
          <w:r w:rsidR="00A87342" w:rsidRPr="00600ED9">
            <w:rPr>
              <w:lang w:val="es-ES_tradnl"/>
            </w:rPr>
            <w:t xml:space="preserve"> y en influencias del entorno institucional.  </w:t>
          </w:r>
        </w:p>
        <w:p w:rsidR="00A87342" w:rsidRPr="00600ED9" w:rsidRDefault="00A87342" w:rsidP="00D15C57">
          <w:pPr>
            <w:pStyle w:val="NoSpacing"/>
            <w:jc w:val="both"/>
            <w:rPr>
              <w:lang w:val="es-ES_tradnl"/>
            </w:rPr>
          </w:pPr>
        </w:p>
        <w:p w:rsidR="00A87342" w:rsidRPr="00600ED9" w:rsidRDefault="00A87342" w:rsidP="00D15C57">
          <w:pPr>
            <w:pStyle w:val="NoSpacing"/>
            <w:jc w:val="both"/>
            <w:rPr>
              <w:lang w:val="es-ES_tradnl"/>
            </w:rPr>
          </w:pPr>
          <w:r w:rsidRPr="00600ED9">
            <w:rPr>
              <w:lang w:val="es-ES_tradnl"/>
            </w:rPr>
            <w:t>Las políticas y procedimientos de control interno</w:t>
          </w:r>
          <w:r w:rsidR="00584B33" w:rsidRPr="00600ED9">
            <w:rPr>
              <w:lang w:val="es-ES_tradnl"/>
            </w:rPr>
            <w:t xml:space="preserve"> </w:t>
          </w:r>
          <w:r w:rsidR="00522E88" w:rsidRPr="00600ED9">
            <w:rPr>
              <w:lang w:val="es-ES_tradnl"/>
            </w:rPr>
            <w:t xml:space="preserve">institucional, </w:t>
          </w:r>
          <w:r w:rsidRPr="00600ED9">
            <w:rPr>
              <w:lang w:val="es-ES_tradnl"/>
            </w:rPr>
            <w:t xml:space="preserve">requieren ser actualizadas, entre otros para incorporar el seguimiento a lo adecuado y efectivo de su aplicación. Todavía es una brecha pendiente que al menos anualmente como parte del Informe de Gestión, el Contralor se pronuncie sobre el estado y funcionamiento del sistema de </w:t>
          </w:r>
          <w:r w:rsidR="00D15C57" w:rsidRPr="00600ED9">
            <w:rPr>
              <w:lang w:val="es-ES_tradnl"/>
            </w:rPr>
            <w:t xml:space="preserve">control interno institucional. </w:t>
          </w:r>
          <w:r w:rsidRPr="00600ED9">
            <w:rPr>
              <w:lang w:val="es-ES_tradnl"/>
            </w:rPr>
            <w:t xml:space="preserve">En cuanto a las políticas de seguridad informática, estas deben actualizarse para reconocer los cambios y nuevos riesgos.  </w:t>
          </w:r>
        </w:p>
        <w:p w:rsidR="00A87342" w:rsidRPr="00600ED9" w:rsidRDefault="00A87342" w:rsidP="00D15C57">
          <w:pPr>
            <w:pStyle w:val="NoSpacing"/>
            <w:jc w:val="both"/>
            <w:rPr>
              <w:lang w:val="es-ES_tradnl"/>
            </w:rPr>
          </w:pPr>
        </w:p>
        <w:p w:rsidR="009C2623" w:rsidRPr="00600ED9" w:rsidRDefault="00A87342" w:rsidP="00D15C57">
          <w:pPr>
            <w:pStyle w:val="NoSpacing"/>
            <w:widowControl w:val="0"/>
            <w:jc w:val="both"/>
            <w:rPr>
              <w:lang w:val="es-ES_tradnl"/>
            </w:rPr>
          </w:pPr>
          <w:r w:rsidRPr="00600ED9">
            <w:rPr>
              <w:lang w:val="es-ES_tradnl"/>
            </w:rPr>
            <w:t xml:space="preserve">Aunque la </w:t>
          </w:r>
          <w:r w:rsidR="00431CA4" w:rsidRPr="00600ED9">
            <w:rPr>
              <w:lang w:val="es-ES_tradnl"/>
            </w:rPr>
            <w:t>CGR</w:t>
          </w:r>
          <w:r w:rsidRPr="00600ED9">
            <w:rPr>
              <w:lang w:val="es-ES_tradnl"/>
            </w:rPr>
            <w:t xml:space="preserve">C ha diseñado planes a </w:t>
          </w:r>
          <w:r w:rsidR="00387926" w:rsidRPr="00600ED9">
            <w:rPr>
              <w:lang w:val="es-ES_tradnl"/>
            </w:rPr>
            <w:t xml:space="preserve">mediano y </w:t>
          </w:r>
          <w:r w:rsidRPr="00600ED9">
            <w:rPr>
              <w:lang w:val="es-ES_tradnl"/>
            </w:rPr>
            <w:t>largo plazo para sus necesidad</w:t>
          </w:r>
          <w:r w:rsidR="00A41291" w:rsidRPr="00600ED9">
            <w:rPr>
              <w:lang w:val="es-ES_tradnl"/>
            </w:rPr>
            <w:t>es de infraestructura física y tecnol</w:t>
          </w:r>
          <w:r w:rsidR="00584B33" w:rsidRPr="00600ED9">
            <w:rPr>
              <w:lang w:val="es-ES_tradnl"/>
            </w:rPr>
            <w:t>ó</w:t>
          </w:r>
          <w:r w:rsidR="00A41291" w:rsidRPr="00600ED9">
            <w:rPr>
              <w:lang w:val="es-ES_tradnl"/>
            </w:rPr>
            <w:t>g</w:t>
          </w:r>
          <w:r w:rsidR="00584B33" w:rsidRPr="00600ED9">
            <w:rPr>
              <w:lang w:val="es-ES_tradnl"/>
            </w:rPr>
            <w:t>ica</w:t>
          </w:r>
          <w:r w:rsidR="00A41291" w:rsidRPr="00600ED9">
            <w:rPr>
              <w:lang w:val="es-ES_tradnl"/>
            </w:rPr>
            <w:t>,</w:t>
          </w:r>
          <w:r w:rsidRPr="00600ED9">
            <w:rPr>
              <w:lang w:val="es-ES_tradnl"/>
            </w:rPr>
            <w:t xml:space="preserve"> dichos planes no se han soportado en proyectos estructurados</w:t>
          </w:r>
          <w:r w:rsidR="00387926" w:rsidRPr="00600ED9">
            <w:rPr>
              <w:lang w:val="es-ES_tradnl"/>
            </w:rPr>
            <w:t>,</w:t>
          </w:r>
          <w:r w:rsidRPr="00600ED9">
            <w:rPr>
              <w:lang w:val="es-ES_tradnl"/>
            </w:rPr>
            <w:t xml:space="preserve"> por lo que no han sido soluciones sostenibles en el tiempo. De hecho la carencia o debilidad de tales planes</w:t>
          </w:r>
          <w:r w:rsidR="00584B33" w:rsidRPr="00600ED9">
            <w:rPr>
              <w:lang w:val="es-ES_tradnl"/>
            </w:rPr>
            <w:t>,</w:t>
          </w:r>
          <w:r w:rsidRPr="00600ED9">
            <w:rPr>
              <w:lang w:val="es-ES_tradnl"/>
            </w:rPr>
            <w:t xml:space="preserve"> se demuestra en la actual situación </w:t>
          </w:r>
          <w:r w:rsidR="000F3F18" w:rsidRPr="00600ED9">
            <w:rPr>
              <w:lang w:val="es-ES_tradnl"/>
            </w:rPr>
            <w:t xml:space="preserve">de </w:t>
          </w:r>
          <w:r w:rsidRPr="00600ED9">
            <w:rPr>
              <w:lang w:val="es-ES_tradnl"/>
            </w:rPr>
            <w:t xml:space="preserve">la </w:t>
          </w:r>
          <w:r w:rsidR="00431CA4" w:rsidRPr="00600ED9">
            <w:rPr>
              <w:lang w:val="es-ES_tradnl"/>
            </w:rPr>
            <w:t>CGRC</w:t>
          </w:r>
          <w:r w:rsidRPr="00600ED9">
            <w:rPr>
              <w:lang w:val="es-ES_tradnl"/>
            </w:rPr>
            <w:t xml:space="preserve"> en cuanto a </w:t>
          </w:r>
          <w:r w:rsidR="000F3F18" w:rsidRPr="00600ED9">
            <w:rPr>
              <w:lang w:val="es-ES_tradnl"/>
            </w:rPr>
            <w:t xml:space="preserve">la </w:t>
          </w:r>
          <w:r w:rsidRPr="00600ED9">
            <w:rPr>
              <w:lang w:val="es-ES_tradnl"/>
            </w:rPr>
            <w:t>inestabilidad de oficinas para su funcionamiento.</w:t>
          </w:r>
        </w:p>
        <w:p w:rsidR="00D15C57" w:rsidRPr="00600ED9" w:rsidRDefault="00D15C57" w:rsidP="00D15C57">
          <w:pPr>
            <w:pStyle w:val="NoSpacing"/>
            <w:widowControl w:val="0"/>
            <w:jc w:val="both"/>
            <w:rPr>
              <w:lang w:val="es-ES_tradnl"/>
            </w:rPr>
          </w:pPr>
        </w:p>
        <w:p w:rsidR="00A41291" w:rsidRPr="00600ED9" w:rsidRDefault="00A41291" w:rsidP="00D15C57">
          <w:pPr>
            <w:spacing w:after="0" w:line="240" w:lineRule="auto"/>
            <w:jc w:val="both"/>
            <w:rPr>
              <w:b/>
              <w:bCs/>
              <w:smallCaps/>
              <w:color w:val="365F91" w:themeColor="accent1" w:themeShade="BF"/>
            </w:rPr>
          </w:pPr>
          <w:r w:rsidRPr="00600ED9">
            <w:rPr>
              <w:b/>
              <w:bCs/>
              <w:smallCaps/>
              <w:color w:val="365F91" w:themeColor="accent1" w:themeShade="BF"/>
            </w:rPr>
            <w:t>Recursos Humanos y Liderazgo</w:t>
          </w:r>
        </w:p>
        <w:p w:rsidR="00D15C57" w:rsidRPr="00600ED9" w:rsidRDefault="00D15C57" w:rsidP="00D15C57">
          <w:pPr>
            <w:spacing w:after="0" w:line="240" w:lineRule="auto"/>
            <w:jc w:val="both"/>
            <w:rPr>
              <w:rFonts w:cs="Calibri"/>
              <w:bCs/>
              <w:smallCaps/>
              <w:color w:val="365F91" w:themeColor="accent1" w:themeShade="BF"/>
            </w:rPr>
          </w:pPr>
        </w:p>
        <w:p w:rsidR="00856F98" w:rsidRPr="00600ED9" w:rsidRDefault="00A41291" w:rsidP="00D15C57">
          <w:pPr>
            <w:pStyle w:val="NoSpacing"/>
            <w:jc w:val="both"/>
            <w:rPr>
              <w:lang w:val="es-ES_tradnl"/>
            </w:rPr>
          </w:pPr>
          <w:r w:rsidRPr="00600ED9">
            <w:rPr>
              <w:lang w:val="es-ES_tradnl"/>
            </w:rPr>
            <w:t>L</w:t>
          </w:r>
          <w:r w:rsidR="00856F98" w:rsidRPr="00600ED9">
            <w:rPr>
              <w:lang w:val="es-ES_tradnl"/>
            </w:rPr>
            <w:t xml:space="preserve">a </w:t>
          </w:r>
          <w:r w:rsidR="00431CA4" w:rsidRPr="00600ED9">
            <w:rPr>
              <w:lang w:val="es-ES_tradnl"/>
            </w:rPr>
            <w:t>CGR</w:t>
          </w:r>
          <w:r w:rsidR="00856F98" w:rsidRPr="00600ED9">
            <w:rPr>
              <w:lang w:val="es-ES_tradnl"/>
            </w:rPr>
            <w:t xml:space="preserve">C ha diseñado e </w:t>
          </w:r>
          <w:proofErr w:type="gramStart"/>
          <w:r w:rsidR="00856F98" w:rsidRPr="00600ED9">
            <w:rPr>
              <w:lang w:val="es-ES_tradnl"/>
            </w:rPr>
            <w:t>implantado políticas</w:t>
          </w:r>
          <w:proofErr w:type="gramEnd"/>
          <w:r w:rsidR="00856F98" w:rsidRPr="00600ED9">
            <w:rPr>
              <w:lang w:val="es-ES_tradnl"/>
            </w:rPr>
            <w:t xml:space="preserve"> que desarrollan el liderazgo</w:t>
          </w:r>
          <w:r w:rsidR="000F3F18" w:rsidRPr="00600ED9">
            <w:rPr>
              <w:lang w:val="es-ES_tradnl"/>
            </w:rPr>
            <w:t>,</w:t>
          </w:r>
          <w:r w:rsidR="00856F98" w:rsidRPr="00600ED9">
            <w:rPr>
              <w:lang w:val="es-ES_tradnl"/>
            </w:rPr>
            <w:t xml:space="preserve"> especialmente la Alta Gerencia mantiene un clima de compromiso, donde cada responsable hace propias las iniciativas a su cargo. Sin embargo, no se dispone de un estudio técnico actualizado</w:t>
          </w:r>
          <w:r w:rsidR="000F3F18" w:rsidRPr="00600ED9">
            <w:rPr>
              <w:lang w:val="es-ES_tradnl"/>
            </w:rPr>
            <w:t>,</w:t>
          </w:r>
          <w:r w:rsidR="00856F98" w:rsidRPr="00600ED9">
            <w:rPr>
              <w:lang w:val="es-ES_tradnl"/>
            </w:rPr>
            <w:t xml:space="preserve"> que justifique la cantidad y competencias de personal requerido para atender el mandato de la Contraloría</w:t>
          </w:r>
          <w:r w:rsidR="00584B33" w:rsidRPr="00600ED9">
            <w:rPr>
              <w:lang w:val="es-ES_tradnl"/>
            </w:rPr>
            <w:t>.</w:t>
          </w:r>
          <w:r w:rsidR="00856F98" w:rsidRPr="00600ED9">
            <w:rPr>
              <w:lang w:val="es-ES_tradnl"/>
            </w:rPr>
            <w:t xml:space="preserve"> </w:t>
          </w:r>
          <w:r w:rsidR="00E93810" w:rsidRPr="00600ED9">
            <w:rPr>
              <w:lang w:val="es-ES_tradnl"/>
            </w:rPr>
            <w:t>Por otra parte</w:t>
          </w:r>
          <w:r w:rsidR="00856F98" w:rsidRPr="00600ED9">
            <w:rPr>
              <w:lang w:val="es-ES_tradnl"/>
            </w:rPr>
            <w:t xml:space="preserve">, los planes de capacitación no están respaldados formalmente en los resultados de la evaluación del desempeño y no se han  implementado  programas de desarrollo profesional apropiados para cada perfil </w:t>
          </w:r>
          <w:r w:rsidR="000F3F18" w:rsidRPr="00600ED9">
            <w:rPr>
              <w:lang w:val="es-ES_tradnl"/>
            </w:rPr>
            <w:t xml:space="preserve">que </w:t>
          </w:r>
          <w:r w:rsidR="00856F98" w:rsidRPr="00600ED9">
            <w:rPr>
              <w:lang w:val="es-ES_tradnl"/>
            </w:rPr>
            <w:t>favorezca la promoción y mejor clima organizacional.</w:t>
          </w:r>
          <w:r w:rsidR="00E93810" w:rsidRPr="00600ED9">
            <w:rPr>
              <w:lang w:val="es-ES_tradnl"/>
            </w:rPr>
            <w:t xml:space="preserve"> Es prioritario desarrollar un programa de </w:t>
          </w:r>
          <w:r w:rsidR="00584B33" w:rsidRPr="00600ED9">
            <w:rPr>
              <w:lang w:val="es-ES_tradnl"/>
            </w:rPr>
            <w:t>inducción</w:t>
          </w:r>
          <w:r w:rsidR="00E93810" w:rsidRPr="00600ED9">
            <w:rPr>
              <w:lang w:val="es-ES_tradnl"/>
            </w:rPr>
            <w:t xml:space="preserve"> y </w:t>
          </w:r>
          <w:r w:rsidR="00584B33" w:rsidRPr="00600ED9">
            <w:rPr>
              <w:lang w:val="es-ES_tradnl"/>
            </w:rPr>
            <w:t>capacitación</w:t>
          </w:r>
          <w:r w:rsidR="00E93810" w:rsidRPr="00600ED9">
            <w:rPr>
              <w:lang w:val="es-ES_tradnl"/>
            </w:rPr>
            <w:t xml:space="preserve"> del equipo profesional de auditores</w:t>
          </w:r>
          <w:r w:rsidR="000F3F18" w:rsidRPr="00600ED9">
            <w:rPr>
              <w:lang w:val="es-ES_tradnl"/>
            </w:rPr>
            <w:t>,</w:t>
          </w:r>
          <w:r w:rsidR="00E93810" w:rsidRPr="00600ED9">
            <w:rPr>
              <w:lang w:val="es-ES_tradnl"/>
            </w:rPr>
            <w:t xml:space="preserve"> sobre las Normas Internacionales actualizadas y sus lineamientos para los principales tipos de auditor</w:t>
          </w:r>
          <w:r w:rsidR="00584B33" w:rsidRPr="00600ED9">
            <w:rPr>
              <w:lang w:val="es-ES_tradnl"/>
            </w:rPr>
            <w:t>í</w:t>
          </w:r>
          <w:r w:rsidR="00E93810" w:rsidRPr="00600ED9">
            <w:rPr>
              <w:lang w:val="es-ES_tradnl"/>
            </w:rPr>
            <w:t>a.</w:t>
          </w:r>
        </w:p>
        <w:p w:rsidR="00D15C57" w:rsidRPr="00600ED9" w:rsidRDefault="00D15C57" w:rsidP="00D15C57">
          <w:pPr>
            <w:pStyle w:val="NoSpacing"/>
            <w:jc w:val="both"/>
            <w:rPr>
              <w:lang w:val="es-ES_tradnl"/>
            </w:rPr>
          </w:pPr>
        </w:p>
        <w:p w:rsidR="001C70A6" w:rsidRPr="00600ED9" w:rsidRDefault="009E02B2" w:rsidP="00D15C57">
          <w:pPr>
            <w:spacing w:after="0" w:line="240" w:lineRule="auto"/>
            <w:rPr>
              <w:b/>
              <w:bCs/>
              <w:smallCaps/>
              <w:color w:val="365F91" w:themeColor="accent1" w:themeShade="BF"/>
            </w:rPr>
          </w:pPr>
          <w:r w:rsidRPr="00600ED9">
            <w:rPr>
              <w:b/>
              <w:bCs/>
              <w:smallCaps/>
              <w:color w:val="365F91" w:themeColor="accent1" w:themeShade="BF"/>
            </w:rPr>
            <w:t>Resumen Resultados</w:t>
          </w:r>
        </w:p>
        <w:p w:rsidR="00D15C57" w:rsidRPr="00600ED9" w:rsidRDefault="00D15C57" w:rsidP="00D15C57">
          <w:pPr>
            <w:spacing w:after="0" w:line="240" w:lineRule="auto"/>
            <w:rPr>
              <w:rFonts w:eastAsiaTheme="minorEastAsia"/>
              <w:sz w:val="18"/>
              <w:szCs w:val="18"/>
            </w:rPr>
          </w:pPr>
        </w:p>
        <w:p w:rsidR="00C318A6" w:rsidRPr="00600ED9" w:rsidRDefault="00CF5B3C" w:rsidP="00D15C57">
          <w:pPr>
            <w:autoSpaceDE w:val="0"/>
            <w:autoSpaceDN w:val="0"/>
            <w:adjustRightInd w:val="0"/>
            <w:spacing w:after="0" w:line="240" w:lineRule="auto"/>
            <w:rPr>
              <w:rFonts w:eastAsiaTheme="minorEastAsia"/>
            </w:rPr>
          </w:pPr>
          <w:r w:rsidRPr="00600ED9">
            <w:rPr>
              <w:rFonts w:eastAsiaTheme="minorEastAsia"/>
            </w:rPr>
            <w:t>L</w:t>
          </w:r>
          <w:r w:rsidR="008F6670" w:rsidRPr="00600ED9">
            <w:rPr>
              <w:rFonts w:eastAsiaTheme="minorEastAsia"/>
            </w:rPr>
            <w:t>a tabla</w:t>
          </w:r>
          <w:r w:rsidR="00E50F12" w:rsidRPr="00600ED9">
            <w:rPr>
              <w:rFonts w:eastAsiaTheme="minorEastAsia"/>
            </w:rPr>
            <w:t xml:space="preserve"> siguiente resume los puntajes </w:t>
          </w:r>
          <w:r w:rsidR="001C7BF6" w:rsidRPr="00600ED9">
            <w:rPr>
              <w:rFonts w:eastAsiaTheme="minorEastAsia"/>
            </w:rPr>
            <w:t>obtenidos</w:t>
          </w:r>
          <w:r w:rsidR="00E50F12" w:rsidRPr="00600ED9">
            <w:rPr>
              <w:rFonts w:eastAsiaTheme="minorEastAsia"/>
            </w:rPr>
            <w:t xml:space="preserve"> para los indicadores de desempeño que se utilizan siguiendo el MMD</w:t>
          </w:r>
          <w:r w:rsidR="00584B33" w:rsidRPr="00600ED9">
            <w:rPr>
              <w:rFonts w:eastAsiaTheme="minorEastAsia"/>
            </w:rPr>
            <w:t>-</w:t>
          </w:r>
          <w:r w:rsidR="00E50F12" w:rsidRPr="00600ED9">
            <w:rPr>
              <w:rFonts w:eastAsiaTheme="minorEastAsia"/>
            </w:rPr>
            <w:t xml:space="preserve">EFS. </w:t>
          </w:r>
          <w:r w:rsidR="001C7BF6" w:rsidRPr="00600ED9">
            <w:rPr>
              <w:rFonts w:eastAsiaTheme="minorEastAsia"/>
            </w:rPr>
            <w:t xml:space="preserve">El detalle </w:t>
          </w:r>
          <w:r w:rsidR="00E50F12" w:rsidRPr="00600ED9">
            <w:rPr>
              <w:rFonts w:eastAsiaTheme="minorEastAsia"/>
            </w:rPr>
            <w:t xml:space="preserve">de estos resultados se </w:t>
          </w:r>
          <w:r w:rsidR="001C7BF6" w:rsidRPr="00600ED9">
            <w:rPr>
              <w:rFonts w:eastAsiaTheme="minorEastAsia"/>
            </w:rPr>
            <w:t xml:space="preserve">presenta </w:t>
          </w:r>
          <w:r w:rsidR="00E50F12" w:rsidRPr="00600ED9">
            <w:rPr>
              <w:rFonts w:eastAsiaTheme="minorEastAsia"/>
            </w:rPr>
            <w:t xml:space="preserve">en la Sección </w:t>
          </w:r>
          <w:r w:rsidR="00584B33" w:rsidRPr="00600ED9">
            <w:rPr>
              <w:rFonts w:eastAsiaTheme="minorEastAsia"/>
            </w:rPr>
            <w:t>4</w:t>
          </w:r>
          <w:r w:rsidR="00E50F12" w:rsidRPr="00600ED9">
            <w:rPr>
              <w:rFonts w:eastAsiaTheme="minorEastAsia"/>
            </w:rPr>
            <w:t xml:space="preserve"> de este informe.</w:t>
          </w:r>
          <w:r w:rsidR="00C318A6" w:rsidRPr="00600ED9">
            <w:rPr>
              <w:rFonts w:eastAsiaTheme="minorEastAsia"/>
            </w:rPr>
            <w:br w:type="page"/>
          </w:r>
        </w:p>
        <w:p w:rsidR="008F6670" w:rsidRPr="00600ED9" w:rsidRDefault="00584B33" w:rsidP="00401E0B">
          <w:pPr>
            <w:pStyle w:val="NoSpacing"/>
            <w:jc w:val="center"/>
            <w:rPr>
              <w:b/>
              <w:lang w:val="es-ES_tradnl"/>
            </w:rPr>
          </w:pPr>
          <w:r w:rsidRPr="00600ED9">
            <w:rPr>
              <w:b/>
              <w:lang w:val="es-ES_tradnl"/>
            </w:rPr>
            <w:lastRenderedPageBreak/>
            <w:t>Visión general de</w:t>
          </w:r>
          <w:r w:rsidR="00E404BC" w:rsidRPr="00600ED9">
            <w:rPr>
              <w:b/>
              <w:lang w:val="es-ES_tradnl"/>
            </w:rPr>
            <w:t xml:space="preserve"> los</w:t>
          </w:r>
          <w:r w:rsidRPr="00600ED9">
            <w:rPr>
              <w:b/>
              <w:lang w:val="es-ES_tradnl"/>
            </w:rPr>
            <w:t xml:space="preserve"> </w:t>
          </w:r>
          <w:r w:rsidR="009C1A32" w:rsidRPr="00600ED9">
            <w:rPr>
              <w:b/>
              <w:lang w:val="es-ES_tradnl"/>
            </w:rPr>
            <w:t xml:space="preserve">Indicadores de </w:t>
          </w:r>
          <w:r w:rsidRPr="00600ED9">
            <w:rPr>
              <w:b/>
              <w:lang w:val="es-ES_tradnl"/>
            </w:rPr>
            <w:t>D</w:t>
          </w:r>
          <w:r w:rsidR="009C1A32" w:rsidRPr="00600ED9">
            <w:rPr>
              <w:b/>
              <w:lang w:val="es-ES_tradnl"/>
            </w:rPr>
            <w:t>esempeñ</w:t>
          </w:r>
          <w:r w:rsidR="00E50F12" w:rsidRPr="00600ED9">
            <w:rPr>
              <w:b/>
              <w:lang w:val="es-ES_tradnl"/>
            </w:rPr>
            <w:t>o</w:t>
          </w:r>
          <w:r w:rsidR="00DF40ED" w:rsidRPr="00600ED9">
            <w:rPr>
              <w:b/>
              <w:lang w:val="es-ES_tradnl"/>
            </w:rPr>
            <w:t xml:space="preserve"> </w:t>
          </w:r>
          <w:r w:rsidR="009C1A32" w:rsidRPr="00600ED9">
            <w:rPr>
              <w:b/>
              <w:lang w:val="es-ES_tradnl"/>
            </w:rPr>
            <w:t>de la</w:t>
          </w:r>
        </w:p>
        <w:p w:rsidR="001C70A6" w:rsidRPr="00600ED9" w:rsidRDefault="00584B33" w:rsidP="00BC1EC9">
          <w:pPr>
            <w:pStyle w:val="NoSpacing"/>
            <w:jc w:val="center"/>
            <w:rPr>
              <w:b/>
              <w:lang w:val="es-ES_tradnl"/>
            </w:rPr>
          </w:pPr>
          <w:r w:rsidRPr="00600ED9">
            <w:rPr>
              <w:b/>
              <w:lang w:val="es-ES_tradnl"/>
            </w:rPr>
            <w:t>Contraloría</w:t>
          </w:r>
          <w:r w:rsidR="009C1A32" w:rsidRPr="00600ED9">
            <w:rPr>
              <w:b/>
              <w:lang w:val="es-ES_tradnl"/>
            </w:rPr>
            <w:t xml:space="preserve"> General de la República de Colombia</w:t>
          </w:r>
        </w:p>
        <w:p w:rsidR="008F6670" w:rsidRPr="00600ED9" w:rsidRDefault="008F6670" w:rsidP="00DD26FA">
          <w:pPr>
            <w:pStyle w:val="NoSpacing"/>
            <w:jc w:val="center"/>
            <w:rPr>
              <w:b/>
              <w:lang w:val="es-ES_tradnl"/>
            </w:rPr>
          </w:pPr>
        </w:p>
        <w:tbl>
          <w:tblPr>
            <w:tblStyle w:val="TableGrid"/>
            <w:tblW w:w="9750" w:type="dxa"/>
            <w:jc w:val="center"/>
            <w:tblInd w:w="-954" w:type="dxa"/>
            <w:tblLayout w:type="fixed"/>
            <w:tblLook w:val="04A0" w:firstRow="1" w:lastRow="0" w:firstColumn="1" w:lastColumn="0" w:noHBand="0" w:noVBand="1"/>
          </w:tblPr>
          <w:tblGrid>
            <w:gridCol w:w="1418"/>
            <w:gridCol w:w="5291"/>
            <w:gridCol w:w="518"/>
            <w:gridCol w:w="439"/>
            <w:gridCol w:w="541"/>
            <w:gridCol w:w="540"/>
            <w:gridCol w:w="1003"/>
          </w:tblGrid>
          <w:tr w:rsidR="009E02B2" w:rsidRPr="00600ED9" w:rsidTr="001C70A6">
            <w:trPr>
              <w:tblHeader/>
              <w:jc w:val="center"/>
            </w:trPr>
            <w:tc>
              <w:tcPr>
                <w:tcW w:w="1418" w:type="dxa"/>
                <w:vMerge w:val="restart"/>
                <w:shd w:val="clear" w:color="auto" w:fill="365F91" w:themeFill="accent1" w:themeFillShade="BF"/>
                <w:vAlign w:val="center"/>
              </w:tcPr>
              <w:p w:rsidR="009E02B2" w:rsidRPr="00600ED9" w:rsidRDefault="009E02B2" w:rsidP="001C7BF6">
                <w:pPr>
                  <w:pStyle w:val="NoSpacing"/>
                  <w:jc w:val="center"/>
                  <w:rPr>
                    <w:b/>
                    <w:color w:val="FFFFFF" w:themeColor="background1"/>
                    <w:sz w:val="20"/>
                    <w:szCs w:val="20"/>
                    <w:lang w:val="es-ES_tradnl"/>
                  </w:rPr>
                </w:pPr>
                <w:r w:rsidRPr="00600ED9">
                  <w:rPr>
                    <w:b/>
                    <w:color w:val="FFFFFF" w:themeColor="background1"/>
                    <w:sz w:val="20"/>
                    <w:szCs w:val="20"/>
                    <w:lang w:val="es-ES_tradnl"/>
                  </w:rPr>
                  <w:t>Indicador</w:t>
                </w:r>
              </w:p>
            </w:tc>
            <w:tc>
              <w:tcPr>
                <w:tcW w:w="5291" w:type="dxa"/>
                <w:vMerge w:val="restart"/>
                <w:shd w:val="clear" w:color="auto" w:fill="365F91" w:themeFill="accent1" w:themeFillShade="BF"/>
                <w:vAlign w:val="center"/>
              </w:tcPr>
              <w:p w:rsidR="009E02B2" w:rsidRPr="00600ED9" w:rsidRDefault="009E02B2" w:rsidP="003C6AB2">
                <w:pPr>
                  <w:pStyle w:val="NoSpacing"/>
                  <w:jc w:val="center"/>
                  <w:rPr>
                    <w:b/>
                    <w:color w:val="FFFFFF" w:themeColor="background1"/>
                    <w:sz w:val="20"/>
                    <w:szCs w:val="20"/>
                    <w:lang w:val="es-ES_tradnl"/>
                  </w:rPr>
                </w:pPr>
                <w:r w:rsidRPr="00600ED9">
                  <w:rPr>
                    <w:b/>
                    <w:color w:val="FFFFFF" w:themeColor="background1"/>
                    <w:sz w:val="20"/>
                    <w:szCs w:val="20"/>
                    <w:lang w:val="es-ES_tradnl"/>
                  </w:rPr>
                  <w:t>Nombre del Indicador</w:t>
                </w:r>
              </w:p>
            </w:tc>
            <w:tc>
              <w:tcPr>
                <w:tcW w:w="2038" w:type="dxa"/>
                <w:gridSpan w:val="4"/>
                <w:shd w:val="clear" w:color="auto" w:fill="365F91" w:themeFill="accent1" w:themeFillShade="BF"/>
                <w:vAlign w:val="center"/>
              </w:tcPr>
              <w:p w:rsidR="009E02B2" w:rsidRPr="00600ED9" w:rsidRDefault="009E02B2" w:rsidP="00BC474D">
                <w:pPr>
                  <w:pStyle w:val="NoSpacing"/>
                  <w:jc w:val="center"/>
                  <w:rPr>
                    <w:b/>
                    <w:color w:val="FFFFFF" w:themeColor="background1"/>
                    <w:sz w:val="20"/>
                    <w:szCs w:val="20"/>
                    <w:lang w:val="es-ES_tradnl"/>
                  </w:rPr>
                </w:pPr>
                <w:r w:rsidRPr="00600ED9">
                  <w:rPr>
                    <w:b/>
                    <w:color w:val="FFFFFF" w:themeColor="background1"/>
                    <w:sz w:val="20"/>
                    <w:szCs w:val="20"/>
                    <w:lang w:val="es-ES_tradnl"/>
                  </w:rPr>
                  <w:t>Dimensiones</w:t>
                </w:r>
              </w:p>
            </w:tc>
            <w:tc>
              <w:tcPr>
                <w:tcW w:w="1003" w:type="dxa"/>
                <w:vMerge w:val="restart"/>
                <w:shd w:val="clear" w:color="auto" w:fill="365F91" w:themeFill="accent1" w:themeFillShade="BF"/>
                <w:vAlign w:val="center"/>
              </w:tcPr>
              <w:p w:rsidR="009E02B2" w:rsidRPr="00600ED9" w:rsidRDefault="009E02B2" w:rsidP="00E706F4">
                <w:pPr>
                  <w:pStyle w:val="NoSpacing"/>
                  <w:jc w:val="center"/>
                  <w:rPr>
                    <w:b/>
                    <w:color w:val="FFFFFF" w:themeColor="background1"/>
                    <w:sz w:val="20"/>
                    <w:szCs w:val="20"/>
                    <w:lang w:val="es-ES_tradnl"/>
                  </w:rPr>
                </w:pPr>
                <w:r w:rsidRPr="00600ED9">
                  <w:rPr>
                    <w:b/>
                    <w:color w:val="FFFFFF" w:themeColor="background1"/>
                    <w:sz w:val="20"/>
                    <w:szCs w:val="20"/>
                    <w:lang w:val="es-ES_tradnl"/>
                  </w:rPr>
                  <w:t>Puntaje General</w:t>
                </w:r>
                <w:r w:rsidRPr="00600ED9">
                  <w:rPr>
                    <w:rStyle w:val="FootnoteReference"/>
                    <w:b/>
                    <w:color w:val="FFFFFF" w:themeColor="background1"/>
                    <w:sz w:val="20"/>
                    <w:szCs w:val="20"/>
                    <w:lang w:val="es-ES_tradnl"/>
                  </w:rPr>
                  <w:footnoteReference w:id="2"/>
                </w:r>
              </w:p>
            </w:tc>
          </w:tr>
          <w:tr w:rsidR="009E02B2" w:rsidRPr="00600ED9" w:rsidTr="001C70A6">
            <w:trPr>
              <w:tblHeader/>
              <w:jc w:val="center"/>
            </w:trPr>
            <w:tc>
              <w:tcPr>
                <w:tcW w:w="1418" w:type="dxa"/>
                <w:vMerge/>
                <w:shd w:val="clear" w:color="auto" w:fill="365F91" w:themeFill="accent1" w:themeFillShade="BF"/>
                <w:vAlign w:val="center"/>
              </w:tcPr>
              <w:p w:rsidR="009E02B2" w:rsidRPr="00600ED9" w:rsidRDefault="009E02B2">
                <w:pPr>
                  <w:pStyle w:val="NoSpacing"/>
                  <w:rPr>
                    <w:lang w:val="es-ES_tradnl"/>
                  </w:rPr>
                </w:pPr>
              </w:p>
            </w:tc>
            <w:tc>
              <w:tcPr>
                <w:tcW w:w="5291" w:type="dxa"/>
                <w:vMerge/>
                <w:shd w:val="clear" w:color="auto" w:fill="365F91" w:themeFill="accent1" w:themeFillShade="BF"/>
                <w:vAlign w:val="center"/>
              </w:tcPr>
              <w:p w:rsidR="009E02B2" w:rsidRPr="00600ED9" w:rsidRDefault="009E02B2">
                <w:pPr>
                  <w:pStyle w:val="NoSpacing"/>
                  <w:rPr>
                    <w:lang w:val="es-ES_tradnl"/>
                  </w:rPr>
                </w:pPr>
              </w:p>
            </w:tc>
            <w:tc>
              <w:tcPr>
                <w:tcW w:w="518" w:type="dxa"/>
                <w:shd w:val="clear" w:color="auto" w:fill="365F91" w:themeFill="accent1" w:themeFillShade="BF"/>
                <w:vAlign w:val="center"/>
              </w:tcPr>
              <w:p w:rsidR="009E02B2" w:rsidRPr="00600ED9" w:rsidRDefault="009E02B2">
                <w:pPr>
                  <w:pStyle w:val="NoSpacing"/>
                  <w:jc w:val="center"/>
                  <w:rPr>
                    <w:b/>
                    <w:color w:val="FFFFFF" w:themeColor="background1"/>
                    <w:sz w:val="20"/>
                    <w:lang w:val="es-ES_tradnl"/>
                  </w:rPr>
                </w:pPr>
                <w:r w:rsidRPr="00600ED9">
                  <w:rPr>
                    <w:b/>
                    <w:color w:val="FFFFFF" w:themeColor="background1"/>
                    <w:sz w:val="20"/>
                    <w:lang w:val="es-ES_tradnl"/>
                  </w:rPr>
                  <w:t>(i)</w:t>
                </w:r>
              </w:p>
            </w:tc>
            <w:tc>
              <w:tcPr>
                <w:tcW w:w="439" w:type="dxa"/>
                <w:shd w:val="clear" w:color="auto" w:fill="365F91" w:themeFill="accent1" w:themeFillShade="BF"/>
                <w:vAlign w:val="center"/>
              </w:tcPr>
              <w:p w:rsidR="009E02B2" w:rsidRPr="00600ED9" w:rsidRDefault="009E02B2">
                <w:pPr>
                  <w:pStyle w:val="NoSpacing"/>
                  <w:jc w:val="center"/>
                  <w:rPr>
                    <w:b/>
                    <w:color w:val="FFFFFF" w:themeColor="background1"/>
                    <w:sz w:val="20"/>
                    <w:lang w:val="es-ES_tradnl"/>
                  </w:rPr>
                </w:pPr>
                <w:r w:rsidRPr="00600ED9">
                  <w:rPr>
                    <w:b/>
                    <w:color w:val="FFFFFF" w:themeColor="background1"/>
                    <w:sz w:val="20"/>
                    <w:lang w:val="es-ES_tradnl"/>
                  </w:rPr>
                  <w:t>(ii)</w:t>
                </w:r>
              </w:p>
            </w:tc>
            <w:tc>
              <w:tcPr>
                <w:tcW w:w="541" w:type="dxa"/>
                <w:shd w:val="clear" w:color="auto" w:fill="365F91" w:themeFill="accent1" w:themeFillShade="BF"/>
                <w:vAlign w:val="center"/>
              </w:tcPr>
              <w:p w:rsidR="009E02B2" w:rsidRPr="00600ED9" w:rsidRDefault="009E02B2">
                <w:pPr>
                  <w:pStyle w:val="NoSpacing"/>
                  <w:jc w:val="center"/>
                  <w:rPr>
                    <w:b/>
                    <w:color w:val="FFFFFF" w:themeColor="background1"/>
                    <w:sz w:val="20"/>
                    <w:lang w:val="es-ES_tradnl"/>
                  </w:rPr>
                </w:pPr>
                <w:r w:rsidRPr="00600ED9">
                  <w:rPr>
                    <w:b/>
                    <w:color w:val="FFFFFF" w:themeColor="background1"/>
                    <w:sz w:val="20"/>
                    <w:lang w:val="es-ES_tradnl"/>
                  </w:rPr>
                  <w:t>(iii)</w:t>
                </w:r>
              </w:p>
            </w:tc>
            <w:tc>
              <w:tcPr>
                <w:tcW w:w="540" w:type="dxa"/>
                <w:shd w:val="clear" w:color="auto" w:fill="365F91" w:themeFill="accent1" w:themeFillShade="BF"/>
                <w:vAlign w:val="center"/>
              </w:tcPr>
              <w:p w:rsidR="009E02B2" w:rsidRPr="00600ED9" w:rsidRDefault="009E02B2">
                <w:pPr>
                  <w:pStyle w:val="NoSpacing"/>
                  <w:jc w:val="center"/>
                  <w:rPr>
                    <w:b/>
                    <w:color w:val="FFFFFF" w:themeColor="background1"/>
                    <w:sz w:val="20"/>
                    <w:lang w:val="es-ES_tradnl"/>
                  </w:rPr>
                </w:pPr>
                <w:r w:rsidRPr="00600ED9">
                  <w:rPr>
                    <w:b/>
                    <w:color w:val="FFFFFF" w:themeColor="background1"/>
                    <w:sz w:val="20"/>
                    <w:lang w:val="es-ES_tradnl"/>
                  </w:rPr>
                  <w:t>(iv)</w:t>
                </w:r>
              </w:p>
            </w:tc>
            <w:tc>
              <w:tcPr>
                <w:tcW w:w="1003" w:type="dxa"/>
                <w:vMerge/>
                <w:shd w:val="clear" w:color="auto" w:fill="365F91" w:themeFill="accent1" w:themeFillShade="BF"/>
                <w:vAlign w:val="center"/>
              </w:tcPr>
              <w:p w:rsidR="009E02B2" w:rsidRPr="00600ED9" w:rsidRDefault="009E02B2">
                <w:pPr>
                  <w:pStyle w:val="NoSpacing"/>
                  <w:rPr>
                    <w:lang w:val="es-ES_tradnl"/>
                  </w:rPr>
                </w:pPr>
              </w:p>
            </w:tc>
          </w:tr>
          <w:tr w:rsidR="009E02B2" w:rsidRPr="00600ED9" w:rsidTr="006649E2">
            <w:trPr>
              <w:jc w:val="center"/>
            </w:trPr>
            <w:tc>
              <w:tcPr>
                <w:tcW w:w="1418" w:type="dxa"/>
                <w:shd w:val="clear" w:color="auto" w:fill="D9D9D9" w:themeFill="background1" w:themeFillShade="D9"/>
              </w:tcPr>
              <w:p w:rsidR="009E02B2" w:rsidRPr="00600ED9" w:rsidRDefault="009E02B2" w:rsidP="00401E0B">
                <w:pPr>
                  <w:pStyle w:val="NoSpacing"/>
                  <w:rPr>
                    <w:b/>
                    <w:sz w:val="20"/>
                    <w:szCs w:val="20"/>
                    <w:lang w:val="es-ES_tradnl"/>
                  </w:rPr>
                </w:pPr>
                <w:r w:rsidRPr="00600ED9">
                  <w:rPr>
                    <w:b/>
                    <w:sz w:val="20"/>
                    <w:szCs w:val="20"/>
                    <w:lang w:val="es-ES_tradnl"/>
                  </w:rPr>
                  <w:t>Dominio A</w:t>
                </w:r>
              </w:p>
            </w:tc>
            <w:tc>
              <w:tcPr>
                <w:tcW w:w="7329" w:type="dxa"/>
                <w:gridSpan w:val="5"/>
                <w:shd w:val="clear" w:color="auto" w:fill="D9D9D9" w:themeFill="background1" w:themeFillShade="D9"/>
              </w:tcPr>
              <w:p w:rsidR="009E02B2" w:rsidRPr="00600ED9" w:rsidRDefault="009E02B2" w:rsidP="00BC1EC9">
                <w:pPr>
                  <w:pStyle w:val="NoSpacing"/>
                  <w:rPr>
                    <w:b/>
                    <w:sz w:val="20"/>
                    <w:szCs w:val="20"/>
                    <w:lang w:val="es-ES_tradnl"/>
                  </w:rPr>
                </w:pPr>
                <w:r w:rsidRPr="00600ED9">
                  <w:rPr>
                    <w:b/>
                    <w:sz w:val="20"/>
                    <w:szCs w:val="20"/>
                    <w:lang w:val="es-ES_tradnl"/>
                  </w:rPr>
                  <w:t>Elaboración de informes de la EFS</w:t>
                </w:r>
              </w:p>
            </w:tc>
            <w:tc>
              <w:tcPr>
                <w:tcW w:w="1003" w:type="dxa"/>
                <w:shd w:val="clear" w:color="auto" w:fill="365F91" w:themeFill="accent1" w:themeFillShade="BF"/>
                <w:vAlign w:val="center"/>
              </w:tcPr>
              <w:p w:rsidR="009E02B2" w:rsidRPr="00600ED9" w:rsidRDefault="009E02B2" w:rsidP="00DD26FA">
                <w:pPr>
                  <w:pStyle w:val="NoSpacing"/>
                  <w:jc w:val="center"/>
                  <w:rPr>
                    <w:b/>
                    <w:color w:val="FFFFFF" w:themeColor="background1"/>
                    <w:sz w:val="20"/>
                    <w:lang w:val="es-ES_tradnl"/>
                  </w:rPr>
                </w:pPr>
              </w:p>
            </w:tc>
          </w:tr>
          <w:tr w:rsidR="009E02B2" w:rsidRPr="00600ED9" w:rsidTr="006649E2">
            <w:trPr>
              <w:jc w:val="center"/>
            </w:trPr>
            <w:tc>
              <w:tcPr>
                <w:tcW w:w="1418" w:type="dxa"/>
              </w:tcPr>
              <w:p w:rsidR="009E02B2" w:rsidRPr="00600ED9" w:rsidRDefault="009E02B2" w:rsidP="00401E0B">
                <w:pPr>
                  <w:pStyle w:val="NoSpacing"/>
                  <w:rPr>
                    <w:sz w:val="20"/>
                    <w:szCs w:val="20"/>
                    <w:lang w:val="es-ES_tradnl"/>
                  </w:rPr>
                </w:pPr>
                <w:r w:rsidRPr="00600ED9">
                  <w:rPr>
                    <w:sz w:val="20"/>
                    <w:szCs w:val="20"/>
                    <w:lang w:val="es-ES_tradnl"/>
                  </w:rPr>
                  <w:t>EFS-1</w:t>
                </w:r>
              </w:p>
            </w:tc>
            <w:tc>
              <w:tcPr>
                <w:tcW w:w="5291" w:type="dxa"/>
              </w:tcPr>
              <w:p w:rsidR="009E02B2" w:rsidRPr="00600ED9" w:rsidRDefault="009E02B2" w:rsidP="00BC1EC9">
                <w:pPr>
                  <w:pStyle w:val="NoSpacing"/>
                  <w:rPr>
                    <w:sz w:val="20"/>
                    <w:szCs w:val="20"/>
                    <w:lang w:val="es-ES_tradnl"/>
                  </w:rPr>
                </w:pPr>
                <w:r w:rsidRPr="00600ED9">
                  <w:rPr>
                    <w:sz w:val="20"/>
                    <w:szCs w:val="20"/>
                    <w:lang w:val="es-ES_tradnl"/>
                  </w:rPr>
                  <w:t>Resultados de la auditoría financiera</w:t>
                </w:r>
              </w:p>
            </w:tc>
            <w:tc>
              <w:tcPr>
                <w:tcW w:w="518" w:type="dxa"/>
              </w:tcPr>
              <w:p w:rsidR="009E02B2" w:rsidRPr="00600ED9" w:rsidRDefault="009E02B2" w:rsidP="00DD26FA">
                <w:pPr>
                  <w:pStyle w:val="NoSpacing"/>
                  <w:jc w:val="center"/>
                  <w:rPr>
                    <w:sz w:val="20"/>
                    <w:szCs w:val="20"/>
                    <w:lang w:val="es-ES_tradnl"/>
                  </w:rPr>
                </w:pPr>
                <w:r w:rsidRPr="00600ED9">
                  <w:rPr>
                    <w:sz w:val="20"/>
                    <w:szCs w:val="20"/>
                    <w:lang w:val="es-ES_tradnl"/>
                  </w:rPr>
                  <w:t>1</w:t>
                </w:r>
              </w:p>
            </w:tc>
            <w:tc>
              <w:tcPr>
                <w:tcW w:w="439" w:type="dxa"/>
              </w:tcPr>
              <w:p w:rsidR="009E02B2" w:rsidRPr="00600ED9" w:rsidRDefault="009E02B2" w:rsidP="001C7BF6">
                <w:pPr>
                  <w:pStyle w:val="NoSpacing"/>
                  <w:jc w:val="center"/>
                  <w:rPr>
                    <w:sz w:val="20"/>
                    <w:szCs w:val="20"/>
                    <w:lang w:val="es-ES_tradnl"/>
                  </w:rPr>
                </w:pPr>
                <w:r w:rsidRPr="00600ED9">
                  <w:rPr>
                    <w:sz w:val="20"/>
                    <w:szCs w:val="20"/>
                    <w:lang w:val="es-ES_tradnl"/>
                  </w:rPr>
                  <w:t>1</w:t>
                </w:r>
              </w:p>
            </w:tc>
            <w:tc>
              <w:tcPr>
                <w:tcW w:w="541" w:type="dxa"/>
              </w:tcPr>
              <w:p w:rsidR="009E02B2" w:rsidRPr="00600ED9" w:rsidRDefault="009E02B2" w:rsidP="003C6AB2">
                <w:pPr>
                  <w:pStyle w:val="NoSpacing"/>
                  <w:jc w:val="center"/>
                  <w:rPr>
                    <w:sz w:val="20"/>
                    <w:szCs w:val="20"/>
                    <w:lang w:val="es-ES_tradnl"/>
                  </w:rPr>
                </w:pPr>
                <w:r w:rsidRPr="00600ED9">
                  <w:rPr>
                    <w:sz w:val="20"/>
                    <w:szCs w:val="20"/>
                    <w:lang w:val="es-ES_tradnl"/>
                  </w:rPr>
                  <w:t>1</w:t>
                </w:r>
              </w:p>
            </w:tc>
            <w:tc>
              <w:tcPr>
                <w:tcW w:w="540" w:type="dxa"/>
              </w:tcPr>
              <w:p w:rsidR="009E02B2" w:rsidRPr="00600ED9" w:rsidRDefault="009E02B2" w:rsidP="00BC474D">
                <w:pPr>
                  <w:pStyle w:val="NoSpacing"/>
                  <w:jc w:val="center"/>
                  <w:rPr>
                    <w:sz w:val="20"/>
                    <w:szCs w:val="20"/>
                    <w:lang w:val="es-ES_tradnl"/>
                  </w:rPr>
                </w:pPr>
                <w:r w:rsidRPr="00600ED9">
                  <w:rPr>
                    <w:sz w:val="20"/>
                    <w:szCs w:val="20"/>
                    <w:lang w:val="es-ES_tradnl"/>
                  </w:rPr>
                  <w:t>1</w:t>
                </w:r>
              </w:p>
            </w:tc>
            <w:tc>
              <w:tcPr>
                <w:tcW w:w="1003" w:type="dxa"/>
                <w:shd w:val="clear" w:color="auto" w:fill="365F91" w:themeFill="accent1" w:themeFillShade="BF"/>
                <w:vAlign w:val="center"/>
              </w:tcPr>
              <w:p w:rsidR="009E02B2" w:rsidRPr="00600ED9" w:rsidRDefault="009E02B2" w:rsidP="00E706F4">
                <w:pPr>
                  <w:pStyle w:val="NoSpacing"/>
                  <w:jc w:val="center"/>
                  <w:rPr>
                    <w:b/>
                    <w:color w:val="FFFFFF" w:themeColor="background1"/>
                    <w:sz w:val="20"/>
                    <w:lang w:val="es-ES_tradnl"/>
                  </w:rPr>
                </w:pPr>
                <w:r w:rsidRPr="00600ED9">
                  <w:rPr>
                    <w:b/>
                    <w:color w:val="FFFFFF" w:themeColor="background1"/>
                    <w:sz w:val="20"/>
                    <w:lang w:val="es-ES_tradnl"/>
                  </w:rPr>
                  <w:t>1</w:t>
                </w:r>
              </w:p>
            </w:tc>
          </w:tr>
          <w:tr w:rsidR="009E02B2" w:rsidRPr="00600ED9" w:rsidTr="006649E2">
            <w:trPr>
              <w:jc w:val="center"/>
            </w:trPr>
            <w:tc>
              <w:tcPr>
                <w:tcW w:w="1418" w:type="dxa"/>
              </w:tcPr>
              <w:p w:rsidR="009E02B2" w:rsidRPr="00600ED9" w:rsidRDefault="009E02B2" w:rsidP="00401E0B">
                <w:pPr>
                  <w:pStyle w:val="NoSpacing"/>
                  <w:rPr>
                    <w:sz w:val="20"/>
                    <w:szCs w:val="20"/>
                    <w:lang w:val="es-ES_tradnl"/>
                  </w:rPr>
                </w:pPr>
                <w:r w:rsidRPr="00600ED9">
                  <w:rPr>
                    <w:sz w:val="20"/>
                    <w:szCs w:val="20"/>
                    <w:lang w:val="es-ES_tradnl"/>
                  </w:rPr>
                  <w:t>EFS-2</w:t>
                </w:r>
              </w:p>
            </w:tc>
            <w:tc>
              <w:tcPr>
                <w:tcW w:w="5291" w:type="dxa"/>
              </w:tcPr>
              <w:p w:rsidR="009E02B2" w:rsidRPr="00600ED9" w:rsidRDefault="009E02B2" w:rsidP="00BC1EC9">
                <w:pPr>
                  <w:pStyle w:val="NoSpacing"/>
                  <w:rPr>
                    <w:sz w:val="20"/>
                    <w:szCs w:val="20"/>
                    <w:lang w:val="es-ES_tradnl"/>
                  </w:rPr>
                </w:pPr>
                <w:r w:rsidRPr="00600ED9">
                  <w:rPr>
                    <w:sz w:val="20"/>
                    <w:szCs w:val="20"/>
                    <w:lang w:val="es-ES_tradnl"/>
                  </w:rPr>
                  <w:t>Resultados de la auditoría de cumplimiento</w:t>
                </w:r>
              </w:p>
            </w:tc>
            <w:tc>
              <w:tcPr>
                <w:tcW w:w="518" w:type="dxa"/>
              </w:tcPr>
              <w:p w:rsidR="009E02B2" w:rsidRPr="00600ED9" w:rsidRDefault="009E02B2" w:rsidP="00DD26FA">
                <w:pPr>
                  <w:pStyle w:val="NoSpacing"/>
                  <w:jc w:val="center"/>
                  <w:rPr>
                    <w:sz w:val="20"/>
                    <w:szCs w:val="20"/>
                    <w:lang w:val="es-ES_tradnl"/>
                  </w:rPr>
                </w:pPr>
                <w:r w:rsidRPr="00600ED9">
                  <w:rPr>
                    <w:sz w:val="20"/>
                    <w:szCs w:val="20"/>
                    <w:lang w:val="es-ES_tradnl"/>
                  </w:rPr>
                  <w:t>4</w:t>
                </w:r>
              </w:p>
            </w:tc>
            <w:tc>
              <w:tcPr>
                <w:tcW w:w="439" w:type="dxa"/>
              </w:tcPr>
              <w:p w:rsidR="009E02B2" w:rsidRPr="00600ED9" w:rsidRDefault="009E02B2" w:rsidP="001C7BF6">
                <w:pPr>
                  <w:pStyle w:val="NoSpacing"/>
                  <w:jc w:val="center"/>
                  <w:rPr>
                    <w:sz w:val="20"/>
                    <w:szCs w:val="20"/>
                    <w:lang w:val="es-ES_tradnl"/>
                  </w:rPr>
                </w:pPr>
                <w:r w:rsidRPr="00600ED9">
                  <w:rPr>
                    <w:sz w:val="20"/>
                    <w:szCs w:val="20"/>
                    <w:lang w:val="es-ES_tradnl"/>
                  </w:rPr>
                  <w:t>1</w:t>
                </w:r>
              </w:p>
            </w:tc>
            <w:tc>
              <w:tcPr>
                <w:tcW w:w="541" w:type="dxa"/>
              </w:tcPr>
              <w:p w:rsidR="009E02B2" w:rsidRPr="00600ED9" w:rsidRDefault="009E02B2" w:rsidP="003C6AB2">
                <w:pPr>
                  <w:pStyle w:val="NoSpacing"/>
                  <w:jc w:val="center"/>
                  <w:rPr>
                    <w:sz w:val="20"/>
                    <w:szCs w:val="20"/>
                    <w:lang w:val="es-ES_tradnl"/>
                  </w:rPr>
                </w:pPr>
                <w:r w:rsidRPr="00600ED9">
                  <w:rPr>
                    <w:sz w:val="20"/>
                    <w:szCs w:val="20"/>
                    <w:lang w:val="es-ES_tradnl"/>
                  </w:rPr>
                  <w:t>1</w:t>
                </w:r>
              </w:p>
            </w:tc>
            <w:tc>
              <w:tcPr>
                <w:tcW w:w="540" w:type="dxa"/>
              </w:tcPr>
              <w:p w:rsidR="009E02B2" w:rsidRPr="00600ED9" w:rsidRDefault="009E02B2" w:rsidP="00BC474D">
                <w:pPr>
                  <w:pStyle w:val="NoSpacing"/>
                  <w:jc w:val="center"/>
                  <w:rPr>
                    <w:sz w:val="20"/>
                    <w:szCs w:val="20"/>
                    <w:lang w:val="es-ES_tradnl"/>
                  </w:rPr>
                </w:pPr>
                <w:r w:rsidRPr="00600ED9">
                  <w:rPr>
                    <w:sz w:val="20"/>
                    <w:szCs w:val="20"/>
                    <w:lang w:val="es-ES_tradnl"/>
                  </w:rPr>
                  <w:t>1</w:t>
                </w:r>
              </w:p>
            </w:tc>
            <w:tc>
              <w:tcPr>
                <w:tcW w:w="1003" w:type="dxa"/>
                <w:shd w:val="clear" w:color="auto" w:fill="365F91" w:themeFill="accent1" w:themeFillShade="BF"/>
                <w:vAlign w:val="center"/>
              </w:tcPr>
              <w:p w:rsidR="009E02B2" w:rsidRPr="00600ED9" w:rsidRDefault="009E02B2" w:rsidP="00E706F4">
                <w:pPr>
                  <w:pStyle w:val="NoSpacing"/>
                  <w:jc w:val="center"/>
                  <w:rPr>
                    <w:b/>
                    <w:color w:val="FFFFFF" w:themeColor="background1"/>
                    <w:sz w:val="20"/>
                    <w:lang w:val="es-ES_tradnl"/>
                  </w:rPr>
                </w:pPr>
                <w:r w:rsidRPr="00600ED9">
                  <w:rPr>
                    <w:b/>
                    <w:color w:val="FFFFFF" w:themeColor="background1"/>
                    <w:sz w:val="20"/>
                    <w:lang w:val="es-ES_tradnl"/>
                  </w:rPr>
                  <w:t>2</w:t>
                </w:r>
              </w:p>
            </w:tc>
          </w:tr>
          <w:tr w:rsidR="009E02B2" w:rsidRPr="00600ED9" w:rsidTr="006649E2">
            <w:trPr>
              <w:jc w:val="center"/>
            </w:trPr>
            <w:tc>
              <w:tcPr>
                <w:tcW w:w="1418" w:type="dxa"/>
              </w:tcPr>
              <w:p w:rsidR="009E02B2" w:rsidRPr="00600ED9" w:rsidRDefault="009E02B2" w:rsidP="00401E0B">
                <w:pPr>
                  <w:pStyle w:val="NoSpacing"/>
                  <w:rPr>
                    <w:sz w:val="20"/>
                    <w:szCs w:val="20"/>
                    <w:lang w:val="es-ES_tradnl"/>
                  </w:rPr>
                </w:pPr>
                <w:r w:rsidRPr="00600ED9">
                  <w:rPr>
                    <w:sz w:val="20"/>
                    <w:szCs w:val="20"/>
                    <w:lang w:val="es-ES_tradnl"/>
                  </w:rPr>
                  <w:t>EFS-3</w:t>
                </w:r>
              </w:p>
            </w:tc>
            <w:tc>
              <w:tcPr>
                <w:tcW w:w="5291" w:type="dxa"/>
              </w:tcPr>
              <w:p w:rsidR="009E02B2" w:rsidRPr="00600ED9" w:rsidRDefault="009E02B2" w:rsidP="00BC1EC9">
                <w:pPr>
                  <w:pStyle w:val="NoSpacing"/>
                  <w:rPr>
                    <w:sz w:val="20"/>
                    <w:szCs w:val="20"/>
                    <w:lang w:val="es-ES_tradnl"/>
                  </w:rPr>
                </w:pPr>
                <w:r w:rsidRPr="00600ED9">
                  <w:rPr>
                    <w:sz w:val="20"/>
                    <w:szCs w:val="20"/>
                    <w:lang w:val="es-ES_tradnl"/>
                  </w:rPr>
                  <w:t>Resultados de la auditoría de desempeño</w:t>
                </w:r>
              </w:p>
            </w:tc>
            <w:tc>
              <w:tcPr>
                <w:tcW w:w="518" w:type="dxa"/>
              </w:tcPr>
              <w:p w:rsidR="009E02B2" w:rsidRPr="00600ED9" w:rsidRDefault="009E02B2" w:rsidP="00DD26FA">
                <w:pPr>
                  <w:pStyle w:val="NoSpacing"/>
                  <w:jc w:val="center"/>
                  <w:rPr>
                    <w:sz w:val="20"/>
                    <w:szCs w:val="20"/>
                    <w:lang w:val="es-ES_tradnl"/>
                  </w:rPr>
                </w:pPr>
                <w:r w:rsidRPr="00600ED9">
                  <w:rPr>
                    <w:sz w:val="20"/>
                    <w:szCs w:val="20"/>
                    <w:lang w:val="es-ES_tradnl"/>
                  </w:rPr>
                  <w:t>2</w:t>
                </w:r>
              </w:p>
            </w:tc>
            <w:tc>
              <w:tcPr>
                <w:tcW w:w="439" w:type="dxa"/>
              </w:tcPr>
              <w:p w:rsidR="009E02B2" w:rsidRPr="00600ED9" w:rsidRDefault="009E02B2" w:rsidP="001C7BF6">
                <w:pPr>
                  <w:pStyle w:val="NoSpacing"/>
                  <w:jc w:val="center"/>
                  <w:rPr>
                    <w:sz w:val="20"/>
                    <w:szCs w:val="20"/>
                    <w:lang w:val="es-ES_tradnl"/>
                  </w:rPr>
                </w:pPr>
                <w:r w:rsidRPr="00600ED9">
                  <w:rPr>
                    <w:sz w:val="20"/>
                    <w:szCs w:val="20"/>
                    <w:lang w:val="es-ES_tradnl"/>
                  </w:rPr>
                  <w:t>2</w:t>
                </w:r>
              </w:p>
            </w:tc>
            <w:tc>
              <w:tcPr>
                <w:tcW w:w="541" w:type="dxa"/>
              </w:tcPr>
              <w:p w:rsidR="009E02B2" w:rsidRPr="00600ED9" w:rsidRDefault="009E02B2" w:rsidP="003C6AB2">
                <w:pPr>
                  <w:pStyle w:val="NoSpacing"/>
                  <w:jc w:val="center"/>
                  <w:rPr>
                    <w:sz w:val="20"/>
                    <w:szCs w:val="20"/>
                    <w:lang w:val="es-ES_tradnl"/>
                  </w:rPr>
                </w:pPr>
                <w:r w:rsidRPr="00600ED9">
                  <w:rPr>
                    <w:sz w:val="20"/>
                    <w:szCs w:val="20"/>
                    <w:lang w:val="es-ES_tradnl"/>
                  </w:rPr>
                  <w:t>0</w:t>
                </w:r>
              </w:p>
            </w:tc>
            <w:tc>
              <w:tcPr>
                <w:tcW w:w="540" w:type="dxa"/>
                <w:shd w:val="clear" w:color="auto" w:fill="D9D9D9" w:themeFill="background1" w:themeFillShade="D9"/>
              </w:tcPr>
              <w:p w:rsidR="009E02B2" w:rsidRPr="00600ED9" w:rsidRDefault="009E02B2" w:rsidP="00BC474D">
                <w:pPr>
                  <w:pStyle w:val="NoSpacing"/>
                  <w:jc w:val="center"/>
                  <w:rPr>
                    <w:sz w:val="20"/>
                    <w:szCs w:val="20"/>
                    <w:lang w:val="es-ES_tradnl"/>
                  </w:rPr>
                </w:pPr>
              </w:p>
            </w:tc>
            <w:tc>
              <w:tcPr>
                <w:tcW w:w="1003" w:type="dxa"/>
                <w:shd w:val="clear" w:color="auto" w:fill="365F91" w:themeFill="accent1" w:themeFillShade="BF"/>
                <w:vAlign w:val="center"/>
              </w:tcPr>
              <w:p w:rsidR="009E02B2" w:rsidRPr="00600ED9" w:rsidRDefault="009E02B2" w:rsidP="00E706F4">
                <w:pPr>
                  <w:pStyle w:val="NoSpacing"/>
                  <w:jc w:val="center"/>
                  <w:rPr>
                    <w:b/>
                    <w:color w:val="FFFFFF" w:themeColor="background1"/>
                    <w:sz w:val="20"/>
                    <w:lang w:val="es-ES_tradnl"/>
                  </w:rPr>
                </w:pPr>
                <w:r w:rsidRPr="00600ED9">
                  <w:rPr>
                    <w:b/>
                    <w:color w:val="FFFFFF" w:themeColor="background1"/>
                    <w:sz w:val="20"/>
                    <w:lang w:val="es-ES_tradnl"/>
                  </w:rPr>
                  <w:t>1</w:t>
                </w:r>
              </w:p>
            </w:tc>
          </w:tr>
          <w:tr w:rsidR="009E02B2" w:rsidRPr="00600ED9" w:rsidTr="006649E2">
            <w:trPr>
              <w:jc w:val="center"/>
            </w:trPr>
            <w:tc>
              <w:tcPr>
                <w:tcW w:w="1418" w:type="dxa"/>
              </w:tcPr>
              <w:p w:rsidR="009E02B2" w:rsidRPr="00600ED9" w:rsidRDefault="009E02B2" w:rsidP="00401E0B">
                <w:pPr>
                  <w:pStyle w:val="NoSpacing"/>
                  <w:rPr>
                    <w:sz w:val="20"/>
                    <w:szCs w:val="20"/>
                    <w:lang w:val="es-ES_tradnl"/>
                  </w:rPr>
                </w:pPr>
                <w:r w:rsidRPr="00600ED9">
                  <w:rPr>
                    <w:sz w:val="20"/>
                    <w:szCs w:val="20"/>
                    <w:lang w:val="es-ES_tradnl"/>
                  </w:rPr>
                  <w:t>EFS-4</w:t>
                </w:r>
              </w:p>
            </w:tc>
            <w:tc>
              <w:tcPr>
                <w:tcW w:w="5291" w:type="dxa"/>
              </w:tcPr>
              <w:p w:rsidR="009E02B2" w:rsidRPr="00600ED9" w:rsidRDefault="009E02B2" w:rsidP="00BC1EC9">
                <w:pPr>
                  <w:pStyle w:val="NoSpacing"/>
                  <w:rPr>
                    <w:sz w:val="20"/>
                    <w:szCs w:val="20"/>
                    <w:lang w:val="es-ES_tradnl"/>
                  </w:rPr>
                </w:pPr>
                <w:r w:rsidRPr="00600ED9">
                  <w:rPr>
                    <w:sz w:val="20"/>
                    <w:szCs w:val="20"/>
                    <w:lang w:val="es-ES_tradnl"/>
                  </w:rPr>
                  <w:t>Resultados de las sentencias</w:t>
                </w:r>
              </w:p>
            </w:tc>
            <w:tc>
              <w:tcPr>
                <w:tcW w:w="518" w:type="dxa"/>
              </w:tcPr>
              <w:p w:rsidR="009E02B2" w:rsidRPr="00600ED9" w:rsidRDefault="009E02B2" w:rsidP="00DD26FA">
                <w:pPr>
                  <w:pStyle w:val="NoSpacing"/>
                  <w:jc w:val="center"/>
                  <w:rPr>
                    <w:sz w:val="20"/>
                    <w:szCs w:val="20"/>
                    <w:lang w:val="es-ES_tradnl"/>
                  </w:rPr>
                </w:pPr>
                <w:r w:rsidRPr="00600ED9">
                  <w:rPr>
                    <w:sz w:val="20"/>
                    <w:szCs w:val="20"/>
                    <w:lang w:val="es-ES_tradnl"/>
                  </w:rPr>
                  <w:t>NA</w:t>
                </w:r>
              </w:p>
            </w:tc>
            <w:tc>
              <w:tcPr>
                <w:tcW w:w="439" w:type="dxa"/>
                <w:shd w:val="clear" w:color="auto" w:fill="D9D9D9" w:themeFill="background1" w:themeFillShade="D9"/>
              </w:tcPr>
              <w:p w:rsidR="009E02B2" w:rsidRPr="00600ED9" w:rsidRDefault="009E02B2" w:rsidP="001C7BF6">
                <w:pPr>
                  <w:pStyle w:val="NoSpacing"/>
                  <w:jc w:val="center"/>
                  <w:rPr>
                    <w:sz w:val="20"/>
                    <w:szCs w:val="20"/>
                    <w:lang w:val="es-ES_tradnl"/>
                  </w:rPr>
                </w:pPr>
              </w:p>
            </w:tc>
            <w:tc>
              <w:tcPr>
                <w:tcW w:w="541" w:type="dxa"/>
                <w:shd w:val="clear" w:color="auto" w:fill="D9D9D9" w:themeFill="background1" w:themeFillShade="D9"/>
              </w:tcPr>
              <w:p w:rsidR="009E02B2" w:rsidRPr="00600ED9" w:rsidRDefault="009E02B2" w:rsidP="003C6AB2">
                <w:pPr>
                  <w:pStyle w:val="NoSpacing"/>
                  <w:jc w:val="center"/>
                  <w:rPr>
                    <w:sz w:val="20"/>
                    <w:szCs w:val="20"/>
                    <w:lang w:val="es-ES_tradnl"/>
                  </w:rPr>
                </w:pPr>
              </w:p>
            </w:tc>
            <w:tc>
              <w:tcPr>
                <w:tcW w:w="540" w:type="dxa"/>
                <w:shd w:val="clear" w:color="auto" w:fill="D9D9D9" w:themeFill="background1" w:themeFillShade="D9"/>
              </w:tcPr>
              <w:p w:rsidR="009E02B2" w:rsidRPr="00600ED9" w:rsidRDefault="009E02B2" w:rsidP="00BC474D">
                <w:pPr>
                  <w:pStyle w:val="NoSpacing"/>
                  <w:jc w:val="center"/>
                  <w:rPr>
                    <w:sz w:val="20"/>
                    <w:szCs w:val="20"/>
                    <w:lang w:val="es-ES_tradnl"/>
                  </w:rPr>
                </w:pPr>
              </w:p>
            </w:tc>
            <w:tc>
              <w:tcPr>
                <w:tcW w:w="1003" w:type="dxa"/>
                <w:shd w:val="clear" w:color="auto" w:fill="365F91" w:themeFill="accent1" w:themeFillShade="BF"/>
                <w:vAlign w:val="center"/>
              </w:tcPr>
              <w:p w:rsidR="009E02B2" w:rsidRPr="00600ED9" w:rsidRDefault="009E02B2" w:rsidP="00E706F4">
                <w:pPr>
                  <w:pStyle w:val="NoSpacing"/>
                  <w:jc w:val="center"/>
                  <w:rPr>
                    <w:b/>
                    <w:color w:val="FFFFFF" w:themeColor="background1"/>
                    <w:sz w:val="20"/>
                    <w:lang w:val="es-ES_tradnl"/>
                  </w:rPr>
                </w:pPr>
                <w:r w:rsidRPr="00600ED9">
                  <w:rPr>
                    <w:b/>
                    <w:color w:val="FFFFFF" w:themeColor="background1"/>
                    <w:sz w:val="20"/>
                    <w:lang w:val="es-ES_tradnl"/>
                  </w:rPr>
                  <w:t>NA</w:t>
                </w:r>
              </w:p>
            </w:tc>
          </w:tr>
          <w:tr w:rsidR="009E02B2" w:rsidRPr="00600ED9" w:rsidTr="006649E2">
            <w:trPr>
              <w:jc w:val="center"/>
            </w:trPr>
            <w:tc>
              <w:tcPr>
                <w:tcW w:w="1418" w:type="dxa"/>
              </w:tcPr>
              <w:p w:rsidR="009E02B2" w:rsidRPr="00600ED9" w:rsidRDefault="009E02B2" w:rsidP="00401E0B">
                <w:pPr>
                  <w:pStyle w:val="NoSpacing"/>
                  <w:rPr>
                    <w:sz w:val="20"/>
                    <w:szCs w:val="20"/>
                    <w:lang w:val="es-ES_tradnl"/>
                  </w:rPr>
                </w:pPr>
                <w:r w:rsidRPr="00600ED9">
                  <w:rPr>
                    <w:sz w:val="20"/>
                    <w:szCs w:val="20"/>
                    <w:lang w:val="es-ES_tradnl"/>
                  </w:rPr>
                  <w:t>EFS-5</w:t>
                </w:r>
              </w:p>
            </w:tc>
            <w:tc>
              <w:tcPr>
                <w:tcW w:w="5291" w:type="dxa"/>
              </w:tcPr>
              <w:p w:rsidR="009E02B2" w:rsidRPr="00600ED9" w:rsidRDefault="009E02B2" w:rsidP="00BC1EC9">
                <w:pPr>
                  <w:pStyle w:val="NoSpacing"/>
                  <w:rPr>
                    <w:sz w:val="20"/>
                    <w:szCs w:val="20"/>
                    <w:lang w:val="es-ES_tradnl"/>
                  </w:rPr>
                </w:pPr>
                <w:r w:rsidRPr="00600ED9">
                  <w:rPr>
                    <w:sz w:val="20"/>
                    <w:szCs w:val="20"/>
                    <w:lang w:val="es-ES_tradnl"/>
                  </w:rPr>
                  <w:t>Informe anual de la EFS y otros informes</w:t>
                </w:r>
              </w:p>
            </w:tc>
            <w:tc>
              <w:tcPr>
                <w:tcW w:w="518" w:type="dxa"/>
              </w:tcPr>
              <w:p w:rsidR="009E02B2" w:rsidRPr="00600ED9" w:rsidRDefault="009E02B2" w:rsidP="00DD26FA">
                <w:pPr>
                  <w:pStyle w:val="NoSpacing"/>
                  <w:jc w:val="center"/>
                  <w:rPr>
                    <w:sz w:val="20"/>
                    <w:szCs w:val="20"/>
                    <w:lang w:val="es-ES_tradnl"/>
                  </w:rPr>
                </w:pPr>
                <w:r w:rsidRPr="00600ED9">
                  <w:rPr>
                    <w:sz w:val="20"/>
                    <w:szCs w:val="20"/>
                    <w:lang w:val="es-ES_tradnl"/>
                  </w:rPr>
                  <w:t>4</w:t>
                </w:r>
              </w:p>
            </w:tc>
            <w:tc>
              <w:tcPr>
                <w:tcW w:w="439" w:type="dxa"/>
              </w:tcPr>
              <w:p w:rsidR="009E02B2" w:rsidRPr="00600ED9" w:rsidRDefault="0045244C" w:rsidP="001C7BF6">
                <w:pPr>
                  <w:pStyle w:val="NoSpacing"/>
                  <w:jc w:val="center"/>
                  <w:rPr>
                    <w:sz w:val="20"/>
                    <w:szCs w:val="20"/>
                    <w:lang w:val="es-ES_tradnl"/>
                  </w:rPr>
                </w:pPr>
                <w:r w:rsidRPr="00600ED9">
                  <w:rPr>
                    <w:sz w:val="20"/>
                    <w:szCs w:val="20"/>
                    <w:lang w:val="es-ES_tradnl"/>
                  </w:rPr>
                  <w:t>4</w:t>
                </w:r>
              </w:p>
            </w:tc>
            <w:tc>
              <w:tcPr>
                <w:tcW w:w="541" w:type="dxa"/>
              </w:tcPr>
              <w:p w:rsidR="009E02B2" w:rsidRPr="00600ED9" w:rsidRDefault="009E02B2" w:rsidP="003C6AB2">
                <w:pPr>
                  <w:pStyle w:val="NoSpacing"/>
                  <w:jc w:val="center"/>
                  <w:rPr>
                    <w:sz w:val="20"/>
                    <w:szCs w:val="20"/>
                    <w:lang w:val="es-ES_tradnl"/>
                  </w:rPr>
                </w:pPr>
                <w:r w:rsidRPr="00600ED9">
                  <w:rPr>
                    <w:sz w:val="20"/>
                    <w:szCs w:val="20"/>
                    <w:lang w:val="es-ES_tradnl"/>
                  </w:rPr>
                  <w:t>2</w:t>
                </w:r>
              </w:p>
            </w:tc>
            <w:tc>
              <w:tcPr>
                <w:tcW w:w="540" w:type="dxa"/>
                <w:shd w:val="clear" w:color="auto" w:fill="auto"/>
              </w:tcPr>
              <w:p w:rsidR="009E02B2" w:rsidRPr="00600ED9" w:rsidRDefault="00E404BC" w:rsidP="00BC474D">
                <w:pPr>
                  <w:pStyle w:val="NoSpacing"/>
                  <w:jc w:val="center"/>
                  <w:rPr>
                    <w:sz w:val="20"/>
                    <w:szCs w:val="20"/>
                    <w:lang w:val="es-ES_tradnl"/>
                  </w:rPr>
                </w:pPr>
                <w:r w:rsidRPr="00600ED9">
                  <w:rPr>
                    <w:sz w:val="20"/>
                    <w:szCs w:val="20"/>
                    <w:lang w:val="es-ES_tradnl"/>
                  </w:rPr>
                  <w:t>4</w:t>
                </w:r>
              </w:p>
            </w:tc>
            <w:tc>
              <w:tcPr>
                <w:tcW w:w="1003" w:type="dxa"/>
                <w:shd w:val="clear" w:color="auto" w:fill="365F91" w:themeFill="accent1" w:themeFillShade="BF"/>
                <w:vAlign w:val="center"/>
              </w:tcPr>
              <w:p w:rsidR="009E02B2" w:rsidRPr="00600ED9" w:rsidRDefault="009E02B2" w:rsidP="00E706F4">
                <w:pPr>
                  <w:pStyle w:val="NoSpacing"/>
                  <w:jc w:val="center"/>
                  <w:rPr>
                    <w:b/>
                    <w:color w:val="FFFFFF" w:themeColor="background1"/>
                    <w:sz w:val="20"/>
                    <w:lang w:val="es-ES_tradnl"/>
                  </w:rPr>
                </w:pPr>
                <w:r w:rsidRPr="00600ED9">
                  <w:rPr>
                    <w:b/>
                    <w:color w:val="FFFFFF" w:themeColor="background1"/>
                    <w:sz w:val="20"/>
                    <w:lang w:val="es-ES_tradnl"/>
                  </w:rPr>
                  <w:t>3</w:t>
                </w:r>
              </w:p>
            </w:tc>
          </w:tr>
          <w:tr w:rsidR="009E02B2" w:rsidRPr="00600ED9" w:rsidTr="006649E2">
            <w:trPr>
              <w:jc w:val="center"/>
            </w:trPr>
            <w:tc>
              <w:tcPr>
                <w:tcW w:w="1418" w:type="dxa"/>
                <w:shd w:val="clear" w:color="auto" w:fill="D9D9D9" w:themeFill="background1" w:themeFillShade="D9"/>
              </w:tcPr>
              <w:p w:rsidR="009E02B2" w:rsidRPr="00600ED9" w:rsidRDefault="009E02B2" w:rsidP="00401E0B">
                <w:pPr>
                  <w:pStyle w:val="NoSpacing"/>
                  <w:rPr>
                    <w:b/>
                    <w:sz w:val="20"/>
                    <w:szCs w:val="20"/>
                    <w:lang w:val="es-ES_tradnl"/>
                  </w:rPr>
                </w:pPr>
                <w:r w:rsidRPr="00600ED9">
                  <w:rPr>
                    <w:b/>
                    <w:sz w:val="20"/>
                    <w:szCs w:val="20"/>
                    <w:lang w:val="es-ES_tradnl"/>
                  </w:rPr>
                  <w:t>Dominio B</w:t>
                </w:r>
              </w:p>
            </w:tc>
            <w:tc>
              <w:tcPr>
                <w:tcW w:w="7329" w:type="dxa"/>
                <w:gridSpan w:val="5"/>
                <w:shd w:val="clear" w:color="auto" w:fill="D9D9D9" w:themeFill="background1" w:themeFillShade="D9"/>
              </w:tcPr>
              <w:p w:rsidR="009E02B2" w:rsidRPr="00600ED9" w:rsidRDefault="009E02B2" w:rsidP="00BC1EC9">
                <w:pPr>
                  <w:pStyle w:val="NoSpacing"/>
                  <w:rPr>
                    <w:b/>
                    <w:sz w:val="20"/>
                    <w:szCs w:val="20"/>
                    <w:lang w:val="es-ES_tradnl"/>
                  </w:rPr>
                </w:pPr>
                <w:r w:rsidRPr="00600ED9">
                  <w:rPr>
                    <w:b/>
                    <w:sz w:val="20"/>
                    <w:szCs w:val="20"/>
                    <w:lang w:val="es-ES_tradnl"/>
                  </w:rPr>
                  <w:t>Independencia y marco legal de la EFS</w:t>
                </w:r>
              </w:p>
            </w:tc>
            <w:tc>
              <w:tcPr>
                <w:tcW w:w="1003" w:type="dxa"/>
                <w:shd w:val="clear" w:color="auto" w:fill="365F91" w:themeFill="accent1" w:themeFillShade="BF"/>
                <w:vAlign w:val="center"/>
              </w:tcPr>
              <w:p w:rsidR="009E02B2" w:rsidRPr="00600ED9" w:rsidRDefault="009E02B2" w:rsidP="00DD26FA">
                <w:pPr>
                  <w:pStyle w:val="NoSpacing"/>
                  <w:jc w:val="center"/>
                  <w:rPr>
                    <w:b/>
                    <w:color w:val="FFFFFF" w:themeColor="background1"/>
                    <w:sz w:val="20"/>
                    <w:lang w:val="es-ES_tradnl"/>
                  </w:rPr>
                </w:pPr>
              </w:p>
            </w:tc>
          </w:tr>
          <w:tr w:rsidR="009E02B2" w:rsidRPr="00600ED9" w:rsidTr="006649E2">
            <w:trPr>
              <w:jc w:val="center"/>
            </w:trPr>
            <w:tc>
              <w:tcPr>
                <w:tcW w:w="1418" w:type="dxa"/>
              </w:tcPr>
              <w:p w:rsidR="009E02B2" w:rsidRPr="00600ED9" w:rsidRDefault="009E02B2" w:rsidP="00401E0B">
                <w:pPr>
                  <w:pStyle w:val="NoSpacing"/>
                  <w:rPr>
                    <w:sz w:val="20"/>
                    <w:szCs w:val="20"/>
                    <w:lang w:val="es-ES_tradnl"/>
                  </w:rPr>
                </w:pPr>
                <w:r w:rsidRPr="00600ED9">
                  <w:rPr>
                    <w:sz w:val="20"/>
                    <w:szCs w:val="20"/>
                    <w:lang w:val="es-ES_tradnl"/>
                  </w:rPr>
                  <w:t>EFS-6</w:t>
                </w:r>
              </w:p>
            </w:tc>
            <w:tc>
              <w:tcPr>
                <w:tcW w:w="5291" w:type="dxa"/>
              </w:tcPr>
              <w:p w:rsidR="009E02B2" w:rsidRPr="00600ED9" w:rsidRDefault="009E02B2" w:rsidP="00BC1EC9">
                <w:pPr>
                  <w:pStyle w:val="NoSpacing"/>
                  <w:rPr>
                    <w:sz w:val="20"/>
                    <w:szCs w:val="20"/>
                    <w:lang w:val="es-ES_tradnl"/>
                  </w:rPr>
                </w:pPr>
                <w:r w:rsidRPr="00600ED9">
                  <w:rPr>
                    <w:sz w:val="20"/>
                    <w:szCs w:val="20"/>
                    <w:lang w:val="es-ES_tradnl"/>
                  </w:rPr>
                  <w:t>Independencia de la EFS</w:t>
                </w:r>
              </w:p>
            </w:tc>
            <w:tc>
              <w:tcPr>
                <w:tcW w:w="518" w:type="dxa"/>
              </w:tcPr>
              <w:p w:rsidR="009E02B2" w:rsidRPr="00600ED9" w:rsidRDefault="009E02B2" w:rsidP="00DD26FA">
                <w:pPr>
                  <w:pStyle w:val="NoSpacing"/>
                  <w:jc w:val="center"/>
                  <w:rPr>
                    <w:sz w:val="20"/>
                    <w:szCs w:val="20"/>
                    <w:lang w:val="es-ES_tradnl"/>
                  </w:rPr>
                </w:pPr>
                <w:r w:rsidRPr="00600ED9">
                  <w:rPr>
                    <w:sz w:val="20"/>
                    <w:szCs w:val="20"/>
                    <w:lang w:val="es-ES_tradnl"/>
                  </w:rPr>
                  <w:t>4</w:t>
                </w:r>
              </w:p>
            </w:tc>
            <w:tc>
              <w:tcPr>
                <w:tcW w:w="439" w:type="dxa"/>
              </w:tcPr>
              <w:p w:rsidR="009E02B2" w:rsidRPr="00600ED9" w:rsidRDefault="009E02B2" w:rsidP="001C7BF6">
                <w:pPr>
                  <w:pStyle w:val="NoSpacing"/>
                  <w:jc w:val="center"/>
                  <w:rPr>
                    <w:sz w:val="20"/>
                    <w:szCs w:val="20"/>
                    <w:lang w:val="es-ES_tradnl"/>
                  </w:rPr>
                </w:pPr>
                <w:r w:rsidRPr="00600ED9">
                  <w:rPr>
                    <w:sz w:val="20"/>
                    <w:szCs w:val="20"/>
                    <w:lang w:val="es-ES_tradnl"/>
                  </w:rPr>
                  <w:t>4</w:t>
                </w:r>
              </w:p>
            </w:tc>
            <w:tc>
              <w:tcPr>
                <w:tcW w:w="541" w:type="dxa"/>
              </w:tcPr>
              <w:p w:rsidR="009E02B2" w:rsidRPr="00600ED9" w:rsidRDefault="00E404BC" w:rsidP="003C6AB2">
                <w:pPr>
                  <w:pStyle w:val="NoSpacing"/>
                  <w:jc w:val="center"/>
                  <w:rPr>
                    <w:sz w:val="20"/>
                    <w:szCs w:val="20"/>
                    <w:lang w:val="es-ES_tradnl"/>
                  </w:rPr>
                </w:pPr>
                <w:r w:rsidRPr="00600ED9">
                  <w:rPr>
                    <w:sz w:val="20"/>
                    <w:szCs w:val="20"/>
                    <w:lang w:val="es-ES_tradnl"/>
                  </w:rPr>
                  <w:t>4</w:t>
                </w:r>
              </w:p>
            </w:tc>
            <w:tc>
              <w:tcPr>
                <w:tcW w:w="540" w:type="dxa"/>
              </w:tcPr>
              <w:p w:rsidR="009E02B2" w:rsidRPr="00600ED9" w:rsidRDefault="009E02B2" w:rsidP="00BC474D">
                <w:pPr>
                  <w:pStyle w:val="NoSpacing"/>
                  <w:jc w:val="center"/>
                  <w:rPr>
                    <w:sz w:val="20"/>
                    <w:szCs w:val="20"/>
                    <w:lang w:val="es-ES_tradnl"/>
                  </w:rPr>
                </w:pPr>
                <w:r w:rsidRPr="00600ED9">
                  <w:rPr>
                    <w:sz w:val="20"/>
                    <w:szCs w:val="20"/>
                    <w:lang w:val="es-ES_tradnl"/>
                  </w:rPr>
                  <w:t>4</w:t>
                </w:r>
              </w:p>
            </w:tc>
            <w:tc>
              <w:tcPr>
                <w:tcW w:w="1003" w:type="dxa"/>
                <w:shd w:val="clear" w:color="auto" w:fill="365F91" w:themeFill="accent1" w:themeFillShade="BF"/>
                <w:vAlign w:val="center"/>
              </w:tcPr>
              <w:p w:rsidR="009E02B2" w:rsidRPr="00600ED9" w:rsidRDefault="009E02B2" w:rsidP="00E706F4">
                <w:pPr>
                  <w:pStyle w:val="NoSpacing"/>
                  <w:jc w:val="center"/>
                  <w:rPr>
                    <w:b/>
                    <w:color w:val="FFFFFF" w:themeColor="background1"/>
                    <w:sz w:val="20"/>
                    <w:lang w:val="es-ES_tradnl"/>
                  </w:rPr>
                </w:pPr>
                <w:r w:rsidRPr="00600ED9">
                  <w:rPr>
                    <w:b/>
                    <w:color w:val="FFFFFF" w:themeColor="background1"/>
                    <w:sz w:val="20"/>
                    <w:lang w:val="es-ES_tradnl"/>
                  </w:rPr>
                  <w:t>4</w:t>
                </w:r>
              </w:p>
            </w:tc>
          </w:tr>
          <w:tr w:rsidR="009E02B2" w:rsidRPr="00600ED9" w:rsidTr="006649E2">
            <w:trPr>
              <w:jc w:val="center"/>
            </w:trPr>
            <w:tc>
              <w:tcPr>
                <w:tcW w:w="1418" w:type="dxa"/>
              </w:tcPr>
              <w:p w:rsidR="009E02B2" w:rsidRPr="00600ED9" w:rsidRDefault="009E02B2" w:rsidP="00401E0B">
                <w:pPr>
                  <w:pStyle w:val="NoSpacing"/>
                  <w:rPr>
                    <w:sz w:val="20"/>
                    <w:szCs w:val="20"/>
                    <w:lang w:val="es-ES_tradnl"/>
                  </w:rPr>
                </w:pPr>
                <w:r w:rsidRPr="00600ED9">
                  <w:rPr>
                    <w:sz w:val="20"/>
                    <w:szCs w:val="20"/>
                    <w:lang w:val="es-ES_tradnl"/>
                  </w:rPr>
                  <w:t>EFS-7</w:t>
                </w:r>
              </w:p>
            </w:tc>
            <w:tc>
              <w:tcPr>
                <w:tcW w:w="5291" w:type="dxa"/>
              </w:tcPr>
              <w:p w:rsidR="009E02B2" w:rsidRPr="00600ED9" w:rsidRDefault="009E02B2" w:rsidP="00BC1EC9">
                <w:pPr>
                  <w:pStyle w:val="NoSpacing"/>
                  <w:rPr>
                    <w:sz w:val="20"/>
                    <w:szCs w:val="20"/>
                    <w:lang w:val="es-ES_tradnl"/>
                  </w:rPr>
                </w:pPr>
                <w:r w:rsidRPr="00600ED9">
                  <w:rPr>
                    <w:sz w:val="20"/>
                    <w:szCs w:val="20"/>
                    <w:lang w:val="es-ES_tradnl"/>
                  </w:rPr>
                  <w:t>Mandato de la EFS</w:t>
                </w:r>
              </w:p>
            </w:tc>
            <w:tc>
              <w:tcPr>
                <w:tcW w:w="518" w:type="dxa"/>
              </w:tcPr>
              <w:p w:rsidR="009E02B2" w:rsidRPr="00600ED9" w:rsidRDefault="009E02B2" w:rsidP="00DD26FA">
                <w:pPr>
                  <w:pStyle w:val="NoSpacing"/>
                  <w:jc w:val="center"/>
                  <w:rPr>
                    <w:sz w:val="20"/>
                    <w:szCs w:val="20"/>
                    <w:lang w:val="es-ES_tradnl"/>
                  </w:rPr>
                </w:pPr>
                <w:r w:rsidRPr="00600ED9">
                  <w:rPr>
                    <w:sz w:val="20"/>
                    <w:szCs w:val="20"/>
                    <w:lang w:val="es-ES_tradnl"/>
                  </w:rPr>
                  <w:t>4</w:t>
                </w:r>
              </w:p>
            </w:tc>
            <w:tc>
              <w:tcPr>
                <w:tcW w:w="439" w:type="dxa"/>
                <w:shd w:val="clear" w:color="auto" w:fill="auto"/>
              </w:tcPr>
              <w:p w:rsidR="009E02B2" w:rsidRPr="00600ED9" w:rsidRDefault="00E404BC" w:rsidP="001C7BF6">
                <w:pPr>
                  <w:pStyle w:val="NoSpacing"/>
                  <w:jc w:val="center"/>
                  <w:rPr>
                    <w:sz w:val="20"/>
                    <w:szCs w:val="20"/>
                    <w:lang w:val="es-ES_tradnl"/>
                  </w:rPr>
                </w:pPr>
                <w:r w:rsidRPr="00600ED9">
                  <w:rPr>
                    <w:sz w:val="20"/>
                    <w:szCs w:val="20"/>
                    <w:lang w:val="es-ES_tradnl"/>
                  </w:rPr>
                  <w:t>4</w:t>
                </w:r>
              </w:p>
            </w:tc>
            <w:tc>
              <w:tcPr>
                <w:tcW w:w="541" w:type="dxa"/>
                <w:shd w:val="clear" w:color="auto" w:fill="auto"/>
              </w:tcPr>
              <w:p w:rsidR="009E02B2" w:rsidRPr="00600ED9" w:rsidRDefault="009E02B2" w:rsidP="003C6AB2">
                <w:pPr>
                  <w:pStyle w:val="NoSpacing"/>
                  <w:jc w:val="center"/>
                  <w:rPr>
                    <w:sz w:val="20"/>
                    <w:szCs w:val="20"/>
                    <w:lang w:val="es-ES_tradnl"/>
                  </w:rPr>
                </w:pPr>
                <w:r w:rsidRPr="00600ED9">
                  <w:rPr>
                    <w:sz w:val="20"/>
                    <w:szCs w:val="20"/>
                    <w:lang w:val="es-ES_tradnl"/>
                  </w:rPr>
                  <w:t>3</w:t>
                </w:r>
              </w:p>
            </w:tc>
            <w:tc>
              <w:tcPr>
                <w:tcW w:w="540" w:type="dxa"/>
                <w:shd w:val="clear" w:color="auto" w:fill="auto"/>
              </w:tcPr>
              <w:p w:rsidR="009E02B2" w:rsidRPr="00600ED9" w:rsidRDefault="009E02B2" w:rsidP="00BC474D">
                <w:pPr>
                  <w:pStyle w:val="NoSpacing"/>
                  <w:jc w:val="center"/>
                  <w:rPr>
                    <w:sz w:val="20"/>
                    <w:szCs w:val="20"/>
                    <w:lang w:val="es-ES_tradnl"/>
                  </w:rPr>
                </w:pPr>
                <w:r w:rsidRPr="00600ED9">
                  <w:rPr>
                    <w:sz w:val="20"/>
                    <w:szCs w:val="20"/>
                    <w:lang w:val="es-ES_tradnl"/>
                  </w:rPr>
                  <w:t>3</w:t>
                </w:r>
              </w:p>
            </w:tc>
            <w:tc>
              <w:tcPr>
                <w:tcW w:w="1003" w:type="dxa"/>
                <w:shd w:val="clear" w:color="auto" w:fill="365F91" w:themeFill="accent1" w:themeFillShade="BF"/>
                <w:vAlign w:val="center"/>
              </w:tcPr>
              <w:p w:rsidR="009E02B2" w:rsidRPr="00600ED9" w:rsidRDefault="009E02B2" w:rsidP="00E706F4">
                <w:pPr>
                  <w:pStyle w:val="NoSpacing"/>
                  <w:jc w:val="center"/>
                  <w:rPr>
                    <w:b/>
                    <w:color w:val="FFFFFF" w:themeColor="background1"/>
                    <w:sz w:val="20"/>
                    <w:lang w:val="es-ES_tradnl"/>
                  </w:rPr>
                </w:pPr>
                <w:r w:rsidRPr="00600ED9">
                  <w:rPr>
                    <w:b/>
                    <w:color w:val="FFFFFF" w:themeColor="background1"/>
                    <w:sz w:val="20"/>
                    <w:lang w:val="es-ES_tradnl"/>
                  </w:rPr>
                  <w:t>3</w:t>
                </w:r>
              </w:p>
            </w:tc>
          </w:tr>
          <w:tr w:rsidR="009E02B2" w:rsidRPr="00600ED9" w:rsidTr="006649E2">
            <w:trPr>
              <w:jc w:val="center"/>
            </w:trPr>
            <w:tc>
              <w:tcPr>
                <w:tcW w:w="1418" w:type="dxa"/>
                <w:shd w:val="clear" w:color="auto" w:fill="D9D9D9" w:themeFill="background1" w:themeFillShade="D9"/>
              </w:tcPr>
              <w:p w:rsidR="009E02B2" w:rsidRPr="00600ED9" w:rsidRDefault="009E02B2" w:rsidP="00401E0B">
                <w:pPr>
                  <w:pStyle w:val="NoSpacing"/>
                  <w:rPr>
                    <w:b/>
                    <w:sz w:val="20"/>
                    <w:szCs w:val="20"/>
                    <w:lang w:val="es-ES_tradnl"/>
                  </w:rPr>
                </w:pPr>
                <w:r w:rsidRPr="00600ED9">
                  <w:rPr>
                    <w:b/>
                    <w:sz w:val="20"/>
                    <w:szCs w:val="20"/>
                    <w:lang w:val="es-ES_tradnl"/>
                  </w:rPr>
                  <w:t>Dominio C</w:t>
                </w:r>
              </w:p>
            </w:tc>
            <w:tc>
              <w:tcPr>
                <w:tcW w:w="7329" w:type="dxa"/>
                <w:gridSpan w:val="5"/>
                <w:shd w:val="clear" w:color="auto" w:fill="D9D9D9" w:themeFill="background1" w:themeFillShade="D9"/>
              </w:tcPr>
              <w:p w:rsidR="009E02B2" w:rsidRPr="00600ED9" w:rsidRDefault="009E02B2" w:rsidP="00BC1EC9">
                <w:pPr>
                  <w:pStyle w:val="NoSpacing"/>
                  <w:rPr>
                    <w:b/>
                    <w:sz w:val="20"/>
                    <w:szCs w:val="20"/>
                    <w:lang w:val="es-ES_tradnl"/>
                  </w:rPr>
                </w:pPr>
                <w:r w:rsidRPr="00600ED9">
                  <w:rPr>
                    <w:b/>
                    <w:sz w:val="20"/>
                    <w:szCs w:val="20"/>
                    <w:lang w:val="es-ES_tradnl"/>
                  </w:rPr>
                  <w:t>Estrategia para el desarrollo organizacional</w:t>
                </w:r>
              </w:p>
            </w:tc>
            <w:tc>
              <w:tcPr>
                <w:tcW w:w="1003" w:type="dxa"/>
                <w:shd w:val="clear" w:color="auto" w:fill="365F91" w:themeFill="accent1" w:themeFillShade="BF"/>
                <w:vAlign w:val="center"/>
              </w:tcPr>
              <w:p w:rsidR="009E02B2" w:rsidRPr="00600ED9" w:rsidRDefault="009E02B2" w:rsidP="00DD26FA">
                <w:pPr>
                  <w:pStyle w:val="NoSpacing"/>
                  <w:jc w:val="center"/>
                  <w:rPr>
                    <w:b/>
                    <w:color w:val="FFFFFF" w:themeColor="background1"/>
                    <w:sz w:val="20"/>
                    <w:lang w:val="es-ES_tradnl"/>
                  </w:rPr>
                </w:pPr>
              </w:p>
            </w:tc>
          </w:tr>
          <w:tr w:rsidR="009E02B2" w:rsidRPr="00600ED9" w:rsidTr="006649E2">
            <w:trPr>
              <w:jc w:val="center"/>
            </w:trPr>
            <w:tc>
              <w:tcPr>
                <w:tcW w:w="1418" w:type="dxa"/>
              </w:tcPr>
              <w:p w:rsidR="009E02B2" w:rsidRPr="00600ED9" w:rsidRDefault="009E02B2" w:rsidP="00401E0B">
                <w:pPr>
                  <w:pStyle w:val="NoSpacing"/>
                  <w:rPr>
                    <w:sz w:val="20"/>
                    <w:szCs w:val="20"/>
                    <w:lang w:val="es-ES_tradnl"/>
                  </w:rPr>
                </w:pPr>
                <w:r w:rsidRPr="00600ED9">
                  <w:rPr>
                    <w:sz w:val="20"/>
                    <w:szCs w:val="20"/>
                    <w:lang w:val="es-ES_tradnl"/>
                  </w:rPr>
                  <w:t>EFS-8</w:t>
                </w:r>
              </w:p>
            </w:tc>
            <w:tc>
              <w:tcPr>
                <w:tcW w:w="5291" w:type="dxa"/>
              </w:tcPr>
              <w:p w:rsidR="009E02B2" w:rsidRPr="00600ED9" w:rsidRDefault="009E02B2" w:rsidP="00BC1EC9">
                <w:pPr>
                  <w:pStyle w:val="NoSpacing"/>
                  <w:rPr>
                    <w:sz w:val="20"/>
                    <w:szCs w:val="20"/>
                    <w:lang w:val="es-ES_tradnl"/>
                  </w:rPr>
                </w:pPr>
                <w:r w:rsidRPr="00600ED9">
                  <w:rPr>
                    <w:sz w:val="20"/>
                    <w:szCs w:val="20"/>
                    <w:lang w:val="es-ES_tradnl"/>
                  </w:rPr>
                  <w:t>Estrategia para el desarrollo organizacional</w:t>
                </w:r>
              </w:p>
            </w:tc>
            <w:tc>
              <w:tcPr>
                <w:tcW w:w="518" w:type="dxa"/>
              </w:tcPr>
              <w:p w:rsidR="009E02B2" w:rsidRPr="00600ED9" w:rsidRDefault="009E02B2" w:rsidP="00DD26FA">
                <w:pPr>
                  <w:pStyle w:val="NoSpacing"/>
                  <w:jc w:val="center"/>
                  <w:rPr>
                    <w:sz w:val="20"/>
                    <w:szCs w:val="20"/>
                    <w:lang w:val="es-ES_tradnl"/>
                  </w:rPr>
                </w:pPr>
                <w:r w:rsidRPr="00600ED9">
                  <w:rPr>
                    <w:sz w:val="20"/>
                    <w:szCs w:val="20"/>
                    <w:lang w:val="es-ES_tradnl"/>
                  </w:rPr>
                  <w:t>2</w:t>
                </w:r>
              </w:p>
            </w:tc>
            <w:tc>
              <w:tcPr>
                <w:tcW w:w="439" w:type="dxa"/>
              </w:tcPr>
              <w:p w:rsidR="009E02B2" w:rsidRPr="00600ED9" w:rsidRDefault="009E02B2" w:rsidP="001C7BF6">
                <w:pPr>
                  <w:pStyle w:val="NoSpacing"/>
                  <w:jc w:val="center"/>
                  <w:rPr>
                    <w:sz w:val="20"/>
                    <w:szCs w:val="20"/>
                    <w:lang w:val="es-ES_tradnl"/>
                  </w:rPr>
                </w:pPr>
                <w:r w:rsidRPr="00600ED9">
                  <w:rPr>
                    <w:sz w:val="20"/>
                    <w:szCs w:val="20"/>
                    <w:lang w:val="es-ES_tradnl"/>
                  </w:rPr>
                  <w:t>2</w:t>
                </w:r>
              </w:p>
            </w:tc>
            <w:tc>
              <w:tcPr>
                <w:tcW w:w="541" w:type="dxa"/>
              </w:tcPr>
              <w:p w:rsidR="009E02B2" w:rsidRPr="00600ED9" w:rsidRDefault="009E02B2" w:rsidP="003C6AB2">
                <w:pPr>
                  <w:pStyle w:val="NoSpacing"/>
                  <w:jc w:val="center"/>
                  <w:rPr>
                    <w:sz w:val="20"/>
                    <w:szCs w:val="20"/>
                    <w:lang w:val="es-ES_tradnl"/>
                  </w:rPr>
                </w:pPr>
                <w:r w:rsidRPr="00600ED9">
                  <w:rPr>
                    <w:sz w:val="20"/>
                    <w:szCs w:val="20"/>
                    <w:lang w:val="es-ES_tradnl"/>
                  </w:rPr>
                  <w:t>1</w:t>
                </w:r>
              </w:p>
            </w:tc>
            <w:tc>
              <w:tcPr>
                <w:tcW w:w="540" w:type="dxa"/>
              </w:tcPr>
              <w:p w:rsidR="009E02B2" w:rsidRPr="00600ED9" w:rsidRDefault="009E02B2" w:rsidP="00BC474D">
                <w:pPr>
                  <w:pStyle w:val="NoSpacing"/>
                  <w:jc w:val="center"/>
                  <w:rPr>
                    <w:sz w:val="20"/>
                    <w:szCs w:val="20"/>
                    <w:lang w:val="es-ES_tradnl"/>
                  </w:rPr>
                </w:pPr>
                <w:r w:rsidRPr="00600ED9">
                  <w:rPr>
                    <w:sz w:val="20"/>
                    <w:szCs w:val="20"/>
                    <w:lang w:val="es-ES_tradnl"/>
                  </w:rPr>
                  <w:t>4</w:t>
                </w:r>
              </w:p>
            </w:tc>
            <w:tc>
              <w:tcPr>
                <w:tcW w:w="1003" w:type="dxa"/>
                <w:shd w:val="clear" w:color="auto" w:fill="365F91" w:themeFill="accent1" w:themeFillShade="BF"/>
                <w:vAlign w:val="center"/>
              </w:tcPr>
              <w:p w:rsidR="009E02B2" w:rsidRPr="00600ED9" w:rsidRDefault="009E02B2" w:rsidP="00E706F4">
                <w:pPr>
                  <w:pStyle w:val="NoSpacing"/>
                  <w:jc w:val="center"/>
                  <w:rPr>
                    <w:b/>
                    <w:color w:val="FFFFFF" w:themeColor="background1"/>
                    <w:sz w:val="20"/>
                    <w:lang w:val="es-ES_tradnl"/>
                  </w:rPr>
                </w:pPr>
                <w:r w:rsidRPr="00600ED9">
                  <w:rPr>
                    <w:b/>
                    <w:color w:val="FFFFFF" w:themeColor="background1"/>
                    <w:sz w:val="20"/>
                    <w:lang w:val="es-ES_tradnl"/>
                  </w:rPr>
                  <w:t>2</w:t>
                </w:r>
              </w:p>
            </w:tc>
          </w:tr>
          <w:tr w:rsidR="009E02B2" w:rsidRPr="00600ED9" w:rsidTr="006649E2">
            <w:trPr>
              <w:jc w:val="center"/>
            </w:trPr>
            <w:tc>
              <w:tcPr>
                <w:tcW w:w="1418" w:type="dxa"/>
                <w:shd w:val="clear" w:color="auto" w:fill="D9D9D9" w:themeFill="background1" w:themeFillShade="D9"/>
              </w:tcPr>
              <w:p w:rsidR="009E02B2" w:rsidRPr="00600ED9" w:rsidRDefault="009E02B2" w:rsidP="00401E0B">
                <w:pPr>
                  <w:pStyle w:val="NoSpacing"/>
                  <w:rPr>
                    <w:b/>
                    <w:sz w:val="20"/>
                    <w:szCs w:val="20"/>
                    <w:lang w:val="es-ES_tradnl"/>
                  </w:rPr>
                </w:pPr>
                <w:r w:rsidRPr="00600ED9">
                  <w:rPr>
                    <w:b/>
                    <w:sz w:val="20"/>
                    <w:szCs w:val="20"/>
                    <w:lang w:val="es-ES_tradnl"/>
                  </w:rPr>
                  <w:t>Dominio D</w:t>
                </w:r>
              </w:p>
            </w:tc>
            <w:tc>
              <w:tcPr>
                <w:tcW w:w="7329" w:type="dxa"/>
                <w:gridSpan w:val="5"/>
                <w:shd w:val="clear" w:color="auto" w:fill="D9D9D9" w:themeFill="background1" w:themeFillShade="D9"/>
              </w:tcPr>
              <w:p w:rsidR="009E02B2" w:rsidRPr="00600ED9" w:rsidRDefault="009E02B2" w:rsidP="00BC1EC9">
                <w:pPr>
                  <w:pStyle w:val="NoSpacing"/>
                  <w:rPr>
                    <w:b/>
                    <w:sz w:val="20"/>
                    <w:szCs w:val="20"/>
                    <w:lang w:val="es-ES_tradnl"/>
                  </w:rPr>
                </w:pPr>
                <w:r w:rsidRPr="00600ED9">
                  <w:rPr>
                    <w:b/>
                    <w:sz w:val="20"/>
                    <w:szCs w:val="20"/>
                    <w:lang w:val="es-ES_tradnl"/>
                  </w:rPr>
                  <w:t>Normas y Metodología de Auditoría</w:t>
                </w:r>
              </w:p>
            </w:tc>
            <w:tc>
              <w:tcPr>
                <w:tcW w:w="1003" w:type="dxa"/>
                <w:shd w:val="clear" w:color="auto" w:fill="365F91" w:themeFill="accent1" w:themeFillShade="BF"/>
                <w:vAlign w:val="center"/>
              </w:tcPr>
              <w:p w:rsidR="009E02B2" w:rsidRPr="00600ED9" w:rsidRDefault="009E02B2" w:rsidP="00DD26FA">
                <w:pPr>
                  <w:pStyle w:val="NoSpacing"/>
                  <w:jc w:val="center"/>
                  <w:rPr>
                    <w:b/>
                    <w:color w:val="FFFFFF" w:themeColor="background1"/>
                    <w:sz w:val="20"/>
                    <w:lang w:val="es-ES_tradnl"/>
                  </w:rPr>
                </w:pPr>
              </w:p>
            </w:tc>
          </w:tr>
          <w:tr w:rsidR="009E02B2" w:rsidRPr="00600ED9" w:rsidTr="006649E2">
            <w:trPr>
              <w:jc w:val="center"/>
            </w:trPr>
            <w:tc>
              <w:tcPr>
                <w:tcW w:w="1418" w:type="dxa"/>
              </w:tcPr>
              <w:p w:rsidR="009E02B2" w:rsidRPr="00600ED9" w:rsidRDefault="009E02B2" w:rsidP="00401E0B">
                <w:pPr>
                  <w:pStyle w:val="NoSpacing"/>
                  <w:rPr>
                    <w:sz w:val="20"/>
                    <w:szCs w:val="20"/>
                    <w:lang w:val="es-ES_tradnl"/>
                  </w:rPr>
                </w:pPr>
                <w:r w:rsidRPr="00600ED9">
                  <w:rPr>
                    <w:sz w:val="20"/>
                    <w:szCs w:val="20"/>
                    <w:lang w:val="es-ES_tradnl"/>
                  </w:rPr>
                  <w:t>EFS-9</w:t>
                </w:r>
              </w:p>
            </w:tc>
            <w:tc>
              <w:tcPr>
                <w:tcW w:w="5291" w:type="dxa"/>
              </w:tcPr>
              <w:p w:rsidR="009E02B2" w:rsidRPr="00600ED9" w:rsidRDefault="009E02B2" w:rsidP="00BC1EC9">
                <w:pPr>
                  <w:pStyle w:val="NoSpacing"/>
                  <w:rPr>
                    <w:sz w:val="20"/>
                    <w:szCs w:val="20"/>
                    <w:lang w:val="es-ES_tradnl"/>
                  </w:rPr>
                </w:pPr>
                <w:r w:rsidRPr="00600ED9">
                  <w:rPr>
                    <w:sz w:val="20"/>
                    <w:szCs w:val="20"/>
                    <w:lang w:val="es-ES_tradnl"/>
                  </w:rPr>
                  <w:t>Planeación de auditoría y gestión de la calidad global</w:t>
                </w:r>
              </w:p>
            </w:tc>
            <w:tc>
              <w:tcPr>
                <w:tcW w:w="518" w:type="dxa"/>
              </w:tcPr>
              <w:p w:rsidR="009E02B2" w:rsidRPr="00600ED9" w:rsidRDefault="009E02B2" w:rsidP="00DD26FA">
                <w:pPr>
                  <w:pStyle w:val="NoSpacing"/>
                  <w:jc w:val="center"/>
                  <w:rPr>
                    <w:sz w:val="20"/>
                    <w:szCs w:val="20"/>
                    <w:lang w:val="es-ES_tradnl"/>
                  </w:rPr>
                </w:pPr>
                <w:r w:rsidRPr="00600ED9">
                  <w:rPr>
                    <w:sz w:val="20"/>
                    <w:szCs w:val="20"/>
                    <w:lang w:val="es-ES_tradnl"/>
                  </w:rPr>
                  <w:t>3</w:t>
                </w:r>
              </w:p>
            </w:tc>
            <w:tc>
              <w:tcPr>
                <w:tcW w:w="439" w:type="dxa"/>
              </w:tcPr>
              <w:p w:rsidR="009E02B2" w:rsidRPr="00600ED9" w:rsidRDefault="009E02B2" w:rsidP="001C7BF6">
                <w:pPr>
                  <w:pStyle w:val="NoSpacing"/>
                  <w:jc w:val="center"/>
                  <w:rPr>
                    <w:sz w:val="20"/>
                    <w:szCs w:val="20"/>
                    <w:lang w:val="es-ES_tradnl"/>
                  </w:rPr>
                </w:pPr>
                <w:r w:rsidRPr="00600ED9">
                  <w:rPr>
                    <w:sz w:val="20"/>
                    <w:szCs w:val="20"/>
                    <w:lang w:val="es-ES_tradnl"/>
                  </w:rPr>
                  <w:t>2</w:t>
                </w:r>
              </w:p>
            </w:tc>
            <w:tc>
              <w:tcPr>
                <w:tcW w:w="541" w:type="dxa"/>
                <w:shd w:val="clear" w:color="auto" w:fill="auto"/>
              </w:tcPr>
              <w:p w:rsidR="009E02B2" w:rsidRPr="00600ED9" w:rsidRDefault="0045244C" w:rsidP="003C6AB2">
                <w:pPr>
                  <w:pStyle w:val="NoSpacing"/>
                  <w:jc w:val="center"/>
                  <w:rPr>
                    <w:sz w:val="20"/>
                    <w:szCs w:val="20"/>
                    <w:lang w:val="es-ES_tradnl"/>
                  </w:rPr>
                </w:pPr>
                <w:r w:rsidRPr="00600ED9">
                  <w:rPr>
                    <w:sz w:val="20"/>
                    <w:szCs w:val="20"/>
                    <w:lang w:val="es-ES_tradnl"/>
                  </w:rPr>
                  <w:t>1</w:t>
                </w:r>
              </w:p>
            </w:tc>
            <w:tc>
              <w:tcPr>
                <w:tcW w:w="540" w:type="dxa"/>
                <w:shd w:val="clear" w:color="auto" w:fill="auto"/>
              </w:tcPr>
              <w:p w:rsidR="009E02B2" w:rsidRPr="00600ED9" w:rsidRDefault="009E02B2" w:rsidP="00BC474D">
                <w:pPr>
                  <w:pStyle w:val="NoSpacing"/>
                  <w:jc w:val="center"/>
                  <w:rPr>
                    <w:sz w:val="20"/>
                    <w:szCs w:val="20"/>
                    <w:lang w:val="es-ES_tradnl"/>
                  </w:rPr>
                </w:pPr>
                <w:r w:rsidRPr="00600ED9">
                  <w:rPr>
                    <w:sz w:val="20"/>
                    <w:szCs w:val="20"/>
                    <w:lang w:val="es-ES_tradnl"/>
                  </w:rPr>
                  <w:t>1</w:t>
                </w:r>
              </w:p>
            </w:tc>
            <w:tc>
              <w:tcPr>
                <w:tcW w:w="1003" w:type="dxa"/>
                <w:shd w:val="clear" w:color="auto" w:fill="365F91" w:themeFill="accent1" w:themeFillShade="BF"/>
                <w:vAlign w:val="center"/>
              </w:tcPr>
              <w:p w:rsidR="009E02B2" w:rsidRPr="00600ED9" w:rsidRDefault="009E02B2" w:rsidP="00E706F4">
                <w:pPr>
                  <w:pStyle w:val="NoSpacing"/>
                  <w:jc w:val="center"/>
                  <w:rPr>
                    <w:b/>
                    <w:color w:val="FFFFFF" w:themeColor="background1"/>
                    <w:sz w:val="20"/>
                    <w:lang w:val="es-ES_tradnl"/>
                  </w:rPr>
                </w:pPr>
                <w:r w:rsidRPr="00600ED9">
                  <w:rPr>
                    <w:b/>
                    <w:color w:val="FFFFFF" w:themeColor="background1"/>
                    <w:sz w:val="20"/>
                    <w:lang w:val="es-ES_tradnl"/>
                  </w:rPr>
                  <w:t>2</w:t>
                </w:r>
              </w:p>
            </w:tc>
          </w:tr>
          <w:tr w:rsidR="009E02B2" w:rsidRPr="00600ED9" w:rsidTr="006649E2">
            <w:trPr>
              <w:jc w:val="center"/>
            </w:trPr>
            <w:tc>
              <w:tcPr>
                <w:tcW w:w="1418" w:type="dxa"/>
              </w:tcPr>
              <w:p w:rsidR="009E02B2" w:rsidRPr="00600ED9" w:rsidRDefault="009E02B2" w:rsidP="00401E0B">
                <w:pPr>
                  <w:pStyle w:val="NoSpacing"/>
                  <w:rPr>
                    <w:sz w:val="20"/>
                    <w:szCs w:val="20"/>
                    <w:lang w:val="es-ES_tradnl"/>
                  </w:rPr>
                </w:pPr>
                <w:r w:rsidRPr="00600ED9">
                  <w:rPr>
                    <w:sz w:val="20"/>
                    <w:szCs w:val="20"/>
                    <w:lang w:val="es-ES_tradnl"/>
                  </w:rPr>
                  <w:t>EFS-10</w:t>
                </w:r>
              </w:p>
            </w:tc>
            <w:tc>
              <w:tcPr>
                <w:tcW w:w="5291" w:type="dxa"/>
              </w:tcPr>
              <w:p w:rsidR="009E02B2" w:rsidRPr="00600ED9" w:rsidRDefault="009E02B2" w:rsidP="00BC1EC9">
                <w:pPr>
                  <w:pStyle w:val="NoSpacing"/>
                  <w:rPr>
                    <w:sz w:val="20"/>
                    <w:szCs w:val="20"/>
                    <w:lang w:val="es-ES_tradnl"/>
                  </w:rPr>
                </w:pPr>
                <w:r w:rsidRPr="00600ED9">
                  <w:rPr>
                    <w:sz w:val="20"/>
                    <w:szCs w:val="20"/>
                    <w:lang w:val="es-ES_tradnl"/>
                  </w:rPr>
                  <w:t xml:space="preserve">Aseguramiento de la calidad de los procesos de </w:t>
                </w:r>
                <w:r w:rsidR="005C54C5" w:rsidRPr="00600ED9">
                  <w:rPr>
                    <w:sz w:val="20"/>
                    <w:szCs w:val="20"/>
                    <w:lang w:val="es-ES_tradnl"/>
                  </w:rPr>
                  <w:t>auditoría</w:t>
                </w:r>
              </w:p>
            </w:tc>
            <w:tc>
              <w:tcPr>
                <w:tcW w:w="518" w:type="dxa"/>
              </w:tcPr>
              <w:p w:rsidR="009E02B2" w:rsidRPr="00600ED9" w:rsidRDefault="009E02B2" w:rsidP="00DD26FA">
                <w:pPr>
                  <w:pStyle w:val="NoSpacing"/>
                  <w:jc w:val="center"/>
                  <w:rPr>
                    <w:sz w:val="20"/>
                    <w:szCs w:val="20"/>
                    <w:lang w:val="es-ES_tradnl"/>
                  </w:rPr>
                </w:pPr>
                <w:r w:rsidRPr="00600ED9">
                  <w:rPr>
                    <w:sz w:val="20"/>
                    <w:szCs w:val="20"/>
                    <w:lang w:val="es-ES_tradnl"/>
                  </w:rPr>
                  <w:t>0</w:t>
                </w:r>
              </w:p>
            </w:tc>
            <w:tc>
              <w:tcPr>
                <w:tcW w:w="439" w:type="dxa"/>
              </w:tcPr>
              <w:p w:rsidR="009E02B2" w:rsidRPr="00600ED9" w:rsidRDefault="009E02B2" w:rsidP="001C7BF6">
                <w:pPr>
                  <w:pStyle w:val="NoSpacing"/>
                  <w:jc w:val="center"/>
                  <w:rPr>
                    <w:sz w:val="20"/>
                    <w:szCs w:val="20"/>
                    <w:lang w:val="es-ES_tradnl"/>
                  </w:rPr>
                </w:pPr>
                <w:r w:rsidRPr="00600ED9">
                  <w:rPr>
                    <w:sz w:val="20"/>
                    <w:szCs w:val="20"/>
                    <w:lang w:val="es-ES_tradnl"/>
                  </w:rPr>
                  <w:t>0</w:t>
                </w:r>
              </w:p>
            </w:tc>
            <w:tc>
              <w:tcPr>
                <w:tcW w:w="541" w:type="dxa"/>
              </w:tcPr>
              <w:p w:rsidR="009E02B2" w:rsidRPr="00600ED9" w:rsidRDefault="009E02B2" w:rsidP="003C6AB2">
                <w:pPr>
                  <w:pStyle w:val="NoSpacing"/>
                  <w:jc w:val="center"/>
                  <w:rPr>
                    <w:sz w:val="20"/>
                    <w:szCs w:val="20"/>
                    <w:lang w:val="es-ES_tradnl"/>
                  </w:rPr>
                </w:pPr>
                <w:r w:rsidRPr="00600ED9">
                  <w:rPr>
                    <w:sz w:val="20"/>
                    <w:szCs w:val="20"/>
                    <w:lang w:val="es-ES_tradnl"/>
                  </w:rPr>
                  <w:t>0</w:t>
                </w:r>
              </w:p>
            </w:tc>
            <w:tc>
              <w:tcPr>
                <w:tcW w:w="540" w:type="dxa"/>
              </w:tcPr>
              <w:p w:rsidR="009E02B2" w:rsidRPr="00600ED9" w:rsidRDefault="009E02B2" w:rsidP="00BC474D">
                <w:pPr>
                  <w:pStyle w:val="NoSpacing"/>
                  <w:jc w:val="center"/>
                  <w:rPr>
                    <w:sz w:val="20"/>
                    <w:szCs w:val="20"/>
                    <w:lang w:val="es-ES_tradnl"/>
                  </w:rPr>
                </w:pPr>
                <w:r w:rsidRPr="00600ED9">
                  <w:rPr>
                    <w:sz w:val="20"/>
                    <w:szCs w:val="20"/>
                    <w:lang w:val="es-ES_tradnl"/>
                  </w:rPr>
                  <w:t>NA</w:t>
                </w:r>
              </w:p>
            </w:tc>
            <w:tc>
              <w:tcPr>
                <w:tcW w:w="1003" w:type="dxa"/>
                <w:shd w:val="clear" w:color="auto" w:fill="365F91" w:themeFill="accent1" w:themeFillShade="BF"/>
                <w:vAlign w:val="center"/>
              </w:tcPr>
              <w:p w:rsidR="009E02B2" w:rsidRPr="00600ED9" w:rsidRDefault="009E02B2" w:rsidP="00E706F4">
                <w:pPr>
                  <w:pStyle w:val="NoSpacing"/>
                  <w:jc w:val="center"/>
                  <w:rPr>
                    <w:b/>
                    <w:color w:val="FFFFFF" w:themeColor="background1"/>
                    <w:sz w:val="20"/>
                    <w:lang w:val="es-ES_tradnl"/>
                  </w:rPr>
                </w:pPr>
                <w:r w:rsidRPr="00600ED9">
                  <w:rPr>
                    <w:b/>
                    <w:color w:val="FFFFFF" w:themeColor="background1"/>
                    <w:sz w:val="20"/>
                    <w:lang w:val="es-ES_tradnl"/>
                  </w:rPr>
                  <w:t>0</w:t>
                </w:r>
              </w:p>
            </w:tc>
          </w:tr>
          <w:tr w:rsidR="009E02B2" w:rsidRPr="00600ED9" w:rsidTr="006649E2">
            <w:trPr>
              <w:jc w:val="center"/>
            </w:trPr>
            <w:tc>
              <w:tcPr>
                <w:tcW w:w="1418" w:type="dxa"/>
              </w:tcPr>
              <w:p w:rsidR="009E02B2" w:rsidRPr="00600ED9" w:rsidRDefault="009E02B2" w:rsidP="00401E0B">
                <w:pPr>
                  <w:pStyle w:val="NoSpacing"/>
                  <w:rPr>
                    <w:sz w:val="20"/>
                    <w:szCs w:val="20"/>
                    <w:lang w:val="es-ES_tradnl"/>
                  </w:rPr>
                </w:pPr>
                <w:r w:rsidRPr="00600ED9">
                  <w:rPr>
                    <w:sz w:val="20"/>
                    <w:szCs w:val="20"/>
                    <w:lang w:val="es-ES_tradnl"/>
                  </w:rPr>
                  <w:t>EFS-11</w:t>
                </w:r>
              </w:p>
            </w:tc>
            <w:tc>
              <w:tcPr>
                <w:tcW w:w="5291" w:type="dxa"/>
              </w:tcPr>
              <w:p w:rsidR="009E02B2" w:rsidRPr="00600ED9" w:rsidRDefault="009E02B2" w:rsidP="00BC1EC9">
                <w:pPr>
                  <w:pStyle w:val="NoSpacing"/>
                  <w:rPr>
                    <w:sz w:val="20"/>
                    <w:szCs w:val="20"/>
                    <w:lang w:val="es-ES_tradnl"/>
                  </w:rPr>
                </w:pPr>
                <w:r w:rsidRPr="00600ED9">
                  <w:rPr>
                    <w:sz w:val="20"/>
                    <w:szCs w:val="20"/>
                    <w:lang w:val="es-ES_tradnl"/>
                  </w:rPr>
                  <w:t>Fundamentos de la auditoría financiera</w:t>
                </w:r>
              </w:p>
            </w:tc>
            <w:tc>
              <w:tcPr>
                <w:tcW w:w="518" w:type="dxa"/>
              </w:tcPr>
              <w:p w:rsidR="009E02B2" w:rsidRPr="00600ED9" w:rsidRDefault="009E02B2" w:rsidP="00DD26FA">
                <w:pPr>
                  <w:pStyle w:val="NoSpacing"/>
                  <w:jc w:val="center"/>
                  <w:rPr>
                    <w:sz w:val="20"/>
                    <w:szCs w:val="20"/>
                    <w:lang w:val="es-ES_tradnl"/>
                  </w:rPr>
                </w:pPr>
                <w:r w:rsidRPr="00600ED9">
                  <w:rPr>
                    <w:sz w:val="20"/>
                    <w:szCs w:val="20"/>
                    <w:lang w:val="es-ES_tradnl"/>
                  </w:rPr>
                  <w:t>0</w:t>
                </w:r>
              </w:p>
            </w:tc>
            <w:tc>
              <w:tcPr>
                <w:tcW w:w="439" w:type="dxa"/>
              </w:tcPr>
              <w:p w:rsidR="009E02B2" w:rsidRPr="00600ED9" w:rsidRDefault="009E02B2" w:rsidP="001C7BF6">
                <w:pPr>
                  <w:pStyle w:val="NoSpacing"/>
                  <w:jc w:val="center"/>
                  <w:rPr>
                    <w:sz w:val="20"/>
                    <w:szCs w:val="20"/>
                    <w:lang w:val="es-ES_tradnl"/>
                  </w:rPr>
                </w:pPr>
                <w:r w:rsidRPr="00600ED9">
                  <w:rPr>
                    <w:sz w:val="20"/>
                    <w:szCs w:val="20"/>
                    <w:lang w:val="es-ES_tradnl"/>
                  </w:rPr>
                  <w:t>4</w:t>
                </w:r>
              </w:p>
            </w:tc>
            <w:tc>
              <w:tcPr>
                <w:tcW w:w="541" w:type="dxa"/>
              </w:tcPr>
              <w:p w:rsidR="009E02B2" w:rsidRPr="00600ED9" w:rsidRDefault="009E02B2" w:rsidP="003C6AB2">
                <w:pPr>
                  <w:pStyle w:val="NoSpacing"/>
                  <w:jc w:val="center"/>
                  <w:rPr>
                    <w:sz w:val="20"/>
                    <w:szCs w:val="20"/>
                    <w:lang w:val="es-ES_tradnl"/>
                  </w:rPr>
                </w:pPr>
                <w:r w:rsidRPr="00600ED9">
                  <w:rPr>
                    <w:sz w:val="20"/>
                    <w:szCs w:val="20"/>
                    <w:lang w:val="es-ES_tradnl"/>
                  </w:rPr>
                  <w:t>3</w:t>
                </w:r>
              </w:p>
            </w:tc>
            <w:tc>
              <w:tcPr>
                <w:tcW w:w="540" w:type="dxa"/>
              </w:tcPr>
              <w:p w:rsidR="009E02B2" w:rsidRPr="00600ED9" w:rsidRDefault="009E02B2" w:rsidP="00BC474D">
                <w:pPr>
                  <w:pStyle w:val="NoSpacing"/>
                  <w:jc w:val="center"/>
                  <w:rPr>
                    <w:sz w:val="20"/>
                    <w:szCs w:val="20"/>
                    <w:lang w:val="es-ES_tradnl"/>
                  </w:rPr>
                </w:pPr>
                <w:r w:rsidRPr="00600ED9">
                  <w:rPr>
                    <w:sz w:val="20"/>
                    <w:szCs w:val="20"/>
                    <w:lang w:val="es-ES_tradnl"/>
                  </w:rPr>
                  <w:t>2</w:t>
                </w:r>
              </w:p>
            </w:tc>
            <w:tc>
              <w:tcPr>
                <w:tcW w:w="1003" w:type="dxa"/>
                <w:shd w:val="clear" w:color="auto" w:fill="365F91" w:themeFill="accent1" w:themeFillShade="BF"/>
                <w:vAlign w:val="center"/>
              </w:tcPr>
              <w:p w:rsidR="009E02B2" w:rsidRPr="00600ED9" w:rsidRDefault="009E02B2" w:rsidP="00E706F4">
                <w:pPr>
                  <w:pStyle w:val="NoSpacing"/>
                  <w:jc w:val="center"/>
                  <w:rPr>
                    <w:b/>
                    <w:color w:val="FFFFFF" w:themeColor="background1"/>
                    <w:sz w:val="20"/>
                    <w:lang w:val="es-ES_tradnl"/>
                  </w:rPr>
                </w:pPr>
                <w:r w:rsidRPr="00600ED9">
                  <w:rPr>
                    <w:b/>
                    <w:color w:val="FFFFFF" w:themeColor="background1"/>
                    <w:sz w:val="20"/>
                    <w:lang w:val="es-ES_tradnl"/>
                  </w:rPr>
                  <w:t>2</w:t>
                </w:r>
              </w:p>
            </w:tc>
          </w:tr>
          <w:tr w:rsidR="009E02B2" w:rsidRPr="00600ED9" w:rsidTr="006649E2">
            <w:trPr>
              <w:jc w:val="center"/>
            </w:trPr>
            <w:tc>
              <w:tcPr>
                <w:tcW w:w="1418" w:type="dxa"/>
              </w:tcPr>
              <w:p w:rsidR="009E02B2" w:rsidRPr="00600ED9" w:rsidRDefault="009E02B2" w:rsidP="00401E0B">
                <w:pPr>
                  <w:pStyle w:val="NoSpacing"/>
                  <w:rPr>
                    <w:sz w:val="20"/>
                    <w:szCs w:val="20"/>
                    <w:lang w:val="es-ES_tradnl"/>
                  </w:rPr>
                </w:pPr>
                <w:r w:rsidRPr="00600ED9">
                  <w:rPr>
                    <w:sz w:val="20"/>
                    <w:szCs w:val="20"/>
                    <w:lang w:val="es-ES_tradnl"/>
                  </w:rPr>
                  <w:t>EFS-12</w:t>
                </w:r>
              </w:p>
            </w:tc>
            <w:tc>
              <w:tcPr>
                <w:tcW w:w="5291" w:type="dxa"/>
              </w:tcPr>
              <w:p w:rsidR="009E02B2" w:rsidRPr="00600ED9" w:rsidRDefault="009E02B2" w:rsidP="00BC1EC9">
                <w:pPr>
                  <w:pStyle w:val="NoSpacing"/>
                  <w:rPr>
                    <w:sz w:val="20"/>
                    <w:szCs w:val="20"/>
                    <w:lang w:val="es-ES_tradnl"/>
                  </w:rPr>
                </w:pPr>
                <w:r w:rsidRPr="00600ED9">
                  <w:rPr>
                    <w:sz w:val="20"/>
                    <w:szCs w:val="20"/>
                    <w:lang w:val="es-ES_tradnl"/>
                  </w:rPr>
                  <w:t>Proceso de la auditoría financiera</w:t>
                </w:r>
              </w:p>
            </w:tc>
            <w:tc>
              <w:tcPr>
                <w:tcW w:w="518" w:type="dxa"/>
              </w:tcPr>
              <w:p w:rsidR="009E02B2" w:rsidRPr="00600ED9" w:rsidRDefault="009E02B2" w:rsidP="00DD26FA">
                <w:pPr>
                  <w:pStyle w:val="NoSpacing"/>
                  <w:jc w:val="center"/>
                  <w:rPr>
                    <w:sz w:val="20"/>
                    <w:szCs w:val="20"/>
                    <w:lang w:val="es-ES_tradnl"/>
                  </w:rPr>
                </w:pPr>
                <w:r w:rsidRPr="00600ED9">
                  <w:rPr>
                    <w:sz w:val="20"/>
                    <w:szCs w:val="20"/>
                    <w:lang w:val="es-ES_tradnl"/>
                  </w:rPr>
                  <w:t>1</w:t>
                </w:r>
              </w:p>
            </w:tc>
            <w:tc>
              <w:tcPr>
                <w:tcW w:w="439" w:type="dxa"/>
              </w:tcPr>
              <w:p w:rsidR="009E02B2" w:rsidRPr="00600ED9" w:rsidRDefault="0045244C" w:rsidP="001C7BF6">
                <w:pPr>
                  <w:pStyle w:val="NoSpacing"/>
                  <w:jc w:val="center"/>
                  <w:rPr>
                    <w:sz w:val="20"/>
                    <w:szCs w:val="20"/>
                    <w:lang w:val="es-ES_tradnl"/>
                  </w:rPr>
                </w:pPr>
                <w:r w:rsidRPr="00600ED9">
                  <w:rPr>
                    <w:sz w:val="20"/>
                    <w:szCs w:val="20"/>
                    <w:lang w:val="es-ES_tradnl"/>
                  </w:rPr>
                  <w:t>0</w:t>
                </w:r>
              </w:p>
            </w:tc>
            <w:tc>
              <w:tcPr>
                <w:tcW w:w="541" w:type="dxa"/>
              </w:tcPr>
              <w:p w:rsidR="009E02B2" w:rsidRPr="00600ED9" w:rsidRDefault="009E02B2" w:rsidP="003C6AB2">
                <w:pPr>
                  <w:pStyle w:val="NoSpacing"/>
                  <w:jc w:val="center"/>
                  <w:rPr>
                    <w:sz w:val="20"/>
                    <w:szCs w:val="20"/>
                    <w:lang w:val="es-ES_tradnl"/>
                  </w:rPr>
                </w:pPr>
                <w:r w:rsidRPr="00600ED9">
                  <w:rPr>
                    <w:sz w:val="20"/>
                    <w:szCs w:val="20"/>
                    <w:lang w:val="es-ES_tradnl"/>
                  </w:rPr>
                  <w:t>1</w:t>
                </w:r>
              </w:p>
            </w:tc>
            <w:tc>
              <w:tcPr>
                <w:tcW w:w="540" w:type="dxa"/>
                <w:shd w:val="clear" w:color="auto" w:fill="D9D9D9" w:themeFill="background1" w:themeFillShade="D9"/>
              </w:tcPr>
              <w:p w:rsidR="009E02B2" w:rsidRPr="00600ED9" w:rsidRDefault="009E02B2" w:rsidP="00BC474D">
                <w:pPr>
                  <w:pStyle w:val="NoSpacing"/>
                  <w:jc w:val="center"/>
                  <w:rPr>
                    <w:sz w:val="20"/>
                    <w:szCs w:val="20"/>
                    <w:lang w:val="es-ES_tradnl"/>
                  </w:rPr>
                </w:pPr>
              </w:p>
            </w:tc>
            <w:tc>
              <w:tcPr>
                <w:tcW w:w="1003" w:type="dxa"/>
                <w:shd w:val="clear" w:color="auto" w:fill="365F91" w:themeFill="accent1" w:themeFillShade="BF"/>
                <w:vAlign w:val="center"/>
              </w:tcPr>
              <w:p w:rsidR="009E02B2" w:rsidRPr="00600ED9" w:rsidRDefault="009E02B2" w:rsidP="00E706F4">
                <w:pPr>
                  <w:pStyle w:val="NoSpacing"/>
                  <w:jc w:val="center"/>
                  <w:rPr>
                    <w:b/>
                    <w:color w:val="FFFFFF" w:themeColor="background1"/>
                    <w:sz w:val="20"/>
                    <w:lang w:val="es-ES_tradnl"/>
                  </w:rPr>
                </w:pPr>
                <w:r w:rsidRPr="00600ED9">
                  <w:rPr>
                    <w:b/>
                    <w:color w:val="FFFFFF" w:themeColor="background1"/>
                    <w:sz w:val="20"/>
                    <w:lang w:val="es-ES_tradnl"/>
                  </w:rPr>
                  <w:t>1</w:t>
                </w:r>
              </w:p>
            </w:tc>
          </w:tr>
          <w:tr w:rsidR="009E02B2" w:rsidRPr="00600ED9" w:rsidTr="006649E2">
            <w:trPr>
              <w:jc w:val="center"/>
            </w:trPr>
            <w:tc>
              <w:tcPr>
                <w:tcW w:w="1418" w:type="dxa"/>
              </w:tcPr>
              <w:p w:rsidR="009E02B2" w:rsidRPr="00600ED9" w:rsidRDefault="009E02B2" w:rsidP="00401E0B">
                <w:pPr>
                  <w:pStyle w:val="NoSpacing"/>
                  <w:rPr>
                    <w:sz w:val="20"/>
                    <w:szCs w:val="20"/>
                    <w:lang w:val="es-ES_tradnl"/>
                  </w:rPr>
                </w:pPr>
                <w:r w:rsidRPr="00600ED9">
                  <w:rPr>
                    <w:sz w:val="20"/>
                    <w:szCs w:val="20"/>
                    <w:lang w:val="es-ES_tradnl"/>
                  </w:rPr>
                  <w:t>EFS-13</w:t>
                </w:r>
              </w:p>
            </w:tc>
            <w:tc>
              <w:tcPr>
                <w:tcW w:w="5291" w:type="dxa"/>
              </w:tcPr>
              <w:p w:rsidR="009E02B2" w:rsidRPr="00600ED9" w:rsidRDefault="009E02B2" w:rsidP="00BC1EC9">
                <w:pPr>
                  <w:pStyle w:val="NoSpacing"/>
                  <w:rPr>
                    <w:sz w:val="20"/>
                    <w:szCs w:val="20"/>
                    <w:lang w:val="es-ES_tradnl"/>
                  </w:rPr>
                </w:pPr>
                <w:r w:rsidRPr="00600ED9">
                  <w:rPr>
                    <w:sz w:val="20"/>
                    <w:szCs w:val="20"/>
                    <w:lang w:val="es-ES_tradnl"/>
                  </w:rPr>
                  <w:t>Fundamentos de la auditoría de cumplimiento</w:t>
                </w:r>
              </w:p>
            </w:tc>
            <w:tc>
              <w:tcPr>
                <w:tcW w:w="518" w:type="dxa"/>
              </w:tcPr>
              <w:p w:rsidR="009E02B2" w:rsidRPr="00600ED9" w:rsidRDefault="009E02B2" w:rsidP="00DD26FA">
                <w:pPr>
                  <w:pStyle w:val="NoSpacing"/>
                  <w:jc w:val="center"/>
                  <w:rPr>
                    <w:sz w:val="20"/>
                    <w:szCs w:val="20"/>
                    <w:lang w:val="es-ES_tradnl"/>
                  </w:rPr>
                </w:pPr>
                <w:r w:rsidRPr="00600ED9">
                  <w:rPr>
                    <w:sz w:val="20"/>
                    <w:szCs w:val="20"/>
                    <w:lang w:val="es-ES_tradnl"/>
                  </w:rPr>
                  <w:t>0</w:t>
                </w:r>
              </w:p>
            </w:tc>
            <w:tc>
              <w:tcPr>
                <w:tcW w:w="439" w:type="dxa"/>
              </w:tcPr>
              <w:p w:rsidR="009E02B2" w:rsidRPr="00600ED9" w:rsidRDefault="009E02B2" w:rsidP="001C7BF6">
                <w:pPr>
                  <w:pStyle w:val="NoSpacing"/>
                  <w:jc w:val="center"/>
                  <w:rPr>
                    <w:sz w:val="20"/>
                    <w:szCs w:val="20"/>
                    <w:lang w:val="es-ES_tradnl"/>
                  </w:rPr>
                </w:pPr>
                <w:r w:rsidRPr="00600ED9">
                  <w:rPr>
                    <w:sz w:val="20"/>
                    <w:szCs w:val="20"/>
                    <w:lang w:val="es-ES_tradnl"/>
                  </w:rPr>
                  <w:t>4</w:t>
                </w:r>
              </w:p>
            </w:tc>
            <w:tc>
              <w:tcPr>
                <w:tcW w:w="541" w:type="dxa"/>
                <w:shd w:val="clear" w:color="auto" w:fill="auto"/>
              </w:tcPr>
              <w:p w:rsidR="009E02B2" w:rsidRPr="00600ED9" w:rsidRDefault="009E02B2" w:rsidP="003C6AB2">
                <w:pPr>
                  <w:pStyle w:val="NoSpacing"/>
                  <w:jc w:val="center"/>
                  <w:rPr>
                    <w:sz w:val="20"/>
                    <w:szCs w:val="20"/>
                    <w:lang w:val="es-ES_tradnl"/>
                  </w:rPr>
                </w:pPr>
                <w:r w:rsidRPr="00600ED9">
                  <w:rPr>
                    <w:sz w:val="20"/>
                    <w:szCs w:val="20"/>
                    <w:lang w:val="es-ES_tradnl"/>
                  </w:rPr>
                  <w:t>2</w:t>
                </w:r>
              </w:p>
            </w:tc>
            <w:tc>
              <w:tcPr>
                <w:tcW w:w="540" w:type="dxa"/>
                <w:shd w:val="clear" w:color="auto" w:fill="auto"/>
              </w:tcPr>
              <w:p w:rsidR="009E02B2" w:rsidRPr="00600ED9" w:rsidRDefault="009E02B2" w:rsidP="00BC474D">
                <w:pPr>
                  <w:pStyle w:val="NoSpacing"/>
                  <w:jc w:val="center"/>
                  <w:rPr>
                    <w:sz w:val="20"/>
                    <w:szCs w:val="20"/>
                    <w:lang w:val="es-ES_tradnl"/>
                  </w:rPr>
                </w:pPr>
                <w:r w:rsidRPr="00600ED9">
                  <w:rPr>
                    <w:sz w:val="20"/>
                    <w:szCs w:val="20"/>
                    <w:lang w:val="es-ES_tradnl"/>
                  </w:rPr>
                  <w:t>2</w:t>
                </w:r>
              </w:p>
            </w:tc>
            <w:tc>
              <w:tcPr>
                <w:tcW w:w="1003" w:type="dxa"/>
                <w:shd w:val="clear" w:color="auto" w:fill="365F91" w:themeFill="accent1" w:themeFillShade="BF"/>
                <w:vAlign w:val="center"/>
              </w:tcPr>
              <w:p w:rsidR="009E02B2" w:rsidRPr="00600ED9" w:rsidRDefault="009E02B2" w:rsidP="00E706F4">
                <w:pPr>
                  <w:pStyle w:val="NoSpacing"/>
                  <w:jc w:val="center"/>
                  <w:rPr>
                    <w:b/>
                    <w:color w:val="FFFFFF" w:themeColor="background1"/>
                    <w:sz w:val="20"/>
                    <w:lang w:val="es-ES_tradnl"/>
                  </w:rPr>
                </w:pPr>
                <w:r w:rsidRPr="00600ED9">
                  <w:rPr>
                    <w:b/>
                    <w:color w:val="FFFFFF" w:themeColor="background1"/>
                    <w:sz w:val="20"/>
                    <w:lang w:val="es-ES_tradnl"/>
                  </w:rPr>
                  <w:t>1</w:t>
                </w:r>
              </w:p>
            </w:tc>
          </w:tr>
          <w:tr w:rsidR="009E02B2" w:rsidRPr="00600ED9" w:rsidTr="006649E2">
            <w:trPr>
              <w:jc w:val="center"/>
            </w:trPr>
            <w:tc>
              <w:tcPr>
                <w:tcW w:w="1418" w:type="dxa"/>
              </w:tcPr>
              <w:p w:rsidR="009E02B2" w:rsidRPr="00600ED9" w:rsidRDefault="009E02B2" w:rsidP="00401E0B">
                <w:pPr>
                  <w:pStyle w:val="NoSpacing"/>
                  <w:rPr>
                    <w:sz w:val="20"/>
                    <w:szCs w:val="20"/>
                    <w:lang w:val="es-ES_tradnl"/>
                  </w:rPr>
                </w:pPr>
                <w:r w:rsidRPr="00600ED9">
                  <w:rPr>
                    <w:sz w:val="20"/>
                    <w:szCs w:val="20"/>
                    <w:lang w:val="es-ES_tradnl"/>
                  </w:rPr>
                  <w:t>EFS-14</w:t>
                </w:r>
              </w:p>
            </w:tc>
            <w:tc>
              <w:tcPr>
                <w:tcW w:w="5291" w:type="dxa"/>
              </w:tcPr>
              <w:p w:rsidR="009E02B2" w:rsidRPr="00600ED9" w:rsidRDefault="009E02B2" w:rsidP="00BC1EC9">
                <w:pPr>
                  <w:pStyle w:val="NoSpacing"/>
                  <w:rPr>
                    <w:sz w:val="20"/>
                    <w:szCs w:val="20"/>
                    <w:lang w:val="es-ES_tradnl"/>
                  </w:rPr>
                </w:pPr>
                <w:r w:rsidRPr="00600ED9">
                  <w:rPr>
                    <w:sz w:val="20"/>
                    <w:szCs w:val="20"/>
                    <w:lang w:val="es-ES_tradnl"/>
                  </w:rPr>
                  <w:t>Proceso de la auditoría de cumplimiento</w:t>
                </w:r>
              </w:p>
            </w:tc>
            <w:tc>
              <w:tcPr>
                <w:tcW w:w="518" w:type="dxa"/>
              </w:tcPr>
              <w:p w:rsidR="009E02B2" w:rsidRPr="00600ED9" w:rsidRDefault="009E02B2" w:rsidP="00DD26FA">
                <w:pPr>
                  <w:pStyle w:val="NoSpacing"/>
                  <w:jc w:val="center"/>
                  <w:rPr>
                    <w:sz w:val="20"/>
                    <w:szCs w:val="20"/>
                    <w:lang w:val="es-ES_tradnl"/>
                  </w:rPr>
                </w:pPr>
                <w:r w:rsidRPr="00600ED9">
                  <w:rPr>
                    <w:sz w:val="20"/>
                    <w:szCs w:val="20"/>
                    <w:lang w:val="es-ES_tradnl"/>
                  </w:rPr>
                  <w:t>0</w:t>
                </w:r>
              </w:p>
            </w:tc>
            <w:tc>
              <w:tcPr>
                <w:tcW w:w="439" w:type="dxa"/>
              </w:tcPr>
              <w:p w:rsidR="009E02B2" w:rsidRPr="00600ED9" w:rsidRDefault="009E02B2" w:rsidP="001C7BF6">
                <w:pPr>
                  <w:pStyle w:val="NoSpacing"/>
                  <w:jc w:val="center"/>
                  <w:rPr>
                    <w:sz w:val="20"/>
                    <w:szCs w:val="20"/>
                    <w:lang w:val="es-ES_tradnl"/>
                  </w:rPr>
                </w:pPr>
                <w:r w:rsidRPr="00600ED9">
                  <w:rPr>
                    <w:sz w:val="20"/>
                    <w:szCs w:val="20"/>
                    <w:lang w:val="es-ES_tradnl"/>
                  </w:rPr>
                  <w:t>2</w:t>
                </w:r>
              </w:p>
            </w:tc>
            <w:tc>
              <w:tcPr>
                <w:tcW w:w="541" w:type="dxa"/>
                <w:shd w:val="clear" w:color="auto" w:fill="auto"/>
              </w:tcPr>
              <w:p w:rsidR="009E02B2" w:rsidRPr="00600ED9" w:rsidRDefault="009E02B2" w:rsidP="003C6AB2">
                <w:pPr>
                  <w:pStyle w:val="NoSpacing"/>
                  <w:jc w:val="center"/>
                  <w:rPr>
                    <w:sz w:val="20"/>
                    <w:szCs w:val="20"/>
                    <w:lang w:val="es-ES_tradnl"/>
                  </w:rPr>
                </w:pPr>
                <w:r w:rsidRPr="00600ED9">
                  <w:rPr>
                    <w:sz w:val="20"/>
                    <w:szCs w:val="20"/>
                    <w:lang w:val="es-ES_tradnl"/>
                  </w:rPr>
                  <w:t>2</w:t>
                </w:r>
              </w:p>
            </w:tc>
            <w:tc>
              <w:tcPr>
                <w:tcW w:w="540" w:type="dxa"/>
                <w:shd w:val="clear" w:color="auto" w:fill="D9D9D9" w:themeFill="background1" w:themeFillShade="D9"/>
              </w:tcPr>
              <w:p w:rsidR="009E02B2" w:rsidRPr="00600ED9" w:rsidRDefault="009E02B2" w:rsidP="00BC474D">
                <w:pPr>
                  <w:pStyle w:val="NoSpacing"/>
                  <w:jc w:val="center"/>
                  <w:rPr>
                    <w:sz w:val="20"/>
                    <w:szCs w:val="20"/>
                    <w:lang w:val="es-ES_tradnl"/>
                  </w:rPr>
                </w:pPr>
              </w:p>
            </w:tc>
            <w:tc>
              <w:tcPr>
                <w:tcW w:w="1003" w:type="dxa"/>
                <w:shd w:val="clear" w:color="auto" w:fill="365F91" w:themeFill="accent1" w:themeFillShade="BF"/>
                <w:vAlign w:val="center"/>
              </w:tcPr>
              <w:p w:rsidR="009E02B2" w:rsidRPr="00600ED9" w:rsidRDefault="009E02B2" w:rsidP="00E706F4">
                <w:pPr>
                  <w:pStyle w:val="NoSpacing"/>
                  <w:jc w:val="center"/>
                  <w:rPr>
                    <w:b/>
                    <w:color w:val="FFFFFF" w:themeColor="background1"/>
                    <w:sz w:val="20"/>
                    <w:lang w:val="es-ES_tradnl"/>
                  </w:rPr>
                </w:pPr>
                <w:r w:rsidRPr="00600ED9">
                  <w:rPr>
                    <w:b/>
                    <w:color w:val="FFFFFF" w:themeColor="background1"/>
                    <w:sz w:val="20"/>
                    <w:lang w:val="es-ES_tradnl"/>
                  </w:rPr>
                  <w:t>1</w:t>
                </w:r>
              </w:p>
            </w:tc>
          </w:tr>
          <w:tr w:rsidR="009E02B2" w:rsidRPr="00600ED9" w:rsidTr="006649E2">
            <w:trPr>
              <w:jc w:val="center"/>
            </w:trPr>
            <w:tc>
              <w:tcPr>
                <w:tcW w:w="1418" w:type="dxa"/>
              </w:tcPr>
              <w:p w:rsidR="009E02B2" w:rsidRPr="00600ED9" w:rsidRDefault="009E02B2" w:rsidP="00401E0B">
                <w:pPr>
                  <w:pStyle w:val="NoSpacing"/>
                  <w:rPr>
                    <w:sz w:val="20"/>
                    <w:szCs w:val="20"/>
                    <w:lang w:val="es-ES_tradnl"/>
                  </w:rPr>
                </w:pPr>
                <w:r w:rsidRPr="00600ED9">
                  <w:rPr>
                    <w:sz w:val="20"/>
                    <w:szCs w:val="20"/>
                    <w:lang w:val="es-ES_tradnl"/>
                  </w:rPr>
                  <w:t>EFS-15</w:t>
                </w:r>
              </w:p>
            </w:tc>
            <w:tc>
              <w:tcPr>
                <w:tcW w:w="5291" w:type="dxa"/>
              </w:tcPr>
              <w:p w:rsidR="009E02B2" w:rsidRPr="00600ED9" w:rsidRDefault="009E02B2" w:rsidP="00BC1EC9">
                <w:pPr>
                  <w:pStyle w:val="NoSpacing"/>
                  <w:rPr>
                    <w:sz w:val="20"/>
                    <w:szCs w:val="20"/>
                    <w:lang w:val="es-ES_tradnl"/>
                  </w:rPr>
                </w:pPr>
                <w:r w:rsidRPr="00600ED9">
                  <w:rPr>
                    <w:sz w:val="20"/>
                    <w:szCs w:val="20"/>
                    <w:lang w:val="es-ES_tradnl"/>
                  </w:rPr>
                  <w:t>Fundamentos de la auditoría del desempeño</w:t>
                </w:r>
              </w:p>
            </w:tc>
            <w:tc>
              <w:tcPr>
                <w:tcW w:w="518" w:type="dxa"/>
              </w:tcPr>
              <w:p w:rsidR="009E02B2" w:rsidRPr="00600ED9" w:rsidRDefault="009E02B2" w:rsidP="00DD26FA">
                <w:pPr>
                  <w:pStyle w:val="NoSpacing"/>
                  <w:jc w:val="center"/>
                  <w:rPr>
                    <w:sz w:val="20"/>
                    <w:szCs w:val="20"/>
                    <w:lang w:val="es-ES_tradnl"/>
                  </w:rPr>
                </w:pPr>
                <w:r w:rsidRPr="00600ED9">
                  <w:rPr>
                    <w:sz w:val="20"/>
                    <w:szCs w:val="20"/>
                    <w:lang w:val="es-ES_tradnl"/>
                  </w:rPr>
                  <w:t>1</w:t>
                </w:r>
              </w:p>
            </w:tc>
            <w:tc>
              <w:tcPr>
                <w:tcW w:w="439" w:type="dxa"/>
              </w:tcPr>
              <w:p w:rsidR="009E02B2" w:rsidRPr="00600ED9" w:rsidRDefault="009E02B2" w:rsidP="001C7BF6">
                <w:pPr>
                  <w:pStyle w:val="NoSpacing"/>
                  <w:jc w:val="center"/>
                  <w:rPr>
                    <w:sz w:val="20"/>
                    <w:szCs w:val="20"/>
                    <w:lang w:val="es-ES_tradnl"/>
                  </w:rPr>
                </w:pPr>
                <w:r w:rsidRPr="00600ED9">
                  <w:rPr>
                    <w:sz w:val="20"/>
                    <w:szCs w:val="20"/>
                    <w:lang w:val="es-ES_tradnl"/>
                  </w:rPr>
                  <w:t>4</w:t>
                </w:r>
              </w:p>
            </w:tc>
            <w:tc>
              <w:tcPr>
                <w:tcW w:w="541" w:type="dxa"/>
                <w:shd w:val="clear" w:color="auto" w:fill="auto"/>
              </w:tcPr>
              <w:p w:rsidR="009E02B2" w:rsidRPr="00600ED9" w:rsidRDefault="009E02B2" w:rsidP="003C6AB2">
                <w:pPr>
                  <w:pStyle w:val="NoSpacing"/>
                  <w:jc w:val="center"/>
                  <w:rPr>
                    <w:sz w:val="20"/>
                    <w:szCs w:val="20"/>
                    <w:lang w:val="es-ES_tradnl"/>
                  </w:rPr>
                </w:pPr>
                <w:r w:rsidRPr="00600ED9">
                  <w:rPr>
                    <w:sz w:val="20"/>
                    <w:szCs w:val="20"/>
                    <w:lang w:val="es-ES_tradnl"/>
                  </w:rPr>
                  <w:t>3</w:t>
                </w:r>
              </w:p>
            </w:tc>
            <w:tc>
              <w:tcPr>
                <w:tcW w:w="540" w:type="dxa"/>
                <w:shd w:val="clear" w:color="auto" w:fill="auto"/>
              </w:tcPr>
              <w:p w:rsidR="009E02B2" w:rsidRPr="00600ED9" w:rsidRDefault="009E02B2" w:rsidP="00BC474D">
                <w:pPr>
                  <w:pStyle w:val="NoSpacing"/>
                  <w:jc w:val="center"/>
                  <w:rPr>
                    <w:sz w:val="20"/>
                    <w:szCs w:val="20"/>
                    <w:lang w:val="es-ES_tradnl"/>
                  </w:rPr>
                </w:pPr>
                <w:r w:rsidRPr="00600ED9">
                  <w:rPr>
                    <w:sz w:val="20"/>
                    <w:szCs w:val="20"/>
                    <w:lang w:val="es-ES_tradnl"/>
                  </w:rPr>
                  <w:t>0</w:t>
                </w:r>
              </w:p>
            </w:tc>
            <w:tc>
              <w:tcPr>
                <w:tcW w:w="1003" w:type="dxa"/>
                <w:shd w:val="clear" w:color="auto" w:fill="365F91" w:themeFill="accent1" w:themeFillShade="BF"/>
                <w:vAlign w:val="center"/>
              </w:tcPr>
              <w:p w:rsidR="009E02B2" w:rsidRPr="00600ED9" w:rsidRDefault="009E02B2" w:rsidP="00E706F4">
                <w:pPr>
                  <w:pStyle w:val="NoSpacing"/>
                  <w:jc w:val="center"/>
                  <w:rPr>
                    <w:b/>
                    <w:color w:val="FFFFFF" w:themeColor="background1"/>
                    <w:sz w:val="20"/>
                    <w:lang w:val="es-ES_tradnl"/>
                  </w:rPr>
                </w:pPr>
                <w:r w:rsidRPr="00600ED9">
                  <w:rPr>
                    <w:b/>
                    <w:color w:val="FFFFFF" w:themeColor="background1"/>
                    <w:sz w:val="20"/>
                    <w:lang w:val="es-ES_tradnl"/>
                  </w:rPr>
                  <w:t>2</w:t>
                </w:r>
              </w:p>
            </w:tc>
          </w:tr>
          <w:tr w:rsidR="009E02B2" w:rsidRPr="00600ED9" w:rsidTr="006649E2">
            <w:trPr>
              <w:jc w:val="center"/>
            </w:trPr>
            <w:tc>
              <w:tcPr>
                <w:tcW w:w="1418" w:type="dxa"/>
              </w:tcPr>
              <w:p w:rsidR="009E02B2" w:rsidRPr="00600ED9" w:rsidRDefault="009E02B2" w:rsidP="00401E0B">
                <w:pPr>
                  <w:pStyle w:val="NoSpacing"/>
                  <w:rPr>
                    <w:sz w:val="20"/>
                    <w:szCs w:val="20"/>
                    <w:lang w:val="es-ES_tradnl"/>
                  </w:rPr>
                </w:pPr>
                <w:r w:rsidRPr="00600ED9">
                  <w:rPr>
                    <w:sz w:val="20"/>
                    <w:szCs w:val="20"/>
                    <w:lang w:val="es-ES_tradnl"/>
                  </w:rPr>
                  <w:t>EFS-16</w:t>
                </w:r>
              </w:p>
            </w:tc>
            <w:tc>
              <w:tcPr>
                <w:tcW w:w="5291" w:type="dxa"/>
              </w:tcPr>
              <w:p w:rsidR="009E02B2" w:rsidRPr="00600ED9" w:rsidRDefault="009E02B2" w:rsidP="00BC1EC9">
                <w:pPr>
                  <w:pStyle w:val="NoSpacing"/>
                  <w:rPr>
                    <w:sz w:val="20"/>
                    <w:szCs w:val="20"/>
                    <w:lang w:val="es-ES_tradnl"/>
                  </w:rPr>
                </w:pPr>
                <w:r w:rsidRPr="00600ED9">
                  <w:rPr>
                    <w:sz w:val="20"/>
                    <w:szCs w:val="20"/>
                    <w:lang w:val="es-ES_tradnl"/>
                  </w:rPr>
                  <w:t>Proceso de la auditoría del desempeño</w:t>
                </w:r>
              </w:p>
            </w:tc>
            <w:tc>
              <w:tcPr>
                <w:tcW w:w="518" w:type="dxa"/>
              </w:tcPr>
              <w:p w:rsidR="009E02B2" w:rsidRPr="00600ED9" w:rsidRDefault="009E02B2" w:rsidP="00DD26FA">
                <w:pPr>
                  <w:pStyle w:val="NoSpacing"/>
                  <w:jc w:val="center"/>
                  <w:rPr>
                    <w:sz w:val="20"/>
                    <w:szCs w:val="20"/>
                    <w:lang w:val="es-ES_tradnl"/>
                  </w:rPr>
                </w:pPr>
                <w:r w:rsidRPr="00600ED9">
                  <w:rPr>
                    <w:sz w:val="20"/>
                    <w:szCs w:val="20"/>
                    <w:lang w:val="es-ES_tradnl"/>
                  </w:rPr>
                  <w:t>0</w:t>
                </w:r>
              </w:p>
            </w:tc>
            <w:tc>
              <w:tcPr>
                <w:tcW w:w="439" w:type="dxa"/>
              </w:tcPr>
              <w:p w:rsidR="009E02B2" w:rsidRPr="00600ED9" w:rsidRDefault="009E02B2" w:rsidP="001C7BF6">
                <w:pPr>
                  <w:pStyle w:val="NoSpacing"/>
                  <w:jc w:val="center"/>
                  <w:rPr>
                    <w:sz w:val="20"/>
                    <w:szCs w:val="20"/>
                    <w:lang w:val="es-ES_tradnl"/>
                  </w:rPr>
                </w:pPr>
                <w:r w:rsidRPr="00600ED9">
                  <w:rPr>
                    <w:sz w:val="20"/>
                    <w:szCs w:val="20"/>
                    <w:lang w:val="es-ES_tradnl"/>
                  </w:rPr>
                  <w:t>0</w:t>
                </w:r>
              </w:p>
            </w:tc>
            <w:tc>
              <w:tcPr>
                <w:tcW w:w="541" w:type="dxa"/>
                <w:shd w:val="clear" w:color="auto" w:fill="auto"/>
              </w:tcPr>
              <w:p w:rsidR="009E02B2" w:rsidRPr="00600ED9" w:rsidRDefault="009E02B2" w:rsidP="003C6AB2">
                <w:pPr>
                  <w:pStyle w:val="NoSpacing"/>
                  <w:jc w:val="center"/>
                  <w:rPr>
                    <w:sz w:val="20"/>
                    <w:szCs w:val="20"/>
                    <w:lang w:val="es-ES_tradnl"/>
                  </w:rPr>
                </w:pPr>
                <w:r w:rsidRPr="00600ED9">
                  <w:rPr>
                    <w:sz w:val="20"/>
                    <w:szCs w:val="20"/>
                    <w:lang w:val="es-ES_tradnl"/>
                  </w:rPr>
                  <w:t>0</w:t>
                </w:r>
              </w:p>
            </w:tc>
            <w:tc>
              <w:tcPr>
                <w:tcW w:w="540" w:type="dxa"/>
                <w:shd w:val="clear" w:color="auto" w:fill="D9D9D9" w:themeFill="background1" w:themeFillShade="D9"/>
              </w:tcPr>
              <w:p w:rsidR="009E02B2" w:rsidRPr="00600ED9" w:rsidRDefault="009E02B2" w:rsidP="00BC474D">
                <w:pPr>
                  <w:pStyle w:val="NoSpacing"/>
                  <w:jc w:val="center"/>
                  <w:rPr>
                    <w:sz w:val="20"/>
                    <w:szCs w:val="20"/>
                    <w:lang w:val="es-ES_tradnl"/>
                  </w:rPr>
                </w:pPr>
              </w:p>
            </w:tc>
            <w:tc>
              <w:tcPr>
                <w:tcW w:w="1003" w:type="dxa"/>
                <w:shd w:val="clear" w:color="auto" w:fill="365F91" w:themeFill="accent1" w:themeFillShade="BF"/>
                <w:vAlign w:val="center"/>
              </w:tcPr>
              <w:p w:rsidR="009E02B2" w:rsidRPr="00600ED9" w:rsidRDefault="009E02B2" w:rsidP="00E706F4">
                <w:pPr>
                  <w:pStyle w:val="NoSpacing"/>
                  <w:jc w:val="center"/>
                  <w:rPr>
                    <w:b/>
                    <w:color w:val="FFFFFF" w:themeColor="background1"/>
                    <w:sz w:val="20"/>
                    <w:lang w:val="es-ES_tradnl"/>
                  </w:rPr>
                </w:pPr>
                <w:r w:rsidRPr="00600ED9">
                  <w:rPr>
                    <w:b/>
                    <w:color w:val="FFFFFF" w:themeColor="background1"/>
                    <w:sz w:val="20"/>
                    <w:lang w:val="es-ES_tradnl"/>
                  </w:rPr>
                  <w:t>0</w:t>
                </w:r>
              </w:p>
            </w:tc>
          </w:tr>
          <w:tr w:rsidR="009E02B2" w:rsidRPr="00600ED9" w:rsidTr="006649E2">
            <w:trPr>
              <w:jc w:val="center"/>
            </w:trPr>
            <w:tc>
              <w:tcPr>
                <w:tcW w:w="1418" w:type="dxa"/>
              </w:tcPr>
              <w:p w:rsidR="009E02B2" w:rsidRPr="00600ED9" w:rsidRDefault="009E02B2" w:rsidP="00401E0B">
                <w:pPr>
                  <w:pStyle w:val="NoSpacing"/>
                  <w:rPr>
                    <w:sz w:val="20"/>
                    <w:szCs w:val="20"/>
                    <w:lang w:val="es-ES_tradnl"/>
                  </w:rPr>
                </w:pPr>
                <w:r w:rsidRPr="00600ED9">
                  <w:rPr>
                    <w:sz w:val="20"/>
                    <w:szCs w:val="20"/>
                    <w:lang w:val="es-ES_tradnl"/>
                  </w:rPr>
                  <w:t>EFS-17</w:t>
                </w:r>
              </w:p>
            </w:tc>
            <w:tc>
              <w:tcPr>
                <w:tcW w:w="5291" w:type="dxa"/>
              </w:tcPr>
              <w:p w:rsidR="009E02B2" w:rsidRPr="00600ED9" w:rsidRDefault="009E02B2" w:rsidP="00BC1EC9">
                <w:pPr>
                  <w:pStyle w:val="NoSpacing"/>
                  <w:rPr>
                    <w:sz w:val="20"/>
                    <w:szCs w:val="20"/>
                    <w:lang w:val="es-ES_tradnl"/>
                  </w:rPr>
                </w:pPr>
                <w:r w:rsidRPr="00600ED9">
                  <w:rPr>
                    <w:sz w:val="20"/>
                    <w:szCs w:val="20"/>
                    <w:lang w:val="es-ES_tradnl"/>
                  </w:rPr>
                  <w:t>Proceso judicial</w:t>
                </w:r>
              </w:p>
            </w:tc>
            <w:tc>
              <w:tcPr>
                <w:tcW w:w="518" w:type="dxa"/>
              </w:tcPr>
              <w:p w:rsidR="009E02B2" w:rsidRPr="00600ED9" w:rsidRDefault="009E02B2" w:rsidP="00DD26FA">
                <w:pPr>
                  <w:pStyle w:val="NoSpacing"/>
                  <w:jc w:val="center"/>
                  <w:rPr>
                    <w:sz w:val="20"/>
                    <w:szCs w:val="20"/>
                    <w:lang w:val="es-ES_tradnl"/>
                  </w:rPr>
                </w:pPr>
                <w:r w:rsidRPr="00600ED9">
                  <w:rPr>
                    <w:sz w:val="20"/>
                    <w:szCs w:val="20"/>
                    <w:lang w:val="es-ES_tradnl"/>
                  </w:rPr>
                  <w:t>NA</w:t>
                </w:r>
              </w:p>
            </w:tc>
            <w:tc>
              <w:tcPr>
                <w:tcW w:w="439" w:type="dxa"/>
                <w:shd w:val="clear" w:color="auto" w:fill="D9D9D9" w:themeFill="background1" w:themeFillShade="D9"/>
              </w:tcPr>
              <w:p w:rsidR="009E02B2" w:rsidRPr="00600ED9" w:rsidRDefault="009E02B2" w:rsidP="001C7BF6">
                <w:pPr>
                  <w:pStyle w:val="NoSpacing"/>
                  <w:jc w:val="center"/>
                  <w:rPr>
                    <w:sz w:val="20"/>
                    <w:szCs w:val="20"/>
                    <w:lang w:val="es-ES_tradnl"/>
                  </w:rPr>
                </w:pPr>
              </w:p>
            </w:tc>
            <w:tc>
              <w:tcPr>
                <w:tcW w:w="541" w:type="dxa"/>
                <w:shd w:val="clear" w:color="auto" w:fill="D9D9D9" w:themeFill="background1" w:themeFillShade="D9"/>
              </w:tcPr>
              <w:p w:rsidR="009E02B2" w:rsidRPr="00600ED9" w:rsidRDefault="009E02B2" w:rsidP="003C6AB2">
                <w:pPr>
                  <w:pStyle w:val="NoSpacing"/>
                  <w:jc w:val="center"/>
                  <w:rPr>
                    <w:sz w:val="20"/>
                    <w:szCs w:val="20"/>
                    <w:lang w:val="es-ES_tradnl"/>
                  </w:rPr>
                </w:pPr>
              </w:p>
            </w:tc>
            <w:tc>
              <w:tcPr>
                <w:tcW w:w="540" w:type="dxa"/>
                <w:shd w:val="clear" w:color="auto" w:fill="D9D9D9" w:themeFill="background1" w:themeFillShade="D9"/>
              </w:tcPr>
              <w:p w:rsidR="009E02B2" w:rsidRPr="00600ED9" w:rsidRDefault="009E02B2" w:rsidP="00BC474D">
                <w:pPr>
                  <w:pStyle w:val="NoSpacing"/>
                  <w:jc w:val="center"/>
                  <w:rPr>
                    <w:sz w:val="20"/>
                    <w:szCs w:val="20"/>
                    <w:lang w:val="es-ES_tradnl"/>
                  </w:rPr>
                </w:pPr>
              </w:p>
            </w:tc>
            <w:tc>
              <w:tcPr>
                <w:tcW w:w="1003" w:type="dxa"/>
                <w:shd w:val="clear" w:color="auto" w:fill="365F91" w:themeFill="accent1" w:themeFillShade="BF"/>
                <w:vAlign w:val="center"/>
              </w:tcPr>
              <w:p w:rsidR="009E02B2" w:rsidRPr="00600ED9" w:rsidRDefault="009E02B2" w:rsidP="00E706F4">
                <w:pPr>
                  <w:pStyle w:val="NoSpacing"/>
                  <w:jc w:val="center"/>
                  <w:rPr>
                    <w:b/>
                    <w:color w:val="FFFFFF" w:themeColor="background1"/>
                    <w:sz w:val="20"/>
                    <w:lang w:val="es-ES_tradnl"/>
                  </w:rPr>
                </w:pPr>
                <w:r w:rsidRPr="00600ED9">
                  <w:rPr>
                    <w:b/>
                    <w:color w:val="FFFFFF" w:themeColor="background1"/>
                    <w:sz w:val="20"/>
                    <w:lang w:val="es-ES_tradnl"/>
                  </w:rPr>
                  <w:t>NA</w:t>
                </w:r>
              </w:p>
            </w:tc>
          </w:tr>
          <w:tr w:rsidR="009E02B2" w:rsidRPr="00600ED9" w:rsidTr="006649E2">
            <w:trPr>
              <w:jc w:val="center"/>
            </w:trPr>
            <w:tc>
              <w:tcPr>
                <w:tcW w:w="1418" w:type="dxa"/>
                <w:shd w:val="clear" w:color="auto" w:fill="D9D9D9" w:themeFill="background1" w:themeFillShade="D9"/>
              </w:tcPr>
              <w:p w:rsidR="009E02B2" w:rsidRPr="00600ED9" w:rsidRDefault="009E02B2" w:rsidP="00401E0B">
                <w:pPr>
                  <w:pStyle w:val="NoSpacing"/>
                  <w:rPr>
                    <w:b/>
                    <w:sz w:val="20"/>
                    <w:szCs w:val="20"/>
                    <w:lang w:val="es-ES_tradnl"/>
                  </w:rPr>
                </w:pPr>
                <w:r w:rsidRPr="00600ED9">
                  <w:rPr>
                    <w:b/>
                    <w:sz w:val="20"/>
                    <w:szCs w:val="20"/>
                    <w:lang w:val="es-ES_tradnl"/>
                  </w:rPr>
                  <w:t>Dominio E</w:t>
                </w:r>
              </w:p>
            </w:tc>
            <w:tc>
              <w:tcPr>
                <w:tcW w:w="7329" w:type="dxa"/>
                <w:gridSpan w:val="5"/>
                <w:shd w:val="clear" w:color="auto" w:fill="D9D9D9" w:themeFill="background1" w:themeFillShade="D9"/>
              </w:tcPr>
              <w:p w:rsidR="009E02B2" w:rsidRPr="00600ED9" w:rsidRDefault="009E02B2" w:rsidP="00BC1EC9">
                <w:pPr>
                  <w:pStyle w:val="NoSpacing"/>
                  <w:rPr>
                    <w:b/>
                    <w:sz w:val="20"/>
                    <w:szCs w:val="20"/>
                    <w:lang w:val="es-ES_tradnl"/>
                  </w:rPr>
                </w:pPr>
                <w:r w:rsidRPr="00600ED9">
                  <w:rPr>
                    <w:b/>
                    <w:sz w:val="20"/>
                    <w:szCs w:val="20"/>
                    <w:lang w:val="es-ES_tradnl"/>
                  </w:rPr>
                  <w:t>Estructuras de gestión y apoyo</w:t>
                </w:r>
              </w:p>
            </w:tc>
            <w:tc>
              <w:tcPr>
                <w:tcW w:w="1003" w:type="dxa"/>
                <w:shd w:val="clear" w:color="auto" w:fill="365F91" w:themeFill="accent1" w:themeFillShade="BF"/>
                <w:vAlign w:val="center"/>
              </w:tcPr>
              <w:p w:rsidR="009E02B2" w:rsidRPr="00600ED9" w:rsidRDefault="009E02B2" w:rsidP="00DD26FA">
                <w:pPr>
                  <w:pStyle w:val="NoSpacing"/>
                  <w:jc w:val="center"/>
                  <w:rPr>
                    <w:b/>
                    <w:color w:val="FFFFFF" w:themeColor="background1"/>
                    <w:sz w:val="20"/>
                    <w:lang w:val="es-ES_tradnl"/>
                  </w:rPr>
                </w:pPr>
              </w:p>
            </w:tc>
          </w:tr>
          <w:tr w:rsidR="009E02B2" w:rsidRPr="00600ED9" w:rsidTr="006649E2">
            <w:trPr>
              <w:jc w:val="center"/>
            </w:trPr>
            <w:tc>
              <w:tcPr>
                <w:tcW w:w="1418" w:type="dxa"/>
              </w:tcPr>
              <w:p w:rsidR="009E02B2" w:rsidRPr="00600ED9" w:rsidRDefault="009E02B2" w:rsidP="00401E0B">
                <w:pPr>
                  <w:pStyle w:val="NoSpacing"/>
                  <w:rPr>
                    <w:sz w:val="20"/>
                    <w:szCs w:val="20"/>
                    <w:lang w:val="es-ES_tradnl"/>
                  </w:rPr>
                </w:pPr>
                <w:r w:rsidRPr="00600ED9">
                  <w:rPr>
                    <w:sz w:val="20"/>
                    <w:szCs w:val="20"/>
                    <w:lang w:val="es-ES_tradnl"/>
                  </w:rPr>
                  <w:t>EFS-18</w:t>
                </w:r>
              </w:p>
            </w:tc>
            <w:tc>
              <w:tcPr>
                <w:tcW w:w="5291" w:type="dxa"/>
              </w:tcPr>
              <w:p w:rsidR="009E02B2" w:rsidRPr="00600ED9" w:rsidRDefault="009E02B2" w:rsidP="00BC1EC9">
                <w:pPr>
                  <w:pStyle w:val="NoSpacing"/>
                  <w:rPr>
                    <w:sz w:val="20"/>
                    <w:szCs w:val="20"/>
                    <w:lang w:val="es-ES_tradnl"/>
                  </w:rPr>
                </w:pPr>
                <w:r w:rsidRPr="00600ED9">
                  <w:rPr>
                    <w:sz w:val="20"/>
                    <w:szCs w:val="20"/>
                    <w:lang w:val="es-ES_tradnl"/>
                  </w:rPr>
                  <w:t>Ética, gestión y control interno</w:t>
                </w:r>
              </w:p>
            </w:tc>
            <w:tc>
              <w:tcPr>
                <w:tcW w:w="518" w:type="dxa"/>
              </w:tcPr>
              <w:p w:rsidR="009E02B2" w:rsidRPr="00600ED9" w:rsidRDefault="009E02B2" w:rsidP="00DD26FA">
                <w:pPr>
                  <w:pStyle w:val="NoSpacing"/>
                  <w:jc w:val="center"/>
                  <w:rPr>
                    <w:sz w:val="20"/>
                    <w:szCs w:val="20"/>
                    <w:lang w:val="es-ES_tradnl"/>
                  </w:rPr>
                </w:pPr>
                <w:r w:rsidRPr="00600ED9">
                  <w:rPr>
                    <w:sz w:val="20"/>
                    <w:szCs w:val="20"/>
                    <w:lang w:val="es-ES_tradnl"/>
                  </w:rPr>
                  <w:t>2</w:t>
                </w:r>
              </w:p>
            </w:tc>
            <w:tc>
              <w:tcPr>
                <w:tcW w:w="439" w:type="dxa"/>
              </w:tcPr>
              <w:p w:rsidR="009E02B2" w:rsidRPr="00600ED9" w:rsidRDefault="009E02B2" w:rsidP="001C7BF6">
                <w:pPr>
                  <w:pStyle w:val="NoSpacing"/>
                  <w:jc w:val="center"/>
                  <w:rPr>
                    <w:sz w:val="20"/>
                    <w:szCs w:val="20"/>
                    <w:lang w:val="es-ES_tradnl"/>
                  </w:rPr>
                </w:pPr>
                <w:r w:rsidRPr="00600ED9">
                  <w:rPr>
                    <w:sz w:val="20"/>
                    <w:szCs w:val="20"/>
                    <w:lang w:val="es-ES_tradnl"/>
                  </w:rPr>
                  <w:t>2</w:t>
                </w:r>
              </w:p>
            </w:tc>
            <w:tc>
              <w:tcPr>
                <w:tcW w:w="541" w:type="dxa"/>
              </w:tcPr>
              <w:p w:rsidR="009E02B2" w:rsidRPr="00600ED9" w:rsidRDefault="009E02B2" w:rsidP="003C6AB2">
                <w:pPr>
                  <w:pStyle w:val="NoSpacing"/>
                  <w:jc w:val="center"/>
                  <w:rPr>
                    <w:sz w:val="20"/>
                    <w:szCs w:val="20"/>
                    <w:lang w:val="es-ES_tradnl"/>
                  </w:rPr>
                </w:pPr>
                <w:r w:rsidRPr="00600ED9">
                  <w:rPr>
                    <w:sz w:val="20"/>
                    <w:szCs w:val="20"/>
                    <w:lang w:val="es-ES_tradnl"/>
                  </w:rPr>
                  <w:t>4</w:t>
                </w:r>
              </w:p>
            </w:tc>
            <w:tc>
              <w:tcPr>
                <w:tcW w:w="540" w:type="dxa"/>
              </w:tcPr>
              <w:p w:rsidR="009E02B2" w:rsidRPr="00600ED9" w:rsidRDefault="009E02B2" w:rsidP="00BC474D">
                <w:pPr>
                  <w:pStyle w:val="NoSpacing"/>
                  <w:jc w:val="center"/>
                  <w:rPr>
                    <w:sz w:val="20"/>
                    <w:szCs w:val="20"/>
                    <w:lang w:val="es-ES_tradnl"/>
                  </w:rPr>
                </w:pPr>
                <w:r w:rsidRPr="00600ED9">
                  <w:rPr>
                    <w:sz w:val="20"/>
                    <w:szCs w:val="20"/>
                    <w:lang w:val="es-ES_tradnl"/>
                  </w:rPr>
                  <w:t>1</w:t>
                </w:r>
              </w:p>
            </w:tc>
            <w:tc>
              <w:tcPr>
                <w:tcW w:w="1003" w:type="dxa"/>
                <w:shd w:val="clear" w:color="auto" w:fill="365F91" w:themeFill="accent1" w:themeFillShade="BF"/>
                <w:vAlign w:val="center"/>
              </w:tcPr>
              <w:p w:rsidR="009E02B2" w:rsidRPr="00600ED9" w:rsidRDefault="009E02B2" w:rsidP="00E706F4">
                <w:pPr>
                  <w:pStyle w:val="NoSpacing"/>
                  <w:jc w:val="center"/>
                  <w:rPr>
                    <w:b/>
                    <w:color w:val="FFFFFF" w:themeColor="background1"/>
                    <w:sz w:val="20"/>
                    <w:lang w:val="es-ES_tradnl"/>
                  </w:rPr>
                </w:pPr>
                <w:r w:rsidRPr="00600ED9">
                  <w:rPr>
                    <w:b/>
                    <w:color w:val="FFFFFF" w:themeColor="background1"/>
                    <w:sz w:val="20"/>
                    <w:lang w:val="es-ES_tradnl"/>
                  </w:rPr>
                  <w:t>2</w:t>
                </w:r>
              </w:p>
            </w:tc>
          </w:tr>
          <w:tr w:rsidR="009E02B2" w:rsidRPr="00600ED9" w:rsidTr="006649E2">
            <w:trPr>
              <w:jc w:val="center"/>
            </w:trPr>
            <w:tc>
              <w:tcPr>
                <w:tcW w:w="1418" w:type="dxa"/>
              </w:tcPr>
              <w:p w:rsidR="009E02B2" w:rsidRPr="00600ED9" w:rsidRDefault="009E02B2" w:rsidP="00401E0B">
                <w:pPr>
                  <w:pStyle w:val="NoSpacing"/>
                  <w:rPr>
                    <w:sz w:val="20"/>
                    <w:szCs w:val="20"/>
                    <w:lang w:val="es-ES_tradnl"/>
                  </w:rPr>
                </w:pPr>
                <w:r w:rsidRPr="00600ED9">
                  <w:rPr>
                    <w:sz w:val="20"/>
                    <w:szCs w:val="20"/>
                    <w:lang w:val="es-ES_tradnl"/>
                  </w:rPr>
                  <w:t>EFS-19</w:t>
                </w:r>
              </w:p>
            </w:tc>
            <w:tc>
              <w:tcPr>
                <w:tcW w:w="5291" w:type="dxa"/>
              </w:tcPr>
              <w:p w:rsidR="009E02B2" w:rsidRPr="00600ED9" w:rsidRDefault="009E02B2" w:rsidP="00BC1EC9">
                <w:pPr>
                  <w:pStyle w:val="NoSpacing"/>
                  <w:rPr>
                    <w:sz w:val="20"/>
                    <w:szCs w:val="20"/>
                    <w:lang w:val="es-ES_tradnl"/>
                  </w:rPr>
                </w:pPr>
                <w:r w:rsidRPr="00600ED9">
                  <w:rPr>
                    <w:sz w:val="20"/>
                    <w:szCs w:val="20"/>
                    <w:lang w:val="es-ES_tradnl"/>
                  </w:rPr>
                  <w:t>Gestión de activos y servicios de apoyo</w:t>
                </w:r>
              </w:p>
            </w:tc>
            <w:tc>
              <w:tcPr>
                <w:tcW w:w="518" w:type="dxa"/>
              </w:tcPr>
              <w:p w:rsidR="009E02B2" w:rsidRPr="00600ED9" w:rsidRDefault="009E02B2" w:rsidP="00DD26FA">
                <w:pPr>
                  <w:pStyle w:val="NoSpacing"/>
                  <w:jc w:val="center"/>
                  <w:rPr>
                    <w:sz w:val="20"/>
                    <w:szCs w:val="20"/>
                    <w:lang w:val="es-ES_tradnl"/>
                  </w:rPr>
                </w:pPr>
                <w:r w:rsidRPr="00600ED9">
                  <w:rPr>
                    <w:sz w:val="20"/>
                    <w:szCs w:val="20"/>
                    <w:lang w:val="es-ES_tradnl"/>
                  </w:rPr>
                  <w:t>1</w:t>
                </w:r>
              </w:p>
            </w:tc>
            <w:tc>
              <w:tcPr>
                <w:tcW w:w="439" w:type="dxa"/>
              </w:tcPr>
              <w:p w:rsidR="009E02B2" w:rsidRPr="00600ED9" w:rsidRDefault="009E02B2" w:rsidP="001C7BF6">
                <w:pPr>
                  <w:pStyle w:val="NoSpacing"/>
                  <w:jc w:val="center"/>
                  <w:rPr>
                    <w:sz w:val="20"/>
                    <w:szCs w:val="20"/>
                    <w:lang w:val="es-ES_tradnl"/>
                  </w:rPr>
                </w:pPr>
                <w:r w:rsidRPr="00600ED9">
                  <w:rPr>
                    <w:sz w:val="20"/>
                    <w:szCs w:val="20"/>
                    <w:lang w:val="es-ES_tradnl"/>
                  </w:rPr>
                  <w:t>0</w:t>
                </w:r>
              </w:p>
            </w:tc>
            <w:tc>
              <w:tcPr>
                <w:tcW w:w="541" w:type="dxa"/>
                <w:shd w:val="clear" w:color="auto" w:fill="D9D9D9" w:themeFill="background1" w:themeFillShade="D9"/>
              </w:tcPr>
              <w:p w:rsidR="009E02B2" w:rsidRPr="00600ED9" w:rsidRDefault="009E02B2" w:rsidP="003C6AB2">
                <w:pPr>
                  <w:pStyle w:val="NoSpacing"/>
                  <w:jc w:val="center"/>
                  <w:rPr>
                    <w:sz w:val="20"/>
                    <w:szCs w:val="20"/>
                    <w:lang w:val="es-ES_tradnl"/>
                  </w:rPr>
                </w:pPr>
              </w:p>
            </w:tc>
            <w:tc>
              <w:tcPr>
                <w:tcW w:w="540" w:type="dxa"/>
                <w:shd w:val="clear" w:color="auto" w:fill="D9D9D9" w:themeFill="background1" w:themeFillShade="D9"/>
              </w:tcPr>
              <w:p w:rsidR="009E02B2" w:rsidRPr="00600ED9" w:rsidRDefault="009E02B2" w:rsidP="00BC474D">
                <w:pPr>
                  <w:pStyle w:val="NoSpacing"/>
                  <w:jc w:val="center"/>
                  <w:rPr>
                    <w:sz w:val="20"/>
                    <w:szCs w:val="20"/>
                    <w:lang w:val="es-ES_tradnl"/>
                  </w:rPr>
                </w:pPr>
              </w:p>
            </w:tc>
            <w:tc>
              <w:tcPr>
                <w:tcW w:w="1003" w:type="dxa"/>
                <w:shd w:val="clear" w:color="auto" w:fill="365F91" w:themeFill="accent1" w:themeFillShade="BF"/>
                <w:vAlign w:val="center"/>
              </w:tcPr>
              <w:p w:rsidR="009E02B2" w:rsidRPr="00600ED9" w:rsidRDefault="009E02B2" w:rsidP="00E706F4">
                <w:pPr>
                  <w:pStyle w:val="NoSpacing"/>
                  <w:jc w:val="center"/>
                  <w:rPr>
                    <w:b/>
                    <w:color w:val="FFFFFF" w:themeColor="background1"/>
                    <w:sz w:val="20"/>
                    <w:lang w:val="es-ES_tradnl"/>
                  </w:rPr>
                </w:pPr>
                <w:r w:rsidRPr="00600ED9">
                  <w:rPr>
                    <w:b/>
                    <w:color w:val="FFFFFF" w:themeColor="background1"/>
                    <w:sz w:val="20"/>
                    <w:lang w:val="es-ES_tradnl"/>
                  </w:rPr>
                  <w:t>0</w:t>
                </w:r>
              </w:p>
            </w:tc>
          </w:tr>
          <w:tr w:rsidR="009E02B2" w:rsidRPr="00600ED9" w:rsidTr="006649E2">
            <w:trPr>
              <w:jc w:val="center"/>
            </w:trPr>
            <w:tc>
              <w:tcPr>
                <w:tcW w:w="1418" w:type="dxa"/>
                <w:shd w:val="clear" w:color="auto" w:fill="D9D9D9" w:themeFill="background1" w:themeFillShade="D9"/>
              </w:tcPr>
              <w:p w:rsidR="009E02B2" w:rsidRPr="00600ED9" w:rsidRDefault="009E02B2" w:rsidP="00401E0B">
                <w:pPr>
                  <w:pStyle w:val="NoSpacing"/>
                  <w:rPr>
                    <w:b/>
                    <w:sz w:val="20"/>
                    <w:szCs w:val="20"/>
                    <w:lang w:val="es-ES_tradnl"/>
                  </w:rPr>
                </w:pPr>
                <w:r w:rsidRPr="00600ED9">
                  <w:rPr>
                    <w:b/>
                    <w:sz w:val="20"/>
                    <w:szCs w:val="20"/>
                    <w:lang w:val="es-ES_tradnl"/>
                  </w:rPr>
                  <w:t>Dominio F</w:t>
                </w:r>
              </w:p>
            </w:tc>
            <w:tc>
              <w:tcPr>
                <w:tcW w:w="7329" w:type="dxa"/>
                <w:gridSpan w:val="5"/>
                <w:shd w:val="clear" w:color="auto" w:fill="D9D9D9" w:themeFill="background1" w:themeFillShade="D9"/>
              </w:tcPr>
              <w:p w:rsidR="009E02B2" w:rsidRPr="00600ED9" w:rsidRDefault="009E02B2" w:rsidP="00BC1EC9">
                <w:pPr>
                  <w:pStyle w:val="NoSpacing"/>
                  <w:rPr>
                    <w:b/>
                    <w:sz w:val="20"/>
                    <w:szCs w:val="20"/>
                    <w:lang w:val="es-ES_tradnl"/>
                  </w:rPr>
                </w:pPr>
                <w:r w:rsidRPr="00600ED9">
                  <w:rPr>
                    <w:b/>
                    <w:sz w:val="20"/>
                    <w:szCs w:val="20"/>
                    <w:lang w:val="es-ES_tradnl"/>
                  </w:rPr>
                  <w:t>Recursos humanos y liderazgo</w:t>
                </w:r>
              </w:p>
            </w:tc>
            <w:tc>
              <w:tcPr>
                <w:tcW w:w="1003" w:type="dxa"/>
                <w:shd w:val="clear" w:color="auto" w:fill="365F91" w:themeFill="accent1" w:themeFillShade="BF"/>
                <w:vAlign w:val="center"/>
              </w:tcPr>
              <w:p w:rsidR="009E02B2" w:rsidRPr="00600ED9" w:rsidRDefault="009E02B2" w:rsidP="00DD26FA">
                <w:pPr>
                  <w:pStyle w:val="NoSpacing"/>
                  <w:jc w:val="center"/>
                  <w:rPr>
                    <w:b/>
                    <w:color w:val="FFFFFF" w:themeColor="background1"/>
                    <w:sz w:val="20"/>
                    <w:lang w:val="es-ES_tradnl"/>
                  </w:rPr>
                </w:pPr>
              </w:p>
            </w:tc>
          </w:tr>
          <w:tr w:rsidR="009E02B2" w:rsidRPr="00600ED9" w:rsidTr="006649E2">
            <w:trPr>
              <w:jc w:val="center"/>
            </w:trPr>
            <w:tc>
              <w:tcPr>
                <w:tcW w:w="1418" w:type="dxa"/>
              </w:tcPr>
              <w:p w:rsidR="009E02B2" w:rsidRPr="00600ED9" w:rsidRDefault="009E02B2" w:rsidP="00401E0B">
                <w:pPr>
                  <w:pStyle w:val="NoSpacing"/>
                  <w:rPr>
                    <w:sz w:val="20"/>
                    <w:szCs w:val="20"/>
                    <w:lang w:val="es-ES_tradnl"/>
                  </w:rPr>
                </w:pPr>
                <w:r w:rsidRPr="00600ED9">
                  <w:rPr>
                    <w:sz w:val="20"/>
                    <w:szCs w:val="20"/>
                    <w:lang w:val="es-ES_tradnl"/>
                  </w:rPr>
                  <w:t>EFS-20</w:t>
                </w:r>
              </w:p>
            </w:tc>
            <w:tc>
              <w:tcPr>
                <w:tcW w:w="5291" w:type="dxa"/>
              </w:tcPr>
              <w:p w:rsidR="009E02B2" w:rsidRPr="00600ED9" w:rsidRDefault="009E02B2" w:rsidP="00BC1EC9">
                <w:pPr>
                  <w:pStyle w:val="NoSpacing"/>
                  <w:rPr>
                    <w:sz w:val="20"/>
                    <w:szCs w:val="20"/>
                    <w:lang w:val="es-ES_tradnl"/>
                  </w:rPr>
                </w:pPr>
                <w:r w:rsidRPr="00600ED9">
                  <w:rPr>
                    <w:sz w:val="20"/>
                    <w:szCs w:val="20"/>
                    <w:lang w:val="es-ES_tradnl"/>
                  </w:rPr>
                  <w:t>Liderazgo y función de recursos humanos</w:t>
                </w:r>
              </w:p>
            </w:tc>
            <w:tc>
              <w:tcPr>
                <w:tcW w:w="518" w:type="dxa"/>
              </w:tcPr>
              <w:p w:rsidR="009E02B2" w:rsidRPr="00600ED9" w:rsidRDefault="009E02B2" w:rsidP="00DD26FA">
                <w:pPr>
                  <w:pStyle w:val="NoSpacing"/>
                  <w:jc w:val="center"/>
                  <w:rPr>
                    <w:sz w:val="20"/>
                    <w:szCs w:val="20"/>
                    <w:lang w:val="es-ES_tradnl"/>
                  </w:rPr>
                </w:pPr>
                <w:r w:rsidRPr="00600ED9">
                  <w:rPr>
                    <w:sz w:val="20"/>
                    <w:szCs w:val="20"/>
                    <w:lang w:val="es-ES_tradnl"/>
                  </w:rPr>
                  <w:t>4</w:t>
                </w:r>
              </w:p>
            </w:tc>
            <w:tc>
              <w:tcPr>
                <w:tcW w:w="439" w:type="dxa"/>
              </w:tcPr>
              <w:p w:rsidR="009E02B2" w:rsidRPr="00600ED9" w:rsidRDefault="009E02B2" w:rsidP="001C7BF6">
                <w:pPr>
                  <w:pStyle w:val="NoSpacing"/>
                  <w:jc w:val="center"/>
                  <w:rPr>
                    <w:sz w:val="20"/>
                    <w:szCs w:val="20"/>
                    <w:lang w:val="es-ES_tradnl"/>
                  </w:rPr>
                </w:pPr>
                <w:r w:rsidRPr="00600ED9">
                  <w:rPr>
                    <w:sz w:val="20"/>
                    <w:szCs w:val="20"/>
                    <w:lang w:val="es-ES_tradnl"/>
                  </w:rPr>
                  <w:t>2</w:t>
                </w:r>
              </w:p>
            </w:tc>
            <w:tc>
              <w:tcPr>
                <w:tcW w:w="541" w:type="dxa"/>
              </w:tcPr>
              <w:p w:rsidR="009E02B2" w:rsidRPr="00600ED9" w:rsidRDefault="009E02B2" w:rsidP="003C6AB2">
                <w:pPr>
                  <w:pStyle w:val="NoSpacing"/>
                  <w:jc w:val="center"/>
                  <w:rPr>
                    <w:sz w:val="20"/>
                    <w:szCs w:val="20"/>
                    <w:lang w:val="es-ES_tradnl"/>
                  </w:rPr>
                </w:pPr>
                <w:r w:rsidRPr="00600ED9">
                  <w:rPr>
                    <w:sz w:val="20"/>
                    <w:szCs w:val="20"/>
                    <w:lang w:val="es-ES_tradnl"/>
                  </w:rPr>
                  <w:t>4</w:t>
                </w:r>
              </w:p>
            </w:tc>
            <w:tc>
              <w:tcPr>
                <w:tcW w:w="540" w:type="dxa"/>
                <w:shd w:val="clear" w:color="auto" w:fill="auto"/>
              </w:tcPr>
              <w:p w:rsidR="009E02B2" w:rsidRPr="00600ED9" w:rsidRDefault="009E02B2" w:rsidP="00BC474D">
                <w:pPr>
                  <w:pStyle w:val="NoSpacing"/>
                  <w:jc w:val="center"/>
                  <w:rPr>
                    <w:sz w:val="20"/>
                    <w:szCs w:val="20"/>
                    <w:lang w:val="es-ES_tradnl"/>
                  </w:rPr>
                </w:pPr>
                <w:r w:rsidRPr="00600ED9">
                  <w:rPr>
                    <w:sz w:val="20"/>
                    <w:szCs w:val="20"/>
                    <w:lang w:val="es-ES_tradnl"/>
                  </w:rPr>
                  <w:t>NA</w:t>
                </w:r>
              </w:p>
            </w:tc>
            <w:tc>
              <w:tcPr>
                <w:tcW w:w="1003" w:type="dxa"/>
                <w:shd w:val="clear" w:color="auto" w:fill="365F91" w:themeFill="accent1" w:themeFillShade="BF"/>
                <w:vAlign w:val="center"/>
              </w:tcPr>
              <w:p w:rsidR="009E02B2" w:rsidRPr="00600ED9" w:rsidRDefault="009E02B2" w:rsidP="00E706F4">
                <w:pPr>
                  <w:pStyle w:val="NoSpacing"/>
                  <w:jc w:val="center"/>
                  <w:rPr>
                    <w:b/>
                    <w:color w:val="FFFFFF" w:themeColor="background1"/>
                    <w:sz w:val="20"/>
                    <w:lang w:val="es-ES_tradnl"/>
                  </w:rPr>
                </w:pPr>
                <w:r w:rsidRPr="00600ED9">
                  <w:rPr>
                    <w:b/>
                    <w:color w:val="FFFFFF" w:themeColor="background1"/>
                    <w:sz w:val="20"/>
                    <w:lang w:val="es-ES_tradnl"/>
                  </w:rPr>
                  <w:t>3</w:t>
                </w:r>
              </w:p>
            </w:tc>
          </w:tr>
          <w:tr w:rsidR="009E02B2" w:rsidRPr="00600ED9" w:rsidTr="006649E2">
            <w:trPr>
              <w:jc w:val="center"/>
            </w:trPr>
            <w:tc>
              <w:tcPr>
                <w:tcW w:w="1418" w:type="dxa"/>
              </w:tcPr>
              <w:p w:rsidR="009E02B2" w:rsidRPr="00600ED9" w:rsidRDefault="009E02B2" w:rsidP="00401E0B">
                <w:pPr>
                  <w:pStyle w:val="NoSpacing"/>
                  <w:rPr>
                    <w:sz w:val="20"/>
                    <w:szCs w:val="20"/>
                    <w:lang w:val="es-ES_tradnl"/>
                  </w:rPr>
                </w:pPr>
                <w:r w:rsidRPr="00600ED9">
                  <w:rPr>
                    <w:sz w:val="20"/>
                    <w:szCs w:val="20"/>
                    <w:lang w:val="es-ES_tradnl"/>
                  </w:rPr>
                  <w:t>EFS-21</w:t>
                </w:r>
              </w:p>
            </w:tc>
            <w:tc>
              <w:tcPr>
                <w:tcW w:w="5291" w:type="dxa"/>
              </w:tcPr>
              <w:p w:rsidR="009E02B2" w:rsidRPr="00600ED9" w:rsidRDefault="009E02B2" w:rsidP="00BC1EC9">
                <w:pPr>
                  <w:pStyle w:val="NoSpacing"/>
                  <w:rPr>
                    <w:sz w:val="20"/>
                    <w:szCs w:val="20"/>
                    <w:lang w:val="es-ES_tradnl"/>
                  </w:rPr>
                </w:pPr>
                <w:r w:rsidRPr="00600ED9">
                  <w:rPr>
                    <w:sz w:val="20"/>
                    <w:szCs w:val="20"/>
                    <w:lang w:val="es-ES_tradnl"/>
                  </w:rPr>
                  <w:t>Desarrollo y capacitación profesional</w:t>
                </w:r>
              </w:p>
            </w:tc>
            <w:tc>
              <w:tcPr>
                <w:tcW w:w="518" w:type="dxa"/>
              </w:tcPr>
              <w:p w:rsidR="009E02B2" w:rsidRPr="00600ED9" w:rsidRDefault="009E02B2" w:rsidP="00DD26FA">
                <w:pPr>
                  <w:pStyle w:val="NoSpacing"/>
                  <w:jc w:val="center"/>
                  <w:rPr>
                    <w:sz w:val="20"/>
                    <w:szCs w:val="20"/>
                    <w:lang w:val="es-ES_tradnl"/>
                  </w:rPr>
                </w:pPr>
                <w:r w:rsidRPr="00600ED9">
                  <w:rPr>
                    <w:sz w:val="20"/>
                    <w:szCs w:val="20"/>
                    <w:lang w:val="es-ES_tradnl"/>
                  </w:rPr>
                  <w:t>2</w:t>
                </w:r>
              </w:p>
            </w:tc>
            <w:tc>
              <w:tcPr>
                <w:tcW w:w="439" w:type="dxa"/>
                <w:shd w:val="clear" w:color="auto" w:fill="auto"/>
              </w:tcPr>
              <w:p w:rsidR="009E02B2" w:rsidRPr="00600ED9" w:rsidRDefault="009E02B2" w:rsidP="001C7BF6">
                <w:pPr>
                  <w:pStyle w:val="NoSpacing"/>
                  <w:jc w:val="center"/>
                  <w:rPr>
                    <w:sz w:val="20"/>
                    <w:szCs w:val="20"/>
                    <w:lang w:val="es-ES_tradnl"/>
                  </w:rPr>
                </w:pPr>
                <w:r w:rsidRPr="00600ED9">
                  <w:rPr>
                    <w:sz w:val="20"/>
                    <w:szCs w:val="20"/>
                    <w:lang w:val="es-ES_tradnl"/>
                  </w:rPr>
                  <w:t>3</w:t>
                </w:r>
              </w:p>
            </w:tc>
            <w:tc>
              <w:tcPr>
                <w:tcW w:w="541" w:type="dxa"/>
                <w:shd w:val="clear" w:color="auto" w:fill="D9D9D9" w:themeFill="background1" w:themeFillShade="D9"/>
              </w:tcPr>
              <w:p w:rsidR="009E02B2" w:rsidRPr="00600ED9" w:rsidRDefault="009E02B2" w:rsidP="003C6AB2">
                <w:pPr>
                  <w:pStyle w:val="NoSpacing"/>
                  <w:jc w:val="center"/>
                  <w:rPr>
                    <w:sz w:val="20"/>
                    <w:szCs w:val="20"/>
                    <w:lang w:val="es-ES_tradnl"/>
                  </w:rPr>
                </w:pPr>
              </w:p>
            </w:tc>
            <w:tc>
              <w:tcPr>
                <w:tcW w:w="540" w:type="dxa"/>
                <w:shd w:val="clear" w:color="auto" w:fill="D9D9D9" w:themeFill="background1" w:themeFillShade="D9"/>
              </w:tcPr>
              <w:p w:rsidR="009E02B2" w:rsidRPr="00600ED9" w:rsidRDefault="009E02B2" w:rsidP="00BC474D">
                <w:pPr>
                  <w:pStyle w:val="NoSpacing"/>
                  <w:jc w:val="center"/>
                  <w:rPr>
                    <w:sz w:val="20"/>
                    <w:szCs w:val="20"/>
                    <w:lang w:val="es-ES_tradnl"/>
                  </w:rPr>
                </w:pPr>
              </w:p>
            </w:tc>
            <w:tc>
              <w:tcPr>
                <w:tcW w:w="1003" w:type="dxa"/>
                <w:shd w:val="clear" w:color="auto" w:fill="365F91" w:themeFill="accent1" w:themeFillShade="BF"/>
                <w:vAlign w:val="center"/>
              </w:tcPr>
              <w:p w:rsidR="009E02B2" w:rsidRPr="00600ED9" w:rsidRDefault="009E02B2" w:rsidP="00E706F4">
                <w:pPr>
                  <w:pStyle w:val="NoSpacing"/>
                  <w:jc w:val="center"/>
                  <w:rPr>
                    <w:b/>
                    <w:color w:val="FFFFFF" w:themeColor="background1"/>
                    <w:sz w:val="20"/>
                    <w:lang w:val="es-ES_tradnl"/>
                  </w:rPr>
                </w:pPr>
                <w:r w:rsidRPr="00600ED9">
                  <w:rPr>
                    <w:b/>
                    <w:color w:val="FFFFFF" w:themeColor="background1"/>
                    <w:sz w:val="20"/>
                    <w:lang w:val="es-ES_tradnl"/>
                  </w:rPr>
                  <w:t>2</w:t>
                </w:r>
              </w:p>
            </w:tc>
          </w:tr>
          <w:tr w:rsidR="009E02B2" w:rsidRPr="00600ED9" w:rsidTr="006649E2">
            <w:trPr>
              <w:jc w:val="center"/>
            </w:trPr>
            <w:tc>
              <w:tcPr>
                <w:tcW w:w="1418" w:type="dxa"/>
                <w:shd w:val="clear" w:color="auto" w:fill="D9D9D9" w:themeFill="background1" w:themeFillShade="D9"/>
              </w:tcPr>
              <w:p w:rsidR="009E02B2" w:rsidRPr="00600ED9" w:rsidRDefault="009E02B2" w:rsidP="00401E0B">
                <w:pPr>
                  <w:pStyle w:val="NoSpacing"/>
                  <w:rPr>
                    <w:b/>
                    <w:sz w:val="20"/>
                    <w:szCs w:val="20"/>
                    <w:lang w:val="es-ES_tradnl"/>
                  </w:rPr>
                </w:pPr>
                <w:r w:rsidRPr="00600ED9">
                  <w:rPr>
                    <w:b/>
                    <w:sz w:val="20"/>
                    <w:szCs w:val="20"/>
                    <w:lang w:val="es-ES_tradnl"/>
                  </w:rPr>
                  <w:t>Dominio G</w:t>
                </w:r>
              </w:p>
            </w:tc>
            <w:tc>
              <w:tcPr>
                <w:tcW w:w="7329" w:type="dxa"/>
                <w:gridSpan w:val="5"/>
                <w:shd w:val="clear" w:color="auto" w:fill="D9D9D9" w:themeFill="background1" w:themeFillShade="D9"/>
              </w:tcPr>
              <w:p w:rsidR="009E02B2" w:rsidRPr="00600ED9" w:rsidRDefault="009E02B2" w:rsidP="00BC1EC9">
                <w:pPr>
                  <w:pStyle w:val="NoSpacing"/>
                  <w:rPr>
                    <w:b/>
                    <w:sz w:val="20"/>
                    <w:szCs w:val="20"/>
                    <w:lang w:val="es-ES_tradnl"/>
                  </w:rPr>
                </w:pPr>
                <w:r w:rsidRPr="00600ED9">
                  <w:rPr>
                    <w:b/>
                    <w:sz w:val="20"/>
                    <w:szCs w:val="20"/>
                    <w:lang w:val="es-ES_tradnl"/>
                  </w:rPr>
                  <w:t>Comunicación y gestión de las partes interesadas</w:t>
                </w:r>
              </w:p>
            </w:tc>
            <w:tc>
              <w:tcPr>
                <w:tcW w:w="1003" w:type="dxa"/>
                <w:shd w:val="clear" w:color="auto" w:fill="365F91" w:themeFill="accent1" w:themeFillShade="BF"/>
                <w:vAlign w:val="center"/>
              </w:tcPr>
              <w:p w:rsidR="009E02B2" w:rsidRPr="00600ED9" w:rsidRDefault="009E02B2" w:rsidP="00DD26FA">
                <w:pPr>
                  <w:pStyle w:val="NoSpacing"/>
                  <w:jc w:val="center"/>
                  <w:rPr>
                    <w:b/>
                    <w:color w:val="FFFFFF" w:themeColor="background1"/>
                    <w:sz w:val="20"/>
                    <w:lang w:val="es-ES_tradnl"/>
                  </w:rPr>
                </w:pPr>
              </w:p>
            </w:tc>
          </w:tr>
          <w:tr w:rsidR="009E02B2" w:rsidRPr="00600ED9" w:rsidTr="006649E2">
            <w:trPr>
              <w:jc w:val="center"/>
            </w:trPr>
            <w:tc>
              <w:tcPr>
                <w:tcW w:w="1418" w:type="dxa"/>
              </w:tcPr>
              <w:p w:rsidR="009E02B2" w:rsidRPr="00600ED9" w:rsidRDefault="009E02B2" w:rsidP="00401E0B">
                <w:pPr>
                  <w:pStyle w:val="NoSpacing"/>
                  <w:rPr>
                    <w:sz w:val="20"/>
                    <w:szCs w:val="20"/>
                    <w:lang w:val="es-ES_tradnl"/>
                  </w:rPr>
                </w:pPr>
                <w:r w:rsidRPr="00600ED9">
                  <w:rPr>
                    <w:sz w:val="20"/>
                    <w:szCs w:val="20"/>
                    <w:lang w:val="es-ES_tradnl"/>
                  </w:rPr>
                  <w:t>EFS-22</w:t>
                </w:r>
              </w:p>
            </w:tc>
            <w:tc>
              <w:tcPr>
                <w:tcW w:w="5291" w:type="dxa"/>
              </w:tcPr>
              <w:p w:rsidR="009E02B2" w:rsidRPr="00600ED9" w:rsidRDefault="009E02B2" w:rsidP="00BC1EC9">
                <w:pPr>
                  <w:pStyle w:val="NoSpacing"/>
                  <w:rPr>
                    <w:sz w:val="20"/>
                    <w:szCs w:val="20"/>
                    <w:lang w:val="es-ES_tradnl"/>
                  </w:rPr>
                </w:pPr>
                <w:r w:rsidRPr="00600ED9">
                  <w:rPr>
                    <w:sz w:val="20"/>
                    <w:szCs w:val="20"/>
                    <w:lang w:val="es-ES_tradnl"/>
                  </w:rPr>
                  <w:t>Estrategia de comunicación y comunicación interna</w:t>
                </w:r>
              </w:p>
            </w:tc>
            <w:tc>
              <w:tcPr>
                <w:tcW w:w="518" w:type="dxa"/>
              </w:tcPr>
              <w:p w:rsidR="009E02B2" w:rsidRPr="00600ED9" w:rsidRDefault="009E02B2" w:rsidP="00DD26FA">
                <w:pPr>
                  <w:pStyle w:val="NoSpacing"/>
                  <w:jc w:val="center"/>
                  <w:rPr>
                    <w:sz w:val="20"/>
                    <w:szCs w:val="20"/>
                    <w:lang w:val="es-ES_tradnl"/>
                  </w:rPr>
                </w:pPr>
                <w:r w:rsidRPr="00600ED9">
                  <w:rPr>
                    <w:sz w:val="20"/>
                    <w:szCs w:val="20"/>
                    <w:lang w:val="es-ES_tradnl"/>
                  </w:rPr>
                  <w:t>0</w:t>
                </w:r>
              </w:p>
            </w:tc>
            <w:tc>
              <w:tcPr>
                <w:tcW w:w="439" w:type="dxa"/>
              </w:tcPr>
              <w:p w:rsidR="009E02B2" w:rsidRPr="00600ED9" w:rsidRDefault="009E02B2" w:rsidP="001C7BF6">
                <w:pPr>
                  <w:pStyle w:val="NoSpacing"/>
                  <w:jc w:val="center"/>
                  <w:rPr>
                    <w:sz w:val="20"/>
                    <w:szCs w:val="20"/>
                    <w:lang w:val="es-ES_tradnl"/>
                  </w:rPr>
                </w:pPr>
                <w:r w:rsidRPr="00600ED9">
                  <w:rPr>
                    <w:sz w:val="20"/>
                    <w:szCs w:val="20"/>
                    <w:lang w:val="es-ES_tradnl"/>
                  </w:rPr>
                  <w:t>1</w:t>
                </w:r>
              </w:p>
            </w:tc>
            <w:tc>
              <w:tcPr>
                <w:tcW w:w="541" w:type="dxa"/>
                <w:shd w:val="clear" w:color="auto" w:fill="D9D9D9" w:themeFill="background1" w:themeFillShade="D9"/>
              </w:tcPr>
              <w:p w:rsidR="009E02B2" w:rsidRPr="00600ED9" w:rsidRDefault="009E02B2" w:rsidP="003C6AB2">
                <w:pPr>
                  <w:pStyle w:val="NoSpacing"/>
                  <w:jc w:val="center"/>
                  <w:rPr>
                    <w:sz w:val="20"/>
                    <w:szCs w:val="20"/>
                    <w:lang w:val="es-ES_tradnl"/>
                  </w:rPr>
                </w:pPr>
              </w:p>
            </w:tc>
            <w:tc>
              <w:tcPr>
                <w:tcW w:w="540" w:type="dxa"/>
                <w:shd w:val="clear" w:color="auto" w:fill="D9D9D9" w:themeFill="background1" w:themeFillShade="D9"/>
              </w:tcPr>
              <w:p w:rsidR="009E02B2" w:rsidRPr="00600ED9" w:rsidRDefault="009E02B2" w:rsidP="00BC474D">
                <w:pPr>
                  <w:pStyle w:val="NoSpacing"/>
                  <w:jc w:val="center"/>
                  <w:rPr>
                    <w:sz w:val="20"/>
                    <w:szCs w:val="20"/>
                    <w:lang w:val="es-ES_tradnl"/>
                  </w:rPr>
                </w:pPr>
              </w:p>
            </w:tc>
            <w:tc>
              <w:tcPr>
                <w:tcW w:w="1003" w:type="dxa"/>
                <w:shd w:val="clear" w:color="auto" w:fill="365F91" w:themeFill="accent1" w:themeFillShade="BF"/>
                <w:vAlign w:val="center"/>
              </w:tcPr>
              <w:p w:rsidR="009E02B2" w:rsidRPr="00600ED9" w:rsidRDefault="009E02B2" w:rsidP="00E706F4">
                <w:pPr>
                  <w:pStyle w:val="NoSpacing"/>
                  <w:jc w:val="center"/>
                  <w:rPr>
                    <w:b/>
                    <w:color w:val="FFFFFF" w:themeColor="background1"/>
                    <w:sz w:val="20"/>
                    <w:lang w:val="es-ES_tradnl"/>
                  </w:rPr>
                </w:pPr>
                <w:r w:rsidRPr="00600ED9">
                  <w:rPr>
                    <w:b/>
                    <w:color w:val="FFFFFF" w:themeColor="background1"/>
                    <w:sz w:val="20"/>
                    <w:lang w:val="es-ES_tradnl"/>
                  </w:rPr>
                  <w:t>0</w:t>
                </w:r>
              </w:p>
            </w:tc>
          </w:tr>
          <w:tr w:rsidR="009E02B2" w:rsidRPr="00600ED9" w:rsidTr="006649E2">
            <w:trPr>
              <w:jc w:val="center"/>
            </w:trPr>
            <w:tc>
              <w:tcPr>
                <w:tcW w:w="1418" w:type="dxa"/>
              </w:tcPr>
              <w:p w:rsidR="009E02B2" w:rsidRPr="00600ED9" w:rsidRDefault="009E02B2" w:rsidP="00401E0B">
                <w:pPr>
                  <w:pStyle w:val="NoSpacing"/>
                  <w:rPr>
                    <w:sz w:val="20"/>
                    <w:szCs w:val="20"/>
                    <w:lang w:val="es-ES_tradnl"/>
                  </w:rPr>
                </w:pPr>
                <w:r w:rsidRPr="00600ED9">
                  <w:rPr>
                    <w:sz w:val="20"/>
                    <w:szCs w:val="20"/>
                    <w:lang w:val="es-ES_tradnl"/>
                  </w:rPr>
                  <w:t>EFS-23</w:t>
                </w:r>
              </w:p>
            </w:tc>
            <w:tc>
              <w:tcPr>
                <w:tcW w:w="5291" w:type="dxa"/>
              </w:tcPr>
              <w:p w:rsidR="009E02B2" w:rsidRPr="00600ED9" w:rsidRDefault="009E02B2" w:rsidP="00BC1EC9">
                <w:pPr>
                  <w:pStyle w:val="NoSpacing"/>
                  <w:rPr>
                    <w:sz w:val="20"/>
                    <w:szCs w:val="20"/>
                    <w:lang w:val="es-ES_tradnl"/>
                  </w:rPr>
                </w:pPr>
                <w:r w:rsidRPr="00600ED9">
                  <w:rPr>
                    <w:sz w:val="20"/>
                    <w:szCs w:val="20"/>
                    <w:lang w:val="es-ES_tradnl"/>
                  </w:rPr>
                  <w:t>Comunicación con los tres poderes del gobierno</w:t>
                </w:r>
              </w:p>
            </w:tc>
            <w:tc>
              <w:tcPr>
                <w:tcW w:w="518" w:type="dxa"/>
              </w:tcPr>
              <w:p w:rsidR="009E02B2" w:rsidRPr="00600ED9" w:rsidRDefault="009E02B2" w:rsidP="00DD26FA">
                <w:pPr>
                  <w:pStyle w:val="NoSpacing"/>
                  <w:jc w:val="center"/>
                  <w:rPr>
                    <w:sz w:val="20"/>
                    <w:szCs w:val="20"/>
                    <w:lang w:val="es-ES_tradnl"/>
                  </w:rPr>
                </w:pPr>
                <w:r w:rsidRPr="00600ED9">
                  <w:rPr>
                    <w:sz w:val="20"/>
                    <w:szCs w:val="20"/>
                    <w:lang w:val="es-ES_tradnl"/>
                  </w:rPr>
                  <w:t>3</w:t>
                </w:r>
              </w:p>
            </w:tc>
            <w:tc>
              <w:tcPr>
                <w:tcW w:w="439" w:type="dxa"/>
              </w:tcPr>
              <w:p w:rsidR="009E02B2" w:rsidRPr="00600ED9" w:rsidRDefault="009E02B2" w:rsidP="001C7BF6">
                <w:pPr>
                  <w:pStyle w:val="NoSpacing"/>
                  <w:jc w:val="center"/>
                  <w:rPr>
                    <w:sz w:val="20"/>
                    <w:szCs w:val="20"/>
                    <w:lang w:val="es-ES_tradnl"/>
                  </w:rPr>
                </w:pPr>
                <w:r w:rsidRPr="00600ED9">
                  <w:rPr>
                    <w:sz w:val="20"/>
                    <w:szCs w:val="20"/>
                    <w:lang w:val="es-ES_tradnl"/>
                  </w:rPr>
                  <w:t>1</w:t>
                </w:r>
              </w:p>
            </w:tc>
            <w:tc>
              <w:tcPr>
                <w:tcW w:w="541" w:type="dxa"/>
                <w:shd w:val="clear" w:color="auto" w:fill="auto"/>
              </w:tcPr>
              <w:p w:rsidR="009E02B2" w:rsidRPr="00600ED9" w:rsidRDefault="009E02B2" w:rsidP="003C6AB2">
                <w:pPr>
                  <w:pStyle w:val="NoSpacing"/>
                  <w:jc w:val="center"/>
                  <w:rPr>
                    <w:sz w:val="20"/>
                    <w:szCs w:val="20"/>
                    <w:lang w:val="es-ES_tradnl"/>
                  </w:rPr>
                </w:pPr>
                <w:r w:rsidRPr="00600ED9">
                  <w:rPr>
                    <w:sz w:val="20"/>
                    <w:szCs w:val="20"/>
                    <w:lang w:val="es-ES_tradnl"/>
                  </w:rPr>
                  <w:t>3</w:t>
                </w:r>
              </w:p>
            </w:tc>
            <w:tc>
              <w:tcPr>
                <w:tcW w:w="540" w:type="dxa"/>
                <w:shd w:val="clear" w:color="auto" w:fill="D9D9D9" w:themeFill="background1" w:themeFillShade="D9"/>
              </w:tcPr>
              <w:p w:rsidR="009E02B2" w:rsidRPr="00600ED9" w:rsidRDefault="009E02B2" w:rsidP="00BC474D">
                <w:pPr>
                  <w:pStyle w:val="NoSpacing"/>
                  <w:jc w:val="center"/>
                  <w:rPr>
                    <w:sz w:val="20"/>
                    <w:szCs w:val="20"/>
                    <w:lang w:val="es-ES_tradnl"/>
                  </w:rPr>
                </w:pPr>
              </w:p>
            </w:tc>
            <w:tc>
              <w:tcPr>
                <w:tcW w:w="1003" w:type="dxa"/>
                <w:shd w:val="clear" w:color="auto" w:fill="365F91" w:themeFill="accent1" w:themeFillShade="BF"/>
                <w:vAlign w:val="center"/>
              </w:tcPr>
              <w:p w:rsidR="009E02B2" w:rsidRPr="00600ED9" w:rsidRDefault="009E02B2" w:rsidP="00E706F4">
                <w:pPr>
                  <w:pStyle w:val="NoSpacing"/>
                  <w:jc w:val="center"/>
                  <w:rPr>
                    <w:b/>
                    <w:color w:val="FFFFFF" w:themeColor="background1"/>
                    <w:sz w:val="20"/>
                    <w:lang w:val="es-ES_tradnl"/>
                  </w:rPr>
                </w:pPr>
                <w:r w:rsidRPr="00600ED9">
                  <w:rPr>
                    <w:b/>
                    <w:color w:val="FFFFFF" w:themeColor="background1"/>
                    <w:sz w:val="20"/>
                    <w:lang w:val="es-ES_tradnl"/>
                  </w:rPr>
                  <w:t>2</w:t>
                </w:r>
              </w:p>
            </w:tc>
          </w:tr>
          <w:tr w:rsidR="009E02B2" w:rsidRPr="00600ED9" w:rsidTr="006649E2">
            <w:trPr>
              <w:jc w:val="center"/>
            </w:trPr>
            <w:tc>
              <w:tcPr>
                <w:tcW w:w="1418" w:type="dxa"/>
              </w:tcPr>
              <w:p w:rsidR="009E02B2" w:rsidRPr="00600ED9" w:rsidRDefault="009E02B2" w:rsidP="00401E0B">
                <w:pPr>
                  <w:pStyle w:val="NoSpacing"/>
                  <w:rPr>
                    <w:sz w:val="20"/>
                    <w:szCs w:val="20"/>
                    <w:lang w:val="es-ES_tradnl"/>
                  </w:rPr>
                </w:pPr>
                <w:r w:rsidRPr="00600ED9">
                  <w:rPr>
                    <w:sz w:val="20"/>
                    <w:szCs w:val="20"/>
                    <w:lang w:val="es-ES_tradnl"/>
                  </w:rPr>
                  <w:t>EFS-24</w:t>
                </w:r>
              </w:p>
            </w:tc>
            <w:tc>
              <w:tcPr>
                <w:tcW w:w="5291" w:type="dxa"/>
              </w:tcPr>
              <w:p w:rsidR="009E02B2" w:rsidRPr="00600ED9" w:rsidRDefault="009E02B2" w:rsidP="00BC1EC9">
                <w:pPr>
                  <w:pStyle w:val="NoSpacing"/>
                  <w:rPr>
                    <w:sz w:val="20"/>
                    <w:szCs w:val="20"/>
                    <w:lang w:val="es-ES_tradnl"/>
                  </w:rPr>
                </w:pPr>
                <w:r w:rsidRPr="00600ED9">
                  <w:rPr>
                    <w:sz w:val="20"/>
                    <w:szCs w:val="20"/>
                    <w:lang w:val="es-ES_tradnl"/>
                  </w:rPr>
                  <w:t>Comunicación con los medios, los ciudadanos y organizaciones de la sociedad civil</w:t>
                </w:r>
              </w:p>
            </w:tc>
            <w:tc>
              <w:tcPr>
                <w:tcW w:w="518" w:type="dxa"/>
              </w:tcPr>
              <w:p w:rsidR="009E02B2" w:rsidRPr="00600ED9" w:rsidRDefault="009E02B2" w:rsidP="00DD26FA">
                <w:pPr>
                  <w:pStyle w:val="NoSpacing"/>
                  <w:jc w:val="center"/>
                  <w:rPr>
                    <w:sz w:val="20"/>
                    <w:szCs w:val="20"/>
                    <w:lang w:val="es-ES_tradnl"/>
                  </w:rPr>
                </w:pPr>
                <w:r w:rsidRPr="00600ED9">
                  <w:rPr>
                    <w:sz w:val="20"/>
                    <w:szCs w:val="20"/>
                    <w:lang w:val="es-ES_tradnl"/>
                  </w:rPr>
                  <w:t>2</w:t>
                </w:r>
              </w:p>
            </w:tc>
            <w:tc>
              <w:tcPr>
                <w:tcW w:w="439" w:type="dxa"/>
              </w:tcPr>
              <w:p w:rsidR="009E02B2" w:rsidRPr="00600ED9" w:rsidRDefault="009E02B2" w:rsidP="001C7BF6">
                <w:pPr>
                  <w:pStyle w:val="NoSpacing"/>
                  <w:jc w:val="center"/>
                  <w:rPr>
                    <w:sz w:val="20"/>
                    <w:szCs w:val="20"/>
                    <w:lang w:val="es-ES_tradnl"/>
                  </w:rPr>
                </w:pPr>
                <w:r w:rsidRPr="00600ED9">
                  <w:rPr>
                    <w:sz w:val="20"/>
                    <w:szCs w:val="20"/>
                    <w:lang w:val="es-ES_tradnl"/>
                  </w:rPr>
                  <w:t>3</w:t>
                </w:r>
              </w:p>
            </w:tc>
            <w:tc>
              <w:tcPr>
                <w:tcW w:w="541" w:type="dxa"/>
                <w:shd w:val="clear" w:color="auto" w:fill="D9D9D9" w:themeFill="background1" w:themeFillShade="D9"/>
              </w:tcPr>
              <w:p w:rsidR="009E02B2" w:rsidRPr="00600ED9" w:rsidRDefault="009E02B2" w:rsidP="003C6AB2">
                <w:pPr>
                  <w:pStyle w:val="NoSpacing"/>
                  <w:jc w:val="center"/>
                  <w:rPr>
                    <w:sz w:val="20"/>
                    <w:szCs w:val="20"/>
                    <w:lang w:val="es-ES_tradnl"/>
                  </w:rPr>
                </w:pPr>
              </w:p>
            </w:tc>
            <w:tc>
              <w:tcPr>
                <w:tcW w:w="540" w:type="dxa"/>
                <w:shd w:val="clear" w:color="auto" w:fill="D9D9D9" w:themeFill="background1" w:themeFillShade="D9"/>
              </w:tcPr>
              <w:p w:rsidR="009E02B2" w:rsidRPr="00600ED9" w:rsidRDefault="009E02B2" w:rsidP="00BC474D">
                <w:pPr>
                  <w:pStyle w:val="NoSpacing"/>
                  <w:jc w:val="center"/>
                  <w:rPr>
                    <w:sz w:val="20"/>
                    <w:szCs w:val="20"/>
                    <w:lang w:val="es-ES_tradnl"/>
                  </w:rPr>
                </w:pPr>
              </w:p>
            </w:tc>
            <w:tc>
              <w:tcPr>
                <w:tcW w:w="1003" w:type="dxa"/>
                <w:shd w:val="clear" w:color="auto" w:fill="365F91" w:themeFill="accent1" w:themeFillShade="BF"/>
                <w:vAlign w:val="center"/>
              </w:tcPr>
              <w:p w:rsidR="009E02B2" w:rsidRPr="00600ED9" w:rsidRDefault="009E02B2" w:rsidP="00E706F4">
                <w:pPr>
                  <w:pStyle w:val="NoSpacing"/>
                  <w:jc w:val="center"/>
                  <w:rPr>
                    <w:b/>
                    <w:color w:val="FFFFFF" w:themeColor="background1"/>
                    <w:sz w:val="20"/>
                    <w:lang w:val="es-ES_tradnl"/>
                  </w:rPr>
                </w:pPr>
                <w:r w:rsidRPr="00600ED9">
                  <w:rPr>
                    <w:b/>
                    <w:color w:val="FFFFFF" w:themeColor="background1"/>
                    <w:sz w:val="20"/>
                    <w:lang w:val="es-ES_tradnl"/>
                  </w:rPr>
                  <w:t>2</w:t>
                </w:r>
              </w:p>
            </w:tc>
          </w:tr>
        </w:tbl>
        <w:p w:rsidR="005E22A5" w:rsidRPr="00600ED9" w:rsidRDefault="005E22A5" w:rsidP="00401E0B">
          <w:pPr>
            <w:pStyle w:val="NoSpacing"/>
            <w:jc w:val="both"/>
            <w:rPr>
              <w:lang w:val="es-ES_tradnl"/>
            </w:rPr>
          </w:pPr>
        </w:p>
        <w:p w:rsidR="00E17391" w:rsidRPr="00600ED9" w:rsidRDefault="00E17391" w:rsidP="00401E0B">
          <w:pPr>
            <w:pStyle w:val="NoSpacing"/>
            <w:jc w:val="both"/>
            <w:rPr>
              <w:lang w:val="es-ES_tradnl"/>
            </w:rPr>
          </w:pPr>
        </w:p>
        <w:p w:rsidR="00E14113" w:rsidRPr="00600ED9" w:rsidRDefault="00801A6B" w:rsidP="00BC1EC9">
          <w:pPr>
            <w:pStyle w:val="NoSpacing"/>
            <w:jc w:val="both"/>
            <w:rPr>
              <w:rFonts w:ascii="Calibri" w:hAnsi="Calibri" w:cs="Calibri"/>
              <w:lang w:val="es-ES_tradnl"/>
            </w:rPr>
          </w:pPr>
          <w:r w:rsidRPr="00600ED9">
            <w:rPr>
              <w:lang w:val="es-ES_tradnl"/>
            </w:rPr>
            <w:t>Como r</w:t>
          </w:r>
          <w:r w:rsidR="00664923" w:rsidRPr="00600ED9">
            <w:rPr>
              <w:lang w:val="es-ES_tradnl"/>
            </w:rPr>
            <w:t xml:space="preserve">esultado </w:t>
          </w:r>
          <w:r w:rsidR="00790233" w:rsidRPr="00600ED9">
            <w:rPr>
              <w:rFonts w:ascii="Calibri" w:hAnsi="Calibri" w:cs="Calibri"/>
              <w:lang w:val="es-ES_tradnl"/>
            </w:rPr>
            <w:t>de este diagnóstico se ha producido un Plan de Acción</w:t>
          </w:r>
          <w:r w:rsidR="00664923" w:rsidRPr="00600ED9">
            <w:rPr>
              <w:rFonts w:ascii="Calibri" w:hAnsi="Calibri" w:cs="Calibri"/>
              <w:lang w:val="es-ES_tradnl"/>
            </w:rPr>
            <w:t>,</w:t>
          </w:r>
          <w:r w:rsidR="00790233" w:rsidRPr="00600ED9">
            <w:rPr>
              <w:rFonts w:ascii="Calibri" w:hAnsi="Calibri" w:cs="Calibri"/>
              <w:lang w:val="es-ES_tradnl"/>
            </w:rPr>
            <w:t xml:space="preserve"> el cual detalla las oportunidades de mejora </w:t>
          </w:r>
          <w:r w:rsidR="00584B33" w:rsidRPr="00600ED9">
            <w:rPr>
              <w:rFonts w:ascii="Calibri" w:hAnsi="Calibri" w:cs="Calibri"/>
              <w:lang w:val="es-ES_tradnl"/>
            </w:rPr>
            <w:t xml:space="preserve">o fortalecimiento </w:t>
          </w:r>
          <w:r w:rsidR="00790233" w:rsidRPr="00600ED9">
            <w:rPr>
              <w:rFonts w:ascii="Calibri" w:hAnsi="Calibri" w:cs="Calibri"/>
              <w:lang w:val="es-ES_tradnl"/>
            </w:rPr>
            <w:t xml:space="preserve">identificadas, las </w:t>
          </w:r>
          <w:r w:rsidR="00584B33" w:rsidRPr="00600ED9">
            <w:rPr>
              <w:rFonts w:ascii="Calibri" w:hAnsi="Calibri" w:cs="Calibri"/>
              <w:lang w:val="es-ES_tradnl"/>
            </w:rPr>
            <w:t xml:space="preserve">acciones </w:t>
          </w:r>
          <w:r w:rsidR="00790233" w:rsidRPr="00600ED9">
            <w:rPr>
              <w:rFonts w:ascii="Calibri" w:hAnsi="Calibri" w:cs="Calibri"/>
              <w:lang w:val="es-ES_tradnl"/>
            </w:rPr>
            <w:t>recomenda</w:t>
          </w:r>
          <w:r w:rsidR="00584B33" w:rsidRPr="00600ED9">
            <w:rPr>
              <w:rFonts w:ascii="Calibri" w:hAnsi="Calibri" w:cs="Calibri"/>
              <w:lang w:val="es-ES_tradnl"/>
            </w:rPr>
            <w:t>das</w:t>
          </w:r>
          <w:r w:rsidR="00790233" w:rsidRPr="00600ED9">
            <w:rPr>
              <w:rFonts w:ascii="Calibri" w:hAnsi="Calibri" w:cs="Calibri"/>
              <w:lang w:val="es-ES_tradnl"/>
            </w:rPr>
            <w:t>, responsables</w:t>
          </w:r>
          <w:r w:rsidR="00664923" w:rsidRPr="00600ED9">
            <w:rPr>
              <w:rFonts w:ascii="Calibri" w:hAnsi="Calibri" w:cs="Calibri"/>
              <w:lang w:val="es-ES_tradnl"/>
            </w:rPr>
            <w:t xml:space="preserve"> de su implementación</w:t>
          </w:r>
          <w:r w:rsidR="00790233" w:rsidRPr="00600ED9">
            <w:rPr>
              <w:rFonts w:ascii="Calibri" w:hAnsi="Calibri" w:cs="Calibri"/>
              <w:lang w:val="es-ES_tradnl"/>
            </w:rPr>
            <w:t xml:space="preserve"> y cronograma sugerido para su ejecución, el cual se acompaña en el Anexo A.  </w:t>
          </w:r>
        </w:p>
        <w:p w:rsidR="0075721D" w:rsidRPr="00600ED9" w:rsidRDefault="0075721D" w:rsidP="00DD26FA">
          <w:pPr>
            <w:pStyle w:val="NoSpacing"/>
            <w:jc w:val="both"/>
            <w:rPr>
              <w:lang w:val="es-ES_tradnl"/>
            </w:rPr>
          </w:pPr>
        </w:p>
        <w:p w:rsidR="009F1CAF" w:rsidRPr="00600ED9" w:rsidRDefault="00790233" w:rsidP="001C7BF6">
          <w:pPr>
            <w:pStyle w:val="NoSpacing"/>
            <w:jc w:val="both"/>
            <w:rPr>
              <w:lang w:val="es-ES_tradnl"/>
            </w:rPr>
          </w:pPr>
          <w:r w:rsidRPr="00600ED9">
            <w:rPr>
              <w:lang w:val="es-ES_tradnl"/>
            </w:rPr>
            <w:t>A continuación</w:t>
          </w:r>
          <w:r w:rsidR="00664923" w:rsidRPr="00600ED9">
            <w:rPr>
              <w:lang w:val="es-ES_tradnl"/>
            </w:rPr>
            <w:t>,</w:t>
          </w:r>
          <w:r w:rsidRPr="00600ED9">
            <w:rPr>
              <w:lang w:val="es-ES_tradnl"/>
            </w:rPr>
            <w:t xml:space="preserve"> se presentan</w:t>
          </w:r>
          <w:r w:rsidR="0075721D" w:rsidRPr="00600ED9">
            <w:rPr>
              <w:lang w:val="es-ES_tradnl"/>
            </w:rPr>
            <w:t xml:space="preserve"> </w:t>
          </w:r>
          <w:r w:rsidR="007A0981" w:rsidRPr="00600ED9">
            <w:rPr>
              <w:lang w:val="es-ES_tradnl"/>
            </w:rPr>
            <w:t xml:space="preserve">las </w:t>
          </w:r>
          <w:r w:rsidRPr="00600ED9">
            <w:rPr>
              <w:lang w:val="es-ES_tradnl"/>
            </w:rPr>
            <w:t>razones</w:t>
          </w:r>
          <w:r w:rsidR="00664923" w:rsidRPr="00600ED9">
            <w:rPr>
              <w:lang w:val="es-ES_tradnl"/>
            </w:rPr>
            <w:t xml:space="preserve"> </w:t>
          </w:r>
          <w:r w:rsidRPr="00600ED9">
            <w:rPr>
              <w:lang w:val="es-ES_tradnl"/>
            </w:rPr>
            <w:t>que sustentan la importancia de for</w:t>
          </w:r>
          <w:r w:rsidR="00815726" w:rsidRPr="00600ED9">
            <w:rPr>
              <w:lang w:val="es-ES_tradnl"/>
            </w:rPr>
            <w:t>tale</w:t>
          </w:r>
          <w:r w:rsidRPr="00600ED9">
            <w:rPr>
              <w:lang w:val="es-ES_tradnl"/>
            </w:rPr>
            <w:t>cer el control externo en Colombia</w:t>
          </w:r>
          <w:r w:rsidR="0075721D" w:rsidRPr="00600ED9">
            <w:rPr>
              <w:lang w:val="es-ES_tradnl"/>
            </w:rPr>
            <w:t xml:space="preserve">, que </w:t>
          </w:r>
          <w:r w:rsidR="00706C62" w:rsidRPr="00600ED9">
            <w:rPr>
              <w:lang w:val="es-ES_tradnl"/>
            </w:rPr>
            <w:t>complementa</w:t>
          </w:r>
          <w:r w:rsidR="0075721D" w:rsidRPr="00600ED9">
            <w:rPr>
              <w:lang w:val="es-ES_tradnl"/>
            </w:rPr>
            <w:t>n</w:t>
          </w:r>
          <w:r w:rsidR="00706C62" w:rsidRPr="00600ED9">
            <w:rPr>
              <w:lang w:val="es-ES_tradnl"/>
            </w:rPr>
            <w:t xml:space="preserve"> y respalda</w:t>
          </w:r>
          <w:r w:rsidR="0075721D" w:rsidRPr="00600ED9">
            <w:rPr>
              <w:lang w:val="es-ES_tradnl"/>
            </w:rPr>
            <w:t>n</w:t>
          </w:r>
          <w:r w:rsidR="00706C62" w:rsidRPr="00600ED9">
            <w:rPr>
              <w:lang w:val="es-ES_tradnl"/>
            </w:rPr>
            <w:t xml:space="preserve"> </w:t>
          </w:r>
          <w:r w:rsidR="00CF5B3C" w:rsidRPr="00600ED9">
            <w:rPr>
              <w:lang w:val="es-ES_tradnl"/>
            </w:rPr>
            <w:t>las</w:t>
          </w:r>
          <w:r w:rsidR="00706C62" w:rsidRPr="00600ED9">
            <w:rPr>
              <w:lang w:val="es-ES_tradnl"/>
            </w:rPr>
            <w:t xml:space="preserve"> recomendaciones resultado del </w:t>
          </w:r>
          <w:r w:rsidR="0025162C" w:rsidRPr="00600ED9">
            <w:rPr>
              <w:lang w:val="es-ES_tradnl"/>
            </w:rPr>
            <w:t>diagnóstico</w:t>
          </w:r>
          <w:r w:rsidR="00C376E5" w:rsidRPr="00600ED9">
            <w:rPr>
              <w:lang w:val="es-ES_tradnl"/>
            </w:rPr>
            <w:t>:</w:t>
          </w:r>
        </w:p>
        <w:p w:rsidR="0075721D" w:rsidRPr="00600ED9" w:rsidRDefault="0075721D" w:rsidP="003C6AB2">
          <w:pPr>
            <w:pStyle w:val="NoSpacing"/>
            <w:jc w:val="both"/>
            <w:rPr>
              <w:b/>
              <w:lang w:val="es-ES_tradnl"/>
            </w:rPr>
          </w:pPr>
        </w:p>
        <w:p w:rsidR="006C4962" w:rsidRPr="00600ED9" w:rsidRDefault="006C4962" w:rsidP="00BC474D">
          <w:pPr>
            <w:pStyle w:val="NoSpacing"/>
            <w:jc w:val="both"/>
            <w:rPr>
              <w:b/>
              <w:lang w:val="es-ES_tradnl"/>
            </w:rPr>
          </w:pPr>
        </w:p>
        <w:p w:rsidR="003E19FC" w:rsidRPr="00600ED9" w:rsidRDefault="003E19FC" w:rsidP="00E17391">
          <w:pPr>
            <w:pBdr>
              <w:top w:val="single" w:sz="4" w:space="1" w:color="auto" w:shadow="1"/>
              <w:left w:val="single" w:sz="4" w:space="4" w:color="auto" w:shadow="1"/>
              <w:bottom w:val="single" w:sz="4" w:space="1" w:color="auto" w:shadow="1"/>
              <w:right w:val="single" w:sz="4" w:space="4" w:color="auto" w:shadow="1"/>
            </w:pBdr>
            <w:spacing w:after="0" w:line="240" w:lineRule="auto"/>
            <w:jc w:val="both"/>
            <w:rPr>
              <w:b/>
              <w:bCs/>
              <w:smallCaps/>
            </w:rPr>
          </w:pPr>
          <w:r w:rsidRPr="00600ED9">
            <w:rPr>
              <w:b/>
              <w:bCs/>
              <w:smallCaps/>
            </w:rPr>
            <w:t>Razón No. 1</w:t>
          </w:r>
        </w:p>
        <w:p w:rsidR="009F1CAF" w:rsidRPr="00600ED9" w:rsidRDefault="00790233" w:rsidP="00E17391">
          <w:pPr>
            <w:pBdr>
              <w:top w:val="single" w:sz="4" w:space="1" w:color="auto" w:shadow="1"/>
              <w:left w:val="single" w:sz="4" w:space="4" w:color="auto" w:shadow="1"/>
              <w:bottom w:val="single" w:sz="4" w:space="1" w:color="auto" w:shadow="1"/>
              <w:right w:val="single" w:sz="4" w:space="4" w:color="auto" w:shadow="1"/>
            </w:pBdr>
            <w:spacing w:after="0" w:line="240" w:lineRule="auto"/>
            <w:jc w:val="both"/>
            <w:rPr>
              <w:b/>
            </w:rPr>
          </w:pPr>
          <w:r w:rsidRPr="00600ED9">
            <w:rPr>
              <w:b/>
            </w:rPr>
            <w:t>Control Externo en un País con e</w:t>
          </w:r>
          <w:r w:rsidR="009F1CAF" w:rsidRPr="00600ED9">
            <w:rPr>
              <w:b/>
            </w:rPr>
            <w:t>conomía en crecimiento</w:t>
          </w:r>
          <w:r w:rsidRPr="00600ED9">
            <w:rPr>
              <w:b/>
            </w:rPr>
            <w:t xml:space="preserve"> y en proceso de consolidar la p</w:t>
          </w:r>
          <w:r w:rsidR="009F1CAF" w:rsidRPr="00600ED9">
            <w:rPr>
              <w:b/>
            </w:rPr>
            <w:t>az</w:t>
          </w:r>
        </w:p>
        <w:p w:rsidR="003E19FC" w:rsidRPr="00600ED9" w:rsidRDefault="003E19FC" w:rsidP="00E17391">
          <w:pPr>
            <w:spacing w:after="0" w:line="240" w:lineRule="auto"/>
            <w:jc w:val="both"/>
          </w:pPr>
        </w:p>
        <w:p w:rsidR="009F1CAF" w:rsidRPr="00600ED9" w:rsidRDefault="009F1CAF" w:rsidP="00E17391">
          <w:pPr>
            <w:spacing w:after="0" w:line="240" w:lineRule="auto"/>
            <w:jc w:val="both"/>
          </w:pPr>
          <w:r w:rsidRPr="00600ED9">
            <w:t xml:space="preserve">Colombia en los últimos 15 años viene experimentando un crecimiento </w:t>
          </w:r>
          <w:r w:rsidR="00790233" w:rsidRPr="00600ED9">
            <w:t>sostenible</w:t>
          </w:r>
          <w:r w:rsidRPr="00600ED9">
            <w:t xml:space="preserve"> en su economía, lo cual se refleja en sus indicadores macroeconómicos, en la caracterización de una clase media m</w:t>
          </w:r>
          <w:r w:rsidR="00790233" w:rsidRPr="00600ED9">
            <w:t>ás fuerte y participativa, un sector i</w:t>
          </w:r>
          <w:r w:rsidRPr="00600ED9">
            <w:t>ndustria</w:t>
          </w:r>
          <w:r w:rsidR="00790233" w:rsidRPr="00600ED9">
            <w:t>l</w:t>
          </w:r>
          <w:r w:rsidRPr="00600ED9">
            <w:t xml:space="preserve"> y </w:t>
          </w:r>
          <w:r w:rsidR="00790233" w:rsidRPr="00600ED9">
            <w:t>agrícola</w:t>
          </w:r>
          <w:r w:rsidRPr="00600ED9">
            <w:t xml:space="preserve"> que se diversifica y fortalece, un aumento en la participación de la población en la educación de calidad, reducción de la pobreza y crecimiento importante de la inver</w:t>
          </w:r>
          <w:r w:rsidR="00790233" w:rsidRPr="00600ED9">
            <w:t>sión extranjera así como de la inversión pú</w:t>
          </w:r>
          <w:r w:rsidRPr="00600ED9">
            <w:t>blica aplicada a la infraestructura con grandes desafíos para los próximos años.</w:t>
          </w:r>
          <w:r w:rsidR="00A940F5" w:rsidRPr="00600ED9">
            <w:t xml:space="preserve"> </w:t>
          </w:r>
          <w:r w:rsidRPr="00600ED9">
            <w:t>Se prevé un crecimiento adicional de la economía con l</w:t>
          </w:r>
          <w:r w:rsidR="00790233" w:rsidRPr="00600ED9">
            <w:t>a consolidación del proceso de p</w:t>
          </w:r>
          <w:r w:rsidRPr="00600ED9">
            <w:t xml:space="preserve">az, lo cual estiman los expertos podría </w:t>
          </w:r>
          <w:r w:rsidR="00D27A17" w:rsidRPr="00600ED9">
            <w:t xml:space="preserve">ser </w:t>
          </w:r>
          <w:r w:rsidRPr="00600ED9">
            <w:t xml:space="preserve">entre un 2.0 y 2.5 % </w:t>
          </w:r>
          <w:r w:rsidR="00D27A17" w:rsidRPr="00600ED9">
            <w:t xml:space="preserve">del PIB, </w:t>
          </w:r>
          <w:r w:rsidRPr="00600ED9">
            <w:t>en el mediano plazo.</w:t>
          </w:r>
        </w:p>
        <w:p w:rsidR="00E17391" w:rsidRPr="00600ED9" w:rsidRDefault="00E17391" w:rsidP="00E17391">
          <w:pPr>
            <w:spacing w:after="0" w:line="240" w:lineRule="auto"/>
            <w:jc w:val="both"/>
          </w:pPr>
        </w:p>
        <w:p w:rsidR="009F1CAF" w:rsidRPr="00600ED9" w:rsidRDefault="00790233" w:rsidP="00E17391">
          <w:pPr>
            <w:spacing w:after="0" w:line="240" w:lineRule="auto"/>
            <w:jc w:val="both"/>
          </w:pPr>
          <w:r w:rsidRPr="00600ED9">
            <w:t>Los i</w:t>
          </w:r>
          <w:r w:rsidR="009F1CAF" w:rsidRPr="00600ED9">
            <w:t>ngresos tributarios, de regalías y de otras fuentes, han aumentado las disponibilidades de los Gobiernos para soportar la tam</w:t>
          </w:r>
          <w:r w:rsidRPr="00600ED9">
            <w:t xml:space="preserve">bién creciente carga del gasto </w:t>
          </w:r>
          <w:r w:rsidR="009F1CAF" w:rsidRPr="00600ED9">
            <w:t>y la inversión públic</w:t>
          </w:r>
          <w:r w:rsidR="00D27A17" w:rsidRPr="00600ED9">
            <w:t>a</w:t>
          </w:r>
          <w:r w:rsidR="009F1CAF" w:rsidRPr="00600ED9">
            <w:t>. Evidentemente</w:t>
          </w:r>
          <w:r w:rsidR="00A940F5" w:rsidRPr="00600ED9">
            <w:t>,</w:t>
          </w:r>
          <w:r w:rsidR="009F1CAF" w:rsidRPr="00600ED9">
            <w:t xml:space="preserve"> los proyectos de inversión pública y las erogaciones que incluirán el postconflicto, requerirán un mayor esfuerzo por asegurar que tales recursos</w:t>
          </w:r>
          <w:r w:rsidR="00A940F5" w:rsidRPr="00600ED9">
            <w:t>,</w:t>
          </w:r>
          <w:r w:rsidR="009F1CAF" w:rsidRPr="00600ED9">
            <w:t xml:space="preserve"> se </w:t>
          </w:r>
          <w:r w:rsidR="00D27A17" w:rsidRPr="00600ED9">
            <w:t xml:space="preserve">administren de forma adecuada y </w:t>
          </w:r>
          <w:r w:rsidR="009F1CAF" w:rsidRPr="00600ED9">
            <w:t>con la corrección debida y se rinda cuenta en forma transparente</w:t>
          </w:r>
          <w:r w:rsidR="00D27A17" w:rsidRPr="00600ED9">
            <w:t>.</w:t>
          </w:r>
        </w:p>
        <w:p w:rsidR="00D3659B" w:rsidRPr="00600ED9" w:rsidRDefault="00D3659B" w:rsidP="00E17391">
          <w:pPr>
            <w:spacing w:after="0" w:line="240" w:lineRule="auto"/>
            <w:jc w:val="both"/>
          </w:pPr>
        </w:p>
        <w:p w:rsidR="009F1CAF" w:rsidRPr="00600ED9" w:rsidRDefault="00A940F5" w:rsidP="00E17391">
          <w:pPr>
            <w:spacing w:after="0" w:line="240" w:lineRule="auto"/>
            <w:jc w:val="both"/>
          </w:pPr>
          <w:r w:rsidRPr="00600ED9">
            <w:t xml:space="preserve">En </w:t>
          </w:r>
          <w:r w:rsidR="009F1CAF" w:rsidRPr="00600ED9">
            <w:t>el marco de referencia descrito en l</w:t>
          </w:r>
          <w:r w:rsidR="00790233" w:rsidRPr="00600ED9">
            <w:t xml:space="preserve">os párrafos </w:t>
          </w:r>
          <w:r w:rsidR="006B4103" w:rsidRPr="00600ED9">
            <w:t>anteriores</w:t>
          </w:r>
          <w:r w:rsidR="00790233" w:rsidRPr="00600ED9">
            <w:t>, sobre un p</w:t>
          </w:r>
          <w:r w:rsidR="009F1CAF" w:rsidRPr="00600ED9">
            <w:t>aís con una dinámica de crecimiento sostenid</w:t>
          </w:r>
          <w:r w:rsidR="003C00BB" w:rsidRPr="00600ED9">
            <w:t>o</w:t>
          </w:r>
          <w:r w:rsidR="009F1CAF" w:rsidRPr="00600ED9">
            <w:t xml:space="preserve">, se hace imprescindible disponer de un </w:t>
          </w:r>
          <w:r w:rsidR="009F1CAF" w:rsidRPr="00600ED9">
            <w:rPr>
              <w:b/>
            </w:rPr>
            <w:t>Control externo independiente y profesional</w:t>
          </w:r>
          <w:r w:rsidR="009F1CAF" w:rsidRPr="00600ED9">
            <w:t xml:space="preserve">, </w:t>
          </w:r>
          <w:r w:rsidR="003E19FC" w:rsidRPr="00600ED9">
            <w:t xml:space="preserve">que proporcione seguridad </w:t>
          </w:r>
          <w:r w:rsidR="006B4103" w:rsidRPr="00600ED9">
            <w:t xml:space="preserve">en </w:t>
          </w:r>
          <w:r w:rsidR="003E19FC" w:rsidRPr="00600ED9">
            <w:t xml:space="preserve">la rendición de cuentas y el control </w:t>
          </w:r>
          <w:r w:rsidR="006B4103" w:rsidRPr="00600ED9">
            <w:t xml:space="preserve">fiscal </w:t>
          </w:r>
          <w:r w:rsidR="003E19FC" w:rsidRPr="00600ED9">
            <w:t xml:space="preserve">del uso de los recursos </w:t>
          </w:r>
          <w:r w:rsidR="00912AD8" w:rsidRPr="00600ED9">
            <w:t>públicos, que</w:t>
          </w:r>
          <w:r w:rsidR="009F1CAF" w:rsidRPr="00600ED9">
            <w:t xml:space="preserve"> apoye la credibilidad de </w:t>
          </w:r>
          <w:r w:rsidR="00815726" w:rsidRPr="00600ED9">
            <w:t>los contribuyentes</w:t>
          </w:r>
          <w:r w:rsidR="009F1CAF" w:rsidRPr="00600ED9">
            <w:t xml:space="preserve"> y otros actores en el desarrollo del país. </w:t>
          </w:r>
        </w:p>
        <w:p w:rsidR="003E19FC" w:rsidRPr="00600ED9" w:rsidRDefault="003E19FC" w:rsidP="00E17391">
          <w:pPr>
            <w:spacing w:after="0" w:line="240" w:lineRule="auto"/>
            <w:jc w:val="both"/>
          </w:pPr>
        </w:p>
        <w:p w:rsidR="003E19FC" w:rsidRPr="00600ED9" w:rsidRDefault="003E19FC" w:rsidP="00E17391">
          <w:pPr>
            <w:pBdr>
              <w:top w:val="single" w:sz="4" w:space="1" w:color="auto" w:shadow="1"/>
              <w:left w:val="single" w:sz="4" w:space="4" w:color="auto" w:shadow="1"/>
              <w:bottom w:val="single" w:sz="4" w:space="1" w:color="auto" w:shadow="1"/>
              <w:right w:val="single" w:sz="4" w:space="4" w:color="auto" w:shadow="1"/>
            </w:pBdr>
            <w:spacing w:after="0" w:line="240" w:lineRule="auto"/>
            <w:jc w:val="both"/>
            <w:rPr>
              <w:b/>
              <w:bCs/>
              <w:smallCaps/>
            </w:rPr>
          </w:pPr>
          <w:r w:rsidRPr="00600ED9">
            <w:rPr>
              <w:b/>
              <w:bCs/>
              <w:smallCaps/>
            </w:rPr>
            <w:t xml:space="preserve">Razón No. </w:t>
          </w:r>
          <w:r w:rsidR="00214200" w:rsidRPr="00600ED9">
            <w:rPr>
              <w:b/>
              <w:bCs/>
              <w:smallCaps/>
            </w:rPr>
            <w:t>2</w:t>
          </w:r>
        </w:p>
        <w:p w:rsidR="003E19FC" w:rsidRPr="00600ED9" w:rsidRDefault="00C73A13" w:rsidP="00E17391">
          <w:pPr>
            <w:pBdr>
              <w:top w:val="single" w:sz="4" w:space="1" w:color="auto" w:shadow="1"/>
              <w:left w:val="single" w:sz="4" w:space="4" w:color="auto" w:shadow="1"/>
              <w:bottom w:val="single" w:sz="4" w:space="1" w:color="auto" w:shadow="1"/>
              <w:right w:val="single" w:sz="4" w:space="4" w:color="auto" w:shadow="1"/>
            </w:pBdr>
            <w:spacing w:after="0" w:line="240" w:lineRule="auto"/>
            <w:jc w:val="both"/>
            <w:rPr>
              <w:b/>
            </w:rPr>
          </w:pPr>
          <w:r w:rsidRPr="00600ED9">
            <w:rPr>
              <w:b/>
            </w:rPr>
            <w:t>El Control Externo en un p</w:t>
          </w:r>
          <w:r w:rsidR="009F1CAF" w:rsidRPr="00600ED9">
            <w:rPr>
              <w:b/>
            </w:rPr>
            <w:t xml:space="preserve">aís afectado por </w:t>
          </w:r>
          <w:r w:rsidR="006B4103" w:rsidRPr="00600ED9">
            <w:rPr>
              <w:b/>
            </w:rPr>
            <w:t>poca transparencia</w:t>
          </w:r>
        </w:p>
        <w:p w:rsidR="003E19FC" w:rsidRPr="00600ED9" w:rsidRDefault="003E19FC" w:rsidP="00E17391">
          <w:pPr>
            <w:spacing w:after="0" w:line="240" w:lineRule="auto"/>
            <w:jc w:val="both"/>
          </w:pPr>
        </w:p>
        <w:p w:rsidR="009E16AA" w:rsidRPr="00600ED9" w:rsidRDefault="00B261A9" w:rsidP="00E17391">
          <w:pPr>
            <w:spacing w:line="240" w:lineRule="auto"/>
            <w:jc w:val="both"/>
          </w:pPr>
          <w:r w:rsidRPr="00600ED9">
            <w:t>El</w:t>
          </w:r>
          <w:r w:rsidR="005103E2" w:rsidRPr="00600ED9">
            <w:t xml:space="preserve"> </w:t>
          </w:r>
          <w:r w:rsidR="00BB48C5" w:rsidRPr="00600ED9">
            <w:t>índice</w:t>
          </w:r>
          <w:r w:rsidR="005103E2" w:rsidRPr="00600ED9">
            <w:t xml:space="preserve"> de </w:t>
          </w:r>
          <w:r w:rsidR="00BB48C5" w:rsidRPr="00600ED9">
            <w:t>percepción</w:t>
          </w:r>
          <w:r w:rsidR="005103E2" w:rsidRPr="00600ED9">
            <w:t xml:space="preserve"> de la </w:t>
          </w:r>
          <w:r w:rsidR="00BB48C5" w:rsidRPr="00600ED9">
            <w:t>corrupción</w:t>
          </w:r>
          <w:r w:rsidR="005103E2" w:rsidRPr="00600ED9">
            <w:t>, que estima Transparencia Internacional</w:t>
          </w:r>
          <w:r w:rsidR="003C00BB" w:rsidRPr="00600ED9">
            <w:t xml:space="preserve">, </w:t>
          </w:r>
          <w:r w:rsidRPr="00600ED9">
            <w:t xml:space="preserve">ubica a Colombia en un lugar </w:t>
          </w:r>
          <w:r w:rsidR="009F1CAF" w:rsidRPr="00600ED9">
            <w:t>intermedio</w:t>
          </w:r>
          <w:r w:rsidR="00722EB3" w:rsidRPr="00600ED9">
            <w:t xml:space="preserve"> </w:t>
          </w:r>
          <w:r w:rsidR="009F1CAF" w:rsidRPr="00600ED9">
            <w:t>en el ámbito internacional</w:t>
          </w:r>
          <w:r w:rsidRPr="00600ED9">
            <w:t xml:space="preserve">. </w:t>
          </w:r>
          <w:r w:rsidR="009F1CAF" w:rsidRPr="00600ED9">
            <w:t xml:space="preserve">Esto se </w:t>
          </w:r>
          <w:r w:rsidR="006B4103" w:rsidRPr="00600ED9">
            <w:t>ve reflejado e</w:t>
          </w:r>
          <w:r w:rsidR="00722EB3" w:rsidRPr="00600ED9">
            <w:t xml:space="preserve">n </w:t>
          </w:r>
          <w:r w:rsidR="009F1CAF" w:rsidRPr="00600ED9">
            <w:t xml:space="preserve">los </w:t>
          </w:r>
          <w:r w:rsidR="006B4103" w:rsidRPr="00600ED9">
            <w:t xml:space="preserve">acontecimientos </w:t>
          </w:r>
          <w:r w:rsidR="009F1CAF" w:rsidRPr="00600ED9">
            <w:t>que se han registrado al menos en los últ</w:t>
          </w:r>
          <w:r w:rsidR="00815726" w:rsidRPr="00600ED9">
            <w:t>imos 10 años. Sectores como la salud, la infraestructura nacional y urbana, y la a</w:t>
          </w:r>
          <w:r w:rsidR="009F1CAF" w:rsidRPr="00600ED9">
            <w:t xml:space="preserve">gricultura se han visto afectados, sin dejar de lado otros sectores que en menor medida pueden haberse afectado como el sector financiero y la educación, </w:t>
          </w:r>
          <w:r w:rsidR="00722EB3" w:rsidRPr="00600ED9">
            <w:t>y</w:t>
          </w:r>
          <w:r w:rsidR="009F1CAF" w:rsidRPr="00600ED9">
            <w:t xml:space="preserve"> </w:t>
          </w:r>
          <w:r w:rsidR="00600ED9" w:rsidRPr="00600ED9">
            <w:t>recientemente</w:t>
          </w:r>
          <w:r w:rsidR="009F1CAF" w:rsidRPr="00600ED9">
            <w:t xml:space="preserve"> incidentes en </w:t>
          </w:r>
          <w:r w:rsidR="00600ED9" w:rsidRPr="00600ED9">
            <w:t>investigación con</w:t>
          </w:r>
          <w:r w:rsidR="009F1CAF" w:rsidRPr="00600ED9">
            <w:t xml:space="preserve"> Operadores de Justicia</w:t>
          </w:r>
          <w:r w:rsidR="00722EB3" w:rsidRPr="00600ED9">
            <w:t>,</w:t>
          </w:r>
          <w:r w:rsidR="009F1CAF" w:rsidRPr="00600ED9">
            <w:t xml:space="preserve"> con </w:t>
          </w:r>
          <w:r w:rsidR="006F229A" w:rsidRPr="00600ED9">
            <w:t xml:space="preserve">actuaciones </w:t>
          </w:r>
          <w:r w:rsidR="009F1CAF" w:rsidRPr="00600ED9">
            <w:t>originados en presuntas decisiones que pueden haber afectado la buena marcha de la institución</w:t>
          </w:r>
          <w:r w:rsidR="006F229A" w:rsidRPr="00600ED9">
            <w:t>, sumado a</w:t>
          </w:r>
          <w:r w:rsidR="009F1CAF" w:rsidRPr="00600ED9">
            <w:t>l patrimonio del Estado.</w:t>
          </w:r>
        </w:p>
        <w:p w:rsidR="009F1CAF" w:rsidRPr="00600ED9" w:rsidRDefault="002C7449" w:rsidP="00E17391">
          <w:pPr>
            <w:spacing w:line="240" w:lineRule="auto"/>
            <w:jc w:val="both"/>
          </w:pPr>
          <w:r w:rsidRPr="00600ED9">
            <w:t xml:space="preserve">Con base a lo antes descrito, es importante </w:t>
          </w:r>
          <w:r w:rsidR="009F1CAF" w:rsidRPr="00600ED9">
            <w:t>que la CGR</w:t>
          </w:r>
          <w:r w:rsidR="00C73A13" w:rsidRPr="00600ED9">
            <w:t>C</w:t>
          </w:r>
          <w:r w:rsidR="009F1CAF" w:rsidRPr="00600ED9">
            <w:t xml:space="preserve"> tome un papel más </w:t>
          </w:r>
          <w:r w:rsidRPr="00600ED9">
            <w:t xml:space="preserve">contundente </w:t>
          </w:r>
          <w:r w:rsidR="00815726" w:rsidRPr="00600ED9">
            <w:t>principalmente</w:t>
          </w:r>
          <w:r w:rsidR="009F1CAF" w:rsidRPr="00600ED9">
            <w:t xml:space="preserve"> en la prevención de la corrupción, cuando esta proviene de acciones dolosas de parte de fu</w:t>
          </w:r>
          <w:r w:rsidR="00815726" w:rsidRPr="00600ED9">
            <w:t>ncionarios con autoridad en el sector p</w:t>
          </w:r>
          <w:r w:rsidR="009F1CAF" w:rsidRPr="00600ED9">
            <w:t>úblico</w:t>
          </w:r>
          <w:r w:rsidR="00722EB3" w:rsidRPr="00600ED9">
            <w:t>,</w:t>
          </w:r>
          <w:r w:rsidR="009F1CAF" w:rsidRPr="00600ED9">
            <w:t xml:space="preserve"> o de los ataques de </w:t>
          </w:r>
          <w:r w:rsidR="00722EB3" w:rsidRPr="00600ED9">
            <w:t>terceros</w:t>
          </w:r>
          <w:r w:rsidR="00815726" w:rsidRPr="00600ED9">
            <w:t xml:space="preserve"> que buscan dañar el p</w:t>
          </w:r>
          <w:r w:rsidR="009F1CAF" w:rsidRPr="00600ED9">
            <w:t>atrimonio de la Nación.</w:t>
          </w:r>
          <w:r w:rsidR="00386A2E" w:rsidRPr="00600ED9">
            <w:t xml:space="preserve"> </w:t>
          </w:r>
          <w:r w:rsidR="009F1CAF" w:rsidRPr="00600ED9">
            <w:t xml:space="preserve">Para contribuir a la lucha contra la corrupción, el Control Externo tiene que elevar su capacidad profesional y conformar un equipo de auditores blindados contra la tentación de la conducta indebida. </w:t>
          </w:r>
        </w:p>
        <w:p w:rsidR="009F1CAF" w:rsidRPr="00600ED9" w:rsidRDefault="009F1CAF" w:rsidP="00E17391">
          <w:pPr>
            <w:spacing w:line="240" w:lineRule="auto"/>
            <w:jc w:val="both"/>
          </w:pPr>
          <w:r w:rsidRPr="00600ED9">
            <w:t>Un nuevo Sistema de Auditoría Gub</w:t>
          </w:r>
          <w:r w:rsidR="00C73A13" w:rsidRPr="00600ED9">
            <w:t xml:space="preserve">ernamental que haga énfasis en </w:t>
          </w:r>
          <w:r w:rsidRPr="00600ED9">
            <w:t>intervenciones disuasivas (preventivas) y constructivas como</w:t>
          </w:r>
          <w:r w:rsidR="003C00BB" w:rsidRPr="00600ED9">
            <w:t>:</w:t>
          </w:r>
          <w:r w:rsidRPr="00600ED9">
            <w:t xml:space="preserve"> (i) evaluaciones comprensivas sobre los Sistemas Institucionales de Control Interno, que miren con detenimiento el Ambiente de Control y la Gestión del Riesgo</w:t>
          </w:r>
          <w:r w:rsidR="00722EB3" w:rsidRPr="00600ED9">
            <w:t>,</w:t>
          </w:r>
          <w:r w:rsidRPr="00600ED9">
            <w:t xml:space="preserve"> así como la competencia y efectividad  de las Unidades de </w:t>
          </w:r>
          <w:r w:rsidR="005C54C5" w:rsidRPr="00600ED9">
            <w:t>Auditoría</w:t>
          </w:r>
          <w:r w:rsidRPr="00600ED9">
            <w:t xml:space="preserve"> Interna y sus informes sobre la efectividad de dicho sistema</w:t>
          </w:r>
          <w:r w:rsidR="003C00BB" w:rsidRPr="00600ED9">
            <w:t>,</w:t>
          </w:r>
          <w:r w:rsidRPr="00600ED9">
            <w:t xml:space="preserve"> y (ii) Auditorias innovadoras como  la </w:t>
          </w:r>
          <w:r w:rsidR="005C54C5" w:rsidRPr="00600ED9">
            <w:t>Auditoría</w:t>
          </w:r>
          <w:r w:rsidRPr="00600ED9">
            <w:t xml:space="preserve"> de Desempeño</w:t>
          </w:r>
          <w:r w:rsidR="00722EB3" w:rsidRPr="00600ED9">
            <w:t>,</w:t>
          </w:r>
          <w:r w:rsidRPr="00600ED9">
            <w:t xml:space="preserve"> que se ocupe de evaluar los sistemas de medición del desempeño de cada sujeto pasivo del control externo y</w:t>
          </w:r>
          <w:r w:rsidR="00722EB3" w:rsidRPr="00600ED9">
            <w:t>,</w:t>
          </w:r>
          <w:r w:rsidRPr="00600ED9">
            <w:t xml:space="preserve"> que si es necesario</w:t>
          </w:r>
          <w:r w:rsidR="00722EB3" w:rsidRPr="00600ED9">
            <w:t>,</w:t>
          </w:r>
          <w:r w:rsidRPr="00600ED9">
            <w:t xml:space="preserve"> mida el desempeño por la eficiencia, la eficacia y la economía de las operaciones, proyectos y programas</w:t>
          </w:r>
          <w:r w:rsidR="00FA3197" w:rsidRPr="00600ED9">
            <w:t>,</w:t>
          </w:r>
          <w:r w:rsidRPr="00600ED9">
            <w:t xml:space="preserve"> así como las políticas públicas. </w:t>
          </w:r>
        </w:p>
        <w:p w:rsidR="009F1CAF" w:rsidRPr="00600ED9" w:rsidRDefault="009F1CAF" w:rsidP="00E17391">
          <w:pPr>
            <w:spacing w:line="240" w:lineRule="auto"/>
            <w:jc w:val="both"/>
          </w:pPr>
          <w:r w:rsidRPr="00600ED9">
            <w:lastRenderedPageBreak/>
            <w:t>La imple</w:t>
          </w:r>
          <w:r w:rsidR="00815726" w:rsidRPr="00600ED9">
            <w:t xml:space="preserve">mentación de mejores prácticas para ejercer </w:t>
          </w:r>
          <w:r w:rsidRPr="00600ED9">
            <w:t>investigaciones forenses</w:t>
          </w:r>
          <w:r w:rsidR="002E4392" w:rsidRPr="00600ED9">
            <w:t>,</w:t>
          </w:r>
          <w:r w:rsidRPr="00600ED9">
            <w:t xml:space="preserve"> cuando hayan ocurrido siniestros contra el patrimonio y recursos de la Nación, los cuales lleven a establecer responsables, montos comprometidos, forma en que se hacen los actos corruptos y manera en que se disfrazan los beneficios indebidos</w:t>
          </w:r>
          <w:r w:rsidR="00815726" w:rsidRPr="00600ED9">
            <w:t>,</w:t>
          </w:r>
          <w:r w:rsidRPr="00600ED9">
            <w:t xml:space="preserve"> que escuche las inquietudes y denuncias de la ciudadanía y las procese técnicamente</w:t>
          </w:r>
          <w:r w:rsidR="00386A2E" w:rsidRPr="00600ED9">
            <w:t>,</w:t>
          </w:r>
          <w:r w:rsidRPr="00600ED9">
            <w:t xml:space="preserve"> incluyendo respuestas oportuna</w:t>
          </w:r>
          <w:r w:rsidR="002E4392" w:rsidRPr="00600ED9">
            <w:t>s</w:t>
          </w:r>
          <w:r w:rsidRPr="00600ED9">
            <w:t xml:space="preserve"> y transparentes sobre los resultados</w:t>
          </w:r>
          <w:r w:rsidR="002E4392" w:rsidRPr="00600ED9">
            <w:t>,</w:t>
          </w:r>
          <w:r w:rsidRPr="00600ED9">
            <w:t xml:space="preserve"> y </w:t>
          </w:r>
          <w:r w:rsidR="002E4392" w:rsidRPr="00600ED9">
            <w:t xml:space="preserve">una </w:t>
          </w:r>
          <w:r w:rsidRPr="00600ED9">
            <w:t>comunicación</w:t>
          </w:r>
          <w:r w:rsidR="00815726" w:rsidRPr="00600ED9">
            <w:t xml:space="preserve"> s</w:t>
          </w:r>
          <w:r w:rsidR="002E4392" w:rsidRPr="00600ED9">
            <w:t>ó</w:t>
          </w:r>
          <w:r w:rsidR="00815726" w:rsidRPr="00600ED9">
            <w:t>lida con los Operadores de  J</w:t>
          </w:r>
          <w:r w:rsidRPr="00600ED9">
            <w:t>usticia</w:t>
          </w:r>
          <w:r w:rsidR="002E4392" w:rsidRPr="00600ED9">
            <w:t>,</w:t>
          </w:r>
          <w:r w:rsidRPr="00600ED9">
            <w:t xml:space="preserve"> </w:t>
          </w:r>
          <w:r w:rsidR="002E4392" w:rsidRPr="00600ED9">
            <w:t xml:space="preserve">proporcionando evidencia y dando el soporte técnico </w:t>
          </w:r>
          <w:r w:rsidRPr="00600ED9">
            <w:t xml:space="preserve">que </w:t>
          </w:r>
          <w:r w:rsidR="002E4392" w:rsidRPr="00600ED9">
            <w:t xml:space="preserve">permita </w:t>
          </w:r>
          <w:r w:rsidRPr="00600ED9">
            <w:t>hacer el trabajo que les corresponde</w:t>
          </w:r>
          <w:r w:rsidR="002E4392" w:rsidRPr="00600ED9">
            <w:t xml:space="preserve">, evitando el archivo de los procesos de </w:t>
          </w:r>
          <w:r w:rsidRPr="00600ED9">
            <w:t>los ilícitos denunciados</w:t>
          </w:r>
          <w:r w:rsidR="002E4392" w:rsidRPr="00600ED9">
            <w:t>,</w:t>
          </w:r>
          <w:r w:rsidRPr="00600ED9">
            <w:t xml:space="preserve"> por </w:t>
          </w:r>
          <w:r w:rsidR="002E4392" w:rsidRPr="00600ED9">
            <w:t xml:space="preserve">una </w:t>
          </w:r>
          <w:r w:rsidRPr="00600ED9">
            <w:t>pobre calidad de los expedientes.</w:t>
          </w:r>
        </w:p>
        <w:p w:rsidR="009E16AA" w:rsidRPr="00600ED9" w:rsidRDefault="009F1CAF" w:rsidP="00E17391">
          <w:pPr>
            <w:spacing w:line="240" w:lineRule="auto"/>
            <w:jc w:val="both"/>
          </w:pPr>
          <w:r w:rsidRPr="00600ED9">
            <w:t>Finalmente</w:t>
          </w:r>
          <w:r w:rsidR="00386A2E" w:rsidRPr="00600ED9">
            <w:t xml:space="preserve">, </w:t>
          </w:r>
          <w:r w:rsidRPr="00600ED9">
            <w:t>un fortalecimiento institucional que actualice sus métodos de gestión</w:t>
          </w:r>
          <w:r w:rsidR="00214200" w:rsidRPr="00600ED9">
            <w:t>,</w:t>
          </w:r>
          <w:r w:rsidRPr="00600ED9">
            <w:t xml:space="preserve"> </w:t>
          </w:r>
          <w:r w:rsidR="002E4392" w:rsidRPr="00600ED9">
            <w:t>tanto institucionales como de</w:t>
          </w:r>
          <w:r w:rsidRPr="00600ED9">
            <w:t xml:space="preserve"> talento</w:t>
          </w:r>
          <w:r w:rsidR="00815726" w:rsidRPr="00600ED9">
            <w:t xml:space="preserve"> humano (recurso principal del c</w:t>
          </w:r>
          <w:r w:rsidRPr="00600ED9">
            <w:t>ontrol externo)</w:t>
          </w:r>
          <w:r w:rsidR="002E4392" w:rsidRPr="00600ED9">
            <w:t>,</w:t>
          </w:r>
          <w:r w:rsidRPr="00600ED9">
            <w:t xml:space="preserve"> que convierta</w:t>
          </w:r>
          <w:r w:rsidR="002E4392" w:rsidRPr="00600ED9">
            <w:t xml:space="preserve"> a la CGRC</w:t>
          </w:r>
          <w:r w:rsidRPr="00600ED9">
            <w:t xml:space="preserve"> en un</w:t>
          </w:r>
          <w:r w:rsidR="00214200" w:rsidRPr="00600ED9">
            <w:t>a entidad</w:t>
          </w:r>
          <w:r w:rsidRPr="00600ED9">
            <w:t xml:space="preserve"> </w:t>
          </w:r>
          <w:r w:rsidR="00005AA1" w:rsidRPr="00600ED9">
            <w:t xml:space="preserve">modelo </w:t>
          </w:r>
          <w:r w:rsidRPr="00600ED9">
            <w:t xml:space="preserve">en cuanto a la calidad y </w:t>
          </w:r>
          <w:r w:rsidR="00005AA1" w:rsidRPr="00600ED9">
            <w:t xml:space="preserve">cuidado </w:t>
          </w:r>
          <w:r w:rsidRPr="00600ED9">
            <w:t xml:space="preserve">con la cual ejerce su </w:t>
          </w:r>
          <w:r w:rsidR="00005AA1" w:rsidRPr="00600ED9">
            <w:t>función</w:t>
          </w:r>
          <w:r w:rsidRPr="00600ED9">
            <w:t xml:space="preserve">, </w:t>
          </w:r>
          <w:r w:rsidR="00912AD8" w:rsidRPr="00600ED9">
            <w:t>incluida</w:t>
          </w:r>
          <w:r w:rsidRPr="00600ED9">
            <w:t xml:space="preserve"> la confirmación de dicha calidad por medios independientes</w:t>
          </w:r>
          <w:r w:rsidR="00214200" w:rsidRPr="00600ED9">
            <w:t>,</w:t>
          </w:r>
          <w:r w:rsidRPr="00600ED9">
            <w:t xml:space="preserve"> y la divulgación al público de la forma como la CGR</w:t>
          </w:r>
          <w:r w:rsidR="004F42B9">
            <w:t>C</w:t>
          </w:r>
          <w:r w:rsidRPr="00600ED9">
            <w:t xml:space="preserve"> se mide y toma accione</w:t>
          </w:r>
          <w:r w:rsidR="00815726" w:rsidRPr="00600ED9">
            <w:t xml:space="preserve">s oportunas </w:t>
          </w:r>
          <w:r w:rsidRPr="00600ED9">
            <w:t>para el mejoramiento continuo.</w:t>
          </w:r>
        </w:p>
        <w:p w:rsidR="00214200" w:rsidRPr="00600ED9" w:rsidRDefault="00214200" w:rsidP="00E17391">
          <w:pPr>
            <w:spacing w:after="0" w:line="240" w:lineRule="auto"/>
            <w:jc w:val="both"/>
          </w:pPr>
          <w:r w:rsidRPr="00600ED9">
            <w:t>Por lo anterior, se requiere una Contraloría fortalecida</w:t>
          </w:r>
          <w:r w:rsidR="00005AA1" w:rsidRPr="00600ED9">
            <w:t>,</w:t>
          </w:r>
          <w:r w:rsidRPr="00600ED9">
            <w:t xml:space="preserve"> comprometida, capa</w:t>
          </w:r>
          <w:r w:rsidR="00005AA1" w:rsidRPr="00600ED9">
            <w:t>citada</w:t>
          </w:r>
          <w:r w:rsidRPr="00600ED9">
            <w:t xml:space="preserve"> e innovadora, con demostración de acciones que prevengan o </w:t>
          </w:r>
          <w:r w:rsidR="003C6AB2" w:rsidRPr="00600ED9">
            <w:t xml:space="preserve">detecten hechos y/o situaciones anómalas </w:t>
          </w:r>
          <w:r w:rsidRPr="00600ED9">
            <w:t xml:space="preserve">en el ámbito </w:t>
          </w:r>
          <w:r w:rsidR="003C6AB2" w:rsidRPr="00600ED9">
            <w:t>de</w:t>
          </w:r>
          <w:r w:rsidRPr="00600ED9">
            <w:t xml:space="preserve"> su alcance. </w:t>
          </w:r>
        </w:p>
        <w:p w:rsidR="009E16AA" w:rsidRPr="00600ED9" w:rsidRDefault="009E16AA" w:rsidP="00E17391">
          <w:pPr>
            <w:spacing w:after="0" w:line="240" w:lineRule="auto"/>
            <w:jc w:val="both"/>
          </w:pPr>
        </w:p>
        <w:p w:rsidR="00214200" w:rsidRPr="00600ED9" w:rsidRDefault="00214200" w:rsidP="00E17391">
          <w:pPr>
            <w:pBdr>
              <w:top w:val="single" w:sz="4" w:space="1" w:color="244061" w:themeColor="accent1" w:themeShade="80" w:shadow="1"/>
              <w:left w:val="single" w:sz="4" w:space="4" w:color="244061" w:themeColor="accent1" w:themeShade="80" w:shadow="1"/>
              <w:bottom w:val="single" w:sz="4" w:space="1" w:color="244061" w:themeColor="accent1" w:themeShade="80" w:shadow="1"/>
              <w:right w:val="single" w:sz="4" w:space="4" w:color="244061" w:themeColor="accent1" w:themeShade="80" w:shadow="1"/>
            </w:pBdr>
            <w:spacing w:after="0" w:line="240" w:lineRule="auto"/>
            <w:jc w:val="both"/>
          </w:pPr>
          <w:r w:rsidRPr="00600ED9">
            <w:rPr>
              <w:b/>
              <w:bCs/>
              <w:smallCaps/>
            </w:rPr>
            <w:t>Razón No. 3</w:t>
          </w:r>
        </w:p>
        <w:p w:rsidR="009F1CAF" w:rsidRPr="00600ED9" w:rsidRDefault="00815726" w:rsidP="00E17391">
          <w:pPr>
            <w:pBdr>
              <w:top w:val="single" w:sz="4" w:space="1" w:color="244061" w:themeColor="accent1" w:themeShade="80" w:shadow="1"/>
              <w:left w:val="single" w:sz="4" w:space="4" w:color="244061" w:themeColor="accent1" w:themeShade="80" w:shadow="1"/>
              <w:bottom w:val="single" w:sz="4" w:space="1" w:color="244061" w:themeColor="accent1" w:themeShade="80" w:shadow="1"/>
              <w:right w:val="single" w:sz="4" w:space="4" w:color="244061" w:themeColor="accent1" w:themeShade="80" w:shadow="1"/>
            </w:pBdr>
            <w:spacing w:after="0" w:line="240" w:lineRule="auto"/>
            <w:jc w:val="both"/>
            <w:rPr>
              <w:b/>
            </w:rPr>
          </w:pPr>
          <w:r w:rsidRPr="00600ED9">
            <w:rPr>
              <w:b/>
            </w:rPr>
            <w:t>El Control Externo basado en</w:t>
          </w:r>
          <w:r w:rsidR="009B284A" w:rsidRPr="00600ED9">
            <w:rPr>
              <w:b/>
            </w:rPr>
            <w:t xml:space="preserve"> estándares internacionales y </w:t>
          </w:r>
          <w:r w:rsidRPr="00600ED9">
            <w:rPr>
              <w:b/>
            </w:rPr>
            <w:t>mejores prá</w:t>
          </w:r>
          <w:r w:rsidR="009F1CAF" w:rsidRPr="00600ED9">
            <w:rPr>
              <w:b/>
            </w:rPr>
            <w:t>cticas</w:t>
          </w:r>
        </w:p>
        <w:p w:rsidR="00214200" w:rsidRPr="00600ED9" w:rsidRDefault="00214200" w:rsidP="00E17391">
          <w:pPr>
            <w:tabs>
              <w:tab w:val="left" w:pos="1390"/>
            </w:tabs>
            <w:spacing w:after="0" w:line="240" w:lineRule="auto"/>
            <w:jc w:val="both"/>
          </w:pPr>
        </w:p>
        <w:p w:rsidR="009E16AA" w:rsidRPr="00600ED9" w:rsidRDefault="009F1CAF" w:rsidP="00E17391">
          <w:pPr>
            <w:spacing w:line="240" w:lineRule="auto"/>
            <w:jc w:val="both"/>
          </w:pPr>
          <w:r w:rsidRPr="00600ED9">
            <w:t xml:space="preserve">Las mejores prácticas de gestión pública canalizadas </w:t>
          </w:r>
          <w:r w:rsidR="00815726" w:rsidRPr="00600ED9">
            <w:t xml:space="preserve">a través de la </w:t>
          </w:r>
          <w:r w:rsidR="00C73A13" w:rsidRPr="00600ED9">
            <w:rPr>
              <w:rFonts w:cs="Arial"/>
              <w:bCs/>
            </w:rPr>
            <w:t>Organización para la Cooperación y el Desarrollo Económicos</w:t>
          </w:r>
          <w:r w:rsidR="00C73A13" w:rsidRPr="00600ED9">
            <w:rPr>
              <w:rFonts w:cs="Arial"/>
            </w:rPr>
            <w:t xml:space="preserve"> (</w:t>
          </w:r>
          <w:r w:rsidR="00C73A13" w:rsidRPr="00600ED9">
            <w:rPr>
              <w:rFonts w:cs="Arial"/>
              <w:bCs/>
            </w:rPr>
            <w:t>OCDE</w:t>
          </w:r>
          <w:r w:rsidR="00C73A13" w:rsidRPr="00600ED9">
            <w:rPr>
              <w:rFonts w:cs="Arial"/>
            </w:rPr>
            <w:t>)</w:t>
          </w:r>
          <w:r w:rsidR="00214200" w:rsidRPr="00600ED9">
            <w:rPr>
              <w:rFonts w:cs="Arial"/>
            </w:rPr>
            <w:t>,</w:t>
          </w:r>
          <w:r w:rsidR="00815726" w:rsidRPr="00600ED9">
            <w:t xml:space="preserve"> representan </w:t>
          </w:r>
          <w:r w:rsidRPr="00600ED9">
            <w:t>un</w:t>
          </w:r>
          <w:r w:rsidR="009B284A" w:rsidRPr="00600ED9">
            <w:t>a</w:t>
          </w:r>
          <w:r w:rsidRPr="00600ED9">
            <w:t xml:space="preserve"> garantía para </w:t>
          </w:r>
          <w:r w:rsidR="009B284A" w:rsidRPr="00600ED9">
            <w:t xml:space="preserve">todos los </w:t>
          </w:r>
          <w:r w:rsidRPr="00600ED9">
            <w:t xml:space="preserve">interesados en </w:t>
          </w:r>
          <w:r w:rsidR="009B284A" w:rsidRPr="00600ED9">
            <w:t xml:space="preserve">el desarrollo </w:t>
          </w:r>
          <w:r w:rsidR="00815726" w:rsidRPr="00600ED9">
            <w:t xml:space="preserve">de todo </w:t>
          </w:r>
          <w:r w:rsidR="009B284A" w:rsidRPr="00600ED9">
            <w:t xml:space="preserve">un </w:t>
          </w:r>
          <w:r w:rsidR="00815726" w:rsidRPr="00600ED9">
            <w:t>p</w:t>
          </w:r>
          <w:r w:rsidRPr="00600ED9">
            <w:t>aís.</w:t>
          </w:r>
        </w:p>
        <w:p w:rsidR="00815726" w:rsidRPr="00600ED9" w:rsidRDefault="009F1CAF" w:rsidP="00E17391">
          <w:pPr>
            <w:spacing w:line="240" w:lineRule="auto"/>
            <w:jc w:val="both"/>
          </w:pPr>
          <w:r w:rsidRPr="00600ED9">
            <w:t>Colombia ha dispuesto elevar la calidad de su gestión pública</w:t>
          </w:r>
          <w:r w:rsidR="00214200" w:rsidRPr="00600ED9">
            <w:t>,</w:t>
          </w:r>
          <w:r w:rsidRPr="00600ED9">
            <w:t xml:space="preserve"> de tal forma que sea aceptado dentro del grupo de países que son miembros de la OCDE. Este propósito no puede deja</w:t>
          </w:r>
          <w:r w:rsidR="00815726" w:rsidRPr="00600ED9">
            <w:t>r por fuera el Control Externo G</w:t>
          </w:r>
          <w:r w:rsidR="00C73A13" w:rsidRPr="00600ED9">
            <w:t>ubernamental</w:t>
          </w:r>
          <w:r w:rsidR="0085286B" w:rsidRPr="00600ED9">
            <w:t>,</w:t>
          </w:r>
          <w:r w:rsidR="00C73A13" w:rsidRPr="00600ED9">
            <w:t xml:space="preserve"> y de hecho</w:t>
          </w:r>
          <w:r w:rsidR="00214200" w:rsidRPr="00600ED9">
            <w:t>,</w:t>
          </w:r>
          <w:r w:rsidR="00C73A13" w:rsidRPr="00600ED9">
            <w:t xml:space="preserve"> la O</w:t>
          </w:r>
          <w:r w:rsidRPr="00600ED9">
            <w:t>CD</w:t>
          </w:r>
          <w:r w:rsidR="00C73A13" w:rsidRPr="00600ED9">
            <w:t>E</w:t>
          </w:r>
          <w:r w:rsidRPr="00600ED9">
            <w:t xml:space="preserve"> ha adoptado las mejores prácticas de Control externo emitidas por la INTOSAI</w:t>
          </w:r>
          <w:r w:rsidR="00214200" w:rsidRPr="00600ED9">
            <w:t>,</w:t>
          </w:r>
          <w:r w:rsidRPr="00600ED9">
            <w:t xml:space="preserve"> como el referente para calificar si un país dispone de Buena Gobernanza, entre otros</w:t>
          </w:r>
          <w:r w:rsidR="00216258" w:rsidRPr="00600ED9">
            <w:t xml:space="preserve">, porque el </w:t>
          </w:r>
          <w:r w:rsidR="0085286B" w:rsidRPr="00600ED9">
            <w:t xml:space="preserve">Control Externo es el </w:t>
          </w:r>
          <w:r w:rsidRPr="00600ED9">
            <w:t xml:space="preserve">garante de la confianza pública y supervisa apropiadamente </w:t>
          </w:r>
          <w:r w:rsidR="00090972" w:rsidRPr="00600ED9">
            <w:t xml:space="preserve">el uso </w:t>
          </w:r>
          <w:r w:rsidRPr="00600ED9">
            <w:t>de los recursos gubernamentales</w:t>
          </w:r>
          <w:r w:rsidR="00E63B4D" w:rsidRPr="00600ED9">
            <w:t xml:space="preserve">, por lo que se requiere una Contraloría que se ajuste a los </w:t>
          </w:r>
          <w:r w:rsidR="00600ED9" w:rsidRPr="00600ED9">
            <w:t>estándares</w:t>
          </w:r>
          <w:r w:rsidR="00E63B4D" w:rsidRPr="00600ED9">
            <w:t xml:space="preserve"> internacionales y mejores prácticas en Control Externo</w:t>
          </w:r>
          <w:r w:rsidRPr="00600ED9">
            <w:t xml:space="preserve">. </w:t>
          </w:r>
        </w:p>
        <w:p w:rsidR="00815726" w:rsidRPr="00600ED9" w:rsidRDefault="00BE2787" w:rsidP="00E17391">
          <w:pPr>
            <w:spacing w:line="240" w:lineRule="auto"/>
            <w:jc w:val="both"/>
          </w:pPr>
          <w:r w:rsidRPr="00600ED9">
            <w:t>Se requiere una Contraloría que se ajuste a las mejores prácticas de control externo. Este requerimiento incluye adoptar completamente las ISSAI promovidas por la  INTOSAI</w:t>
          </w:r>
        </w:p>
        <w:p w:rsidR="00DF6E23" w:rsidRPr="00600ED9" w:rsidRDefault="00DF6E23" w:rsidP="00E17391">
          <w:pPr>
            <w:spacing w:line="240" w:lineRule="auto"/>
          </w:pPr>
          <w:r w:rsidRPr="00600ED9">
            <w:br w:type="page"/>
          </w:r>
        </w:p>
        <w:p w:rsidR="0086511E" w:rsidRPr="00600ED9" w:rsidRDefault="00134FF6" w:rsidP="00E17391">
          <w:pPr>
            <w:pStyle w:val="Title"/>
            <w:spacing w:after="0"/>
            <w:jc w:val="both"/>
            <w:rPr>
              <w:lang w:val="es-ES_tradnl"/>
            </w:rPr>
          </w:pPr>
          <w:bookmarkStart w:id="1" w:name="_Toc295932899"/>
          <w:r w:rsidRPr="00600ED9">
            <w:rPr>
              <w:lang w:val="es-ES_tradnl"/>
            </w:rPr>
            <w:lastRenderedPageBreak/>
            <w:t>Introducción</w:t>
          </w:r>
          <w:bookmarkEnd w:id="1"/>
          <w:r w:rsidRPr="00600ED9">
            <w:rPr>
              <w:lang w:val="es-ES_tradnl"/>
            </w:rPr>
            <w:t xml:space="preserve"> </w:t>
          </w:r>
        </w:p>
        <w:p w:rsidR="00E17391" w:rsidRPr="00600ED9" w:rsidRDefault="00E17391" w:rsidP="00E17391">
          <w:pPr>
            <w:pStyle w:val="Heading1"/>
            <w:numPr>
              <w:ilvl w:val="0"/>
              <w:numId w:val="0"/>
            </w:numPr>
            <w:spacing w:line="240" w:lineRule="auto"/>
            <w:ind w:left="709"/>
            <w:rPr>
              <w:noProof w:val="0"/>
            </w:rPr>
          </w:pPr>
          <w:bookmarkStart w:id="2" w:name="_Toc288763032"/>
          <w:bookmarkStart w:id="3" w:name="_Toc421028342"/>
          <w:bookmarkStart w:id="4" w:name="_Toc295932900"/>
        </w:p>
        <w:p w:rsidR="006D1C90" w:rsidRPr="00600ED9" w:rsidRDefault="006D1C90" w:rsidP="00E17391">
          <w:pPr>
            <w:pStyle w:val="Heading1"/>
            <w:spacing w:line="240" w:lineRule="auto"/>
            <w:ind w:left="709" w:hanging="709"/>
            <w:rPr>
              <w:noProof w:val="0"/>
            </w:rPr>
          </w:pPr>
          <w:r w:rsidRPr="00600ED9">
            <w:rPr>
              <w:noProof w:val="0"/>
            </w:rPr>
            <w:t>Objetivos</w:t>
          </w:r>
          <w:bookmarkEnd w:id="2"/>
          <w:bookmarkEnd w:id="3"/>
          <w:bookmarkEnd w:id="4"/>
          <w:r w:rsidRPr="00600ED9">
            <w:rPr>
              <w:noProof w:val="0"/>
            </w:rPr>
            <w:t xml:space="preserve">    </w:t>
          </w:r>
        </w:p>
        <w:p w:rsidR="006D1C90" w:rsidRPr="00600ED9" w:rsidRDefault="006D1C90" w:rsidP="00E17391">
          <w:pPr>
            <w:spacing w:after="0" w:line="240" w:lineRule="auto"/>
            <w:jc w:val="both"/>
            <w:rPr>
              <w:rFonts w:cs="Calibri"/>
              <w:sz w:val="18"/>
            </w:rPr>
          </w:pPr>
        </w:p>
        <w:p w:rsidR="002C78E2" w:rsidRPr="00600ED9" w:rsidRDefault="002C78E2" w:rsidP="00233205">
          <w:pPr>
            <w:pStyle w:val="ListParagraph"/>
            <w:numPr>
              <w:ilvl w:val="0"/>
              <w:numId w:val="46"/>
            </w:numPr>
            <w:spacing w:after="0" w:line="240" w:lineRule="auto"/>
            <w:jc w:val="both"/>
            <w:rPr>
              <w:rFonts w:cs="Calibri"/>
            </w:rPr>
          </w:pPr>
          <w:r w:rsidRPr="00600ED9">
            <w:rPr>
              <w:rFonts w:cs="Calibri"/>
            </w:rPr>
            <w:t xml:space="preserve">Identificar el nivel de desarrollo en que se encuentra la CGRC con </w:t>
          </w:r>
          <w:r w:rsidR="002259D1" w:rsidRPr="00600ED9">
            <w:rPr>
              <w:rFonts w:cs="Calibri"/>
            </w:rPr>
            <w:t>relación</w:t>
          </w:r>
          <w:r w:rsidRPr="00600ED9">
            <w:rPr>
              <w:rFonts w:cs="Calibri"/>
            </w:rPr>
            <w:t xml:space="preserve"> a los </w:t>
          </w:r>
          <w:r w:rsidR="002259D1" w:rsidRPr="00600ED9">
            <w:rPr>
              <w:rFonts w:cs="Calibri"/>
            </w:rPr>
            <w:t>estándares</w:t>
          </w:r>
          <w:r w:rsidRPr="00600ED9">
            <w:rPr>
              <w:rFonts w:cs="Calibri"/>
            </w:rPr>
            <w:t xml:space="preserve"> y mejores </w:t>
          </w:r>
          <w:r w:rsidR="00A3653D" w:rsidRPr="00600ED9">
            <w:rPr>
              <w:rFonts w:cs="Calibri"/>
            </w:rPr>
            <w:t>prácticas</w:t>
          </w:r>
          <w:r w:rsidRPr="00600ED9">
            <w:rPr>
              <w:rFonts w:cs="Calibri"/>
            </w:rPr>
            <w:t xml:space="preserve"> internacionales de Auditoría Gubernamental, como línea de base para medir cambios en el corto y mediano plazo.</w:t>
          </w:r>
        </w:p>
        <w:p w:rsidR="00A3653D" w:rsidRPr="00600ED9" w:rsidRDefault="00A3653D" w:rsidP="00E17391">
          <w:pPr>
            <w:pStyle w:val="ListParagraph"/>
            <w:spacing w:after="0" w:line="240" w:lineRule="auto"/>
            <w:ind w:left="360"/>
            <w:jc w:val="both"/>
            <w:rPr>
              <w:rFonts w:cs="Calibri"/>
            </w:rPr>
          </w:pPr>
        </w:p>
        <w:p w:rsidR="00A3653D" w:rsidRPr="00600ED9" w:rsidRDefault="00A3653D" w:rsidP="00233205">
          <w:pPr>
            <w:pStyle w:val="ListParagraph"/>
            <w:numPr>
              <w:ilvl w:val="0"/>
              <w:numId w:val="46"/>
            </w:numPr>
            <w:spacing w:after="0" w:line="240" w:lineRule="auto"/>
            <w:jc w:val="both"/>
            <w:rPr>
              <w:rFonts w:cs="Calibri"/>
            </w:rPr>
          </w:pPr>
          <w:r w:rsidRPr="00600ED9">
            <w:rPr>
              <w:rFonts w:cs="Calibri"/>
            </w:rPr>
            <w:t>Identificar oportunidades de fortalecimiento conjuntamente con las autoridades de la CGRC y formular un Plan de Acción para ejecutar en el corto plazo</w:t>
          </w:r>
          <w:r w:rsidR="00E63B4D" w:rsidRPr="00600ED9">
            <w:rPr>
              <w:rFonts w:cs="Calibri"/>
            </w:rPr>
            <w:t>,</w:t>
          </w:r>
          <w:r w:rsidRPr="00600ED9">
            <w:rPr>
              <w:rFonts w:cs="Calibri"/>
            </w:rPr>
            <w:t xml:space="preserve"> de tal forma que se  fortalezca el control externo gubernamental en Colombia</w:t>
          </w:r>
          <w:r w:rsidR="00E63B4D" w:rsidRPr="00600ED9">
            <w:rPr>
              <w:rFonts w:cs="Calibri"/>
            </w:rPr>
            <w:t>,</w:t>
          </w:r>
          <w:r w:rsidRPr="00600ED9">
            <w:rPr>
              <w:rFonts w:cs="Calibri"/>
            </w:rPr>
            <w:t xml:space="preserve"> y se convierta en apoyo para mejorar la calidad en </w:t>
          </w:r>
          <w:r w:rsidR="00E17391" w:rsidRPr="00600ED9">
            <w:rPr>
              <w:rFonts w:cs="Calibri"/>
            </w:rPr>
            <w:t xml:space="preserve">la </w:t>
          </w:r>
          <w:r w:rsidRPr="00600ED9">
            <w:rPr>
              <w:rFonts w:cs="Calibri"/>
            </w:rPr>
            <w:t xml:space="preserve">gestión financiera, la rendición de cuentas y la transparencia en el manejo de los recursos públicos, así como servir de insumo técnico para </w:t>
          </w:r>
          <w:r w:rsidRPr="00600ED9">
            <w:t>la preparación de una operación de financiamiento del Banco Interamericano de Desarrollo (BID).</w:t>
          </w:r>
        </w:p>
        <w:p w:rsidR="00BD7393" w:rsidRPr="00600ED9" w:rsidRDefault="00BD7393" w:rsidP="00E17391">
          <w:pPr>
            <w:pStyle w:val="ListParagraph"/>
            <w:spacing w:after="0" w:line="240" w:lineRule="auto"/>
            <w:rPr>
              <w:rFonts w:cs="Calibri"/>
            </w:rPr>
          </w:pPr>
        </w:p>
        <w:p w:rsidR="00524DAB" w:rsidRPr="00600ED9" w:rsidRDefault="00471896" w:rsidP="00233205">
          <w:pPr>
            <w:pStyle w:val="ListParagraph"/>
            <w:numPr>
              <w:ilvl w:val="0"/>
              <w:numId w:val="46"/>
            </w:numPr>
            <w:spacing w:after="0" w:line="240" w:lineRule="auto"/>
            <w:jc w:val="both"/>
            <w:rPr>
              <w:rFonts w:cs="Calibri"/>
            </w:rPr>
          </w:pPr>
          <w:r w:rsidRPr="00600ED9">
            <w:rPr>
              <w:rFonts w:cs="Calibri"/>
            </w:rPr>
            <w:t>A partir de</w:t>
          </w:r>
          <w:r w:rsidR="00BD7393" w:rsidRPr="00600ED9">
            <w:rPr>
              <w:rFonts w:cs="Calibri"/>
            </w:rPr>
            <w:t xml:space="preserve"> los resultados del diagnóstico, determinar las </w:t>
          </w:r>
          <w:r w:rsidR="00524DAB" w:rsidRPr="00600ED9">
            <w:rPr>
              <w:rFonts w:cs="Calibri"/>
            </w:rPr>
            <w:t xml:space="preserve">principales </w:t>
          </w:r>
          <w:r w:rsidR="00524DAB" w:rsidRPr="00600ED9">
            <w:t>líneas de acción para que la CGRC complemente con su Plan Estratégico 2014/2018, en su proceso de fortalecimiento.</w:t>
          </w:r>
        </w:p>
        <w:p w:rsidR="006D1C90" w:rsidRPr="00600ED9" w:rsidRDefault="006D1C90" w:rsidP="00E17391">
          <w:pPr>
            <w:spacing w:after="0" w:line="240" w:lineRule="auto"/>
            <w:jc w:val="both"/>
            <w:rPr>
              <w:sz w:val="18"/>
              <w:szCs w:val="20"/>
            </w:rPr>
          </w:pPr>
        </w:p>
        <w:p w:rsidR="009B7613" w:rsidRPr="00600ED9" w:rsidRDefault="00D44AD8" w:rsidP="00E17391">
          <w:pPr>
            <w:pStyle w:val="Heading1"/>
            <w:spacing w:line="240" w:lineRule="auto"/>
            <w:ind w:left="709" w:hanging="709"/>
            <w:rPr>
              <w:noProof w:val="0"/>
            </w:rPr>
          </w:pPr>
          <w:bookmarkStart w:id="5" w:name="_Toc288763033"/>
          <w:bookmarkStart w:id="6" w:name="_Toc421028343"/>
          <w:bookmarkStart w:id="7" w:name="_Toc295932901"/>
          <w:r w:rsidRPr="00600ED9">
            <w:rPr>
              <w:noProof w:val="0"/>
            </w:rPr>
            <w:t>Alcance</w:t>
          </w:r>
          <w:bookmarkEnd w:id="5"/>
          <w:bookmarkEnd w:id="6"/>
          <w:r w:rsidR="003C3372" w:rsidRPr="00600ED9">
            <w:rPr>
              <w:noProof w:val="0"/>
            </w:rPr>
            <w:t xml:space="preserve"> y </w:t>
          </w:r>
          <w:r w:rsidR="002259D1" w:rsidRPr="00600ED9">
            <w:rPr>
              <w:noProof w:val="0"/>
            </w:rPr>
            <w:t>Metodología</w:t>
          </w:r>
          <w:r w:rsidR="003C3372" w:rsidRPr="00600ED9">
            <w:rPr>
              <w:noProof w:val="0"/>
            </w:rPr>
            <w:t xml:space="preserve"> </w:t>
          </w:r>
          <w:bookmarkEnd w:id="7"/>
        </w:p>
        <w:p w:rsidR="006D1C90" w:rsidRPr="00600ED9" w:rsidRDefault="006D1C90" w:rsidP="00E17391">
          <w:pPr>
            <w:pStyle w:val="Heading1"/>
            <w:numPr>
              <w:ilvl w:val="0"/>
              <w:numId w:val="0"/>
            </w:numPr>
            <w:spacing w:line="240" w:lineRule="auto"/>
            <w:ind w:left="709"/>
            <w:rPr>
              <w:rFonts w:cs="Calibri"/>
              <w:noProof w:val="0"/>
              <w:sz w:val="24"/>
            </w:rPr>
          </w:pPr>
        </w:p>
        <w:p w:rsidR="007339A4" w:rsidRPr="00600ED9" w:rsidRDefault="007339A4" w:rsidP="00E17391">
          <w:pPr>
            <w:spacing w:after="0" w:line="240" w:lineRule="auto"/>
            <w:jc w:val="both"/>
            <w:rPr>
              <w:rFonts w:eastAsia="Times New Roman" w:cs="Arial"/>
              <w:color w:val="000000"/>
              <w:lang w:eastAsia="es-GT"/>
            </w:rPr>
          </w:pPr>
          <w:r w:rsidRPr="00600ED9">
            <w:rPr>
              <w:rFonts w:cs="Calibri"/>
            </w:rPr>
            <w:t xml:space="preserve">El diagnóstico </w:t>
          </w:r>
          <w:r w:rsidR="009B7613" w:rsidRPr="00600ED9">
            <w:rPr>
              <w:rFonts w:cs="Calibri"/>
            </w:rPr>
            <w:t xml:space="preserve">se enfocó </w:t>
          </w:r>
          <w:r w:rsidRPr="00600ED9">
            <w:t>en el desempeño de la CGRC durante el año fiscal 2014 (auditorías con corte al 31 de diciembre de 2013), y la revisión del trabajo para la auditoría del Balance General de Situación de la Nación</w:t>
          </w:r>
          <w:r w:rsidR="002746B5" w:rsidRPr="00600ED9">
            <w:t>, llevado a cabo durante el año 2013</w:t>
          </w:r>
          <w:r w:rsidRPr="00600ED9">
            <w:t xml:space="preserve">. Se </w:t>
          </w:r>
          <w:r w:rsidRPr="00600ED9">
            <w:rPr>
              <w:rFonts w:eastAsia="Times New Roman" w:cs="Arial"/>
              <w:color w:val="000000"/>
              <w:lang w:eastAsia="es-GT"/>
            </w:rPr>
            <w:t>seleccionó una muestra de 30 auditorías, de las cuales fue posible verificar 21</w:t>
          </w:r>
          <w:r w:rsidRPr="00600ED9">
            <w:rPr>
              <w:rStyle w:val="FootnoteReference"/>
              <w:rFonts w:eastAsia="Times New Roman" w:cs="Arial"/>
              <w:color w:val="000000"/>
              <w:lang w:eastAsia="es-GT"/>
            </w:rPr>
            <w:footnoteReference w:id="3"/>
          </w:r>
          <w:r w:rsidRPr="00600ED9">
            <w:rPr>
              <w:rFonts w:eastAsia="Times New Roman" w:cs="Arial"/>
              <w:color w:val="000000"/>
              <w:lang w:eastAsia="es-GT"/>
            </w:rPr>
            <w:t xml:space="preserve"> auditorías integrales documentadas en el </w:t>
          </w:r>
          <w:r w:rsidR="00C318A6" w:rsidRPr="00600ED9">
            <w:rPr>
              <w:rFonts w:cs="Times New Roman"/>
            </w:rPr>
            <w:t>Sistema I</w:t>
          </w:r>
          <w:r w:rsidRPr="00600ED9">
            <w:rPr>
              <w:rFonts w:cs="Times New Roman"/>
            </w:rPr>
            <w:t>ntegrado para el Control de Auditorías</w:t>
          </w:r>
          <w:r w:rsidRPr="00600ED9">
            <w:rPr>
              <w:rFonts w:eastAsia="Times New Roman" w:cs="Arial"/>
              <w:color w:val="000000"/>
              <w:lang w:eastAsia="es-GT"/>
            </w:rPr>
            <w:t xml:space="preserve"> (SICA).</w:t>
          </w:r>
          <w:r w:rsidR="009B7613" w:rsidRPr="00600ED9">
            <w:rPr>
              <w:rFonts w:eastAsia="Times New Roman" w:cs="Arial"/>
              <w:color w:val="000000"/>
              <w:lang w:eastAsia="es-GT"/>
            </w:rPr>
            <w:t xml:space="preserve"> Otros dominios generales</w:t>
          </w:r>
          <w:r w:rsidR="003C3372" w:rsidRPr="00600ED9">
            <w:rPr>
              <w:rFonts w:eastAsia="Times New Roman" w:cs="Arial"/>
              <w:color w:val="000000"/>
              <w:lang w:eastAsia="es-GT"/>
            </w:rPr>
            <w:t xml:space="preserve">, </w:t>
          </w:r>
          <w:r w:rsidR="009B7613" w:rsidRPr="00600ED9">
            <w:rPr>
              <w:rFonts w:eastAsia="Times New Roman" w:cs="Arial"/>
              <w:color w:val="000000"/>
              <w:lang w:eastAsia="es-GT"/>
            </w:rPr>
            <w:t xml:space="preserve">relacionados con la estructura y funcionamiento </w:t>
          </w:r>
          <w:r w:rsidR="003C3372" w:rsidRPr="00600ED9">
            <w:rPr>
              <w:rFonts w:eastAsia="Times New Roman" w:cs="Arial"/>
              <w:color w:val="000000"/>
              <w:lang w:eastAsia="es-GT"/>
            </w:rPr>
            <w:t>de la CGRC</w:t>
          </w:r>
          <w:r w:rsidR="002746B5" w:rsidRPr="00600ED9">
            <w:rPr>
              <w:rFonts w:eastAsia="Times New Roman" w:cs="Arial"/>
              <w:color w:val="000000"/>
              <w:lang w:eastAsia="es-GT"/>
            </w:rPr>
            <w:t>,</w:t>
          </w:r>
          <w:r w:rsidR="003C3372" w:rsidRPr="00600ED9">
            <w:rPr>
              <w:rFonts w:eastAsia="Times New Roman" w:cs="Arial"/>
              <w:color w:val="000000"/>
              <w:lang w:eastAsia="es-GT"/>
            </w:rPr>
            <w:t xml:space="preserve"> </w:t>
          </w:r>
          <w:r w:rsidR="009B7613" w:rsidRPr="00600ED9">
            <w:rPr>
              <w:rFonts w:eastAsia="Times New Roman" w:cs="Arial"/>
              <w:color w:val="000000"/>
              <w:lang w:eastAsia="es-GT"/>
            </w:rPr>
            <w:t xml:space="preserve">se </w:t>
          </w:r>
          <w:r w:rsidR="00C318A6" w:rsidRPr="00600ED9">
            <w:rPr>
              <w:rFonts w:eastAsia="Times New Roman" w:cs="Arial"/>
              <w:color w:val="000000"/>
              <w:lang w:eastAsia="es-GT"/>
            </w:rPr>
            <w:t>soportan</w:t>
          </w:r>
          <w:r w:rsidR="009B7613" w:rsidRPr="00600ED9">
            <w:rPr>
              <w:rFonts w:eastAsia="Times New Roman" w:cs="Arial"/>
              <w:color w:val="000000"/>
              <w:lang w:eastAsia="es-GT"/>
            </w:rPr>
            <w:t xml:space="preserve"> en la </w:t>
          </w:r>
          <w:r w:rsidR="002259D1" w:rsidRPr="00600ED9">
            <w:rPr>
              <w:rFonts w:eastAsia="Times New Roman" w:cs="Arial"/>
              <w:color w:val="000000"/>
              <w:lang w:eastAsia="es-GT"/>
            </w:rPr>
            <w:t>situación</w:t>
          </w:r>
          <w:r w:rsidR="009B7613" w:rsidRPr="00600ED9">
            <w:rPr>
              <w:rFonts w:eastAsia="Times New Roman" w:cs="Arial"/>
              <w:color w:val="000000"/>
              <w:lang w:eastAsia="es-GT"/>
            </w:rPr>
            <w:t xml:space="preserve"> </w:t>
          </w:r>
          <w:r w:rsidR="002746B5" w:rsidRPr="00600ED9">
            <w:rPr>
              <w:rFonts w:eastAsia="Times New Roman" w:cs="Arial"/>
              <w:color w:val="000000"/>
              <w:lang w:eastAsia="es-GT"/>
            </w:rPr>
            <w:t xml:space="preserve">observada </w:t>
          </w:r>
          <w:r w:rsidR="009B7613" w:rsidRPr="00600ED9">
            <w:rPr>
              <w:rFonts w:eastAsia="Times New Roman" w:cs="Arial"/>
              <w:color w:val="000000"/>
              <w:lang w:eastAsia="es-GT"/>
            </w:rPr>
            <w:t>al momento de la visita.</w:t>
          </w:r>
        </w:p>
        <w:p w:rsidR="00E17391" w:rsidRPr="00600ED9" w:rsidRDefault="00E17391" w:rsidP="00E17391">
          <w:pPr>
            <w:spacing w:after="0" w:line="240" w:lineRule="auto"/>
            <w:jc w:val="both"/>
          </w:pPr>
        </w:p>
        <w:p w:rsidR="006D1C90" w:rsidRPr="00600ED9" w:rsidRDefault="006D1C90" w:rsidP="00E17391">
          <w:pPr>
            <w:spacing w:after="0" w:line="240" w:lineRule="auto"/>
            <w:jc w:val="both"/>
            <w:rPr>
              <w:rFonts w:cs="Calibri"/>
            </w:rPr>
          </w:pPr>
          <w:r w:rsidRPr="00600ED9">
            <w:rPr>
              <w:rFonts w:cs="Calibri"/>
            </w:rPr>
            <w:t xml:space="preserve">El </w:t>
          </w:r>
          <w:r w:rsidR="008E32C7" w:rsidRPr="00600ED9">
            <w:rPr>
              <w:rFonts w:cs="Calibri"/>
            </w:rPr>
            <w:t xml:space="preserve">diagnóstico  </w:t>
          </w:r>
          <w:r w:rsidR="00563191" w:rsidRPr="00600ED9">
            <w:rPr>
              <w:rFonts w:cs="Calibri"/>
            </w:rPr>
            <w:t xml:space="preserve">se </w:t>
          </w:r>
          <w:r w:rsidR="00C318A6" w:rsidRPr="00600ED9">
            <w:rPr>
              <w:rFonts w:cs="Calibri"/>
            </w:rPr>
            <w:t>fundamenta</w:t>
          </w:r>
          <w:r w:rsidR="008E32C7" w:rsidRPr="00600ED9">
            <w:rPr>
              <w:rFonts w:cs="Calibri"/>
            </w:rPr>
            <w:t xml:space="preserve"> en </w:t>
          </w:r>
          <w:r w:rsidRPr="00600ED9">
            <w:rPr>
              <w:rFonts w:cs="Calibri"/>
            </w:rPr>
            <w:t xml:space="preserve">la aplicación </w:t>
          </w:r>
          <w:r w:rsidR="00C41D93" w:rsidRPr="00600ED9">
            <w:rPr>
              <w:rFonts w:cs="Calibri"/>
            </w:rPr>
            <w:t>MMD</w:t>
          </w:r>
          <w:r w:rsidR="002259D1" w:rsidRPr="00600ED9">
            <w:rPr>
              <w:rFonts w:cs="Calibri"/>
            </w:rPr>
            <w:t>-</w:t>
          </w:r>
          <w:r w:rsidR="00112EE9" w:rsidRPr="00600ED9">
            <w:rPr>
              <w:rFonts w:cs="Calibri"/>
            </w:rPr>
            <w:t>EFS</w:t>
          </w:r>
          <w:r w:rsidR="00377042" w:rsidRPr="00600ED9">
            <w:rPr>
              <w:rFonts w:cs="Calibri"/>
            </w:rPr>
            <w:t>.</w:t>
          </w:r>
          <w:r w:rsidR="00C318A6" w:rsidRPr="00600ED9">
            <w:rPr>
              <w:rFonts w:cs="Calibri"/>
            </w:rPr>
            <w:t xml:space="preserve"> </w:t>
          </w:r>
          <w:r w:rsidR="009C45E4" w:rsidRPr="00600ED9">
            <w:rPr>
              <w:rFonts w:cs="Calibri"/>
            </w:rPr>
            <w:t xml:space="preserve">Este  marco de medición </w:t>
          </w:r>
          <w:r w:rsidR="00377042" w:rsidRPr="00600ED9">
            <w:rPr>
              <w:rFonts w:cs="Calibri"/>
            </w:rPr>
            <w:t xml:space="preserve"> </w:t>
          </w:r>
          <w:r w:rsidR="00112EE9" w:rsidRPr="00600ED9">
            <w:rPr>
              <w:rFonts w:cs="Calibri"/>
            </w:rPr>
            <w:t xml:space="preserve">fue </w:t>
          </w:r>
          <w:r w:rsidR="00112EE9" w:rsidRPr="00600ED9">
            <w:t xml:space="preserve"> desarrollado</w:t>
          </w:r>
          <w:r w:rsidR="008C1DB9" w:rsidRPr="00600ED9">
            <w:t xml:space="preserve"> por el Grupo de Trabajo de la INTOSAI sobre el Valor y Beneficios de las EFS</w:t>
          </w:r>
          <w:r w:rsidR="00263534" w:rsidRPr="00600ED9">
            <w:t>.</w:t>
          </w:r>
          <w:r w:rsidR="008C1DB9" w:rsidRPr="00600ED9">
            <w:t xml:space="preserve"> </w:t>
          </w:r>
          <w:r w:rsidR="00263534" w:rsidRPr="00600ED9">
            <w:t>Es esta ocasión e</w:t>
          </w:r>
          <w:r w:rsidR="00AA6829" w:rsidRPr="00600ED9">
            <w:rPr>
              <w:rFonts w:cs="Calibri"/>
            </w:rPr>
            <w:t xml:space="preserve">l </w:t>
          </w:r>
          <w:r w:rsidR="002259D1" w:rsidRPr="00600ED9">
            <w:rPr>
              <w:rFonts w:cs="Calibri"/>
            </w:rPr>
            <w:t>diagnóstico</w:t>
          </w:r>
          <w:r w:rsidR="00AA6829" w:rsidRPr="00600ED9">
            <w:rPr>
              <w:rFonts w:cs="Calibri"/>
            </w:rPr>
            <w:t xml:space="preserve"> </w:t>
          </w:r>
          <w:r w:rsidR="00263534" w:rsidRPr="00600ED9">
            <w:rPr>
              <w:rFonts w:cs="Calibri"/>
            </w:rPr>
            <w:t xml:space="preserve">aplicó </w:t>
          </w:r>
          <w:r w:rsidR="002259D1" w:rsidRPr="00600ED9">
            <w:rPr>
              <w:rFonts w:cs="Calibri"/>
            </w:rPr>
            <w:t>veintidós</w:t>
          </w:r>
          <w:r w:rsidRPr="00600ED9">
            <w:rPr>
              <w:rFonts w:cs="Calibri"/>
            </w:rPr>
            <w:t xml:space="preserve"> (22) indicadores, 7</w:t>
          </w:r>
          <w:r w:rsidR="002259D1" w:rsidRPr="00600ED9">
            <w:rPr>
              <w:rFonts w:cs="Calibri"/>
            </w:rPr>
            <w:t>5</w:t>
          </w:r>
          <w:r w:rsidR="0036169A" w:rsidRPr="00600ED9">
            <w:rPr>
              <w:rFonts w:cs="Calibri"/>
            </w:rPr>
            <w:t xml:space="preserve"> dimensiones y 48</w:t>
          </w:r>
          <w:r w:rsidR="002259D1" w:rsidRPr="00600ED9">
            <w:rPr>
              <w:rFonts w:cs="Calibri"/>
            </w:rPr>
            <w:t>7</w:t>
          </w:r>
          <w:r w:rsidRPr="00600ED9">
            <w:rPr>
              <w:rFonts w:cs="Calibri"/>
            </w:rPr>
            <w:t xml:space="preserve"> criterios (atributos)</w:t>
          </w:r>
          <w:r w:rsidR="00263534" w:rsidRPr="00600ED9">
            <w:rPr>
              <w:rFonts w:cs="Calibri"/>
            </w:rPr>
            <w:t>,</w:t>
          </w:r>
          <w:r w:rsidRPr="00600ED9">
            <w:rPr>
              <w:rFonts w:cs="Calibri"/>
            </w:rPr>
            <w:t xml:space="preserve"> cubiertos en los siguientes </w:t>
          </w:r>
          <w:r w:rsidR="007A2B4C" w:rsidRPr="00600ED9">
            <w:rPr>
              <w:rFonts w:cs="Calibri"/>
            </w:rPr>
            <w:t>siete dominios</w:t>
          </w:r>
          <w:r w:rsidR="008E32C7" w:rsidRPr="00600ED9">
            <w:rPr>
              <w:rFonts w:cs="Calibri"/>
            </w:rPr>
            <w:t xml:space="preserve"> de la </w:t>
          </w:r>
          <w:r w:rsidR="002259D1" w:rsidRPr="00600ED9">
            <w:rPr>
              <w:rFonts w:cs="Calibri"/>
            </w:rPr>
            <w:t>metodología</w:t>
          </w:r>
          <w:r w:rsidRPr="00600ED9">
            <w:rPr>
              <w:rFonts w:cs="Calibri"/>
            </w:rPr>
            <w:t>:</w:t>
          </w:r>
        </w:p>
        <w:p w:rsidR="00E17391" w:rsidRPr="00600ED9" w:rsidRDefault="00E17391" w:rsidP="00E17391">
          <w:pPr>
            <w:spacing w:after="0" w:line="240" w:lineRule="auto"/>
            <w:jc w:val="both"/>
            <w:rPr>
              <w:rFonts w:cs="Calibri"/>
            </w:rPr>
          </w:pPr>
        </w:p>
        <w:p w:rsidR="006D1C90" w:rsidRPr="00600ED9" w:rsidRDefault="006D1C90" w:rsidP="00233205">
          <w:pPr>
            <w:pStyle w:val="ListParagraph"/>
            <w:numPr>
              <w:ilvl w:val="0"/>
              <w:numId w:val="17"/>
            </w:numPr>
            <w:spacing w:after="0" w:line="240" w:lineRule="auto"/>
            <w:jc w:val="both"/>
            <w:rPr>
              <w:rFonts w:cs="Calibri"/>
            </w:rPr>
          </w:pPr>
          <w:r w:rsidRPr="00600ED9">
            <w:rPr>
              <w:rFonts w:cs="Calibri"/>
            </w:rPr>
            <w:t>Desempeño de la EFS</w:t>
          </w:r>
        </w:p>
        <w:p w:rsidR="006D1C90" w:rsidRPr="00600ED9" w:rsidRDefault="002259D1" w:rsidP="00233205">
          <w:pPr>
            <w:pStyle w:val="ListParagraph"/>
            <w:numPr>
              <w:ilvl w:val="0"/>
              <w:numId w:val="17"/>
            </w:numPr>
            <w:spacing w:after="0" w:line="240" w:lineRule="auto"/>
            <w:jc w:val="both"/>
            <w:rPr>
              <w:rFonts w:cs="Calibri"/>
            </w:rPr>
          </w:pPr>
          <w:r w:rsidRPr="00600ED9">
            <w:rPr>
              <w:rFonts w:cs="Calibri"/>
            </w:rPr>
            <w:t>Independencia</w:t>
          </w:r>
          <w:r w:rsidR="006D1C90" w:rsidRPr="00600ED9">
            <w:rPr>
              <w:rFonts w:cs="Calibri"/>
            </w:rPr>
            <w:t xml:space="preserve"> y Marco Legal de la EFS</w:t>
          </w:r>
        </w:p>
        <w:p w:rsidR="006D1C90" w:rsidRPr="00600ED9" w:rsidRDefault="006D1C90" w:rsidP="00233205">
          <w:pPr>
            <w:pStyle w:val="ListParagraph"/>
            <w:numPr>
              <w:ilvl w:val="0"/>
              <w:numId w:val="17"/>
            </w:numPr>
            <w:spacing w:after="0" w:line="240" w:lineRule="auto"/>
            <w:jc w:val="both"/>
            <w:rPr>
              <w:rFonts w:cs="Calibri"/>
            </w:rPr>
          </w:pPr>
          <w:r w:rsidRPr="00600ED9">
            <w:rPr>
              <w:rFonts w:cs="Calibri"/>
            </w:rPr>
            <w:t>Estrategia para el desarrollo organizacional</w:t>
          </w:r>
        </w:p>
        <w:p w:rsidR="006D1C90" w:rsidRPr="00600ED9" w:rsidRDefault="006D1C90" w:rsidP="00233205">
          <w:pPr>
            <w:pStyle w:val="ListParagraph"/>
            <w:numPr>
              <w:ilvl w:val="0"/>
              <w:numId w:val="17"/>
            </w:numPr>
            <w:spacing w:after="0" w:line="240" w:lineRule="auto"/>
            <w:jc w:val="both"/>
            <w:rPr>
              <w:rFonts w:cs="Calibri"/>
            </w:rPr>
          </w:pPr>
          <w:r w:rsidRPr="00600ED9">
            <w:rPr>
              <w:rFonts w:cs="Calibri"/>
            </w:rPr>
            <w:t>Normas y Metodología de Auditoría</w:t>
          </w:r>
        </w:p>
        <w:p w:rsidR="006D1C90" w:rsidRPr="00600ED9" w:rsidRDefault="006D1C90" w:rsidP="00233205">
          <w:pPr>
            <w:pStyle w:val="ListParagraph"/>
            <w:numPr>
              <w:ilvl w:val="0"/>
              <w:numId w:val="17"/>
            </w:numPr>
            <w:spacing w:after="0" w:line="240" w:lineRule="auto"/>
            <w:jc w:val="both"/>
            <w:rPr>
              <w:rFonts w:cs="Calibri"/>
            </w:rPr>
          </w:pPr>
          <w:r w:rsidRPr="00600ED9">
            <w:rPr>
              <w:rFonts w:cs="Calibri"/>
            </w:rPr>
            <w:t>Estructuras de Gestión y Apoyo</w:t>
          </w:r>
        </w:p>
        <w:p w:rsidR="006D1C90" w:rsidRPr="00600ED9" w:rsidRDefault="006D1C90" w:rsidP="00233205">
          <w:pPr>
            <w:pStyle w:val="ListParagraph"/>
            <w:numPr>
              <w:ilvl w:val="0"/>
              <w:numId w:val="17"/>
            </w:numPr>
            <w:spacing w:after="0" w:line="240" w:lineRule="auto"/>
            <w:jc w:val="both"/>
            <w:rPr>
              <w:rFonts w:cs="Calibri"/>
            </w:rPr>
          </w:pPr>
          <w:r w:rsidRPr="00600ED9">
            <w:rPr>
              <w:rFonts w:cs="Calibri"/>
            </w:rPr>
            <w:t>Recursos Humanos y Liderazgo</w:t>
          </w:r>
        </w:p>
        <w:p w:rsidR="006D1C90" w:rsidRPr="00600ED9" w:rsidRDefault="006D1C90" w:rsidP="00233205">
          <w:pPr>
            <w:pStyle w:val="ListParagraph"/>
            <w:numPr>
              <w:ilvl w:val="0"/>
              <w:numId w:val="17"/>
            </w:numPr>
            <w:spacing w:after="0" w:line="240" w:lineRule="auto"/>
            <w:jc w:val="both"/>
            <w:rPr>
              <w:rFonts w:cs="Calibri"/>
            </w:rPr>
          </w:pPr>
          <w:r w:rsidRPr="00600ED9">
            <w:rPr>
              <w:rFonts w:cs="Calibri"/>
            </w:rPr>
            <w:t>Comunicación y Gestión de las Partes Interesadas</w:t>
          </w:r>
        </w:p>
        <w:p w:rsidR="00E17391" w:rsidRPr="00600ED9" w:rsidRDefault="00E17391" w:rsidP="00E17391">
          <w:pPr>
            <w:pStyle w:val="ListParagraph"/>
            <w:spacing w:after="0" w:line="240" w:lineRule="auto"/>
            <w:ind w:left="360"/>
            <w:jc w:val="both"/>
            <w:rPr>
              <w:rFonts w:cs="Calibri"/>
            </w:rPr>
          </w:pPr>
        </w:p>
        <w:p w:rsidR="006D1C90" w:rsidRPr="00600ED9" w:rsidRDefault="009F2850" w:rsidP="00E17391">
          <w:pPr>
            <w:spacing w:after="0" w:line="240" w:lineRule="auto"/>
            <w:jc w:val="both"/>
          </w:pPr>
          <w:r w:rsidRPr="00600ED9">
            <w:t xml:space="preserve">Este estudio </w:t>
          </w:r>
          <w:r w:rsidR="005325D1" w:rsidRPr="00600ED9">
            <w:t xml:space="preserve">no incluye los Indicadores </w:t>
          </w:r>
          <w:r w:rsidR="005325D1" w:rsidRPr="00600ED9">
            <w:rPr>
              <w:i/>
            </w:rPr>
            <w:t>EFS-4 Resultados de las Sentencias</w:t>
          </w:r>
          <w:r w:rsidR="005325D1" w:rsidRPr="00600ED9">
            <w:t xml:space="preserve"> y </w:t>
          </w:r>
          <w:r w:rsidR="005325D1" w:rsidRPr="00600ED9">
            <w:rPr>
              <w:i/>
            </w:rPr>
            <w:t>EFS-17 Proceso Judicial,</w:t>
          </w:r>
          <w:r w:rsidR="005325D1" w:rsidRPr="00600ED9">
            <w:t xml:space="preserve"> ya que la </w:t>
          </w:r>
          <w:r w:rsidR="00431CA4" w:rsidRPr="00600ED9">
            <w:t>CGRC</w:t>
          </w:r>
          <w:r w:rsidR="005325D1" w:rsidRPr="00600ED9">
            <w:t xml:space="preserve"> no </w:t>
          </w:r>
          <w:r w:rsidR="00B3100A" w:rsidRPr="00600ED9">
            <w:t>funciona como</w:t>
          </w:r>
          <w:r w:rsidR="005325D1" w:rsidRPr="00600ED9">
            <w:t xml:space="preserve"> </w:t>
          </w:r>
          <w:r w:rsidR="002259D1" w:rsidRPr="00600ED9">
            <w:t>C</w:t>
          </w:r>
          <w:r w:rsidR="005325D1" w:rsidRPr="00600ED9">
            <w:t xml:space="preserve">orte de </w:t>
          </w:r>
          <w:r w:rsidR="002259D1" w:rsidRPr="00600ED9">
            <w:t>C</w:t>
          </w:r>
          <w:r w:rsidR="005325D1" w:rsidRPr="00600ED9">
            <w:t xml:space="preserve">uentas. </w:t>
          </w:r>
        </w:p>
        <w:p w:rsidR="001471C4" w:rsidRDefault="001471C4" w:rsidP="00E17391">
          <w:pPr>
            <w:spacing w:after="0" w:line="240" w:lineRule="auto"/>
            <w:jc w:val="both"/>
          </w:pPr>
        </w:p>
        <w:p w:rsidR="003C3372" w:rsidRPr="00600ED9" w:rsidRDefault="003C3372" w:rsidP="00E17391">
          <w:pPr>
            <w:spacing w:after="0" w:line="240" w:lineRule="auto"/>
            <w:jc w:val="both"/>
            <w:rPr>
              <w:rFonts w:ascii="Calibri" w:hAnsi="Calibri" w:cs="Calibri"/>
            </w:rPr>
          </w:pPr>
          <w:r w:rsidRPr="00600ED9">
            <w:t>La aplicación del MMD-EFS</w:t>
          </w:r>
          <w:r w:rsidR="00DA770B" w:rsidRPr="00600ED9">
            <w:rPr>
              <w:rFonts w:ascii="Calibri" w:hAnsi="Calibri" w:cs="Calibri"/>
            </w:rPr>
            <w:t>: (i)</w:t>
          </w:r>
          <w:r w:rsidRPr="00600ED9">
            <w:rPr>
              <w:rFonts w:ascii="Calibri" w:hAnsi="Calibri" w:cs="Calibri"/>
            </w:rPr>
            <w:t xml:space="preserve"> </w:t>
          </w:r>
          <w:r w:rsidR="00DA770B" w:rsidRPr="00600ED9">
            <w:rPr>
              <w:rFonts w:ascii="Calibri" w:hAnsi="Calibri" w:cs="Calibri"/>
            </w:rPr>
            <w:t xml:space="preserve">proporciona </w:t>
          </w:r>
          <w:r w:rsidRPr="00600ED9">
            <w:rPr>
              <w:rFonts w:ascii="Calibri" w:hAnsi="Calibri" w:cs="Calibri"/>
            </w:rPr>
            <w:t xml:space="preserve">una visión general amplia del desempeño de la EFS, </w:t>
          </w:r>
          <w:r w:rsidR="00DA770B" w:rsidRPr="00600ED9">
            <w:rPr>
              <w:rFonts w:ascii="Calibri" w:hAnsi="Calibri" w:cs="Calibri"/>
            </w:rPr>
            <w:t>(ii)</w:t>
          </w:r>
          <w:r w:rsidRPr="00600ED9">
            <w:rPr>
              <w:rFonts w:ascii="Calibri" w:hAnsi="Calibri" w:cs="Calibri"/>
            </w:rPr>
            <w:t xml:space="preserve"> ayuda a identificar </w:t>
          </w:r>
          <w:r w:rsidR="00263534" w:rsidRPr="00600ED9">
            <w:rPr>
              <w:rFonts w:ascii="Calibri" w:hAnsi="Calibri" w:cs="Calibri"/>
            </w:rPr>
            <w:t>sus</w:t>
          </w:r>
          <w:r w:rsidRPr="00600ED9">
            <w:rPr>
              <w:rFonts w:ascii="Calibri" w:hAnsi="Calibri" w:cs="Calibri"/>
            </w:rPr>
            <w:t xml:space="preserve"> principales fortalezas y debilidades</w:t>
          </w:r>
          <w:r w:rsidR="00DA770B" w:rsidRPr="00600ED9">
            <w:rPr>
              <w:rFonts w:ascii="Calibri" w:hAnsi="Calibri" w:cs="Calibri"/>
            </w:rPr>
            <w:t>, como también</w:t>
          </w:r>
          <w:r w:rsidR="00263534" w:rsidRPr="00600ED9">
            <w:rPr>
              <w:rFonts w:ascii="Calibri" w:hAnsi="Calibri" w:cs="Calibri"/>
            </w:rPr>
            <w:t xml:space="preserve"> </w:t>
          </w:r>
          <w:r w:rsidR="00DA770B" w:rsidRPr="00600ED9">
            <w:rPr>
              <w:rFonts w:ascii="Calibri" w:hAnsi="Calibri" w:cs="Calibri"/>
            </w:rPr>
            <w:t xml:space="preserve">sus </w:t>
          </w:r>
          <w:r w:rsidR="00263534" w:rsidRPr="00600ED9">
            <w:rPr>
              <w:rFonts w:ascii="Calibri" w:hAnsi="Calibri" w:cs="Calibri"/>
            </w:rPr>
            <w:t>necesidades de cambio,</w:t>
          </w:r>
          <w:r w:rsidRPr="00600ED9">
            <w:rPr>
              <w:rFonts w:ascii="Calibri" w:hAnsi="Calibri" w:cs="Calibri"/>
            </w:rPr>
            <w:t xml:space="preserve"> así como el modo en que éstas influyen en </w:t>
          </w:r>
          <w:r w:rsidR="00DA770B" w:rsidRPr="00600ED9">
            <w:rPr>
              <w:rFonts w:ascii="Calibri" w:hAnsi="Calibri" w:cs="Calibri"/>
            </w:rPr>
            <w:t>su</w:t>
          </w:r>
          <w:r w:rsidRPr="00600ED9">
            <w:rPr>
              <w:rFonts w:ascii="Calibri" w:hAnsi="Calibri" w:cs="Calibri"/>
            </w:rPr>
            <w:t xml:space="preserve"> desempeño</w:t>
          </w:r>
          <w:r w:rsidR="00263534" w:rsidRPr="00600ED9">
            <w:rPr>
              <w:rFonts w:ascii="Calibri" w:hAnsi="Calibri" w:cs="Calibri"/>
            </w:rPr>
            <w:t>, y</w:t>
          </w:r>
          <w:r w:rsidRPr="00600ED9">
            <w:rPr>
              <w:rFonts w:ascii="Calibri" w:hAnsi="Calibri" w:cs="Calibri"/>
            </w:rPr>
            <w:t xml:space="preserve"> </w:t>
          </w:r>
          <w:r w:rsidR="00DA770B" w:rsidRPr="00600ED9">
            <w:rPr>
              <w:rFonts w:ascii="Calibri" w:hAnsi="Calibri" w:cs="Calibri"/>
            </w:rPr>
            <w:t>(ii</w:t>
          </w:r>
          <w:r w:rsidR="00311BEE" w:rsidRPr="00600ED9">
            <w:rPr>
              <w:rFonts w:ascii="Calibri" w:hAnsi="Calibri" w:cs="Calibri"/>
            </w:rPr>
            <w:t>i</w:t>
          </w:r>
          <w:r w:rsidR="00DA770B" w:rsidRPr="00600ED9">
            <w:rPr>
              <w:rFonts w:ascii="Calibri" w:hAnsi="Calibri" w:cs="Calibri"/>
            </w:rPr>
            <w:t xml:space="preserve">) </w:t>
          </w:r>
          <w:r w:rsidRPr="00600ED9">
            <w:rPr>
              <w:rFonts w:ascii="Calibri" w:hAnsi="Calibri" w:cs="Calibri"/>
            </w:rPr>
            <w:t>da seguimiento a los principios clave de las ISSAI. Sin embargo, el MMD</w:t>
          </w:r>
          <w:r w:rsidR="00BF55B8" w:rsidRPr="00600ED9">
            <w:rPr>
              <w:rFonts w:ascii="Calibri" w:hAnsi="Calibri" w:cs="Calibri"/>
            </w:rPr>
            <w:t>-</w:t>
          </w:r>
          <w:r w:rsidRPr="00600ED9">
            <w:rPr>
              <w:rFonts w:ascii="Calibri" w:hAnsi="Calibri" w:cs="Calibri"/>
            </w:rPr>
            <w:t>EFS no es una herramienta para el análisis detallado de brechas o de certificación sobre las ISSAI. Existen otras herramientas de la INTOSAI que han sido desarrolladas para este propósito.</w:t>
          </w:r>
          <w:r w:rsidRPr="00600ED9">
            <w:rPr>
              <w:rStyle w:val="FootnoteReference"/>
              <w:rFonts w:ascii="Calibri" w:hAnsi="Calibri"/>
            </w:rPr>
            <w:footnoteReference w:id="4"/>
          </w:r>
        </w:p>
        <w:p w:rsidR="00A06F21" w:rsidRPr="00600ED9" w:rsidRDefault="00A06F21" w:rsidP="00E17391">
          <w:pPr>
            <w:spacing w:after="0" w:line="240" w:lineRule="auto"/>
            <w:jc w:val="both"/>
            <w:rPr>
              <w:rFonts w:ascii="Calibri" w:hAnsi="Calibri" w:cs="Calibri"/>
            </w:rPr>
          </w:pPr>
        </w:p>
        <w:p w:rsidR="003C3372" w:rsidRPr="00600ED9" w:rsidRDefault="003C3372" w:rsidP="00E17391">
          <w:pPr>
            <w:spacing w:after="0" w:line="240" w:lineRule="auto"/>
            <w:jc w:val="both"/>
            <w:rPr>
              <w:rFonts w:cs="Calibri"/>
            </w:rPr>
          </w:pPr>
          <w:r w:rsidRPr="00600ED9">
            <w:rPr>
              <w:rFonts w:cs="Calibri"/>
            </w:rPr>
            <w:t xml:space="preserve">La metodología MMD-EFS mediante el uso de </w:t>
          </w:r>
          <w:r w:rsidRPr="00600ED9">
            <w:rPr>
              <w:rFonts w:cs="Calibri"/>
              <w:b/>
              <w:i/>
            </w:rPr>
            <w:t>indicadores</w:t>
          </w:r>
          <w:r w:rsidRPr="00600ED9">
            <w:rPr>
              <w:rFonts w:cs="Calibri"/>
            </w:rPr>
            <w:t xml:space="preserve"> permitió medir el desempeño de la CGRC en sus áreas clave. Los indicadores fueron medidos en una escala de cinco puntos </w:t>
          </w:r>
          <w:r w:rsidR="00987025" w:rsidRPr="00600ED9">
            <w:rPr>
              <w:rFonts w:cs="Calibri"/>
            </w:rPr>
            <w:t>(</w:t>
          </w:r>
          <w:r w:rsidRPr="00600ED9">
            <w:rPr>
              <w:rFonts w:cs="Calibri"/>
            </w:rPr>
            <w:t>del 0 al 4</w:t>
          </w:r>
          <w:r w:rsidR="00987025" w:rsidRPr="00600ED9">
            <w:rPr>
              <w:rFonts w:cs="Calibri"/>
            </w:rPr>
            <w:t>)</w:t>
          </w:r>
          <w:r w:rsidR="007D30AE" w:rsidRPr="00600ED9">
            <w:rPr>
              <w:rFonts w:cs="Calibri"/>
            </w:rPr>
            <w:t>, y</w:t>
          </w:r>
          <w:r w:rsidRPr="00600ED9">
            <w:rPr>
              <w:rFonts w:cs="Calibri"/>
            </w:rPr>
            <w:t xml:space="preserve"> están diseñados para hacer posible una medición objetiva, aunque se aplica juicio profesional por parte de los evaluadores. </w:t>
          </w:r>
        </w:p>
        <w:p w:rsidR="003C3372" w:rsidRPr="00600ED9" w:rsidRDefault="003C3372" w:rsidP="00E17391">
          <w:pPr>
            <w:spacing w:after="0" w:line="240" w:lineRule="auto"/>
            <w:jc w:val="both"/>
            <w:rPr>
              <w:rFonts w:cs="Calibri"/>
            </w:rPr>
          </w:pPr>
        </w:p>
        <w:p w:rsidR="003C3372" w:rsidRPr="00600ED9" w:rsidRDefault="003C3372" w:rsidP="00E17391">
          <w:pPr>
            <w:spacing w:after="0" w:line="240" w:lineRule="auto"/>
            <w:jc w:val="both"/>
            <w:rPr>
              <w:rFonts w:cs="Calibri"/>
            </w:rPr>
          </w:pPr>
          <w:r w:rsidRPr="00600ED9">
            <w:rPr>
              <w:rFonts w:cs="Calibri"/>
            </w:rPr>
            <w:t>La metodología MMD-EFS desarrolla una guía sobre criterios de desempeño para cada puntuación y para cada uno de los indicadores. No hay puntuación agregada para toda la CGRC</w:t>
          </w:r>
          <w:r w:rsidR="00987025" w:rsidRPr="00600ED9">
            <w:rPr>
              <w:rFonts w:cs="Calibri"/>
            </w:rPr>
            <w:t>,</w:t>
          </w:r>
          <w:r w:rsidRPr="00600ED9">
            <w:rPr>
              <w:rFonts w:cs="Calibri"/>
            </w:rPr>
            <w:t xml:space="preserve"> porque no todos los indicadores tienen igual importancia, y su importancia relativa </w:t>
          </w:r>
          <w:r w:rsidR="00A3653D" w:rsidRPr="00600ED9">
            <w:rPr>
              <w:rFonts w:cs="Calibri"/>
            </w:rPr>
            <w:t>varía</w:t>
          </w:r>
          <w:r w:rsidRPr="00600ED9">
            <w:rPr>
              <w:rFonts w:cs="Calibri"/>
            </w:rPr>
            <w:t xml:space="preserve"> dependiendo del año en el que se realice la evaluación. </w:t>
          </w:r>
        </w:p>
        <w:p w:rsidR="003C3372" w:rsidRPr="001471C4" w:rsidRDefault="003C3372" w:rsidP="00E17391">
          <w:pPr>
            <w:spacing w:after="0" w:line="240" w:lineRule="auto"/>
            <w:jc w:val="both"/>
            <w:rPr>
              <w:rFonts w:cs="Calibri"/>
            </w:rPr>
          </w:pPr>
        </w:p>
        <w:p w:rsidR="003C3372" w:rsidRPr="00600ED9" w:rsidRDefault="003C3372" w:rsidP="00E17391">
          <w:pPr>
            <w:spacing w:after="0" w:line="240" w:lineRule="auto"/>
            <w:jc w:val="both"/>
          </w:pPr>
          <w:r w:rsidRPr="00600ED9">
            <w:rPr>
              <w:rFonts w:cs="Calibri"/>
            </w:rPr>
            <w:t>Los cinco niveles de puntuación son:</w:t>
          </w:r>
          <w:r w:rsidRPr="00600ED9">
            <w:t xml:space="preserve"> </w:t>
          </w:r>
        </w:p>
        <w:p w:rsidR="00A06F21" w:rsidRPr="00600ED9" w:rsidRDefault="00A06F21" w:rsidP="00E17391">
          <w:pPr>
            <w:spacing w:after="0" w:line="240" w:lineRule="auto"/>
            <w:jc w:val="both"/>
          </w:pPr>
        </w:p>
        <w:p w:rsidR="003C3372" w:rsidRPr="00600ED9" w:rsidRDefault="003C3372" w:rsidP="00233205">
          <w:pPr>
            <w:pStyle w:val="ListParagraph"/>
            <w:numPr>
              <w:ilvl w:val="0"/>
              <w:numId w:val="18"/>
            </w:numPr>
            <w:spacing w:after="0" w:line="240" w:lineRule="auto"/>
            <w:jc w:val="both"/>
          </w:pPr>
          <w:r w:rsidRPr="00600ED9">
            <w:t xml:space="preserve">El </w:t>
          </w:r>
          <w:r w:rsidRPr="00600ED9">
            <w:rPr>
              <w:b/>
              <w:i/>
            </w:rPr>
            <w:t>nivel 4</w:t>
          </w:r>
          <w:r w:rsidRPr="00600ED9">
            <w:t xml:space="preserve"> es el nivel gestionado. La EFS puede alcanzar el nivel 4 mediante el fortalecimiento de su desempeño en comparación con el nivel 3, proporcionando servicios de valor agregado, convirtiéndose en una organización de aprendizaje y ejerciendo la previsión.</w:t>
          </w:r>
        </w:p>
        <w:p w:rsidR="003C3372" w:rsidRPr="00600ED9" w:rsidRDefault="003C3372" w:rsidP="00233205">
          <w:pPr>
            <w:pStyle w:val="ListParagraph"/>
            <w:numPr>
              <w:ilvl w:val="0"/>
              <w:numId w:val="18"/>
            </w:numPr>
            <w:spacing w:after="0" w:line="240" w:lineRule="auto"/>
            <w:jc w:val="both"/>
          </w:pPr>
          <w:r w:rsidRPr="00600ED9">
            <w:t xml:space="preserve">El </w:t>
          </w:r>
          <w:r w:rsidRPr="00600ED9">
            <w:rPr>
              <w:b/>
              <w:i/>
            </w:rPr>
            <w:t>nivel 3</w:t>
          </w:r>
          <w:r w:rsidRPr="00600ED9">
            <w:t xml:space="preserve"> es el nivel establecido, bajo el cual la característica medida sigue los elementos clave de las </w:t>
          </w:r>
          <w:proofErr w:type="spellStart"/>
          <w:r w:rsidRPr="00600ED9">
            <w:t>ISSAIs</w:t>
          </w:r>
          <w:proofErr w:type="spellEnd"/>
          <w:r w:rsidRPr="00600ED9">
            <w:t>.</w:t>
          </w:r>
        </w:p>
        <w:p w:rsidR="003C3372" w:rsidRPr="00600ED9" w:rsidRDefault="003C3372" w:rsidP="00233205">
          <w:pPr>
            <w:pStyle w:val="ListParagraph"/>
            <w:numPr>
              <w:ilvl w:val="0"/>
              <w:numId w:val="18"/>
            </w:numPr>
            <w:spacing w:after="0" w:line="240" w:lineRule="auto"/>
            <w:jc w:val="both"/>
          </w:pPr>
          <w:r w:rsidRPr="00600ED9">
            <w:t xml:space="preserve">El </w:t>
          </w:r>
          <w:r w:rsidRPr="00600ED9">
            <w:rPr>
              <w:b/>
              <w:i/>
            </w:rPr>
            <w:t>nivel 2</w:t>
          </w:r>
          <w:r w:rsidRPr="00600ED9">
            <w:t xml:space="preserve">  es el nivel de </w:t>
          </w:r>
          <w:r w:rsidR="00912AD8" w:rsidRPr="00600ED9">
            <w:t>desarrollo.</w:t>
          </w:r>
        </w:p>
        <w:p w:rsidR="003C3372" w:rsidRPr="00600ED9" w:rsidRDefault="003C3372" w:rsidP="00233205">
          <w:pPr>
            <w:pStyle w:val="ListParagraph"/>
            <w:numPr>
              <w:ilvl w:val="0"/>
              <w:numId w:val="18"/>
            </w:numPr>
            <w:spacing w:after="0" w:line="240" w:lineRule="auto"/>
            <w:jc w:val="both"/>
          </w:pPr>
          <w:r w:rsidRPr="00600ED9">
            <w:t xml:space="preserve">El </w:t>
          </w:r>
          <w:r w:rsidRPr="00600ED9">
            <w:rPr>
              <w:b/>
              <w:i/>
            </w:rPr>
            <w:t>nivel 1</w:t>
          </w:r>
          <w:r w:rsidRPr="00600ED9">
            <w:t xml:space="preserve"> es el nivel básico </w:t>
          </w:r>
          <w:r w:rsidR="00987025" w:rsidRPr="00600ED9">
            <w:t xml:space="preserve">que </w:t>
          </w:r>
          <w:r w:rsidRPr="00600ED9">
            <w:t>representan los grados más bajos de cumplimiento</w:t>
          </w:r>
          <w:r w:rsidR="00987025" w:rsidRPr="00600ED9">
            <w:t>,</w:t>
          </w:r>
          <w:r w:rsidRPr="00600ED9">
            <w:t xml:space="preserve"> de acuerdo con los elementos clave de las </w:t>
          </w:r>
          <w:proofErr w:type="spellStart"/>
          <w:r w:rsidRPr="00600ED9">
            <w:t>ISSAIs</w:t>
          </w:r>
          <w:proofErr w:type="spellEnd"/>
          <w:r w:rsidRPr="00600ED9">
            <w:t>.</w:t>
          </w:r>
        </w:p>
        <w:p w:rsidR="003C3372" w:rsidRPr="00600ED9" w:rsidRDefault="003C3372" w:rsidP="00233205">
          <w:pPr>
            <w:pStyle w:val="ListParagraph"/>
            <w:numPr>
              <w:ilvl w:val="0"/>
              <w:numId w:val="18"/>
            </w:numPr>
            <w:spacing w:after="0" w:line="240" w:lineRule="auto"/>
            <w:jc w:val="both"/>
          </w:pPr>
          <w:r w:rsidRPr="00600ED9">
            <w:t xml:space="preserve">El </w:t>
          </w:r>
          <w:r w:rsidRPr="00600ED9">
            <w:rPr>
              <w:b/>
              <w:i/>
            </w:rPr>
            <w:t>nivel 0</w:t>
          </w:r>
          <w:r w:rsidRPr="00600ED9">
            <w:t xml:space="preserve"> es el nivel más bajo y supone que la característica medida no existe en la EFS o aún no se encuentra funcionando.</w:t>
          </w:r>
        </w:p>
        <w:p w:rsidR="00FF4356" w:rsidRPr="00600ED9" w:rsidRDefault="00FF4356" w:rsidP="00E17391">
          <w:pPr>
            <w:pStyle w:val="ListParagraph"/>
            <w:spacing w:after="0" w:line="240" w:lineRule="auto"/>
            <w:ind w:left="360"/>
            <w:jc w:val="both"/>
            <w:rPr>
              <w:sz w:val="20"/>
            </w:rPr>
          </w:pPr>
        </w:p>
        <w:p w:rsidR="00FF4356" w:rsidRPr="00600ED9" w:rsidRDefault="00FF4356" w:rsidP="00E17391">
          <w:pPr>
            <w:pStyle w:val="ListParagraph"/>
            <w:spacing w:after="0" w:line="240" w:lineRule="auto"/>
            <w:ind w:left="360"/>
            <w:jc w:val="both"/>
            <w:rPr>
              <w:sz w:val="16"/>
            </w:rPr>
          </w:pPr>
        </w:p>
        <w:p w:rsidR="00E062EC" w:rsidRPr="00600ED9" w:rsidRDefault="006D1C90" w:rsidP="00E17391">
          <w:pPr>
            <w:pStyle w:val="Heading1"/>
            <w:spacing w:line="240" w:lineRule="auto"/>
            <w:ind w:left="709" w:hanging="709"/>
            <w:jc w:val="both"/>
            <w:rPr>
              <w:noProof w:val="0"/>
            </w:rPr>
          </w:pPr>
          <w:bookmarkStart w:id="8" w:name="_Toc288763034"/>
          <w:bookmarkStart w:id="9" w:name="_Toc421028344"/>
          <w:bookmarkStart w:id="10" w:name="_Toc295932902"/>
          <w:r w:rsidRPr="00600ED9">
            <w:rPr>
              <w:noProof w:val="0"/>
            </w:rPr>
            <w:t xml:space="preserve">Proceso </w:t>
          </w:r>
          <w:r w:rsidR="00FF4356" w:rsidRPr="00600ED9">
            <w:rPr>
              <w:noProof w:val="0"/>
            </w:rPr>
            <w:t xml:space="preserve">para el </w:t>
          </w:r>
          <w:r w:rsidR="00D44AD8" w:rsidRPr="00600ED9">
            <w:rPr>
              <w:noProof w:val="0"/>
            </w:rPr>
            <w:t xml:space="preserve">Diagnóstico </w:t>
          </w:r>
        </w:p>
        <w:bookmarkEnd w:id="8"/>
        <w:bookmarkEnd w:id="9"/>
        <w:bookmarkEnd w:id="10"/>
        <w:p w:rsidR="006D1C90" w:rsidRPr="00600ED9" w:rsidRDefault="006D1C90" w:rsidP="00E17391">
          <w:pPr>
            <w:pStyle w:val="Heading1"/>
            <w:numPr>
              <w:ilvl w:val="0"/>
              <w:numId w:val="0"/>
            </w:numPr>
            <w:spacing w:line="240" w:lineRule="auto"/>
            <w:ind w:left="709"/>
            <w:jc w:val="both"/>
            <w:rPr>
              <w:noProof w:val="0"/>
              <w:sz w:val="24"/>
            </w:rPr>
          </w:pPr>
        </w:p>
        <w:p w:rsidR="00E062EC" w:rsidRPr="00600ED9" w:rsidRDefault="006D1C90" w:rsidP="00E17391">
          <w:pPr>
            <w:pStyle w:val="NoSpacing"/>
            <w:jc w:val="both"/>
            <w:rPr>
              <w:rFonts w:cs="Times"/>
              <w:lang w:val="es-ES_tradnl" w:eastAsia="es-ES"/>
            </w:rPr>
          </w:pPr>
          <w:r w:rsidRPr="00600ED9">
            <w:rPr>
              <w:lang w:val="es-ES_tradnl"/>
            </w:rPr>
            <w:t xml:space="preserve">La decisión de </w:t>
          </w:r>
          <w:r w:rsidR="007767B8" w:rsidRPr="00600ED9">
            <w:rPr>
              <w:lang w:val="es-ES_tradnl"/>
            </w:rPr>
            <w:t xml:space="preserve">realizar </w:t>
          </w:r>
          <w:r w:rsidR="00FC2F01" w:rsidRPr="00600ED9">
            <w:rPr>
              <w:lang w:val="es-ES_tradnl"/>
            </w:rPr>
            <w:t>el diagnóstico</w:t>
          </w:r>
          <w:r w:rsidRPr="00600ED9">
            <w:rPr>
              <w:lang w:val="es-ES_tradnl"/>
            </w:rPr>
            <w:t xml:space="preserve"> del desempeño de la </w:t>
          </w:r>
          <w:r w:rsidR="00431CA4" w:rsidRPr="00600ED9">
            <w:rPr>
              <w:lang w:val="es-ES_tradnl"/>
            </w:rPr>
            <w:t>CGRC</w:t>
          </w:r>
          <w:r w:rsidRPr="00600ED9">
            <w:rPr>
              <w:lang w:val="es-ES_tradnl"/>
            </w:rPr>
            <w:t xml:space="preserve">, mediante la aplicación </w:t>
          </w:r>
          <w:r w:rsidR="00171B8F" w:rsidRPr="00600ED9">
            <w:rPr>
              <w:lang w:val="es-ES_tradnl"/>
            </w:rPr>
            <w:t xml:space="preserve">de </w:t>
          </w:r>
          <w:r w:rsidR="00FF4356" w:rsidRPr="00600ED9">
            <w:rPr>
              <w:lang w:val="es-ES_tradnl"/>
            </w:rPr>
            <w:t>la</w:t>
          </w:r>
          <w:r w:rsidRPr="00600ED9">
            <w:rPr>
              <w:lang w:val="es-ES_tradnl"/>
            </w:rPr>
            <w:t xml:space="preserve"> metodología desarrollada por la INTOSAI</w:t>
          </w:r>
          <w:r w:rsidR="00FF4356" w:rsidRPr="00600ED9">
            <w:rPr>
              <w:lang w:val="es-ES_tradnl"/>
            </w:rPr>
            <w:t>,</w:t>
          </w:r>
          <w:r w:rsidRPr="00600ED9">
            <w:rPr>
              <w:lang w:val="es-ES_tradnl"/>
            </w:rPr>
            <w:t xml:space="preserve"> fue conjunta </w:t>
          </w:r>
          <w:r w:rsidR="00431CA4" w:rsidRPr="00600ED9">
            <w:rPr>
              <w:lang w:val="es-ES_tradnl"/>
            </w:rPr>
            <w:t>CGRC</w:t>
          </w:r>
          <w:r w:rsidRPr="00600ED9">
            <w:rPr>
              <w:lang w:val="es-ES_tradnl"/>
            </w:rPr>
            <w:t xml:space="preserve"> – BID</w:t>
          </w:r>
          <w:r w:rsidR="00E062EC" w:rsidRPr="00600ED9">
            <w:rPr>
              <w:lang w:val="es-ES_tradnl"/>
            </w:rPr>
            <w:t xml:space="preserve">. </w:t>
          </w:r>
          <w:r w:rsidR="00E062EC" w:rsidRPr="00600ED9">
            <w:rPr>
              <w:rFonts w:cs="Times"/>
              <w:lang w:val="es-ES_tradnl" w:eastAsia="es-ES"/>
            </w:rPr>
            <w:t xml:space="preserve">El </w:t>
          </w:r>
          <w:r w:rsidR="00E062EC" w:rsidRPr="00600ED9">
            <w:rPr>
              <w:rFonts w:cs="Arial"/>
              <w:lang w:val="es-ES_tradnl"/>
            </w:rPr>
            <w:t xml:space="preserve">diagnóstico </w:t>
          </w:r>
          <w:r w:rsidR="00E062EC" w:rsidRPr="00600ED9">
            <w:rPr>
              <w:rFonts w:cs="Times"/>
              <w:lang w:val="es-ES_tradnl" w:eastAsia="es-ES"/>
            </w:rPr>
            <w:t>se dividió en tres etapas:</w:t>
          </w:r>
        </w:p>
        <w:p w:rsidR="00E062EC" w:rsidRPr="00600ED9" w:rsidRDefault="00E062EC" w:rsidP="00E17391">
          <w:pPr>
            <w:pStyle w:val="NoSpacing"/>
            <w:jc w:val="both"/>
            <w:rPr>
              <w:rFonts w:cs="Times"/>
              <w:lang w:val="es-ES_tradnl" w:eastAsia="es-ES"/>
            </w:rPr>
          </w:pPr>
        </w:p>
        <w:p w:rsidR="00E062EC" w:rsidRPr="00600ED9" w:rsidRDefault="00E062EC" w:rsidP="00E17391">
          <w:pPr>
            <w:pStyle w:val="NoSpacing"/>
            <w:jc w:val="both"/>
            <w:rPr>
              <w:rFonts w:cs="Arial"/>
              <w:lang w:val="es-ES_tradnl"/>
            </w:rPr>
          </w:pPr>
          <w:r w:rsidRPr="00600ED9">
            <w:rPr>
              <w:rFonts w:cs="Arial"/>
              <w:b/>
              <w:lang w:val="es-ES_tradnl"/>
            </w:rPr>
            <w:t>La primera etapa</w:t>
          </w:r>
          <w:r w:rsidRPr="00600ED9">
            <w:rPr>
              <w:rFonts w:cs="Arial"/>
              <w:lang w:val="es-ES_tradnl"/>
            </w:rPr>
            <w:t xml:space="preserve"> del trabajo </w:t>
          </w:r>
          <w:r w:rsidR="000D3726" w:rsidRPr="00600ED9">
            <w:rPr>
              <w:rFonts w:cs="Arial"/>
              <w:lang w:val="es-ES_tradnl"/>
            </w:rPr>
            <w:t xml:space="preserve">se refiere a la </w:t>
          </w:r>
          <w:r w:rsidRPr="00600ED9">
            <w:rPr>
              <w:rFonts w:cs="Arial"/>
              <w:lang w:val="es-ES_tradnl"/>
            </w:rPr>
            <w:t xml:space="preserve">visita de planeación, </w:t>
          </w:r>
          <w:r w:rsidR="000D3726" w:rsidRPr="00600ED9">
            <w:rPr>
              <w:rFonts w:cs="Arial"/>
              <w:lang w:val="es-ES_tradnl"/>
            </w:rPr>
            <w:t xml:space="preserve">y </w:t>
          </w:r>
          <w:r w:rsidRPr="00600ED9">
            <w:rPr>
              <w:rFonts w:cs="Arial"/>
              <w:lang w:val="es-ES_tradnl"/>
            </w:rPr>
            <w:t xml:space="preserve">tuvo lugar durante el mes de Diciembre de 2014. </w:t>
          </w:r>
          <w:r w:rsidRPr="00600ED9">
            <w:rPr>
              <w:rFonts w:cs="Arial"/>
              <w:b/>
              <w:lang w:val="es-ES_tradnl"/>
            </w:rPr>
            <w:t>La segunda etapa</w:t>
          </w:r>
          <w:r w:rsidRPr="00600ED9">
            <w:rPr>
              <w:rFonts w:cs="Arial"/>
              <w:lang w:val="es-ES_tradnl"/>
            </w:rPr>
            <w:t>, visita de campo, se realizó entre el 9 de Febrero y el 6 de Marzo de 2015</w:t>
          </w:r>
          <w:r w:rsidR="000D3726" w:rsidRPr="00600ED9">
            <w:rPr>
              <w:rFonts w:cs="Arial"/>
              <w:lang w:val="es-ES_tradnl"/>
            </w:rPr>
            <w:t>. D</w:t>
          </w:r>
          <w:r w:rsidRPr="00600ED9">
            <w:rPr>
              <w:rFonts w:cs="Arial"/>
              <w:lang w:val="es-ES_tradnl"/>
            </w:rPr>
            <w:t>urante esta etapa se consolidó gran parte de la información necesaria para el diagnóstico, a partir de reuniones con las principales autoridades de la CGRC, particularmente de las Contralorías Delegadas, Gerencia del Talento Humano, Gerencia de Gestión Administrativa y Financiera, Oficina de Planeación, Oficina de Sistemas e Informática, Oficina de Capacitación, Producción de Tecnología y Cooperación Técnica Internacional, Oficina de Control Disciplinario, Oficina de Control Interno, Oficina de Comunicaciones y Publicaciones, Unidad de Seguridad y Aseguramiento Tecnológico e Informático, la Unidad de Apoyo Técnico al Congreso</w:t>
          </w:r>
          <w:r w:rsidR="000D3726" w:rsidRPr="00600ED9">
            <w:rPr>
              <w:rFonts w:cs="Arial"/>
              <w:lang w:val="es-ES_tradnl"/>
            </w:rPr>
            <w:t>.</w:t>
          </w:r>
        </w:p>
        <w:p w:rsidR="00E062EC" w:rsidRPr="00600ED9" w:rsidRDefault="00E062EC" w:rsidP="00E17391">
          <w:pPr>
            <w:pStyle w:val="NoSpacing"/>
            <w:jc w:val="both"/>
            <w:rPr>
              <w:rFonts w:cs="Arial"/>
              <w:lang w:val="es-ES_tradnl"/>
            </w:rPr>
          </w:pPr>
        </w:p>
        <w:p w:rsidR="000D3726" w:rsidRPr="00600ED9" w:rsidRDefault="000D3726" w:rsidP="00E17391">
          <w:pPr>
            <w:spacing w:after="0" w:line="240" w:lineRule="auto"/>
            <w:jc w:val="both"/>
            <w:rPr>
              <w:rFonts w:cs="Calibri"/>
            </w:rPr>
          </w:pPr>
          <w:r w:rsidRPr="00600ED9">
            <w:rPr>
              <w:rFonts w:cs="Calibri"/>
            </w:rPr>
            <w:lastRenderedPageBreak/>
            <w:t xml:space="preserve">Así mismo, se realizaron </w:t>
          </w:r>
          <w:r w:rsidR="007767B8" w:rsidRPr="00600ED9">
            <w:rPr>
              <w:rFonts w:cs="Calibri"/>
            </w:rPr>
            <w:t xml:space="preserve">reuniones </w:t>
          </w:r>
          <w:r w:rsidRPr="00600ED9">
            <w:rPr>
              <w:rFonts w:cs="Calibri"/>
            </w:rPr>
            <w:t xml:space="preserve">con los Directores responsables de los ámbitos cubiertos en el diagnóstico, para confirmar el desarrollo y/o implementación de los criterios establecidos en la metodología. Los Directores suministraron información sobre la estructura y funcionamiento de sus áreas, teniendo ocasión de revelar lo que consideran como sus fortalezas/amenazas y debilidades/oportunidades, logrando un intercambio de conocimiento sobre mejores prácticas.  </w:t>
          </w:r>
        </w:p>
        <w:p w:rsidR="00A06F21" w:rsidRPr="00600ED9" w:rsidRDefault="00A06F21" w:rsidP="00E17391">
          <w:pPr>
            <w:spacing w:after="0" w:line="240" w:lineRule="auto"/>
            <w:jc w:val="both"/>
          </w:pPr>
        </w:p>
        <w:p w:rsidR="000D3726" w:rsidRPr="00600ED9" w:rsidRDefault="000D3726" w:rsidP="00E17391">
          <w:pPr>
            <w:spacing w:after="0" w:line="240" w:lineRule="auto"/>
            <w:jc w:val="both"/>
            <w:rPr>
              <w:rFonts w:cs="Calibri"/>
            </w:rPr>
          </w:pPr>
          <w:r w:rsidRPr="00600ED9">
            <w:rPr>
              <w:rFonts w:cs="Calibri"/>
            </w:rPr>
            <w:t xml:space="preserve">Complementariamente, se analizó la documentación de respaldo suministrada, representativa de los criterios evaluados. Los documentos fueron validados para confirmar su vigencia y consistencia con los estándares y mejores prácticas, como respaldo de las conclusiones y recomendaciones. </w:t>
          </w:r>
        </w:p>
        <w:p w:rsidR="00A06F21" w:rsidRPr="00600ED9" w:rsidRDefault="00A06F21" w:rsidP="00E17391">
          <w:pPr>
            <w:spacing w:after="0" w:line="240" w:lineRule="auto"/>
            <w:jc w:val="both"/>
            <w:rPr>
              <w:rFonts w:cs="Calibri"/>
            </w:rPr>
          </w:pPr>
        </w:p>
        <w:p w:rsidR="00E062EC" w:rsidRPr="00600ED9" w:rsidRDefault="00E062EC" w:rsidP="00E17391">
          <w:pPr>
            <w:spacing w:after="0" w:line="240" w:lineRule="auto"/>
            <w:jc w:val="both"/>
            <w:rPr>
              <w:rFonts w:cs="Arial"/>
            </w:rPr>
          </w:pPr>
          <w:r w:rsidRPr="00600ED9">
            <w:rPr>
              <w:rFonts w:cs="Arial"/>
              <w:b/>
            </w:rPr>
            <w:t>La tercera etapa</w:t>
          </w:r>
          <w:r w:rsidRPr="00600ED9">
            <w:rPr>
              <w:rFonts w:cs="Arial"/>
            </w:rPr>
            <w:t xml:space="preserve"> del trabajo cubrió el período comprendido entre el 9 de </w:t>
          </w:r>
          <w:r w:rsidR="000D3726" w:rsidRPr="00600ED9">
            <w:rPr>
              <w:rFonts w:cs="Arial"/>
            </w:rPr>
            <w:t>m</w:t>
          </w:r>
          <w:r w:rsidRPr="00600ED9">
            <w:rPr>
              <w:rFonts w:cs="Arial"/>
            </w:rPr>
            <w:t>arzo y el 2</w:t>
          </w:r>
          <w:r w:rsidR="007767B8" w:rsidRPr="00600ED9">
            <w:rPr>
              <w:rFonts w:cs="Arial"/>
            </w:rPr>
            <w:t>8</w:t>
          </w:r>
          <w:r w:rsidRPr="00600ED9">
            <w:rPr>
              <w:rFonts w:cs="Arial"/>
            </w:rPr>
            <w:t xml:space="preserve"> de </w:t>
          </w:r>
          <w:r w:rsidR="000D3726" w:rsidRPr="00600ED9">
            <w:rPr>
              <w:rFonts w:cs="Arial"/>
            </w:rPr>
            <w:t>m</w:t>
          </w:r>
          <w:r w:rsidRPr="00600ED9">
            <w:rPr>
              <w:rFonts w:cs="Arial"/>
            </w:rPr>
            <w:t xml:space="preserve">ayo de 2015 y fue utilizada para preparar una versión preliminar del informe, compartir los resultados con los Directores de la CGRC participantes y </w:t>
          </w:r>
          <w:r w:rsidR="007767B8" w:rsidRPr="00600ED9">
            <w:rPr>
              <w:rFonts w:cs="Arial"/>
            </w:rPr>
            <w:t xml:space="preserve">funcionarios </w:t>
          </w:r>
          <w:r w:rsidRPr="00600ED9">
            <w:rPr>
              <w:rFonts w:cs="Arial"/>
            </w:rPr>
            <w:t>del BID, obtener sus observaciones, e incorporar sus valiosos aportes al informe final. Esta etapa concluyó con la presentación de los resultados al Contralor General de la República y su equipo directivo.</w:t>
          </w:r>
        </w:p>
        <w:p w:rsidR="00A06F21" w:rsidRPr="00600ED9" w:rsidRDefault="00A06F21" w:rsidP="00E17391">
          <w:pPr>
            <w:spacing w:after="0" w:line="240" w:lineRule="auto"/>
            <w:jc w:val="both"/>
            <w:rPr>
              <w:rFonts w:cs="Arial"/>
            </w:rPr>
          </w:pPr>
        </w:p>
        <w:p w:rsidR="00931B16" w:rsidRPr="00600ED9" w:rsidRDefault="00931B16" w:rsidP="00E17391">
          <w:pPr>
            <w:spacing w:after="0" w:line="240" w:lineRule="auto"/>
            <w:jc w:val="both"/>
            <w:rPr>
              <w:rFonts w:ascii="Calibri" w:hAnsi="Calibri" w:cs="Calibri"/>
            </w:rPr>
          </w:pPr>
          <w:r w:rsidRPr="00600ED9">
            <w:rPr>
              <w:rFonts w:ascii="Calibri" w:hAnsi="Calibri" w:cs="Calibri"/>
            </w:rPr>
            <w:t>Aunque el MMD-EFS no tiene como propósito producir una lista de recomendaciones, a nivel de actividades para el desarrollo de capacidades de la EFS, se ha producido un Plan de Acción el cual detalla las oportunidades de mejora</w:t>
          </w:r>
          <w:r w:rsidR="00BF55B8" w:rsidRPr="00600ED9">
            <w:rPr>
              <w:rFonts w:ascii="Calibri" w:hAnsi="Calibri" w:cs="Calibri"/>
            </w:rPr>
            <w:t xml:space="preserve"> o fortalecimiento</w:t>
          </w:r>
          <w:r w:rsidRPr="00600ED9">
            <w:rPr>
              <w:rFonts w:ascii="Calibri" w:hAnsi="Calibri" w:cs="Calibri"/>
            </w:rPr>
            <w:t xml:space="preserve"> identificadas, las </w:t>
          </w:r>
          <w:r w:rsidR="00BF55B8" w:rsidRPr="00600ED9">
            <w:rPr>
              <w:rFonts w:ascii="Calibri" w:hAnsi="Calibri" w:cs="Calibri"/>
            </w:rPr>
            <w:t xml:space="preserve">acciones </w:t>
          </w:r>
          <w:r w:rsidRPr="00600ED9">
            <w:rPr>
              <w:rFonts w:ascii="Calibri" w:hAnsi="Calibri" w:cs="Calibri"/>
            </w:rPr>
            <w:t>recomenda</w:t>
          </w:r>
          <w:r w:rsidR="00BF55B8" w:rsidRPr="00600ED9">
            <w:rPr>
              <w:rFonts w:ascii="Calibri" w:hAnsi="Calibri" w:cs="Calibri"/>
            </w:rPr>
            <w:t>das</w:t>
          </w:r>
          <w:r w:rsidRPr="00600ED9">
            <w:rPr>
              <w:rFonts w:ascii="Calibri" w:hAnsi="Calibri" w:cs="Calibri"/>
            </w:rPr>
            <w:t xml:space="preserve">, responsables </w:t>
          </w:r>
          <w:r w:rsidR="000D3726" w:rsidRPr="00600ED9">
            <w:rPr>
              <w:rFonts w:ascii="Calibri" w:hAnsi="Calibri" w:cs="Calibri"/>
            </w:rPr>
            <w:t xml:space="preserve">de su implementación </w:t>
          </w:r>
          <w:r w:rsidRPr="00600ED9">
            <w:rPr>
              <w:rFonts w:ascii="Calibri" w:hAnsi="Calibri" w:cs="Calibri"/>
            </w:rPr>
            <w:t xml:space="preserve">y cronograma sugerido para su ejecución, el cual se acompaña en el Anexo A.  </w:t>
          </w:r>
        </w:p>
        <w:p w:rsidR="00A06F21" w:rsidRPr="00600ED9" w:rsidRDefault="00A06F21" w:rsidP="00E17391">
          <w:pPr>
            <w:spacing w:after="0" w:line="240" w:lineRule="auto"/>
            <w:jc w:val="both"/>
            <w:rPr>
              <w:szCs w:val="20"/>
            </w:rPr>
          </w:pPr>
        </w:p>
        <w:p w:rsidR="00931B16" w:rsidRPr="00600ED9" w:rsidRDefault="00931B16" w:rsidP="00E17391">
          <w:pPr>
            <w:spacing w:after="0" w:line="240" w:lineRule="auto"/>
            <w:jc w:val="both"/>
            <w:rPr>
              <w:bCs/>
            </w:rPr>
          </w:pPr>
          <w:r w:rsidRPr="00600ED9">
            <w:rPr>
              <w:szCs w:val="20"/>
            </w:rPr>
            <w:t>En el Anexo B</w:t>
          </w:r>
          <w:r w:rsidR="000D3726" w:rsidRPr="00600ED9">
            <w:rPr>
              <w:szCs w:val="20"/>
            </w:rPr>
            <w:t>,</w:t>
          </w:r>
          <w:r w:rsidRPr="00600ED9">
            <w:rPr>
              <w:szCs w:val="20"/>
            </w:rPr>
            <w:t xml:space="preserve"> se detallan </w:t>
          </w:r>
          <w:r w:rsidRPr="00600ED9">
            <w:rPr>
              <w:rFonts w:ascii="Calibri" w:hAnsi="Calibri" w:cs="Calibri"/>
              <w:iCs/>
            </w:rPr>
            <w:t xml:space="preserve">las fuentes específicas de información y la evidencia en que se sustenta la puntuación de cada indicador. </w:t>
          </w:r>
        </w:p>
        <w:p w:rsidR="00931B16" w:rsidRPr="00600ED9" w:rsidRDefault="00931B16" w:rsidP="00E706F4">
          <w:pPr>
            <w:spacing w:line="240" w:lineRule="auto"/>
            <w:jc w:val="both"/>
            <w:rPr>
              <w:rFonts w:cs="Calibri"/>
            </w:rPr>
          </w:pPr>
        </w:p>
        <w:p w:rsidR="005429A6" w:rsidRPr="00600ED9" w:rsidRDefault="00C318A6" w:rsidP="00E17391">
          <w:pPr>
            <w:spacing w:line="240" w:lineRule="auto"/>
            <w:rPr>
              <w:rFonts w:eastAsia="Times New Roman" w:cs="Arial"/>
              <w:b/>
              <w:color w:val="000000"/>
              <w:sz w:val="20"/>
              <w:szCs w:val="20"/>
              <w:lang w:eastAsia="es-GT"/>
            </w:rPr>
          </w:pPr>
          <w:r w:rsidRPr="00600ED9">
            <w:rPr>
              <w:rFonts w:eastAsia="Times New Roman" w:cs="Arial"/>
              <w:b/>
              <w:color w:val="000000"/>
              <w:sz w:val="20"/>
              <w:szCs w:val="20"/>
              <w:lang w:eastAsia="es-GT"/>
            </w:rPr>
            <w:br w:type="page"/>
          </w:r>
        </w:p>
        <w:p w:rsidR="005429A6" w:rsidRPr="00600ED9" w:rsidRDefault="00DD7391" w:rsidP="00A06F21">
          <w:pPr>
            <w:pStyle w:val="Title"/>
            <w:tabs>
              <w:tab w:val="clear" w:pos="360"/>
              <w:tab w:val="num" w:pos="709"/>
            </w:tabs>
            <w:spacing w:after="0"/>
            <w:ind w:left="709" w:hanging="709"/>
            <w:jc w:val="both"/>
            <w:rPr>
              <w:lang w:val="es-ES_tradnl"/>
            </w:rPr>
          </w:pPr>
          <w:bookmarkStart w:id="11" w:name="_Toc295932903"/>
          <w:r w:rsidRPr="00600ED9">
            <w:rPr>
              <w:lang w:val="es-ES_tradnl"/>
            </w:rPr>
            <w:lastRenderedPageBreak/>
            <w:t xml:space="preserve">Funciones, </w:t>
          </w:r>
          <w:r w:rsidR="00320BD6" w:rsidRPr="00600ED9">
            <w:rPr>
              <w:lang w:val="es-ES_tradnl"/>
            </w:rPr>
            <w:t xml:space="preserve">responsabilidades y </w:t>
          </w:r>
          <w:r w:rsidRPr="00600ED9">
            <w:rPr>
              <w:lang w:val="es-ES_tradnl"/>
            </w:rPr>
            <w:t xml:space="preserve">organización </w:t>
          </w:r>
          <w:r w:rsidR="005429A6" w:rsidRPr="00600ED9">
            <w:rPr>
              <w:lang w:val="es-ES_tradnl"/>
            </w:rPr>
            <w:t xml:space="preserve">de la </w:t>
          </w:r>
          <w:r w:rsidR="000047A3" w:rsidRPr="00600ED9">
            <w:rPr>
              <w:lang w:val="es-ES_tradnl"/>
            </w:rPr>
            <w:t>Contraloría</w:t>
          </w:r>
          <w:bookmarkEnd w:id="11"/>
        </w:p>
        <w:p w:rsidR="00A06F21" w:rsidRPr="00600ED9" w:rsidRDefault="00A06F21" w:rsidP="00A06F21">
          <w:pPr>
            <w:spacing w:after="0" w:line="240" w:lineRule="auto"/>
            <w:jc w:val="both"/>
          </w:pPr>
        </w:p>
        <w:p w:rsidR="005429A6" w:rsidRPr="00600ED9" w:rsidRDefault="005429A6" w:rsidP="00A06F21">
          <w:pPr>
            <w:spacing w:after="0" w:line="240" w:lineRule="auto"/>
            <w:jc w:val="both"/>
          </w:pPr>
          <w:r w:rsidRPr="00600ED9">
            <w:t xml:space="preserve">La Contraloría General de la República es el máximo órgano de control fiscal de la </w:t>
          </w:r>
          <w:r w:rsidR="00C73A13" w:rsidRPr="00600ED9">
            <w:t>N</w:t>
          </w:r>
          <w:r w:rsidRPr="00600ED9">
            <w:t>ación</w:t>
          </w:r>
          <w:r w:rsidR="00E17AC6" w:rsidRPr="00600ED9">
            <w:t xml:space="preserve"> y es uno de los órganos de control autónomo e independiente de la Nación</w:t>
          </w:r>
          <w:r w:rsidR="00F7353F" w:rsidRPr="00600ED9">
            <w:rPr>
              <w:rStyle w:val="FootnoteReference"/>
            </w:rPr>
            <w:footnoteReference w:id="5"/>
          </w:r>
          <w:r w:rsidR="00E17AC6" w:rsidRPr="00600ED9">
            <w:t xml:space="preserve">, al lado del </w:t>
          </w:r>
          <w:r w:rsidR="00600ED9" w:rsidRPr="00600ED9">
            <w:t>Ministerio Público</w:t>
          </w:r>
          <w:r w:rsidR="00E17AC6" w:rsidRPr="00600ED9">
            <w:rPr>
              <w:rStyle w:val="FootnoteReference"/>
            </w:rPr>
            <w:footnoteReference w:id="6"/>
          </w:r>
          <w:r w:rsidRPr="00600ED9">
            <w:t xml:space="preserve">. Como tal, tiene la misión de procurar el buen uso de los recursos y bienes públicos y contribuir a la modernización del Estado, mediante acciones de mejoramiento continuo en las distintas entidades públicas. </w:t>
          </w:r>
          <w:r w:rsidR="002F7BA5" w:rsidRPr="00600ED9">
            <w:t xml:space="preserve">La </w:t>
          </w:r>
          <w:r w:rsidR="00903FB4" w:rsidRPr="00600ED9">
            <w:t>Constitución</w:t>
          </w:r>
          <w:r w:rsidR="002F7BA5" w:rsidRPr="00600ED9">
            <w:t xml:space="preserve"> establece que</w:t>
          </w:r>
          <w:r w:rsidRPr="00600ED9">
            <w:t xml:space="preserve">: </w:t>
          </w:r>
          <w:r w:rsidRPr="00600ED9">
            <w:rPr>
              <w:i/>
            </w:rPr>
            <w:t>"El control fiscal es una función pública que ejercerá la Contraloría General de la República, la cual vigila la gestión fiscal de la administración y de los particulares o entidades que manejan fondos o bienes de la Nación</w:t>
          </w:r>
          <w:r w:rsidR="002F7BA5" w:rsidRPr="00600ED9">
            <w:rPr>
              <w:rStyle w:val="FootnoteReference"/>
              <w:i/>
            </w:rPr>
            <w:footnoteReference w:id="7"/>
          </w:r>
          <w:r w:rsidRPr="00600ED9">
            <w:rPr>
              <w:i/>
            </w:rPr>
            <w:t>"</w:t>
          </w:r>
          <w:r w:rsidR="00A06F21" w:rsidRPr="00600ED9">
            <w:t>.</w:t>
          </w:r>
          <w:r w:rsidR="00CD4959" w:rsidRPr="00600ED9">
            <w:t xml:space="preserve"> </w:t>
          </w:r>
          <w:r w:rsidR="00FC3B17" w:rsidRPr="00600ED9">
            <w:t>La</w:t>
          </w:r>
          <w:r w:rsidR="003D5A75" w:rsidRPr="00600ED9">
            <w:t xml:space="preserve"> indepe</w:t>
          </w:r>
          <w:r w:rsidR="00FC3B17" w:rsidRPr="00600ED9">
            <w:t xml:space="preserve">ndencia </w:t>
          </w:r>
          <w:r w:rsidR="00367E2D" w:rsidRPr="00600ED9">
            <w:t>también</w:t>
          </w:r>
          <w:r w:rsidR="00FC3B17" w:rsidRPr="00600ED9">
            <w:t xml:space="preserve"> esta preservada </w:t>
          </w:r>
          <w:r w:rsidR="00CD4959" w:rsidRPr="00600ED9">
            <w:t>ya que desde la C</w:t>
          </w:r>
          <w:r w:rsidR="00367E2D" w:rsidRPr="00600ED9">
            <w:t>onstitución</w:t>
          </w:r>
          <w:r w:rsidR="00CD4959" w:rsidRPr="00600ED9">
            <w:rPr>
              <w:rStyle w:val="FootnoteReference"/>
            </w:rPr>
            <w:footnoteReference w:id="8"/>
          </w:r>
          <w:r w:rsidR="00CD4959" w:rsidRPr="00600ED9">
            <w:t xml:space="preserve"> se</w:t>
          </w:r>
          <w:r w:rsidR="00FC3B17" w:rsidRPr="00600ED9">
            <w:t xml:space="preserve"> </w:t>
          </w:r>
          <w:r w:rsidRPr="00600ED9">
            <w:t xml:space="preserve">establece una protección legal, a través de la Corte Constitucional, en caso de que se llegara a dar algún tipo de injerencia a la independencia de la </w:t>
          </w:r>
          <w:r w:rsidR="00431CA4" w:rsidRPr="00600ED9">
            <w:t>CGRC</w:t>
          </w:r>
          <w:r w:rsidRPr="00600ED9">
            <w:t>.</w:t>
          </w:r>
        </w:p>
        <w:p w:rsidR="00A06F21" w:rsidRPr="00600ED9" w:rsidRDefault="00A06F21" w:rsidP="00A06F21">
          <w:pPr>
            <w:spacing w:after="0" w:line="240" w:lineRule="auto"/>
            <w:jc w:val="both"/>
          </w:pPr>
        </w:p>
        <w:p w:rsidR="005429A6" w:rsidRPr="00600ED9" w:rsidRDefault="00CD4959" w:rsidP="00A06F21">
          <w:pPr>
            <w:spacing w:after="0" w:line="240" w:lineRule="auto"/>
            <w:jc w:val="both"/>
          </w:pPr>
          <w:r w:rsidRPr="00600ED9">
            <w:t xml:space="preserve">El Contralor es </w:t>
          </w:r>
          <w:r w:rsidR="005429A6" w:rsidRPr="00600ED9">
            <w:t>elegido por un período igual al del Presidente de la República</w:t>
          </w:r>
          <w:r w:rsidR="00320BD6" w:rsidRPr="00600ED9">
            <w:t>,</w:t>
          </w:r>
          <w:r w:rsidR="005429A6" w:rsidRPr="00600ED9">
            <w:t xml:space="preserve"> de una terna integrada por candidatos presentados a razón de uno por la Corte Constitucional, la Corte Suprema de Justicia y el Consejo de Estado, y prohíbe su reelección para el período inmediato</w:t>
          </w:r>
          <w:r w:rsidR="00320BD6" w:rsidRPr="00600ED9">
            <w:t>,</w:t>
          </w:r>
          <w:r w:rsidR="005429A6" w:rsidRPr="00600ED9">
            <w:t xml:space="preserve"> así como la continuidad en el  ejercicio de sus funciones al vencimiento del período para el cual fue elegido. De igual forma, define los requisitos para ser elegido en este cargo. </w:t>
          </w:r>
        </w:p>
        <w:p w:rsidR="00A06F21" w:rsidRPr="00600ED9" w:rsidRDefault="00A06F21" w:rsidP="00A06F21">
          <w:pPr>
            <w:spacing w:after="0" w:line="240" w:lineRule="auto"/>
            <w:jc w:val="both"/>
          </w:pPr>
        </w:p>
        <w:p w:rsidR="00C318A6" w:rsidRPr="00600ED9" w:rsidRDefault="00C318A6" w:rsidP="00A06F21">
          <w:pPr>
            <w:spacing w:after="0" w:line="240" w:lineRule="auto"/>
            <w:jc w:val="both"/>
          </w:pPr>
          <w:r w:rsidRPr="00600ED9">
            <w:t xml:space="preserve">El artículo 268 de la Constitución </w:t>
          </w:r>
          <w:r w:rsidR="0073233F" w:rsidRPr="00600ED9">
            <w:t xml:space="preserve">establece </w:t>
          </w:r>
          <w:r w:rsidRPr="00600ED9">
            <w:t>las atribuciones del Contralor y los artículos subsiguientes se ocupan de Contralorías Territoriales que igualmente ejercen control fiscal posterior y selectivo</w:t>
          </w:r>
          <w:r w:rsidR="00320BD6" w:rsidRPr="00600ED9">
            <w:t>,</w:t>
          </w:r>
          <w:r w:rsidRPr="00600ED9">
            <w:t xml:space="preserve"> para atender los gobiernos locales que se denominan Contralorías Departamentales Distritales y Municipales, de acuerdo con su jurisdicción. Estas contralorías no dependen de la CGRC, sino de los Organismos que los eligen, tales como las Asambleas, Concejos Distritales y Municipales según sea el caso, las cuales equivalen a un Poder Legislativo dentro de sus respectivos ámbitos de jurisdicción y competencia. La vigilancia de la gestión de la CGRC y de las contralorías mencionadas anteriormente, le compete a la Auditoría General de la República</w:t>
          </w:r>
          <w:r w:rsidRPr="00600ED9">
            <w:rPr>
              <w:rStyle w:val="FootnoteReference"/>
            </w:rPr>
            <w:footnoteReference w:id="9"/>
          </w:r>
          <w:r w:rsidR="005F49AC" w:rsidRPr="00600ED9">
            <w:t>.</w:t>
          </w:r>
        </w:p>
        <w:p w:rsidR="00A06F21" w:rsidRPr="00600ED9" w:rsidRDefault="00A06F21" w:rsidP="00A06F21">
          <w:pPr>
            <w:spacing w:after="0" w:line="240" w:lineRule="auto"/>
            <w:jc w:val="both"/>
          </w:pPr>
        </w:p>
        <w:p w:rsidR="005429A6" w:rsidRPr="00600ED9" w:rsidRDefault="005429A6" w:rsidP="00A06F21">
          <w:pPr>
            <w:spacing w:after="0" w:line="240" w:lineRule="auto"/>
            <w:jc w:val="both"/>
          </w:pPr>
          <w:r w:rsidRPr="00600ED9">
            <w:t xml:space="preserve">La Contraloría ejerce control y vigilancia fiscal y audita con regularidad a los entes </w:t>
          </w:r>
          <w:r w:rsidR="007808EB" w:rsidRPr="00600ED9">
            <w:t>dentro de su ámbito</w:t>
          </w:r>
          <w:r w:rsidR="00320BD6" w:rsidRPr="00600ED9">
            <w:t>,</w:t>
          </w:r>
          <w:r w:rsidR="007808EB" w:rsidRPr="00600ED9">
            <w:t xml:space="preserve"> </w:t>
          </w:r>
          <w:r w:rsidRPr="00600ED9">
            <w:t>para determinar la idoneidad de estos en el cumplimiento de las funciones que la </w:t>
          </w:r>
          <w:hyperlink r:id="rId11" w:tooltip="Constitución de Colombia de 1991" w:history="1">
            <w:r w:rsidRPr="00600ED9">
              <w:t>Constitución</w:t>
            </w:r>
          </w:hyperlink>
          <w:r w:rsidRPr="00600ED9">
            <w:t xml:space="preserve"> y la </w:t>
          </w:r>
          <w:r w:rsidR="007808EB" w:rsidRPr="00600ED9">
            <w:t>L</w:t>
          </w:r>
          <w:r w:rsidRPr="00600ED9">
            <w:t xml:space="preserve">ey les ha atribuido. El resultado de </w:t>
          </w:r>
          <w:r w:rsidR="007808EB" w:rsidRPr="00600ED9">
            <w:t xml:space="preserve">las </w:t>
          </w:r>
          <w:r w:rsidRPr="00600ED9">
            <w:t xml:space="preserve">auditorías </w:t>
          </w:r>
          <w:r w:rsidR="007808EB" w:rsidRPr="00600ED9">
            <w:t>confirma</w:t>
          </w:r>
          <w:r w:rsidRPr="00600ED9">
            <w:t xml:space="preserve"> la necesidad o no, de </w:t>
          </w:r>
          <w:r w:rsidR="007808EB" w:rsidRPr="00600ED9">
            <w:t>desarrollar</w:t>
          </w:r>
          <w:r w:rsidRPr="00600ED9">
            <w:t xml:space="preserve"> planes de mejora o de accionar el respectivo proceso legal de responsabilidad fiscal. El artículo 119 de la Constitución define que la Contraloría tiene a su cargo la vigilancia de la gestión fiscal y de los particulares o entidades que manejan fondos o bienes de la Nación. </w:t>
          </w:r>
        </w:p>
        <w:p w:rsidR="00A06F21" w:rsidRPr="00600ED9" w:rsidRDefault="00A06F21" w:rsidP="00A06F21">
          <w:pPr>
            <w:spacing w:after="0" w:line="240" w:lineRule="auto"/>
            <w:jc w:val="both"/>
          </w:pPr>
        </w:p>
        <w:p w:rsidR="005429A6" w:rsidRPr="00600ED9" w:rsidRDefault="00320BD6" w:rsidP="00A06F21">
          <w:pPr>
            <w:spacing w:after="0" w:line="240" w:lineRule="auto"/>
            <w:jc w:val="both"/>
          </w:pPr>
          <w:r w:rsidRPr="00600ED9">
            <w:t xml:space="preserve">Así mismo, </w:t>
          </w:r>
          <w:r w:rsidR="005429A6" w:rsidRPr="00600ED9">
            <w:t xml:space="preserve">evalúa los resultados obtenidos por las diferentes </w:t>
          </w:r>
          <w:r w:rsidR="007808EB" w:rsidRPr="00600ED9">
            <w:t>O</w:t>
          </w:r>
          <w:r w:rsidR="005429A6" w:rsidRPr="00600ED9">
            <w:t>rgani</w:t>
          </w:r>
          <w:r w:rsidR="007808EB" w:rsidRPr="00600ED9">
            <w:t xml:space="preserve">smos </w:t>
          </w:r>
          <w:r w:rsidR="005429A6" w:rsidRPr="00600ED9">
            <w:t xml:space="preserve">y </w:t>
          </w:r>
          <w:r w:rsidR="007808EB" w:rsidRPr="00600ED9">
            <w:t>E</w:t>
          </w:r>
          <w:r w:rsidR="005429A6" w:rsidRPr="00600ED9">
            <w:t xml:space="preserve">ntidades del Estado, al determinar si adquieren, manejan y/o usan los recursos públicos dentro del marco legal, </w:t>
          </w:r>
          <w:r w:rsidR="007808EB" w:rsidRPr="00600ED9">
            <w:t xml:space="preserve">con </w:t>
          </w:r>
          <w:r w:rsidR="005429A6" w:rsidRPr="00600ED9">
            <w:t>suj</w:t>
          </w:r>
          <w:r w:rsidR="007808EB" w:rsidRPr="00600ED9">
            <w:t>eción</w:t>
          </w:r>
          <w:r w:rsidR="005429A6" w:rsidRPr="00600ED9">
            <w:t xml:space="preserve"> a los principios de economía, eficiencia, eficacia, equidad y valoración de costos ambientales. Examina la razonabilidad de </w:t>
          </w:r>
          <w:r w:rsidR="007808EB" w:rsidRPr="00600ED9">
            <w:t xml:space="preserve">sus </w:t>
          </w:r>
          <w:r w:rsidR="005429A6" w:rsidRPr="00600ED9">
            <w:t>estados financieros y determina en qué medida logran sus objetivos y cumplen sus</w:t>
          </w:r>
          <w:r w:rsidR="00A06F21" w:rsidRPr="00600ED9">
            <w:t xml:space="preserve"> planes, programas y proyectos.</w:t>
          </w:r>
        </w:p>
        <w:p w:rsidR="00FB1954" w:rsidRPr="00600ED9" w:rsidRDefault="00FB1954" w:rsidP="00A06F21">
          <w:pPr>
            <w:spacing w:after="0" w:line="240" w:lineRule="auto"/>
            <w:jc w:val="both"/>
          </w:pPr>
        </w:p>
        <w:p w:rsidR="005429A6" w:rsidRPr="00600ED9" w:rsidRDefault="00320BD6" w:rsidP="00A06F21">
          <w:pPr>
            <w:spacing w:after="0" w:line="240" w:lineRule="auto"/>
            <w:jc w:val="both"/>
          </w:pPr>
          <w:r w:rsidRPr="00600ED9">
            <w:t xml:space="preserve">En </w:t>
          </w:r>
          <w:r w:rsidR="007808EB" w:rsidRPr="00600ED9">
            <w:t xml:space="preserve">el marco de sus </w:t>
          </w:r>
          <w:r w:rsidR="00982E56" w:rsidRPr="00600ED9">
            <w:t>funciones</w:t>
          </w:r>
          <w:r w:rsidR="007808EB" w:rsidRPr="00600ED9">
            <w:t xml:space="preserve">, </w:t>
          </w:r>
          <w:r w:rsidRPr="00600ED9">
            <w:t xml:space="preserve">la Contraloría </w:t>
          </w:r>
          <w:r w:rsidR="005429A6" w:rsidRPr="00600ED9">
            <w:t xml:space="preserve">establece la responsabilidad fiscal de los servidores públicos y de los particulares que causen, por acción o por omisión y en forma dolosa o culposa, un daño al patrimonio del Estado. Impone las sanciones pecuniarias que correspondan y las demás acciones derivadas del ejercicio de la vigilancia y control fiscal. Procura igualmente, el resarcimiento del patrimonio público. En ejercicio de la denominada jurisdicción </w:t>
          </w:r>
          <w:r w:rsidR="00B3100A" w:rsidRPr="00600ED9">
            <w:t xml:space="preserve">coactiva, debe procurar por la </w:t>
          </w:r>
          <w:r w:rsidR="005429A6" w:rsidRPr="00600ED9">
            <w:t>recuperación de los recursos y bienes públicos que han sido objeto de deterioro como resultado de su mala administración o que han sido apropiados en forma indebida por los funcionarios o por los particulares.</w:t>
          </w:r>
        </w:p>
        <w:p w:rsidR="00A06F21" w:rsidRPr="00600ED9" w:rsidRDefault="00A06F21" w:rsidP="00A06F21">
          <w:pPr>
            <w:spacing w:after="0" w:line="240" w:lineRule="auto"/>
            <w:jc w:val="both"/>
          </w:pPr>
        </w:p>
        <w:p w:rsidR="005429A6" w:rsidRPr="00600ED9" w:rsidRDefault="005429A6" w:rsidP="00A06F21">
          <w:pPr>
            <w:spacing w:after="0" w:line="240" w:lineRule="auto"/>
            <w:jc w:val="both"/>
          </w:pPr>
          <w:r w:rsidRPr="00600ED9">
            <w:t>Adicionalmente, la Contraloría genera una cultura de control del patrimonio del Estado y de la gestión pública</w:t>
          </w:r>
          <w:r w:rsidR="00045DDC" w:rsidRPr="00600ED9">
            <w:t>,</w:t>
          </w:r>
          <w:r w:rsidRPr="00600ED9">
            <w:t xml:space="preserve"> al promover la transparencia en el uso de los recursos públicos, mediante un proceso estratégico y focalizado en aquellas entidades y/o áreas de ri</w:t>
          </w:r>
          <w:r w:rsidR="00A06F21" w:rsidRPr="00600ED9">
            <w:t xml:space="preserve">esgo previamente identificadas. </w:t>
          </w:r>
          <w:r w:rsidRPr="00600ED9">
            <w:t xml:space="preserve">La </w:t>
          </w:r>
          <w:r w:rsidR="00431CA4" w:rsidRPr="00600ED9">
            <w:t>CGRC</w:t>
          </w:r>
          <w:r w:rsidRPr="00600ED9">
            <w:t xml:space="preserve"> vincula activamente a la ciudadanía en el control de la gestión pública</w:t>
          </w:r>
          <w:r w:rsidR="00045DDC" w:rsidRPr="00600ED9">
            <w:t>,</w:t>
          </w:r>
          <w:r w:rsidRPr="00600ED9">
            <w:t xml:space="preserve"> y apoya técnicamente al Congreso de la República para el ejercicio del control político y el desarrollo de la función legislativa.</w:t>
          </w:r>
        </w:p>
        <w:p w:rsidR="00A06F21" w:rsidRPr="00600ED9" w:rsidRDefault="00A06F21" w:rsidP="00A06F21">
          <w:pPr>
            <w:spacing w:after="0" w:line="240" w:lineRule="auto"/>
            <w:jc w:val="both"/>
          </w:pPr>
        </w:p>
        <w:p w:rsidR="005F49AC" w:rsidRPr="00600ED9" w:rsidRDefault="005F49AC" w:rsidP="00A06F21">
          <w:pPr>
            <w:spacing w:after="0" w:line="240" w:lineRule="auto"/>
            <w:jc w:val="both"/>
          </w:pPr>
          <w:r w:rsidRPr="00600ED9">
            <w:t>En la Carta Política, el control fiscal a la gestión pública pasó de ser previo y perceptivo, a posterior y selectivo. No obstante, aunque el nuevo enfoque del control permite la aplicación de una función de advertencia para que el administrador público conozca en tiempo real las inconsistencias detectadas por la Contraloría y, mediante la aplicación de un control de corrección, proceda a subsanarlas, la Corte Constitucional mediante sentencia C-103 del 11 de marzo de 2015</w:t>
          </w:r>
          <w:r w:rsidRPr="00600ED9">
            <w:rPr>
              <w:rStyle w:val="FootnoteReference"/>
            </w:rPr>
            <w:footnoteReference w:id="10"/>
          </w:r>
          <w:r w:rsidRPr="00600ED9">
            <w:t xml:space="preserve">, declaró inconstitucional el numeral 7, del artículo 5, del Decreto 267 del año 2000, por considerar que constituye una función de </w:t>
          </w:r>
          <w:proofErr w:type="spellStart"/>
          <w:r w:rsidRPr="00600ED9">
            <w:t>co</w:t>
          </w:r>
          <w:proofErr w:type="spellEnd"/>
          <w:r w:rsidRPr="00600ED9">
            <w:t>-administración.</w:t>
          </w:r>
        </w:p>
        <w:p w:rsidR="00FB1954" w:rsidRPr="00600ED9" w:rsidRDefault="00FB1954" w:rsidP="00A06F21">
          <w:pPr>
            <w:spacing w:after="0" w:line="240" w:lineRule="auto"/>
            <w:jc w:val="both"/>
          </w:pPr>
        </w:p>
        <w:p w:rsidR="005429A6" w:rsidRPr="00600ED9" w:rsidRDefault="005429A6" w:rsidP="00A06F21">
          <w:pPr>
            <w:spacing w:after="0" w:line="240" w:lineRule="auto"/>
            <w:jc w:val="both"/>
          </w:pPr>
          <w:r w:rsidRPr="00600ED9">
            <w:t xml:space="preserve">La relación entre la </w:t>
          </w:r>
          <w:r w:rsidR="00431CA4" w:rsidRPr="00600ED9">
            <w:t>CGRC</w:t>
          </w:r>
          <w:r w:rsidRPr="00600ED9">
            <w:t xml:space="preserve"> y el Congreso de la </w:t>
          </w:r>
          <w:r w:rsidR="0011111A" w:rsidRPr="00600ED9">
            <w:t xml:space="preserve">República </w:t>
          </w:r>
          <w:r w:rsidRPr="00600ED9">
            <w:t>de Colombia</w:t>
          </w:r>
          <w:r w:rsidR="004554E6" w:rsidRPr="00600ED9">
            <w:t>,</w:t>
          </w:r>
          <w:r w:rsidRPr="00600ED9">
            <w:t xml:space="preserve"> están claramente definidos en la Ley 1474 del 2011, Art 128, inciso 4º con la creación de la “Unidad de Apoyo Técnico al Congreso”, la cual presta asistencia técnica a las plenarias, las comisiones constitucionales y legales, las bancadas parlamentarias y los senadores y representantes a la Cámara, mediante el suministro de información que no tenga carácter reservado, el acompañamiento en el análisis, evaluación y la elaboración de proyectos e informes, especialmente en relación con su impacto y efectos fiscales y presupuestales, así como la canalización de las denuncias o quejas de origen parlamentario.</w:t>
          </w:r>
        </w:p>
        <w:p w:rsidR="00FB1954" w:rsidRPr="00600ED9" w:rsidRDefault="00FB1954" w:rsidP="00A06F21">
          <w:pPr>
            <w:spacing w:after="0" w:line="240" w:lineRule="auto"/>
            <w:jc w:val="both"/>
          </w:pPr>
        </w:p>
        <w:p w:rsidR="001D5AD4" w:rsidRPr="00600ED9" w:rsidRDefault="005429A6" w:rsidP="00A06F21">
          <w:pPr>
            <w:spacing w:after="0" w:line="240" w:lineRule="auto"/>
            <w:jc w:val="both"/>
          </w:pPr>
          <w:r w:rsidRPr="00600ED9">
            <w:t xml:space="preserve">La estructura de gobernanza de la </w:t>
          </w:r>
          <w:r w:rsidR="00431CA4" w:rsidRPr="00600ED9">
            <w:t>CGRC</w:t>
          </w:r>
          <w:r w:rsidRPr="00600ED9">
            <w:t xml:space="preserve"> está </w:t>
          </w:r>
          <w:r w:rsidR="001D5AD4" w:rsidRPr="00600ED9">
            <w:t>formalizada</w:t>
          </w:r>
          <w:r w:rsidRPr="00600ED9">
            <w:t xml:space="preserve"> </w:t>
          </w:r>
          <w:r w:rsidR="001D5AD4" w:rsidRPr="00600ED9">
            <w:t xml:space="preserve">en el Decreto 267 de 2000 – </w:t>
          </w:r>
          <w:r w:rsidRPr="00600ED9">
            <w:t xml:space="preserve">Normas sobre Organización y Funcionamiento de la </w:t>
          </w:r>
          <w:r w:rsidR="00431CA4" w:rsidRPr="00600ED9">
            <w:t>CGRC</w:t>
          </w:r>
          <w:r w:rsidRPr="00600ED9">
            <w:t>, complementad</w:t>
          </w:r>
          <w:r w:rsidR="001D5AD4" w:rsidRPr="00600ED9">
            <w:t>o</w:t>
          </w:r>
          <w:r w:rsidRPr="00600ED9">
            <w:t xml:space="preserve"> por la Ley 1474 de</w:t>
          </w:r>
          <w:r w:rsidR="001D5AD4" w:rsidRPr="00600ED9">
            <w:t xml:space="preserve"> </w:t>
          </w:r>
          <w:r w:rsidRPr="00600ED9">
            <w:t>2011</w:t>
          </w:r>
          <w:r w:rsidR="001D5AD4" w:rsidRPr="00600ED9">
            <w:t xml:space="preserve"> – Estatuto Anti-corrupción</w:t>
          </w:r>
          <w:r w:rsidR="00F50592" w:rsidRPr="00600ED9">
            <w:t>, en aplicación de la cual se constituyó dentro de su estructura</w:t>
          </w:r>
          <w:r w:rsidR="004554E6" w:rsidRPr="00600ED9">
            <w:t>,</w:t>
          </w:r>
          <w:r w:rsidR="00F50592" w:rsidRPr="00600ED9">
            <w:t xml:space="preserve"> cuatro unidades </w:t>
          </w:r>
          <w:r w:rsidR="00F50592" w:rsidRPr="00600ED9">
            <w:rPr>
              <w:rFonts w:cs="Verdana"/>
            </w:rPr>
            <w:t>con el fin de fortalecer las acciones contra la corrupción</w:t>
          </w:r>
          <w:r w:rsidR="00F50592" w:rsidRPr="00600ED9">
            <w:t>: (i) Unidad de Investigaciones Especiales contra la Corrupción, (ii) Unidad de Cooperación Nacional e Internacional de Prevención, Investigaciones e Incautación de Bienes, (iii) Unidad de Apoyo Técnico al Congreso y (iv) Unidad de Seguridad y Aseguramiento Tecnológico e Informático</w:t>
          </w:r>
          <w:r w:rsidR="004554E6" w:rsidRPr="00600ED9">
            <w:t>; finalmente,</w:t>
          </w:r>
          <w:r w:rsidR="001D5AD4" w:rsidRPr="00600ED9">
            <w:t xml:space="preserve"> la Ley 1530 de 2012 crea una planta temporal, para fortalecer el control fiscal al Sistema Nacional de Regalías.</w:t>
          </w:r>
        </w:p>
        <w:p w:rsidR="00FB1954" w:rsidRPr="001471C4" w:rsidRDefault="00FB1954" w:rsidP="00A06F21">
          <w:pPr>
            <w:spacing w:after="0" w:line="240" w:lineRule="auto"/>
            <w:jc w:val="both"/>
            <w:rPr>
              <w:sz w:val="24"/>
            </w:rPr>
          </w:pPr>
        </w:p>
        <w:p w:rsidR="005429A6" w:rsidRPr="00600ED9" w:rsidRDefault="005429A6" w:rsidP="00A06F21">
          <w:pPr>
            <w:spacing w:after="0" w:line="240" w:lineRule="auto"/>
            <w:jc w:val="both"/>
          </w:pPr>
          <w:r w:rsidRPr="00600ED9">
            <w:t>La estruc</w:t>
          </w:r>
          <w:r w:rsidR="0011111A" w:rsidRPr="00600ED9">
            <w:t>tura orgánica de la Contraloría</w:t>
          </w:r>
          <w:r w:rsidR="004554E6" w:rsidRPr="00600ED9">
            <w:t>,</w:t>
          </w:r>
          <w:r w:rsidRPr="00600ED9">
            <w:t xml:space="preserve"> está formalizada mediante un organigrama</w:t>
          </w:r>
          <w:r w:rsidRPr="00600ED9">
            <w:rPr>
              <w:rStyle w:val="FootnoteReference"/>
            </w:rPr>
            <w:footnoteReference w:id="11"/>
          </w:r>
          <w:r w:rsidRPr="00600ED9">
            <w:t xml:space="preserve"> que contiene el esquema general e integra las diferentes dependencias de la Institución. La Contraloría General de la República está organizada en dos niveles: central y desconcentrado.</w:t>
          </w:r>
        </w:p>
        <w:p w:rsidR="00FB1954" w:rsidRPr="00600ED9" w:rsidRDefault="00FB1954" w:rsidP="00A06F21">
          <w:pPr>
            <w:spacing w:after="0" w:line="240" w:lineRule="auto"/>
            <w:jc w:val="both"/>
            <w:rPr>
              <w:sz w:val="48"/>
            </w:rPr>
          </w:pPr>
        </w:p>
        <w:p w:rsidR="005429A6" w:rsidRPr="00600ED9" w:rsidRDefault="005429A6" w:rsidP="00A06F21">
          <w:pPr>
            <w:spacing w:after="0" w:line="240" w:lineRule="auto"/>
            <w:jc w:val="both"/>
          </w:pPr>
          <w:r w:rsidRPr="00600ED9">
            <w:rPr>
              <w:b/>
            </w:rPr>
            <w:lastRenderedPageBreak/>
            <w:t>El nivel central </w:t>
          </w:r>
          <w:r w:rsidRPr="00600ED9">
            <w:t xml:space="preserve">lo integran 10 </w:t>
          </w:r>
          <w:r w:rsidR="0062536C" w:rsidRPr="00600ED9">
            <w:t>C</w:t>
          </w:r>
          <w:r w:rsidRPr="00600ED9">
            <w:t xml:space="preserve">ontralorías </w:t>
          </w:r>
          <w:r w:rsidR="0062536C" w:rsidRPr="00600ED9">
            <w:t>D</w:t>
          </w:r>
          <w:r w:rsidRPr="00600ED9">
            <w:t>elegadas (siete sectoriales y tres generales), siete oficinas de apoyo y dos gerencias nacionales, cuatro</w:t>
          </w:r>
          <w:r w:rsidR="0062536C" w:rsidRPr="00600ED9">
            <w:t xml:space="preserve"> </w:t>
          </w:r>
          <w:r w:rsidRPr="00600ED9">
            <w:t>unidades especiales, dos gerencias nacionales y una planta temporal para el Sistema de Regalías. </w:t>
          </w:r>
        </w:p>
        <w:p w:rsidR="00FB1954" w:rsidRPr="00600ED9" w:rsidRDefault="00FB1954" w:rsidP="00A06F21">
          <w:pPr>
            <w:spacing w:after="0" w:line="240" w:lineRule="auto"/>
            <w:jc w:val="both"/>
          </w:pPr>
        </w:p>
        <w:p w:rsidR="0062536C" w:rsidRPr="00600ED9" w:rsidRDefault="0062536C" w:rsidP="00A06F21">
          <w:pPr>
            <w:spacing w:after="0" w:line="240" w:lineRule="auto"/>
            <w:jc w:val="both"/>
          </w:pPr>
          <w:r w:rsidRPr="00600ED9">
            <w:t>Las siete Contralorías Delegadas</w:t>
          </w:r>
          <w:r w:rsidR="004554E6" w:rsidRPr="00600ED9">
            <w:t>,</w:t>
          </w:r>
          <w:r w:rsidRPr="00600ED9">
            <w:t xml:space="preserve"> se encargan de manejar los procesos relativos a la planificación y realización de auditorías:</w:t>
          </w:r>
        </w:p>
        <w:p w:rsidR="0062536C" w:rsidRPr="00600ED9" w:rsidRDefault="0062536C" w:rsidP="00A06F21">
          <w:pPr>
            <w:spacing w:after="0" w:line="240" w:lineRule="auto"/>
            <w:jc w:val="both"/>
          </w:pPr>
        </w:p>
        <w:p w:rsidR="0062536C" w:rsidRPr="00600ED9" w:rsidRDefault="0062536C" w:rsidP="00233205">
          <w:pPr>
            <w:pStyle w:val="ListParagraph"/>
            <w:numPr>
              <w:ilvl w:val="0"/>
              <w:numId w:val="40"/>
            </w:numPr>
            <w:spacing w:after="0" w:line="240" w:lineRule="auto"/>
            <w:jc w:val="both"/>
          </w:pPr>
          <w:r w:rsidRPr="00600ED9">
            <w:t>Contraloría Delgada para el Sector Agropecuario</w:t>
          </w:r>
        </w:p>
        <w:p w:rsidR="0062536C" w:rsidRPr="00600ED9" w:rsidRDefault="0062536C" w:rsidP="00233205">
          <w:pPr>
            <w:pStyle w:val="ListParagraph"/>
            <w:numPr>
              <w:ilvl w:val="0"/>
              <w:numId w:val="40"/>
            </w:numPr>
            <w:spacing w:after="0" w:line="240" w:lineRule="auto"/>
            <w:jc w:val="both"/>
          </w:pPr>
          <w:r w:rsidRPr="00600ED9">
            <w:t>Contraloría Delegada para el Sector Social</w:t>
          </w:r>
        </w:p>
        <w:p w:rsidR="0062536C" w:rsidRPr="00600ED9" w:rsidRDefault="0062536C" w:rsidP="00233205">
          <w:pPr>
            <w:pStyle w:val="ListParagraph"/>
            <w:numPr>
              <w:ilvl w:val="0"/>
              <w:numId w:val="40"/>
            </w:numPr>
            <w:spacing w:after="0" w:line="240" w:lineRule="auto"/>
            <w:jc w:val="both"/>
          </w:pPr>
          <w:r w:rsidRPr="00600ED9">
            <w:t>Contraloría Delegada para el Sector Defensa, Justicia y Seguridad</w:t>
          </w:r>
        </w:p>
        <w:p w:rsidR="0062536C" w:rsidRPr="00600ED9" w:rsidRDefault="0062536C" w:rsidP="00233205">
          <w:pPr>
            <w:pStyle w:val="ListParagraph"/>
            <w:numPr>
              <w:ilvl w:val="0"/>
              <w:numId w:val="40"/>
            </w:numPr>
            <w:spacing w:after="0" w:line="240" w:lineRule="auto"/>
            <w:jc w:val="both"/>
          </w:pPr>
          <w:r w:rsidRPr="00600ED9">
            <w:t>Contraloría Delegada para el Sector Medio Ambiente</w:t>
          </w:r>
        </w:p>
        <w:p w:rsidR="0062536C" w:rsidRPr="00600ED9" w:rsidRDefault="0062536C" w:rsidP="00233205">
          <w:pPr>
            <w:pStyle w:val="ListParagraph"/>
            <w:numPr>
              <w:ilvl w:val="0"/>
              <w:numId w:val="40"/>
            </w:numPr>
            <w:spacing w:after="0" w:line="240" w:lineRule="auto"/>
            <w:jc w:val="both"/>
          </w:pPr>
          <w:r w:rsidRPr="00600ED9">
            <w:t>Contraloría Delegada para el Sector Minas y Energía</w:t>
          </w:r>
        </w:p>
        <w:p w:rsidR="0062536C" w:rsidRPr="00600ED9" w:rsidRDefault="0062536C" w:rsidP="00233205">
          <w:pPr>
            <w:pStyle w:val="ListParagraph"/>
            <w:numPr>
              <w:ilvl w:val="0"/>
              <w:numId w:val="40"/>
            </w:numPr>
            <w:spacing w:after="0" w:line="240" w:lineRule="auto"/>
            <w:jc w:val="both"/>
          </w:pPr>
          <w:r w:rsidRPr="00600ED9">
            <w:t>Contraloría Delegada para el Sector de Infraestructura Física, Telecomunicaciones, Comercio Exterior y Desarrollo Regional</w:t>
          </w:r>
        </w:p>
        <w:p w:rsidR="0062536C" w:rsidRPr="00600ED9" w:rsidRDefault="0062536C" w:rsidP="00233205">
          <w:pPr>
            <w:pStyle w:val="ListParagraph"/>
            <w:numPr>
              <w:ilvl w:val="0"/>
              <w:numId w:val="40"/>
            </w:numPr>
            <w:spacing w:after="0" w:line="240" w:lineRule="auto"/>
            <w:jc w:val="both"/>
          </w:pPr>
          <w:r w:rsidRPr="00600ED9">
            <w:t>Delegada para Gestión Pública e Instituciones Financieras</w:t>
          </w:r>
        </w:p>
        <w:p w:rsidR="00FB1954" w:rsidRPr="00600ED9" w:rsidRDefault="00FB1954" w:rsidP="00FB1954">
          <w:pPr>
            <w:pStyle w:val="ListParagraph"/>
            <w:spacing w:after="0" w:line="240" w:lineRule="auto"/>
            <w:ind w:left="360"/>
            <w:jc w:val="both"/>
          </w:pPr>
        </w:p>
        <w:p w:rsidR="0062536C" w:rsidRPr="00600ED9" w:rsidRDefault="0062536C" w:rsidP="00A06F21">
          <w:pPr>
            <w:spacing w:after="0" w:line="240" w:lineRule="auto"/>
            <w:jc w:val="both"/>
          </w:pPr>
          <w:r w:rsidRPr="00600ED9">
            <w:t>Las delegadas sectoriales están conformadas por dos direcciones: una de vigilancia fiscal y otra de estudios sectoriales. Las contralorías delegadas generales son: (i) Contraloría Delegada para la Participación Ciudadana, (ii) Contraloría Delegada para Economía y Finanzas Publicas y (iii) Contraloría Delegada de Investigaciones, Juicios Fiscales y Jurisdicción Coactiva. </w:t>
          </w:r>
        </w:p>
        <w:p w:rsidR="00FB1954" w:rsidRPr="00600ED9" w:rsidRDefault="00FB1954" w:rsidP="00A06F21">
          <w:pPr>
            <w:spacing w:after="0" w:line="240" w:lineRule="auto"/>
            <w:jc w:val="both"/>
          </w:pPr>
        </w:p>
        <w:p w:rsidR="0062536C" w:rsidRPr="00600ED9" w:rsidRDefault="0062536C" w:rsidP="00A06F21">
          <w:pPr>
            <w:spacing w:after="0" w:line="240" w:lineRule="auto"/>
            <w:jc w:val="both"/>
          </w:pPr>
          <w:r w:rsidRPr="00600ED9">
            <w:t xml:space="preserve">Las siete oficinas </w:t>
          </w:r>
          <w:r w:rsidR="004554E6" w:rsidRPr="00600ED9">
            <w:t xml:space="preserve">de apoyo </w:t>
          </w:r>
          <w:r w:rsidRPr="00600ED9">
            <w:t>son: Oficina Jurídica, Oficina de Planeación, Oficina de Control Interno, Oficina de Control Disciplinario, Oficina de Capacitación, Producción de Tecnología y Cooperación Técnica Internacional, Oficina de Comunicaciones y Publicaciones, y Ofi</w:t>
          </w:r>
          <w:r w:rsidR="00FB1954" w:rsidRPr="00600ED9">
            <w:t>cina de Sistemas e Informática.</w:t>
          </w:r>
          <w:r w:rsidR="00F50592" w:rsidRPr="00600ED9">
            <w:t xml:space="preserve"> </w:t>
          </w:r>
          <w:r w:rsidRPr="00600ED9">
            <w:t>Las</w:t>
          </w:r>
          <w:r w:rsidR="00957FC2" w:rsidRPr="00600ED9">
            <w:t xml:space="preserve"> dos gerencias nacionales son l</w:t>
          </w:r>
          <w:r w:rsidRPr="00600ED9">
            <w:t>a Gerencia del Talento Humano y la Gerencia Administrativa y Financiera, integrada por tres direcciones.</w:t>
          </w:r>
        </w:p>
        <w:p w:rsidR="00FB1954" w:rsidRPr="00600ED9" w:rsidRDefault="00FB1954" w:rsidP="00A06F21">
          <w:pPr>
            <w:spacing w:after="0" w:line="240" w:lineRule="auto"/>
            <w:jc w:val="both"/>
          </w:pPr>
        </w:p>
        <w:p w:rsidR="005429A6" w:rsidRPr="00600ED9" w:rsidRDefault="005429A6" w:rsidP="00A06F21">
          <w:pPr>
            <w:spacing w:after="0" w:line="240" w:lineRule="auto"/>
            <w:jc w:val="both"/>
          </w:pPr>
          <w:r w:rsidRPr="00600ED9">
            <w:t xml:space="preserve">Además, la </w:t>
          </w:r>
          <w:r w:rsidR="00431CA4" w:rsidRPr="00600ED9">
            <w:t>CGRC</w:t>
          </w:r>
          <w:r w:rsidRPr="00600ED9">
            <w:t xml:space="preserve"> cuenta con cuatro </w:t>
          </w:r>
          <w:r w:rsidR="004554E6" w:rsidRPr="00600ED9">
            <w:t>o</w:t>
          </w:r>
          <w:r w:rsidRPr="00600ED9">
            <w:t>rganismos de coordinación y asesoría a saber: Comité Directivo, Comité de Control Interno, Consejo Superior de Carrera Administrativa, Comisión de Personal, y Junta de Adquisiciones y Licitaciones. </w:t>
          </w:r>
        </w:p>
        <w:p w:rsidR="00FB1954" w:rsidRPr="00600ED9" w:rsidRDefault="00FB1954" w:rsidP="00A06F21">
          <w:pPr>
            <w:spacing w:after="0" w:line="240" w:lineRule="auto"/>
            <w:jc w:val="both"/>
          </w:pPr>
        </w:p>
        <w:p w:rsidR="004B44A4" w:rsidRPr="00600ED9" w:rsidRDefault="005429A6" w:rsidP="00A06F21">
          <w:pPr>
            <w:spacing w:after="0" w:line="240" w:lineRule="auto"/>
            <w:jc w:val="both"/>
          </w:pPr>
          <w:r w:rsidRPr="00600ED9">
            <w:rPr>
              <w:b/>
            </w:rPr>
            <w:t>El nivel desconcentrado</w:t>
          </w:r>
          <w:r w:rsidR="0062536C" w:rsidRPr="00600ED9">
            <w:rPr>
              <w:b/>
            </w:rPr>
            <w:t xml:space="preserve"> </w:t>
          </w:r>
          <w:r w:rsidRPr="00600ED9">
            <w:t xml:space="preserve">lo conforman 32 </w:t>
          </w:r>
          <w:r w:rsidR="0062536C" w:rsidRPr="00600ED9">
            <w:t>G</w:t>
          </w:r>
          <w:r w:rsidRPr="00600ED9">
            <w:t xml:space="preserve">erencias </w:t>
          </w:r>
          <w:r w:rsidR="0062536C" w:rsidRPr="00600ED9">
            <w:t>D</w:t>
          </w:r>
          <w:r w:rsidRPr="00600ED9">
            <w:t xml:space="preserve">epartamentales </w:t>
          </w:r>
          <w:r w:rsidR="0062536C" w:rsidRPr="00600ED9">
            <w:t>C</w:t>
          </w:r>
          <w:r w:rsidRPr="00600ED9">
            <w:t xml:space="preserve">olegiadas (una en cada </w:t>
          </w:r>
          <w:r w:rsidR="0062536C" w:rsidRPr="00600ED9">
            <w:t>C</w:t>
          </w:r>
          <w:r w:rsidRPr="00600ED9">
            <w:t xml:space="preserve">apital de </w:t>
          </w:r>
          <w:r w:rsidR="0062536C" w:rsidRPr="00600ED9">
            <w:t>D</w:t>
          </w:r>
          <w:r w:rsidRPr="00600ED9">
            <w:t xml:space="preserve">epartamento), y una Gerencia Distrital Colegiada. Cada Gerencia es direccionada por una Colegiatura, conformada por el Gerente y dos o más </w:t>
          </w:r>
          <w:r w:rsidR="0062536C" w:rsidRPr="00600ED9">
            <w:t>C</w:t>
          </w:r>
          <w:r w:rsidRPr="00600ED9">
            <w:t xml:space="preserve">ontralores provinciales, </w:t>
          </w:r>
          <w:r w:rsidR="0062536C" w:rsidRPr="00600ED9">
            <w:t xml:space="preserve">con </w:t>
          </w:r>
          <w:r w:rsidRPr="00600ED9">
            <w:t>dependen</w:t>
          </w:r>
          <w:r w:rsidR="0062536C" w:rsidRPr="00600ED9">
            <w:t>cia</w:t>
          </w:r>
          <w:r w:rsidRPr="00600ED9">
            <w:t xml:space="preserve"> direc</w:t>
          </w:r>
          <w:r w:rsidR="0062536C" w:rsidRPr="00600ED9">
            <w:t>ta</w:t>
          </w:r>
          <w:r w:rsidRPr="00600ED9">
            <w:t xml:space="preserve"> del Contralor General.</w:t>
          </w:r>
        </w:p>
        <w:p w:rsidR="00FB1954" w:rsidRPr="00600ED9" w:rsidRDefault="00FB1954" w:rsidP="00A06F21">
          <w:pPr>
            <w:spacing w:after="0" w:line="240" w:lineRule="auto"/>
            <w:jc w:val="both"/>
          </w:pPr>
        </w:p>
        <w:p w:rsidR="005429A6" w:rsidRPr="00600ED9" w:rsidRDefault="005429A6" w:rsidP="00A06F21">
          <w:pPr>
            <w:spacing w:after="0" w:line="240" w:lineRule="auto"/>
            <w:jc w:val="both"/>
          </w:pPr>
          <w:r w:rsidRPr="00600ED9">
            <w:t>Las entidades sobre las cuales ejerce vigilancia fiscal la Contraloría General</w:t>
          </w:r>
          <w:r w:rsidR="0011111A" w:rsidRPr="00600ED9">
            <w:t>,</w:t>
          </w:r>
          <w:r w:rsidRPr="00600ED9">
            <w:t xml:space="preserve"> son agrupadas por sectores y subsectores, de acuerdo con el ámbito en el cual desarrollan sus actividades, prestación de servicios, funciones administrativas o regulativas, producción de bienes o actividades comerciales, económicas y financieras</w:t>
          </w:r>
          <w:r w:rsidR="0062536C" w:rsidRPr="00600ED9">
            <w:t xml:space="preserve"> (</w:t>
          </w:r>
          <w:r w:rsidRPr="00600ED9">
            <w:t xml:space="preserve">Resolución </w:t>
          </w:r>
          <w:r w:rsidR="0062536C" w:rsidRPr="00600ED9">
            <w:t>R</w:t>
          </w:r>
          <w:r w:rsidRPr="00600ED9">
            <w:t>eglamentaria ejecutiva 0009 de diciembre 26 de 2014</w:t>
          </w:r>
          <w:r w:rsidR="0062536C" w:rsidRPr="00600ED9">
            <w:t>)</w:t>
          </w:r>
          <w:r w:rsidRPr="00600ED9">
            <w:rPr>
              <w:rStyle w:val="FootnoteReference"/>
            </w:rPr>
            <w:footnoteReference w:id="12"/>
          </w:r>
          <w:r w:rsidRPr="00600ED9">
            <w:t>.</w:t>
          </w:r>
        </w:p>
        <w:p w:rsidR="00FB1954" w:rsidRPr="00600ED9" w:rsidRDefault="00FB1954" w:rsidP="00A06F21">
          <w:pPr>
            <w:spacing w:after="0" w:line="240" w:lineRule="auto"/>
            <w:jc w:val="both"/>
          </w:pPr>
        </w:p>
        <w:p w:rsidR="005429A6" w:rsidRPr="00600ED9" w:rsidRDefault="005429A6" w:rsidP="00A06F21">
          <w:pPr>
            <w:spacing w:after="0" w:line="240" w:lineRule="auto"/>
            <w:jc w:val="both"/>
          </w:pPr>
          <w:r w:rsidRPr="00600ED9">
            <w:t xml:space="preserve">Actualmente, la entidad cuenta con una planta de personal </w:t>
          </w:r>
          <w:r w:rsidR="00957FC2" w:rsidRPr="00600ED9">
            <w:t xml:space="preserve">compuesta por </w:t>
          </w:r>
          <w:r w:rsidRPr="00600ED9">
            <w:t>4.495 cargos</w:t>
          </w:r>
          <w:r w:rsidR="00957FC2" w:rsidRPr="00600ED9">
            <w:t xml:space="preserve">, </w:t>
          </w:r>
          <w:r w:rsidRPr="00600ED9">
            <w:t xml:space="preserve"> de los cuales 3.934</w:t>
          </w:r>
          <w:r w:rsidR="00957FC2" w:rsidRPr="00600ED9">
            <w:t xml:space="preserve"> (88%)</w:t>
          </w:r>
          <w:r w:rsidRPr="00600ED9">
            <w:t xml:space="preserve"> </w:t>
          </w:r>
          <w:r w:rsidR="00957FC2" w:rsidRPr="00600ED9">
            <w:t>están adscritos al sistema</w:t>
          </w:r>
          <w:r w:rsidRPr="00600ED9">
            <w:t xml:space="preserve"> de carrera administrativa </w:t>
          </w:r>
          <w:r w:rsidR="00957FC2" w:rsidRPr="00600ED9">
            <w:t xml:space="preserve">especial, </w:t>
          </w:r>
          <w:r w:rsidRPr="00600ED9">
            <w:t>y 223 son de libre nombramiento y remoción. </w:t>
          </w:r>
          <w:r w:rsidR="00957FC2" w:rsidRPr="00600ED9" w:rsidDel="00957FC2">
            <w:t xml:space="preserve"> </w:t>
          </w:r>
        </w:p>
        <w:p w:rsidR="004554E6" w:rsidRPr="00600ED9" w:rsidRDefault="004554E6" w:rsidP="00A06F21">
          <w:pPr>
            <w:spacing w:after="0" w:line="240" w:lineRule="auto"/>
          </w:pPr>
          <w:r w:rsidRPr="00600ED9">
            <w:br w:type="page"/>
          </w:r>
        </w:p>
        <w:p w:rsidR="00D62CF9" w:rsidRPr="00600ED9" w:rsidRDefault="0074210C" w:rsidP="00FB1954">
          <w:pPr>
            <w:pStyle w:val="Title"/>
            <w:tabs>
              <w:tab w:val="clear" w:pos="360"/>
              <w:tab w:val="num" w:pos="709"/>
            </w:tabs>
            <w:spacing w:after="0"/>
            <w:ind w:left="567" w:hanging="709"/>
            <w:jc w:val="both"/>
            <w:rPr>
              <w:lang w:val="es-ES_tradnl"/>
            </w:rPr>
          </w:pPr>
          <w:bookmarkStart w:id="12" w:name="_Toc295932904"/>
          <w:r w:rsidRPr="00600ED9">
            <w:rPr>
              <w:lang w:val="es-ES_tradnl"/>
            </w:rPr>
            <w:lastRenderedPageBreak/>
            <w:t>Diagnóstico</w:t>
          </w:r>
          <w:r w:rsidR="00720E42" w:rsidRPr="00600ED9">
            <w:rPr>
              <w:lang w:val="es-ES_tradnl"/>
            </w:rPr>
            <w:t xml:space="preserve"> del Ambiente, </w:t>
          </w:r>
          <w:r w:rsidR="0011111A" w:rsidRPr="00600ED9">
            <w:rPr>
              <w:lang w:val="es-ES_tradnl"/>
            </w:rPr>
            <w:t xml:space="preserve">la </w:t>
          </w:r>
          <w:r w:rsidR="00720E42" w:rsidRPr="00600ED9">
            <w:rPr>
              <w:lang w:val="es-ES_tradnl"/>
            </w:rPr>
            <w:t>Capacidad y</w:t>
          </w:r>
          <w:r w:rsidR="0011111A" w:rsidRPr="00600ED9">
            <w:rPr>
              <w:lang w:val="es-ES_tradnl"/>
            </w:rPr>
            <w:t xml:space="preserve"> el</w:t>
          </w:r>
          <w:r w:rsidR="00720E42" w:rsidRPr="00600ED9">
            <w:rPr>
              <w:lang w:val="es-ES_tradnl"/>
            </w:rPr>
            <w:t xml:space="preserve"> </w:t>
          </w:r>
          <w:r w:rsidR="00160EA4" w:rsidRPr="00600ED9">
            <w:rPr>
              <w:lang w:val="es-ES_tradnl"/>
            </w:rPr>
            <w:t xml:space="preserve">Desempeño </w:t>
          </w:r>
          <w:r w:rsidR="00720E42" w:rsidRPr="00600ED9">
            <w:rPr>
              <w:lang w:val="es-ES_tradnl"/>
            </w:rPr>
            <w:t xml:space="preserve">de la </w:t>
          </w:r>
          <w:r w:rsidR="00514550" w:rsidRPr="00600ED9">
            <w:rPr>
              <w:lang w:val="es-ES_tradnl"/>
            </w:rPr>
            <w:t>Contraloría</w:t>
          </w:r>
        </w:p>
      </w:sdtContent>
    </w:sdt>
    <w:bookmarkEnd w:id="12" w:displacedByCustomXml="prev"/>
    <w:p w:rsidR="00FB1954" w:rsidRPr="00600ED9" w:rsidRDefault="00FB1954" w:rsidP="00FB1954">
      <w:pPr>
        <w:spacing w:after="0" w:line="240" w:lineRule="auto"/>
        <w:jc w:val="both"/>
        <w:rPr>
          <w:sz w:val="32"/>
          <w:szCs w:val="20"/>
        </w:rPr>
      </w:pPr>
    </w:p>
    <w:p w:rsidR="005429A6" w:rsidRPr="00600ED9" w:rsidRDefault="00AF060B" w:rsidP="00FB1954">
      <w:pPr>
        <w:spacing w:after="0" w:line="240" w:lineRule="auto"/>
        <w:jc w:val="both"/>
        <w:rPr>
          <w:szCs w:val="20"/>
        </w:rPr>
      </w:pPr>
      <w:r w:rsidRPr="00600ED9">
        <w:rPr>
          <w:szCs w:val="20"/>
        </w:rPr>
        <w:t>E</w:t>
      </w:r>
      <w:r w:rsidR="00A26130" w:rsidRPr="00600ED9">
        <w:rPr>
          <w:szCs w:val="20"/>
        </w:rPr>
        <w:t>n e</w:t>
      </w:r>
      <w:r w:rsidR="00882C58" w:rsidRPr="00600ED9">
        <w:rPr>
          <w:szCs w:val="20"/>
        </w:rPr>
        <w:t xml:space="preserve">sta sección </w:t>
      </w:r>
      <w:r w:rsidR="00A26130" w:rsidRPr="00600ED9">
        <w:rPr>
          <w:szCs w:val="20"/>
        </w:rPr>
        <w:t xml:space="preserve">se </w:t>
      </w:r>
      <w:r w:rsidRPr="00600ED9">
        <w:rPr>
          <w:szCs w:val="20"/>
        </w:rPr>
        <w:t>presenta</w:t>
      </w:r>
      <w:r w:rsidR="00A26130" w:rsidRPr="00600ED9">
        <w:rPr>
          <w:szCs w:val="20"/>
        </w:rPr>
        <w:t>n</w:t>
      </w:r>
      <w:r w:rsidR="00882C58" w:rsidRPr="00600ED9">
        <w:rPr>
          <w:szCs w:val="20"/>
        </w:rPr>
        <w:t xml:space="preserve"> </w:t>
      </w:r>
      <w:r w:rsidR="00DE7023" w:rsidRPr="00600ED9">
        <w:rPr>
          <w:szCs w:val="20"/>
        </w:rPr>
        <w:t xml:space="preserve">de manera individual para cada indicador, </w:t>
      </w:r>
      <w:r w:rsidR="00882C58" w:rsidRPr="00600ED9">
        <w:rPr>
          <w:szCs w:val="20"/>
        </w:rPr>
        <w:t>los resultados del d</w:t>
      </w:r>
      <w:r w:rsidRPr="00600ED9">
        <w:rPr>
          <w:szCs w:val="20"/>
        </w:rPr>
        <w:t xml:space="preserve">iagnóstico de los siete dominios que </w:t>
      </w:r>
      <w:r w:rsidR="00175540" w:rsidRPr="00600ED9">
        <w:rPr>
          <w:szCs w:val="20"/>
        </w:rPr>
        <w:t>representan el desempeño de</w:t>
      </w:r>
      <w:r w:rsidRPr="00600ED9">
        <w:rPr>
          <w:szCs w:val="20"/>
        </w:rPr>
        <w:t xml:space="preserve"> </w:t>
      </w:r>
      <w:r w:rsidR="00175540" w:rsidRPr="00600ED9">
        <w:rPr>
          <w:szCs w:val="20"/>
        </w:rPr>
        <w:t>la CGRC, a través de la aplicación de los indicadores definidos en el MMD-EFS.</w:t>
      </w:r>
    </w:p>
    <w:p w:rsidR="001D5594" w:rsidRPr="00600ED9" w:rsidRDefault="001D5594" w:rsidP="00FB1954">
      <w:pPr>
        <w:spacing w:after="0" w:line="240" w:lineRule="auto"/>
        <w:rPr>
          <w:b/>
          <w:bCs/>
          <w:sz w:val="24"/>
        </w:rPr>
      </w:pPr>
    </w:p>
    <w:p w:rsidR="000008E1" w:rsidRPr="00600ED9" w:rsidRDefault="00720E42" w:rsidP="00233205">
      <w:pPr>
        <w:pStyle w:val="Heading1"/>
        <w:numPr>
          <w:ilvl w:val="1"/>
          <w:numId w:val="43"/>
        </w:numPr>
        <w:spacing w:line="240" w:lineRule="auto"/>
        <w:ind w:left="567" w:hanging="567"/>
        <w:rPr>
          <w:noProof w:val="0"/>
        </w:rPr>
      </w:pPr>
      <w:bookmarkStart w:id="13" w:name="_Toc295932905"/>
      <w:r w:rsidRPr="00600ED9">
        <w:rPr>
          <w:noProof w:val="0"/>
        </w:rPr>
        <w:t xml:space="preserve">Dominio A: </w:t>
      </w:r>
      <w:r w:rsidR="00CD3B72" w:rsidRPr="00600ED9">
        <w:rPr>
          <w:noProof w:val="0"/>
        </w:rPr>
        <w:t>Desempeño de la EFS</w:t>
      </w:r>
      <w:bookmarkEnd w:id="13"/>
    </w:p>
    <w:p w:rsidR="0019150D" w:rsidRPr="00600ED9" w:rsidRDefault="0019150D" w:rsidP="00FB1954">
      <w:pPr>
        <w:pStyle w:val="NoSpacing"/>
        <w:rPr>
          <w:sz w:val="24"/>
          <w:lang w:val="es-ES_tradnl"/>
        </w:rPr>
      </w:pPr>
    </w:p>
    <w:p w:rsidR="006B7BBA" w:rsidRPr="00600ED9" w:rsidRDefault="00A26130" w:rsidP="00FB1954">
      <w:pPr>
        <w:pStyle w:val="NoSpacing"/>
        <w:ind w:left="567"/>
        <w:jc w:val="both"/>
        <w:rPr>
          <w:lang w:val="es-ES_tradnl"/>
        </w:rPr>
      </w:pPr>
      <w:r w:rsidRPr="00600ED9">
        <w:rPr>
          <w:rFonts w:cs="Arial"/>
          <w:szCs w:val="24"/>
          <w:lang w:val="es-ES_tradnl"/>
        </w:rPr>
        <w:t>Este dominio</w:t>
      </w:r>
      <w:r w:rsidR="000008E1" w:rsidRPr="00600ED9">
        <w:rPr>
          <w:rFonts w:cs="Arial"/>
          <w:szCs w:val="24"/>
          <w:lang w:val="es-ES_tradnl"/>
        </w:rPr>
        <w:t xml:space="preserve"> </w:t>
      </w:r>
      <w:r w:rsidRPr="00600ED9">
        <w:rPr>
          <w:rFonts w:cs="Arial"/>
          <w:szCs w:val="24"/>
          <w:lang w:val="es-ES_tradnl"/>
        </w:rPr>
        <w:t>analiza</w:t>
      </w:r>
      <w:r w:rsidR="000008E1" w:rsidRPr="00600ED9">
        <w:rPr>
          <w:rFonts w:cs="Arial"/>
          <w:szCs w:val="24"/>
          <w:lang w:val="es-ES_tradnl"/>
        </w:rPr>
        <w:t xml:space="preserve"> los indicad</w:t>
      </w:r>
      <w:r w:rsidR="001D5594" w:rsidRPr="00600ED9">
        <w:rPr>
          <w:rFonts w:cs="Arial"/>
          <w:szCs w:val="24"/>
          <w:lang w:val="es-ES_tradnl"/>
        </w:rPr>
        <w:t xml:space="preserve">ores EFS-1 a EFS-5 del MMD-EFS </w:t>
      </w:r>
      <w:r w:rsidR="000008E1" w:rsidRPr="00600ED9">
        <w:rPr>
          <w:rFonts w:cs="Arial"/>
          <w:szCs w:val="24"/>
          <w:lang w:val="es-ES_tradnl"/>
        </w:rPr>
        <w:t xml:space="preserve">que valoran de forma conjunta </w:t>
      </w:r>
      <w:r w:rsidR="00061D03" w:rsidRPr="00600ED9">
        <w:rPr>
          <w:lang w:val="es-ES_tradnl"/>
        </w:rPr>
        <w:t>el alcance, presentación, publicación y diseminación de informes y el seguimiento de las recomendaciones de  la auditoría financiera, de cumplimiento y de desempeño</w:t>
      </w:r>
      <w:r w:rsidR="00B14E93" w:rsidRPr="00600ED9">
        <w:rPr>
          <w:lang w:val="es-ES_tradnl"/>
        </w:rPr>
        <w:t>, y la forma en que la CGRC informa sobre su desempeño a los grupos de interés</w:t>
      </w:r>
      <w:r w:rsidR="00367E2D" w:rsidRPr="00600ED9">
        <w:rPr>
          <w:lang w:val="es-ES_tradnl"/>
        </w:rPr>
        <w:t>.</w:t>
      </w:r>
    </w:p>
    <w:p w:rsidR="001D5594" w:rsidRPr="00600ED9" w:rsidRDefault="001D5594" w:rsidP="00FB1954">
      <w:pPr>
        <w:pStyle w:val="NoSpacing"/>
        <w:rPr>
          <w:szCs w:val="20"/>
          <w:lang w:val="es-ES_tradnl"/>
        </w:rPr>
      </w:pPr>
    </w:p>
    <w:p w:rsidR="00720E42" w:rsidRPr="00600ED9" w:rsidRDefault="00FC6FE0" w:rsidP="00FB1954">
      <w:pPr>
        <w:pStyle w:val="Heading2"/>
        <w:tabs>
          <w:tab w:val="left" w:pos="567"/>
        </w:tabs>
        <w:spacing w:before="0" w:line="240" w:lineRule="auto"/>
        <w:ind w:hanging="513"/>
      </w:pPr>
      <w:bookmarkStart w:id="14" w:name="_Toc295932906"/>
      <w:r w:rsidRPr="00600ED9">
        <w:t xml:space="preserve">EFS </w:t>
      </w:r>
      <w:r w:rsidR="00720E42" w:rsidRPr="00600ED9">
        <w:t xml:space="preserve">1 – Resultados de la </w:t>
      </w:r>
      <w:r w:rsidR="00F168A0" w:rsidRPr="00600ED9">
        <w:t>A</w:t>
      </w:r>
      <w:r w:rsidR="00720E42" w:rsidRPr="00600ED9">
        <w:t xml:space="preserve">uditoría </w:t>
      </w:r>
      <w:r w:rsidR="00F168A0" w:rsidRPr="00600ED9">
        <w:t>F</w:t>
      </w:r>
      <w:r w:rsidR="00720E42" w:rsidRPr="00600ED9">
        <w:t>inanciera</w:t>
      </w:r>
      <w:bookmarkEnd w:id="14"/>
    </w:p>
    <w:p w:rsidR="00056AFC" w:rsidRPr="00600ED9" w:rsidRDefault="00056AFC" w:rsidP="00FB1954">
      <w:pPr>
        <w:pStyle w:val="NoSpacing"/>
        <w:rPr>
          <w:sz w:val="24"/>
          <w:lang w:val="es-ES_tradnl"/>
        </w:rPr>
      </w:pPr>
    </w:p>
    <w:tbl>
      <w:tblPr>
        <w:tblW w:w="8332" w:type="dxa"/>
        <w:tblInd w:w="720" w:type="dxa"/>
        <w:tblCellMar>
          <w:left w:w="70" w:type="dxa"/>
          <w:right w:w="70" w:type="dxa"/>
        </w:tblCellMar>
        <w:tblLook w:val="04A0" w:firstRow="1" w:lastRow="0" w:firstColumn="1" w:lastColumn="0" w:noHBand="0" w:noVBand="1"/>
      </w:tblPr>
      <w:tblGrid>
        <w:gridCol w:w="2257"/>
        <w:gridCol w:w="1055"/>
        <w:gridCol w:w="1258"/>
        <w:gridCol w:w="1260"/>
        <w:gridCol w:w="1439"/>
        <w:gridCol w:w="158"/>
        <w:gridCol w:w="1085"/>
      </w:tblGrid>
      <w:tr w:rsidR="008B29FE" w:rsidRPr="00600ED9" w:rsidTr="00A06F21">
        <w:trPr>
          <w:trHeight w:val="187"/>
        </w:trPr>
        <w:tc>
          <w:tcPr>
            <w:tcW w:w="2257" w:type="dxa"/>
            <w:tcBorders>
              <w:top w:val="nil"/>
              <w:left w:val="nil"/>
              <w:bottom w:val="nil"/>
              <w:right w:val="nil"/>
            </w:tcBorders>
            <w:shd w:val="clear" w:color="auto" w:fill="auto"/>
            <w:noWrap/>
            <w:vAlign w:val="bottom"/>
            <w:hideMark/>
          </w:tcPr>
          <w:p w:rsidR="008B29FE" w:rsidRPr="00600ED9" w:rsidRDefault="008B29FE" w:rsidP="00FB1954">
            <w:pPr>
              <w:pStyle w:val="NoSpacing"/>
              <w:tabs>
                <w:tab w:val="center" w:pos="4680"/>
                <w:tab w:val="right" w:pos="9360"/>
              </w:tabs>
              <w:jc w:val="center"/>
              <w:rPr>
                <w:sz w:val="20"/>
                <w:szCs w:val="20"/>
                <w:lang w:val="es-ES_tradnl"/>
              </w:rPr>
            </w:pPr>
          </w:p>
        </w:tc>
        <w:tc>
          <w:tcPr>
            <w:tcW w:w="4832" w:type="dxa"/>
            <w:gridSpan w:val="4"/>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8B29FE" w:rsidRPr="00600ED9" w:rsidRDefault="008B29FE" w:rsidP="00FB1954">
            <w:pPr>
              <w:pStyle w:val="NoSpacing"/>
              <w:jc w:val="center"/>
              <w:rPr>
                <w:b/>
                <w:bCs/>
                <w:sz w:val="20"/>
                <w:szCs w:val="20"/>
                <w:lang w:val="es-ES_tradnl"/>
              </w:rPr>
            </w:pPr>
            <w:r w:rsidRPr="00600ED9">
              <w:rPr>
                <w:b/>
                <w:bCs/>
                <w:sz w:val="20"/>
                <w:szCs w:val="20"/>
                <w:lang w:val="es-ES_tradnl"/>
              </w:rPr>
              <w:t>Dimensiones Evaluadas</w:t>
            </w:r>
          </w:p>
        </w:tc>
        <w:tc>
          <w:tcPr>
            <w:tcW w:w="158" w:type="dxa"/>
            <w:tcBorders>
              <w:top w:val="nil"/>
              <w:left w:val="nil"/>
              <w:bottom w:val="nil"/>
              <w:right w:val="nil"/>
            </w:tcBorders>
            <w:shd w:val="clear" w:color="auto" w:fill="auto"/>
            <w:noWrap/>
            <w:vAlign w:val="bottom"/>
            <w:hideMark/>
          </w:tcPr>
          <w:p w:rsidR="008B29FE" w:rsidRPr="00600ED9" w:rsidRDefault="008B29FE" w:rsidP="00FB1954">
            <w:pPr>
              <w:pStyle w:val="NoSpacing"/>
              <w:tabs>
                <w:tab w:val="center" w:pos="4680"/>
                <w:tab w:val="right" w:pos="9360"/>
              </w:tabs>
              <w:jc w:val="center"/>
              <w:rPr>
                <w:sz w:val="20"/>
                <w:szCs w:val="20"/>
                <w:lang w:val="es-ES_tradnl"/>
              </w:rPr>
            </w:pPr>
          </w:p>
        </w:tc>
        <w:tc>
          <w:tcPr>
            <w:tcW w:w="1085" w:type="dxa"/>
            <w:vMerge w:val="restart"/>
            <w:tcBorders>
              <w:top w:val="single" w:sz="4" w:space="0" w:color="auto"/>
              <w:left w:val="single" w:sz="4" w:space="0" w:color="auto"/>
              <w:bottom w:val="single" w:sz="4" w:space="0" w:color="auto"/>
              <w:right w:val="single" w:sz="4" w:space="0" w:color="auto"/>
            </w:tcBorders>
            <w:shd w:val="clear" w:color="000000" w:fill="95B3D7"/>
            <w:vAlign w:val="center"/>
            <w:hideMark/>
          </w:tcPr>
          <w:p w:rsidR="008B29FE" w:rsidRPr="00600ED9" w:rsidRDefault="008B29FE" w:rsidP="00FB1954">
            <w:pPr>
              <w:pStyle w:val="NoSpacing"/>
              <w:jc w:val="center"/>
              <w:rPr>
                <w:b/>
                <w:bCs/>
                <w:sz w:val="20"/>
                <w:szCs w:val="20"/>
                <w:lang w:val="es-ES_tradnl"/>
              </w:rPr>
            </w:pPr>
            <w:r w:rsidRPr="00600ED9">
              <w:rPr>
                <w:b/>
                <w:bCs/>
                <w:sz w:val="20"/>
                <w:szCs w:val="20"/>
                <w:lang w:val="es-ES_tradnl"/>
              </w:rPr>
              <w:t>Puntuación General</w:t>
            </w:r>
          </w:p>
        </w:tc>
      </w:tr>
      <w:tr w:rsidR="008B29FE" w:rsidRPr="00600ED9" w:rsidTr="00A06F21">
        <w:trPr>
          <w:trHeight w:val="390"/>
        </w:trPr>
        <w:tc>
          <w:tcPr>
            <w:tcW w:w="2257"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8B29FE" w:rsidRPr="00600ED9" w:rsidRDefault="008B29FE" w:rsidP="00FB1954">
            <w:pPr>
              <w:pStyle w:val="NoSpacing"/>
              <w:jc w:val="center"/>
              <w:rPr>
                <w:b/>
                <w:bCs/>
                <w:sz w:val="20"/>
                <w:szCs w:val="20"/>
                <w:lang w:val="es-ES_tradnl"/>
              </w:rPr>
            </w:pPr>
            <w:r w:rsidRPr="00600ED9">
              <w:rPr>
                <w:b/>
                <w:bCs/>
                <w:sz w:val="20"/>
                <w:szCs w:val="20"/>
                <w:lang w:val="es-ES_tradnl"/>
              </w:rPr>
              <w:t>Indicadores</w:t>
            </w:r>
          </w:p>
        </w:tc>
        <w:tc>
          <w:tcPr>
            <w:tcW w:w="1055" w:type="dxa"/>
            <w:tcBorders>
              <w:top w:val="nil"/>
              <w:left w:val="nil"/>
              <w:bottom w:val="single" w:sz="4" w:space="0" w:color="auto"/>
              <w:right w:val="single" w:sz="4" w:space="0" w:color="auto"/>
            </w:tcBorders>
            <w:shd w:val="clear" w:color="000000" w:fill="D8D8D8"/>
            <w:noWrap/>
            <w:hideMark/>
          </w:tcPr>
          <w:p w:rsidR="00683FE2" w:rsidRPr="00600ED9" w:rsidRDefault="00F03116" w:rsidP="00FB1954">
            <w:pPr>
              <w:pStyle w:val="NoSpacing"/>
              <w:jc w:val="center"/>
              <w:rPr>
                <w:b/>
                <w:bCs/>
                <w:w w:val="90"/>
                <w:sz w:val="20"/>
                <w:szCs w:val="20"/>
                <w:lang w:val="es-ES_tradnl"/>
              </w:rPr>
            </w:pPr>
            <w:r w:rsidRPr="00600ED9">
              <w:rPr>
                <w:b/>
                <w:bCs/>
                <w:w w:val="90"/>
                <w:sz w:val="20"/>
                <w:szCs w:val="20"/>
                <w:lang w:val="es-ES_tradnl"/>
              </w:rPr>
              <w:t>(i)</w:t>
            </w:r>
          </w:p>
          <w:p w:rsidR="008B29FE" w:rsidRPr="00600ED9" w:rsidRDefault="008B29FE" w:rsidP="00FB1954">
            <w:pPr>
              <w:pStyle w:val="NoSpacing"/>
              <w:jc w:val="center"/>
              <w:rPr>
                <w:b/>
                <w:bCs/>
                <w:sz w:val="20"/>
                <w:szCs w:val="20"/>
                <w:lang w:val="es-ES_tradnl"/>
              </w:rPr>
            </w:pPr>
            <w:r w:rsidRPr="00600ED9">
              <w:rPr>
                <w:bCs/>
                <w:w w:val="90"/>
                <w:sz w:val="20"/>
                <w:szCs w:val="20"/>
                <w:lang w:val="es-ES_tradnl"/>
              </w:rPr>
              <w:t>Alcance de la auditoría financiera</w:t>
            </w:r>
          </w:p>
        </w:tc>
        <w:tc>
          <w:tcPr>
            <w:tcW w:w="1258" w:type="dxa"/>
            <w:tcBorders>
              <w:top w:val="nil"/>
              <w:left w:val="nil"/>
              <w:bottom w:val="single" w:sz="4" w:space="0" w:color="auto"/>
              <w:right w:val="single" w:sz="4" w:space="0" w:color="auto"/>
            </w:tcBorders>
            <w:shd w:val="clear" w:color="000000" w:fill="D8D8D8"/>
            <w:noWrap/>
            <w:hideMark/>
          </w:tcPr>
          <w:p w:rsidR="00683FE2" w:rsidRPr="00600ED9" w:rsidRDefault="00F03116" w:rsidP="00FB1954">
            <w:pPr>
              <w:pStyle w:val="NoSpacing"/>
              <w:jc w:val="center"/>
              <w:rPr>
                <w:b/>
                <w:bCs/>
                <w:w w:val="90"/>
                <w:sz w:val="20"/>
                <w:szCs w:val="20"/>
                <w:lang w:val="es-ES_tradnl"/>
              </w:rPr>
            </w:pPr>
            <w:r w:rsidRPr="00600ED9">
              <w:rPr>
                <w:b/>
                <w:bCs/>
                <w:w w:val="90"/>
                <w:sz w:val="20"/>
                <w:szCs w:val="20"/>
                <w:lang w:val="es-ES_tradnl"/>
              </w:rPr>
              <w:t>(ii)</w:t>
            </w:r>
          </w:p>
          <w:p w:rsidR="008B29FE" w:rsidRPr="00600ED9" w:rsidRDefault="008B29FE" w:rsidP="00FB1954">
            <w:pPr>
              <w:pStyle w:val="NoSpacing"/>
              <w:jc w:val="center"/>
              <w:rPr>
                <w:b/>
                <w:bCs/>
                <w:sz w:val="20"/>
                <w:szCs w:val="20"/>
                <w:lang w:val="es-ES_tradnl"/>
              </w:rPr>
            </w:pPr>
            <w:r w:rsidRPr="00600ED9">
              <w:rPr>
                <w:bCs/>
                <w:w w:val="90"/>
                <w:sz w:val="20"/>
                <w:szCs w:val="20"/>
                <w:lang w:val="es-ES_tradnl"/>
              </w:rPr>
              <w:t>Presentación de los resultados de la auditoría financiera</w:t>
            </w:r>
          </w:p>
        </w:tc>
        <w:tc>
          <w:tcPr>
            <w:tcW w:w="1260" w:type="dxa"/>
            <w:tcBorders>
              <w:top w:val="nil"/>
              <w:left w:val="nil"/>
              <w:bottom w:val="single" w:sz="4" w:space="0" w:color="auto"/>
              <w:right w:val="single" w:sz="4" w:space="0" w:color="auto"/>
            </w:tcBorders>
            <w:shd w:val="clear" w:color="000000" w:fill="D8D8D8"/>
            <w:noWrap/>
            <w:hideMark/>
          </w:tcPr>
          <w:p w:rsidR="00683FE2" w:rsidRPr="00600ED9" w:rsidRDefault="00F03116" w:rsidP="00FB1954">
            <w:pPr>
              <w:pStyle w:val="NoSpacing"/>
              <w:jc w:val="center"/>
              <w:rPr>
                <w:b/>
                <w:bCs/>
                <w:w w:val="90"/>
                <w:sz w:val="20"/>
                <w:szCs w:val="20"/>
                <w:lang w:val="es-ES_tradnl"/>
              </w:rPr>
            </w:pPr>
            <w:r w:rsidRPr="00600ED9">
              <w:rPr>
                <w:b/>
                <w:bCs/>
                <w:w w:val="90"/>
                <w:sz w:val="20"/>
                <w:szCs w:val="20"/>
                <w:lang w:val="es-ES_tradnl"/>
              </w:rPr>
              <w:t>(iii)</w:t>
            </w:r>
          </w:p>
          <w:p w:rsidR="008B29FE" w:rsidRPr="00600ED9" w:rsidRDefault="008B29FE" w:rsidP="00FB1954">
            <w:pPr>
              <w:pStyle w:val="NoSpacing"/>
              <w:jc w:val="center"/>
              <w:rPr>
                <w:bCs/>
                <w:w w:val="90"/>
                <w:sz w:val="20"/>
                <w:szCs w:val="20"/>
                <w:lang w:val="es-ES_tradnl"/>
              </w:rPr>
            </w:pPr>
            <w:r w:rsidRPr="00600ED9">
              <w:rPr>
                <w:bCs/>
                <w:w w:val="90"/>
                <w:sz w:val="20"/>
                <w:szCs w:val="20"/>
                <w:lang w:val="es-ES_tradnl"/>
              </w:rPr>
              <w:t>Publicación y difusión de los resultados de la auditoría financiera</w:t>
            </w:r>
          </w:p>
        </w:tc>
        <w:tc>
          <w:tcPr>
            <w:tcW w:w="1259" w:type="dxa"/>
            <w:tcBorders>
              <w:top w:val="nil"/>
              <w:left w:val="nil"/>
              <w:bottom w:val="single" w:sz="4" w:space="0" w:color="auto"/>
              <w:right w:val="single" w:sz="4" w:space="0" w:color="auto"/>
            </w:tcBorders>
            <w:shd w:val="clear" w:color="000000" w:fill="D8D8D8"/>
            <w:noWrap/>
            <w:hideMark/>
          </w:tcPr>
          <w:p w:rsidR="00683FE2" w:rsidRPr="00600ED9" w:rsidRDefault="00F03116" w:rsidP="00FB1954">
            <w:pPr>
              <w:pStyle w:val="NoSpacing"/>
              <w:jc w:val="center"/>
              <w:rPr>
                <w:b/>
                <w:bCs/>
                <w:w w:val="90"/>
                <w:sz w:val="20"/>
                <w:szCs w:val="20"/>
                <w:lang w:val="es-ES_tradnl"/>
              </w:rPr>
            </w:pPr>
            <w:r w:rsidRPr="00600ED9">
              <w:rPr>
                <w:b/>
                <w:bCs/>
                <w:w w:val="90"/>
                <w:sz w:val="20"/>
                <w:szCs w:val="20"/>
                <w:lang w:val="es-ES_tradnl"/>
              </w:rPr>
              <w:t>(iv)</w:t>
            </w:r>
          </w:p>
          <w:p w:rsidR="008B29FE" w:rsidRPr="00600ED9" w:rsidRDefault="008B29FE" w:rsidP="00FB1954">
            <w:pPr>
              <w:pStyle w:val="NoSpacing"/>
              <w:jc w:val="center"/>
              <w:rPr>
                <w:b/>
                <w:bCs/>
                <w:sz w:val="20"/>
                <w:szCs w:val="20"/>
                <w:lang w:val="es-ES_tradnl"/>
              </w:rPr>
            </w:pPr>
            <w:r w:rsidRPr="00600ED9">
              <w:rPr>
                <w:bCs/>
                <w:w w:val="90"/>
                <w:sz w:val="20"/>
                <w:szCs w:val="20"/>
                <w:lang w:val="es-ES_tradnl"/>
              </w:rPr>
              <w:t>Seguimiento a observaciones y recomendaciones derivadas de la auditoría</w:t>
            </w:r>
          </w:p>
        </w:tc>
        <w:tc>
          <w:tcPr>
            <w:tcW w:w="158" w:type="dxa"/>
            <w:tcBorders>
              <w:top w:val="nil"/>
              <w:left w:val="nil"/>
              <w:bottom w:val="nil"/>
              <w:right w:val="nil"/>
            </w:tcBorders>
            <w:shd w:val="clear" w:color="auto" w:fill="auto"/>
            <w:noWrap/>
            <w:hideMark/>
          </w:tcPr>
          <w:p w:rsidR="008B29FE" w:rsidRPr="00600ED9" w:rsidRDefault="008B29FE" w:rsidP="00FB1954">
            <w:pPr>
              <w:pStyle w:val="NoSpacing"/>
              <w:tabs>
                <w:tab w:val="center" w:pos="4680"/>
                <w:tab w:val="right" w:pos="9360"/>
              </w:tabs>
              <w:jc w:val="center"/>
              <w:rPr>
                <w:sz w:val="20"/>
                <w:szCs w:val="20"/>
                <w:lang w:val="es-ES_tradnl"/>
              </w:rPr>
            </w:pPr>
          </w:p>
        </w:tc>
        <w:tc>
          <w:tcPr>
            <w:tcW w:w="1085" w:type="dxa"/>
            <w:vMerge/>
            <w:tcBorders>
              <w:top w:val="single" w:sz="4" w:space="0" w:color="auto"/>
              <w:left w:val="single" w:sz="4" w:space="0" w:color="auto"/>
              <w:bottom w:val="single" w:sz="4" w:space="0" w:color="auto"/>
              <w:right w:val="single" w:sz="4" w:space="0" w:color="auto"/>
            </w:tcBorders>
            <w:hideMark/>
          </w:tcPr>
          <w:p w:rsidR="008B29FE" w:rsidRPr="00600ED9" w:rsidRDefault="008B29FE" w:rsidP="00FB1954">
            <w:pPr>
              <w:pStyle w:val="NoSpacing"/>
              <w:tabs>
                <w:tab w:val="center" w:pos="4680"/>
                <w:tab w:val="right" w:pos="9360"/>
              </w:tabs>
              <w:jc w:val="center"/>
              <w:rPr>
                <w:b/>
                <w:bCs/>
                <w:sz w:val="20"/>
                <w:szCs w:val="20"/>
                <w:lang w:val="es-ES_tradnl"/>
              </w:rPr>
            </w:pPr>
          </w:p>
        </w:tc>
      </w:tr>
      <w:tr w:rsidR="008B29FE" w:rsidRPr="00600ED9" w:rsidTr="00A06F21">
        <w:trPr>
          <w:trHeight w:val="510"/>
        </w:trPr>
        <w:tc>
          <w:tcPr>
            <w:tcW w:w="2257" w:type="dxa"/>
            <w:tcBorders>
              <w:top w:val="nil"/>
              <w:left w:val="single" w:sz="4" w:space="0" w:color="auto"/>
              <w:bottom w:val="single" w:sz="4" w:space="0" w:color="auto"/>
              <w:right w:val="single" w:sz="4" w:space="0" w:color="auto"/>
            </w:tcBorders>
            <w:shd w:val="clear" w:color="auto" w:fill="auto"/>
            <w:vAlign w:val="center"/>
            <w:hideMark/>
          </w:tcPr>
          <w:p w:rsidR="008B29FE" w:rsidRPr="00600ED9" w:rsidRDefault="008B29FE" w:rsidP="00FB1954">
            <w:pPr>
              <w:pStyle w:val="NoSpacing"/>
              <w:jc w:val="center"/>
              <w:rPr>
                <w:b/>
                <w:bCs/>
                <w:sz w:val="20"/>
                <w:szCs w:val="20"/>
                <w:lang w:val="es-ES_tradnl"/>
              </w:rPr>
            </w:pPr>
            <w:r w:rsidRPr="00600ED9">
              <w:rPr>
                <w:b/>
                <w:bCs/>
                <w:sz w:val="20"/>
                <w:szCs w:val="20"/>
                <w:lang w:val="es-ES_tradnl"/>
              </w:rPr>
              <w:t>EFS 1: Resultados de la Auditoría Financiera</w:t>
            </w:r>
          </w:p>
        </w:tc>
        <w:tc>
          <w:tcPr>
            <w:tcW w:w="1055" w:type="dxa"/>
            <w:tcBorders>
              <w:top w:val="nil"/>
              <w:left w:val="nil"/>
              <w:bottom w:val="single" w:sz="4" w:space="0" w:color="auto"/>
              <w:right w:val="single" w:sz="4" w:space="0" w:color="auto"/>
            </w:tcBorders>
            <w:shd w:val="clear" w:color="auto" w:fill="auto"/>
            <w:noWrap/>
            <w:vAlign w:val="center"/>
          </w:tcPr>
          <w:p w:rsidR="008B29FE" w:rsidRPr="00600ED9" w:rsidRDefault="008B29FE" w:rsidP="00FB1954">
            <w:pPr>
              <w:pStyle w:val="NoSpacing"/>
              <w:jc w:val="center"/>
              <w:rPr>
                <w:b/>
                <w:bCs/>
                <w:sz w:val="20"/>
                <w:szCs w:val="20"/>
                <w:lang w:val="es-ES_tradnl"/>
              </w:rPr>
            </w:pPr>
            <w:r w:rsidRPr="00600ED9">
              <w:rPr>
                <w:b/>
                <w:bCs/>
                <w:sz w:val="20"/>
                <w:szCs w:val="20"/>
                <w:lang w:val="es-ES_tradnl"/>
              </w:rPr>
              <w:t>1</w:t>
            </w:r>
          </w:p>
        </w:tc>
        <w:tc>
          <w:tcPr>
            <w:tcW w:w="1258" w:type="dxa"/>
            <w:tcBorders>
              <w:top w:val="nil"/>
              <w:left w:val="nil"/>
              <w:bottom w:val="single" w:sz="4" w:space="0" w:color="auto"/>
              <w:right w:val="single" w:sz="4" w:space="0" w:color="auto"/>
            </w:tcBorders>
            <w:shd w:val="clear" w:color="auto" w:fill="auto"/>
            <w:noWrap/>
            <w:vAlign w:val="center"/>
          </w:tcPr>
          <w:p w:rsidR="008B29FE" w:rsidRPr="00600ED9" w:rsidRDefault="008B29FE" w:rsidP="00FB1954">
            <w:pPr>
              <w:pStyle w:val="NoSpacing"/>
              <w:jc w:val="center"/>
              <w:rPr>
                <w:b/>
                <w:bCs/>
                <w:sz w:val="20"/>
                <w:szCs w:val="20"/>
                <w:lang w:val="es-ES_tradnl"/>
              </w:rPr>
            </w:pPr>
            <w:r w:rsidRPr="00600ED9">
              <w:rPr>
                <w:b/>
                <w:bCs/>
                <w:sz w:val="20"/>
                <w:szCs w:val="20"/>
                <w:lang w:val="es-ES_tradnl"/>
              </w:rPr>
              <w:t>1</w:t>
            </w:r>
          </w:p>
        </w:tc>
        <w:tc>
          <w:tcPr>
            <w:tcW w:w="1260" w:type="dxa"/>
            <w:tcBorders>
              <w:top w:val="nil"/>
              <w:left w:val="nil"/>
              <w:bottom w:val="single" w:sz="4" w:space="0" w:color="auto"/>
              <w:right w:val="single" w:sz="4" w:space="0" w:color="auto"/>
            </w:tcBorders>
            <w:shd w:val="clear" w:color="auto" w:fill="auto"/>
            <w:noWrap/>
            <w:vAlign w:val="center"/>
          </w:tcPr>
          <w:p w:rsidR="008B29FE" w:rsidRPr="00600ED9" w:rsidRDefault="008B29FE" w:rsidP="00FB1954">
            <w:pPr>
              <w:pStyle w:val="NoSpacing"/>
              <w:jc w:val="center"/>
              <w:rPr>
                <w:b/>
                <w:bCs/>
                <w:sz w:val="20"/>
                <w:szCs w:val="20"/>
                <w:lang w:val="es-ES_tradnl"/>
              </w:rPr>
            </w:pPr>
            <w:r w:rsidRPr="00600ED9">
              <w:rPr>
                <w:b/>
                <w:bCs/>
                <w:sz w:val="20"/>
                <w:szCs w:val="20"/>
                <w:lang w:val="es-ES_tradnl"/>
              </w:rPr>
              <w:t>1</w:t>
            </w:r>
          </w:p>
        </w:tc>
        <w:tc>
          <w:tcPr>
            <w:tcW w:w="1259" w:type="dxa"/>
            <w:tcBorders>
              <w:top w:val="nil"/>
              <w:left w:val="nil"/>
              <w:bottom w:val="single" w:sz="4" w:space="0" w:color="auto"/>
              <w:right w:val="single" w:sz="4" w:space="0" w:color="auto"/>
            </w:tcBorders>
            <w:shd w:val="clear" w:color="auto" w:fill="auto"/>
            <w:noWrap/>
            <w:vAlign w:val="center"/>
          </w:tcPr>
          <w:p w:rsidR="008B29FE" w:rsidRPr="00600ED9" w:rsidRDefault="008B29FE" w:rsidP="00FB1954">
            <w:pPr>
              <w:pStyle w:val="NoSpacing"/>
              <w:jc w:val="center"/>
              <w:rPr>
                <w:b/>
                <w:bCs/>
                <w:sz w:val="20"/>
                <w:szCs w:val="20"/>
                <w:lang w:val="es-ES_tradnl"/>
              </w:rPr>
            </w:pPr>
            <w:r w:rsidRPr="00600ED9">
              <w:rPr>
                <w:b/>
                <w:bCs/>
                <w:sz w:val="20"/>
                <w:szCs w:val="20"/>
                <w:lang w:val="es-ES_tradnl"/>
              </w:rPr>
              <w:t>1</w:t>
            </w:r>
          </w:p>
        </w:tc>
        <w:tc>
          <w:tcPr>
            <w:tcW w:w="158" w:type="dxa"/>
            <w:tcBorders>
              <w:top w:val="nil"/>
              <w:left w:val="nil"/>
              <w:bottom w:val="nil"/>
              <w:right w:val="nil"/>
            </w:tcBorders>
            <w:shd w:val="clear" w:color="auto" w:fill="auto"/>
            <w:noWrap/>
            <w:vAlign w:val="bottom"/>
          </w:tcPr>
          <w:p w:rsidR="008B29FE" w:rsidRPr="00600ED9" w:rsidRDefault="008B29FE" w:rsidP="00FB1954">
            <w:pPr>
              <w:pStyle w:val="NoSpacing"/>
              <w:tabs>
                <w:tab w:val="center" w:pos="4680"/>
                <w:tab w:val="right" w:pos="9360"/>
              </w:tabs>
              <w:jc w:val="center"/>
              <w:rPr>
                <w:sz w:val="20"/>
                <w:szCs w:val="20"/>
                <w:lang w:val="es-ES_tradnl"/>
              </w:rPr>
            </w:pPr>
          </w:p>
        </w:tc>
        <w:tc>
          <w:tcPr>
            <w:tcW w:w="1085" w:type="dxa"/>
            <w:tcBorders>
              <w:top w:val="nil"/>
              <w:left w:val="single" w:sz="4" w:space="0" w:color="auto"/>
              <w:bottom w:val="single" w:sz="4" w:space="0" w:color="auto"/>
              <w:right w:val="single" w:sz="4" w:space="0" w:color="auto"/>
            </w:tcBorders>
            <w:shd w:val="clear" w:color="auto" w:fill="auto"/>
            <w:noWrap/>
            <w:vAlign w:val="center"/>
          </w:tcPr>
          <w:p w:rsidR="008B29FE" w:rsidRPr="00600ED9" w:rsidRDefault="008B29FE" w:rsidP="00FB1954">
            <w:pPr>
              <w:pStyle w:val="NoSpacing"/>
              <w:jc w:val="center"/>
              <w:rPr>
                <w:b/>
                <w:sz w:val="20"/>
                <w:szCs w:val="20"/>
                <w:lang w:val="es-ES_tradnl"/>
              </w:rPr>
            </w:pPr>
            <w:r w:rsidRPr="00600ED9">
              <w:rPr>
                <w:b/>
                <w:sz w:val="20"/>
                <w:szCs w:val="20"/>
                <w:lang w:val="es-ES_tradnl"/>
              </w:rPr>
              <w:t>1</w:t>
            </w:r>
          </w:p>
        </w:tc>
      </w:tr>
    </w:tbl>
    <w:p w:rsidR="00FB1954" w:rsidRPr="00600ED9" w:rsidRDefault="00FB1954" w:rsidP="00FB1954">
      <w:pPr>
        <w:spacing w:after="0" w:line="240" w:lineRule="auto"/>
        <w:ind w:left="720"/>
        <w:jc w:val="both"/>
        <w:rPr>
          <w:sz w:val="24"/>
          <w:szCs w:val="24"/>
        </w:rPr>
      </w:pPr>
    </w:p>
    <w:p w:rsidR="006B7BBA" w:rsidRPr="00600ED9" w:rsidRDefault="009826C0" w:rsidP="00FB1954">
      <w:pPr>
        <w:spacing w:after="0" w:line="240" w:lineRule="auto"/>
        <w:ind w:left="720"/>
        <w:jc w:val="both"/>
        <w:rPr>
          <w:szCs w:val="24"/>
        </w:rPr>
      </w:pPr>
      <w:r w:rsidRPr="00600ED9">
        <w:rPr>
          <w:szCs w:val="24"/>
        </w:rPr>
        <w:t>El marco normativo y procedimental de la CGRC</w:t>
      </w:r>
      <w:r w:rsidRPr="00600ED9">
        <w:rPr>
          <w:rStyle w:val="FootnoteReference"/>
          <w:szCs w:val="24"/>
        </w:rPr>
        <w:footnoteReference w:id="13"/>
      </w:r>
      <w:r w:rsidR="004255A8" w:rsidRPr="00600ED9">
        <w:rPr>
          <w:szCs w:val="24"/>
        </w:rPr>
        <w:t xml:space="preserve"> para </w:t>
      </w:r>
      <w:r w:rsidR="00521B1A" w:rsidRPr="00600ED9">
        <w:rPr>
          <w:szCs w:val="24"/>
        </w:rPr>
        <w:t>el desarrollo</w:t>
      </w:r>
      <w:r w:rsidR="004255A8" w:rsidRPr="00600ED9">
        <w:rPr>
          <w:szCs w:val="24"/>
        </w:rPr>
        <w:t xml:space="preserve"> de las auditorías gubernamentales con enfoque integral</w:t>
      </w:r>
      <w:r w:rsidR="001111B7" w:rsidRPr="00600ED9">
        <w:rPr>
          <w:szCs w:val="24"/>
        </w:rPr>
        <w:t>,</w:t>
      </w:r>
      <w:r w:rsidR="004255A8" w:rsidRPr="00600ED9">
        <w:rPr>
          <w:szCs w:val="24"/>
        </w:rPr>
        <w:t xml:space="preserve"> </w:t>
      </w:r>
      <w:r w:rsidRPr="00600ED9">
        <w:rPr>
          <w:szCs w:val="24"/>
        </w:rPr>
        <w:t>incorpora la Auditoría Financiera</w:t>
      </w:r>
      <w:r w:rsidR="004255A8" w:rsidRPr="00600ED9">
        <w:rPr>
          <w:szCs w:val="24"/>
        </w:rPr>
        <w:t>.</w:t>
      </w:r>
      <w:r w:rsidR="004528F8" w:rsidRPr="00600ED9">
        <w:rPr>
          <w:szCs w:val="24"/>
        </w:rPr>
        <w:t xml:space="preserve"> </w:t>
      </w:r>
    </w:p>
    <w:p w:rsidR="00FB1954" w:rsidRPr="00600ED9" w:rsidRDefault="00FB1954" w:rsidP="00FB1954">
      <w:pPr>
        <w:spacing w:after="0" w:line="240" w:lineRule="auto"/>
        <w:ind w:left="720"/>
        <w:jc w:val="both"/>
        <w:rPr>
          <w:szCs w:val="24"/>
        </w:rPr>
      </w:pPr>
    </w:p>
    <w:p w:rsidR="009826C0" w:rsidRPr="00600ED9" w:rsidRDefault="009826C0" w:rsidP="00FB1954">
      <w:pPr>
        <w:spacing w:after="0" w:line="240" w:lineRule="auto"/>
        <w:ind w:left="720"/>
        <w:jc w:val="both"/>
        <w:rPr>
          <w:szCs w:val="24"/>
        </w:rPr>
      </w:pPr>
      <w:r w:rsidRPr="00600ED9">
        <w:rPr>
          <w:szCs w:val="24"/>
        </w:rPr>
        <w:t>De acuerdo con el marco legal, la CGRC no está obligada a auditar el 100% de los estados financieros</w:t>
      </w:r>
      <w:r w:rsidR="00145347" w:rsidRPr="00600ED9">
        <w:rPr>
          <w:szCs w:val="24"/>
        </w:rPr>
        <w:t xml:space="preserve"> de los  “Entes  Principales”</w:t>
      </w:r>
      <w:r w:rsidR="00145347" w:rsidRPr="00600ED9">
        <w:rPr>
          <w:rStyle w:val="FootnoteReference"/>
          <w:szCs w:val="24"/>
        </w:rPr>
        <w:footnoteReference w:id="14"/>
      </w:r>
      <w:r w:rsidR="00145347" w:rsidRPr="00600ED9">
        <w:rPr>
          <w:szCs w:val="24"/>
        </w:rPr>
        <w:t xml:space="preserve">. En los últimos tres años, la CGRC ha auditado en promedio el </w:t>
      </w:r>
      <w:r w:rsidR="00145347" w:rsidRPr="00600ED9">
        <w:rPr>
          <w:b/>
          <w:szCs w:val="24"/>
        </w:rPr>
        <w:t>33%</w:t>
      </w:r>
      <w:r w:rsidR="00145347" w:rsidRPr="00600ED9">
        <w:rPr>
          <w:szCs w:val="24"/>
        </w:rPr>
        <w:t xml:space="preserve"> del total de los estados financieros recibidos. La selección de los entes a auditar</w:t>
      </w:r>
      <w:r w:rsidR="00E83706" w:rsidRPr="00600ED9">
        <w:rPr>
          <w:szCs w:val="24"/>
        </w:rPr>
        <w:t>,</w:t>
      </w:r>
      <w:r w:rsidR="00145347" w:rsidRPr="00600ED9">
        <w:rPr>
          <w:szCs w:val="24"/>
        </w:rPr>
        <w:t xml:space="preserve"> se realiza con base en riesgos y considera solicitudes especiales del Contralor y de la Delegada de Economía y Finanzas como apoyo a la auditoría del Balance de Situación General de la Nación. La oficina de Planeación es la encargada de coordinar la elaboración del Plan de Vigilancia y Control Fiscal (PVCF).</w:t>
      </w:r>
    </w:p>
    <w:p w:rsidR="00FB1954" w:rsidRPr="00600ED9" w:rsidRDefault="00FB1954" w:rsidP="00FB1954">
      <w:pPr>
        <w:spacing w:after="0" w:line="240" w:lineRule="auto"/>
        <w:ind w:left="720"/>
        <w:jc w:val="both"/>
        <w:rPr>
          <w:sz w:val="36"/>
          <w:szCs w:val="24"/>
        </w:rPr>
      </w:pPr>
    </w:p>
    <w:p w:rsidR="007465FA" w:rsidRPr="00600ED9" w:rsidRDefault="00145347" w:rsidP="00FB1954">
      <w:pPr>
        <w:pStyle w:val="NoSpacing"/>
        <w:ind w:left="720"/>
        <w:jc w:val="both"/>
        <w:rPr>
          <w:lang w:val="es-ES_tradnl"/>
        </w:rPr>
      </w:pPr>
      <w:r w:rsidRPr="00600ED9">
        <w:rPr>
          <w:lang w:val="es-ES_tradnl"/>
        </w:rPr>
        <w:lastRenderedPageBreak/>
        <w:t>Lo</w:t>
      </w:r>
      <w:r w:rsidR="006E6AFB" w:rsidRPr="00600ED9">
        <w:rPr>
          <w:lang w:val="es-ES_tradnl"/>
        </w:rPr>
        <w:t xml:space="preserve">s estados financieros y la información relativa a </w:t>
      </w:r>
      <w:r w:rsidRPr="00600ED9">
        <w:rPr>
          <w:lang w:val="es-ES_tradnl"/>
        </w:rPr>
        <w:t xml:space="preserve">la </w:t>
      </w:r>
      <w:r w:rsidR="006E6AFB" w:rsidRPr="00600ED9">
        <w:rPr>
          <w:lang w:val="es-ES_tradnl"/>
        </w:rPr>
        <w:t>gestión</w:t>
      </w:r>
      <w:r w:rsidRPr="00600ED9">
        <w:rPr>
          <w:lang w:val="es-ES_tradnl"/>
        </w:rPr>
        <w:t xml:space="preserve"> de las entidades</w:t>
      </w:r>
      <w:r w:rsidR="006E6AFB" w:rsidRPr="00600ED9">
        <w:rPr>
          <w:lang w:val="es-ES_tradnl"/>
        </w:rPr>
        <w:t>,</w:t>
      </w:r>
      <w:r w:rsidRPr="00600ED9">
        <w:rPr>
          <w:lang w:val="es-ES_tradnl"/>
        </w:rPr>
        <w:t xml:space="preserve"> es enviada a la CGRC a través del Sistema de Rendición de Cuentas (SIRECI)</w:t>
      </w:r>
      <w:r w:rsidRPr="00600ED9">
        <w:rPr>
          <w:rStyle w:val="FootnoteReference"/>
          <w:szCs w:val="24"/>
          <w:lang w:val="es-ES_tradnl"/>
        </w:rPr>
        <w:footnoteReference w:id="15"/>
      </w:r>
      <w:r w:rsidR="002404A6" w:rsidRPr="00600ED9">
        <w:rPr>
          <w:lang w:val="es-ES_tradnl"/>
        </w:rPr>
        <w:t>. Este sistema también es utilizado por las entidades para reportar sus planes de mejora y los avances</w:t>
      </w:r>
      <w:r w:rsidR="00E83706" w:rsidRPr="00600ED9">
        <w:rPr>
          <w:lang w:val="es-ES_tradnl"/>
        </w:rPr>
        <w:t>; s</w:t>
      </w:r>
      <w:r w:rsidR="002404A6" w:rsidRPr="00600ED9">
        <w:rPr>
          <w:lang w:val="es-ES_tradnl"/>
        </w:rPr>
        <w:t xml:space="preserve">in embargo, la herramienta es subutilizada al interior de la </w:t>
      </w:r>
      <w:r w:rsidR="00A41AA3" w:rsidRPr="00600ED9">
        <w:rPr>
          <w:lang w:val="es-ES_tradnl"/>
        </w:rPr>
        <w:t>Contraloría</w:t>
      </w:r>
      <w:r w:rsidR="002404A6" w:rsidRPr="00600ED9">
        <w:rPr>
          <w:lang w:val="es-ES_tradnl"/>
        </w:rPr>
        <w:t>, en la medida que no se realiza seguimiento periódico a la implementación de las recomendaciones.</w:t>
      </w:r>
      <w:r w:rsidR="00FB1954" w:rsidRPr="00600ED9">
        <w:rPr>
          <w:lang w:val="es-ES_tradnl"/>
        </w:rPr>
        <w:t xml:space="preserve"> </w:t>
      </w:r>
    </w:p>
    <w:p w:rsidR="001D5594" w:rsidRPr="001471C4" w:rsidRDefault="001D5594" w:rsidP="00FB1954">
      <w:pPr>
        <w:pStyle w:val="NoSpacing"/>
        <w:ind w:left="720"/>
        <w:jc w:val="both"/>
        <w:rPr>
          <w:sz w:val="20"/>
          <w:lang w:val="es-ES_tradnl"/>
        </w:rPr>
      </w:pPr>
    </w:p>
    <w:p w:rsidR="007C1CFC" w:rsidRPr="00600ED9" w:rsidRDefault="002404A6" w:rsidP="00FB1954">
      <w:pPr>
        <w:pStyle w:val="NoSpacing"/>
        <w:ind w:left="720"/>
        <w:jc w:val="both"/>
        <w:rPr>
          <w:lang w:val="es-ES_tradnl"/>
        </w:rPr>
      </w:pPr>
      <w:r w:rsidRPr="00600ED9">
        <w:rPr>
          <w:lang w:val="es-ES_tradnl"/>
        </w:rPr>
        <w:t>En relación con la presentación y publicación de los informes de auditoría, se identifican opor</w:t>
      </w:r>
      <w:r w:rsidR="001D5594" w:rsidRPr="00600ED9">
        <w:rPr>
          <w:lang w:val="es-ES_tradnl"/>
        </w:rPr>
        <w:t xml:space="preserve">tunidades de mejora en aspectos </w:t>
      </w:r>
      <w:r w:rsidRPr="00600ED9">
        <w:rPr>
          <w:lang w:val="es-ES_tradnl"/>
        </w:rPr>
        <w:t xml:space="preserve">como oportunidad y forma de difusión. </w:t>
      </w:r>
    </w:p>
    <w:p w:rsidR="001D5594" w:rsidRPr="001471C4" w:rsidRDefault="001D5594" w:rsidP="00FB1954">
      <w:pPr>
        <w:pStyle w:val="NoSpacing"/>
        <w:ind w:left="720"/>
        <w:jc w:val="both"/>
        <w:rPr>
          <w:sz w:val="18"/>
          <w:lang w:val="es-ES_tradnl"/>
        </w:rPr>
      </w:pPr>
    </w:p>
    <w:tbl>
      <w:tblPr>
        <w:tblStyle w:val="TableGrid"/>
        <w:tblW w:w="9356" w:type="dxa"/>
        <w:tblInd w:w="817" w:type="dxa"/>
        <w:tblLook w:val="04A0" w:firstRow="1" w:lastRow="0" w:firstColumn="1" w:lastColumn="0" w:noHBand="0" w:noVBand="1"/>
      </w:tblPr>
      <w:tblGrid>
        <w:gridCol w:w="9356"/>
      </w:tblGrid>
      <w:tr w:rsidR="008C187F" w:rsidRPr="00600ED9" w:rsidTr="008A3C8E">
        <w:trPr>
          <w:tblHeader/>
        </w:trPr>
        <w:tc>
          <w:tcPr>
            <w:tcW w:w="9356" w:type="dxa"/>
            <w:shd w:val="clear" w:color="auto" w:fill="365F91" w:themeFill="accent1" w:themeFillShade="BF"/>
          </w:tcPr>
          <w:p w:rsidR="008C187F" w:rsidRPr="00600ED9" w:rsidRDefault="008C187F" w:rsidP="00FB1954">
            <w:pPr>
              <w:pStyle w:val="NoSpacing"/>
              <w:rPr>
                <w:b/>
                <w:color w:val="FFFFFF" w:themeColor="background1"/>
                <w:sz w:val="20"/>
                <w:szCs w:val="20"/>
                <w:lang w:val="es-ES_tradnl"/>
              </w:rPr>
            </w:pPr>
            <w:r w:rsidRPr="00600ED9">
              <w:rPr>
                <w:b/>
                <w:color w:val="FFFFFF" w:themeColor="background1"/>
                <w:sz w:val="20"/>
                <w:szCs w:val="20"/>
                <w:lang w:val="es-ES_tradnl"/>
              </w:rPr>
              <w:t xml:space="preserve">Principales observaciones y conclusiones </w:t>
            </w:r>
          </w:p>
        </w:tc>
      </w:tr>
      <w:tr w:rsidR="008C187F" w:rsidRPr="00600ED9" w:rsidTr="006B7BBA">
        <w:tc>
          <w:tcPr>
            <w:tcW w:w="9356" w:type="dxa"/>
            <w:shd w:val="clear" w:color="auto" w:fill="D9D9D9" w:themeFill="background1" w:themeFillShade="D9"/>
          </w:tcPr>
          <w:p w:rsidR="008C187F" w:rsidRPr="00600ED9" w:rsidRDefault="008C187F" w:rsidP="00FB1954">
            <w:pPr>
              <w:pStyle w:val="NoSpacing"/>
              <w:rPr>
                <w:b/>
                <w:i/>
                <w:sz w:val="20"/>
                <w:szCs w:val="20"/>
                <w:lang w:val="es-ES_tradnl"/>
              </w:rPr>
            </w:pPr>
            <w:r w:rsidRPr="00600ED9">
              <w:rPr>
                <w:b/>
                <w:i/>
                <w:sz w:val="20"/>
                <w:szCs w:val="20"/>
                <w:lang w:val="es-ES_tradnl"/>
              </w:rPr>
              <w:t>Dimensión (i) Alcance de la auditoría financiera</w:t>
            </w:r>
          </w:p>
        </w:tc>
      </w:tr>
      <w:tr w:rsidR="008C187F" w:rsidRPr="00600ED9" w:rsidTr="006B7BBA">
        <w:tc>
          <w:tcPr>
            <w:tcW w:w="9356" w:type="dxa"/>
            <w:shd w:val="clear" w:color="auto" w:fill="D9D9D9" w:themeFill="background1" w:themeFillShade="D9"/>
          </w:tcPr>
          <w:p w:rsidR="008C187F" w:rsidRPr="00600ED9" w:rsidRDefault="00514550" w:rsidP="00FB1954">
            <w:pPr>
              <w:pStyle w:val="NoSpacing"/>
              <w:rPr>
                <w:i/>
                <w:sz w:val="20"/>
                <w:szCs w:val="20"/>
                <w:lang w:val="es-ES_tradnl"/>
              </w:rPr>
            </w:pPr>
            <w:r w:rsidRPr="00600ED9">
              <w:rPr>
                <w:rFonts w:cs="Calibri"/>
                <w:b/>
                <w:i/>
                <w:sz w:val="20"/>
                <w:szCs w:val="20"/>
                <w:lang w:val="es-ES_tradnl"/>
              </w:rPr>
              <w:t xml:space="preserve">Puntuación </w:t>
            </w:r>
            <w:r w:rsidR="008C187F" w:rsidRPr="00600ED9">
              <w:rPr>
                <w:rFonts w:cs="Calibri"/>
                <w:b/>
                <w:i/>
                <w:sz w:val="20"/>
                <w:szCs w:val="20"/>
                <w:lang w:val="es-ES_tradnl"/>
              </w:rPr>
              <w:t>1</w:t>
            </w:r>
            <w:r w:rsidRPr="00600ED9">
              <w:rPr>
                <w:rFonts w:cs="Calibri"/>
                <w:i/>
                <w:sz w:val="20"/>
                <w:szCs w:val="20"/>
                <w:lang w:val="es-ES_tradnl"/>
              </w:rPr>
              <w:t>:</w:t>
            </w:r>
            <w:r w:rsidR="008C187F" w:rsidRPr="00600ED9">
              <w:rPr>
                <w:rFonts w:cs="Calibri"/>
                <w:i/>
                <w:sz w:val="20"/>
                <w:szCs w:val="20"/>
                <w:lang w:val="es-ES_tradnl"/>
              </w:rPr>
              <w:t xml:space="preserve"> </w:t>
            </w:r>
            <w:r w:rsidR="008C187F" w:rsidRPr="00600ED9">
              <w:rPr>
                <w:i/>
                <w:sz w:val="20"/>
                <w:szCs w:val="20"/>
                <w:lang w:val="es-ES_tradnl"/>
              </w:rPr>
              <w:t>Al menos 25% de los estados financieros recibidos fueron auditados</w:t>
            </w:r>
          </w:p>
        </w:tc>
      </w:tr>
      <w:tr w:rsidR="008C187F" w:rsidRPr="00600ED9" w:rsidTr="006B7BBA">
        <w:tc>
          <w:tcPr>
            <w:tcW w:w="9356" w:type="dxa"/>
          </w:tcPr>
          <w:p w:rsidR="008C187F" w:rsidRPr="00600ED9" w:rsidRDefault="008C187F" w:rsidP="00FB1954">
            <w:pPr>
              <w:pStyle w:val="Normaltabletext"/>
              <w:spacing w:after="0"/>
              <w:rPr>
                <w:lang w:val="es-ES_tradnl"/>
              </w:rPr>
            </w:pPr>
            <w:r w:rsidRPr="00600ED9">
              <w:rPr>
                <w:lang w:val="es-ES_tradnl"/>
              </w:rPr>
              <w:t xml:space="preserve">En los últimos tres años, la </w:t>
            </w:r>
            <w:r w:rsidR="00431CA4" w:rsidRPr="00600ED9">
              <w:rPr>
                <w:lang w:val="es-ES_tradnl"/>
              </w:rPr>
              <w:t>CGRC</w:t>
            </w:r>
            <w:r w:rsidRPr="00600ED9">
              <w:rPr>
                <w:lang w:val="es-ES_tradnl"/>
              </w:rPr>
              <w:t xml:space="preserve"> ha auditado </w:t>
            </w:r>
            <w:r w:rsidR="00431CA4" w:rsidRPr="00600ED9">
              <w:rPr>
                <w:lang w:val="es-ES_tradnl"/>
              </w:rPr>
              <w:t>e</w:t>
            </w:r>
            <w:r w:rsidRPr="00600ED9">
              <w:rPr>
                <w:lang w:val="es-ES_tradnl"/>
              </w:rPr>
              <w:t xml:space="preserve">n promedio el </w:t>
            </w:r>
            <w:r w:rsidRPr="00600ED9">
              <w:rPr>
                <w:b/>
                <w:lang w:val="es-ES_tradnl"/>
              </w:rPr>
              <w:t>33%</w:t>
            </w:r>
            <w:r w:rsidRPr="00600ED9">
              <w:rPr>
                <w:lang w:val="es-ES_tradnl"/>
              </w:rPr>
              <w:t xml:space="preserve"> del total de los estados financieros recibidos de las Entidades Principales. La </w:t>
            </w:r>
            <w:r w:rsidR="00431CA4" w:rsidRPr="00600ED9">
              <w:rPr>
                <w:lang w:val="es-ES_tradnl"/>
              </w:rPr>
              <w:t>CGRC</w:t>
            </w:r>
            <w:r w:rsidRPr="00600ED9">
              <w:rPr>
                <w:lang w:val="es-ES_tradnl"/>
              </w:rPr>
              <w:t xml:space="preserve"> no </w:t>
            </w:r>
            <w:r w:rsidR="00431CA4" w:rsidRPr="00600ED9">
              <w:rPr>
                <w:lang w:val="es-ES_tradnl"/>
              </w:rPr>
              <w:t>tiene como política, detallar en su informe,  el nombre de las entidades</w:t>
            </w:r>
            <w:r w:rsidRPr="00600ED9">
              <w:rPr>
                <w:lang w:val="es-ES_tradnl"/>
              </w:rPr>
              <w:t xml:space="preserve"> incluidas dentro de la muestra auditada. </w:t>
            </w:r>
          </w:p>
          <w:p w:rsidR="00FB1954" w:rsidRPr="00600ED9" w:rsidRDefault="00FB1954" w:rsidP="00FB1954">
            <w:pPr>
              <w:pStyle w:val="Normaltabletext"/>
              <w:spacing w:after="0"/>
              <w:rPr>
                <w:sz w:val="24"/>
                <w:lang w:val="es-ES_tradnl"/>
              </w:rPr>
            </w:pPr>
          </w:p>
          <w:p w:rsidR="008C187F" w:rsidRPr="00600ED9" w:rsidRDefault="008C187F" w:rsidP="00FB1954">
            <w:pPr>
              <w:pStyle w:val="Normaltabletext"/>
              <w:spacing w:after="0"/>
              <w:rPr>
                <w:lang w:val="es-ES_tradnl"/>
              </w:rPr>
            </w:pPr>
            <w:r w:rsidRPr="00600ED9">
              <w:rPr>
                <w:lang w:val="es-ES_tradnl"/>
              </w:rPr>
              <w:t>Las Entidades Principales elaboran sus estados contables o financieros (</w:t>
            </w:r>
            <w:r w:rsidRPr="00600ED9">
              <w:rPr>
                <w:i/>
                <w:lang w:val="es-ES_tradnl"/>
              </w:rPr>
              <w:t xml:space="preserve">Cuenta o Informe Anual Consolidado) </w:t>
            </w:r>
            <w:r w:rsidRPr="00600ED9">
              <w:rPr>
                <w:lang w:val="es-ES_tradnl"/>
              </w:rPr>
              <w:t>y lo</w:t>
            </w:r>
            <w:r w:rsidR="00431CA4" w:rsidRPr="00600ED9">
              <w:rPr>
                <w:lang w:val="es-ES_tradnl"/>
              </w:rPr>
              <w:t>s</w:t>
            </w:r>
            <w:r w:rsidRPr="00600ED9">
              <w:rPr>
                <w:lang w:val="es-ES_tradnl"/>
              </w:rPr>
              <w:t xml:space="preserve"> presentan anualmente por medio del </w:t>
            </w:r>
            <w:r w:rsidR="009826C0" w:rsidRPr="00600ED9">
              <w:rPr>
                <w:lang w:val="es-ES_tradnl"/>
              </w:rPr>
              <w:t>SIRECI</w:t>
            </w:r>
            <w:r w:rsidR="00E83706" w:rsidRPr="00600ED9">
              <w:rPr>
                <w:lang w:val="es-ES_tradnl"/>
              </w:rPr>
              <w:t>.</w:t>
            </w:r>
            <w:r w:rsidRPr="00600ED9">
              <w:rPr>
                <w:lang w:val="es-ES_tradnl"/>
              </w:rPr>
              <w:t xml:space="preserve"> </w:t>
            </w:r>
            <w:r w:rsidR="00431CA4" w:rsidRPr="00600ED9">
              <w:rPr>
                <w:lang w:val="es-ES_tradnl"/>
              </w:rPr>
              <w:t>Con base en los informes anuales, l</w:t>
            </w:r>
            <w:r w:rsidRPr="00600ED9">
              <w:rPr>
                <w:lang w:val="es-ES_tradnl"/>
              </w:rPr>
              <w:t xml:space="preserve">a </w:t>
            </w:r>
            <w:r w:rsidR="00431CA4" w:rsidRPr="00600ED9">
              <w:rPr>
                <w:lang w:val="es-ES_tradnl"/>
              </w:rPr>
              <w:t>CGRC</w:t>
            </w:r>
            <w:r w:rsidRPr="00600ED9">
              <w:rPr>
                <w:lang w:val="es-ES_tradnl"/>
              </w:rPr>
              <w:t xml:space="preserve"> inicia la etapa de planeación para determinar cuáles entidades serán auditadas</w:t>
            </w:r>
            <w:r w:rsidR="00431CA4" w:rsidRPr="00600ED9">
              <w:rPr>
                <w:lang w:val="es-ES_tradnl"/>
              </w:rPr>
              <w:t>.</w:t>
            </w:r>
            <w:r w:rsidRPr="00600ED9">
              <w:rPr>
                <w:lang w:val="es-ES_tradnl"/>
              </w:rPr>
              <w:t xml:space="preserve"> </w:t>
            </w:r>
            <w:r w:rsidR="00431CA4" w:rsidRPr="00600ED9">
              <w:rPr>
                <w:lang w:val="es-ES_tradnl"/>
              </w:rPr>
              <w:t>D</w:t>
            </w:r>
            <w:r w:rsidRPr="00600ED9">
              <w:rPr>
                <w:lang w:val="es-ES_tradnl"/>
              </w:rPr>
              <w:t xml:space="preserve">e acuerdo con </w:t>
            </w:r>
            <w:r w:rsidR="00431CA4" w:rsidRPr="00600ED9">
              <w:rPr>
                <w:lang w:val="es-ES_tradnl"/>
              </w:rPr>
              <w:t>el marco</w:t>
            </w:r>
            <w:r w:rsidRPr="00600ED9">
              <w:rPr>
                <w:lang w:val="es-ES_tradnl"/>
              </w:rPr>
              <w:t xml:space="preserve"> legal, </w:t>
            </w:r>
            <w:r w:rsidR="00431CA4" w:rsidRPr="00600ED9">
              <w:rPr>
                <w:lang w:val="es-ES_tradnl"/>
              </w:rPr>
              <w:t xml:space="preserve">la CGRC </w:t>
            </w:r>
            <w:r w:rsidRPr="00600ED9">
              <w:rPr>
                <w:lang w:val="es-ES_tradnl"/>
              </w:rPr>
              <w:t>no está obligada a auditar el 100% de los “Entes Principales”</w:t>
            </w:r>
            <w:r w:rsidRPr="00600ED9">
              <w:rPr>
                <w:rStyle w:val="FootnoteReference"/>
                <w:lang w:val="es-ES_tradnl"/>
              </w:rPr>
              <w:t xml:space="preserve"> </w:t>
            </w:r>
            <w:r w:rsidRPr="00600ED9">
              <w:rPr>
                <w:rStyle w:val="FootnoteReference"/>
                <w:lang w:val="es-ES_tradnl"/>
              </w:rPr>
              <w:footnoteReference w:id="16"/>
            </w:r>
            <w:r w:rsidRPr="00600ED9">
              <w:rPr>
                <w:lang w:val="es-ES_tradnl"/>
              </w:rPr>
              <w:t>.</w:t>
            </w:r>
          </w:p>
          <w:p w:rsidR="00FB1954" w:rsidRPr="00600ED9" w:rsidRDefault="00FB1954" w:rsidP="00FB1954">
            <w:pPr>
              <w:pStyle w:val="Normaltabletext"/>
              <w:spacing w:after="0"/>
              <w:rPr>
                <w:lang w:val="es-ES_tradnl"/>
              </w:rPr>
            </w:pPr>
          </w:p>
          <w:p w:rsidR="001D5594" w:rsidRPr="00600ED9" w:rsidRDefault="008C187F" w:rsidP="00FB1954">
            <w:pPr>
              <w:pStyle w:val="Normaltabletext"/>
              <w:spacing w:after="0"/>
              <w:rPr>
                <w:lang w:val="es-ES_tradnl"/>
              </w:rPr>
            </w:pPr>
            <w:r w:rsidRPr="00600ED9">
              <w:rPr>
                <w:lang w:val="es-ES_tradnl"/>
              </w:rPr>
              <w:t xml:space="preserve">El proceso </w:t>
            </w:r>
            <w:r w:rsidR="00431CA4" w:rsidRPr="00600ED9">
              <w:rPr>
                <w:lang w:val="es-ES_tradnl"/>
              </w:rPr>
              <w:t xml:space="preserve">de planeación anual, formalizado en el Plan de Vigilancia y Control Fiscal (PVCF), </w:t>
            </w:r>
            <w:r w:rsidRPr="00600ED9">
              <w:rPr>
                <w:lang w:val="es-ES_tradnl"/>
              </w:rPr>
              <w:t>inicia con la elaboración de l</w:t>
            </w:r>
            <w:r w:rsidR="00431CA4" w:rsidRPr="00600ED9">
              <w:rPr>
                <w:lang w:val="es-ES_tradnl"/>
              </w:rPr>
              <w:t>o</w:t>
            </w:r>
            <w:r w:rsidRPr="00600ED9">
              <w:rPr>
                <w:lang w:val="es-ES_tradnl"/>
              </w:rPr>
              <w:t xml:space="preserve">s siguientes </w:t>
            </w:r>
            <w:r w:rsidR="00431CA4" w:rsidRPr="00600ED9">
              <w:rPr>
                <w:lang w:val="es-ES_tradnl"/>
              </w:rPr>
              <w:t>documentos</w:t>
            </w:r>
            <w:r w:rsidRPr="00600ED9">
              <w:rPr>
                <w:lang w:val="es-ES_tradnl"/>
              </w:rPr>
              <w:t xml:space="preserve">: Matriz de Importancia Relativa (MIR), Matriz de Riesgo y Control (MR) y Matriz de </w:t>
            </w:r>
            <w:r w:rsidR="00431CA4" w:rsidRPr="00600ED9">
              <w:rPr>
                <w:lang w:val="es-ES_tradnl"/>
              </w:rPr>
              <w:t>P</w:t>
            </w:r>
            <w:r w:rsidRPr="00600ED9">
              <w:rPr>
                <w:lang w:val="es-ES_tradnl"/>
              </w:rPr>
              <w:t xml:space="preserve">lanificación y </w:t>
            </w:r>
            <w:r w:rsidR="00431CA4" w:rsidRPr="00600ED9">
              <w:rPr>
                <w:lang w:val="es-ES_tradnl"/>
              </w:rPr>
              <w:t>P</w:t>
            </w:r>
            <w:r w:rsidRPr="00600ED9">
              <w:rPr>
                <w:lang w:val="es-ES_tradnl"/>
              </w:rPr>
              <w:t>rogramación (MPLPR)</w:t>
            </w:r>
            <w:r w:rsidR="00D93A7E" w:rsidRPr="00600ED9">
              <w:rPr>
                <w:lang w:val="es-ES_tradnl"/>
              </w:rPr>
              <w:t>, en el cual participan las diferentes Unidades Ejecutoras</w:t>
            </w:r>
            <w:r w:rsidR="00D93A7E" w:rsidRPr="00600ED9">
              <w:rPr>
                <w:rStyle w:val="FootnoteReference"/>
                <w:lang w:val="es-ES_tradnl"/>
              </w:rPr>
              <w:footnoteReference w:id="17"/>
            </w:r>
            <w:r w:rsidR="00D93A7E" w:rsidRPr="00600ED9">
              <w:rPr>
                <w:lang w:val="es-ES_tradnl"/>
              </w:rPr>
              <w:t xml:space="preserve"> (</w:t>
            </w:r>
            <w:proofErr w:type="spellStart"/>
            <w:r w:rsidR="00D93A7E" w:rsidRPr="00600ED9">
              <w:rPr>
                <w:lang w:val="es-ES_tradnl"/>
              </w:rPr>
              <w:t>UE</w:t>
            </w:r>
            <w:r w:rsidR="0045244C" w:rsidRPr="00600ED9">
              <w:rPr>
                <w:lang w:val="es-ES_tradnl"/>
              </w:rPr>
              <w:t>s</w:t>
            </w:r>
            <w:proofErr w:type="spellEnd"/>
            <w:r w:rsidR="00D93A7E" w:rsidRPr="00600ED9">
              <w:rPr>
                <w:lang w:val="es-ES_tradnl"/>
              </w:rPr>
              <w:t>), bajo la coordinación de la Oficina de Planeación de la CGRC</w:t>
            </w:r>
            <w:r w:rsidR="00DE7023" w:rsidRPr="00600ED9">
              <w:rPr>
                <w:lang w:val="es-ES_tradnl"/>
              </w:rPr>
              <w:t>.</w:t>
            </w:r>
            <w:r w:rsidRPr="00600ED9">
              <w:rPr>
                <w:lang w:val="es-ES_tradnl"/>
              </w:rPr>
              <w:t xml:space="preserve"> </w:t>
            </w:r>
            <w:r w:rsidR="00431CA4" w:rsidRPr="00600ED9">
              <w:rPr>
                <w:lang w:val="es-ES_tradnl"/>
              </w:rPr>
              <w:t xml:space="preserve">Como parte de la etapa de planeación de cada auditoría, estos documentos son actualizados por la </w:t>
            </w:r>
            <w:r w:rsidRPr="00600ED9">
              <w:rPr>
                <w:lang w:val="es-ES_tradnl"/>
              </w:rPr>
              <w:t>UE.</w:t>
            </w:r>
            <w:r w:rsidR="001D5594" w:rsidRPr="00600ED9">
              <w:rPr>
                <w:lang w:val="es-ES_tradnl"/>
              </w:rPr>
              <w:t xml:space="preserve">  </w:t>
            </w:r>
          </w:p>
          <w:p w:rsidR="00FB1954" w:rsidRPr="00600ED9" w:rsidRDefault="00FB1954" w:rsidP="00FB1954">
            <w:pPr>
              <w:pStyle w:val="Normaltabletext"/>
              <w:spacing w:after="0"/>
              <w:rPr>
                <w:lang w:val="es-ES_tradnl"/>
              </w:rPr>
            </w:pPr>
          </w:p>
          <w:p w:rsidR="008C187F" w:rsidRPr="00600ED9" w:rsidRDefault="00431CA4" w:rsidP="00FB1954">
            <w:pPr>
              <w:pStyle w:val="Normaltabletext"/>
              <w:spacing w:after="0"/>
              <w:rPr>
                <w:lang w:val="es-ES_tradnl"/>
              </w:rPr>
            </w:pPr>
            <w:r w:rsidRPr="00600ED9">
              <w:rPr>
                <w:lang w:val="es-ES_tradnl"/>
              </w:rPr>
              <w:t xml:space="preserve">Los resultados de las matrices citadas, permiten obtener un ranking </w:t>
            </w:r>
            <w:r w:rsidR="008C187F" w:rsidRPr="00600ED9">
              <w:rPr>
                <w:lang w:val="es-ES_tradnl"/>
              </w:rPr>
              <w:t>consolidado</w:t>
            </w:r>
            <w:r w:rsidR="00D93A7E" w:rsidRPr="00600ED9">
              <w:rPr>
                <w:lang w:val="es-ES_tradnl"/>
              </w:rPr>
              <w:t xml:space="preserve">, el cual es </w:t>
            </w:r>
            <w:r w:rsidR="008C187F" w:rsidRPr="00600ED9">
              <w:rPr>
                <w:lang w:val="es-ES_tradnl"/>
              </w:rPr>
              <w:t xml:space="preserve">puesto a consideración del Comité Directivo de la </w:t>
            </w:r>
            <w:r w:rsidRPr="00600ED9">
              <w:rPr>
                <w:lang w:val="es-ES_tradnl"/>
              </w:rPr>
              <w:t>CGRC</w:t>
            </w:r>
            <w:r w:rsidR="008C187F" w:rsidRPr="00600ED9">
              <w:rPr>
                <w:lang w:val="es-ES_tradnl"/>
              </w:rPr>
              <w:t xml:space="preserve">, </w:t>
            </w:r>
            <w:r w:rsidR="00D93A7E" w:rsidRPr="00600ED9">
              <w:rPr>
                <w:lang w:val="es-ES_tradnl"/>
              </w:rPr>
              <w:t>para</w:t>
            </w:r>
            <w:r w:rsidR="008C187F" w:rsidRPr="00600ED9">
              <w:rPr>
                <w:lang w:val="es-ES_tradnl"/>
              </w:rPr>
              <w:t xml:space="preserve"> determina</w:t>
            </w:r>
            <w:r w:rsidR="00D93A7E" w:rsidRPr="00600ED9">
              <w:rPr>
                <w:lang w:val="es-ES_tradnl"/>
              </w:rPr>
              <w:t>r el alcance</w:t>
            </w:r>
            <w:r w:rsidR="008C187F" w:rsidRPr="00600ED9">
              <w:rPr>
                <w:lang w:val="es-ES_tradnl"/>
              </w:rPr>
              <w:t xml:space="preserve"> del PVCF. Una vez seleccionadas la</w:t>
            </w:r>
            <w:r w:rsidR="00D93A7E" w:rsidRPr="00600ED9">
              <w:rPr>
                <w:lang w:val="es-ES_tradnl"/>
              </w:rPr>
              <w:t>s</w:t>
            </w:r>
            <w:r w:rsidR="008C187F" w:rsidRPr="00600ED9">
              <w:rPr>
                <w:lang w:val="es-ES_tradnl"/>
              </w:rPr>
              <w:t xml:space="preserve"> entidades</w:t>
            </w:r>
            <w:r w:rsidR="00D93A7E" w:rsidRPr="00600ED9">
              <w:rPr>
                <w:lang w:val="es-ES_tradnl"/>
              </w:rPr>
              <w:t xml:space="preserve"> </w:t>
            </w:r>
            <w:r w:rsidR="008C187F" w:rsidRPr="00600ED9">
              <w:rPr>
                <w:lang w:val="es-ES_tradnl"/>
              </w:rPr>
              <w:t>a auditar</w:t>
            </w:r>
            <w:r w:rsidR="00D93A7E" w:rsidRPr="00600ED9">
              <w:rPr>
                <w:lang w:val="es-ES_tradnl"/>
              </w:rPr>
              <w:t xml:space="preserve">, </w:t>
            </w:r>
            <w:r w:rsidR="008C187F" w:rsidRPr="00600ED9">
              <w:rPr>
                <w:lang w:val="es-ES_tradnl"/>
              </w:rPr>
              <w:t xml:space="preserve">esta información </w:t>
            </w:r>
            <w:r w:rsidR="00FB1954" w:rsidRPr="00600ED9">
              <w:rPr>
                <w:lang w:val="es-ES_tradnl"/>
              </w:rPr>
              <w:t xml:space="preserve">es </w:t>
            </w:r>
            <w:r w:rsidR="008C187F" w:rsidRPr="00600ED9">
              <w:rPr>
                <w:lang w:val="es-ES_tradnl"/>
              </w:rPr>
              <w:t>compart</w:t>
            </w:r>
            <w:r w:rsidR="00D93A7E" w:rsidRPr="00600ED9">
              <w:rPr>
                <w:lang w:val="es-ES_tradnl"/>
              </w:rPr>
              <w:t>ida</w:t>
            </w:r>
            <w:r w:rsidR="008C187F" w:rsidRPr="00600ED9">
              <w:rPr>
                <w:lang w:val="es-ES_tradnl"/>
              </w:rPr>
              <w:t xml:space="preserve"> con las Direcciones Delegadas de la </w:t>
            </w:r>
            <w:r w:rsidRPr="00600ED9">
              <w:rPr>
                <w:lang w:val="es-ES_tradnl"/>
              </w:rPr>
              <w:t>CGRC</w:t>
            </w:r>
            <w:r w:rsidR="008C187F" w:rsidRPr="00600ED9">
              <w:rPr>
                <w:lang w:val="es-ES_tradnl"/>
              </w:rPr>
              <w:t xml:space="preserve"> quienes aportan comentarios de acuerdo </w:t>
            </w:r>
            <w:r w:rsidR="00D93A7E" w:rsidRPr="00600ED9">
              <w:rPr>
                <w:lang w:val="es-ES_tradnl"/>
              </w:rPr>
              <w:t xml:space="preserve">con </w:t>
            </w:r>
            <w:r w:rsidR="008C187F" w:rsidRPr="00600ED9">
              <w:rPr>
                <w:lang w:val="es-ES_tradnl"/>
              </w:rPr>
              <w:t xml:space="preserve">su experiencia. </w:t>
            </w:r>
          </w:p>
          <w:p w:rsidR="00FB1954" w:rsidRPr="001471C4" w:rsidRDefault="00FB1954" w:rsidP="00FB1954">
            <w:pPr>
              <w:pStyle w:val="Normaltabletext"/>
              <w:spacing w:after="0"/>
              <w:rPr>
                <w:sz w:val="22"/>
                <w:lang w:val="es-ES_tradnl"/>
              </w:rPr>
            </w:pPr>
          </w:p>
          <w:p w:rsidR="008C187F" w:rsidRPr="00600ED9" w:rsidRDefault="00311FA7" w:rsidP="00FB1954">
            <w:pPr>
              <w:pStyle w:val="Normaltabletext"/>
              <w:spacing w:after="0"/>
              <w:rPr>
                <w:lang w:val="es-ES_tradnl"/>
              </w:rPr>
            </w:pPr>
            <w:r w:rsidRPr="00600ED9">
              <w:rPr>
                <w:lang w:val="es-ES_tradnl"/>
              </w:rPr>
              <w:t>En particular, l</w:t>
            </w:r>
            <w:r w:rsidR="008C187F" w:rsidRPr="00600ED9">
              <w:rPr>
                <w:lang w:val="es-ES_tradnl"/>
              </w:rPr>
              <w:t xml:space="preserve">a Delegada de Economía y Finanzas </w:t>
            </w:r>
            <w:r w:rsidRPr="00600ED9">
              <w:rPr>
                <w:lang w:val="es-ES_tradnl"/>
              </w:rPr>
              <w:t xml:space="preserve">puede </w:t>
            </w:r>
            <w:r w:rsidR="008C187F" w:rsidRPr="00600ED9">
              <w:rPr>
                <w:lang w:val="es-ES_tradnl"/>
              </w:rPr>
              <w:t>realiza</w:t>
            </w:r>
            <w:r w:rsidRPr="00600ED9">
              <w:rPr>
                <w:lang w:val="es-ES_tradnl"/>
              </w:rPr>
              <w:t>r</w:t>
            </w:r>
            <w:r w:rsidR="008C187F" w:rsidRPr="00600ED9">
              <w:rPr>
                <w:lang w:val="es-ES_tradnl"/>
              </w:rPr>
              <w:t xml:space="preserve"> solicitud especial de inclusión de aquellas entidades principales que le servirán de apoyo para realizar la auditoría del Balance de Situación General de la Nación, las cuales </w:t>
            </w:r>
            <w:r w:rsidR="00D93A7E" w:rsidRPr="00600ED9">
              <w:rPr>
                <w:lang w:val="es-ES_tradnl"/>
              </w:rPr>
              <w:t xml:space="preserve">son </w:t>
            </w:r>
            <w:r w:rsidR="008C187F" w:rsidRPr="00600ED9">
              <w:rPr>
                <w:lang w:val="es-ES_tradnl"/>
              </w:rPr>
              <w:t>incluidas en la muestra a ser auditada</w:t>
            </w:r>
            <w:r w:rsidR="00D93A7E" w:rsidRPr="00600ED9">
              <w:rPr>
                <w:lang w:val="es-ES_tradnl"/>
              </w:rPr>
              <w:t>.</w:t>
            </w:r>
            <w:r w:rsidR="008C187F" w:rsidRPr="00600ED9">
              <w:rPr>
                <w:lang w:val="es-ES_tradnl"/>
              </w:rPr>
              <w:t xml:space="preserve"> Una vez concluido este proceso, el PVCF elaborado por la Oficina de Planeación y revisado por las Delegadas Sectoriales, </w:t>
            </w:r>
            <w:r w:rsidR="00D93A7E" w:rsidRPr="00600ED9">
              <w:rPr>
                <w:lang w:val="es-ES_tradnl"/>
              </w:rPr>
              <w:t xml:space="preserve">es presentado </w:t>
            </w:r>
            <w:r w:rsidR="008C187F" w:rsidRPr="00600ED9">
              <w:rPr>
                <w:lang w:val="es-ES_tradnl"/>
              </w:rPr>
              <w:t xml:space="preserve">al Contralor General para su aprobación. </w:t>
            </w:r>
          </w:p>
          <w:p w:rsidR="0063405A" w:rsidRPr="001471C4" w:rsidRDefault="0063405A" w:rsidP="00FB1954">
            <w:pPr>
              <w:pStyle w:val="Normaltabletext"/>
              <w:spacing w:after="0"/>
              <w:rPr>
                <w:lang w:val="es-ES_tradnl"/>
              </w:rPr>
            </w:pPr>
          </w:p>
          <w:p w:rsidR="001D5594" w:rsidRPr="00600ED9" w:rsidRDefault="001D5594" w:rsidP="00FB1954">
            <w:pPr>
              <w:jc w:val="both"/>
              <w:rPr>
                <w:sz w:val="20"/>
                <w:szCs w:val="20"/>
              </w:rPr>
            </w:pPr>
            <w:r w:rsidRPr="00600ED9">
              <w:rPr>
                <w:sz w:val="20"/>
                <w:szCs w:val="20"/>
              </w:rPr>
              <w:t>Adicionalmente, durante la vigencia fiscal pueden surgir requerimientos especiales del Contralor General, para realizar revisiones a entes que no fueron incluidos dentro del PVCF, o también, producto de denuncias ciudadanas.  Durante la vigencia 2014, la CGRC programó realizar 416 auditorías</w:t>
            </w:r>
            <w:r w:rsidRPr="00600ED9">
              <w:rPr>
                <w:rStyle w:val="FootnoteReference"/>
                <w:sz w:val="20"/>
                <w:szCs w:val="20"/>
              </w:rPr>
              <w:footnoteReference w:id="18"/>
            </w:r>
            <w:r w:rsidRPr="00600ED9">
              <w:rPr>
                <w:sz w:val="20"/>
                <w:szCs w:val="20"/>
              </w:rPr>
              <w:t xml:space="preserve"> y  ejecutó 662 auditorías.  Es decir que se ejecutaron 246 auditorías adicionales a las planificadas.</w:t>
            </w:r>
          </w:p>
          <w:p w:rsidR="0063405A" w:rsidRPr="001471C4" w:rsidRDefault="0063405A" w:rsidP="00FB1954">
            <w:pPr>
              <w:jc w:val="both"/>
              <w:rPr>
                <w:szCs w:val="20"/>
              </w:rPr>
            </w:pPr>
          </w:p>
          <w:p w:rsidR="001D5594" w:rsidRPr="00600ED9" w:rsidRDefault="00311FA7" w:rsidP="00FB1954">
            <w:pPr>
              <w:jc w:val="both"/>
              <w:rPr>
                <w:sz w:val="20"/>
                <w:szCs w:val="20"/>
              </w:rPr>
            </w:pPr>
            <w:r w:rsidRPr="00600ED9">
              <w:rPr>
                <w:sz w:val="20"/>
                <w:szCs w:val="20"/>
              </w:rPr>
              <w:t xml:space="preserve">De acuerdo con el marco legal, la CGRC debe consolidar la información de las “Entidades Principales” auditadas, la cual sirve de insumo para emitir el dictamen sobre el Balance General de la Situación Financiera de las Finanzas Públicas del Estado.  </w:t>
            </w:r>
          </w:p>
          <w:p w:rsidR="00311FA7" w:rsidRPr="00600ED9" w:rsidRDefault="00311FA7" w:rsidP="0063405A">
            <w:pPr>
              <w:jc w:val="both"/>
              <w:rPr>
                <w:sz w:val="20"/>
                <w:szCs w:val="20"/>
              </w:rPr>
            </w:pPr>
            <w:r w:rsidRPr="00600ED9">
              <w:rPr>
                <w:sz w:val="20"/>
                <w:szCs w:val="20"/>
              </w:rPr>
              <w:lastRenderedPageBreak/>
              <w:t xml:space="preserve">Para cumplir con este mandato, la CGRC con base en el PVCF, ejecuta las auditorías en dos etapas: una con corte al 30 de Junio y otra al 31 Diciembre. Las auditorías realizadas, para cada corte, aunque correspondan a una misma entidad, son reportadas como intervenciones separadas. </w:t>
            </w:r>
          </w:p>
          <w:p w:rsidR="0063405A" w:rsidRPr="00600ED9" w:rsidRDefault="0063405A" w:rsidP="0063405A">
            <w:pPr>
              <w:jc w:val="both"/>
              <w:rPr>
                <w:sz w:val="20"/>
                <w:szCs w:val="20"/>
              </w:rPr>
            </w:pPr>
          </w:p>
        </w:tc>
      </w:tr>
      <w:tr w:rsidR="008C187F" w:rsidRPr="00600ED9" w:rsidTr="008A3C8E">
        <w:tc>
          <w:tcPr>
            <w:tcW w:w="9356" w:type="dxa"/>
            <w:shd w:val="clear" w:color="auto" w:fill="D9D9D9" w:themeFill="background1" w:themeFillShade="D9"/>
          </w:tcPr>
          <w:p w:rsidR="008C187F" w:rsidRPr="00600ED9" w:rsidRDefault="008C187F" w:rsidP="00FB1954">
            <w:pPr>
              <w:pStyle w:val="NoSpacing"/>
              <w:jc w:val="both"/>
              <w:rPr>
                <w:b/>
                <w:i/>
                <w:sz w:val="20"/>
                <w:szCs w:val="20"/>
                <w:lang w:val="es-ES_tradnl"/>
              </w:rPr>
            </w:pPr>
            <w:r w:rsidRPr="00600ED9">
              <w:rPr>
                <w:b/>
                <w:i/>
                <w:sz w:val="20"/>
                <w:szCs w:val="20"/>
                <w:lang w:val="es-ES_tradnl"/>
              </w:rPr>
              <w:lastRenderedPageBreak/>
              <w:t xml:space="preserve">Dimensión (ii) Presentación de los informes  de auditoría financiera </w:t>
            </w:r>
          </w:p>
        </w:tc>
      </w:tr>
      <w:tr w:rsidR="008C187F" w:rsidRPr="00600ED9" w:rsidTr="008A3C8E">
        <w:tc>
          <w:tcPr>
            <w:tcW w:w="9356" w:type="dxa"/>
            <w:shd w:val="clear" w:color="auto" w:fill="D9D9D9" w:themeFill="background1" w:themeFillShade="D9"/>
          </w:tcPr>
          <w:p w:rsidR="008C187F" w:rsidRPr="00600ED9" w:rsidRDefault="00514550" w:rsidP="00FB1954">
            <w:pPr>
              <w:pStyle w:val="NoSpacing"/>
              <w:jc w:val="both"/>
              <w:rPr>
                <w:rFonts w:cs="Calibri"/>
                <w:i/>
                <w:sz w:val="20"/>
                <w:szCs w:val="20"/>
                <w:lang w:val="es-ES_tradnl"/>
              </w:rPr>
            </w:pPr>
            <w:r w:rsidRPr="00600ED9">
              <w:rPr>
                <w:rFonts w:cs="Calibri"/>
                <w:b/>
                <w:i/>
                <w:sz w:val="20"/>
                <w:szCs w:val="20"/>
                <w:lang w:val="es-ES_tradnl"/>
              </w:rPr>
              <w:t>Puntuación</w:t>
            </w:r>
            <w:r w:rsidR="008C187F" w:rsidRPr="00600ED9">
              <w:rPr>
                <w:rFonts w:cs="Calibri"/>
                <w:b/>
                <w:i/>
                <w:sz w:val="20"/>
                <w:szCs w:val="20"/>
                <w:lang w:val="es-ES_tradnl"/>
              </w:rPr>
              <w:t xml:space="preserve"> 1</w:t>
            </w:r>
            <w:r w:rsidRPr="00600ED9">
              <w:rPr>
                <w:rFonts w:cs="Calibri"/>
                <w:b/>
                <w:i/>
                <w:sz w:val="20"/>
                <w:szCs w:val="20"/>
                <w:lang w:val="es-ES_tradnl"/>
              </w:rPr>
              <w:t>:</w:t>
            </w:r>
            <w:r w:rsidR="008C187F" w:rsidRPr="00600ED9">
              <w:rPr>
                <w:rFonts w:cs="Calibri"/>
                <w:i/>
                <w:sz w:val="20"/>
                <w:szCs w:val="20"/>
                <w:lang w:val="es-ES_tradnl"/>
              </w:rPr>
              <w:t xml:space="preserve"> </w:t>
            </w:r>
            <w:r w:rsidR="008C187F" w:rsidRPr="00600ED9">
              <w:rPr>
                <w:i/>
                <w:sz w:val="20"/>
                <w:szCs w:val="20"/>
                <w:lang w:val="es-ES_tradnl"/>
              </w:rPr>
              <w:t>Para al menos el 20% de las auditorías financieras, la opinión y/o el informe de auditoría son formalmente entregados a la autoridad correspondiente, dentro del plazo legal establecido (o cuando no hay un plazo definido, dentro de los 12 meses posteriores a la recepción de dichos estados financieros por la EFS)</w:t>
            </w:r>
          </w:p>
        </w:tc>
      </w:tr>
      <w:tr w:rsidR="008C187F" w:rsidRPr="00600ED9" w:rsidTr="006B7BBA">
        <w:tc>
          <w:tcPr>
            <w:tcW w:w="9356" w:type="dxa"/>
          </w:tcPr>
          <w:p w:rsidR="008C187F" w:rsidRPr="00600ED9" w:rsidRDefault="008C187F" w:rsidP="00FB1954">
            <w:pPr>
              <w:pStyle w:val="Normaltabletext"/>
              <w:spacing w:after="0"/>
              <w:rPr>
                <w:lang w:val="es-ES_tradnl"/>
              </w:rPr>
            </w:pPr>
            <w:r w:rsidRPr="00600ED9">
              <w:rPr>
                <w:lang w:val="es-ES_tradnl"/>
              </w:rPr>
              <w:t xml:space="preserve">De la muestra </w:t>
            </w:r>
            <w:r w:rsidR="00D93A7E" w:rsidRPr="00600ED9">
              <w:rPr>
                <w:lang w:val="es-ES_tradnl"/>
              </w:rPr>
              <w:t>tomada como referencia para este diagnóstico, constituida por</w:t>
            </w:r>
            <w:r w:rsidRPr="00600ED9">
              <w:rPr>
                <w:lang w:val="es-ES_tradnl"/>
              </w:rPr>
              <w:t xml:space="preserve"> 30 informes de auditoría, se evaluaron 21 auditorías integrales que inclu</w:t>
            </w:r>
            <w:r w:rsidR="00755750" w:rsidRPr="00600ED9">
              <w:rPr>
                <w:lang w:val="es-ES_tradnl"/>
              </w:rPr>
              <w:t>ye</w:t>
            </w:r>
            <w:r w:rsidRPr="00600ED9">
              <w:rPr>
                <w:lang w:val="es-ES_tradnl"/>
              </w:rPr>
              <w:t>n auditorías financieras, 6 actuaciones especiales y 3 auditorías reservadas</w:t>
            </w:r>
            <w:r w:rsidRPr="00600ED9">
              <w:rPr>
                <w:rStyle w:val="FootnoteReference"/>
                <w:lang w:val="es-ES_tradnl"/>
              </w:rPr>
              <w:footnoteReference w:id="19"/>
            </w:r>
            <w:r w:rsidRPr="00600ED9">
              <w:rPr>
                <w:lang w:val="es-ES_tradnl"/>
              </w:rPr>
              <w:t xml:space="preserve">. Dado el carácter reservado de 3 de estas auditorías, no se logró acceder a los papeles de trabajo en </w:t>
            </w:r>
            <w:r w:rsidR="00D93A7E" w:rsidRPr="00600ED9">
              <w:rPr>
                <w:lang w:val="es-ES_tradnl"/>
              </w:rPr>
              <w:t>el</w:t>
            </w:r>
            <w:r w:rsidRPr="00600ED9">
              <w:rPr>
                <w:lang w:val="es-ES_tradnl"/>
              </w:rPr>
              <w:t xml:space="preserve"> SICA y únicamente se pudieron consultar los informes emitidos.</w:t>
            </w:r>
          </w:p>
          <w:p w:rsidR="0063405A" w:rsidRPr="00600ED9" w:rsidRDefault="0063405A" w:rsidP="00FB1954">
            <w:pPr>
              <w:pStyle w:val="Normaltabletext"/>
              <w:spacing w:after="0"/>
              <w:rPr>
                <w:lang w:val="es-ES_tradnl"/>
              </w:rPr>
            </w:pPr>
          </w:p>
          <w:p w:rsidR="008C187F" w:rsidRPr="00600ED9" w:rsidRDefault="008C187F" w:rsidP="00FB1954">
            <w:pPr>
              <w:pStyle w:val="Normaltabletext"/>
              <w:spacing w:after="0"/>
              <w:rPr>
                <w:lang w:val="es-ES_tradnl"/>
              </w:rPr>
            </w:pPr>
            <w:r w:rsidRPr="00600ED9">
              <w:rPr>
                <w:lang w:val="es-ES_tradnl"/>
              </w:rPr>
              <w:t>En consecuencia, para este indicador se revisaron en el SICA</w:t>
            </w:r>
            <w:r w:rsidR="00D93A7E" w:rsidRPr="00600ED9">
              <w:rPr>
                <w:lang w:val="es-ES_tradnl"/>
              </w:rPr>
              <w:t xml:space="preserve">, las </w:t>
            </w:r>
            <w:r w:rsidRPr="00600ED9">
              <w:rPr>
                <w:lang w:val="es-ES_tradnl"/>
              </w:rPr>
              <w:t>21</w:t>
            </w:r>
            <w:r w:rsidRPr="00600ED9">
              <w:rPr>
                <w:b/>
                <w:lang w:val="es-ES_tradnl"/>
              </w:rPr>
              <w:t xml:space="preserve"> </w:t>
            </w:r>
            <w:r w:rsidRPr="00600ED9">
              <w:rPr>
                <w:lang w:val="es-ES_tradnl"/>
              </w:rPr>
              <w:t xml:space="preserve">auditorías integrales </w:t>
            </w:r>
            <w:r w:rsidR="00D93A7E" w:rsidRPr="00600ED9">
              <w:rPr>
                <w:lang w:val="es-ES_tradnl"/>
              </w:rPr>
              <w:t xml:space="preserve">citadas, las cuales permitieron confirmar, </w:t>
            </w:r>
            <w:r w:rsidRPr="00600ED9">
              <w:rPr>
                <w:lang w:val="es-ES_tradnl"/>
              </w:rPr>
              <w:t>que sol</w:t>
            </w:r>
            <w:r w:rsidR="00D93A7E" w:rsidRPr="00600ED9">
              <w:rPr>
                <w:lang w:val="es-ES_tradnl"/>
              </w:rPr>
              <w:t xml:space="preserve">o para </w:t>
            </w:r>
            <w:r w:rsidRPr="00600ED9">
              <w:rPr>
                <w:lang w:val="es-ES_tradnl"/>
              </w:rPr>
              <w:t xml:space="preserve">cinco </w:t>
            </w:r>
            <w:r w:rsidR="00D93A7E" w:rsidRPr="00600ED9">
              <w:rPr>
                <w:lang w:val="es-ES_tradnl"/>
              </w:rPr>
              <w:t xml:space="preserve">auditorías </w:t>
            </w:r>
            <w:r w:rsidRPr="00600ED9">
              <w:rPr>
                <w:lang w:val="es-ES_tradnl"/>
              </w:rPr>
              <w:t xml:space="preserve"> (23% de</w:t>
            </w:r>
            <w:r w:rsidR="00D93A7E" w:rsidRPr="00600ED9">
              <w:rPr>
                <w:lang w:val="es-ES_tradnl"/>
              </w:rPr>
              <w:t xml:space="preserve"> la muestra</w:t>
            </w:r>
            <w:r w:rsidRPr="00600ED9">
              <w:rPr>
                <w:lang w:val="es-ES_tradnl"/>
              </w:rPr>
              <w:t xml:space="preserve">), </w:t>
            </w:r>
            <w:r w:rsidR="003D108B" w:rsidRPr="00600ED9">
              <w:rPr>
                <w:lang w:val="es-ES_tradnl"/>
              </w:rPr>
              <w:t xml:space="preserve">de acuerdo con las cartas de remisión y las fechas de recepción, incluidas en el SICA, </w:t>
            </w:r>
            <w:r w:rsidRPr="00600ED9">
              <w:rPr>
                <w:lang w:val="es-ES_tradnl"/>
              </w:rPr>
              <w:t xml:space="preserve">los informes </w:t>
            </w:r>
            <w:r w:rsidR="003D108B" w:rsidRPr="00600ED9">
              <w:rPr>
                <w:lang w:val="es-ES_tradnl"/>
              </w:rPr>
              <w:t xml:space="preserve">fueron </w:t>
            </w:r>
            <w:r w:rsidRPr="00600ED9">
              <w:rPr>
                <w:lang w:val="es-ES_tradnl"/>
              </w:rPr>
              <w:t>entregados a las autoridades correspondientes, dentro de un plazo comprendido entre 15 a 30 días</w:t>
            </w:r>
            <w:r w:rsidR="003D108B" w:rsidRPr="00600ED9">
              <w:rPr>
                <w:lang w:val="es-ES_tradnl"/>
              </w:rPr>
              <w:t>.  Para las 1</w:t>
            </w:r>
            <w:r w:rsidR="00755750" w:rsidRPr="00600ED9">
              <w:rPr>
                <w:lang w:val="es-ES_tradnl"/>
              </w:rPr>
              <w:t>6 auditorías restantes (77% de l</w:t>
            </w:r>
            <w:r w:rsidR="003D108B" w:rsidRPr="00600ED9">
              <w:rPr>
                <w:lang w:val="es-ES_tradnl"/>
              </w:rPr>
              <w:t>a muestra)</w:t>
            </w:r>
            <w:r w:rsidRPr="00600ED9">
              <w:rPr>
                <w:lang w:val="es-ES_tradnl"/>
              </w:rPr>
              <w:t xml:space="preserve">, no se pudo verificar </w:t>
            </w:r>
            <w:r w:rsidR="003D108B" w:rsidRPr="00600ED9">
              <w:rPr>
                <w:lang w:val="es-ES_tradnl"/>
              </w:rPr>
              <w:t>la oportunidad de</w:t>
            </w:r>
            <w:r w:rsidRPr="00600ED9">
              <w:rPr>
                <w:lang w:val="es-ES_tradnl"/>
              </w:rPr>
              <w:t xml:space="preserve"> entrega</w:t>
            </w:r>
            <w:r w:rsidR="003D108B" w:rsidRPr="00600ED9">
              <w:rPr>
                <w:lang w:val="es-ES_tradnl"/>
              </w:rPr>
              <w:t>, por no encontrarse la información disponible en el SICA</w:t>
            </w:r>
            <w:r w:rsidR="003D0EA0" w:rsidRPr="00600ED9">
              <w:rPr>
                <w:lang w:val="es-ES_tradnl"/>
              </w:rPr>
              <w:t>.</w:t>
            </w:r>
            <w:r w:rsidR="003D108B" w:rsidRPr="00600ED9">
              <w:rPr>
                <w:lang w:val="es-ES_tradnl"/>
              </w:rPr>
              <w:t xml:space="preserve"> </w:t>
            </w:r>
          </w:p>
          <w:p w:rsidR="0063405A" w:rsidRPr="00600ED9" w:rsidRDefault="0063405A" w:rsidP="00FB1954">
            <w:pPr>
              <w:pStyle w:val="Normaltabletext"/>
              <w:spacing w:after="0"/>
              <w:rPr>
                <w:lang w:val="es-ES_tradnl"/>
              </w:rPr>
            </w:pPr>
          </w:p>
        </w:tc>
      </w:tr>
      <w:tr w:rsidR="008C187F" w:rsidRPr="00600ED9" w:rsidTr="006B7BBA">
        <w:tc>
          <w:tcPr>
            <w:tcW w:w="9356" w:type="dxa"/>
            <w:shd w:val="clear" w:color="auto" w:fill="D9D9D9" w:themeFill="background1" w:themeFillShade="D9"/>
          </w:tcPr>
          <w:p w:rsidR="008C187F" w:rsidRPr="00600ED9" w:rsidRDefault="008C187F" w:rsidP="00FB1954">
            <w:pPr>
              <w:pStyle w:val="NoSpacing"/>
              <w:rPr>
                <w:b/>
                <w:i/>
                <w:sz w:val="20"/>
                <w:szCs w:val="20"/>
                <w:lang w:val="es-ES_tradnl"/>
              </w:rPr>
            </w:pPr>
            <w:r w:rsidRPr="00600ED9">
              <w:rPr>
                <w:b/>
                <w:i/>
                <w:sz w:val="20"/>
                <w:szCs w:val="20"/>
                <w:lang w:val="es-ES_tradnl"/>
              </w:rPr>
              <w:t>Dimensión (iii) Publicación y diseminación de los resultados de auditoría financiera</w:t>
            </w:r>
          </w:p>
        </w:tc>
      </w:tr>
      <w:tr w:rsidR="008C187F" w:rsidRPr="00600ED9" w:rsidTr="003D0EA0">
        <w:tc>
          <w:tcPr>
            <w:tcW w:w="9356" w:type="dxa"/>
            <w:shd w:val="clear" w:color="auto" w:fill="D9D9D9" w:themeFill="background1" w:themeFillShade="D9"/>
          </w:tcPr>
          <w:p w:rsidR="008C187F" w:rsidRPr="00600ED9" w:rsidRDefault="008C187F" w:rsidP="00FB1954">
            <w:pPr>
              <w:pStyle w:val="NoSpacing"/>
              <w:rPr>
                <w:rFonts w:cs="Arial"/>
                <w:i/>
                <w:sz w:val="20"/>
                <w:szCs w:val="20"/>
                <w:lang w:val="es-ES_tradnl"/>
              </w:rPr>
            </w:pPr>
            <w:r w:rsidRPr="00600ED9">
              <w:rPr>
                <w:rFonts w:cs="Arial"/>
                <w:b/>
                <w:i/>
                <w:sz w:val="20"/>
                <w:szCs w:val="20"/>
                <w:lang w:val="es-ES_tradnl"/>
              </w:rPr>
              <w:t>Puntuaci</w:t>
            </w:r>
            <w:r w:rsidR="00514550" w:rsidRPr="00600ED9">
              <w:rPr>
                <w:rFonts w:cs="Arial"/>
                <w:b/>
                <w:i/>
                <w:sz w:val="20"/>
                <w:szCs w:val="20"/>
                <w:lang w:val="es-ES_tradnl"/>
              </w:rPr>
              <w:t>ón</w:t>
            </w:r>
            <w:r w:rsidRPr="00600ED9">
              <w:rPr>
                <w:rFonts w:cs="Arial"/>
                <w:b/>
                <w:i/>
                <w:sz w:val="20"/>
                <w:szCs w:val="20"/>
                <w:lang w:val="es-ES_tradnl"/>
              </w:rPr>
              <w:t xml:space="preserve"> </w:t>
            </w:r>
            <w:r w:rsidRPr="00600ED9">
              <w:rPr>
                <w:rFonts w:cs="Calibri"/>
                <w:b/>
                <w:i/>
                <w:sz w:val="20"/>
                <w:szCs w:val="20"/>
                <w:lang w:val="es-ES_tradnl"/>
              </w:rPr>
              <w:t>1</w:t>
            </w:r>
            <w:r w:rsidR="00514550" w:rsidRPr="00600ED9">
              <w:rPr>
                <w:rFonts w:cs="Calibri"/>
                <w:b/>
                <w:i/>
                <w:sz w:val="20"/>
                <w:szCs w:val="20"/>
                <w:lang w:val="es-ES_tradnl"/>
              </w:rPr>
              <w:t>:</w:t>
            </w:r>
            <w:r w:rsidRPr="00600ED9">
              <w:rPr>
                <w:rFonts w:cs="Calibri"/>
                <w:b/>
                <w:i/>
                <w:sz w:val="20"/>
                <w:szCs w:val="20"/>
                <w:lang w:val="es-ES_tradnl"/>
              </w:rPr>
              <w:t xml:space="preserve"> </w:t>
            </w:r>
            <w:r w:rsidRPr="00600ED9">
              <w:rPr>
                <w:i/>
                <w:sz w:val="20"/>
                <w:szCs w:val="20"/>
                <w:lang w:val="es-ES_tradnl"/>
              </w:rPr>
              <w:t>Para al menos el 50% de los informes y/u opiniones de auditoría en que la EFS tiene el derecho y la obligación de publicar, el informe y/u opinión se pone a disposición del público a través de los medios apropiados dentro de los 60 días posteriores al momento en que se le permite publicar a la EFS</w:t>
            </w:r>
          </w:p>
        </w:tc>
      </w:tr>
      <w:tr w:rsidR="008C187F" w:rsidRPr="00600ED9" w:rsidTr="006B7BBA">
        <w:tc>
          <w:tcPr>
            <w:tcW w:w="9356" w:type="dxa"/>
          </w:tcPr>
          <w:p w:rsidR="008C187F" w:rsidRPr="00600ED9" w:rsidRDefault="002E5D91" w:rsidP="00FB1954">
            <w:pPr>
              <w:pStyle w:val="NoSpacing"/>
              <w:jc w:val="both"/>
              <w:rPr>
                <w:sz w:val="20"/>
                <w:szCs w:val="20"/>
                <w:lang w:val="es-ES_tradnl"/>
              </w:rPr>
            </w:pPr>
            <w:r w:rsidRPr="00600ED9">
              <w:rPr>
                <w:rFonts w:cs="Arial"/>
                <w:sz w:val="20"/>
                <w:szCs w:val="20"/>
                <w:lang w:val="es-ES_tradnl"/>
              </w:rPr>
              <w:t>D</w:t>
            </w:r>
            <w:r w:rsidR="008C187F" w:rsidRPr="00600ED9">
              <w:rPr>
                <w:sz w:val="20"/>
                <w:szCs w:val="20"/>
                <w:lang w:val="es-ES_tradnl" w:eastAsia="zh-TW"/>
              </w:rPr>
              <w:t xml:space="preserve">e </w:t>
            </w:r>
            <w:r w:rsidRPr="00600ED9">
              <w:rPr>
                <w:sz w:val="20"/>
                <w:szCs w:val="20"/>
                <w:lang w:val="es-ES_tradnl" w:eastAsia="zh-TW"/>
              </w:rPr>
              <w:t xml:space="preserve">los </w:t>
            </w:r>
            <w:r w:rsidR="008C187F" w:rsidRPr="00600ED9">
              <w:rPr>
                <w:sz w:val="20"/>
                <w:szCs w:val="20"/>
                <w:lang w:val="es-ES_tradnl" w:eastAsia="zh-TW"/>
              </w:rPr>
              <w:t>30 informes que componen la muestra, 19 de los informes auditados (</w:t>
            </w:r>
            <w:r w:rsidRPr="00600ED9">
              <w:rPr>
                <w:sz w:val="20"/>
                <w:szCs w:val="20"/>
                <w:lang w:val="es-ES_tradnl" w:eastAsia="zh-TW"/>
              </w:rPr>
              <w:t>70</w:t>
            </w:r>
            <w:r w:rsidR="008C187F" w:rsidRPr="00600ED9">
              <w:rPr>
                <w:sz w:val="20"/>
                <w:szCs w:val="20"/>
                <w:lang w:val="es-ES_tradnl" w:eastAsia="zh-TW"/>
              </w:rPr>
              <w:t xml:space="preserve">%), fueron publicados en la página web (excluyendo los 3 informes </w:t>
            </w:r>
            <w:r w:rsidRPr="00600ED9">
              <w:rPr>
                <w:sz w:val="20"/>
                <w:szCs w:val="20"/>
                <w:lang w:val="es-ES_tradnl" w:eastAsia="zh-TW"/>
              </w:rPr>
              <w:t xml:space="preserve">que corresponden a </w:t>
            </w:r>
            <w:r w:rsidR="008C187F" w:rsidRPr="00600ED9">
              <w:rPr>
                <w:sz w:val="20"/>
                <w:szCs w:val="20"/>
                <w:lang w:val="es-ES_tradnl" w:eastAsia="zh-TW"/>
              </w:rPr>
              <w:t>auditorías reservadas</w:t>
            </w:r>
            <w:r w:rsidRPr="00600ED9">
              <w:rPr>
                <w:sz w:val="20"/>
                <w:szCs w:val="20"/>
                <w:lang w:val="es-ES_tradnl" w:eastAsia="zh-TW"/>
              </w:rPr>
              <w:t xml:space="preserve">, los cuales no </w:t>
            </w:r>
            <w:r w:rsidR="00514550" w:rsidRPr="00600ED9">
              <w:rPr>
                <w:sz w:val="20"/>
                <w:szCs w:val="20"/>
                <w:lang w:val="es-ES_tradnl" w:eastAsia="zh-TW"/>
              </w:rPr>
              <w:t>son</w:t>
            </w:r>
            <w:r w:rsidRPr="00600ED9">
              <w:rPr>
                <w:sz w:val="20"/>
                <w:szCs w:val="20"/>
                <w:lang w:val="es-ES_tradnl" w:eastAsia="zh-TW"/>
              </w:rPr>
              <w:t xml:space="preserve"> </w:t>
            </w:r>
            <w:r w:rsidR="008C187F" w:rsidRPr="00600ED9">
              <w:rPr>
                <w:sz w:val="20"/>
                <w:szCs w:val="20"/>
                <w:lang w:val="es-ES_tradnl" w:eastAsia="zh-TW"/>
              </w:rPr>
              <w:t>publica</w:t>
            </w:r>
            <w:r w:rsidR="00514550" w:rsidRPr="00600ED9">
              <w:rPr>
                <w:sz w:val="20"/>
                <w:szCs w:val="20"/>
                <w:lang w:val="es-ES_tradnl" w:eastAsia="zh-TW"/>
              </w:rPr>
              <w:t>d</w:t>
            </w:r>
            <w:r w:rsidRPr="00600ED9">
              <w:rPr>
                <w:sz w:val="20"/>
                <w:szCs w:val="20"/>
                <w:lang w:val="es-ES_tradnl" w:eastAsia="zh-TW"/>
              </w:rPr>
              <w:t>os</w:t>
            </w:r>
            <w:r w:rsidR="008C187F" w:rsidRPr="00600ED9">
              <w:rPr>
                <w:sz w:val="20"/>
                <w:szCs w:val="20"/>
                <w:lang w:val="es-ES_tradnl" w:eastAsia="zh-TW"/>
              </w:rPr>
              <w:t xml:space="preserve">). </w:t>
            </w:r>
            <w:r w:rsidRPr="00600ED9">
              <w:rPr>
                <w:sz w:val="20"/>
                <w:szCs w:val="20"/>
                <w:lang w:val="es-ES_tradnl" w:eastAsia="zh-TW"/>
              </w:rPr>
              <w:t xml:space="preserve">La </w:t>
            </w:r>
            <w:r w:rsidR="00514550" w:rsidRPr="00600ED9">
              <w:rPr>
                <w:sz w:val="20"/>
                <w:szCs w:val="20"/>
                <w:lang w:val="es-ES_tradnl" w:eastAsia="zh-TW"/>
              </w:rPr>
              <w:t>fecha</w:t>
            </w:r>
            <w:r w:rsidRPr="00600ED9">
              <w:rPr>
                <w:sz w:val="20"/>
                <w:szCs w:val="20"/>
                <w:lang w:val="es-ES_tradnl" w:eastAsia="zh-TW"/>
              </w:rPr>
              <w:t xml:space="preserve"> </w:t>
            </w:r>
            <w:r w:rsidR="00514550" w:rsidRPr="00600ED9">
              <w:rPr>
                <w:sz w:val="20"/>
                <w:szCs w:val="20"/>
                <w:lang w:val="es-ES_tradnl" w:eastAsia="zh-TW"/>
              </w:rPr>
              <w:t xml:space="preserve">de publicación </w:t>
            </w:r>
            <w:r w:rsidRPr="00600ED9">
              <w:rPr>
                <w:sz w:val="20"/>
                <w:szCs w:val="20"/>
                <w:lang w:val="es-ES_tradnl" w:eastAsia="zh-TW"/>
              </w:rPr>
              <w:t xml:space="preserve">en </w:t>
            </w:r>
            <w:r w:rsidR="008C187F" w:rsidRPr="00600ED9">
              <w:rPr>
                <w:sz w:val="20"/>
                <w:szCs w:val="20"/>
                <w:lang w:val="es-ES_tradnl" w:eastAsia="zh-TW"/>
              </w:rPr>
              <w:t xml:space="preserve">la web </w:t>
            </w:r>
            <w:r w:rsidRPr="00600ED9">
              <w:rPr>
                <w:sz w:val="20"/>
                <w:szCs w:val="20"/>
                <w:lang w:val="es-ES_tradnl" w:eastAsia="zh-TW"/>
              </w:rPr>
              <w:t xml:space="preserve">institucional, </w:t>
            </w:r>
            <w:r w:rsidR="008C187F" w:rsidRPr="00600ED9">
              <w:rPr>
                <w:sz w:val="20"/>
                <w:szCs w:val="20"/>
                <w:lang w:val="es-ES_tradnl" w:eastAsia="zh-TW"/>
              </w:rPr>
              <w:t xml:space="preserve">no </w:t>
            </w:r>
            <w:r w:rsidRPr="00600ED9">
              <w:rPr>
                <w:sz w:val="20"/>
                <w:szCs w:val="20"/>
                <w:lang w:val="es-ES_tradnl" w:eastAsia="zh-TW"/>
              </w:rPr>
              <w:t xml:space="preserve">es posible establecerla, </w:t>
            </w:r>
            <w:r w:rsidR="008C187F" w:rsidRPr="00600ED9">
              <w:rPr>
                <w:sz w:val="20"/>
                <w:szCs w:val="20"/>
                <w:lang w:val="es-ES_tradnl" w:eastAsia="zh-TW"/>
              </w:rPr>
              <w:t xml:space="preserve">por lo que no se pudo verificar que </w:t>
            </w:r>
            <w:r w:rsidR="00C80ECA" w:rsidRPr="00600ED9">
              <w:rPr>
                <w:sz w:val="20"/>
                <w:szCs w:val="20"/>
                <w:lang w:val="es-ES_tradnl" w:eastAsia="zh-TW"/>
              </w:rPr>
              <w:t>dicho proceso se haya cumplido</w:t>
            </w:r>
            <w:r w:rsidR="008C187F" w:rsidRPr="00600ED9">
              <w:rPr>
                <w:sz w:val="20"/>
                <w:szCs w:val="20"/>
                <w:lang w:val="es-ES_tradnl" w:eastAsia="zh-TW"/>
              </w:rPr>
              <w:t xml:space="preserve"> dentro de los 60 días posteriores a la aprobación por parte del Contralor.</w:t>
            </w:r>
          </w:p>
          <w:p w:rsidR="0036169A" w:rsidRPr="00600ED9" w:rsidRDefault="0036169A" w:rsidP="00FB1954">
            <w:pPr>
              <w:pStyle w:val="NoSpacing"/>
              <w:jc w:val="both"/>
              <w:rPr>
                <w:sz w:val="20"/>
                <w:szCs w:val="20"/>
                <w:lang w:val="es-ES_tradnl"/>
              </w:rPr>
            </w:pPr>
          </w:p>
          <w:p w:rsidR="003D0EA0" w:rsidRPr="00600ED9" w:rsidRDefault="008C187F" w:rsidP="0063405A">
            <w:pPr>
              <w:pStyle w:val="NoSpacing"/>
              <w:jc w:val="both"/>
              <w:rPr>
                <w:sz w:val="20"/>
                <w:szCs w:val="20"/>
                <w:lang w:val="es-ES_tradnl"/>
              </w:rPr>
            </w:pPr>
            <w:r w:rsidRPr="00600ED9">
              <w:rPr>
                <w:sz w:val="20"/>
                <w:szCs w:val="20"/>
                <w:lang w:val="es-ES_tradnl"/>
              </w:rPr>
              <w:t xml:space="preserve">De acuerdo con la Guía de Auditoría </w:t>
            </w:r>
            <w:r w:rsidR="00514550" w:rsidRPr="00600ED9">
              <w:rPr>
                <w:sz w:val="20"/>
                <w:szCs w:val="20"/>
                <w:lang w:val="es-ES_tradnl"/>
              </w:rPr>
              <w:t>a</w:t>
            </w:r>
            <w:r w:rsidRPr="00600ED9">
              <w:rPr>
                <w:sz w:val="20"/>
                <w:szCs w:val="20"/>
                <w:lang w:val="es-ES_tradnl"/>
              </w:rPr>
              <w:t xml:space="preserve">justada al SICA, para proceder con el cierre de la auditoría, debe haber una “reunión final con el auditado y con la publicación de los resultados del proceso auditor en los medios de </w:t>
            </w:r>
            <w:r w:rsidR="0036169A" w:rsidRPr="00600ED9">
              <w:rPr>
                <w:sz w:val="20"/>
                <w:szCs w:val="20"/>
                <w:lang w:val="es-ES_tradnl"/>
              </w:rPr>
              <w:t>comunicación, si el Contralor</w:t>
            </w:r>
            <w:r w:rsidRPr="00600ED9">
              <w:rPr>
                <w:sz w:val="20"/>
                <w:szCs w:val="20"/>
                <w:lang w:val="es-ES_tradnl"/>
              </w:rPr>
              <w:t xml:space="preserve"> General lo considera pertinente”. Según esta normativa, es el Contralor General quien autoriza la publicación de determinados informes. Si un informe de auditoría es aprobado para su publicación en los medios de comunicación, el proceso deberá ser coordinado entre la respectiva Contraloría Delegada o Gerencia Departamental y la Oficina de Comunicaciones y Publicaciones de la </w:t>
            </w:r>
            <w:r w:rsidR="00431CA4" w:rsidRPr="00600ED9">
              <w:rPr>
                <w:sz w:val="20"/>
                <w:szCs w:val="20"/>
                <w:lang w:val="es-ES_tradnl"/>
              </w:rPr>
              <w:t>CGRC</w:t>
            </w:r>
            <w:r w:rsidRPr="00600ED9">
              <w:rPr>
                <w:sz w:val="20"/>
                <w:szCs w:val="20"/>
                <w:lang w:val="es-ES_tradnl"/>
              </w:rPr>
              <w:t xml:space="preserve"> o la dependencia que determine el Contralor General.</w:t>
            </w:r>
          </w:p>
          <w:p w:rsidR="0063405A" w:rsidRPr="001471C4" w:rsidRDefault="0063405A" w:rsidP="0063405A">
            <w:pPr>
              <w:pStyle w:val="NoSpacing"/>
              <w:jc w:val="both"/>
              <w:rPr>
                <w:szCs w:val="20"/>
                <w:lang w:val="es-ES_tradnl"/>
              </w:rPr>
            </w:pPr>
          </w:p>
        </w:tc>
      </w:tr>
      <w:tr w:rsidR="008C187F" w:rsidRPr="00600ED9" w:rsidTr="006B7BBA">
        <w:tc>
          <w:tcPr>
            <w:tcW w:w="9356" w:type="dxa"/>
            <w:shd w:val="clear" w:color="auto" w:fill="D9D9D9" w:themeFill="background1" w:themeFillShade="D9"/>
          </w:tcPr>
          <w:p w:rsidR="008C187F" w:rsidRPr="00600ED9" w:rsidRDefault="008C187F" w:rsidP="00FB1954">
            <w:pPr>
              <w:pStyle w:val="NoSpacing"/>
              <w:rPr>
                <w:b/>
                <w:i/>
                <w:sz w:val="20"/>
                <w:szCs w:val="20"/>
                <w:lang w:val="es-ES_tradnl"/>
              </w:rPr>
            </w:pPr>
            <w:r w:rsidRPr="00600ED9">
              <w:rPr>
                <w:b/>
                <w:i/>
                <w:sz w:val="20"/>
                <w:szCs w:val="20"/>
                <w:lang w:val="es-ES_tradnl"/>
              </w:rPr>
              <w:t>Dimensión (iv) Seguimiento de la EFS a la implementación de las observaciones y recomendaciones de la auditoría financiera</w:t>
            </w:r>
          </w:p>
        </w:tc>
      </w:tr>
      <w:tr w:rsidR="008C187F" w:rsidRPr="00600ED9" w:rsidTr="003D0EA0">
        <w:tc>
          <w:tcPr>
            <w:tcW w:w="9356" w:type="dxa"/>
            <w:shd w:val="clear" w:color="auto" w:fill="D9D9D9" w:themeFill="background1" w:themeFillShade="D9"/>
          </w:tcPr>
          <w:p w:rsidR="008C187F" w:rsidRPr="00600ED9" w:rsidRDefault="00514550" w:rsidP="00FB1954">
            <w:pPr>
              <w:pStyle w:val="NoSpacing"/>
              <w:rPr>
                <w:i/>
                <w:sz w:val="20"/>
                <w:szCs w:val="20"/>
                <w:lang w:val="es-ES_tradnl"/>
              </w:rPr>
            </w:pPr>
            <w:r w:rsidRPr="00600ED9">
              <w:rPr>
                <w:b/>
                <w:i/>
                <w:sz w:val="20"/>
                <w:szCs w:val="20"/>
                <w:lang w:val="es-ES_tradnl"/>
              </w:rPr>
              <w:t>Puntuación</w:t>
            </w:r>
            <w:r w:rsidR="008C187F" w:rsidRPr="00600ED9">
              <w:rPr>
                <w:b/>
                <w:i/>
                <w:sz w:val="20"/>
                <w:szCs w:val="20"/>
                <w:lang w:val="es-ES_tradnl"/>
              </w:rPr>
              <w:t xml:space="preserve"> </w:t>
            </w:r>
            <w:r w:rsidR="008C187F" w:rsidRPr="00600ED9">
              <w:rPr>
                <w:rFonts w:cs="Calibri"/>
                <w:b/>
                <w:i/>
                <w:sz w:val="20"/>
                <w:szCs w:val="20"/>
                <w:lang w:val="es-ES_tradnl"/>
              </w:rPr>
              <w:t>1</w:t>
            </w:r>
            <w:r w:rsidR="00912AD8" w:rsidRPr="00600ED9">
              <w:rPr>
                <w:rFonts w:cs="Calibri"/>
                <w:b/>
                <w:i/>
                <w:sz w:val="20"/>
                <w:szCs w:val="20"/>
                <w:lang w:val="es-ES_tradnl"/>
              </w:rPr>
              <w:t>: Al</w:t>
            </w:r>
            <w:r w:rsidR="008C187F" w:rsidRPr="00600ED9">
              <w:rPr>
                <w:rFonts w:cs="Calibri"/>
                <w:i/>
                <w:sz w:val="20"/>
                <w:szCs w:val="20"/>
                <w:lang w:val="es-ES_tradnl"/>
              </w:rPr>
              <w:t xml:space="preserve"> menos 1 de los criterios está establecido.</w:t>
            </w:r>
          </w:p>
        </w:tc>
      </w:tr>
      <w:tr w:rsidR="008C187F" w:rsidRPr="00600ED9" w:rsidTr="006B7BBA">
        <w:tc>
          <w:tcPr>
            <w:tcW w:w="9356" w:type="dxa"/>
          </w:tcPr>
          <w:p w:rsidR="008C187F" w:rsidRPr="00600ED9" w:rsidRDefault="008C187F" w:rsidP="00FB1954">
            <w:pPr>
              <w:pStyle w:val="Normaltabletext"/>
              <w:spacing w:after="0"/>
              <w:rPr>
                <w:lang w:val="es-ES_tradnl"/>
              </w:rPr>
            </w:pPr>
            <w:r w:rsidRPr="00600ED9">
              <w:rPr>
                <w:lang w:val="es-ES_tradnl"/>
              </w:rPr>
              <w:t xml:space="preserve">Criterio (b) cumple. Criterios (a), (c) y (d) no cumplen. </w:t>
            </w:r>
          </w:p>
          <w:p w:rsidR="0063405A" w:rsidRPr="00600ED9" w:rsidRDefault="0063405A" w:rsidP="00FB1954">
            <w:pPr>
              <w:pStyle w:val="Normaltabletext"/>
              <w:spacing w:after="0"/>
              <w:rPr>
                <w:lang w:val="es-ES_tradnl"/>
              </w:rPr>
            </w:pPr>
          </w:p>
          <w:p w:rsidR="008C187F" w:rsidRPr="00600ED9" w:rsidRDefault="00755750" w:rsidP="00FB1954">
            <w:pPr>
              <w:pStyle w:val="Normaltabletext"/>
              <w:spacing w:after="0"/>
              <w:rPr>
                <w:lang w:val="es-ES_tradnl"/>
              </w:rPr>
            </w:pPr>
            <w:r w:rsidRPr="00600ED9">
              <w:rPr>
                <w:lang w:val="es-ES_tradnl"/>
              </w:rPr>
              <w:t>Las entidades auditadas, u</w:t>
            </w:r>
            <w:r w:rsidR="008C187F" w:rsidRPr="00600ED9">
              <w:rPr>
                <w:lang w:val="es-ES_tradnl"/>
              </w:rPr>
              <w:t xml:space="preserve">na vez </w:t>
            </w:r>
            <w:r w:rsidRPr="00600ED9">
              <w:rPr>
                <w:lang w:val="es-ES_tradnl"/>
              </w:rPr>
              <w:t xml:space="preserve">reciben el </w:t>
            </w:r>
            <w:r w:rsidR="008C187F" w:rsidRPr="00600ED9">
              <w:rPr>
                <w:lang w:val="es-ES_tradnl"/>
              </w:rPr>
              <w:t>informe final</w:t>
            </w:r>
            <w:r w:rsidRPr="00600ED9">
              <w:rPr>
                <w:lang w:val="es-ES_tradnl"/>
              </w:rPr>
              <w:t xml:space="preserve"> y de conformidad con </w:t>
            </w:r>
            <w:r w:rsidR="00912AD8" w:rsidRPr="00600ED9">
              <w:rPr>
                <w:lang w:val="es-ES_tradnl"/>
              </w:rPr>
              <w:t>el</w:t>
            </w:r>
            <w:r w:rsidRPr="00600ED9">
              <w:rPr>
                <w:lang w:val="es-ES_tradnl"/>
              </w:rPr>
              <w:t xml:space="preserve"> marco legal, </w:t>
            </w:r>
            <w:r w:rsidR="008C187F" w:rsidRPr="00600ED9">
              <w:rPr>
                <w:lang w:val="es-ES_tradnl"/>
              </w:rPr>
              <w:t xml:space="preserve"> elabora</w:t>
            </w:r>
            <w:r w:rsidRPr="00600ED9">
              <w:rPr>
                <w:lang w:val="es-ES_tradnl"/>
              </w:rPr>
              <w:t xml:space="preserve">n </w:t>
            </w:r>
            <w:r w:rsidR="008C187F" w:rsidRPr="00600ED9">
              <w:rPr>
                <w:lang w:val="es-ES_tradnl"/>
              </w:rPr>
              <w:t xml:space="preserve"> </w:t>
            </w:r>
            <w:r w:rsidRPr="00600ED9">
              <w:rPr>
                <w:lang w:val="es-ES_tradnl"/>
              </w:rPr>
              <w:t>el</w:t>
            </w:r>
            <w:r w:rsidR="008C187F" w:rsidRPr="00600ED9">
              <w:rPr>
                <w:lang w:val="es-ES_tradnl"/>
              </w:rPr>
              <w:t xml:space="preserve"> plan de mejora</w:t>
            </w:r>
            <w:r w:rsidRPr="00600ED9">
              <w:rPr>
                <w:lang w:val="es-ES_tradnl"/>
              </w:rPr>
              <w:t xml:space="preserve">, </w:t>
            </w:r>
            <w:r w:rsidR="008C187F" w:rsidRPr="00600ED9">
              <w:rPr>
                <w:lang w:val="es-ES_tradnl"/>
              </w:rPr>
              <w:t xml:space="preserve"> el cual </w:t>
            </w:r>
            <w:r w:rsidRPr="00600ED9">
              <w:rPr>
                <w:lang w:val="es-ES_tradnl"/>
              </w:rPr>
              <w:t xml:space="preserve">es </w:t>
            </w:r>
            <w:r w:rsidR="008C187F" w:rsidRPr="00600ED9">
              <w:rPr>
                <w:lang w:val="es-ES_tradnl"/>
              </w:rPr>
              <w:t>ingresado al SIRECI</w:t>
            </w:r>
            <w:r w:rsidR="00AA2944" w:rsidRPr="00600ED9">
              <w:rPr>
                <w:lang w:val="es-ES_tradnl"/>
              </w:rPr>
              <w:t>, este instr</w:t>
            </w:r>
            <w:r w:rsidR="009756AC" w:rsidRPr="00600ED9">
              <w:rPr>
                <w:lang w:val="es-ES_tradnl"/>
              </w:rPr>
              <w:t>u</w:t>
            </w:r>
            <w:r w:rsidR="00AA2944" w:rsidRPr="00600ED9">
              <w:rPr>
                <w:lang w:val="es-ES_tradnl"/>
              </w:rPr>
              <w:t>mento también les permite reportar los avances</w:t>
            </w:r>
            <w:r w:rsidR="008C187F" w:rsidRPr="00600ED9">
              <w:rPr>
                <w:lang w:val="es-ES_tradnl"/>
              </w:rPr>
              <w:t>.</w:t>
            </w:r>
          </w:p>
          <w:p w:rsidR="00AA2944" w:rsidRPr="00600ED9" w:rsidRDefault="00AA2944" w:rsidP="00FB1954">
            <w:pPr>
              <w:pStyle w:val="Normaltabletext"/>
              <w:spacing w:after="0"/>
              <w:rPr>
                <w:lang w:val="es-ES_tradnl"/>
              </w:rPr>
            </w:pPr>
            <w:r w:rsidRPr="00600ED9">
              <w:rPr>
                <w:lang w:val="es-ES_tradnl"/>
              </w:rPr>
              <w:t>Sin embargo, la CGRC no hace uso efectivo de esta herramienta, en la medida que no realiza seguimiento periódico para confirmar la efectiva implementación de las recomendaciones.  La confirmación se realiza exclusivamente como parte de la ejecución de una nueva auditoría. La CGRC tampoco emite informes sobre las medidas tomadas por la</w:t>
            </w:r>
            <w:r w:rsidR="00AE1F8B" w:rsidRPr="00600ED9">
              <w:rPr>
                <w:lang w:val="es-ES_tradnl"/>
              </w:rPr>
              <w:t>s</w:t>
            </w:r>
            <w:r w:rsidRPr="00600ED9">
              <w:rPr>
                <w:lang w:val="es-ES_tradnl"/>
              </w:rPr>
              <w:t xml:space="preserve"> entidades en relación con sus recomendaciones  o los incumplimientos</w:t>
            </w:r>
            <w:r w:rsidR="00C83802" w:rsidRPr="00600ED9">
              <w:rPr>
                <w:lang w:val="es-ES_tradnl"/>
              </w:rPr>
              <w:t xml:space="preserve"> reportados</w:t>
            </w:r>
            <w:r w:rsidRPr="00600ED9">
              <w:rPr>
                <w:lang w:val="es-ES_tradnl"/>
              </w:rPr>
              <w:t xml:space="preserve">. </w:t>
            </w:r>
          </w:p>
          <w:p w:rsidR="008C187F" w:rsidRPr="00600ED9" w:rsidRDefault="008C187F" w:rsidP="00FB1954">
            <w:pPr>
              <w:pStyle w:val="Normaltabletext"/>
              <w:spacing w:after="0"/>
              <w:rPr>
                <w:lang w:val="es-ES_tradnl"/>
              </w:rPr>
            </w:pPr>
            <w:r w:rsidRPr="00600ED9">
              <w:rPr>
                <w:lang w:val="es-ES_tradnl"/>
              </w:rPr>
              <w:lastRenderedPageBreak/>
              <w:t xml:space="preserve">Dentro de la Guía de Auditoría Ajustada al SICA existe un procedimiento que indica: “El auditado, como resultado de la auditoría, elaborará un Plan de Mejoramiento el cual será reportado a través del SIRECI, así como avances del mismo. Sobre dicho plan, la </w:t>
            </w:r>
            <w:r w:rsidR="007C2B18" w:rsidRPr="00600ED9">
              <w:rPr>
                <w:lang w:val="es-ES_tradnl"/>
              </w:rPr>
              <w:t>CGRC</w:t>
            </w:r>
            <w:r w:rsidRPr="00600ED9">
              <w:rPr>
                <w:lang w:val="es-ES_tradnl"/>
              </w:rPr>
              <w:t xml:space="preserve"> </w:t>
            </w:r>
            <w:r w:rsidRPr="00600ED9">
              <w:rPr>
                <w:b/>
                <w:lang w:val="es-ES_tradnl"/>
              </w:rPr>
              <w:t>no</w:t>
            </w:r>
            <w:r w:rsidRPr="00600ED9">
              <w:rPr>
                <w:lang w:val="es-ES_tradnl"/>
              </w:rPr>
              <w:t xml:space="preserve"> </w:t>
            </w:r>
            <w:r w:rsidRPr="00600ED9">
              <w:rPr>
                <w:b/>
                <w:lang w:val="es-ES_tradnl"/>
              </w:rPr>
              <w:t>emitirá pronunciamiento</w:t>
            </w:r>
            <w:r w:rsidRPr="00600ED9">
              <w:rPr>
                <w:lang w:val="es-ES_tradnl"/>
              </w:rPr>
              <w:t xml:space="preserve">. Dentro del siguiente proceso auditor se evaluará la efectividad de las acciones emprendidas por el ente objeto de control fiscal, para eliminar las causa de los hallazgos detectados por la </w:t>
            </w:r>
            <w:r w:rsidR="00431CA4" w:rsidRPr="00600ED9">
              <w:rPr>
                <w:lang w:val="es-ES_tradnl"/>
              </w:rPr>
              <w:t>CGRC</w:t>
            </w:r>
            <w:r w:rsidRPr="00600ED9">
              <w:rPr>
                <w:lang w:val="es-ES_tradnl"/>
              </w:rPr>
              <w:t xml:space="preserve"> en la auditoría anterior”.</w:t>
            </w:r>
          </w:p>
          <w:p w:rsidR="0063405A" w:rsidRPr="00600ED9" w:rsidRDefault="0063405A" w:rsidP="00FB1954">
            <w:pPr>
              <w:pStyle w:val="Normaltabletext"/>
              <w:spacing w:after="0"/>
              <w:rPr>
                <w:lang w:val="es-ES_tradnl"/>
              </w:rPr>
            </w:pPr>
          </w:p>
        </w:tc>
      </w:tr>
    </w:tbl>
    <w:p w:rsidR="00C96A7E" w:rsidRPr="00600ED9" w:rsidRDefault="00C96A7E" w:rsidP="00FB1954">
      <w:pPr>
        <w:pStyle w:val="NoSpacing"/>
        <w:ind w:left="709"/>
        <w:rPr>
          <w:b/>
          <w:bCs/>
          <w:smallCaps/>
          <w:szCs w:val="20"/>
          <w:lang w:val="es-ES_tradnl"/>
        </w:rPr>
      </w:pPr>
    </w:p>
    <w:p w:rsidR="001E1F5D" w:rsidRPr="00600ED9" w:rsidRDefault="00720E42" w:rsidP="00FB1954">
      <w:pPr>
        <w:pStyle w:val="NoSpacing"/>
        <w:ind w:left="709"/>
        <w:rPr>
          <w:lang w:val="es-ES_tradnl"/>
        </w:rPr>
      </w:pPr>
      <w:r w:rsidRPr="00600ED9">
        <w:rPr>
          <w:b/>
          <w:bCs/>
          <w:smallCaps/>
          <w:szCs w:val="20"/>
          <w:lang w:val="es-ES_tradnl"/>
        </w:rPr>
        <w:t>Recomendaciones:</w:t>
      </w:r>
      <w:r w:rsidR="00C96A7E" w:rsidRPr="00600ED9">
        <w:rPr>
          <w:b/>
          <w:bCs/>
          <w:smallCaps/>
          <w:szCs w:val="20"/>
          <w:lang w:val="es-ES_tradnl"/>
        </w:rPr>
        <w:t xml:space="preserve"> </w:t>
      </w:r>
      <w:r w:rsidR="005120A2" w:rsidRPr="00600ED9">
        <w:rPr>
          <w:lang w:val="es-ES_tradnl"/>
        </w:rPr>
        <w:t>Consultar el</w:t>
      </w:r>
      <w:r w:rsidR="00CA3E61" w:rsidRPr="00600ED9">
        <w:rPr>
          <w:lang w:val="es-ES_tradnl"/>
        </w:rPr>
        <w:t xml:space="preserve"> Anexo </w:t>
      </w:r>
      <w:r w:rsidR="00521B1A" w:rsidRPr="00600ED9">
        <w:rPr>
          <w:lang w:val="es-ES_tradnl"/>
        </w:rPr>
        <w:t>A</w:t>
      </w:r>
      <w:r w:rsidR="00CA3E61" w:rsidRPr="00600ED9">
        <w:rPr>
          <w:lang w:val="es-ES_tradnl"/>
        </w:rPr>
        <w:t xml:space="preserve">: Plan de Acción, </w:t>
      </w:r>
      <w:r w:rsidR="00521B1A" w:rsidRPr="00600ED9">
        <w:rPr>
          <w:lang w:val="es-ES_tradnl"/>
        </w:rPr>
        <w:t xml:space="preserve">recomendaciones No. 1 a </w:t>
      </w:r>
      <w:r w:rsidR="00BA40FC" w:rsidRPr="00600ED9">
        <w:rPr>
          <w:lang w:val="es-ES_tradnl"/>
        </w:rPr>
        <w:t>3</w:t>
      </w:r>
      <w:r w:rsidR="00CA3E61" w:rsidRPr="00600ED9">
        <w:rPr>
          <w:lang w:val="es-ES_tradnl"/>
        </w:rPr>
        <w:t>.</w:t>
      </w:r>
    </w:p>
    <w:p w:rsidR="003F6677" w:rsidRPr="00600ED9" w:rsidRDefault="003F6677" w:rsidP="00FB1954">
      <w:pPr>
        <w:pStyle w:val="NoSpacing"/>
        <w:rPr>
          <w:lang w:val="es-ES_tradnl"/>
        </w:rPr>
      </w:pPr>
    </w:p>
    <w:p w:rsidR="0063405A" w:rsidRPr="00600ED9" w:rsidRDefault="0063405A" w:rsidP="00FB1954">
      <w:pPr>
        <w:pStyle w:val="NoSpacing"/>
        <w:rPr>
          <w:lang w:val="es-ES_tradnl"/>
        </w:rPr>
      </w:pPr>
    </w:p>
    <w:p w:rsidR="00720E42" w:rsidRPr="00600ED9" w:rsidRDefault="00FC6FE0" w:rsidP="00FB1954">
      <w:pPr>
        <w:pStyle w:val="Heading2"/>
        <w:spacing w:before="0" w:line="240" w:lineRule="auto"/>
        <w:ind w:hanging="371"/>
      </w:pPr>
      <w:bookmarkStart w:id="15" w:name="_Toc295932907"/>
      <w:r w:rsidRPr="00600ED9">
        <w:t xml:space="preserve">EFS </w:t>
      </w:r>
      <w:r w:rsidR="00720E42" w:rsidRPr="00600ED9">
        <w:t xml:space="preserve">2 – Resultados de la </w:t>
      </w:r>
      <w:r w:rsidR="005429A6" w:rsidRPr="00600ED9">
        <w:t xml:space="preserve">Auditoría </w:t>
      </w:r>
      <w:r w:rsidR="00720E42" w:rsidRPr="00600ED9">
        <w:t>de Cumplimiento</w:t>
      </w:r>
      <w:bookmarkEnd w:id="15"/>
    </w:p>
    <w:p w:rsidR="003F6677" w:rsidRPr="00600ED9" w:rsidRDefault="003F6677" w:rsidP="00FB1954">
      <w:pPr>
        <w:spacing w:after="0" w:line="240" w:lineRule="auto"/>
      </w:pPr>
    </w:p>
    <w:tbl>
      <w:tblPr>
        <w:tblW w:w="8407" w:type="dxa"/>
        <w:tblInd w:w="720" w:type="dxa"/>
        <w:tblCellMar>
          <w:left w:w="70" w:type="dxa"/>
          <w:right w:w="70" w:type="dxa"/>
        </w:tblCellMar>
        <w:tblLook w:val="04A0" w:firstRow="1" w:lastRow="0" w:firstColumn="1" w:lastColumn="0" w:noHBand="0" w:noVBand="1"/>
      </w:tblPr>
      <w:tblGrid>
        <w:gridCol w:w="2257"/>
        <w:gridCol w:w="1156"/>
        <w:gridCol w:w="1337"/>
        <w:gridCol w:w="1156"/>
        <w:gridCol w:w="1439"/>
        <w:gridCol w:w="158"/>
        <w:gridCol w:w="1085"/>
      </w:tblGrid>
      <w:tr w:rsidR="00257BF7" w:rsidRPr="00600ED9" w:rsidTr="00F07F86">
        <w:trPr>
          <w:trHeight w:val="255"/>
        </w:trPr>
        <w:tc>
          <w:tcPr>
            <w:tcW w:w="2257" w:type="dxa"/>
            <w:tcBorders>
              <w:top w:val="nil"/>
              <w:left w:val="nil"/>
              <w:bottom w:val="nil"/>
              <w:right w:val="nil"/>
            </w:tcBorders>
            <w:shd w:val="clear" w:color="auto" w:fill="auto"/>
            <w:noWrap/>
            <w:vAlign w:val="bottom"/>
            <w:hideMark/>
          </w:tcPr>
          <w:p w:rsidR="00257BF7" w:rsidRPr="00600ED9" w:rsidRDefault="00257BF7" w:rsidP="00FB1954">
            <w:pPr>
              <w:pStyle w:val="NoSpacing"/>
              <w:tabs>
                <w:tab w:val="center" w:pos="4680"/>
                <w:tab w:val="right" w:pos="9360"/>
              </w:tabs>
              <w:jc w:val="center"/>
              <w:rPr>
                <w:sz w:val="20"/>
                <w:lang w:val="es-ES_tradnl"/>
              </w:rPr>
            </w:pPr>
          </w:p>
        </w:tc>
        <w:tc>
          <w:tcPr>
            <w:tcW w:w="4907" w:type="dxa"/>
            <w:gridSpan w:val="4"/>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257BF7" w:rsidRPr="00600ED9" w:rsidRDefault="00257BF7" w:rsidP="00FB1954">
            <w:pPr>
              <w:pStyle w:val="NoSpacing"/>
              <w:jc w:val="center"/>
              <w:rPr>
                <w:b/>
                <w:bCs/>
                <w:sz w:val="20"/>
                <w:lang w:val="es-ES_tradnl"/>
              </w:rPr>
            </w:pPr>
            <w:r w:rsidRPr="00600ED9">
              <w:rPr>
                <w:b/>
                <w:bCs/>
                <w:sz w:val="20"/>
                <w:lang w:val="es-ES_tradnl"/>
              </w:rPr>
              <w:t>Dimensiones Evaluadas</w:t>
            </w:r>
          </w:p>
        </w:tc>
        <w:tc>
          <w:tcPr>
            <w:tcW w:w="158" w:type="dxa"/>
            <w:tcBorders>
              <w:top w:val="nil"/>
              <w:left w:val="nil"/>
              <w:bottom w:val="nil"/>
              <w:right w:val="nil"/>
            </w:tcBorders>
            <w:shd w:val="clear" w:color="auto" w:fill="auto"/>
            <w:noWrap/>
            <w:vAlign w:val="bottom"/>
            <w:hideMark/>
          </w:tcPr>
          <w:p w:rsidR="00257BF7" w:rsidRPr="00600ED9" w:rsidRDefault="00257BF7" w:rsidP="00FB1954">
            <w:pPr>
              <w:pStyle w:val="NoSpacing"/>
              <w:tabs>
                <w:tab w:val="center" w:pos="4680"/>
                <w:tab w:val="right" w:pos="9360"/>
              </w:tabs>
              <w:jc w:val="center"/>
              <w:rPr>
                <w:sz w:val="20"/>
                <w:lang w:val="es-ES_tradnl"/>
              </w:rPr>
            </w:pPr>
          </w:p>
        </w:tc>
        <w:tc>
          <w:tcPr>
            <w:tcW w:w="1085" w:type="dxa"/>
            <w:vMerge w:val="restart"/>
            <w:tcBorders>
              <w:top w:val="single" w:sz="4" w:space="0" w:color="auto"/>
              <w:left w:val="single" w:sz="4" w:space="0" w:color="auto"/>
              <w:bottom w:val="single" w:sz="4" w:space="0" w:color="auto"/>
              <w:right w:val="single" w:sz="4" w:space="0" w:color="auto"/>
            </w:tcBorders>
            <w:shd w:val="clear" w:color="000000" w:fill="95B3D7"/>
            <w:vAlign w:val="center"/>
            <w:hideMark/>
          </w:tcPr>
          <w:p w:rsidR="00257BF7" w:rsidRPr="00600ED9" w:rsidRDefault="00257BF7" w:rsidP="00FB1954">
            <w:pPr>
              <w:pStyle w:val="NoSpacing"/>
              <w:jc w:val="center"/>
              <w:rPr>
                <w:b/>
                <w:bCs/>
                <w:sz w:val="20"/>
                <w:lang w:val="es-ES_tradnl"/>
              </w:rPr>
            </w:pPr>
            <w:r w:rsidRPr="00600ED9">
              <w:rPr>
                <w:b/>
                <w:bCs/>
                <w:sz w:val="20"/>
                <w:lang w:val="es-ES_tradnl"/>
              </w:rPr>
              <w:t>Puntuación General</w:t>
            </w:r>
          </w:p>
        </w:tc>
      </w:tr>
      <w:tr w:rsidR="00257BF7" w:rsidRPr="00600ED9" w:rsidTr="00A06F21">
        <w:trPr>
          <w:trHeight w:val="390"/>
        </w:trPr>
        <w:tc>
          <w:tcPr>
            <w:tcW w:w="2257"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257BF7" w:rsidRPr="00600ED9" w:rsidRDefault="00257BF7" w:rsidP="00FB1954">
            <w:pPr>
              <w:pStyle w:val="NoSpacing"/>
              <w:jc w:val="center"/>
              <w:rPr>
                <w:b/>
                <w:bCs/>
                <w:sz w:val="20"/>
                <w:lang w:val="es-ES_tradnl"/>
              </w:rPr>
            </w:pPr>
            <w:r w:rsidRPr="00600ED9">
              <w:rPr>
                <w:b/>
                <w:bCs/>
                <w:sz w:val="20"/>
                <w:lang w:val="es-ES_tradnl"/>
              </w:rPr>
              <w:t>Indicadores</w:t>
            </w:r>
          </w:p>
        </w:tc>
        <w:tc>
          <w:tcPr>
            <w:tcW w:w="1156" w:type="dxa"/>
            <w:tcBorders>
              <w:top w:val="nil"/>
              <w:left w:val="nil"/>
              <w:bottom w:val="single" w:sz="4" w:space="0" w:color="auto"/>
              <w:right w:val="single" w:sz="4" w:space="0" w:color="auto"/>
            </w:tcBorders>
            <w:shd w:val="clear" w:color="000000" w:fill="D8D8D8"/>
            <w:noWrap/>
            <w:hideMark/>
          </w:tcPr>
          <w:p w:rsidR="00683FE2" w:rsidRPr="00600ED9" w:rsidRDefault="00421D09" w:rsidP="00FB1954">
            <w:pPr>
              <w:pStyle w:val="NoSpacing"/>
              <w:jc w:val="center"/>
              <w:rPr>
                <w:b/>
                <w:bCs/>
                <w:w w:val="90"/>
                <w:sz w:val="20"/>
                <w:lang w:val="es-ES_tradnl"/>
              </w:rPr>
            </w:pPr>
            <w:r w:rsidRPr="00600ED9">
              <w:rPr>
                <w:b/>
                <w:bCs/>
                <w:w w:val="90"/>
                <w:sz w:val="20"/>
                <w:lang w:val="es-ES_tradnl"/>
              </w:rPr>
              <w:t>(i)</w:t>
            </w:r>
          </w:p>
          <w:p w:rsidR="00257BF7" w:rsidRPr="00600ED9" w:rsidRDefault="00257BF7" w:rsidP="00FB1954">
            <w:pPr>
              <w:pStyle w:val="NoSpacing"/>
              <w:jc w:val="center"/>
              <w:rPr>
                <w:b/>
                <w:bCs/>
                <w:sz w:val="20"/>
                <w:lang w:val="es-ES_tradnl"/>
              </w:rPr>
            </w:pPr>
            <w:r w:rsidRPr="00600ED9">
              <w:rPr>
                <w:bCs/>
                <w:w w:val="90"/>
                <w:sz w:val="20"/>
                <w:lang w:val="es-ES_tradnl"/>
              </w:rPr>
              <w:t>Alcance de la auditoría de cumplimiento</w:t>
            </w:r>
          </w:p>
        </w:tc>
        <w:tc>
          <w:tcPr>
            <w:tcW w:w="1337" w:type="dxa"/>
            <w:tcBorders>
              <w:top w:val="nil"/>
              <w:left w:val="nil"/>
              <w:bottom w:val="single" w:sz="4" w:space="0" w:color="auto"/>
              <w:right w:val="single" w:sz="4" w:space="0" w:color="auto"/>
            </w:tcBorders>
            <w:shd w:val="clear" w:color="000000" w:fill="D8D8D8"/>
            <w:noWrap/>
            <w:hideMark/>
          </w:tcPr>
          <w:p w:rsidR="00683FE2" w:rsidRPr="00600ED9" w:rsidRDefault="00421D09" w:rsidP="00FB1954">
            <w:pPr>
              <w:pStyle w:val="NoSpacing"/>
              <w:jc w:val="center"/>
              <w:rPr>
                <w:b/>
                <w:bCs/>
                <w:w w:val="90"/>
                <w:sz w:val="20"/>
                <w:lang w:val="es-ES_tradnl"/>
              </w:rPr>
            </w:pPr>
            <w:r w:rsidRPr="00600ED9">
              <w:rPr>
                <w:b/>
                <w:bCs/>
                <w:w w:val="90"/>
                <w:sz w:val="20"/>
                <w:lang w:val="es-ES_tradnl"/>
              </w:rPr>
              <w:t>(ii)</w:t>
            </w:r>
          </w:p>
          <w:p w:rsidR="00257BF7" w:rsidRPr="00600ED9" w:rsidRDefault="00257BF7" w:rsidP="00FB1954">
            <w:pPr>
              <w:pStyle w:val="NoSpacing"/>
              <w:jc w:val="center"/>
              <w:rPr>
                <w:b/>
                <w:bCs/>
                <w:sz w:val="20"/>
                <w:lang w:val="es-ES_tradnl"/>
              </w:rPr>
            </w:pPr>
            <w:r w:rsidRPr="00600ED9">
              <w:rPr>
                <w:bCs/>
                <w:w w:val="90"/>
                <w:sz w:val="20"/>
                <w:lang w:val="es-ES_tradnl"/>
              </w:rPr>
              <w:t>Presentación de los resultados de la auditoría de cumplimiento</w:t>
            </w:r>
          </w:p>
        </w:tc>
        <w:tc>
          <w:tcPr>
            <w:tcW w:w="975" w:type="dxa"/>
            <w:tcBorders>
              <w:top w:val="nil"/>
              <w:left w:val="nil"/>
              <w:bottom w:val="single" w:sz="4" w:space="0" w:color="auto"/>
              <w:right w:val="single" w:sz="4" w:space="0" w:color="auto"/>
            </w:tcBorders>
            <w:shd w:val="clear" w:color="000000" w:fill="D8D8D8"/>
            <w:noWrap/>
            <w:hideMark/>
          </w:tcPr>
          <w:p w:rsidR="00683FE2" w:rsidRPr="00600ED9" w:rsidRDefault="00421D09" w:rsidP="00FB1954">
            <w:pPr>
              <w:pStyle w:val="NoSpacing"/>
              <w:jc w:val="center"/>
              <w:rPr>
                <w:b/>
                <w:bCs/>
                <w:w w:val="90"/>
                <w:sz w:val="20"/>
                <w:lang w:val="es-ES_tradnl"/>
              </w:rPr>
            </w:pPr>
            <w:r w:rsidRPr="00600ED9">
              <w:rPr>
                <w:b/>
                <w:bCs/>
                <w:w w:val="90"/>
                <w:sz w:val="20"/>
                <w:lang w:val="es-ES_tradnl"/>
              </w:rPr>
              <w:t>(iii)</w:t>
            </w:r>
          </w:p>
          <w:p w:rsidR="00257BF7" w:rsidRPr="00600ED9" w:rsidRDefault="00257BF7" w:rsidP="00FB1954">
            <w:pPr>
              <w:pStyle w:val="NoSpacing"/>
              <w:jc w:val="center"/>
              <w:rPr>
                <w:b/>
                <w:bCs/>
                <w:sz w:val="20"/>
                <w:lang w:val="es-ES_tradnl"/>
              </w:rPr>
            </w:pPr>
            <w:r w:rsidRPr="00600ED9">
              <w:rPr>
                <w:bCs/>
                <w:w w:val="90"/>
                <w:sz w:val="20"/>
                <w:lang w:val="es-ES_tradnl"/>
              </w:rPr>
              <w:t>Publicación y difusión de los resultados de la auditoría de cumplimiento</w:t>
            </w:r>
          </w:p>
        </w:tc>
        <w:tc>
          <w:tcPr>
            <w:tcW w:w="1439" w:type="dxa"/>
            <w:tcBorders>
              <w:top w:val="nil"/>
              <w:left w:val="nil"/>
              <w:bottom w:val="single" w:sz="4" w:space="0" w:color="auto"/>
              <w:right w:val="single" w:sz="4" w:space="0" w:color="auto"/>
            </w:tcBorders>
            <w:shd w:val="clear" w:color="000000" w:fill="D8D8D8"/>
            <w:noWrap/>
            <w:hideMark/>
          </w:tcPr>
          <w:p w:rsidR="00683FE2" w:rsidRPr="00600ED9" w:rsidRDefault="00421D09" w:rsidP="00FB1954">
            <w:pPr>
              <w:pStyle w:val="NoSpacing"/>
              <w:jc w:val="center"/>
              <w:rPr>
                <w:b/>
                <w:bCs/>
                <w:w w:val="90"/>
                <w:sz w:val="20"/>
                <w:lang w:val="es-ES_tradnl"/>
              </w:rPr>
            </w:pPr>
            <w:r w:rsidRPr="00600ED9">
              <w:rPr>
                <w:b/>
                <w:bCs/>
                <w:w w:val="90"/>
                <w:sz w:val="20"/>
                <w:lang w:val="es-ES_tradnl"/>
              </w:rPr>
              <w:t>(iv)</w:t>
            </w:r>
          </w:p>
          <w:p w:rsidR="00257BF7" w:rsidRPr="00600ED9" w:rsidRDefault="00257BF7" w:rsidP="00FB1954">
            <w:pPr>
              <w:pStyle w:val="NoSpacing"/>
              <w:jc w:val="center"/>
              <w:rPr>
                <w:b/>
                <w:bCs/>
                <w:sz w:val="20"/>
                <w:lang w:val="es-ES_tradnl"/>
              </w:rPr>
            </w:pPr>
            <w:r w:rsidRPr="00600ED9">
              <w:rPr>
                <w:bCs/>
                <w:w w:val="90"/>
                <w:sz w:val="20"/>
                <w:lang w:val="es-ES_tradnl"/>
              </w:rPr>
              <w:t>Seguimiento a observaciones y recomendaciones derivadas de la auditoría</w:t>
            </w:r>
          </w:p>
        </w:tc>
        <w:tc>
          <w:tcPr>
            <w:tcW w:w="158" w:type="dxa"/>
            <w:tcBorders>
              <w:top w:val="nil"/>
              <w:left w:val="nil"/>
              <w:bottom w:val="nil"/>
              <w:right w:val="nil"/>
            </w:tcBorders>
            <w:shd w:val="clear" w:color="auto" w:fill="auto"/>
            <w:noWrap/>
            <w:hideMark/>
          </w:tcPr>
          <w:p w:rsidR="00257BF7" w:rsidRPr="00600ED9" w:rsidRDefault="00257BF7" w:rsidP="00FB1954">
            <w:pPr>
              <w:pStyle w:val="NoSpacing"/>
              <w:tabs>
                <w:tab w:val="center" w:pos="4680"/>
                <w:tab w:val="right" w:pos="9360"/>
              </w:tabs>
              <w:jc w:val="center"/>
              <w:rPr>
                <w:sz w:val="20"/>
                <w:lang w:val="es-ES_tradnl"/>
              </w:rPr>
            </w:pPr>
          </w:p>
        </w:tc>
        <w:tc>
          <w:tcPr>
            <w:tcW w:w="1085" w:type="dxa"/>
            <w:vMerge/>
            <w:tcBorders>
              <w:top w:val="single" w:sz="4" w:space="0" w:color="auto"/>
              <w:left w:val="single" w:sz="4" w:space="0" w:color="auto"/>
              <w:bottom w:val="single" w:sz="4" w:space="0" w:color="auto"/>
              <w:right w:val="single" w:sz="4" w:space="0" w:color="auto"/>
            </w:tcBorders>
            <w:hideMark/>
          </w:tcPr>
          <w:p w:rsidR="00257BF7" w:rsidRPr="00600ED9" w:rsidRDefault="00257BF7" w:rsidP="00FB1954">
            <w:pPr>
              <w:pStyle w:val="NoSpacing"/>
              <w:tabs>
                <w:tab w:val="center" w:pos="4680"/>
                <w:tab w:val="right" w:pos="9360"/>
              </w:tabs>
              <w:jc w:val="center"/>
              <w:rPr>
                <w:b/>
                <w:bCs/>
                <w:sz w:val="20"/>
                <w:lang w:val="es-ES_tradnl"/>
              </w:rPr>
            </w:pPr>
          </w:p>
        </w:tc>
      </w:tr>
      <w:tr w:rsidR="00257BF7" w:rsidRPr="00600ED9" w:rsidTr="00A06F21">
        <w:trPr>
          <w:trHeight w:val="845"/>
        </w:trPr>
        <w:tc>
          <w:tcPr>
            <w:tcW w:w="2257" w:type="dxa"/>
            <w:tcBorders>
              <w:top w:val="nil"/>
              <w:left w:val="single" w:sz="4" w:space="0" w:color="auto"/>
              <w:bottom w:val="single" w:sz="4" w:space="0" w:color="auto"/>
              <w:right w:val="single" w:sz="4" w:space="0" w:color="auto"/>
            </w:tcBorders>
            <w:shd w:val="clear" w:color="auto" w:fill="auto"/>
            <w:vAlign w:val="center"/>
            <w:hideMark/>
          </w:tcPr>
          <w:p w:rsidR="00257BF7" w:rsidRPr="00600ED9" w:rsidRDefault="00257BF7" w:rsidP="00FB1954">
            <w:pPr>
              <w:pStyle w:val="NoSpacing"/>
              <w:jc w:val="center"/>
              <w:rPr>
                <w:b/>
                <w:bCs/>
                <w:sz w:val="20"/>
                <w:lang w:val="es-ES_tradnl"/>
              </w:rPr>
            </w:pPr>
            <w:r w:rsidRPr="00600ED9">
              <w:rPr>
                <w:b/>
                <w:bCs/>
                <w:sz w:val="20"/>
                <w:lang w:val="es-ES_tradnl"/>
              </w:rPr>
              <w:t>EFS 2: Resultados de la Auditoría de Cumplimiento</w:t>
            </w:r>
          </w:p>
        </w:tc>
        <w:tc>
          <w:tcPr>
            <w:tcW w:w="1156" w:type="dxa"/>
            <w:tcBorders>
              <w:top w:val="nil"/>
              <w:left w:val="nil"/>
              <w:bottom w:val="single" w:sz="4" w:space="0" w:color="auto"/>
              <w:right w:val="single" w:sz="4" w:space="0" w:color="auto"/>
            </w:tcBorders>
            <w:shd w:val="clear" w:color="auto" w:fill="auto"/>
            <w:noWrap/>
            <w:vAlign w:val="center"/>
          </w:tcPr>
          <w:p w:rsidR="00257BF7" w:rsidRPr="00600ED9" w:rsidRDefault="00257BF7" w:rsidP="00FB1954">
            <w:pPr>
              <w:pStyle w:val="NoSpacing"/>
              <w:jc w:val="center"/>
              <w:rPr>
                <w:b/>
                <w:bCs/>
                <w:sz w:val="20"/>
                <w:lang w:val="es-ES_tradnl"/>
              </w:rPr>
            </w:pPr>
            <w:r w:rsidRPr="00600ED9">
              <w:rPr>
                <w:b/>
                <w:bCs/>
                <w:sz w:val="20"/>
                <w:lang w:val="es-ES_tradnl"/>
              </w:rPr>
              <w:t>4</w:t>
            </w:r>
          </w:p>
        </w:tc>
        <w:tc>
          <w:tcPr>
            <w:tcW w:w="1337" w:type="dxa"/>
            <w:tcBorders>
              <w:top w:val="nil"/>
              <w:left w:val="nil"/>
              <w:bottom w:val="single" w:sz="4" w:space="0" w:color="auto"/>
              <w:right w:val="single" w:sz="4" w:space="0" w:color="auto"/>
            </w:tcBorders>
            <w:shd w:val="clear" w:color="auto" w:fill="auto"/>
            <w:noWrap/>
            <w:vAlign w:val="center"/>
          </w:tcPr>
          <w:p w:rsidR="00257BF7" w:rsidRPr="00600ED9" w:rsidRDefault="00257BF7" w:rsidP="00FB1954">
            <w:pPr>
              <w:pStyle w:val="NoSpacing"/>
              <w:jc w:val="center"/>
              <w:rPr>
                <w:b/>
                <w:bCs/>
                <w:sz w:val="20"/>
                <w:lang w:val="es-ES_tradnl"/>
              </w:rPr>
            </w:pPr>
            <w:r w:rsidRPr="00600ED9">
              <w:rPr>
                <w:b/>
                <w:bCs/>
                <w:sz w:val="20"/>
                <w:lang w:val="es-ES_tradnl"/>
              </w:rPr>
              <w:t>1</w:t>
            </w:r>
          </w:p>
        </w:tc>
        <w:tc>
          <w:tcPr>
            <w:tcW w:w="975" w:type="dxa"/>
            <w:tcBorders>
              <w:top w:val="nil"/>
              <w:left w:val="nil"/>
              <w:bottom w:val="single" w:sz="4" w:space="0" w:color="auto"/>
              <w:right w:val="single" w:sz="4" w:space="0" w:color="auto"/>
            </w:tcBorders>
            <w:shd w:val="clear" w:color="auto" w:fill="auto"/>
            <w:noWrap/>
            <w:vAlign w:val="center"/>
          </w:tcPr>
          <w:p w:rsidR="00257BF7" w:rsidRPr="00600ED9" w:rsidRDefault="00257BF7" w:rsidP="00FB1954">
            <w:pPr>
              <w:pStyle w:val="NoSpacing"/>
              <w:jc w:val="center"/>
              <w:rPr>
                <w:b/>
                <w:bCs/>
                <w:sz w:val="20"/>
                <w:lang w:val="es-ES_tradnl"/>
              </w:rPr>
            </w:pPr>
            <w:r w:rsidRPr="00600ED9">
              <w:rPr>
                <w:b/>
                <w:bCs/>
                <w:sz w:val="20"/>
                <w:lang w:val="es-ES_tradnl"/>
              </w:rPr>
              <w:t>1</w:t>
            </w:r>
          </w:p>
        </w:tc>
        <w:tc>
          <w:tcPr>
            <w:tcW w:w="1439" w:type="dxa"/>
            <w:tcBorders>
              <w:top w:val="nil"/>
              <w:left w:val="nil"/>
              <w:bottom w:val="single" w:sz="4" w:space="0" w:color="auto"/>
              <w:right w:val="single" w:sz="4" w:space="0" w:color="auto"/>
            </w:tcBorders>
            <w:shd w:val="clear" w:color="auto" w:fill="auto"/>
            <w:noWrap/>
            <w:vAlign w:val="center"/>
          </w:tcPr>
          <w:p w:rsidR="00257BF7" w:rsidRPr="00600ED9" w:rsidRDefault="00257BF7" w:rsidP="00FB1954">
            <w:pPr>
              <w:pStyle w:val="NoSpacing"/>
              <w:jc w:val="center"/>
              <w:rPr>
                <w:b/>
                <w:bCs/>
                <w:sz w:val="20"/>
                <w:lang w:val="es-ES_tradnl"/>
              </w:rPr>
            </w:pPr>
            <w:r w:rsidRPr="00600ED9">
              <w:rPr>
                <w:b/>
                <w:bCs/>
                <w:sz w:val="20"/>
                <w:lang w:val="es-ES_tradnl"/>
              </w:rPr>
              <w:t>1</w:t>
            </w:r>
          </w:p>
        </w:tc>
        <w:tc>
          <w:tcPr>
            <w:tcW w:w="158" w:type="dxa"/>
            <w:tcBorders>
              <w:top w:val="nil"/>
              <w:left w:val="nil"/>
              <w:bottom w:val="nil"/>
              <w:right w:val="nil"/>
            </w:tcBorders>
            <w:shd w:val="clear" w:color="auto" w:fill="auto"/>
            <w:noWrap/>
            <w:vAlign w:val="bottom"/>
          </w:tcPr>
          <w:p w:rsidR="00257BF7" w:rsidRPr="00600ED9" w:rsidRDefault="00257BF7" w:rsidP="00FB1954">
            <w:pPr>
              <w:pStyle w:val="NoSpacing"/>
              <w:tabs>
                <w:tab w:val="center" w:pos="4680"/>
                <w:tab w:val="right" w:pos="9360"/>
              </w:tabs>
              <w:jc w:val="center"/>
              <w:rPr>
                <w:sz w:val="20"/>
                <w:lang w:val="es-ES_tradnl"/>
              </w:rPr>
            </w:pPr>
          </w:p>
        </w:tc>
        <w:tc>
          <w:tcPr>
            <w:tcW w:w="1085" w:type="dxa"/>
            <w:tcBorders>
              <w:top w:val="nil"/>
              <w:left w:val="single" w:sz="4" w:space="0" w:color="auto"/>
              <w:bottom w:val="single" w:sz="4" w:space="0" w:color="auto"/>
              <w:right w:val="single" w:sz="4" w:space="0" w:color="auto"/>
            </w:tcBorders>
            <w:shd w:val="clear" w:color="auto" w:fill="auto"/>
            <w:noWrap/>
            <w:vAlign w:val="center"/>
          </w:tcPr>
          <w:p w:rsidR="00257BF7" w:rsidRPr="00600ED9" w:rsidRDefault="00257BF7" w:rsidP="00FB1954">
            <w:pPr>
              <w:pStyle w:val="NoSpacing"/>
              <w:jc w:val="center"/>
              <w:rPr>
                <w:b/>
                <w:sz w:val="20"/>
                <w:lang w:val="es-ES_tradnl"/>
              </w:rPr>
            </w:pPr>
            <w:r w:rsidRPr="00600ED9">
              <w:rPr>
                <w:b/>
                <w:bCs/>
                <w:sz w:val="20"/>
                <w:lang w:val="es-ES_tradnl"/>
              </w:rPr>
              <w:t>2</w:t>
            </w:r>
          </w:p>
        </w:tc>
      </w:tr>
    </w:tbl>
    <w:p w:rsidR="0063405A" w:rsidRPr="00600ED9" w:rsidRDefault="0063405A" w:rsidP="00FB1954">
      <w:pPr>
        <w:spacing w:after="0" w:line="240" w:lineRule="auto"/>
        <w:ind w:left="720"/>
        <w:jc w:val="both"/>
        <w:rPr>
          <w:szCs w:val="20"/>
        </w:rPr>
      </w:pPr>
    </w:p>
    <w:p w:rsidR="0063405A" w:rsidRPr="00600ED9" w:rsidRDefault="0063405A" w:rsidP="00FB1954">
      <w:pPr>
        <w:spacing w:after="0" w:line="240" w:lineRule="auto"/>
        <w:ind w:left="720"/>
        <w:jc w:val="both"/>
        <w:rPr>
          <w:szCs w:val="20"/>
        </w:rPr>
      </w:pPr>
    </w:p>
    <w:tbl>
      <w:tblPr>
        <w:tblStyle w:val="TableGrid"/>
        <w:tblpPr w:leftFromText="180" w:rightFromText="180" w:vertAnchor="text" w:tblpXSpec="center" w:tblpY="46"/>
        <w:tblW w:w="9356" w:type="dxa"/>
        <w:tblLook w:val="04A0" w:firstRow="1" w:lastRow="0" w:firstColumn="1" w:lastColumn="0" w:noHBand="0" w:noVBand="1"/>
      </w:tblPr>
      <w:tblGrid>
        <w:gridCol w:w="9356"/>
      </w:tblGrid>
      <w:tr w:rsidR="0063405A" w:rsidRPr="00600ED9" w:rsidTr="00D514BE">
        <w:tc>
          <w:tcPr>
            <w:tcW w:w="9356" w:type="dxa"/>
            <w:shd w:val="clear" w:color="auto" w:fill="365F91" w:themeFill="accent1" w:themeFillShade="BF"/>
          </w:tcPr>
          <w:p w:rsidR="0063405A" w:rsidRPr="00600ED9" w:rsidRDefault="0063405A" w:rsidP="0063405A">
            <w:pPr>
              <w:pStyle w:val="NoSpacing"/>
              <w:rPr>
                <w:b/>
                <w:color w:val="FFFFFF" w:themeColor="background1"/>
                <w:sz w:val="20"/>
                <w:szCs w:val="20"/>
                <w:lang w:val="es-ES_tradnl"/>
              </w:rPr>
            </w:pPr>
            <w:r w:rsidRPr="00600ED9">
              <w:rPr>
                <w:b/>
                <w:color w:val="FFFFFF" w:themeColor="background1"/>
                <w:sz w:val="20"/>
                <w:szCs w:val="20"/>
                <w:lang w:val="es-ES_tradnl"/>
              </w:rPr>
              <w:t xml:space="preserve">Principales observaciones y conclusiones </w:t>
            </w:r>
          </w:p>
        </w:tc>
      </w:tr>
      <w:tr w:rsidR="0063405A" w:rsidRPr="00600ED9" w:rsidTr="00D514BE">
        <w:tc>
          <w:tcPr>
            <w:tcW w:w="9356" w:type="dxa"/>
            <w:shd w:val="clear" w:color="auto" w:fill="D9D9D9" w:themeFill="background1" w:themeFillShade="D9"/>
          </w:tcPr>
          <w:p w:rsidR="0063405A" w:rsidRPr="00600ED9" w:rsidRDefault="0063405A" w:rsidP="0063405A">
            <w:pPr>
              <w:pStyle w:val="NoSpacing"/>
              <w:rPr>
                <w:b/>
                <w:i/>
                <w:sz w:val="20"/>
                <w:szCs w:val="20"/>
                <w:lang w:val="es-ES_tradnl"/>
              </w:rPr>
            </w:pPr>
            <w:r w:rsidRPr="00600ED9">
              <w:rPr>
                <w:b/>
                <w:i/>
                <w:sz w:val="20"/>
                <w:szCs w:val="20"/>
                <w:lang w:val="es-ES_tradnl"/>
              </w:rPr>
              <w:t>Dimensión (i) Alcance de la auditoría de cumplimiento</w:t>
            </w:r>
          </w:p>
        </w:tc>
      </w:tr>
      <w:tr w:rsidR="0063405A" w:rsidRPr="00600ED9" w:rsidTr="00D514BE">
        <w:tc>
          <w:tcPr>
            <w:tcW w:w="9356" w:type="dxa"/>
            <w:shd w:val="clear" w:color="auto" w:fill="D9D9D9" w:themeFill="background1" w:themeFillShade="D9"/>
          </w:tcPr>
          <w:p w:rsidR="0063405A" w:rsidRPr="00600ED9" w:rsidRDefault="0063405A" w:rsidP="0063405A">
            <w:pPr>
              <w:pStyle w:val="NoSpacing"/>
              <w:jc w:val="both"/>
              <w:rPr>
                <w:rFonts w:cs="Arial"/>
                <w:i/>
                <w:sz w:val="20"/>
                <w:szCs w:val="20"/>
                <w:lang w:val="es-ES_tradnl"/>
              </w:rPr>
            </w:pPr>
            <w:r w:rsidRPr="00600ED9">
              <w:rPr>
                <w:rFonts w:cs="Arial"/>
                <w:b/>
                <w:i/>
                <w:sz w:val="20"/>
                <w:szCs w:val="20"/>
                <w:lang w:val="es-ES_tradnl"/>
              </w:rPr>
              <w:t xml:space="preserve">Puntuación </w:t>
            </w:r>
            <w:r w:rsidRPr="00600ED9">
              <w:rPr>
                <w:rFonts w:cs="Calibri"/>
                <w:b/>
                <w:bCs/>
                <w:i/>
                <w:sz w:val="20"/>
                <w:szCs w:val="20"/>
                <w:lang w:val="es-ES_tradnl" w:eastAsia="en-GB"/>
              </w:rPr>
              <w:t>4</w:t>
            </w:r>
            <w:r w:rsidRPr="00600ED9">
              <w:rPr>
                <w:rFonts w:cs="Calibri"/>
                <w:bCs/>
                <w:i/>
                <w:sz w:val="20"/>
                <w:szCs w:val="20"/>
                <w:lang w:val="es-ES_tradnl" w:eastAsia="en-GB"/>
              </w:rPr>
              <w:t xml:space="preserve">: </w:t>
            </w:r>
            <w:r w:rsidRPr="00600ED9">
              <w:rPr>
                <w:rFonts w:cs="Calibri"/>
                <w:i/>
                <w:sz w:val="20"/>
                <w:szCs w:val="20"/>
                <w:lang w:val="es-ES_tradnl" w:eastAsia="en-GB"/>
              </w:rPr>
              <w:t>El proceso documentado basado en riesgo de la EFS para seleccionar las auditorías de cumplimiento garantiza que todas las entidades auditadas afronten la posibilidad de ser objeto de una auditoría de cumplimiento, y al menos 80% de las entidades auditadas dentro del mandato de auditoría de la EFS fueron sujetas a la auditoría de cumplimiento en el año bajo revisión.</w:t>
            </w:r>
          </w:p>
        </w:tc>
      </w:tr>
      <w:tr w:rsidR="0063405A" w:rsidRPr="00600ED9" w:rsidTr="00D514BE">
        <w:trPr>
          <w:trHeight w:val="670"/>
        </w:trPr>
        <w:tc>
          <w:tcPr>
            <w:tcW w:w="9356" w:type="dxa"/>
            <w:vAlign w:val="center"/>
          </w:tcPr>
          <w:p w:rsidR="0063405A" w:rsidRPr="00600ED9" w:rsidRDefault="0063405A" w:rsidP="0063405A">
            <w:pPr>
              <w:pStyle w:val="NoSpacing"/>
              <w:jc w:val="both"/>
              <w:rPr>
                <w:sz w:val="20"/>
                <w:szCs w:val="20"/>
                <w:lang w:val="es-ES_tradnl"/>
              </w:rPr>
            </w:pPr>
            <w:r w:rsidRPr="00600ED9">
              <w:rPr>
                <w:sz w:val="20"/>
                <w:szCs w:val="20"/>
                <w:lang w:val="es-ES_tradnl"/>
              </w:rPr>
              <w:t xml:space="preserve">El enfoque integral de auditoría utilizado por la CGRC garantiza que todas las entidades seleccionadas sean sujeto de auditoría de cumplimiento.  </w:t>
            </w:r>
          </w:p>
          <w:p w:rsidR="0063405A" w:rsidRPr="00600ED9" w:rsidRDefault="0063405A" w:rsidP="0063405A">
            <w:pPr>
              <w:pStyle w:val="NoSpacing"/>
              <w:jc w:val="both"/>
              <w:rPr>
                <w:sz w:val="20"/>
                <w:szCs w:val="20"/>
                <w:lang w:val="es-ES_tradnl"/>
              </w:rPr>
            </w:pPr>
          </w:p>
        </w:tc>
      </w:tr>
      <w:tr w:rsidR="0063405A" w:rsidRPr="00600ED9" w:rsidTr="00D514BE">
        <w:tc>
          <w:tcPr>
            <w:tcW w:w="9356" w:type="dxa"/>
            <w:shd w:val="clear" w:color="auto" w:fill="D9D9D9" w:themeFill="background1" w:themeFillShade="D9"/>
          </w:tcPr>
          <w:p w:rsidR="0063405A" w:rsidRPr="00600ED9" w:rsidRDefault="0063405A" w:rsidP="0063405A">
            <w:pPr>
              <w:pStyle w:val="NoSpacing"/>
              <w:rPr>
                <w:b/>
                <w:i/>
                <w:sz w:val="20"/>
                <w:szCs w:val="20"/>
                <w:lang w:val="es-ES_tradnl"/>
              </w:rPr>
            </w:pPr>
            <w:r w:rsidRPr="00600ED9">
              <w:rPr>
                <w:b/>
                <w:i/>
                <w:sz w:val="20"/>
                <w:szCs w:val="20"/>
                <w:lang w:val="es-ES_tradnl"/>
              </w:rPr>
              <w:t>Dimensión (ii) Presentación de los informes  de auditoría de cumplimiento</w:t>
            </w:r>
          </w:p>
        </w:tc>
      </w:tr>
      <w:tr w:rsidR="0063405A" w:rsidRPr="00600ED9" w:rsidTr="00D514BE">
        <w:tc>
          <w:tcPr>
            <w:tcW w:w="9356" w:type="dxa"/>
            <w:shd w:val="clear" w:color="auto" w:fill="D9D9D9" w:themeFill="background1" w:themeFillShade="D9"/>
          </w:tcPr>
          <w:p w:rsidR="0063405A" w:rsidRPr="00600ED9" w:rsidRDefault="0063405A" w:rsidP="0063405A">
            <w:pPr>
              <w:pStyle w:val="NoSpacing"/>
              <w:rPr>
                <w:rFonts w:cs="Arial"/>
                <w:i/>
                <w:sz w:val="20"/>
                <w:szCs w:val="20"/>
                <w:lang w:val="es-ES_tradnl"/>
              </w:rPr>
            </w:pPr>
            <w:r w:rsidRPr="00600ED9">
              <w:rPr>
                <w:rFonts w:cs="Arial"/>
                <w:b/>
                <w:i/>
                <w:sz w:val="20"/>
                <w:szCs w:val="20"/>
                <w:lang w:val="es-ES_tradnl"/>
              </w:rPr>
              <w:t xml:space="preserve">Puntuación </w:t>
            </w:r>
            <w:r w:rsidRPr="00600ED9">
              <w:rPr>
                <w:rFonts w:cs="Calibri"/>
                <w:b/>
                <w:bCs/>
                <w:i/>
                <w:sz w:val="20"/>
                <w:szCs w:val="20"/>
                <w:lang w:val="es-ES_tradnl" w:eastAsia="en-GB"/>
              </w:rPr>
              <w:t xml:space="preserve">1: </w:t>
            </w:r>
            <w:r w:rsidRPr="00600ED9">
              <w:rPr>
                <w:rFonts w:cs="Calibri"/>
                <w:i/>
                <w:sz w:val="20"/>
                <w:szCs w:val="20"/>
                <w:lang w:val="es-ES_tradnl" w:eastAsia="en-GB"/>
              </w:rPr>
              <w:t>Para al menos el 20% de las auditorías de cumplimiento, la opinión y/o el informe de auditoría son formalmente entregados a la autoridad correspondiente, dentro del plazo legal establecido (o cuando no hay un plazo definido, dentro de los 12 meses posteriores).</w:t>
            </w:r>
          </w:p>
        </w:tc>
      </w:tr>
      <w:tr w:rsidR="0063405A" w:rsidRPr="00600ED9" w:rsidTr="00D514BE">
        <w:trPr>
          <w:trHeight w:val="783"/>
        </w:trPr>
        <w:tc>
          <w:tcPr>
            <w:tcW w:w="9356" w:type="dxa"/>
          </w:tcPr>
          <w:p w:rsidR="0063405A" w:rsidRPr="00600ED9" w:rsidRDefault="0063405A" w:rsidP="0063405A">
            <w:pPr>
              <w:jc w:val="both"/>
              <w:rPr>
                <w:rFonts w:cs="Arial"/>
                <w:sz w:val="20"/>
                <w:szCs w:val="20"/>
              </w:rPr>
            </w:pPr>
            <w:r w:rsidRPr="00600ED9">
              <w:rPr>
                <w:rFonts w:cs="Arial"/>
                <w:sz w:val="20"/>
                <w:szCs w:val="20"/>
              </w:rPr>
              <w:t>Referirse a la explicación incluida en el EFS-1, Dimensión (ii) que aplica también a las auditorias de cumplimiento.</w:t>
            </w:r>
          </w:p>
          <w:p w:rsidR="0063405A" w:rsidRPr="00600ED9" w:rsidRDefault="0063405A" w:rsidP="0063405A">
            <w:pPr>
              <w:jc w:val="both"/>
              <w:rPr>
                <w:rFonts w:cs="Arial"/>
                <w:sz w:val="20"/>
                <w:szCs w:val="20"/>
              </w:rPr>
            </w:pPr>
          </w:p>
          <w:p w:rsidR="0063405A" w:rsidRPr="00600ED9" w:rsidRDefault="0063405A" w:rsidP="0063405A">
            <w:pPr>
              <w:jc w:val="both"/>
              <w:rPr>
                <w:rFonts w:cs="Arial"/>
                <w:sz w:val="20"/>
                <w:szCs w:val="20"/>
              </w:rPr>
            </w:pPr>
            <w:r w:rsidRPr="00600ED9">
              <w:rPr>
                <w:rFonts w:cs="Arial"/>
                <w:sz w:val="20"/>
                <w:szCs w:val="20"/>
              </w:rPr>
              <w:t xml:space="preserve">Aunque no hay plazos legalmente establecidos para la </w:t>
            </w:r>
            <w:r w:rsidRPr="00600ED9">
              <w:rPr>
                <w:rFonts w:cs="Calibri"/>
                <w:sz w:val="20"/>
                <w:szCs w:val="20"/>
              </w:rPr>
              <w:t xml:space="preserve">presentación de los informes de la auditoría de cumplimiento a la autoridad correspondiente, la Guía de Auditoría establece que </w:t>
            </w:r>
            <w:r w:rsidRPr="00600ED9">
              <w:rPr>
                <w:rFonts w:cs="Arial"/>
                <w:sz w:val="20"/>
                <w:szCs w:val="20"/>
              </w:rPr>
              <w:t>una  vez  revisado  y  aprobado el  informe  consolidado,  se  enviará  a  la Oficina de Planeación a más tardar dentro de los 15 días hábiles siguientes a la culminación del semestre.</w:t>
            </w:r>
          </w:p>
          <w:p w:rsidR="0063405A" w:rsidRPr="00600ED9" w:rsidRDefault="0063405A" w:rsidP="0063405A">
            <w:pPr>
              <w:jc w:val="both"/>
              <w:rPr>
                <w:rFonts w:cs="Arial"/>
                <w:sz w:val="20"/>
                <w:szCs w:val="20"/>
              </w:rPr>
            </w:pPr>
          </w:p>
        </w:tc>
      </w:tr>
      <w:tr w:rsidR="0063405A" w:rsidRPr="00600ED9" w:rsidTr="00D514BE">
        <w:tc>
          <w:tcPr>
            <w:tcW w:w="9356" w:type="dxa"/>
            <w:shd w:val="clear" w:color="auto" w:fill="D9D9D9" w:themeFill="background1" w:themeFillShade="D9"/>
          </w:tcPr>
          <w:p w:rsidR="0063405A" w:rsidRPr="00600ED9" w:rsidRDefault="0063405A" w:rsidP="0063405A">
            <w:pPr>
              <w:pStyle w:val="NoSpacing"/>
              <w:rPr>
                <w:b/>
                <w:i/>
                <w:sz w:val="20"/>
                <w:szCs w:val="20"/>
                <w:lang w:val="es-ES_tradnl"/>
              </w:rPr>
            </w:pPr>
            <w:r w:rsidRPr="00600ED9">
              <w:rPr>
                <w:b/>
                <w:i/>
                <w:sz w:val="20"/>
                <w:szCs w:val="20"/>
                <w:lang w:val="es-ES_tradnl"/>
              </w:rPr>
              <w:t>Dimensión (iii) Publicación y diseminación de los resultados de auditoría de cumplimiento</w:t>
            </w:r>
          </w:p>
        </w:tc>
      </w:tr>
      <w:tr w:rsidR="0063405A" w:rsidRPr="00600ED9" w:rsidTr="00D514BE">
        <w:tc>
          <w:tcPr>
            <w:tcW w:w="9356" w:type="dxa"/>
            <w:shd w:val="clear" w:color="auto" w:fill="D9D9D9" w:themeFill="background1" w:themeFillShade="D9"/>
          </w:tcPr>
          <w:p w:rsidR="0063405A" w:rsidRPr="00600ED9" w:rsidRDefault="0063405A" w:rsidP="0063405A">
            <w:pPr>
              <w:pStyle w:val="NoSpacing"/>
              <w:rPr>
                <w:rFonts w:cs="Arial"/>
                <w:i/>
                <w:sz w:val="20"/>
                <w:szCs w:val="20"/>
                <w:lang w:val="es-ES_tradnl"/>
              </w:rPr>
            </w:pPr>
            <w:r w:rsidRPr="00600ED9">
              <w:rPr>
                <w:rFonts w:cs="Arial"/>
                <w:b/>
                <w:i/>
                <w:sz w:val="20"/>
                <w:szCs w:val="20"/>
                <w:lang w:val="es-ES_tradnl"/>
              </w:rPr>
              <w:t xml:space="preserve">Puntuación </w:t>
            </w:r>
            <w:r w:rsidRPr="00600ED9">
              <w:rPr>
                <w:rFonts w:cs="Calibri"/>
                <w:b/>
                <w:bCs/>
                <w:i/>
                <w:sz w:val="20"/>
                <w:szCs w:val="20"/>
                <w:lang w:val="es-ES_tradnl" w:eastAsia="en-GB"/>
              </w:rPr>
              <w:t>1:</w:t>
            </w:r>
            <w:r w:rsidRPr="00600ED9">
              <w:rPr>
                <w:rFonts w:cs="Calibri"/>
                <w:b/>
                <w:i/>
                <w:sz w:val="20"/>
                <w:szCs w:val="20"/>
                <w:lang w:val="es-ES_tradnl" w:eastAsia="en-GB"/>
              </w:rPr>
              <w:t xml:space="preserve"> </w:t>
            </w:r>
            <w:r w:rsidRPr="00600ED9">
              <w:rPr>
                <w:rFonts w:cs="Calibri"/>
                <w:i/>
                <w:sz w:val="20"/>
                <w:szCs w:val="20"/>
                <w:lang w:val="es-ES_tradnl" w:eastAsia="en-GB"/>
              </w:rPr>
              <w:t>Para al menos el 50% de los informes y/u opiniones de auditoría en que la EFS tiene el derecho y la obligación de publicar, el informe y/u opinión se pone a disposición del público a través de los medios apropiados dentro de los 60 días posteriores al momento en que se le permite publicar a la EFS.</w:t>
            </w:r>
          </w:p>
        </w:tc>
      </w:tr>
      <w:tr w:rsidR="0063405A" w:rsidRPr="00600ED9" w:rsidTr="00D514BE">
        <w:tc>
          <w:tcPr>
            <w:tcW w:w="9356" w:type="dxa"/>
          </w:tcPr>
          <w:p w:rsidR="0063405A" w:rsidRPr="00600ED9" w:rsidRDefault="0063405A" w:rsidP="0063405A">
            <w:pPr>
              <w:pStyle w:val="Normaltabletext"/>
              <w:spacing w:after="0"/>
              <w:rPr>
                <w:rFonts w:cs="Calibri"/>
                <w:lang w:val="es-ES_tradnl"/>
              </w:rPr>
            </w:pPr>
            <w:r w:rsidRPr="00600ED9">
              <w:rPr>
                <w:rFonts w:cs="Calibri"/>
                <w:lang w:val="es-ES_tradnl" w:eastAsia="en-US"/>
              </w:rPr>
              <w:lastRenderedPageBreak/>
              <w:t>Referirse a la explicación incluida en el EFS 1, Dimensión (iii) que aplica también a las auditorias de cumplimiento</w:t>
            </w:r>
            <w:r w:rsidRPr="00600ED9">
              <w:rPr>
                <w:rFonts w:cs="Calibri"/>
                <w:lang w:val="es-ES_tradnl"/>
              </w:rPr>
              <w:t>.</w:t>
            </w:r>
          </w:p>
          <w:p w:rsidR="0063405A" w:rsidRPr="00600ED9" w:rsidRDefault="0063405A" w:rsidP="0063405A">
            <w:pPr>
              <w:pStyle w:val="Normaltabletext"/>
              <w:spacing w:after="0"/>
              <w:rPr>
                <w:lang w:val="es-ES_tradnl"/>
              </w:rPr>
            </w:pPr>
          </w:p>
        </w:tc>
      </w:tr>
      <w:tr w:rsidR="0063405A" w:rsidRPr="00600ED9" w:rsidTr="00D514BE">
        <w:tc>
          <w:tcPr>
            <w:tcW w:w="9356" w:type="dxa"/>
            <w:shd w:val="clear" w:color="auto" w:fill="D9D9D9" w:themeFill="background1" w:themeFillShade="D9"/>
          </w:tcPr>
          <w:p w:rsidR="0063405A" w:rsidRPr="00600ED9" w:rsidRDefault="0063405A" w:rsidP="0063405A">
            <w:pPr>
              <w:pStyle w:val="NoSpacing"/>
              <w:jc w:val="both"/>
              <w:rPr>
                <w:b/>
                <w:i/>
                <w:sz w:val="20"/>
                <w:szCs w:val="20"/>
                <w:lang w:val="es-ES_tradnl"/>
              </w:rPr>
            </w:pPr>
            <w:r w:rsidRPr="00600ED9">
              <w:rPr>
                <w:b/>
                <w:i/>
                <w:sz w:val="20"/>
                <w:szCs w:val="20"/>
                <w:lang w:val="es-ES_tradnl"/>
              </w:rPr>
              <w:t>Dimensión (iv) Seguimiento de la EFS a la implementación de las observaciones y recomendaciones de la auditoría de cumplimiento</w:t>
            </w:r>
          </w:p>
        </w:tc>
      </w:tr>
      <w:tr w:rsidR="0063405A" w:rsidRPr="00600ED9" w:rsidTr="00D514BE">
        <w:tc>
          <w:tcPr>
            <w:tcW w:w="9356" w:type="dxa"/>
            <w:shd w:val="clear" w:color="auto" w:fill="D9D9D9" w:themeFill="background1" w:themeFillShade="D9"/>
          </w:tcPr>
          <w:p w:rsidR="0063405A" w:rsidRPr="00600ED9" w:rsidRDefault="0063405A" w:rsidP="0063405A">
            <w:pPr>
              <w:pStyle w:val="NoSpacing"/>
              <w:rPr>
                <w:i/>
                <w:sz w:val="20"/>
                <w:szCs w:val="20"/>
                <w:lang w:val="es-ES_tradnl"/>
              </w:rPr>
            </w:pPr>
            <w:r w:rsidRPr="00600ED9">
              <w:rPr>
                <w:b/>
                <w:i/>
                <w:sz w:val="20"/>
                <w:szCs w:val="20"/>
                <w:lang w:val="es-ES_tradnl"/>
              </w:rPr>
              <w:t xml:space="preserve">Puntuación </w:t>
            </w:r>
            <w:r w:rsidRPr="00600ED9">
              <w:rPr>
                <w:rFonts w:cs="Calibri"/>
                <w:b/>
                <w:i/>
                <w:sz w:val="20"/>
                <w:szCs w:val="20"/>
                <w:lang w:val="es-ES_tradnl" w:eastAsia="en-GB"/>
              </w:rPr>
              <w:t xml:space="preserve">1: </w:t>
            </w:r>
            <w:r w:rsidRPr="00600ED9">
              <w:rPr>
                <w:rFonts w:cs="Calibri"/>
                <w:i/>
                <w:sz w:val="20"/>
                <w:szCs w:val="20"/>
                <w:lang w:val="es-ES_tradnl" w:eastAsia="en-GB"/>
              </w:rPr>
              <w:t>Al menos 1 de los criterios descritos está establecido</w:t>
            </w:r>
          </w:p>
        </w:tc>
      </w:tr>
      <w:tr w:rsidR="0063405A" w:rsidRPr="00600ED9" w:rsidTr="00D514BE">
        <w:tc>
          <w:tcPr>
            <w:tcW w:w="9356" w:type="dxa"/>
          </w:tcPr>
          <w:p w:rsidR="0063405A" w:rsidRPr="00600ED9" w:rsidRDefault="0063405A" w:rsidP="0063405A">
            <w:pPr>
              <w:pStyle w:val="Normaltabletext"/>
              <w:spacing w:after="0"/>
              <w:rPr>
                <w:lang w:val="es-ES_tradnl"/>
              </w:rPr>
            </w:pPr>
            <w:r w:rsidRPr="00600ED9">
              <w:rPr>
                <w:lang w:val="es-ES_tradnl"/>
              </w:rPr>
              <w:t xml:space="preserve">Criterio (b) cumple. Criterios (a), (c) y (d) no cumple. </w:t>
            </w:r>
          </w:p>
          <w:p w:rsidR="0063405A" w:rsidRPr="00600ED9" w:rsidRDefault="0063405A" w:rsidP="0063405A">
            <w:pPr>
              <w:pStyle w:val="Normaltabletext"/>
              <w:spacing w:after="0"/>
              <w:rPr>
                <w:lang w:val="es-ES_tradnl"/>
              </w:rPr>
            </w:pPr>
          </w:p>
          <w:p w:rsidR="0063405A" w:rsidRPr="00600ED9" w:rsidRDefault="0063405A" w:rsidP="0063405A">
            <w:pPr>
              <w:pStyle w:val="Normaltabletext"/>
              <w:spacing w:after="0"/>
              <w:rPr>
                <w:rFonts w:cs="Calibri"/>
                <w:lang w:val="es-ES_tradnl"/>
              </w:rPr>
            </w:pPr>
            <w:r w:rsidRPr="00600ED9">
              <w:rPr>
                <w:rFonts w:cs="Calibri"/>
                <w:lang w:val="es-ES_tradnl" w:eastAsia="en-US"/>
              </w:rPr>
              <w:t>Referirse a la explicación incluida en el EFS-1, Dimensión (iv) que aplica también a las auditorias de cumplimiento</w:t>
            </w:r>
            <w:r w:rsidRPr="00600ED9">
              <w:rPr>
                <w:rFonts w:cs="Calibri"/>
                <w:lang w:val="es-ES_tradnl"/>
              </w:rPr>
              <w:t>.</w:t>
            </w:r>
          </w:p>
          <w:p w:rsidR="0063405A" w:rsidRPr="00600ED9" w:rsidRDefault="0063405A" w:rsidP="0063405A">
            <w:pPr>
              <w:pStyle w:val="Normaltabletext"/>
              <w:spacing w:after="0"/>
              <w:rPr>
                <w:lang w:val="es-ES_tradnl"/>
              </w:rPr>
            </w:pPr>
          </w:p>
        </w:tc>
      </w:tr>
    </w:tbl>
    <w:p w:rsidR="0063405A" w:rsidRPr="00600ED9" w:rsidRDefault="0063405A" w:rsidP="00FB1954">
      <w:pPr>
        <w:spacing w:after="0" w:line="240" w:lineRule="auto"/>
        <w:ind w:left="720"/>
        <w:jc w:val="both"/>
        <w:rPr>
          <w:szCs w:val="20"/>
        </w:rPr>
      </w:pPr>
    </w:p>
    <w:p w:rsidR="0089374B" w:rsidRPr="00600ED9" w:rsidRDefault="00A26667" w:rsidP="00FB1954">
      <w:pPr>
        <w:spacing w:after="0" w:line="240" w:lineRule="auto"/>
        <w:ind w:left="720"/>
        <w:jc w:val="both"/>
        <w:rPr>
          <w:szCs w:val="20"/>
        </w:rPr>
      </w:pPr>
      <w:r w:rsidRPr="00600ED9">
        <w:rPr>
          <w:szCs w:val="20"/>
        </w:rPr>
        <w:t xml:space="preserve">La Auditoría de Cumplimiento es parte del alcance de las auditorías gubernamentales con enfoque integral, dispuestas en el Marco Legal regulatorio de la CGRC. </w:t>
      </w:r>
    </w:p>
    <w:p w:rsidR="0063405A" w:rsidRPr="00600ED9" w:rsidRDefault="0063405A" w:rsidP="00FB1954">
      <w:pPr>
        <w:spacing w:after="0" w:line="240" w:lineRule="auto"/>
        <w:ind w:left="720"/>
        <w:jc w:val="both"/>
        <w:rPr>
          <w:szCs w:val="20"/>
        </w:rPr>
      </w:pPr>
    </w:p>
    <w:p w:rsidR="007964D5" w:rsidRPr="00600ED9" w:rsidRDefault="0089374B" w:rsidP="00FB1954">
      <w:pPr>
        <w:pStyle w:val="ListParagraph"/>
        <w:spacing w:after="0" w:line="240" w:lineRule="auto"/>
        <w:jc w:val="both"/>
        <w:rPr>
          <w:bCs/>
          <w:szCs w:val="20"/>
        </w:rPr>
      </w:pPr>
      <w:r w:rsidRPr="00600ED9">
        <w:rPr>
          <w:bCs/>
          <w:szCs w:val="20"/>
        </w:rPr>
        <w:t xml:space="preserve">Las conclusiones de las dimensiones y criterios evaluados en el EFS-1 Resultados de la Auditoría </w:t>
      </w:r>
      <w:r w:rsidRPr="00600ED9">
        <w:rPr>
          <w:rFonts w:cs="Arial"/>
          <w:szCs w:val="20"/>
        </w:rPr>
        <w:t xml:space="preserve">Financiera, </w:t>
      </w:r>
      <w:r w:rsidRPr="00600ED9">
        <w:rPr>
          <w:bCs/>
          <w:szCs w:val="20"/>
        </w:rPr>
        <w:t xml:space="preserve">también son aplicables a </w:t>
      </w:r>
      <w:r w:rsidRPr="00600ED9">
        <w:rPr>
          <w:rFonts w:cs="Arial"/>
          <w:szCs w:val="20"/>
        </w:rPr>
        <w:t xml:space="preserve">la </w:t>
      </w:r>
      <w:r w:rsidRPr="00600ED9">
        <w:rPr>
          <w:bCs/>
          <w:szCs w:val="20"/>
        </w:rPr>
        <w:t>Auditoría</w:t>
      </w:r>
      <w:r w:rsidRPr="00600ED9">
        <w:rPr>
          <w:szCs w:val="20"/>
        </w:rPr>
        <w:t xml:space="preserve"> de Cumplimiento</w:t>
      </w:r>
      <w:r w:rsidRPr="00600ED9">
        <w:rPr>
          <w:bCs/>
          <w:szCs w:val="20"/>
        </w:rPr>
        <w:t xml:space="preserve">. </w:t>
      </w:r>
    </w:p>
    <w:p w:rsidR="00801A6B" w:rsidRPr="00600ED9" w:rsidRDefault="00801A6B" w:rsidP="0063405A">
      <w:pPr>
        <w:spacing w:after="0" w:line="240" w:lineRule="auto"/>
        <w:jc w:val="both"/>
        <w:rPr>
          <w:b/>
          <w:bCs/>
          <w:smallCaps/>
        </w:rPr>
      </w:pPr>
    </w:p>
    <w:p w:rsidR="00DB1B6E" w:rsidRPr="00600ED9" w:rsidRDefault="006245E1" w:rsidP="00FB1954">
      <w:pPr>
        <w:spacing w:after="0" w:line="240" w:lineRule="auto"/>
        <w:ind w:left="720"/>
        <w:jc w:val="both"/>
        <w:rPr>
          <w:szCs w:val="20"/>
        </w:rPr>
      </w:pPr>
      <w:r w:rsidRPr="00600ED9">
        <w:rPr>
          <w:b/>
          <w:bCs/>
          <w:smallCaps/>
        </w:rPr>
        <w:t>Recomendaciones</w:t>
      </w:r>
      <w:r w:rsidR="00600ED9" w:rsidRPr="00600ED9">
        <w:rPr>
          <w:b/>
          <w:bCs/>
          <w:smallCaps/>
        </w:rPr>
        <w:t>: Consultar</w:t>
      </w:r>
      <w:r w:rsidR="005120A2" w:rsidRPr="00600ED9">
        <w:rPr>
          <w:szCs w:val="20"/>
        </w:rPr>
        <w:t xml:space="preserve"> el</w:t>
      </w:r>
      <w:r w:rsidR="007964D5" w:rsidRPr="00600ED9">
        <w:rPr>
          <w:szCs w:val="20"/>
        </w:rPr>
        <w:t xml:space="preserve"> Anexo A</w:t>
      </w:r>
      <w:r w:rsidR="005429A6" w:rsidRPr="00600ED9">
        <w:rPr>
          <w:szCs w:val="20"/>
        </w:rPr>
        <w:t>: Plan de Acción</w:t>
      </w:r>
      <w:r w:rsidR="00CA3E61" w:rsidRPr="00600ED9">
        <w:rPr>
          <w:szCs w:val="20"/>
        </w:rPr>
        <w:t>,</w:t>
      </w:r>
      <w:r w:rsidR="005429A6" w:rsidRPr="00600ED9">
        <w:rPr>
          <w:szCs w:val="20"/>
        </w:rPr>
        <w:t xml:space="preserve"> </w:t>
      </w:r>
      <w:r w:rsidR="00DB1B6E" w:rsidRPr="00600ED9">
        <w:rPr>
          <w:szCs w:val="20"/>
        </w:rPr>
        <w:t xml:space="preserve">recomendaciones No. 2 </w:t>
      </w:r>
      <w:r w:rsidR="00BA40FC" w:rsidRPr="00600ED9">
        <w:rPr>
          <w:szCs w:val="20"/>
        </w:rPr>
        <w:t>y</w:t>
      </w:r>
      <w:r w:rsidR="00DB1B6E" w:rsidRPr="00600ED9">
        <w:rPr>
          <w:szCs w:val="20"/>
        </w:rPr>
        <w:t xml:space="preserve"> </w:t>
      </w:r>
      <w:r w:rsidR="00BA40FC" w:rsidRPr="00600ED9">
        <w:rPr>
          <w:szCs w:val="20"/>
        </w:rPr>
        <w:t>3</w:t>
      </w:r>
      <w:r w:rsidR="00DB1B6E" w:rsidRPr="00600ED9">
        <w:rPr>
          <w:szCs w:val="20"/>
        </w:rPr>
        <w:t>.</w:t>
      </w:r>
    </w:p>
    <w:p w:rsidR="0066134C" w:rsidRPr="00600ED9" w:rsidRDefault="0066134C" w:rsidP="00FB1954">
      <w:pPr>
        <w:pStyle w:val="NoSpacing"/>
        <w:rPr>
          <w:lang w:val="es-ES_tradnl"/>
        </w:rPr>
      </w:pPr>
    </w:p>
    <w:p w:rsidR="0063405A" w:rsidRPr="00600ED9" w:rsidRDefault="0063405A" w:rsidP="00FB1954">
      <w:pPr>
        <w:pStyle w:val="NoSpacing"/>
        <w:rPr>
          <w:lang w:val="es-ES_tradnl"/>
        </w:rPr>
      </w:pPr>
    </w:p>
    <w:p w:rsidR="0042710F" w:rsidRPr="00600ED9" w:rsidRDefault="00FC6FE0" w:rsidP="00FB1954">
      <w:pPr>
        <w:pStyle w:val="Heading2"/>
        <w:spacing w:before="0" w:line="240" w:lineRule="auto"/>
      </w:pPr>
      <w:bookmarkStart w:id="16" w:name="_Toc295932908"/>
      <w:r w:rsidRPr="00600ED9">
        <w:t xml:space="preserve">EFS </w:t>
      </w:r>
      <w:r w:rsidR="00720E42" w:rsidRPr="00600ED9">
        <w:t xml:space="preserve">3 – Resultados de la </w:t>
      </w:r>
      <w:r w:rsidR="005429A6" w:rsidRPr="00600ED9">
        <w:t xml:space="preserve">Auditoría </w:t>
      </w:r>
      <w:r w:rsidR="00720E42" w:rsidRPr="00600ED9">
        <w:t>de Desempeño</w:t>
      </w:r>
      <w:bookmarkEnd w:id="16"/>
    </w:p>
    <w:p w:rsidR="007964D5" w:rsidRPr="00600ED9" w:rsidRDefault="007964D5" w:rsidP="00FB1954">
      <w:pPr>
        <w:pStyle w:val="NoSpacing"/>
        <w:rPr>
          <w:sz w:val="28"/>
          <w:lang w:val="es-ES_tradnl"/>
        </w:rPr>
      </w:pPr>
    </w:p>
    <w:tbl>
      <w:tblPr>
        <w:tblW w:w="8693" w:type="dxa"/>
        <w:tblInd w:w="720" w:type="dxa"/>
        <w:tblCellMar>
          <w:left w:w="70" w:type="dxa"/>
          <w:right w:w="70" w:type="dxa"/>
        </w:tblCellMar>
        <w:tblLook w:val="04A0" w:firstRow="1" w:lastRow="0" w:firstColumn="1" w:lastColumn="0" w:noHBand="0" w:noVBand="1"/>
      </w:tblPr>
      <w:tblGrid>
        <w:gridCol w:w="2560"/>
        <w:gridCol w:w="1830"/>
        <w:gridCol w:w="1800"/>
        <w:gridCol w:w="1238"/>
        <w:gridCol w:w="180"/>
        <w:gridCol w:w="1085"/>
      </w:tblGrid>
      <w:tr w:rsidR="00F07F86" w:rsidRPr="00600ED9" w:rsidTr="0063405A">
        <w:trPr>
          <w:trHeight w:val="255"/>
        </w:trPr>
        <w:tc>
          <w:tcPr>
            <w:tcW w:w="2560" w:type="dxa"/>
            <w:tcBorders>
              <w:top w:val="nil"/>
              <w:left w:val="nil"/>
              <w:bottom w:val="nil"/>
              <w:right w:val="nil"/>
            </w:tcBorders>
            <w:shd w:val="clear" w:color="auto" w:fill="auto"/>
            <w:noWrap/>
            <w:vAlign w:val="bottom"/>
            <w:hideMark/>
          </w:tcPr>
          <w:p w:rsidR="00F07F86" w:rsidRPr="00600ED9" w:rsidRDefault="00F07F86" w:rsidP="00FB1954">
            <w:pPr>
              <w:pStyle w:val="NoSpacing"/>
              <w:tabs>
                <w:tab w:val="center" w:pos="4680"/>
                <w:tab w:val="right" w:pos="9360"/>
              </w:tabs>
              <w:jc w:val="center"/>
              <w:rPr>
                <w:sz w:val="20"/>
                <w:lang w:val="es-ES_tradnl"/>
              </w:rPr>
            </w:pPr>
          </w:p>
        </w:tc>
        <w:tc>
          <w:tcPr>
            <w:tcW w:w="4868" w:type="dxa"/>
            <w:gridSpan w:val="3"/>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F07F86" w:rsidRPr="00600ED9" w:rsidRDefault="00F07F86" w:rsidP="00FB1954">
            <w:pPr>
              <w:pStyle w:val="NoSpacing"/>
              <w:jc w:val="center"/>
              <w:rPr>
                <w:b/>
                <w:bCs/>
                <w:sz w:val="20"/>
                <w:lang w:val="es-ES_tradnl"/>
              </w:rPr>
            </w:pPr>
            <w:r w:rsidRPr="00600ED9">
              <w:rPr>
                <w:b/>
                <w:bCs/>
                <w:sz w:val="20"/>
                <w:lang w:val="es-ES_tradnl"/>
              </w:rPr>
              <w:t>Dimensiones Evaluadas</w:t>
            </w:r>
          </w:p>
        </w:tc>
        <w:tc>
          <w:tcPr>
            <w:tcW w:w="180" w:type="dxa"/>
            <w:tcBorders>
              <w:top w:val="nil"/>
              <w:left w:val="nil"/>
              <w:bottom w:val="nil"/>
              <w:right w:val="nil"/>
            </w:tcBorders>
            <w:shd w:val="clear" w:color="auto" w:fill="auto"/>
            <w:noWrap/>
            <w:vAlign w:val="bottom"/>
            <w:hideMark/>
          </w:tcPr>
          <w:p w:rsidR="00F07F86" w:rsidRPr="00600ED9" w:rsidRDefault="00F07F86" w:rsidP="00FB1954">
            <w:pPr>
              <w:pStyle w:val="NoSpacing"/>
              <w:tabs>
                <w:tab w:val="center" w:pos="4680"/>
                <w:tab w:val="right" w:pos="9360"/>
              </w:tabs>
              <w:jc w:val="center"/>
              <w:rPr>
                <w:sz w:val="20"/>
                <w:lang w:val="es-ES_tradnl"/>
              </w:rPr>
            </w:pPr>
          </w:p>
        </w:tc>
        <w:tc>
          <w:tcPr>
            <w:tcW w:w="1085" w:type="dxa"/>
            <w:vMerge w:val="restart"/>
            <w:tcBorders>
              <w:top w:val="single" w:sz="4" w:space="0" w:color="auto"/>
              <w:left w:val="single" w:sz="4" w:space="0" w:color="auto"/>
              <w:right w:val="single" w:sz="4" w:space="0" w:color="auto"/>
            </w:tcBorders>
            <w:shd w:val="clear" w:color="000000" w:fill="95B3D7"/>
            <w:vAlign w:val="center"/>
            <w:hideMark/>
          </w:tcPr>
          <w:p w:rsidR="00F07F86" w:rsidRPr="00600ED9" w:rsidRDefault="00F07F86" w:rsidP="00FB1954">
            <w:pPr>
              <w:pStyle w:val="NoSpacing"/>
              <w:jc w:val="center"/>
              <w:rPr>
                <w:b/>
                <w:bCs/>
                <w:sz w:val="20"/>
                <w:lang w:val="es-ES_tradnl"/>
              </w:rPr>
            </w:pPr>
            <w:r w:rsidRPr="00600ED9">
              <w:rPr>
                <w:b/>
                <w:bCs/>
                <w:sz w:val="20"/>
                <w:lang w:val="es-ES_tradnl"/>
              </w:rPr>
              <w:t>Puntuación General</w:t>
            </w:r>
          </w:p>
        </w:tc>
      </w:tr>
      <w:tr w:rsidR="00F07F86" w:rsidRPr="00600ED9" w:rsidTr="0063405A">
        <w:trPr>
          <w:trHeight w:val="390"/>
        </w:trPr>
        <w:tc>
          <w:tcPr>
            <w:tcW w:w="256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F07F86" w:rsidRPr="00600ED9" w:rsidRDefault="00F07F86" w:rsidP="00FB1954">
            <w:pPr>
              <w:pStyle w:val="NoSpacing"/>
              <w:jc w:val="center"/>
              <w:rPr>
                <w:b/>
                <w:bCs/>
                <w:sz w:val="20"/>
                <w:lang w:val="es-ES_tradnl"/>
              </w:rPr>
            </w:pPr>
            <w:r w:rsidRPr="00600ED9">
              <w:rPr>
                <w:b/>
                <w:bCs/>
                <w:sz w:val="20"/>
                <w:lang w:val="es-ES_tradnl"/>
              </w:rPr>
              <w:t>Indicadores</w:t>
            </w:r>
          </w:p>
        </w:tc>
        <w:tc>
          <w:tcPr>
            <w:tcW w:w="1830" w:type="dxa"/>
            <w:tcBorders>
              <w:top w:val="nil"/>
              <w:left w:val="nil"/>
              <w:bottom w:val="single" w:sz="4" w:space="0" w:color="auto"/>
              <w:right w:val="single" w:sz="4" w:space="0" w:color="auto"/>
            </w:tcBorders>
            <w:shd w:val="clear" w:color="000000" w:fill="D8D8D8"/>
            <w:noWrap/>
            <w:hideMark/>
          </w:tcPr>
          <w:p w:rsidR="00F07F86" w:rsidRPr="00600ED9" w:rsidRDefault="00DB1B6E" w:rsidP="00FB1954">
            <w:pPr>
              <w:pStyle w:val="NoSpacing"/>
              <w:jc w:val="center"/>
              <w:rPr>
                <w:b/>
                <w:bCs/>
                <w:sz w:val="20"/>
                <w:lang w:val="es-ES_tradnl"/>
              </w:rPr>
            </w:pPr>
            <w:r w:rsidRPr="00600ED9">
              <w:rPr>
                <w:b/>
                <w:bCs/>
                <w:sz w:val="20"/>
                <w:lang w:val="es-ES_tradnl"/>
              </w:rPr>
              <w:t>(i)</w:t>
            </w:r>
          </w:p>
          <w:p w:rsidR="00F07F86" w:rsidRPr="00600ED9" w:rsidRDefault="00F07F86" w:rsidP="00FB1954">
            <w:pPr>
              <w:pStyle w:val="NoSpacing"/>
              <w:jc w:val="center"/>
              <w:rPr>
                <w:b/>
                <w:bCs/>
                <w:sz w:val="20"/>
                <w:lang w:val="es-ES_tradnl"/>
              </w:rPr>
            </w:pPr>
            <w:r w:rsidRPr="00600ED9">
              <w:rPr>
                <w:bCs/>
                <w:w w:val="90"/>
                <w:sz w:val="20"/>
                <w:lang w:val="es-ES_tradnl"/>
              </w:rPr>
              <w:t>Alcance, selección y objetivo de las auditorías de desempeño</w:t>
            </w:r>
          </w:p>
        </w:tc>
        <w:tc>
          <w:tcPr>
            <w:tcW w:w="1800" w:type="dxa"/>
            <w:tcBorders>
              <w:top w:val="nil"/>
              <w:left w:val="nil"/>
              <w:bottom w:val="single" w:sz="4" w:space="0" w:color="auto"/>
              <w:right w:val="single" w:sz="4" w:space="0" w:color="auto"/>
            </w:tcBorders>
            <w:shd w:val="clear" w:color="000000" w:fill="D8D8D8"/>
            <w:noWrap/>
            <w:hideMark/>
          </w:tcPr>
          <w:p w:rsidR="00F07F86" w:rsidRPr="00600ED9" w:rsidRDefault="00DB1B6E" w:rsidP="00FB1954">
            <w:pPr>
              <w:pStyle w:val="NoSpacing"/>
              <w:jc w:val="center"/>
              <w:rPr>
                <w:b/>
                <w:bCs/>
                <w:sz w:val="20"/>
                <w:lang w:val="es-ES_tradnl"/>
              </w:rPr>
            </w:pPr>
            <w:r w:rsidRPr="00600ED9">
              <w:rPr>
                <w:b/>
                <w:bCs/>
                <w:sz w:val="20"/>
                <w:lang w:val="es-ES_tradnl"/>
              </w:rPr>
              <w:t>(ii)</w:t>
            </w:r>
          </w:p>
          <w:p w:rsidR="00F07F86" w:rsidRPr="00600ED9" w:rsidRDefault="00F07F86" w:rsidP="00FB1954">
            <w:pPr>
              <w:pStyle w:val="NoSpacing"/>
              <w:jc w:val="center"/>
              <w:rPr>
                <w:b/>
                <w:bCs/>
                <w:sz w:val="20"/>
                <w:lang w:val="es-ES_tradnl"/>
              </w:rPr>
            </w:pPr>
            <w:r w:rsidRPr="00600ED9">
              <w:rPr>
                <w:sz w:val="20"/>
                <w:lang w:val="es-ES_tradnl"/>
              </w:rPr>
              <w:t>P</w:t>
            </w:r>
            <w:r w:rsidRPr="00600ED9">
              <w:rPr>
                <w:bCs/>
                <w:w w:val="90"/>
                <w:sz w:val="20"/>
                <w:lang w:val="es-ES_tradnl"/>
              </w:rPr>
              <w:t>ublicación y difusión de los informes  de auditoría de desempeño</w:t>
            </w:r>
          </w:p>
        </w:tc>
        <w:tc>
          <w:tcPr>
            <w:tcW w:w="1238" w:type="dxa"/>
            <w:tcBorders>
              <w:top w:val="nil"/>
              <w:left w:val="nil"/>
              <w:bottom w:val="single" w:sz="4" w:space="0" w:color="auto"/>
              <w:right w:val="single" w:sz="4" w:space="0" w:color="auto"/>
            </w:tcBorders>
            <w:shd w:val="clear" w:color="000000" w:fill="D8D8D8"/>
            <w:noWrap/>
            <w:hideMark/>
          </w:tcPr>
          <w:p w:rsidR="00F07F86" w:rsidRPr="00600ED9" w:rsidRDefault="00DB1B6E" w:rsidP="00FB1954">
            <w:pPr>
              <w:pStyle w:val="NoSpacing"/>
              <w:jc w:val="center"/>
              <w:rPr>
                <w:b/>
                <w:bCs/>
                <w:w w:val="90"/>
                <w:sz w:val="20"/>
                <w:lang w:val="es-ES_tradnl"/>
              </w:rPr>
            </w:pPr>
            <w:r w:rsidRPr="00600ED9">
              <w:rPr>
                <w:b/>
                <w:bCs/>
                <w:w w:val="90"/>
                <w:sz w:val="20"/>
                <w:lang w:val="es-ES_tradnl"/>
              </w:rPr>
              <w:t>(iii)</w:t>
            </w:r>
          </w:p>
          <w:p w:rsidR="00F07F86" w:rsidRPr="00600ED9" w:rsidRDefault="00F07F86" w:rsidP="00FB1954">
            <w:pPr>
              <w:pStyle w:val="NoSpacing"/>
              <w:jc w:val="center"/>
              <w:rPr>
                <w:b/>
                <w:bCs/>
                <w:sz w:val="20"/>
                <w:lang w:val="es-ES_tradnl"/>
              </w:rPr>
            </w:pPr>
            <w:r w:rsidRPr="00600ED9">
              <w:rPr>
                <w:bCs/>
                <w:w w:val="90"/>
                <w:sz w:val="20"/>
                <w:lang w:val="es-ES_tradnl"/>
              </w:rPr>
              <w:t xml:space="preserve">Seguimiento por parte de la </w:t>
            </w:r>
            <w:r w:rsidR="00CA134D" w:rsidRPr="00600ED9">
              <w:rPr>
                <w:bCs/>
                <w:w w:val="90"/>
                <w:sz w:val="20"/>
                <w:lang w:val="es-ES_tradnl"/>
              </w:rPr>
              <w:t>EFS</w:t>
            </w:r>
          </w:p>
        </w:tc>
        <w:tc>
          <w:tcPr>
            <w:tcW w:w="180" w:type="dxa"/>
            <w:tcBorders>
              <w:top w:val="nil"/>
              <w:left w:val="nil"/>
              <w:bottom w:val="nil"/>
              <w:right w:val="nil"/>
            </w:tcBorders>
            <w:shd w:val="clear" w:color="auto" w:fill="auto"/>
            <w:noWrap/>
            <w:hideMark/>
          </w:tcPr>
          <w:p w:rsidR="00F07F86" w:rsidRPr="00600ED9" w:rsidRDefault="00F07F86" w:rsidP="00FB1954">
            <w:pPr>
              <w:pStyle w:val="NoSpacing"/>
              <w:tabs>
                <w:tab w:val="center" w:pos="4680"/>
                <w:tab w:val="right" w:pos="9360"/>
              </w:tabs>
              <w:jc w:val="center"/>
              <w:rPr>
                <w:sz w:val="20"/>
                <w:lang w:val="es-ES_tradnl"/>
              </w:rPr>
            </w:pPr>
          </w:p>
        </w:tc>
        <w:tc>
          <w:tcPr>
            <w:tcW w:w="1085" w:type="dxa"/>
            <w:vMerge/>
            <w:tcBorders>
              <w:left w:val="single" w:sz="4" w:space="0" w:color="auto"/>
              <w:bottom w:val="single" w:sz="4" w:space="0" w:color="auto"/>
              <w:right w:val="single" w:sz="4" w:space="0" w:color="auto"/>
            </w:tcBorders>
            <w:hideMark/>
          </w:tcPr>
          <w:p w:rsidR="00F07F86" w:rsidRPr="00600ED9" w:rsidRDefault="00F07F86" w:rsidP="00FB1954">
            <w:pPr>
              <w:pStyle w:val="NoSpacing"/>
              <w:tabs>
                <w:tab w:val="center" w:pos="4680"/>
                <w:tab w:val="right" w:pos="9360"/>
              </w:tabs>
              <w:jc w:val="center"/>
              <w:rPr>
                <w:b/>
                <w:bCs/>
                <w:sz w:val="20"/>
                <w:lang w:val="es-ES_tradnl"/>
              </w:rPr>
            </w:pPr>
          </w:p>
        </w:tc>
      </w:tr>
      <w:tr w:rsidR="007F2E5A" w:rsidRPr="00600ED9" w:rsidTr="0063405A">
        <w:trPr>
          <w:trHeight w:val="510"/>
        </w:trPr>
        <w:tc>
          <w:tcPr>
            <w:tcW w:w="2560" w:type="dxa"/>
            <w:tcBorders>
              <w:top w:val="nil"/>
              <w:left w:val="single" w:sz="4" w:space="0" w:color="auto"/>
              <w:bottom w:val="single" w:sz="4" w:space="0" w:color="auto"/>
              <w:right w:val="single" w:sz="4" w:space="0" w:color="auto"/>
            </w:tcBorders>
            <w:shd w:val="clear" w:color="auto" w:fill="auto"/>
            <w:vAlign w:val="center"/>
            <w:hideMark/>
          </w:tcPr>
          <w:p w:rsidR="007F2E5A" w:rsidRPr="00600ED9" w:rsidRDefault="007F2E5A" w:rsidP="00FB1954">
            <w:pPr>
              <w:pStyle w:val="NoSpacing"/>
              <w:jc w:val="center"/>
              <w:rPr>
                <w:b/>
                <w:bCs/>
                <w:sz w:val="20"/>
                <w:lang w:val="es-ES_tradnl"/>
              </w:rPr>
            </w:pPr>
            <w:r w:rsidRPr="00600ED9">
              <w:rPr>
                <w:b/>
                <w:bCs/>
                <w:sz w:val="20"/>
                <w:lang w:val="es-ES_tradnl"/>
              </w:rPr>
              <w:t xml:space="preserve">EFS 3: Resultados de la Auditoría de </w:t>
            </w:r>
            <w:r w:rsidRPr="00600ED9">
              <w:rPr>
                <w:rFonts w:eastAsia="Calibri" w:cs="Times New Roman"/>
                <w:b/>
                <w:sz w:val="20"/>
                <w:lang w:val="es-ES_tradnl"/>
              </w:rPr>
              <w:t>Desempeño</w:t>
            </w:r>
          </w:p>
        </w:tc>
        <w:tc>
          <w:tcPr>
            <w:tcW w:w="1830" w:type="dxa"/>
            <w:tcBorders>
              <w:top w:val="nil"/>
              <w:left w:val="nil"/>
              <w:bottom w:val="single" w:sz="4" w:space="0" w:color="auto"/>
              <w:right w:val="single" w:sz="4" w:space="0" w:color="auto"/>
            </w:tcBorders>
            <w:shd w:val="clear" w:color="auto" w:fill="auto"/>
            <w:noWrap/>
            <w:vAlign w:val="center"/>
          </w:tcPr>
          <w:p w:rsidR="007F2E5A" w:rsidRPr="00600ED9" w:rsidRDefault="007F2E5A" w:rsidP="00FB1954">
            <w:pPr>
              <w:pStyle w:val="NoSpacing"/>
              <w:jc w:val="center"/>
              <w:rPr>
                <w:b/>
                <w:bCs/>
                <w:sz w:val="20"/>
                <w:lang w:val="es-ES_tradnl"/>
              </w:rPr>
            </w:pPr>
            <w:r w:rsidRPr="00600ED9">
              <w:rPr>
                <w:b/>
                <w:bCs/>
                <w:sz w:val="20"/>
                <w:lang w:val="es-ES_tradnl"/>
              </w:rPr>
              <w:t>2</w:t>
            </w:r>
          </w:p>
        </w:tc>
        <w:tc>
          <w:tcPr>
            <w:tcW w:w="1800" w:type="dxa"/>
            <w:tcBorders>
              <w:top w:val="nil"/>
              <w:left w:val="nil"/>
              <w:bottom w:val="single" w:sz="4" w:space="0" w:color="auto"/>
              <w:right w:val="single" w:sz="4" w:space="0" w:color="auto"/>
            </w:tcBorders>
            <w:shd w:val="clear" w:color="auto" w:fill="auto"/>
            <w:noWrap/>
            <w:vAlign w:val="center"/>
          </w:tcPr>
          <w:p w:rsidR="007F2E5A" w:rsidRPr="00600ED9" w:rsidRDefault="007F2E5A" w:rsidP="00FB1954">
            <w:pPr>
              <w:pStyle w:val="NoSpacing"/>
              <w:jc w:val="center"/>
              <w:rPr>
                <w:b/>
                <w:bCs/>
                <w:sz w:val="20"/>
                <w:lang w:val="es-ES_tradnl"/>
              </w:rPr>
            </w:pPr>
            <w:r w:rsidRPr="00600ED9">
              <w:rPr>
                <w:b/>
                <w:bCs/>
                <w:sz w:val="20"/>
                <w:lang w:val="es-ES_tradnl"/>
              </w:rPr>
              <w:t>2</w:t>
            </w:r>
          </w:p>
        </w:tc>
        <w:tc>
          <w:tcPr>
            <w:tcW w:w="1238" w:type="dxa"/>
            <w:tcBorders>
              <w:top w:val="nil"/>
              <w:left w:val="nil"/>
              <w:bottom w:val="single" w:sz="4" w:space="0" w:color="auto"/>
              <w:right w:val="single" w:sz="4" w:space="0" w:color="auto"/>
            </w:tcBorders>
            <w:shd w:val="clear" w:color="auto" w:fill="auto"/>
            <w:noWrap/>
            <w:vAlign w:val="center"/>
          </w:tcPr>
          <w:p w:rsidR="007F2E5A" w:rsidRPr="00600ED9" w:rsidRDefault="007F2E5A" w:rsidP="00FB1954">
            <w:pPr>
              <w:pStyle w:val="NoSpacing"/>
              <w:jc w:val="center"/>
              <w:rPr>
                <w:b/>
                <w:bCs/>
                <w:sz w:val="20"/>
                <w:lang w:val="es-ES_tradnl"/>
              </w:rPr>
            </w:pPr>
            <w:r w:rsidRPr="00600ED9">
              <w:rPr>
                <w:b/>
                <w:bCs/>
                <w:sz w:val="20"/>
                <w:lang w:val="es-ES_tradnl"/>
              </w:rPr>
              <w:t>0</w:t>
            </w:r>
          </w:p>
        </w:tc>
        <w:tc>
          <w:tcPr>
            <w:tcW w:w="180" w:type="dxa"/>
            <w:tcBorders>
              <w:top w:val="nil"/>
              <w:left w:val="nil"/>
              <w:bottom w:val="nil"/>
              <w:right w:val="nil"/>
            </w:tcBorders>
            <w:shd w:val="clear" w:color="auto" w:fill="auto"/>
            <w:noWrap/>
            <w:vAlign w:val="bottom"/>
          </w:tcPr>
          <w:p w:rsidR="007F2E5A" w:rsidRPr="00600ED9" w:rsidRDefault="007F2E5A" w:rsidP="00FB1954">
            <w:pPr>
              <w:pStyle w:val="NoSpacing"/>
              <w:tabs>
                <w:tab w:val="center" w:pos="4680"/>
                <w:tab w:val="right" w:pos="9360"/>
              </w:tabs>
              <w:jc w:val="center"/>
              <w:rPr>
                <w:sz w:val="20"/>
                <w:lang w:val="es-ES_tradnl"/>
              </w:rPr>
            </w:pPr>
          </w:p>
        </w:tc>
        <w:tc>
          <w:tcPr>
            <w:tcW w:w="1085" w:type="dxa"/>
            <w:tcBorders>
              <w:top w:val="nil"/>
              <w:left w:val="single" w:sz="4" w:space="0" w:color="auto"/>
              <w:bottom w:val="single" w:sz="4" w:space="0" w:color="auto"/>
              <w:right w:val="single" w:sz="4" w:space="0" w:color="auto"/>
            </w:tcBorders>
            <w:shd w:val="clear" w:color="auto" w:fill="auto"/>
            <w:noWrap/>
            <w:vAlign w:val="center"/>
          </w:tcPr>
          <w:p w:rsidR="007F2E5A" w:rsidRPr="00600ED9" w:rsidRDefault="007F2E5A" w:rsidP="00FB1954">
            <w:pPr>
              <w:pStyle w:val="NoSpacing"/>
              <w:jc w:val="center"/>
              <w:rPr>
                <w:b/>
                <w:sz w:val="20"/>
                <w:lang w:val="es-ES_tradnl"/>
              </w:rPr>
            </w:pPr>
            <w:r w:rsidRPr="00600ED9">
              <w:rPr>
                <w:b/>
                <w:sz w:val="20"/>
                <w:lang w:val="es-ES_tradnl"/>
              </w:rPr>
              <w:t>1</w:t>
            </w:r>
          </w:p>
        </w:tc>
      </w:tr>
    </w:tbl>
    <w:p w:rsidR="0063405A" w:rsidRPr="00600ED9" w:rsidRDefault="0063405A" w:rsidP="00FB1954">
      <w:pPr>
        <w:spacing w:after="0" w:line="240" w:lineRule="auto"/>
        <w:ind w:left="720"/>
        <w:jc w:val="both"/>
        <w:rPr>
          <w:sz w:val="24"/>
        </w:rPr>
      </w:pPr>
    </w:p>
    <w:p w:rsidR="007F2E5A" w:rsidRPr="00600ED9" w:rsidRDefault="007F2E5A" w:rsidP="00FB1954">
      <w:pPr>
        <w:spacing w:after="0" w:line="240" w:lineRule="auto"/>
        <w:ind w:left="720"/>
        <w:jc w:val="both"/>
      </w:pPr>
      <w:r w:rsidRPr="00600ED9">
        <w:t xml:space="preserve">Para una explicación detallada de </w:t>
      </w:r>
      <w:r w:rsidR="00DB1B6E" w:rsidRPr="00600ED9">
        <w:t xml:space="preserve">la forma en que </w:t>
      </w:r>
      <w:r w:rsidRPr="00600ED9">
        <w:t xml:space="preserve">la </w:t>
      </w:r>
      <w:r w:rsidR="00431CA4" w:rsidRPr="00600ED9">
        <w:t>CGRC</w:t>
      </w:r>
      <w:r w:rsidRPr="00600ED9">
        <w:t xml:space="preserve"> </w:t>
      </w:r>
      <w:r w:rsidR="00DB1B6E" w:rsidRPr="00600ED9">
        <w:t xml:space="preserve">realiza las </w:t>
      </w:r>
      <w:r w:rsidRPr="00600ED9">
        <w:t xml:space="preserve">auditorías integrales </w:t>
      </w:r>
      <w:r w:rsidR="005120A2" w:rsidRPr="00600ED9">
        <w:t>consultar el</w:t>
      </w:r>
      <w:r w:rsidR="00B24B72" w:rsidRPr="00600ED9">
        <w:t xml:space="preserve"> Dominio D: No</w:t>
      </w:r>
      <w:r w:rsidR="005429A6" w:rsidRPr="00600ED9">
        <w:t>rmas y Metodología de Auditoría</w:t>
      </w:r>
      <w:r w:rsidR="00D0371C" w:rsidRPr="00600ED9">
        <w:t xml:space="preserve"> en</w:t>
      </w:r>
      <w:r w:rsidR="00B24B72" w:rsidRPr="00600ED9">
        <w:t xml:space="preserve"> este informe.</w:t>
      </w:r>
    </w:p>
    <w:p w:rsidR="0063405A" w:rsidRPr="00600ED9" w:rsidRDefault="0063405A" w:rsidP="00FB1954">
      <w:pPr>
        <w:spacing w:after="0" w:line="240" w:lineRule="auto"/>
        <w:ind w:left="720"/>
        <w:jc w:val="both"/>
      </w:pPr>
    </w:p>
    <w:p w:rsidR="007F2E5A" w:rsidRPr="00600ED9" w:rsidRDefault="007D1835" w:rsidP="00FB1954">
      <w:pPr>
        <w:spacing w:after="0" w:line="240" w:lineRule="auto"/>
        <w:ind w:left="720"/>
        <w:jc w:val="both"/>
      </w:pPr>
      <w:r w:rsidRPr="00600ED9">
        <w:rPr>
          <w:rFonts w:cs="Calibri"/>
          <w:lang w:eastAsia="en-GB"/>
        </w:rPr>
        <w:t xml:space="preserve">Aunque la CGRC ejecuta </w:t>
      </w:r>
      <w:r w:rsidRPr="00600ED9">
        <w:t>A</w:t>
      </w:r>
      <w:r w:rsidR="007F2E5A" w:rsidRPr="00600ED9">
        <w:t xml:space="preserve">uditorías de </w:t>
      </w:r>
      <w:r w:rsidRPr="00600ED9">
        <w:t>D</w:t>
      </w:r>
      <w:r w:rsidR="007F2E5A" w:rsidRPr="00600ED9">
        <w:t>esempeño</w:t>
      </w:r>
      <w:r w:rsidR="007F2E5A" w:rsidRPr="00600ED9">
        <w:rPr>
          <w:rStyle w:val="FootnoteReference"/>
        </w:rPr>
        <w:footnoteReference w:id="20"/>
      </w:r>
      <w:r w:rsidRPr="00600ED9">
        <w:t xml:space="preserve">, como parte del enfoque integral y reconoce </w:t>
      </w:r>
      <w:r w:rsidR="007F2E5A" w:rsidRPr="00600ED9">
        <w:t xml:space="preserve">que la economía, la eficiencia y la eficacia son </w:t>
      </w:r>
      <w:r w:rsidRPr="00600ED9">
        <w:t xml:space="preserve">principios </w:t>
      </w:r>
      <w:r w:rsidR="007F2E5A" w:rsidRPr="00600ED9">
        <w:t xml:space="preserve">con igual importancia que la legalidad, la regularidad de la gestión financiera, la rendición de cuentas y otros controles establecidos en las auditorías integrales, al examinar en forma detallada las intervenciones, </w:t>
      </w:r>
      <w:r w:rsidRPr="00600ED9">
        <w:t xml:space="preserve">no es posible establecer sí los </w:t>
      </w:r>
      <w:r w:rsidR="007F2E5A" w:rsidRPr="00600ED9">
        <w:t xml:space="preserve">programas e instituciones se “desempeñan” en conformidad con </w:t>
      </w:r>
      <w:r w:rsidRPr="00600ED9">
        <w:t xml:space="preserve">base en dichos </w:t>
      </w:r>
      <w:r w:rsidR="007F2E5A" w:rsidRPr="00600ED9">
        <w:t>principios y si existen áreas de mejora.</w:t>
      </w:r>
    </w:p>
    <w:p w:rsidR="0063405A" w:rsidRDefault="0063405A" w:rsidP="00FB1954">
      <w:pPr>
        <w:spacing w:after="0" w:line="240" w:lineRule="auto"/>
        <w:ind w:left="720"/>
        <w:jc w:val="both"/>
      </w:pPr>
    </w:p>
    <w:p w:rsidR="007F2E5A" w:rsidRPr="00600ED9" w:rsidRDefault="007F2E5A" w:rsidP="00FB1954">
      <w:pPr>
        <w:spacing w:after="0" w:line="240" w:lineRule="auto"/>
        <w:ind w:left="720"/>
        <w:jc w:val="both"/>
      </w:pPr>
      <w:r w:rsidRPr="00600ED9">
        <w:t xml:space="preserve">Debido a que la auditoría que se realiza no </w:t>
      </w:r>
      <w:r w:rsidR="007D1835" w:rsidRPr="00600ED9">
        <w:t xml:space="preserve">tiene un alcance exclusivo </w:t>
      </w:r>
      <w:r w:rsidRPr="00600ED9">
        <w:t xml:space="preserve">de desempeño, ésta no permite </w:t>
      </w:r>
      <w:r w:rsidR="00D0371C" w:rsidRPr="00600ED9">
        <w:t>comprobar</w:t>
      </w:r>
      <w:r w:rsidRPr="00600ED9">
        <w:t xml:space="preserve"> que a partir de la selección de los temas de auditoría, se haya podido mejora</w:t>
      </w:r>
      <w:r w:rsidR="007D1835" w:rsidRPr="00600ED9">
        <w:t>r</w:t>
      </w:r>
      <w:r w:rsidRPr="00600ED9">
        <w:t xml:space="preserve"> las operaciones y programas gubernamentales, reducir los costos, simplificar la administración, elevar la calidad y volumen, o mejorar el impacto o beneficios para la sociedad. </w:t>
      </w:r>
    </w:p>
    <w:p w:rsidR="007F2E5A" w:rsidRPr="00600ED9" w:rsidRDefault="007D1835" w:rsidP="00FB1954">
      <w:pPr>
        <w:pStyle w:val="ListParagraph"/>
        <w:spacing w:after="0" w:line="240" w:lineRule="auto"/>
        <w:jc w:val="both"/>
        <w:rPr>
          <w:bCs/>
        </w:rPr>
      </w:pPr>
      <w:r w:rsidRPr="00600ED9">
        <w:rPr>
          <w:bCs/>
        </w:rPr>
        <w:lastRenderedPageBreak/>
        <w:t xml:space="preserve">Otras conclusiones de las dimensiones y criterios evaluados en el EFS-1 Resultados de la Auditoría </w:t>
      </w:r>
      <w:r w:rsidRPr="00600ED9">
        <w:rPr>
          <w:rFonts w:cs="Arial"/>
        </w:rPr>
        <w:t xml:space="preserve">Financiera y EFS-2 Resultados de la Auditoría de Cumplimiento, en los aspectos relacionados con la presentación y publicación de los informes y el seguimiento, </w:t>
      </w:r>
      <w:r w:rsidRPr="00600ED9">
        <w:rPr>
          <w:bCs/>
        </w:rPr>
        <w:t xml:space="preserve">son también aplicables a </w:t>
      </w:r>
      <w:r w:rsidRPr="00600ED9">
        <w:rPr>
          <w:rFonts w:cs="Arial"/>
        </w:rPr>
        <w:t xml:space="preserve">la </w:t>
      </w:r>
      <w:r w:rsidRPr="00600ED9">
        <w:rPr>
          <w:bCs/>
        </w:rPr>
        <w:t>Auditoría</w:t>
      </w:r>
      <w:r w:rsidRPr="00600ED9">
        <w:t xml:space="preserve"> de Desem</w:t>
      </w:r>
      <w:r w:rsidR="00C8327C" w:rsidRPr="00600ED9">
        <w:t>p</w:t>
      </w:r>
      <w:r w:rsidRPr="00600ED9">
        <w:t>eño</w:t>
      </w:r>
      <w:r w:rsidRPr="00600ED9">
        <w:rPr>
          <w:bCs/>
        </w:rPr>
        <w:t xml:space="preserve">. </w:t>
      </w:r>
    </w:p>
    <w:p w:rsidR="0063405A" w:rsidRPr="00600ED9" w:rsidRDefault="0063405A" w:rsidP="00FB1954">
      <w:pPr>
        <w:pStyle w:val="ListParagraph"/>
        <w:spacing w:after="0" w:line="240" w:lineRule="auto"/>
        <w:jc w:val="both"/>
        <w:rPr>
          <w:bCs/>
        </w:rPr>
      </w:pPr>
    </w:p>
    <w:tbl>
      <w:tblPr>
        <w:tblStyle w:val="TableGrid"/>
        <w:tblW w:w="9356" w:type="dxa"/>
        <w:tblInd w:w="817" w:type="dxa"/>
        <w:tblLook w:val="04A0" w:firstRow="1" w:lastRow="0" w:firstColumn="1" w:lastColumn="0" w:noHBand="0" w:noVBand="1"/>
      </w:tblPr>
      <w:tblGrid>
        <w:gridCol w:w="9356"/>
      </w:tblGrid>
      <w:tr w:rsidR="006C0275" w:rsidRPr="00600ED9" w:rsidTr="00B24624">
        <w:trPr>
          <w:tblHeader/>
        </w:trPr>
        <w:tc>
          <w:tcPr>
            <w:tcW w:w="9356" w:type="dxa"/>
            <w:shd w:val="clear" w:color="auto" w:fill="365F91" w:themeFill="accent1" w:themeFillShade="BF"/>
          </w:tcPr>
          <w:p w:rsidR="006C0275" w:rsidRPr="00600ED9" w:rsidRDefault="00B24624" w:rsidP="00FB1954">
            <w:pPr>
              <w:pStyle w:val="NoSpacing"/>
              <w:rPr>
                <w:b/>
                <w:color w:val="FFFFFF" w:themeColor="background1"/>
                <w:sz w:val="20"/>
                <w:szCs w:val="20"/>
                <w:lang w:val="es-ES_tradnl"/>
              </w:rPr>
            </w:pPr>
            <w:r w:rsidRPr="00600ED9">
              <w:rPr>
                <w:b/>
                <w:color w:val="FFFFFF" w:themeColor="background1"/>
                <w:sz w:val="20"/>
                <w:szCs w:val="20"/>
                <w:lang w:val="es-ES_tradnl"/>
              </w:rPr>
              <w:t>P</w:t>
            </w:r>
            <w:r w:rsidR="006C0275" w:rsidRPr="00600ED9">
              <w:rPr>
                <w:b/>
                <w:color w:val="FFFFFF" w:themeColor="background1"/>
                <w:sz w:val="20"/>
                <w:szCs w:val="20"/>
                <w:lang w:val="es-ES_tradnl"/>
              </w:rPr>
              <w:t>rincipales observacio</w:t>
            </w:r>
            <w:r w:rsidRPr="00600ED9">
              <w:rPr>
                <w:b/>
                <w:color w:val="FFFFFF" w:themeColor="background1"/>
                <w:sz w:val="20"/>
                <w:szCs w:val="20"/>
                <w:lang w:val="es-ES_tradnl"/>
              </w:rPr>
              <w:t xml:space="preserve">nes y conclusiones </w:t>
            </w:r>
          </w:p>
        </w:tc>
      </w:tr>
      <w:tr w:rsidR="006C0275" w:rsidRPr="00600ED9" w:rsidTr="00B24624">
        <w:tc>
          <w:tcPr>
            <w:tcW w:w="9356" w:type="dxa"/>
            <w:shd w:val="clear" w:color="auto" w:fill="D9D9D9" w:themeFill="background1" w:themeFillShade="D9"/>
          </w:tcPr>
          <w:p w:rsidR="006C0275" w:rsidRPr="00600ED9" w:rsidRDefault="006C0275" w:rsidP="00FB1954">
            <w:pPr>
              <w:pStyle w:val="NoSpacing"/>
              <w:rPr>
                <w:b/>
                <w:i/>
                <w:sz w:val="20"/>
                <w:szCs w:val="20"/>
                <w:lang w:val="es-ES_tradnl"/>
              </w:rPr>
            </w:pPr>
            <w:r w:rsidRPr="00600ED9">
              <w:rPr>
                <w:b/>
                <w:i/>
                <w:sz w:val="20"/>
                <w:szCs w:val="20"/>
                <w:lang w:val="es-ES_tradnl"/>
              </w:rPr>
              <w:t>Dimensión (i) Alcance, selección y objetivo de las auditorías de desempeño</w:t>
            </w:r>
          </w:p>
        </w:tc>
      </w:tr>
      <w:tr w:rsidR="006C0275" w:rsidRPr="00600ED9" w:rsidTr="00B24624">
        <w:tc>
          <w:tcPr>
            <w:tcW w:w="9356" w:type="dxa"/>
            <w:shd w:val="clear" w:color="auto" w:fill="D9D9D9" w:themeFill="background1" w:themeFillShade="D9"/>
          </w:tcPr>
          <w:p w:rsidR="006C0275" w:rsidRPr="00600ED9" w:rsidRDefault="00705350" w:rsidP="00FB1954">
            <w:pPr>
              <w:pStyle w:val="NoSpacing"/>
              <w:rPr>
                <w:rFonts w:eastAsia="Calibri" w:cs="Arial"/>
                <w:i/>
                <w:sz w:val="20"/>
                <w:szCs w:val="20"/>
                <w:lang w:val="es-ES_tradnl"/>
              </w:rPr>
            </w:pPr>
            <w:r w:rsidRPr="00600ED9">
              <w:rPr>
                <w:rFonts w:eastAsia="Calibri" w:cs="Arial"/>
                <w:b/>
                <w:i/>
                <w:sz w:val="20"/>
                <w:szCs w:val="20"/>
                <w:lang w:val="es-ES_tradnl"/>
              </w:rPr>
              <w:t>Puntuación</w:t>
            </w:r>
            <w:r w:rsidR="006C0275" w:rsidRPr="00600ED9">
              <w:rPr>
                <w:rFonts w:eastAsia="Calibri" w:cs="Arial"/>
                <w:b/>
                <w:i/>
                <w:sz w:val="20"/>
                <w:szCs w:val="20"/>
                <w:lang w:val="es-ES_tradnl"/>
              </w:rPr>
              <w:t xml:space="preserve"> </w:t>
            </w:r>
            <w:r w:rsidR="006C0275" w:rsidRPr="00600ED9">
              <w:rPr>
                <w:rFonts w:cs="Calibri"/>
                <w:b/>
                <w:i/>
                <w:sz w:val="20"/>
                <w:szCs w:val="20"/>
                <w:lang w:val="es-ES_tradnl"/>
              </w:rPr>
              <w:t>2</w:t>
            </w:r>
            <w:r w:rsidRPr="00600ED9">
              <w:rPr>
                <w:rFonts w:cs="Calibri"/>
                <w:i/>
                <w:sz w:val="20"/>
                <w:szCs w:val="20"/>
                <w:lang w:val="es-ES_tradnl"/>
              </w:rPr>
              <w:t>:</w:t>
            </w:r>
            <w:r w:rsidR="006C0275" w:rsidRPr="00600ED9">
              <w:rPr>
                <w:rFonts w:cs="Calibri"/>
                <w:i/>
                <w:sz w:val="20"/>
                <w:szCs w:val="20"/>
                <w:lang w:val="es-ES_tradnl"/>
              </w:rPr>
              <w:t xml:space="preserve"> Al menos 3 de los criterios descritos están establecidos.</w:t>
            </w:r>
          </w:p>
        </w:tc>
      </w:tr>
      <w:tr w:rsidR="006C0275" w:rsidRPr="00600ED9" w:rsidTr="00B24624">
        <w:tc>
          <w:tcPr>
            <w:tcW w:w="9356" w:type="dxa"/>
          </w:tcPr>
          <w:p w:rsidR="006C0275" w:rsidRPr="00600ED9" w:rsidRDefault="006C0275" w:rsidP="00FB1954">
            <w:pPr>
              <w:jc w:val="both"/>
              <w:rPr>
                <w:rFonts w:cs="Arial"/>
                <w:sz w:val="20"/>
                <w:szCs w:val="20"/>
              </w:rPr>
            </w:pPr>
            <w:r w:rsidRPr="00600ED9">
              <w:rPr>
                <w:rFonts w:eastAsia="Calibri" w:cs="Arial"/>
                <w:sz w:val="20"/>
                <w:szCs w:val="20"/>
              </w:rPr>
              <w:t xml:space="preserve">Criterios </w:t>
            </w:r>
            <w:r w:rsidRPr="00600ED9">
              <w:rPr>
                <w:rFonts w:cs="Arial"/>
                <w:sz w:val="20"/>
                <w:szCs w:val="20"/>
              </w:rPr>
              <w:t xml:space="preserve">(a), (c), (f) y (g) </w:t>
            </w:r>
            <w:r w:rsidRPr="00600ED9">
              <w:rPr>
                <w:rFonts w:eastAsia="Calibri" w:cs="Arial"/>
                <w:sz w:val="20"/>
                <w:szCs w:val="20"/>
              </w:rPr>
              <w:t xml:space="preserve">cumple. </w:t>
            </w:r>
            <w:r w:rsidRPr="00600ED9">
              <w:rPr>
                <w:rFonts w:cs="Arial"/>
                <w:sz w:val="20"/>
                <w:szCs w:val="20"/>
              </w:rPr>
              <w:t xml:space="preserve">Criterios (b), (d) y (e) no cumple. </w:t>
            </w:r>
          </w:p>
          <w:p w:rsidR="0063405A" w:rsidRPr="00600ED9" w:rsidRDefault="0063405A" w:rsidP="00FB1954">
            <w:pPr>
              <w:jc w:val="both"/>
              <w:rPr>
                <w:rFonts w:cs="Arial"/>
                <w:sz w:val="20"/>
                <w:szCs w:val="20"/>
              </w:rPr>
            </w:pPr>
          </w:p>
          <w:p w:rsidR="006C0275" w:rsidRPr="00600ED9" w:rsidRDefault="006C0275" w:rsidP="00FB1954">
            <w:pPr>
              <w:pStyle w:val="Normaltabletext"/>
              <w:spacing w:after="0"/>
              <w:rPr>
                <w:rFonts w:cs="Arial"/>
                <w:lang w:val="es-ES_tradnl"/>
              </w:rPr>
            </w:pPr>
            <w:r w:rsidRPr="00600ED9">
              <w:rPr>
                <w:rFonts w:cs="Arial"/>
                <w:lang w:val="es-ES_tradnl"/>
              </w:rPr>
              <w:t>Las auditorías de desempeño están basadas en la noción de que la economía, la eficiencia y la eficacia son tres de los cinco objetivos de control que se toman en cuenta en las auditorías integrales y que éstos tienen igual importancia que la legalidad y regularidad de la gestión financiera y la rendición de cuentas.</w:t>
            </w:r>
          </w:p>
          <w:p w:rsidR="006C0275" w:rsidRPr="00600ED9" w:rsidRDefault="006C0275" w:rsidP="00FB1954">
            <w:pPr>
              <w:pStyle w:val="Normaltabletext"/>
              <w:spacing w:after="0"/>
              <w:rPr>
                <w:lang w:val="es-ES_tradnl"/>
              </w:rPr>
            </w:pPr>
          </w:p>
          <w:p w:rsidR="006C0275" w:rsidRPr="00600ED9" w:rsidRDefault="006C0275" w:rsidP="00FB1954">
            <w:pPr>
              <w:pStyle w:val="Normaltabletext"/>
              <w:spacing w:after="0"/>
              <w:rPr>
                <w:rFonts w:cs="Arial"/>
                <w:lang w:val="es-ES_tradnl"/>
              </w:rPr>
            </w:pPr>
            <w:r w:rsidRPr="00600ED9">
              <w:rPr>
                <w:rFonts w:cs="Arial"/>
                <w:lang w:val="es-ES_tradnl"/>
              </w:rPr>
              <w:t>La CGRC realiza auditorías de desempeño. A partir de la revisión de los informes de auditoría, se confirmó que en los últimos tres años la CGRC revisó el 100% de los controles como parte de la ejecución de las auditorías de desempeño.</w:t>
            </w:r>
          </w:p>
          <w:p w:rsidR="0063405A" w:rsidRPr="00600ED9" w:rsidRDefault="0063405A" w:rsidP="00FB1954">
            <w:pPr>
              <w:pStyle w:val="Normaltabletext"/>
              <w:spacing w:after="0"/>
              <w:rPr>
                <w:rFonts w:cs="Arial"/>
                <w:lang w:val="es-ES_tradnl"/>
              </w:rPr>
            </w:pPr>
          </w:p>
          <w:p w:rsidR="00B12993" w:rsidRPr="00600ED9" w:rsidRDefault="00B12993" w:rsidP="00FB1954">
            <w:pPr>
              <w:jc w:val="both"/>
              <w:rPr>
                <w:sz w:val="20"/>
                <w:szCs w:val="20"/>
              </w:rPr>
            </w:pPr>
            <w:r w:rsidRPr="00600ED9">
              <w:rPr>
                <w:sz w:val="20"/>
                <w:szCs w:val="20"/>
              </w:rPr>
              <w:t xml:space="preserve">La Contraloría cuenta con mesas de trabajo que son espacios de comunicación e intercambio usados durante todo el proceso de la auditoría y que constituyen una herramienta fundamental para el desarrollo de la misma. Lo anterior, permite la interacción permanente entre los auditores y contribuye a un diálogo constructivo para mantenerse enterados sobre los avances, resultados y acciones del proceso. </w:t>
            </w:r>
          </w:p>
          <w:p w:rsidR="0063405A" w:rsidRPr="00600ED9" w:rsidRDefault="0063405A" w:rsidP="00FB1954">
            <w:pPr>
              <w:jc w:val="both"/>
              <w:rPr>
                <w:sz w:val="20"/>
                <w:szCs w:val="20"/>
              </w:rPr>
            </w:pPr>
          </w:p>
          <w:p w:rsidR="00B12993" w:rsidRPr="00600ED9" w:rsidRDefault="00B12993" w:rsidP="00FB1954">
            <w:pPr>
              <w:pStyle w:val="Normaltabletext"/>
              <w:spacing w:after="0"/>
              <w:rPr>
                <w:lang w:val="es-ES_tradnl"/>
              </w:rPr>
            </w:pPr>
            <w:r w:rsidRPr="00600ED9">
              <w:rPr>
                <w:lang w:val="es-ES_tradnl"/>
              </w:rPr>
              <w:t>A través del PVCF, la CGRC establece los temas en los que deben enfocarse los equipos auditores y emite sus informes en función de áreas específicas y de necesidades identificadas, de tal forma que la auditoría representa un aporte al sector público del país. Entre los principales temas se incluyen los siguientes: defensa, educación, salud, infraestructura, medio ambiente, agropecuario e infraestructura.</w:t>
            </w:r>
          </w:p>
          <w:p w:rsidR="00E772D7" w:rsidRPr="00600ED9" w:rsidRDefault="00E772D7" w:rsidP="00FB1954">
            <w:pPr>
              <w:pStyle w:val="Normaltabletext"/>
              <w:spacing w:after="0"/>
              <w:rPr>
                <w:rFonts w:cs="Arial"/>
                <w:lang w:val="es-ES_tradnl"/>
              </w:rPr>
            </w:pPr>
          </w:p>
          <w:p w:rsidR="006C0275" w:rsidRPr="00600ED9" w:rsidRDefault="006C0275" w:rsidP="00FB1954">
            <w:pPr>
              <w:pStyle w:val="Normaltabletext"/>
              <w:spacing w:after="0"/>
              <w:rPr>
                <w:lang w:val="es-ES_tradnl"/>
              </w:rPr>
            </w:pPr>
            <w:r w:rsidRPr="00600ED9">
              <w:rPr>
                <w:lang w:val="es-ES_tradnl"/>
              </w:rPr>
              <w:t xml:space="preserve">La CGRC considera una matriz de riesgos elaborada con base </w:t>
            </w:r>
            <w:r w:rsidR="00B12993" w:rsidRPr="00600ED9">
              <w:rPr>
                <w:lang w:val="es-ES_tradnl"/>
              </w:rPr>
              <w:t>en</w:t>
            </w:r>
            <w:r w:rsidRPr="00600ED9">
              <w:rPr>
                <w:lang w:val="es-ES_tradnl"/>
              </w:rPr>
              <w:t xml:space="preserve"> macro procesos</w:t>
            </w:r>
            <w:r w:rsidR="00B12993" w:rsidRPr="00600ED9">
              <w:rPr>
                <w:lang w:val="es-ES_tradnl"/>
              </w:rPr>
              <w:t>,</w:t>
            </w:r>
            <w:r w:rsidRPr="00600ED9">
              <w:rPr>
                <w:lang w:val="es-ES_tradnl"/>
              </w:rPr>
              <w:t xml:space="preserve"> sin embargo, en este proceso de selección no se toman en cuenta elementos de la auditoría de desempeño, tales como las capacidades fiscalizadoras del personal de la CGRC, los recursos humanos disponibles y las capacidades profesionales, entre otros. </w:t>
            </w:r>
          </w:p>
          <w:p w:rsidR="0063405A" w:rsidRPr="00600ED9" w:rsidRDefault="0063405A" w:rsidP="00FB1954">
            <w:pPr>
              <w:pStyle w:val="Normaltabletext"/>
              <w:spacing w:after="0"/>
              <w:rPr>
                <w:lang w:val="es-ES_tradnl"/>
              </w:rPr>
            </w:pPr>
          </w:p>
          <w:p w:rsidR="0048408D" w:rsidRPr="00600ED9" w:rsidRDefault="006C0275" w:rsidP="00FB1954">
            <w:pPr>
              <w:pStyle w:val="Normaltabletext"/>
              <w:spacing w:after="0"/>
              <w:rPr>
                <w:lang w:val="es-ES_tradnl"/>
              </w:rPr>
            </w:pPr>
            <w:r w:rsidRPr="00600ED9">
              <w:rPr>
                <w:lang w:val="es-ES_tradnl"/>
              </w:rPr>
              <w:t xml:space="preserve">La CGRC no cuenta con evidencia que compruebe que la selección de temas de auditoría, haya contribuido a: (i) mejorar las operaciones y programas gubernamentales, (ii) reducir costos, (iii) simplificar la administración o (iv) lograr mayores beneficios para la sociedad. </w:t>
            </w:r>
          </w:p>
          <w:p w:rsidR="0063405A" w:rsidRPr="00600ED9" w:rsidRDefault="0063405A" w:rsidP="00FB1954">
            <w:pPr>
              <w:pStyle w:val="Normaltabletext"/>
              <w:spacing w:after="0"/>
              <w:rPr>
                <w:lang w:val="es-ES_tradnl"/>
              </w:rPr>
            </w:pPr>
          </w:p>
        </w:tc>
      </w:tr>
      <w:tr w:rsidR="006C0275" w:rsidRPr="00600ED9" w:rsidTr="00B24624">
        <w:tc>
          <w:tcPr>
            <w:tcW w:w="9356" w:type="dxa"/>
            <w:shd w:val="clear" w:color="auto" w:fill="D9D9D9" w:themeFill="background1" w:themeFillShade="D9"/>
          </w:tcPr>
          <w:p w:rsidR="006C0275" w:rsidRPr="00600ED9" w:rsidRDefault="006C0275" w:rsidP="00FB1954">
            <w:pPr>
              <w:pStyle w:val="NoSpacing"/>
              <w:rPr>
                <w:b/>
                <w:i/>
                <w:sz w:val="20"/>
                <w:szCs w:val="20"/>
                <w:lang w:val="es-ES_tradnl"/>
              </w:rPr>
            </w:pPr>
            <w:r w:rsidRPr="00600ED9">
              <w:rPr>
                <w:b/>
                <w:i/>
                <w:sz w:val="20"/>
                <w:szCs w:val="20"/>
                <w:lang w:val="es-ES_tradnl"/>
              </w:rPr>
              <w:t>Dimensión (ii) Entrega, publicación y diseminación de los resultados de auditoría de desempeño</w:t>
            </w:r>
          </w:p>
        </w:tc>
      </w:tr>
      <w:tr w:rsidR="006C0275" w:rsidRPr="00600ED9" w:rsidTr="0048408D">
        <w:tc>
          <w:tcPr>
            <w:tcW w:w="9356" w:type="dxa"/>
            <w:shd w:val="clear" w:color="auto" w:fill="D9D9D9" w:themeFill="background1" w:themeFillShade="D9"/>
          </w:tcPr>
          <w:p w:rsidR="006C0275" w:rsidRPr="00600ED9" w:rsidRDefault="00705350" w:rsidP="00FB1954">
            <w:pPr>
              <w:pStyle w:val="NoSpacing"/>
              <w:rPr>
                <w:rFonts w:cs="Calibri"/>
                <w:i/>
                <w:sz w:val="20"/>
                <w:szCs w:val="20"/>
                <w:lang w:val="es-ES_tradnl"/>
              </w:rPr>
            </w:pPr>
            <w:r w:rsidRPr="00600ED9">
              <w:rPr>
                <w:rFonts w:eastAsia="Calibri" w:cs="Arial"/>
                <w:b/>
                <w:i/>
                <w:sz w:val="20"/>
                <w:szCs w:val="20"/>
                <w:lang w:val="es-ES_tradnl"/>
              </w:rPr>
              <w:t>Puntuación</w:t>
            </w:r>
            <w:r w:rsidR="006C0275" w:rsidRPr="00600ED9">
              <w:rPr>
                <w:rFonts w:eastAsia="Calibri" w:cs="Arial"/>
                <w:b/>
                <w:i/>
                <w:sz w:val="20"/>
                <w:szCs w:val="20"/>
                <w:lang w:val="es-ES_tradnl"/>
              </w:rPr>
              <w:t xml:space="preserve"> </w:t>
            </w:r>
            <w:r w:rsidR="006C0275" w:rsidRPr="00600ED9">
              <w:rPr>
                <w:rFonts w:cs="Calibri"/>
                <w:b/>
                <w:i/>
                <w:sz w:val="20"/>
                <w:szCs w:val="20"/>
                <w:lang w:val="es-ES_tradnl"/>
              </w:rPr>
              <w:t>2</w:t>
            </w:r>
            <w:r w:rsidRPr="00600ED9">
              <w:rPr>
                <w:rFonts w:cs="Calibri"/>
                <w:b/>
                <w:i/>
                <w:sz w:val="20"/>
                <w:szCs w:val="20"/>
                <w:lang w:val="es-ES_tradnl"/>
              </w:rPr>
              <w:t>:</w:t>
            </w:r>
            <w:r w:rsidR="006C0275" w:rsidRPr="00600ED9">
              <w:rPr>
                <w:rFonts w:cs="Calibri"/>
                <w:b/>
                <w:i/>
                <w:sz w:val="20"/>
                <w:szCs w:val="20"/>
                <w:lang w:val="es-ES_tradnl"/>
              </w:rPr>
              <w:t xml:space="preserve"> </w:t>
            </w:r>
            <w:r w:rsidR="006C0275" w:rsidRPr="00600ED9">
              <w:rPr>
                <w:rFonts w:cs="Calibri"/>
                <w:i/>
                <w:sz w:val="20"/>
                <w:szCs w:val="20"/>
                <w:lang w:val="es-ES_tradnl"/>
              </w:rPr>
              <w:t>Al menos 2 de los criterios descritos están establecidos.</w:t>
            </w:r>
          </w:p>
        </w:tc>
      </w:tr>
      <w:tr w:rsidR="006C0275" w:rsidRPr="00600ED9" w:rsidTr="00B24624">
        <w:tc>
          <w:tcPr>
            <w:tcW w:w="9356" w:type="dxa"/>
          </w:tcPr>
          <w:p w:rsidR="006C0275" w:rsidRPr="00600ED9" w:rsidRDefault="006C0275" w:rsidP="00FB1954">
            <w:pPr>
              <w:jc w:val="both"/>
              <w:rPr>
                <w:rFonts w:cs="Arial"/>
                <w:sz w:val="20"/>
                <w:szCs w:val="20"/>
              </w:rPr>
            </w:pPr>
            <w:r w:rsidRPr="00600ED9">
              <w:rPr>
                <w:rFonts w:eastAsia="Calibri" w:cs="Arial"/>
                <w:sz w:val="20"/>
                <w:szCs w:val="20"/>
              </w:rPr>
              <w:t xml:space="preserve">Criterios </w:t>
            </w:r>
            <w:r w:rsidRPr="00600ED9">
              <w:rPr>
                <w:rFonts w:cs="Arial"/>
                <w:sz w:val="20"/>
                <w:szCs w:val="20"/>
              </w:rPr>
              <w:t xml:space="preserve">(b) y (d) </w:t>
            </w:r>
            <w:r w:rsidRPr="00600ED9">
              <w:rPr>
                <w:rFonts w:eastAsia="Calibri" w:cs="Arial"/>
                <w:sz w:val="20"/>
                <w:szCs w:val="20"/>
              </w:rPr>
              <w:t xml:space="preserve">cumple. Criterios </w:t>
            </w:r>
            <w:r w:rsidRPr="00600ED9">
              <w:rPr>
                <w:rFonts w:cs="Arial"/>
                <w:sz w:val="20"/>
                <w:szCs w:val="20"/>
              </w:rPr>
              <w:t xml:space="preserve">(a), (c) y (e) no cumple. </w:t>
            </w:r>
          </w:p>
          <w:p w:rsidR="0063405A" w:rsidRPr="00600ED9" w:rsidRDefault="0063405A" w:rsidP="00FB1954">
            <w:pPr>
              <w:jc w:val="both"/>
              <w:rPr>
                <w:rFonts w:cs="Arial"/>
                <w:sz w:val="20"/>
                <w:szCs w:val="20"/>
              </w:rPr>
            </w:pPr>
          </w:p>
          <w:p w:rsidR="006C0275" w:rsidRPr="00600ED9" w:rsidRDefault="006C0275" w:rsidP="00FB1954">
            <w:pPr>
              <w:pStyle w:val="Normaltabletext"/>
              <w:spacing w:after="0"/>
              <w:rPr>
                <w:rFonts w:cs="Calibri"/>
                <w:lang w:val="es-ES_tradnl"/>
              </w:rPr>
            </w:pPr>
            <w:r w:rsidRPr="00600ED9">
              <w:rPr>
                <w:rFonts w:cs="Calibri"/>
                <w:lang w:val="es-ES_tradnl" w:eastAsia="en-US"/>
              </w:rPr>
              <w:t xml:space="preserve">Referirse a la explicación incluida en el EFS 1, Dimensión (ii) que aplica también a las </w:t>
            </w:r>
            <w:r w:rsidR="00B12993" w:rsidRPr="00600ED9">
              <w:rPr>
                <w:rFonts w:cs="Calibri"/>
                <w:lang w:val="es-ES_tradnl" w:eastAsia="en-US"/>
              </w:rPr>
              <w:t>A</w:t>
            </w:r>
            <w:r w:rsidRPr="00600ED9">
              <w:rPr>
                <w:rFonts w:cs="Calibri"/>
                <w:lang w:val="es-ES_tradnl" w:eastAsia="en-US"/>
              </w:rPr>
              <w:t>uditor</w:t>
            </w:r>
            <w:r w:rsidR="00B12993" w:rsidRPr="00600ED9">
              <w:rPr>
                <w:rFonts w:cs="Calibri"/>
                <w:lang w:val="es-ES_tradnl" w:eastAsia="en-US"/>
              </w:rPr>
              <w:t>í</w:t>
            </w:r>
            <w:r w:rsidRPr="00600ED9">
              <w:rPr>
                <w:rFonts w:cs="Calibri"/>
                <w:lang w:val="es-ES_tradnl" w:eastAsia="en-US"/>
              </w:rPr>
              <w:t xml:space="preserve">as de </w:t>
            </w:r>
            <w:r w:rsidR="00B12993" w:rsidRPr="00600ED9">
              <w:rPr>
                <w:rFonts w:cs="Calibri"/>
                <w:lang w:val="es-ES_tradnl" w:eastAsia="en-US"/>
              </w:rPr>
              <w:t>D</w:t>
            </w:r>
            <w:r w:rsidRPr="00600ED9">
              <w:rPr>
                <w:rFonts w:cs="Calibri"/>
                <w:lang w:val="es-ES_tradnl" w:eastAsia="en-US"/>
              </w:rPr>
              <w:t>esempeño</w:t>
            </w:r>
            <w:r w:rsidRPr="00600ED9">
              <w:rPr>
                <w:rFonts w:cs="Calibri"/>
                <w:lang w:val="es-ES_tradnl"/>
              </w:rPr>
              <w:t>.</w:t>
            </w:r>
          </w:p>
          <w:p w:rsidR="006C0275" w:rsidRPr="00600ED9" w:rsidRDefault="006C0275" w:rsidP="00FB1954">
            <w:pPr>
              <w:pStyle w:val="Normaltabletext"/>
              <w:spacing w:after="0"/>
              <w:rPr>
                <w:lang w:val="es-ES_tradnl"/>
              </w:rPr>
            </w:pPr>
            <w:r w:rsidRPr="00600ED9">
              <w:rPr>
                <w:lang w:val="es-ES_tradnl"/>
              </w:rPr>
              <w:t xml:space="preserve">Si bien la CGRC fomenta el interés público en los hallazgos de sus auditorías de desempeño,  no se identifican acciones que demuestren que la entidad fomente el interés académico en torno a dichos hallazgos. Aunque la CGRC publica sus informes, no se pudo comprobar que lo haga en los tiempos estipulados, </w:t>
            </w:r>
            <w:r w:rsidR="00835B76" w:rsidRPr="00600ED9">
              <w:rPr>
                <w:lang w:val="es-ES_tradnl"/>
              </w:rPr>
              <w:t xml:space="preserve">y que </w:t>
            </w:r>
            <w:r w:rsidRPr="00600ED9">
              <w:rPr>
                <w:lang w:val="es-ES_tradnl"/>
              </w:rPr>
              <w:t xml:space="preserve">los entes auditados </w:t>
            </w:r>
            <w:r w:rsidR="00835B76" w:rsidRPr="00600ED9">
              <w:rPr>
                <w:lang w:val="es-ES_tradnl"/>
              </w:rPr>
              <w:t xml:space="preserve">los reciban </w:t>
            </w:r>
            <w:r w:rsidRPr="00600ED9">
              <w:rPr>
                <w:lang w:val="es-ES_tradnl"/>
              </w:rPr>
              <w:t>para toma</w:t>
            </w:r>
            <w:r w:rsidR="00835B76" w:rsidRPr="00600ED9">
              <w:rPr>
                <w:lang w:val="es-ES_tradnl"/>
              </w:rPr>
              <w:t>r</w:t>
            </w:r>
            <w:r w:rsidRPr="00600ED9">
              <w:rPr>
                <w:lang w:val="es-ES_tradnl"/>
              </w:rPr>
              <w:t xml:space="preserve"> acciones oportuna</w:t>
            </w:r>
            <w:r w:rsidR="00835B76" w:rsidRPr="00600ED9">
              <w:rPr>
                <w:lang w:val="es-ES_tradnl"/>
              </w:rPr>
              <w:t>mente</w:t>
            </w:r>
            <w:r w:rsidRPr="00600ED9">
              <w:rPr>
                <w:lang w:val="es-ES_tradnl"/>
              </w:rPr>
              <w:t>.</w:t>
            </w:r>
          </w:p>
          <w:p w:rsidR="0063405A" w:rsidRPr="00600ED9" w:rsidRDefault="0063405A" w:rsidP="00FB1954">
            <w:pPr>
              <w:pStyle w:val="Normaltabletext"/>
              <w:spacing w:after="0"/>
              <w:rPr>
                <w:lang w:val="es-ES_tradnl"/>
              </w:rPr>
            </w:pPr>
          </w:p>
        </w:tc>
      </w:tr>
      <w:tr w:rsidR="006C0275" w:rsidRPr="00600ED9" w:rsidTr="00B24624">
        <w:tc>
          <w:tcPr>
            <w:tcW w:w="9356" w:type="dxa"/>
            <w:shd w:val="clear" w:color="auto" w:fill="D9D9D9" w:themeFill="background1" w:themeFillShade="D9"/>
          </w:tcPr>
          <w:p w:rsidR="006C0275" w:rsidRPr="00600ED9" w:rsidRDefault="006C0275" w:rsidP="00FB1954">
            <w:pPr>
              <w:pStyle w:val="NoSpacing"/>
              <w:jc w:val="both"/>
              <w:rPr>
                <w:b/>
                <w:i/>
                <w:sz w:val="20"/>
                <w:szCs w:val="20"/>
                <w:lang w:val="es-ES_tradnl"/>
              </w:rPr>
            </w:pPr>
            <w:r w:rsidRPr="00600ED9">
              <w:rPr>
                <w:b/>
                <w:i/>
                <w:sz w:val="20"/>
                <w:szCs w:val="20"/>
                <w:lang w:val="es-ES_tradnl"/>
              </w:rPr>
              <w:t>Dimensión (iii) Seguimiento de la EFS a la implementación de las observaciones y recomendaciones de la auditoría de desempeño</w:t>
            </w:r>
          </w:p>
        </w:tc>
      </w:tr>
      <w:tr w:rsidR="006C0275" w:rsidRPr="00600ED9" w:rsidTr="00834BA6">
        <w:tc>
          <w:tcPr>
            <w:tcW w:w="9356" w:type="dxa"/>
            <w:shd w:val="clear" w:color="auto" w:fill="D9D9D9" w:themeFill="background1" w:themeFillShade="D9"/>
          </w:tcPr>
          <w:p w:rsidR="006C0275" w:rsidRPr="00600ED9" w:rsidRDefault="00705350" w:rsidP="00FB1954">
            <w:pPr>
              <w:pStyle w:val="NoSpacing"/>
              <w:rPr>
                <w:rFonts w:eastAsia="Calibri" w:cs="Arial"/>
                <w:i/>
                <w:sz w:val="20"/>
                <w:szCs w:val="20"/>
                <w:lang w:val="es-ES_tradnl"/>
              </w:rPr>
            </w:pPr>
            <w:r w:rsidRPr="00600ED9">
              <w:rPr>
                <w:rFonts w:eastAsia="Calibri" w:cs="Arial"/>
                <w:b/>
                <w:i/>
                <w:sz w:val="20"/>
                <w:szCs w:val="20"/>
                <w:lang w:val="es-ES_tradnl"/>
              </w:rPr>
              <w:t>Puntuación</w:t>
            </w:r>
            <w:r w:rsidR="006C0275" w:rsidRPr="00600ED9">
              <w:rPr>
                <w:rFonts w:eastAsia="Calibri" w:cs="Arial"/>
                <w:b/>
                <w:i/>
                <w:sz w:val="20"/>
                <w:szCs w:val="20"/>
                <w:lang w:val="es-ES_tradnl"/>
              </w:rPr>
              <w:t xml:space="preserve"> </w:t>
            </w:r>
            <w:r w:rsidR="006C0275" w:rsidRPr="00600ED9">
              <w:rPr>
                <w:b/>
                <w:i/>
                <w:sz w:val="20"/>
                <w:szCs w:val="20"/>
                <w:lang w:val="es-ES_tradnl"/>
              </w:rPr>
              <w:t>0</w:t>
            </w:r>
            <w:r w:rsidRPr="00600ED9">
              <w:rPr>
                <w:b/>
                <w:i/>
                <w:sz w:val="20"/>
                <w:szCs w:val="20"/>
                <w:lang w:val="es-ES_tradnl"/>
              </w:rPr>
              <w:t>:</w:t>
            </w:r>
            <w:r w:rsidR="006C0275" w:rsidRPr="00600ED9">
              <w:rPr>
                <w:b/>
                <w:i/>
                <w:sz w:val="20"/>
                <w:szCs w:val="20"/>
                <w:lang w:val="es-ES_tradnl"/>
              </w:rPr>
              <w:t xml:space="preserve"> </w:t>
            </w:r>
            <w:r w:rsidR="006C0275" w:rsidRPr="00600ED9">
              <w:rPr>
                <w:i/>
                <w:sz w:val="20"/>
                <w:szCs w:val="20"/>
                <w:lang w:val="es-ES_tradnl"/>
              </w:rPr>
              <w:t>Ninguno de los criterios descritos están establecidos.</w:t>
            </w:r>
          </w:p>
        </w:tc>
      </w:tr>
      <w:tr w:rsidR="006C0275" w:rsidRPr="00600ED9" w:rsidTr="00B24624">
        <w:tc>
          <w:tcPr>
            <w:tcW w:w="9356" w:type="dxa"/>
          </w:tcPr>
          <w:p w:rsidR="006C0275" w:rsidRPr="00600ED9" w:rsidRDefault="006C0275" w:rsidP="00FB1954">
            <w:pPr>
              <w:jc w:val="both"/>
              <w:rPr>
                <w:rFonts w:cs="Arial"/>
                <w:sz w:val="20"/>
                <w:szCs w:val="20"/>
              </w:rPr>
            </w:pPr>
            <w:r w:rsidRPr="00600ED9">
              <w:rPr>
                <w:rFonts w:eastAsia="Calibri" w:cs="Arial"/>
                <w:sz w:val="20"/>
                <w:szCs w:val="20"/>
              </w:rPr>
              <w:t xml:space="preserve">Criterios </w:t>
            </w:r>
            <w:r w:rsidRPr="00600ED9">
              <w:rPr>
                <w:rFonts w:cs="Arial"/>
                <w:sz w:val="20"/>
                <w:szCs w:val="20"/>
              </w:rPr>
              <w:t xml:space="preserve">(a), (b), (c) y (d) no cumplen. </w:t>
            </w:r>
          </w:p>
          <w:p w:rsidR="0063405A" w:rsidRPr="00600ED9" w:rsidRDefault="0063405A" w:rsidP="00FB1954">
            <w:pPr>
              <w:jc w:val="both"/>
              <w:rPr>
                <w:rFonts w:ascii="Times New Roman" w:eastAsia="Times New Roman" w:hAnsi="Times New Roman" w:cs="Calibri"/>
                <w:sz w:val="14"/>
                <w:szCs w:val="20"/>
              </w:rPr>
            </w:pPr>
          </w:p>
          <w:p w:rsidR="006C0275" w:rsidRPr="00600ED9" w:rsidRDefault="006C0275" w:rsidP="00FB1954">
            <w:pPr>
              <w:pStyle w:val="Normaltabletext"/>
              <w:spacing w:after="0"/>
              <w:rPr>
                <w:rFonts w:cs="Calibri"/>
                <w:lang w:val="es-ES_tradnl"/>
              </w:rPr>
            </w:pPr>
            <w:r w:rsidRPr="00600ED9">
              <w:rPr>
                <w:rFonts w:cs="Calibri"/>
                <w:lang w:val="es-ES_tradnl" w:eastAsia="en-US"/>
              </w:rPr>
              <w:lastRenderedPageBreak/>
              <w:t>Referirse a la explicación incluida en el EFS 1, Dimensión (iii) que aplica también a las auditorias de desempeño</w:t>
            </w:r>
            <w:r w:rsidRPr="00600ED9">
              <w:rPr>
                <w:rFonts w:cs="Calibri"/>
                <w:lang w:val="es-ES_tradnl"/>
              </w:rPr>
              <w:t>.</w:t>
            </w:r>
          </w:p>
          <w:p w:rsidR="0063405A" w:rsidRPr="00600ED9" w:rsidRDefault="0063405A" w:rsidP="00FB1954">
            <w:pPr>
              <w:pStyle w:val="Normaltabletext"/>
              <w:spacing w:after="0"/>
              <w:rPr>
                <w:sz w:val="14"/>
                <w:lang w:val="es-ES_tradnl"/>
              </w:rPr>
            </w:pPr>
          </w:p>
        </w:tc>
      </w:tr>
    </w:tbl>
    <w:p w:rsidR="006245E1" w:rsidRPr="00600ED9" w:rsidRDefault="006245E1" w:rsidP="00FB1954">
      <w:pPr>
        <w:spacing w:after="0" w:line="240" w:lineRule="auto"/>
        <w:jc w:val="both"/>
        <w:rPr>
          <w:b/>
          <w:sz w:val="18"/>
          <w:szCs w:val="20"/>
        </w:rPr>
      </w:pPr>
    </w:p>
    <w:p w:rsidR="007A635F" w:rsidRPr="00600ED9" w:rsidRDefault="006245E1" w:rsidP="00FB1954">
      <w:pPr>
        <w:pStyle w:val="NoSpacing"/>
        <w:ind w:left="720"/>
        <w:rPr>
          <w:lang w:val="es-ES_tradnl"/>
        </w:rPr>
      </w:pPr>
      <w:r w:rsidRPr="00600ED9">
        <w:rPr>
          <w:b/>
          <w:bCs/>
          <w:smallCaps/>
          <w:lang w:val="es-ES_tradnl"/>
        </w:rPr>
        <w:t>Recomendaciones:</w:t>
      </w:r>
      <w:r w:rsidR="00E772D7" w:rsidRPr="00600ED9">
        <w:rPr>
          <w:b/>
          <w:bCs/>
          <w:smallCaps/>
          <w:lang w:val="es-ES_tradnl"/>
        </w:rPr>
        <w:t xml:space="preserve"> </w:t>
      </w:r>
      <w:r w:rsidR="005120A2" w:rsidRPr="00600ED9">
        <w:rPr>
          <w:lang w:val="es-ES_tradnl"/>
        </w:rPr>
        <w:t>Consultar el</w:t>
      </w:r>
      <w:r w:rsidR="00EC1E14" w:rsidRPr="00600ED9">
        <w:rPr>
          <w:lang w:val="es-ES_tradnl"/>
        </w:rPr>
        <w:t xml:space="preserve"> Anexo A</w:t>
      </w:r>
      <w:r w:rsidR="00CA3E61" w:rsidRPr="00600ED9">
        <w:rPr>
          <w:lang w:val="es-ES_tradnl"/>
        </w:rPr>
        <w:t xml:space="preserve">: Plan de Acción, </w:t>
      </w:r>
      <w:r w:rsidR="00835B76" w:rsidRPr="00600ED9">
        <w:rPr>
          <w:lang w:val="es-ES_tradnl"/>
        </w:rPr>
        <w:t xml:space="preserve">recomendaciones </w:t>
      </w:r>
      <w:r w:rsidR="00710AA3" w:rsidRPr="00600ED9">
        <w:rPr>
          <w:lang w:val="es-ES_tradnl"/>
        </w:rPr>
        <w:t xml:space="preserve">No. 2, </w:t>
      </w:r>
      <w:r w:rsidR="00835B76" w:rsidRPr="00600ED9">
        <w:rPr>
          <w:lang w:val="es-ES_tradnl"/>
        </w:rPr>
        <w:t>3</w:t>
      </w:r>
      <w:r w:rsidR="009A62D2" w:rsidRPr="00600ED9">
        <w:rPr>
          <w:lang w:val="es-ES_tradnl"/>
        </w:rPr>
        <w:t xml:space="preserve">, </w:t>
      </w:r>
      <w:r w:rsidR="00710AA3" w:rsidRPr="00600ED9">
        <w:rPr>
          <w:lang w:val="es-ES_tradnl"/>
        </w:rPr>
        <w:t>15</w:t>
      </w:r>
      <w:r w:rsidR="009A62D2" w:rsidRPr="00600ED9">
        <w:rPr>
          <w:lang w:val="es-ES_tradnl"/>
        </w:rPr>
        <w:t xml:space="preserve"> y 26</w:t>
      </w:r>
      <w:r w:rsidR="00835B76" w:rsidRPr="00600ED9">
        <w:rPr>
          <w:lang w:val="es-ES_tradnl"/>
        </w:rPr>
        <w:t>.</w:t>
      </w:r>
    </w:p>
    <w:p w:rsidR="0066134C" w:rsidRPr="00600ED9" w:rsidRDefault="0066134C" w:rsidP="00FB1954">
      <w:pPr>
        <w:pStyle w:val="NoSpacing"/>
        <w:rPr>
          <w:sz w:val="16"/>
          <w:lang w:val="es-ES_tradnl"/>
        </w:rPr>
      </w:pPr>
    </w:p>
    <w:p w:rsidR="0063405A" w:rsidRPr="00600ED9" w:rsidRDefault="0063405A" w:rsidP="00FB1954">
      <w:pPr>
        <w:pStyle w:val="NoSpacing"/>
        <w:rPr>
          <w:sz w:val="16"/>
          <w:lang w:val="es-ES_tradnl"/>
        </w:rPr>
      </w:pPr>
    </w:p>
    <w:p w:rsidR="00720E42" w:rsidRPr="00600ED9" w:rsidRDefault="00FC6FE0" w:rsidP="00FB1954">
      <w:pPr>
        <w:pStyle w:val="Heading2"/>
        <w:spacing w:before="0" w:line="240" w:lineRule="auto"/>
        <w:rPr>
          <w:rFonts w:eastAsia="Calibri" w:cs="Times New Roman"/>
        </w:rPr>
      </w:pPr>
      <w:bookmarkStart w:id="17" w:name="_Toc295932909"/>
      <w:r w:rsidRPr="00600ED9">
        <w:rPr>
          <w:rFonts w:eastAsia="Calibri" w:cs="Times New Roman"/>
        </w:rPr>
        <w:t xml:space="preserve">EFS </w:t>
      </w:r>
      <w:r w:rsidR="00720E42" w:rsidRPr="00600ED9">
        <w:rPr>
          <w:rFonts w:eastAsia="Calibri" w:cs="Times New Roman"/>
        </w:rPr>
        <w:t xml:space="preserve">5 – Informe Anual de la </w:t>
      </w:r>
      <w:r w:rsidR="00CA134D" w:rsidRPr="00600ED9">
        <w:rPr>
          <w:rFonts w:eastAsia="Calibri" w:cs="Times New Roman"/>
        </w:rPr>
        <w:t>EFS</w:t>
      </w:r>
      <w:r w:rsidR="00720E42" w:rsidRPr="00600ED9">
        <w:rPr>
          <w:rFonts w:eastAsia="Calibri" w:cs="Times New Roman"/>
        </w:rPr>
        <w:t xml:space="preserve"> y otros Informes</w:t>
      </w:r>
      <w:bookmarkEnd w:id="17"/>
    </w:p>
    <w:p w:rsidR="00835B76" w:rsidRPr="00600ED9" w:rsidRDefault="00835B76" w:rsidP="00FB1954">
      <w:pPr>
        <w:pStyle w:val="NoSpacing"/>
        <w:rPr>
          <w:sz w:val="20"/>
          <w:szCs w:val="24"/>
          <w:lang w:val="es-ES_tradnl"/>
        </w:rPr>
      </w:pPr>
    </w:p>
    <w:tbl>
      <w:tblPr>
        <w:tblW w:w="9232" w:type="dxa"/>
        <w:tblInd w:w="720" w:type="dxa"/>
        <w:tblCellMar>
          <w:left w:w="70" w:type="dxa"/>
          <w:right w:w="70" w:type="dxa"/>
        </w:tblCellMar>
        <w:tblLook w:val="04A0" w:firstRow="1" w:lastRow="0" w:firstColumn="1" w:lastColumn="0" w:noHBand="0" w:noVBand="1"/>
      </w:tblPr>
      <w:tblGrid>
        <w:gridCol w:w="2477"/>
        <w:gridCol w:w="1095"/>
        <w:gridCol w:w="1088"/>
        <w:gridCol w:w="1002"/>
        <w:gridCol w:w="1590"/>
        <w:gridCol w:w="180"/>
        <w:gridCol w:w="1800"/>
      </w:tblGrid>
      <w:tr w:rsidR="004C2674" w:rsidRPr="00600ED9" w:rsidTr="0063405A">
        <w:trPr>
          <w:trHeight w:val="255"/>
        </w:trPr>
        <w:tc>
          <w:tcPr>
            <w:tcW w:w="2477" w:type="dxa"/>
            <w:tcBorders>
              <w:top w:val="nil"/>
              <w:left w:val="nil"/>
              <w:bottom w:val="nil"/>
              <w:right w:val="nil"/>
            </w:tcBorders>
            <w:shd w:val="clear" w:color="auto" w:fill="auto"/>
            <w:noWrap/>
            <w:vAlign w:val="bottom"/>
            <w:hideMark/>
          </w:tcPr>
          <w:p w:rsidR="004C2674" w:rsidRPr="00600ED9" w:rsidRDefault="004C2674" w:rsidP="00FB1954">
            <w:pPr>
              <w:pStyle w:val="NoSpacing"/>
              <w:tabs>
                <w:tab w:val="center" w:pos="4680"/>
                <w:tab w:val="right" w:pos="9360"/>
              </w:tabs>
              <w:jc w:val="center"/>
              <w:rPr>
                <w:sz w:val="20"/>
                <w:lang w:val="es-ES_tradnl"/>
              </w:rPr>
            </w:pPr>
          </w:p>
        </w:tc>
        <w:tc>
          <w:tcPr>
            <w:tcW w:w="4775" w:type="dxa"/>
            <w:gridSpan w:val="4"/>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4C2674" w:rsidRPr="00600ED9" w:rsidRDefault="004C2674" w:rsidP="00FB1954">
            <w:pPr>
              <w:pStyle w:val="NoSpacing"/>
              <w:jc w:val="center"/>
              <w:rPr>
                <w:b/>
                <w:bCs/>
                <w:sz w:val="20"/>
                <w:lang w:val="es-ES_tradnl"/>
              </w:rPr>
            </w:pPr>
            <w:r w:rsidRPr="00600ED9">
              <w:rPr>
                <w:b/>
                <w:bCs/>
                <w:sz w:val="20"/>
                <w:lang w:val="es-ES_tradnl"/>
              </w:rPr>
              <w:t>Dimensiones Evaluadas</w:t>
            </w:r>
          </w:p>
        </w:tc>
        <w:tc>
          <w:tcPr>
            <w:tcW w:w="180" w:type="dxa"/>
            <w:tcBorders>
              <w:top w:val="nil"/>
              <w:left w:val="nil"/>
              <w:bottom w:val="nil"/>
              <w:right w:val="nil"/>
            </w:tcBorders>
            <w:shd w:val="clear" w:color="auto" w:fill="auto"/>
            <w:noWrap/>
            <w:vAlign w:val="bottom"/>
            <w:hideMark/>
          </w:tcPr>
          <w:p w:rsidR="004C2674" w:rsidRPr="00600ED9" w:rsidRDefault="004C2674" w:rsidP="00FB1954">
            <w:pPr>
              <w:pStyle w:val="NoSpacing"/>
              <w:tabs>
                <w:tab w:val="center" w:pos="4680"/>
                <w:tab w:val="right" w:pos="9360"/>
              </w:tabs>
              <w:jc w:val="center"/>
              <w:rPr>
                <w:sz w:val="20"/>
                <w:lang w:val="es-ES_tradnl"/>
              </w:rPr>
            </w:pPr>
          </w:p>
        </w:tc>
        <w:tc>
          <w:tcPr>
            <w:tcW w:w="1800" w:type="dxa"/>
            <w:vMerge w:val="restart"/>
            <w:tcBorders>
              <w:top w:val="single" w:sz="4" w:space="0" w:color="auto"/>
              <w:left w:val="single" w:sz="4" w:space="0" w:color="auto"/>
              <w:bottom w:val="single" w:sz="4" w:space="0" w:color="auto"/>
              <w:right w:val="single" w:sz="4" w:space="0" w:color="auto"/>
            </w:tcBorders>
            <w:shd w:val="clear" w:color="000000" w:fill="95B3D7"/>
            <w:vAlign w:val="center"/>
            <w:hideMark/>
          </w:tcPr>
          <w:p w:rsidR="004C2674" w:rsidRPr="00600ED9" w:rsidRDefault="004C2674" w:rsidP="00FB1954">
            <w:pPr>
              <w:pStyle w:val="NoSpacing"/>
              <w:jc w:val="center"/>
              <w:rPr>
                <w:b/>
                <w:bCs/>
                <w:sz w:val="20"/>
                <w:lang w:val="es-ES_tradnl"/>
              </w:rPr>
            </w:pPr>
            <w:r w:rsidRPr="00600ED9">
              <w:rPr>
                <w:b/>
                <w:bCs/>
                <w:sz w:val="20"/>
                <w:lang w:val="es-ES_tradnl"/>
              </w:rPr>
              <w:t>Puntuación General</w:t>
            </w:r>
          </w:p>
        </w:tc>
      </w:tr>
      <w:tr w:rsidR="004C2674" w:rsidRPr="00600ED9" w:rsidTr="0063405A">
        <w:trPr>
          <w:trHeight w:val="390"/>
        </w:trPr>
        <w:tc>
          <w:tcPr>
            <w:tcW w:w="2477"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4C2674" w:rsidRPr="00600ED9" w:rsidRDefault="004C2674" w:rsidP="00FB1954">
            <w:pPr>
              <w:pStyle w:val="NoSpacing"/>
              <w:jc w:val="center"/>
              <w:rPr>
                <w:b/>
                <w:bCs/>
                <w:sz w:val="20"/>
                <w:lang w:val="es-ES_tradnl"/>
              </w:rPr>
            </w:pPr>
            <w:r w:rsidRPr="00600ED9">
              <w:rPr>
                <w:b/>
                <w:bCs/>
                <w:sz w:val="20"/>
                <w:lang w:val="es-ES_tradnl"/>
              </w:rPr>
              <w:t>Indicadores</w:t>
            </w:r>
          </w:p>
        </w:tc>
        <w:tc>
          <w:tcPr>
            <w:tcW w:w="1095" w:type="dxa"/>
            <w:tcBorders>
              <w:top w:val="nil"/>
              <w:left w:val="nil"/>
              <w:bottom w:val="single" w:sz="4" w:space="0" w:color="auto"/>
              <w:right w:val="single" w:sz="4" w:space="0" w:color="auto"/>
            </w:tcBorders>
            <w:shd w:val="clear" w:color="000000" w:fill="D8D8D8"/>
            <w:noWrap/>
            <w:hideMark/>
          </w:tcPr>
          <w:p w:rsidR="00683FE2" w:rsidRPr="00600ED9" w:rsidRDefault="00835B76" w:rsidP="00FB1954">
            <w:pPr>
              <w:pStyle w:val="NoSpacing"/>
              <w:jc w:val="center"/>
              <w:rPr>
                <w:b/>
                <w:w w:val="90"/>
                <w:sz w:val="20"/>
                <w:lang w:val="es-ES_tradnl"/>
              </w:rPr>
            </w:pPr>
            <w:r w:rsidRPr="00600ED9">
              <w:rPr>
                <w:b/>
                <w:w w:val="90"/>
                <w:sz w:val="20"/>
                <w:lang w:val="es-ES_tradnl"/>
              </w:rPr>
              <w:t>(i)</w:t>
            </w:r>
          </w:p>
          <w:p w:rsidR="004C2674" w:rsidRPr="00600ED9" w:rsidRDefault="004C2674" w:rsidP="00FB1954">
            <w:pPr>
              <w:pStyle w:val="NoSpacing"/>
              <w:jc w:val="center"/>
              <w:rPr>
                <w:bCs/>
                <w:sz w:val="20"/>
                <w:lang w:val="es-ES_tradnl"/>
              </w:rPr>
            </w:pPr>
            <w:r w:rsidRPr="00600ED9">
              <w:rPr>
                <w:w w:val="90"/>
                <w:sz w:val="20"/>
                <w:lang w:val="es-ES_tradnl"/>
              </w:rPr>
              <w:t>Contenido y presentación del informe anual</w:t>
            </w:r>
          </w:p>
        </w:tc>
        <w:tc>
          <w:tcPr>
            <w:tcW w:w="1088" w:type="dxa"/>
            <w:tcBorders>
              <w:top w:val="nil"/>
              <w:left w:val="nil"/>
              <w:bottom w:val="single" w:sz="4" w:space="0" w:color="auto"/>
              <w:right w:val="single" w:sz="4" w:space="0" w:color="auto"/>
            </w:tcBorders>
            <w:shd w:val="clear" w:color="000000" w:fill="D8D8D8"/>
            <w:noWrap/>
            <w:hideMark/>
          </w:tcPr>
          <w:p w:rsidR="00683FE2" w:rsidRPr="00600ED9" w:rsidRDefault="00835B76" w:rsidP="00FB1954">
            <w:pPr>
              <w:pStyle w:val="NoSpacing"/>
              <w:jc w:val="center"/>
              <w:rPr>
                <w:b/>
                <w:bCs/>
                <w:w w:val="90"/>
                <w:sz w:val="20"/>
                <w:lang w:val="es-ES_tradnl"/>
              </w:rPr>
            </w:pPr>
            <w:r w:rsidRPr="00600ED9">
              <w:rPr>
                <w:b/>
                <w:bCs/>
                <w:w w:val="90"/>
                <w:sz w:val="20"/>
                <w:lang w:val="es-ES_tradnl"/>
              </w:rPr>
              <w:t>(ii)</w:t>
            </w:r>
          </w:p>
          <w:p w:rsidR="004C2674" w:rsidRPr="00600ED9" w:rsidRDefault="004C2674" w:rsidP="00FB1954">
            <w:pPr>
              <w:pStyle w:val="NoSpacing"/>
              <w:jc w:val="center"/>
              <w:rPr>
                <w:bCs/>
                <w:sz w:val="20"/>
                <w:lang w:val="es-ES_tradnl"/>
              </w:rPr>
            </w:pPr>
            <w:r w:rsidRPr="00600ED9">
              <w:rPr>
                <w:w w:val="90"/>
                <w:sz w:val="20"/>
                <w:lang w:val="es-ES_tradnl"/>
              </w:rPr>
              <w:t>Publicación y difusión del informe anual</w:t>
            </w:r>
          </w:p>
        </w:tc>
        <w:tc>
          <w:tcPr>
            <w:tcW w:w="1002" w:type="dxa"/>
            <w:tcBorders>
              <w:top w:val="nil"/>
              <w:left w:val="nil"/>
              <w:bottom w:val="single" w:sz="4" w:space="0" w:color="auto"/>
              <w:right w:val="single" w:sz="4" w:space="0" w:color="auto"/>
            </w:tcBorders>
            <w:shd w:val="clear" w:color="000000" w:fill="D8D8D8"/>
            <w:noWrap/>
            <w:hideMark/>
          </w:tcPr>
          <w:p w:rsidR="00683FE2" w:rsidRPr="00600ED9" w:rsidRDefault="00835B76" w:rsidP="00FB1954">
            <w:pPr>
              <w:pStyle w:val="NoSpacing"/>
              <w:jc w:val="center"/>
              <w:rPr>
                <w:bCs/>
                <w:w w:val="90"/>
                <w:sz w:val="20"/>
                <w:lang w:val="es-ES_tradnl"/>
              </w:rPr>
            </w:pPr>
            <w:r w:rsidRPr="00600ED9">
              <w:rPr>
                <w:b/>
                <w:bCs/>
                <w:w w:val="90"/>
                <w:sz w:val="20"/>
                <w:lang w:val="es-ES_tradnl"/>
              </w:rPr>
              <w:t>(iii</w:t>
            </w:r>
            <w:r w:rsidRPr="00600ED9">
              <w:rPr>
                <w:bCs/>
                <w:w w:val="90"/>
                <w:sz w:val="20"/>
                <w:lang w:val="es-ES_tradnl"/>
              </w:rPr>
              <w:t>)</w:t>
            </w:r>
          </w:p>
          <w:p w:rsidR="004C2674" w:rsidRPr="00600ED9" w:rsidRDefault="004C2674" w:rsidP="00FB1954">
            <w:pPr>
              <w:pStyle w:val="NoSpacing"/>
              <w:jc w:val="center"/>
              <w:rPr>
                <w:bCs/>
                <w:sz w:val="20"/>
                <w:lang w:val="es-ES_tradnl"/>
              </w:rPr>
            </w:pPr>
            <w:r w:rsidRPr="00600ED9">
              <w:rPr>
                <w:w w:val="90"/>
                <w:sz w:val="20"/>
                <w:lang w:val="es-ES_tradnl"/>
              </w:rPr>
              <w:t>Medición e informe sobre el desempeño</w:t>
            </w:r>
          </w:p>
        </w:tc>
        <w:tc>
          <w:tcPr>
            <w:tcW w:w="1590" w:type="dxa"/>
            <w:tcBorders>
              <w:top w:val="nil"/>
              <w:left w:val="nil"/>
              <w:bottom w:val="single" w:sz="4" w:space="0" w:color="auto"/>
              <w:right w:val="single" w:sz="4" w:space="0" w:color="auto"/>
            </w:tcBorders>
            <w:shd w:val="clear" w:color="000000" w:fill="D8D8D8"/>
            <w:noWrap/>
            <w:hideMark/>
          </w:tcPr>
          <w:p w:rsidR="00683FE2" w:rsidRPr="00600ED9" w:rsidRDefault="00835B76" w:rsidP="00FB1954">
            <w:pPr>
              <w:pStyle w:val="NoSpacing"/>
              <w:jc w:val="center"/>
              <w:rPr>
                <w:b/>
                <w:bCs/>
                <w:w w:val="90"/>
                <w:sz w:val="20"/>
                <w:lang w:val="es-ES_tradnl"/>
              </w:rPr>
            </w:pPr>
            <w:r w:rsidRPr="00600ED9">
              <w:rPr>
                <w:b/>
                <w:bCs/>
                <w:w w:val="90"/>
                <w:sz w:val="20"/>
                <w:lang w:val="es-ES_tradnl"/>
              </w:rPr>
              <w:t>(iv)</w:t>
            </w:r>
          </w:p>
          <w:p w:rsidR="004C2674" w:rsidRPr="00600ED9" w:rsidRDefault="0047153A" w:rsidP="00FB1954">
            <w:pPr>
              <w:pStyle w:val="NoSpacing"/>
              <w:jc w:val="center"/>
              <w:rPr>
                <w:bCs/>
                <w:sz w:val="20"/>
                <w:lang w:val="es-ES_tradnl"/>
              </w:rPr>
            </w:pPr>
            <w:r w:rsidRPr="00600ED9">
              <w:rPr>
                <w:bCs/>
                <w:w w:val="90"/>
                <w:sz w:val="20"/>
                <w:lang w:val="es-ES_tradnl"/>
              </w:rPr>
              <w:t>Informe sobre los s</w:t>
            </w:r>
            <w:r w:rsidR="004C2674" w:rsidRPr="00600ED9">
              <w:rPr>
                <w:bCs/>
                <w:w w:val="90"/>
                <w:sz w:val="20"/>
                <w:lang w:val="es-ES_tradnl"/>
              </w:rPr>
              <w:t xml:space="preserve">ervicios de </w:t>
            </w:r>
            <w:r w:rsidRPr="00600ED9">
              <w:rPr>
                <w:bCs/>
                <w:w w:val="90"/>
                <w:sz w:val="20"/>
                <w:lang w:val="es-ES_tradnl"/>
              </w:rPr>
              <w:t>valor a</w:t>
            </w:r>
            <w:r w:rsidR="004C2674" w:rsidRPr="00600ED9">
              <w:rPr>
                <w:bCs/>
                <w:w w:val="90"/>
                <w:sz w:val="20"/>
                <w:lang w:val="es-ES_tradnl"/>
              </w:rPr>
              <w:t xml:space="preserve">gregado de la </w:t>
            </w:r>
            <w:r w:rsidR="00CA134D" w:rsidRPr="00600ED9">
              <w:rPr>
                <w:bCs/>
                <w:w w:val="90"/>
                <w:sz w:val="20"/>
                <w:lang w:val="es-ES_tradnl"/>
              </w:rPr>
              <w:t>EFS</w:t>
            </w:r>
            <w:r w:rsidRPr="00600ED9">
              <w:rPr>
                <w:bCs/>
                <w:w w:val="90"/>
                <w:sz w:val="20"/>
                <w:lang w:val="es-ES_tradnl"/>
              </w:rPr>
              <w:t xml:space="preserve"> y otras f</w:t>
            </w:r>
            <w:r w:rsidR="004C2674" w:rsidRPr="00600ED9">
              <w:rPr>
                <w:bCs/>
                <w:w w:val="90"/>
                <w:sz w:val="20"/>
                <w:lang w:val="es-ES_tradnl"/>
              </w:rPr>
              <w:t xml:space="preserve">unciones </w:t>
            </w:r>
            <w:r w:rsidRPr="00600ED9">
              <w:rPr>
                <w:bCs/>
                <w:w w:val="90"/>
                <w:sz w:val="20"/>
                <w:lang w:val="es-ES_tradnl"/>
              </w:rPr>
              <w:t>o</w:t>
            </w:r>
            <w:r w:rsidR="004C2674" w:rsidRPr="00600ED9">
              <w:rPr>
                <w:bCs/>
                <w:w w:val="90"/>
                <w:sz w:val="20"/>
                <w:lang w:val="es-ES_tradnl"/>
              </w:rPr>
              <w:t>bligatorias</w:t>
            </w:r>
          </w:p>
        </w:tc>
        <w:tc>
          <w:tcPr>
            <w:tcW w:w="180" w:type="dxa"/>
            <w:tcBorders>
              <w:top w:val="nil"/>
              <w:left w:val="nil"/>
              <w:bottom w:val="nil"/>
              <w:right w:val="nil"/>
            </w:tcBorders>
            <w:shd w:val="clear" w:color="auto" w:fill="auto"/>
            <w:noWrap/>
            <w:hideMark/>
          </w:tcPr>
          <w:p w:rsidR="004C2674" w:rsidRPr="00600ED9" w:rsidRDefault="004C2674" w:rsidP="00FB1954">
            <w:pPr>
              <w:pStyle w:val="NoSpacing"/>
              <w:tabs>
                <w:tab w:val="center" w:pos="4680"/>
                <w:tab w:val="right" w:pos="9360"/>
              </w:tabs>
              <w:jc w:val="center"/>
              <w:rPr>
                <w:sz w:val="20"/>
                <w:lang w:val="es-ES_tradnl"/>
              </w:rPr>
            </w:pPr>
          </w:p>
        </w:tc>
        <w:tc>
          <w:tcPr>
            <w:tcW w:w="1800" w:type="dxa"/>
            <w:vMerge/>
            <w:tcBorders>
              <w:top w:val="single" w:sz="4" w:space="0" w:color="auto"/>
              <w:left w:val="single" w:sz="4" w:space="0" w:color="auto"/>
              <w:bottom w:val="single" w:sz="4" w:space="0" w:color="auto"/>
              <w:right w:val="single" w:sz="4" w:space="0" w:color="auto"/>
            </w:tcBorders>
            <w:hideMark/>
          </w:tcPr>
          <w:p w:rsidR="004C2674" w:rsidRPr="00600ED9" w:rsidRDefault="004C2674" w:rsidP="00FB1954">
            <w:pPr>
              <w:pStyle w:val="NoSpacing"/>
              <w:tabs>
                <w:tab w:val="center" w:pos="4680"/>
                <w:tab w:val="right" w:pos="9360"/>
              </w:tabs>
              <w:jc w:val="center"/>
              <w:rPr>
                <w:b/>
                <w:bCs/>
                <w:sz w:val="20"/>
                <w:lang w:val="es-ES_tradnl"/>
              </w:rPr>
            </w:pPr>
          </w:p>
        </w:tc>
      </w:tr>
      <w:tr w:rsidR="004C2674" w:rsidRPr="00600ED9" w:rsidTr="0063405A">
        <w:trPr>
          <w:trHeight w:val="510"/>
        </w:trPr>
        <w:tc>
          <w:tcPr>
            <w:tcW w:w="2477" w:type="dxa"/>
            <w:tcBorders>
              <w:top w:val="nil"/>
              <w:left w:val="single" w:sz="4" w:space="0" w:color="auto"/>
              <w:bottom w:val="single" w:sz="4" w:space="0" w:color="auto"/>
              <w:right w:val="single" w:sz="4" w:space="0" w:color="auto"/>
            </w:tcBorders>
            <w:shd w:val="clear" w:color="auto" w:fill="auto"/>
            <w:vAlign w:val="center"/>
            <w:hideMark/>
          </w:tcPr>
          <w:p w:rsidR="004C2674" w:rsidRPr="00600ED9" w:rsidRDefault="004C2674" w:rsidP="00FB1954">
            <w:pPr>
              <w:pStyle w:val="NoSpacing"/>
              <w:jc w:val="center"/>
              <w:rPr>
                <w:b/>
                <w:bCs/>
                <w:sz w:val="20"/>
                <w:lang w:val="es-ES_tradnl"/>
              </w:rPr>
            </w:pPr>
            <w:r w:rsidRPr="00600ED9">
              <w:rPr>
                <w:rFonts w:eastAsia="Calibri" w:cs="Times New Roman"/>
                <w:b/>
                <w:sz w:val="20"/>
                <w:lang w:val="es-ES_tradnl"/>
              </w:rPr>
              <w:t xml:space="preserve">EFS 5 – Informe Anual de la </w:t>
            </w:r>
            <w:r w:rsidR="00CA134D" w:rsidRPr="00600ED9">
              <w:rPr>
                <w:rFonts w:eastAsia="Calibri" w:cs="Times New Roman"/>
                <w:b/>
                <w:sz w:val="20"/>
                <w:lang w:val="es-ES_tradnl"/>
              </w:rPr>
              <w:t>EFS</w:t>
            </w:r>
            <w:r w:rsidRPr="00600ED9">
              <w:rPr>
                <w:rFonts w:eastAsia="Calibri" w:cs="Times New Roman"/>
                <w:b/>
                <w:sz w:val="20"/>
                <w:lang w:val="es-ES_tradnl"/>
              </w:rPr>
              <w:t xml:space="preserve"> y otros Informes</w:t>
            </w:r>
          </w:p>
        </w:tc>
        <w:tc>
          <w:tcPr>
            <w:tcW w:w="1095" w:type="dxa"/>
            <w:tcBorders>
              <w:top w:val="nil"/>
              <w:left w:val="nil"/>
              <w:bottom w:val="single" w:sz="4" w:space="0" w:color="auto"/>
              <w:right w:val="single" w:sz="4" w:space="0" w:color="auto"/>
            </w:tcBorders>
            <w:shd w:val="clear" w:color="auto" w:fill="auto"/>
            <w:noWrap/>
            <w:vAlign w:val="center"/>
          </w:tcPr>
          <w:p w:rsidR="004C2674" w:rsidRPr="00600ED9" w:rsidRDefault="004C2674" w:rsidP="00FB1954">
            <w:pPr>
              <w:pStyle w:val="NoSpacing"/>
              <w:jc w:val="center"/>
              <w:rPr>
                <w:b/>
                <w:bCs/>
                <w:sz w:val="20"/>
                <w:lang w:val="es-ES_tradnl"/>
              </w:rPr>
            </w:pPr>
            <w:r w:rsidRPr="00600ED9">
              <w:rPr>
                <w:b/>
                <w:bCs/>
                <w:sz w:val="20"/>
                <w:lang w:val="es-ES_tradnl"/>
              </w:rPr>
              <w:t>4</w:t>
            </w:r>
          </w:p>
        </w:tc>
        <w:tc>
          <w:tcPr>
            <w:tcW w:w="1088" w:type="dxa"/>
            <w:tcBorders>
              <w:top w:val="nil"/>
              <w:left w:val="nil"/>
              <w:bottom w:val="single" w:sz="4" w:space="0" w:color="auto"/>
              <w:right w:val="single" w:sz="4" w:space="0" w:color="auto"/>
            </w:tcBorders>
            <w:shd w:val="clear" w:color="auto" w:fill="auto"/>
            <w:noWrap/>
            <w:vAlign w:val="center"/>
          </w:tcPr>
          <w:p w:rsidR="004C2674" w:rsidRPr="00600ED9" w:rsidRDefault="00D804CD" w:rsidP="00FB1954">
            <w:pPr>
              <w:pStyle w:val="NoSpacing"/>
              <w:jc w:val="center"/>
              <w:rPr>
                <w:b/>
                <w:bCs/>
                <w:sz w:val="20"/>
                <w:lang w:val="es-ES_tradnl"/>
              </w:rPr>
            </w:pPr>
            <w:r w:rsidRPr="00600ED9">
              <w:rPr>
                <w:b/>
                <w:bCs/>
                <w:sz w:val="20"/>
                <w:lang w:val="es-ES_tradnl"/>
              </w:rPr>
              <w:t>4</w:t>
            </w:r>
          </w:p>
        </w:tc>
        <w:tc>
          <w:tcPr>
            <w:tcW w:w="1002" w:type="dxa"/>
            <w:tcBorders>
              <w:top w:val="nil"/>
              <w:left w:val="nil"/>
              <w:bottom w:val="single" w:sz="4" w:space="0" w:color="auto"/>
              <w:right w:val="single" w:sz="4" w:space="0" w:color="auto"/>
            </w:tcBorders>
            <w:shd w:val="clear" w:color="auto" w:fill="auto"/>
            <w:noWrap/>
            <w:vAlign w:val="center"/>
          </w:tcPr>
          <w:p w:rsidR="004C2674" w:rsidRPr="00600ED9" w:rsidRDefault="00D804CD" w:rsidP="00FB1954">
            <w:pPr>
              <w:pStyle w:val="NoSpacing"/>
              <w:jc w:val="center"/>
              <w:rPr>
                <w:b/>
                <w:bCs/>
                <w:sz w:val="20"/>
                <w:lang w:val="es-ES_tradnl"/>
              </w:rPr>
            </w:pPr>
            <w:r w:rsidRPr="00600ED9">
              <w:rPr>
                <w:b/>
                <w:bCs/>
                <w:sz w:val="20"/>
                <w:lang w:val="es-ES_tradnl"/>
              </w:rPr>
              <w:t>2</w:t>
            </w:r>
          </w:p>
        </w:tc>
        <w:tc>
          <w:tcPr>
            <w:tcW w:w="1590" w:type="dxa"/>
            <w:tcBorders>
              <w:top w:val="nil"/>
              <w:left w:val="nil"/>
              <w:bottom w:val="single" w:sz="4" w:space="0" w:color="auto"/>
              <w:right w:val="single" w:sz="4" w:space="0" w:color="auto"/>
            </w:tcBorders>
            <w:shd w:val="clear" w:color="auto" w:fill="auto"/>
            <w:noWrap/>
            <w:vAlign w:val="center"/>
          </w:tcPr>
          <w:p w:rsidR="004C2674" w:rsidRPr="00600ED9" w:rsidRDefault="00FF28D3" w:rsidP="00FB1954">
            <w:pPr>
              <w:pStyle w:val="NoSpacing"/>
              <w:jc w:val="center"/>
              <w:rPr>
                <w:b/>
                <w:bCs/>
                <w:sz w:val="20"/>
                <w:lang w:val="es-ES_tradnl"/>
              </w:rPr>
            </w:pPr>
            <w:r w:rsidRPr="00600ED9">
              <w:rPr>
                <w:b/>
                <w:bCs/>
                <w:sz w:val="20"/>
                <w:lang w:val="es-ES_tradnl"/>
              </w:rPr>
              <w:t>4</w:t>
            </w:r>
          </w:p>
        </w:tc>
        <w:tc>
          <w:tcPr>
            <w:tcW w:w="180" w:type="dxa"/>
            <w:tcBorders>
              <w:top w:val="nil"/>
              <w:left w:val="nil"/>
              <w:bottom w:val="nil"/>
              <w:right w:val="nil"/>
            </w:tcBorders>
            <w:shd w:val="clear" w:color="auto" w:fill="auto"/>
            <w:noWrap/>
            <w:vAlign w:val="bottom"/>
          </w:tcPr>
          <w:p w:rsidR="004C2674" w:rsidRPr="00600ED9" w:rsidRDefault="004C2674" w:rsidP="00FB1954">
            <w:pPr>
              <w:pStyle w:val="NoSpacing"/>
              <w:tabs>
                <w:tab w:val="center" w:pos="4680"/>
                <w:tab w:val="right" w:pos="9360"/>
              </w:tabs>
              <w:jc w:val="center"/>
              <w:rPr>
                <w:sz w:val="20"/>
                <w:lang w:val="es-ES_tradnl"/>
              </w:rPr>
            </w:pPr>
          </w:p>
        </w:tc>
        <w:tc>
          <w:tcPr>
            <w:tcW w:w="1800" w:type="dxa"/>
            <w:tcBorders>
              <w:top w:val="nil"/>
              <w:left w:val="single" w:sz="4" w:space="0" w:color="auto"/>
              <w:bottom w:val="single" w:sz="4" w:space="0" w:color="auto"/>
              <w:right w:val="single" w:sz="4" w:space="0" w:color="auto"/>
            </w:tcBorders>
            <w:shd w:val="clear" w:color="auto" w:fill="auto"/>
            <w:noWrap/>
            <w:vAlign w:val="center"/>
          </w:tcPr>
          <w:p w:rsidR="004C2674" w:rsidRPr="00600ED9" w:rsidRDefault="004C2674" w:rsidP="00FB1954">
            <w:pPr>
              <w:pStyle w:val="NoSpacing"/>
              <w:jc w:val="center"/>
              <w:rPr>
                <w:b/>
                <w:sz w:val="20"/>
                <w:lang w:val="es-ES_tradnl"/>
              </w:rPr>
            </w:pPr>
            <w:r w:rsidRPr="00600ED9">
              <w:rPr>
                <w:b/>
                <w:sz w:val="20"/>
                <w:lang w:val="es-ES_tradnl"/>
              </w:rPr>
              <w:t>3</w:t>
            </w:r>
          </w:p>
        </w:tc>
      </w:tr>
    </w:tbl>
    <w:p w:rsidR="0063405A" w:rsidRPr="00600ED9" w:rsidRDefault="0063405A" w:rsidP="00FB1954">
      <w:pPr>
        <w:spacing w:after="0" w:line="240" w:lineRule="auto"/>
        <w:ind w:left="720"/>
        <w:jc w:val="both"/>
        <w:rPr>
          <w:sz w:val="20"/>
          <w:szCs w:val="20"/>
        </w:rPr>
      </w:pPr>
    </w:p>
    <w:p w:rsidR="00FD000E" w:rsidRPr="00600ED9" w:rsidRDefault="004C2674" w:rsidP="00FB1954">
      <w:pPr>
        <w:spacing w:after="0" w:line="240" w:lineRule="auto"/>
        <w:ind w:left="720"/>
        <w:jc w:val="both"/>
        <w:rPr>
          <w:szCs w:val="20"/>
        </w:rPr>
      </w:pPr>
      <w:r w:rsidRPr="00600ED9">
        <w:rPr>
          <w:szCs w:val="20"/>
        </w:rPr>
        <w:t xml:space="preserve">El Contralor General, en representación de la </w:t>
      </w:r>
      <w:r w:rsidR="00431CA4" w:rsidRPr="00600ED9">
        <w:rPr>
          <w:szCs w:val="20"/>
        </w:rPr>
        <w:t>CGRC</w:t>
      </w:r>
      <w:r w:rsidRPr="00600ED9">
        <w:rPr>
          <w:szCs w:val="20"/>
        </w:rPr>
        <w:t xml:space="preserve">, como una buena práctica y en cumplimiento de </w:t>
      </w:r>
      <w:r w:rsidR="0047153A" w:rsidRPr="00600ED9">
        <w:rPr>
          <w:szCs w:val="20"/>
        </w:rPr>
        <w:t>su m</w:t>
      </w:r>
      <w:r w:rsidRPr="00600ED9">
        <w:rPr>
          <w:szCs w:val="20"/>
        </w:rPr>
        <w:t xml:space="preserve">arco </w:t>
      </w:r>
      <w:r w:rsidR="0047153A" w:rsidRPr="00600ED9">
        <w:rPr>
          <w:szCs w:val="20"/>
        </w:rPr>
        <w:t>r</w:t>
      </w:r>
      <w:r w:rsidRPr="00600ED9">
        <w:rPr>
          <w:szCs w:val="20"/>
        </w:rPr>
        <w:t>egulatorio, present</w:t>
      </w:r>
      <w:r w:rsidR="0097574D" w:rsidRPr="00600ED9">
        <w:rPr>
          <w:szCs w:val="20"/>
        </w:rPr>
        <w:t xml:space="preserve">a el “Informe anual de gestión </w:t>
      </w:r>
      <w:r w:rsidRPr="00600ED9">
        <w:rPr>
          <w:szCs w:val="20"/>
        </w:rPr>
        <w:t xml:space="preserve">al Congreso de la </w:t>
      </w:r>
      <w:r w:rsidR="0047153A" w:rsidRPr="00600ED9">
        <w:rPr>
          <w:szCs w:val="20"/>
        </w:rPr>
        <w:t>República</w:t>
      </w:r>
      <w:r w:rsidR="0097574D" w:rsidRPr="00600ED9">
        <w:rPr>
          <w:szCs w:val="20"/>
        </w:rPr>
        <w:t>”</w:t>
      </w:r>
      <w:r w:rsidR="0097574D" w:rsidRPr="00600ED9">
        <w:rPr>
          <w:rStyle w:val="FootnoteReference"/>
          <w:szCs w:val="20"/>
        </w:rPr>
        <w:footnoteReference w:id="21"/>
      </w:r>
      <w:r w:rsidRPr="00600ED9">
        <w:rPr>
          <w:szCs w:val="20"/>
        </w:rPr>
        <w:t xml:space="preserve">. </w:t>
      </w:r>
      <w:r w:rsidR="00180CC1" w:rsidRPr="00600ED9">
        <w:rPr>
          <w:szCs w:val="20"/>
        </w:rPr>
        <w:t>Sin embargo, el informe de gestión no incluye indicadores que permitan medir el avance</w:t>
      </w:r>
      <w:r w:rsidR="00FD000E" w:rsidRPr="00600ED9">
        <w:rPr>
          <w:szCs w:val="20"/>
        </w:rPr>
        <w:t xml:space="preserve"> o logro </w:t>
      </w:r>
      <w:r w:rsidR="00180CC1" w:rsidRPr="00600ED9">
        <w:rPr>
          <w:szCs w:val="20"/>
        </w:rPr>
        <w:t xml:space="preserve">de </w:t>
      </w:r>
      <w:r w:rsidR="00FD000E" w:rsidRPr="00600ED9">
        <w:rPr>
          <w:szCs w:val="20"/>
        </w:rPr>
        <w:t>los objetivos</w:t>
      </w:r>
      <w:r w:rsidR="00180CC1" w:rsidRPr="00600ED9">
        <w:rPr>
          <w:szCs w:val="20"/>
        </w:rPr>
        <w:t xml:space="preserve">. </w:t>
      </w:r>
    </w:p>
    <w:p w:rsidR="0063405A" w:rsidRPr="00600ED9" w:rsidRDefault="0063405A" w:rsidP="00FB1954">
      <w:pPr>
        <w:spacing w:after="0" w:line="240" w:lineRule="auto"/>
        <w:ind w:left="720"/>
        <w:jc w:val="both"/>
        <w:rPr>
          <w:sz w:val="20"/>
          <w:szCs w:val="20"/>
        </w:rPr>
      </w:pPr>
    </w:p>
    <w:p w:rsidR="004C2674" w:rsidRPr="00600ED9" w:rsidRDefault="004C2674" w:rsidP="00FB1954">
      <w:pPr>
        <w:spacing w:after="0" w:line="240" w:lineRule="auto"/>
        <w:ind w:left="720"/>
        <w:jc w:val="both"/>
        <w:rPr>
          <w:szCs w:val="20"/>
        </w:rPr>
      </w:pPr>
      <w:r w:rsidRPr="00600ED9">
        <w:rPr>
          <w:szCs w:val="20"/>
        </w:rPr>
        <w:t>E</w:t>
      </w:r>
      <w:r w:rsidR="00FD000E" w:rsidRPr="00600ED9">
        <w:rPr>
          <w:szCs w:val="20"/>
        </w:rPr>
        <w:t>l</w:t>
      </w:r>
      <w:r w:rsidRPr="00600ED9">
        <w:rPr>
          <w:szCs w:val="20"/>
        </w:rPr>
        <w:t xml:space="preserve"> </w:t>
      </w:r>
      <w:r w:rsidR="00FD000E" w:rsidRPr="00600ED9">
        <w:rPr>
          <w:szCs w:val="20"/>
        </w:rPr>
        <w:t>Informe de Gestión y otros informes anuales</w:t>
      </w:r>
      <w:r w:rsidR="00FD000E" w:rsidRPr="00600ED9">
        <w:rPr>
          <w:rStyle w:val="FootnoteReference"/>
          <w:szCs w:val="20"/>
        </w:rPr>
        <w:footnoteReference w:id="22"/>
      </w:r>
      <w:r w:rsidR="00FD000E" w:rsidRPr="00600ED9">
        <w:rPr>
          <w:szCs w:val="20"/>
        </w:rPr>
        <w:t xml:space="preserve">, que por mandato constitucional la CGRC debe presentar, son publicados en </w:t>
      </w:r>
      <w:r w:rsidRPr="00600ED9">
        <w:rPr>
          <w:szCs w:val="20"/>
        </w:rPr>
        <w:t xml:space="preserve">la web </w:t>
      </w:r>
      <w:r w:rsidR="00FD000E" w:rsidRPr="00600ED9">
        <w:rPr>
          <w:szCs w:val="20"/>
        </w:rPr>
        <w:t xml:space="preserve">institucional, </w:t>
      </w:r>
      <w:r w:rsidR="00F554C9" w:rsidRPr="00600ED9">
        <w:rPr>
          <w:szCs w:val="20"/>
        </w:rPr>
        <w:t>e</w:t>
      </w:r>
      <w:r w:rsidR="00FD000E" w:rsidRPr="00600ED9">
        <w:rPr>
          <w:szCs w:val="20"/>
        </w:rPr>
        <w:t xml:space="preserve"> </w:t>
      </w:r>
      <w:r w:rsidRPr="00600ED9">
        <w:rPr>
          <w:szCs w:val="20"/>
        </w:rPr>
        <w:t xml:space="preserve">informa </w:t>
      </w:r>
      <w:r w:rsidR="00180CC1" w:rsidRPr="00600ED9">
        <w:rPr>
          <w:szCs w:val="20"/>
        </w:rPr>
        <w:t xml:space="preserve">a </w:t>
      </w:r>
      <w:r w:rsidR="00777229" w:rsidRPr="00600ED9">
        <w:rPr>
          <w:szCs w:val="20"/>
        </w:rPr>
        <w:t>través</w:t>
      </w:r>
      <w:r w:rsidRPr="00600ED9">
        <w:rPr>
          <w:szCs w:val="20"/>
        </w:rPr>
        <w:t xml:space="preserve"> de un boletín de prensa</w:t>
      </w:r>
      <w:r w:rsidR="00180CC1" w:rsidRPr="00600ED9">
        <w:rPr>
          <w:szCs w:val="20"/>
        </w:rPr>
        <w:t xml:space="preserve">, </w:t>
      </w:r>
      <w:r w:rsidR="00FD000E" w:rsidRPr="00600ED9">
        <w:rPr>
          <w:szCs w:val="20"/>
        </w:rPr>
        <w:t xml:space="preserve">la disponibilidad de consulta del </w:t>
      </w:r>
      <w:r w:rsidR="00180CC1" w:rsidRPr="00600ED9">
        <w:rPr>
          <w:szCs w:val="20"/>
        </w:rPr>
        <w:t xml:space="preserve"> </w:t>
      </w:r>
      <w:r w:rsidR="00FD000E" w:rsidRPr="00600ED9">
        <w:rPr>
          <w:szCs w:val="20"/>
        </w:rPr>
        <w:t>I</w:t>
      </w:r>
      <w:r w:rsidR="00180CC1" w:rsidRPr="00600ED9">
        <w:rPr>
          <w:szCs w:val="20"/>
        </w:rPr>
        <w:t xml:space="preserve">nforme de </w:t>
      </w:r>
      <w:r w:rsidR="00FD000E" w:rsidRPr="00600ED9">
        <w:rPr>
          <w:szCs w:val="20"/>
        </w:rPr>
        <w:t>G</w:t>
      </w:r>
      <w:r w:rsidR="00180CC1" w:rsidRPr="00600ED9">
        <w:rPr>
          <w:szCs w:val="20"/>
        </w:rPr>
        <w:t>estión</w:t>
      </w:r>
      <w:r w:rsidRPr="00600ED9">
        <w:rPr>
          <w:szCs w:val="20"/>
        </w:rPr>
        <w:t>.</w:t>
      </w:r>
      <w:r w:rsidR="0097574D" w:rsidRPr="00600ED9">
        <w:rPr>
          <w:szCs w:val="20"/>
        </w:rPr>
        <w:t xml:space="preserve"> </w:t>
      </w:r>
      <w:r w:rsidRPr="00600ED9">
        <w:rPr>
          <w:szCs w:val="20"/>
        </w:rPr>
        <w:t xml:space="preserve">La </w:t>
      </w:r>
      <w:r w:rsidR="00FD000E" w:rsidRPr="00600ED9">
        <w:rPr>
          <w:szCs w:val="20"/>
        </w:rPr>
        <w:t xml:space="preserve"> </w:t>
      </w:r>
      <w:r w:rsidR="00431CA4" w:rsidRPr="00600ED9">
        <w:rPr>
          <w:szCs w:val="20"/>
        </w:rPr>
        <w:t>CGRC</w:t>
      </w:r>
      <w:r w:rsidRPr="00600ED9">
        <w:rPr>
          <w:szCs w:val="20"/>
        </w:rPr>
        <w:t xml:space="preserve"> </w:t>
      </w:r>
      <w:r w:rsidR="00FD000E" w:rsidRPr="00600ED9">
        <w:rPr>
          <w:szCs w:val="20"/>
        </w:rPr>
        <w:t xml:space="preserve">también </w:t>
      </w:r>
      <w:r w:rsidRPr="00600ED9">
        <w:rPr>
          <w:szCs w:val="20"/>
        </w:rPr>
        <w:t>hace públicas sus normas y metodologías de auditoría.</w:t>
      </w:r>
    </w:p>
    <w:p w:rsidR="0063405A" w:rsidRPr="00600ED9" w:rsidRDefault="0063405A" w:rsidP="00FB1954">
      <w:pPr>
        <w:spacing w:after="0" w:line="240" w:lineRule="auto"/>
        <w:ind w:left="720"/>
        <w:jc w:val="both"/>
        <w:rPr>
          <w:sz w:val="18"/>
          <w:szCs w:val="20"/>
        </w:rPr>
      </w:pPr>
    </w:p>
    <w:p w:rsidR="004C2674" w:rsidRPr="00600ED9" w:rsidRDefault="004C2674" w:rsidP="00FB1954">
      <w:pPr>
        <w:spacing w:after="0" w:line="240" w:lineRule="auto"/>
        <w:ind w:left="720"/>
        <w:jc w:val="both"/>
        <w:rPr>
          <w:szCs w:val="20"/>
        </w:rPr>
      </w:pPr>
      <w:r w:rsidRPr="00600ED9">
        <w:rPr>
          <w:szCs w:val="20"/>
        </w:rPr>
        <w:t xml:space="preserve">En la página web institucional hay una opción que le permite al ciudadano formular preguntas, hacer comentarios y denuncias. Sin embargo, la </w:t>
      </w:r>
      <w:r w:rsidR="00431CA4" w:rsidRPr="00600ED9">
        <w:rPr>
          <w:szCs w:val="20"/>
        </w:rPr>
        <w:t>CGRC</w:t>
      </w:r>
      <w:r w:rsidRPr="00600ED9">
        <w:rPr>
          <w:szCs w:val="20"/>
        </w:rPr>
        <w:t xml:space="preserve"> no tiene un registro que permita determinar si este canal de comunicación virtual con la ciudadanía contribuye a la visibilidad de la entidad. Vale la pena resaltar que además de la página web, la </w:t>
      </w:r>
      <w:r w:rsidR="00431CA4" w:rsidRPr="00600ED9">
        <w:rPr>
          <w:szCs w:val="20"/>
        </w:rPr>
        <w:t>CGRC</w:t>
      </w:r>
      <w:r w:rsidRPr="00600ED9">
        <w:rPr>
          <w:szCs w:val="20"/>
        </w:rPr>
        <w:t xml:space="preserve"> tiene una página en la red social </w:t>
      </w:r>
      <w:r w:rsidRPr="00600ED9">
        <w:rPr>
          <w:i/>
          <w:szCs w:val="20"/>
        </w:rPr>
        <w:t xml:space="preserve">Facebook, </w:t>
      </w:r>
      <w:r w:rsidRPr="00600ED9">
        <w:rPr>
          <w:szCs w:val="20"/>
        </w:rPr>
        <w:t>en donde cuenta con más de 16.000 seguidores.</w:t>
      </w:r>
    </w:p>
    <w:p w:rsidR="0063405A" w:rsidRPr="00600ED9" w:rsidRDefault="0063405A" w:rsidP="00FB1954">
      <w:pPr>
        <w:spacing w:after="0" w:line="240" w:lineRule="auto"/>
        <w:ind w:left="720"/>
        <w:jc w:val="both"/>
        <w:rPr>
          <w:sz w:val="18"/>
          <w:szCs w:val="20"/>
        </w:rPr>
      </w:pPr>
    </w:p>
    <w:p w:rsidR="004C2674" w:rsidRPr="00600ED9" w:rsidRDefault="004C2674" w:rsidP="00FB1954">
      <w:pPr>
        <w:spacing w:after="0" w:line="240" w:lineRule="auto"/>
        <w:ind w:left="720"/>
        <w:jc w:val="both"/>
        <w:rPr>
          <w:szCs w:val="20"/>
        </w:rPr>
      </w:pPr>
      <w:r w:rsidRPr="00600ED9">
        <w:rPr>
          <w:szCs w:val="20"/>
        </w:rPr>
        <w:t xml:space="preserve">La </w:t>
      </w:r>
      <w:r w:rsidR="00431CA4" w:rsidRPr="00600ED9">
        <w:rPr>
          <w:szCs w:val="20"/>
        </w:rPr>
        <w:t>CGRC</w:t>
      </w:r>
      <w:r w:rsidRPr="00600ED9">
        <w:rPr>
          <w:szCs w:val="20"/>
        </w:rPr>
        <w:t xml:space="preserve"> no ha tenido en los últimos años una revisión entre pares (otras Contralorías nacionales o de otro país), ni tampoco ha sido revisada por una </w:t>
      </w:r>
      <w:r w:rsidR="00FD000E" w:rsidRPr="00600ED9">
        <w:rPr>
          <w:szCs w:val="20"/>
        </w:rPr>
        <w:t>F</w:t>
      </w:r>
      <w:r w:rsidRPr="00600ED9">
        <w:rPr>
          <w:szCs w:val="20"/>
        </w:rPr>
        <w:t xml:space="preserve">irma externa privada. </w:t>
      </w:r>
      <w:r w:rsidR="00FD000E" w:rsidRPr="00600ED9">
        <w:rPr>
          <w:szCs w:val="20"/>
        </w:rPr>
        <w:t>La Contraloría</w:t>
      </w:r>
      <w:r w:rsidRPr="00600ED9">
        <w:rPr>
          <w:szCs w:val="20"/>
        </w:rPr>
        <w:t xml:space="preserve"> </w:t>
      </w:r>
      <w:r w:rsidR="00FD000E" w:rsidRPr="00600ED9">
        <w:rPr>
          <w:szCs w:val="20"/>
        </w:rPr>
        <w:t xml:space="preserve">es </w:t>
      </w:r>
      <w:r w:rsidRPr="00600ED9">
        <w:rPr>
          <w:szCs w:val="20"/>
        </w:rPr>
        <w:t>sujet</w:t>
      </w:r>
      <w:r w:rsidR="00FD000E" w:rsidRPr="00600ED9">
        <w:rPr>
          <w:szCs w:val="20"/>
        </w:rPr>
        <w:t>o de</w:t>
      </w:r>
      <w:r w:rsidR="004E756C" w:rsidRPr="00600ED9">
        <w:rPr>
          <w:szCs w:val="20"/>
        </w:rPr>
        <w:t xml:space="preserve"> auditoría externa </w:t>
      </w:r>
      <w:r w:rsidR="00FD000E" w:rsidRPr="00600ED9">
        <w:rPr>
          <w:szCs w:val="20"/>
        </w:rPr>
        <w:t xml:space="preserve">por parte </w:t>
      </w:r>
      <w:r w:rsidR="004E756C" w:rsidRPr="00600ED9">
        <w:rPr>
          <w:szCs w:val="20"/>
        </w:rPr>
        <w:t xml:space="preserve">de la </w:t>
      </w:r>
      <w:r w:rsidRPr="00600ED9">
        <w:rPr>
          <w:szCs w:val="20"/>
        </w:rPr>
        <w:t>Auditor</w:t>
      </w:r>
      <w:r w:rsidR="004E756C" w:rsidRPr="00600ED9">
        <w:rPr>
          <w:szCs w:val="20"/>
        </w:rPr>
        <w:t>ía General de la República</w:t>
      </w:r>
      <w:r w:rsidR="004E756C" w:rsidRPr="00600ED9">
        <w:rPr>
          <w:rStyle w:val="FootnoteReference"/>
          <w:szCs w:val="20"/>
        </w:rPr>
        <w:footnoteReference w:id="23"/>
      </w:r>
      <w:r w:rsidRPr="00600ED9">
        <w:rPr>
          <w:szCs w:val="20"/>
        </w:rPr>
        <w:t xml:space="preserve">, entidad que ejerce la vigilancia sobre la gestión de los organismos de control fiscal, de acuerdo con los procedimientos, sistemas y principios establecidos en la Constitución. La AGR no ha auditado los estados financieros de la </w:t>
      </w:r>
      <w:r w:rsidR="00431CA4" w:rsidRPr="00600ED9">
        <w:rPr>
          <w:szCs w:val="20"/>
        </w:rPr>
        <w:t>CGRC</w:t>
      </w:r>
      <w:r w:rsidRPr="00600ED9">
        <w:rPr>
          <w:szCs w:val="20"/>
        </w:rPr>
        <w:t xml:space="preserve"> en la vigencia fiscal 2013.</w:t>
      </w:r>
    </w:p>
    <w:p w:rsidR="005C15F5" w:rsidRPr="00600ED9" w:rsidRDefault="004C2674" w:rsidP="00FB1954">
      <w:pPr>
        <w:spacing w:after="0" w:line="240" w:lineRule="auto"/>
        <w:ind w:left="720"/>
        <w:jc w:val="both"/>
        <w:rPr>
          <w:szCs w:val="20"/>
        </w:rPr>
      </w:pPr>
      <w:r w:rsidRPr="00600ED9">
        <w:rPr>
          <w:szCs w:val="20"/>
        </w:rPr>
        <w:t xml:space="preserve">Durante el último año, la </w:t>
      </w:r>
      <w:r w:rsidR="00431CA4" w:rsidRPr="00600ED9">
        <w:rPr>
          <w:szCs w:val="20"/>
        </w:rPr>
        <w:t>CGRC</w:t>
      </w:r>
      <w:r w:rsidR="005429A6" w:rsidRPr="00600ED9">
        <w:rPr>
          <w:szCs w:val="20"/>
        </w:rPr>
        <w:t xml:space="preserve"> no ha realizado auditorías de p</w:t>
      </w:r>
      <w:r w:rsidRPr="00600ED9">
        <w:rPr>
          <w:szCs w:val="20"/>
        </w:rPr>
        <w:t>riv</w:t>
      </w:r>
      <w:r w:rsidR="005429A6" w:rsidRPr="00600ED9">
        <w:rPr>
          <w:szCs w:val="20"/>
        </w:rPr>
        <w:t xml:space="preserve">atización principalmente porque </w:t>
      </w:r>
      <w:r w:rsidRPr="00600ED9">
        <w:rPr>
          <w:szCs w:val="20"/>
        </w:rPr>
        <w:t>no se han privatizado entidades del Estado durante las vigencias fiscales revisadas. Tampoco se ha realizado auditoría de ambientes y sistemas de TI.</w:t>
      </w:r>
    </w:p>
    <w:p w:rsidR="0063405A" w:rsidRPr="00600ED9" w:rsidRDefault="0063405A" w:rsidP="00FB1954">
      <w:pPr>
        <w:spacing w:after="0" w:line="240" w:lineRule="auto"/>
        <w:ind w:left="720"/>
        <w:jc w:val="both"/>
      </w:pPr>
    </w:p>
    <w:tbl>
      <w:tblPr>
        <w:tblStyle w:val="TableGrid"/>
        <w:tblW w:w="9356" w:type="dxa"/>
        <w:jc w:val="right"/>
        <w:tblLook w:val="04A0" w:firstRow="1" w:lastRow="0" w:firstColumn="1" w:lastColumn="0" w:noHBand="0" w:noVBand="1"/>
      </w:tblPr>
      <w:tblGrid>
        <w:gridCol w:w="9356"/>
      </w:tblGrid>
      <w:tr w:rsidR="008B15A0" w:rsidRPr="00600ED9" w:rsidTr="0063405A">
        <w:trPr>
          <w:tblHeader/>
          <w:jc w:val="right"/>
        </w:trPr>
        <w:tc>
          <w:tcPr>
            <w:tcW w:w="9356" w:type="dxa"/>
            <w:shd w:val="clear" w:color="auto" w:fill="365F91" w:themeFill="accent1" w:themeFillShade="BF"/>
          </w:tcPr>
          <w:p w:rsidR="008B15A0" w:rsidRPr="00600ED9" w:rsidRDefault="008B15A0" w:rsidP="00FB1954">
            <w:pPr>
              <w:pStyle w:val="NoSpacing"/>
              <w:rPr>
                <w:b/>
                <w:color w:val="FFFFFF" w:themeColor="background1"/>
                <w:sz w:val="20"/>
                <w:szCs w:val="20"/>
                <w:lang w:val="es-ES_tradnl"/>
              </w:rPr>
            </w:pPr>
            <w:r w:rsidRPr="00600ED9">
              <w:rPr>
                <w:b/>
                <w:color w:val="FFFFFF" w:themeColor="background1"/>
                <w:sz w:val="20"/>
                <w:szCs w:val="20"/>
                <w:lang w:val="es-ES_tradnl"/>
              </w:rPr>
              <w:lastRenderedPageBreak/>
              <w:t>Principales observaciones y conclusiones</w:t>
            </w:r>
          </w:p>
        </w:tc>
      </w:tr>
      <w:tr w:rsidR="008B15A0" w:rsidRPr="00600ED9" w:rsidTr="0063405A">
        <w:trPr>
          <w:jc w:val="right"/>
        </w:trPr>
        <w:tc>
          <w:tcPr>
            <w:tcW w:w="9356" w:type="dxa"/>
            <w:shd w:val="clear" w:color="auto" w:fill="D9D9D9" w:themeFill="background1" w:themeFillShade="D9"/>
          </w:tcPr>
          <w:p w:rsidR="008B15A0" w:rsidRPr="00600ED9" w:rsidRDefault="008B15A0" w:rsidP="00FB1954">
            <w:pPr>
              <w:pStyle w:val="NoSpacing"/>
              <w:rPr>
                <w:b/>
                <w:i/>
                <w:sz w:val="20"/>
                <w:szCs w:val="20"/>
                <w:lang w:val="es-ES_tradnl"/>
              </w:rPr>
            </w:pPr>
            <w:r w:rsidRPr="00600ED9">
              <w:rPr>
                <w:b/>
                <w:i/>
                <w:sz w:val="20"/>
                <w:szCs w:val="20"/>
                <w:lang w:val="es-ES_tradnl"/>
              </w:rPr>
              <w:t>Dimensión (i) Contenido y presentación del informe anual de la EFS</w:t>
            </w:r>
          </w:p>
        </w:tc>
      </w:tr>
      <w:tr w:rsidR="008B15A0" w:rsidRPr="00600ED9" w:rsidTr="0063405A">
        <w:trPr>
          <w:jc w:val="right"/>
        </w:trPr>
        <w:tc>
          <w:tcPr>
            <w:tcW w:w="9356" w:type="dxa"/>
            <w:shd w:val="clear" w:color="auto" w:fill="D9D9D9" w:themeFill="background1" w:themeFillShade="D9"/>
          </w:tcPr>
          <w:p w:rsidR="008B15A0" w:rsidRPr="00600ED9" w:rsidRDefault="008B15A0" w:rsidP="00FB1954">
            <w:pPr>
              <w:pStyle w:val="NoSpacing"/>
              <w:rPr>
                <w:i/>
                <w:sz w:val="20"/>
                <w:szCs w:val="20"/>
                <w:lang w:val="es-ES_tradnl"/>
              </w:rPr>
            </w:pPr>
            <w:r w:rsidRPr="00600ED9">
              <w:rPr>
                <w:b/>
                <w:i/>
                <w:sz w:val="20"/>
                <w:szCs w:val="20"/>
                <w:lang w:val="es-ES_tradnl"/>
              </w:rPr>
              <w:t>Puntuació</w:t>
            </w:r>
            <w:r w:rsidR="00705350" w:rsidRPr="00600ED9">
              <w:rPr>
                <w:b/>
                <w:i/>
                <w:sz w:val="20"/>
                <w:szCs w:val="20"/>
                <w:lang w:val="es-ES_tradnl"/>
              </w:rPr>
              <w:t>n</w:t>
            </w:r>
            <w:r w:rsidRPr="00600ED9">
              <w:rPr>
                <w:b/>
                <w:i/>
                <w:sz w:val="20"/>
                <w:szCs w:val="20"/>
                <w:lang w:val="es-ES_tradnl"/>
              </w:rPr>
              <w:t xml:space="preserve"> </w:t>
            </w:r>
            <w:r w:rsidRPr="00600ED9">
              <w:rPr>
                <w:rFonts w:cs="Calibri"/>
                <w:b/>
                <w:bCs/>
                <w:i/>
                <w:sz w:val="20"/>
                <w:szCs w:val="20"/>
                <w:lang w:val="es-ES_tradnl" w:eastAsia="en-GB"/>
              </w:rPr>
              <w:t>4</w:t>
            </w:r>
            <w:r w:rsidR="00705350" w:rsidRPr="00600ED9">
              <w:rPr>
                <w:rFonts w:cs="Calibri"/>
                <w:bCs/>
                <w:i/>
                <w:sz w:val="20"/>
                <w:szCs w:val="20"/>
                <w:lang w:val="es-ES_tradnl" w:eastAsia="en-GB"/>
              </w:rPr>
              <w:t>:</w:t>
            </w:r>
            <w:r w:rsidRPr="00600ED9">
              <w:rPr>
                <w:rFonts w:cs="Calibri"/>
                <w:bCs/>
                <w:i/>
                <w:sz w:val="20"/>
                <w:szCs w:val="20"/>
                <w:lang w:val="es-ES_tradnl" w:eastAsia="en-GB"/>
              </w:rPr>
              <w:t xml:space="preserve"> </w:t>
            </w:r>
            <w:r w:rsidRPr="00600ED9">
              <w:rPr>
                <w:rFonts w:cs="Calibri"/>
                <w:i/>
                <w:sz w:val="20"/>
                <w:szCs w:val="20"/>
                <w:lang w:val="es-ES_tradnl" w:eastAsia="en-GB"/>
              </w:rPr>
              <w:t>Se cumple con todos los criterios enumerados.</w:t>
            </w:r>
          </w:p>
        </w:tc>
      </w:tr>
      <w:tr w:rsidR="008B15A0" w:rsidRPr="00600ED9" w:rsidTr="0063405A">
        <w:trPr>
          <w:trHeight w:val="5238"/>
          <w:jc w:val="right"/>
        </w:trPr>
        <w:tc>
          <w:tcPr>
            <w:tcW w:w="9356" w:type="dxa"/>
          </w:tcPr>
          <w:p w:rsidR="008B15A0" w:rsidRPr="00600ED9" w:rsidRDefault="008B15A0" w:rsidP="00FB1954">
            <w:pPr>
              <w:pStyle w:val="Normaltabletext"/>
              <w:spacing w:after="0"/>
              <w:rPr>
                <w:lang w:val="es-ES_tradnl"/>
              </w:rPr>
            </w:pPr>
            <w:r w:rsidRPr="00600ED9">
              <w:rPr>
                <w:lang w:val="es-ES_tradnl"/>
              </w:rPr>
              <w:t xml:space="preserve">Criterios (a), (b), (c), (d), (e) y (f) cumple. </w:t>
            </w:r>
          </w:p>
          <w:p w:rsidR="0063405A" w:rsidRPr="00600ED9" w:rsidRDefault="0063405A" w:rsidP="00FB1954">
            <w:pPr>
              <w:pStyle w:val="Normaltabletext"/>
              <w:spacing w:after="0"/>
              <w:rPr>
                <w:lang w:val="es-ES_tradnl"/>
              </w:rPr>
            </w:pPr>
          </w:p>
          <w:p w:rsidR="008B15A0" w:rsidRPr="00600ED9" w:rsidRDefault="008B15A0" w:rsidP="00FB1954">
            <w:pPr>
              <w:pStyle w:val="Normaltabletext"/>
              <w:spacing w:after="0"/>
              <w:rPr>
                <w:lang w:val="es-ES_tradnl"/>
              </w:rPr>
            </w:pPr>
            <w:r w:rsidRPr="00600ED9">
              <w:rPr>
                <w:lang w:val="es-ES_tradnl"/>
              </w:rPr>
              <w:t xml:space="preserve">La CGRC presenta anualmente ante el Congreso de la República un Informe de Gestión. La presentación del informe se hace televisada, para conocimiento de la ciudadanía en general. El informe y la presentación ante el Congreso también son alojados en la web institucional. </w:t>
            </w:r>
          </w:p>
          <w:p w:rsidR="00FE02A4" w:rsidRPr="00600ED9" w:rsidRDefault="00FE02A4" w:rsidP="00FB1954">
            <w:pPr>
              <w:pStyle w:val="Normaltabletext"/>
              <w:spacing w:after="0"/>
              <w:rPr>
                <w:lang w:val="es-ES_tradnl"/>
              </w:rPr>
            </w:pPr>
          </w:p>
          <w:p w:rsidR="008B15A0" w:rsidRPr="00600ED9" w:rsidRDefault="008B15A0" w:rsidP="00FB1954">
            <w:pPr>
              <w:pStyle w:val="Normaltabletext"/>
              <w:spacing w:after="0"/>
              <w:rPr>
                <w:lang w:val="es-ES_tradnl"/>
              </w:rPr>
            </w:pPr>
            <w:r w:rsidRPr="00600ED9">
              <w:rPr>
                <w:lang w:val="es-ES_tradnl"/>
              </w:rPr>
              <w:t>El Informe de Gestión incluye información sobre los logros globales, de la auditoría general, la implementación global del presupuesto del gobierno, las condiciones y operaciones financieras y el progreso general de la gerencia financiera.</w:t>
            </w:r>
          </w:p>
          <w:p w:rsidR="00FE02A4" w:rsidRPr="00600ED9" w:rsidRDefault="00FE02A4" w:rsidP="00FB1954">
            <w:pPr>
              <w:pStyle w:val="Normaltabletext"/>
              <w:spacing w:after="0"/>
              <w:rPr>
                <w:lang w:val="es-ES_tradnl"/>
              </w:rPr>
            </w:pPr>
          </w:p>
          <w:p w:rsidR="008B15A0" w:rsidRPr="00600ED9" w:rsidRDefault="008B15A0" w:rsidP="00FB1954">
            <w:pPr>
              <w:pStyle w:val="Normaltabletext"/>
              <w:spacing w:after="0"/>
              <w:rPr>
                <w:lang w:val="es-ES_tradnl"/>
              </w:rPr>
            </w:pPr>
            <w:r w:rsidRPr="00600ED9">
              <w:rPr>
                <w:lang w:val="es-ES_tradnl"/>
              </w:rPr>
              <w:t xml:space="preserve">Durante el mandato del Contralor (4 años) la CGRC presenta al Congreso de la República, un informe de gestión anual y un informe final consolidado, que incluye un resumen de la gestión durante su mandato y los resultados de sus auditorías micro y macro, las cuales abordan las principales actividades generales del Gobierno.  </w:t>
            </w:r>
          </w:p>
          <w:p w:rsidR="00FE02A4" w:rsidRPr="00600ED9" w:rsidRDefault="00FE02A4" w:rsidP="00FB1954">
            <w:pPr>
              <w:pStyle w:val="Normaltabletext"/>
              <w:spacing w:after="0"/>
              <w:rPr>
                <w:lang w:val="es-ES_tradnl"/>
              </w:rPr>
            </w:pPr>
          </w:p>
          <w:p w:rsidR="008B15A0" w:rsidRPr="00600ED9" w:rsidRDefault="008B15A0" w:rsidP="00FB1954">
            <w:pPr>
              <w:pStyle w:val="Normaltabletext"/>
              <w:spacing w:after="0"/>
              <w:rPr>
                <w:lang w:val="es-ES_tradnl"/>
              </w:rPr>
            </w:pPr>
            <w:r w:rsidRPr="00600ED9">
              <w:rPr>
                <w:lang w:val="es-ES_tradnl"/>
              </w:rPr>
              <w:t>A continuación se detallan los otros informes que por mandato la CGRC presenta al Congreso:</w:t>
            </w:r>
          </w:p>
          <w:p w:rsidR="00314D85" w:rsidRPr="00600ED9" w:rsidRDefault="008B15A0" w:rsidP="00233205">
            <w:pPr>
              <w:pStyle w:val="NoSpacing"/>
              <w:numPr>
                <w:ilvl w:val="0"/>
                <w:numId w:val="45"/>
              </w:numPr>
              <w:rPr>
                <w:rFonts w:cs="Times New Roman"/>
                <w:sz w:val="20"/>
                <w:szCs w:val="20"/>
                <w:lang w:val="es-ES_tradnl"/>
              </w:rPr>
            </w:pPr>
            <w:r w:rsidRPr="00600ED9">
              <w:rPr>
                <w:sz w:val="20"/>
                <w:szCs w:val="20"/>
                <w:lang w:val="es-ES_tradnl"/>
              </w:rPr>
              <w:t>Auditoría al Balance General de la Nación</w:t>
            </w:r>
          </w:p>
          <w:p w:rsidR="008B15A0" w:rsidRPr="00600ED9" w:rsidRDefault="008B15A0" w:rsidP="00233205">
            <w:pPr>
              <w:pStyle w:val="NoSpacing"/>
              <w:numPr>
                <w:ilvl w:val="0"/>
                <w:numId w:val="32"/>
              </w:numPr>
              <w:rPr>
                <w:sz w:val="20"/>
                <w:szCs w:val="20"/>
                <w:lang w:val="es-ES_tradnl"/>
              </w:rPr>
            </w:pPr>
            <w:r w:rsidRPr="00600ED9">
              <w:rPr>
                <w:sz w:val="20"/>
                <w:szCs w:val="20"/>
                <w:lang w:val="es-ES_tradnl"/>
              </w:rPr>
              <w:t>Cuenta General del Presupuesto y del Tesoro</w:t>
            </w:r>
          </w:p>
          <w:p w:rsidR="008B15A0" w:rsidRPr="00600ED9" w:rsidRDefault="008B15A0" w:rsidP="00233205">
            <w:pPr>
              <w:pStyle w:val="NoSpacing"/>
              <w:numPr>
                <w:ilvl w:val="0"/>
                <w:numId w:val="32"/>
              </w:numPr>
              <w:rPr>
                <w:sz w:val="20"/>
                <w:szCs w:val="20"/>
                <w:lang w:val="es-ES_tradnl"/>
              </w:rPr>
            </w:pPr>
            <w:r w:rsidRPr="00600ED9">
              <w:rPr>
                <w:sz w:val="20"/>
                <w:szCs w:val="20"/>
                <w:lang w:val="es-ES_tradnl"/>
              </w:rPr>
              <w:t>Situación de la Deuda Pública</w:t>
            </w:r>
          </w:p>
          <w:p w:rsidR="008B15A0" w:rsidRPr="00600ED9" w:rsidRDefault="008B15A0" w:rsidP="00233205">
            <w:pPr>
              <w:pStyle w:val="NoSpacing"/>
              <w:numPr>
                <w:ilvl w:val="0"/>
                <w:numId w:val="32"/>
              </w:numPr>
              <w:rPr>
                <w:sz w:val="20"/>
                <w:szCs w:val="20"/>
                <w:lang w:val="es-ES_tradnl"/>
              </w:rPr>
            </w:pPr>
            <w:r w:rsidRPr="00600ED9">
              <w:rPr>
                <w:sz w:val="20"/>
                <w:szCs w:val="20"/>
                <w:lang w:val="es-ES_tradnl"/>
              </w:rPr>
              <w:t>Situación de las Finanzas Públicas</w:t>
            </w:r>
          </w:p>
          <w:p w:rsidR="008B15A0" w:rsidRPr="00600ED9" w:rsidRDefault="008B15A0" w:rsidP="00233205">
            <w:pPr>
              <w:pStyle w:val="NoSpacing"/>
              <w:numPr>
                <w:ilvl w:val="0"/>
                <w:numId w:val="32"/>
              </w:numPr>
              <w:rPr>
                <w:sz w:val="20"/>
                <w:szCs w:val="20"/>
                <w:lang w:val="es-ES_tradnl"/>
              </w:rPr>
            </w:pPr>
            <w:r w:rsidRPr="00600ED9">
              <w:rPr>
                <w:sz w:val="20"/>
                <w:szCs w:val="20"/>
                <w:lang w:val="es-ES_tradnl"/>
              </w:rPr>
              <w:t>Informe del estado de los recursos naturales y del medio ambiente</w:t>
            </w:r>
          </w:p>
          <w:p w:rsidR="00314D85" w:rsidRPr="00600ED9" w:rsidRDefault="00314D85" w:rsidP="00FB1954">
            <w:pPr>
              <w:pStyle w:val="Normaltabletext"/>
              <w:spacing w:after="0"/>
              <w:ind w:left="340"/>
              <w:rPr>
                <w:rFonts w:cs="Times New Roman"/>
                <w:lang w:val="es-ES_tradnl"/>
              </w:rPr>
            </w:pPr>
          </w:p>
          <w:p w:rsidR="008B15A0" w:rsidRPr="00600ED9" w:rsidRDefault="008B15A0" w:rsidP="00FB1954">
            <w:pPr>
              <w:pStyle w:val="Normaltabletext"/>
              <w:spacing w:after="0"/>
              <w:rPr>
                <w:lang w:val="es-ES_tradnl"/>
              </w:rPr>
            </w:pPr>
            <w:r w:rsidRPr="00600ED9">
              <w:rPr>
                <w:lang w:val="es-ES_tradnl"/>
              </w:rPr>
              <w:t>Vale la pena resaltar que los estados financieros de la CGRC son de carácter público y están disponibles en  su página web.</w:t>
            </w:r>
          </w:p>
          <w:p w:rsidR="00FE02A4" w:rsidRPr="001471C4" w:rsidRDefault="00FE02A4" w:rsidP="00FB1954">
            <w:pPr>
              <w:pStyle w:val="Normaltabletext"/>
              <w:spacing w:after="0"/>
              <w:rPr>
                <w:sz w:val="24"/>
                <w:lang w:val="es-ES_tradnl"/>
              </w:rPr>
            </w:pPr>
          </w:p>
        </w:tc>
      </w:tr>
      <w:tr w:rsidR="008B15A0" w:rsidRPr="00600ED9" w:rsidTr="0063405A">
        <w:trPr>
          <w:jc w:val="right"/>
        </w:trPr>
        <w:tc>
          <w:tcPr>
            <w:tcW w:w="9356" w:type="dxa"/>
            <w:shd w:val="clear" w:color="auto" w:fill="D9D9D9" w:themeFill="background1" w:themeFillShade="D9"/>
          </w:tcPr>
          <w:p w:rsidR="008B15A0" w:rsidRPr="00600ED9" w:rsidRDefault="008B15A0" w:rsidP="00FB1954">
            <w:pPr>
              <w:pStyle w:val="NoSpacing"/>
              <w:rPr>
                <w:b/>
                <w:i/>
                <w:sz w:val="20"/>
                <w:szCs w:val="20"/>
                <w:lang w:val="es-ES_tradnl"/>
              </w:rPr>
            </w:pPr>
            <w:r w:rsidRPr="00600ED9">
              <w:rPr>
                <w:b/>
                <w:i/>
                <w:sz w:val="20"/>
                <w:szCs w:val="20"/>
                <w:lang w:val="es-ES_tradnl"/>
              </w:rPr>
              <w:t>Dimensión (ii) Publicación y diseminación del informe anual de la EFS</w:t>
            </w:r>
          </w:p>
        </w:tc>
      </w:tr>
      <w:tr w:rsidR="008B15A0" w:rsidRPr="00600ED9" w:rsidTr="0063405A">
        <w:trPr>
          <w:jc w:val="right"/>
        </w:trPr>
        <w:tc>
          <w:tcPr>
            <w:tcW w:w="9356" w:type="dxa"/>
            <w:shd w:val="clear" w:color="auto" w:fill="D9D9D9" w:themeFill="background1" w:themeFillShade="D9"/>
          </w:tcPr>
          <w:p w:rsidR="008B15A0" w:rsidRPr="00600ED9" w:rsidRDefault="00705350" w:rsidP="00FB1954">
            <w:pPr>
              <w:pStyle w:val="NoSpacing"/>
              <w:rPr>
                <w:i/>
                <w:sz w:val="20"/>
                <w:szCs w:val="20"/>
                <w:lang w:val="es-ES_tradnl"/>
              </w:rPr>
            </w:pPr>
            <w:r w:rsidRPr="00600ED9">
              <w:rPr>
                <w:b/>
                <w:i/>
                <w:sz w:val="20"/>
                <w:szCs w:val="20"/>
                <w:lang w:val="es-ES_tradnl"/>
              </w:rPr>
              <w:t>Puntuación</w:t>
            </w:r>
            <w:r w:rsidR="008B15A0" w:rsidRPr="00600ED9">
              <w:rPr>
                <w:b/>
                <w:i/>
                <w:sz w:val="20"/>
                <w:szCs w:val="20"/>
                <w:lang w:val="es-ES_tradnl"/>
              </w:rPr>
              <w:t xml:space="preserve"> </w:t>
            </w:r>
            <w:r w:rsidR="0049090E" w:rsidRPr="00600ED9">
              <w:rPr>
                <w:rFonts w:cs="Calibri"/>
                <w:b/>
                <w:bCs/>
                <w:i/>
                <w:sz w:val="20"/>
                <w:szCs w:val="20"/>
                <w:lang w:val="es-ES_tradnl" w:eastAsia="en-GB"/>
              </w:rPr>
              <w:t>4</w:t>
            </w:r>
            <w:r w:rsidRPr="00600ED9">
              <w:rPr>
                <w:rFonts w:cs="Calibri"/>
                <w:b/>
                <w:bCs/>
                <w:i/>
                <w:sz w:val="20"/>
                <w:szCs w:val="20"/>
                <w:lang w:val="es-ES_tradnl" w:eastAsia="en-GB"/>
              </w:rPr>
              <w:t>:</w:t>
            </w:r>
            <w:r w:rsidR="008B15A0" w:rsidRPr="00600ED9">
              <w:rPr>
                <w:rFonts w:cs="Calibri"/>
                <w:b/>
                <w:bCs/>
                <w:i/>
                <w:sz w:val="20"/>
                <w:szCs w:val="20"/>
                <w:lang w:val="es-ES_tradnl" w:eastAsia="en-GB"/>
              </w:rPr>
              <w:t xml:space="preserve"> </w:t>
            </w:r>
            <w:r w:rsidR="008B15A0" w:rsidRPr="00600ED9">
              <w:rPr>
                <w:rFonts w:cs="Calibri"/>
                <w:i/>
                <w:sz w:val="20"/>
                <w:szCs w:val="20"/>
                <w:lang w:val="es-ES_tradnl" w:eastAsia="en-GB"/>
              </w:rPr>
              <w:t xml:space="preserve">Se cumple con </w:t>
            </w:r>
            <w:r w:rsidR="0049090E" w:rsidRPr="00600ED9">
              <w:rPr>
                <w:rFonts w:cs="Calibri"/>
                <w:i/>
                <w:sz w:val="20"/>
                <w:szCs w:val="20"/>
                <w:lang w:val="es-ES_tradnl" w:eastAsia="en-GB"/>
              </w:rPr>
              <w:t>todos</w:t>
            </w:r>
            <w:r w:rsidR="008B15A0" w:rsidRPr="00600ED9">
              <w:rPr>
                <w:rFonts w:cs="Calibri"/>
                <w:i/>
                <w:sz w:val="20"/>
                <w:szCs w:val="20"/>
                <w:lang w:val="es-ES_tradnl" w:eastAsia="en-GB"/>
              </w:rPr>
              <w:t xml:space="preserve"> los criterios enumerados.</w:t>
            </w:r>
          </w:p>
        </w:tc>
      </w:tr>
      <w:tr w:rsidR="008B15A0" w:rsidRPr="00600ED9" w:rsidTr="0063405A">
        <w:trPr>
          <w:jc w:val="right"/>
        </w:trPr>
        <w:tc>
          <w:tcPr>
            <w:tcW w:w="9356" w:type="dxa"/>
          </w:tcPr>
          <w:p w:rsidR="008B15A0" w:rsidRPr="00600ED9" w:rsidRDefault="008B15A0" w:rsidP="00FB1954">
            <w:pPr>
              <w:pStyle w:val="Normaltabletext"/>
              <w:keepNext/>
              <w:keepLines/>
              <w:spacing w:after="0"/>
              <w:outlineLvl w:val="1"/>
              <w:rPr>
                <w:lang w:val="es-ES_tradnl"/>
              </w:rPr>
            </w:pPr>
            <w:r w:rsidRPr="00600ED9">
              <w:rPr>
                <w:lang w:val="es-ES_tradnl"/>
              </w:rPr>
              <w:t xml:space="preserve">Criterios (a), (b), (c), </w:t>
            </w:r>
            <w:r w:rsidR="0049090E" w:rsidRPr="00600ED9">
              <w:rPr>
                <w:lang w:val="es-ES_tradnl"/>
              </w:rPr>
              <w:t xml:space="preserve">(d), </w:t>
            </w:r>
            <w:r w:rsidRPr="00600ED9">
              <w:rPr>
                <w:lang w:val="es-ES_tradnl"/>
              </w:rPr>
              <w:t xml:space="preserve">(e) y (f) cumplen. </w:t>
            </w:r>
          </w:p>
          <w:p w:rsidR="00FE02A4" w:rsidRPr="00600ED9" w:rsidRDefault="00FE02A4" w:rsidP="00FB1954">
            <w:pPr>
              <w:pStyle w:val="Normaltabletext"/>
              <w:keepNext/>
              <w:keepLines/>
              <w:spacing w:after="0"/>
              <w:outlineLvl w:val="1"/>
              <w:rPr>
                <w:lang w:val="es-ES_tradnl"/>
              </w:rPr>
            </w:pPr>
          </w:p>
          <w:p w:rsidR="008B15A0" w:rsidRPr="00600ED9" w:rsidRDefault="008B15A0" w:rsidP="00FB1954">
            <w:pPr>
              <w:pStyle w:val="Normaltabletext"/>
              <w:spacing w:after="0"/>
              <w:rPr>
                <w:lang w:val="es-ES_tradnl"/>
              </w:rPr>
            </w:pPr>
            <w:r w:rsidRPr="00600ED9">
              <w:rPr>
                <w:lang w:val="es-ES_tradnl"/>
              </w:rPr>
              <w:t>El Informe de Gestión anual de la CGRC es presentado al Congreso a finales de Julio de cada año y publicado en el mes de Agosto</w:t>
            </w:r>
            <w:r w:rsidR="0049090E" w:rsidRPr="00600ED9">
              <w:rPr>
                <w:lang w:val="es-ES_tradnl"/>
              </w:rPr>
              <w:t xml:space="preserve"> y su presentación se anuncia mediante comunicados o conferencias de prensa.</w:t>
            </w:r>
            <w:r w:rsidR="004242AA" w:rsidRPr="00600ED9">
              <w:rPr>
                <w:lang w:val="es-ES_tradnl"/>
              </w:rPr>
              <w:t xml:space="preserve"> </w:t>
            </w:r>
            <w:r w:rsidRPr="00600ED9">
              <w:rPr>
                <w:lang w:val="es-ES_tradnl"/>
              </w:rPr>
              <w:t xml:space="preserve">Dentro del Informe de Gestión se informa sobre los aportes que ha hecho la CGRC a los ciudadanos y al Gobierno. El Informe de Gestión </w:t>
            </w:r>
            <w:r w:rsidR="00314D85" w:rsidRPr="00600ED9">
              <w:rPr>
                <w:lang w:val="es-ES_tradnl"/>
              </w:rPr>
              <w:t xml:space="preserve">es </w:t>
            </w:r>
            <w:r w:rsidRPr="00600ED9">
              <w:rPr>
                <w:lang w:val="es-ES_tradnl"/>
              </w:rPr>
              <w:t>publicado en la web institucional, al igual que otros materiales de información como presentaciones gráficas</w:t>
            </w:r>
            <w:r w:rsidR="00314D85" w:rsidRPr="00600ED9">
              <w:rPr>
                <w:lang w:val="es-ES_tradnl"/>
              </w:rPr>
              <w:t xml:space="preserve"> que </w:t>
            </w:r>
            <w:r w:rsidRPr="00600ED9">
              <w:rPr>
                <w:lang w:val="es-ES_tradnl"/>
              </w:rPr>
              <w:t>facilita</w:t>
            </w:r>
            <w:r w:rsidR="00245BBF" w:rsidRPr="00600ED9">
              <w:rPr>
                <w:lang w:val="es-ES_tradnl"/>
              </w:rPr>
              <w:t xml:space="preserve">n </w:t>
            </w:r>
            <w:r w:rsidRPr="00600ED9">
              <w:rPr>
                <w:lang w:val="es-ES_tradnl"/>
              </w:rPr>
              <w:t>la comprensión</w:t>
            </w:r>
            <w:r w:rsidR="00245BBF" w:rsidRPr="00600ED9">
              <w:rPr>
                <w:lang w:val="es-ES_tradnl"/>
              </w:rPr>
              <w:t xml:space="preserve"> </w:t>
            </w:r>
            <w:r w:rsidRPr="00600ED9">
              <w:rPr>
                <w:lang w:val="es-ES_tradnl"/>
              </w:rPr>
              <w:t>de</w:t>
            </w:r>
            <w:r w:rsidR="00245BBF" w:rsidRPr="00600ED9">
              <w:rPr>
                <w:lang w:val="es-ES_tradnl"/>
              </w:rPr>
              <w:t xml:space="preserve"> </w:t>
            </w:r>
            <w:r w:rsidRPr="00600ED9">
              <w:rPr>
                <w:lang w:val="es-ES_tradnl"/>
              </w:rPr>
              <w:t>l</w:t>
            </w:r>
            <w:r w:rsidR="00245BBF" w:rsidRPr="00600ED9">
              <w:rPr>
                <w:lang w:val="es-ES_tradnl"/>
              </w:rPr>
              <w:t>os</w:t>
            </w:r>
            <w:r w:rsidRPr="00600ED9">
              <w:rPr>
                <w:lang w:val="es-ES_tradnl"/>
              </w:rPr>
              <w:t xml:space="preserve"> ciudadano</w:t>
            </w:r>
            <w:r w:rsidR="00245BBF" w:rsidRPr="00600ED9">
              <w:rPr>
                <w:lang w:val="es-ES_tradnl"/>
              </w:rPr>
              <w:t>s</w:t>
            </w:r>
            <w:r w:rsidRPr="00600ED9">
              <w:rPr>
                <w:lang w:val="es-ES_tradnl"/>
              </w:rPr>
              <w:t>.</w:t>
            </w:r>
          </w:p>
          <w:p w:rsidR="00FE02A4" w:rsidRPr="00600ED9" w:rsidRDefault="00FE02A4" w:rsidP="00FB1954">
            <w:pPr>
              <w:pStyle w:val="Normaltabletext"/>
              <w:spacing w:after="0"/>
              <w:rPr>
                <w:lang w:val="es-ES_tradnl"/>
              </w:rPr>
            </w:pPr>
          </w:p>
          <w:p w:rsidR="008B15A0" w:rsidRPr="00600ED9" w:rsidRDefault="008B15A0" w:rsidP="00FB1954">
            <w:pPr>
              <w:pStyle w:val="Normaltabletext"/>
              <w:spacing w:after="0"/>
              <w:rPr>
                <w:lang w:val="es-ES_tradnl"/>
              </w:rPr>
            </w:pPr>
            <w:r w:rsidRPr="00600ED9">
              <w:rPr>
                <w:lang w:val="es-ES_tradnl"/>
              </w:rPr>
              <w:t xml:space="preserve">La oficina de comunicación de la CGRC prepara boletines de prensa </w:t>
            </w:r>
            <w:r w:rsidR="004242AA" w:rsidRPr="00600ED9">
              <w:rPr>
                <w:lang w:val="es-ES_tradnl"/>
              </w:rPr>
              <w:t xml:space="preserve">para dar a conocer los contenidos de índole </w:t>
            </w:r>
            <w:proofErr w:type="gramStart"/>
            <w:r w:rsidR="004242AA" w:rsidRPr="00600ED9">
              <w:rPr>
                <w:lang w:val="es-ES_tradnl"/>
              </w:rPr>
              <w:t>noticioso</w:t>
            </w:r>
            <w:proofErr w:type="gramEnd"/>
            <w:r w:rsidR="004242AA" w:rsidRPr="00600ED9">
              <w:rPr>
                <w:lang w:val="es-ES_tradnl"/>
              </w:rPr>
              <w:t xml:space="preserve"> de la Entidad, los cuales </w:t>
            </w:r>
            <w:r w:rsidRPr="00600ED9">
              <w:rPr>
                <w:lang w:val="es-ES_tradnl"/>
              </w:rPr>
              <w:t xml:space="preserve">pueden </w:t>
            </w:r>
            <w:r w:rsidR="004242AA" w:rsidRPr="00600ED9">
              <w:rPr>
                <w:lang w:val="es-ES_tradnl"/>
              </w:rPr>
              <w:t>ser consultados</w:t>
            </w:r>
            <w:r w:rsidRPr="00600ED9">
              <w:rPr>
                <w:lang w:val="es-ES_tradnl"/>
              </w:rPr>
              <w:t xml:space="preserve"> a través de la página web. </w:t>
            </w:r>
            <w:r w:rsidR="0049090E" w:rsidRPr="00600ED9">
              <w:rPr>
                <w:lang w:val="es-ES_tradnl"/>
              </w:rPr>
              <w:t xml:space="preserve"> </w:t>
            </w:r>
            <w:r w:rsidRPr="00600ED9">
              <w:rPr>
                <w:lang w:val="es-ES_tradnl"/>
              </w:rPr>
              <w:t xml:space="preserve"> </w:t>
            </w:r>
          </w:p>
          <w:p w:rsidR="00FE02A4" w:rsidRPr="001471C4" w:rsidRDefault="00FE02A4" w:rsidP="00FB1954">
            <w:pPr>
              <w:pStyle w:val="Normaltabletext"/>
              <w:spacing w:after="0"/>
              <w:rPr>
                <w:sz w:val="22"/>
                <w:lang w:val="es-ES_tradnl"/>
              </w:rPr>
            </w:pPr>
          </w:p>
        </w:tc>
      </w:tr>
      <w:tr w:rsidR="008B15A0" w:rsidRPr="00600ED9" w:rsidTr="0063405A">
        <w:trPr>
          <w:jc w:val="right"/>
        </w:trPr>
        <w:tc>
          <w:tcPr>
            <w:tcW w:w="9356" w:type="dxa"/>
            <w:shd w:val="clear" w:color="auto" w:fill="D9D9D9" w:themeFill="background1" w:themeFillShade="D9"/>
          </w:tcPr>
          <w:p w:rsidR="008B15A0" w:rsidRPr="00600ED9" w:rsidRDefault="008B15A0" w:rsidP="00FB1954">
            <w:pPr>
              <w:pStyle w:val="NoSpacing"/>
              <w:rPr>
                <w:b/>
                <w:i/>
                <w:sz w:val="20"/>
                <w:szCs w:val="20"/>
                <w:lang w:val="es-ES_tradnl"/>
              </w:rPr>
            </w:pPr>
            <w:r w:rsidRPr="00600ED9">
              <w:rPr>
                <w:b/>
                <w:i/>
                <w:sz w:val="20"/>
                <w:szCs w:val="20"/>
                <w:lang w:val="es-ES_tradnl"/>
              </w:rPr>
              <w:t>Dimensión (iii) Medición e informe sobre el desempeño de las EFS</w:t>
            </w:r>
          </w:p>
        </w:tc>
      </w:tr>
      <w:tr w:rsidR="008B15A0" w:rsidRPr="00600ED9" w:rsidTr="0063405A">
        <w:trPr>
          <w:jc w:val="right"/>
        </w:trPr>
        <w:tc>
          <w:tcPr>
            <w:tcW w:w="9356" w:type="dxa"/>
            <w:shd w:val="clear" w:color="auto" w:fill="D9D9D9" w:themeFill="background1" w:themeFillShade="D9"/>
          </w:tcPr>
          <w:p w:rsidR="008B15A0" w:rsidRPr="00600ED9" w:rsidRDefault="008B15A0" w:rsidP="00FB1954">
            <w:pPr>
              <w:pStyle w:val="NoSpacing"/>
              <w:rPr>
                <w:i/>
                <w:sz w:val="20"/>
                <w:szCs w:val="20"/>
                <w:lang w:val="es-ES_tradnl"/>
              </w:rPr>
            </w:pPr>
            <w:r w:rsidRPr="00600ED9">
              <w:rPr>
                <w:b/>
                <w:i/>
                <w:sz w:val="20"/>
                <w:szCs w:val="20"/>
                <w:lang w:val="es-ES_tradnl"/>
              </w:rPr>
              <w:t>Pun</w:t>
            </w:r>
            <w:r w:rsidR="00705350" w:rsidRPr="00600ED9">
              <w:rPr>
                <w:b/>
                <w:i/>
                <w:sz w:val="20"/>
                <w:szCs w:val="20"/>
                <w:lang w:val="es-ES_tradnl"/>
              </w:rPr>
              <w:t>tuación</w:t>
            </w:r>
            <w:r w:rsidRPr="00600ED9">
              <w:rPr>
                <w:b/>
                <w:i/>
                <w:sz w:val="20"/>
                <w:szCs w:val="20"/>
                <w:lang w:val="es-ES_tradnl"/>
              </w:rPr>
              <w:t xml:space="preserve"> </w:t>
            </w:r>
            <w:r w:rsidRPr="00600ED9">
              <w:rPr>
                <w:rFonts w:cs="Calibri"/>
                <w:b/>
                <w:bCs/>
                <w:i/>
                <w:sz w:val="20"/>
                <w:szCs w:val="20"/>
                <w:lang w:val="es-ES_tradnl" w:eastAsia="en-GB"/>
              </w:rPr>
              <w:t>2</w:t>
            </w:r>
            <w:r w:rsidR="00705350" w:rsidRPr="00600ED9">
              <w:rPr>
                <w:rFonts w:cs="Calibri"/>
                <w:b/>
                <w:bCs/>
                <w:i/>
                <w:sz w:val="20"/>
                <w:szCs w:val="20"/>
                <w:lang w:val="es-ES_tradnl" w:eastAsia="en-GB"/>
              </w:rPr>
              <w:t>:</w:t>
            </w:r>
            <w:r w:rsidRPr="00600ED9">
              <w:rPr>
                <w:rFonts w:cs="Calibri"/>
                <w:b/>
                <w:bCs/>
                <w:i/>
                <w:sz w:val="20"/>
                <w:szCs w:val="20"/>
                <w:lang w:val="es-ES_tradnl" w:eastAsia="en-GB"/>
              </w:rPr>
              <w:t xml:space="preserve"> </w:t>
            </w:r>
            <w:r w:rsidRPr="00600ED9">
              <w:rPr>
                <w:rFonts w:cs="Calibri"/>
                <w:i/>
                <w:sz w:val="20"/>
                <w:szCs w:val="20"/>
                <w:lang w:val="es-ES_tradnl" w:eastAsia="en-GB"/>
              </w:rPr>
              <w:t>Se cumple con al menos tres de los criterios enumerados.</w:t>
            </w:r>
          </w:p>
        </w:tc>
      </w:tr>
      <w:tr w:rsidR="008B15A0" w:rsidRPr="00600ED9" w:rsidTr="0063405A">
        <w:trPr>
          <w:jc w:val="right"/>
        </w:trPr>
        <w:tc>
          <w:tcPr>
            <w:tcW w:w="9356" w:type="dxa"/>
          </w:tcPr>
          <w:p w:rsidR="008B15A0" w:rsidRPr="00600ED9" w:rsidRDefault="008B15A0" w:rsidP="00FB1954">
            <w:pPr>
              <w:pStyle w:val="Normaltabletext"/>
              <w:spacing w:after="0"/>
              <w:rPr>
                <w:lang w:val="es-ES_tradnl"/>
              </w:rPr>
            </w:pPr>
            <w:r w:rsidRPr="00600ED9">
              <w:rPr>
                <w:lang w:val="es-ES_tradnl"/>
              </w:rPr>
              <w:t xml:space="preserve">Criterios (a), (e), (g) cumplen. Criterios (b), (c), (d) no cumplen. </w:t>
            </w:r>
            <w:r w:rsidR="00314D85" w:rsidRPr="00600ED9">
              <w:rPr>
                <w:lang w:val="es-ES_tradnl"/>
              </w:rPr>
              <w:t>Criterio (f) No aplica</w:t>
            </w:r>
            <w:r w:rsidR="00314D85" w:rsidRPr="00600ED9">
              <w:rPr>
                <w:rStyle w:val="FootnoteReference"/>
                <w:lang w:val="es-ES_tradnl"/>
              </w:rPr>
              <w:footnoteReference w:id="24"/>
            </w:r>
            <w:r w:rsidR="00314D85" w:rsidRPr="00600ED9">
              <w:rPr>
                <w:lang w:val="es-ES_tradnl"/>
              </w:rPr>
              <w:t>.</w:t>
            </w:r>
          </w:p>
          <w:p w:rsidR="00FE02A4" w:rsidRPr="00600ED9" w:rsidRDefault="00FE02A4" w:rsidP="00FB1954">
            <w:pPr>
              <w:pStyle w:val="Normaltabletext"/>
              <w:spacing w:after="0"/>
              <w:rPr>
                <w:lang w:val="es-ES_tradnl"/>
              </w:rPr>
            </w:pPr>
          </w:p>
          <w:p w:rsidR="008B15A0" w:rsidRPr="00600ED9" w:rsidRDefault="00314D85" w:rsidP="00FB1954">
            <w:pPr>
              <w:pStyle w:val="Normaltabletext"/>
              <w:spacing w:after="0"/>
              <w:rPr>
                <w:lang w:val="es-ES_tradnl"/>
              </w:rPr>
            </w:pPr>
            <w:r w:rsidRPr="00600ED9">
              <w:rPr>
                <w:lang w:val="es-ES_tradnl"/>
              </w:rPr>
              <w:t xml:space="preserve">En cumplimiento del </w:t>
            </w:r>
            <w:r w:rsidR="008B15A0" w:rsidRPr="00600ED9">
              <w:rPr>
                <w:lang w:val="es-ES_tradnl"/>
              </w:rPr>
              <w:t>mandato constitucional</w:t>
            </w:r>
            <w:r w:rsidRPr="00600ED9">
              <w:rPr>
                <w:lang w:val="es-ES_tradnl"/>
              </w:rPr>
              <w:t>,</w:t>
            </w:r>
            <w:r w:rsidR="008B15A0" w:rsidRPr="00600ED9">
              <w:rPr>
                <w:lang w:val="es-ES_tradnl"/>
              </w:rPr>
              <w:t xml:space="preserve"> la CGRC informa públicamente, </w:t>
            </w:r>
            <w:r w:rsidRPr="00600ED9">
              <w:rPr>
                <w:lang w:val="es-ES_tradnl"/>
              </w:rPr>
              <w:t>mediante</w:t>
            </w:r>
            <w:r w:rsidR="008B15A0" w:rsidRPr="00600ED9">
              <w:rPr>
                <w:lang w:val="es-ES_tradnl"/>
              </w:rPr>
              <w:t xml:space="preserve"> su Informe de Gestión, acerca de sus principales acciones y desempeño. Sin embargo, el Informe de Gestión  no incluye indicadores de desempeño que permitan medir el avance</w:t>
            </w:r>
            <w:r w:rsidR="00245BBF" w:rsidRPr="00600ED9">
              <w:rPr>
                <w:lang w:val="es-ES_tradnl"/>
              </w:rPr>
              <w:t xml:space="preserve"> o logro</w:t>
            </w:r>
            <w:r w:rsidR="008B15A0" w:rsidRPr="00600ED9">
              <w:rPr>
                <w:lang w:val="es-ES_tradnl"/>
              </w:rPr>
              <w:t xml:space="preserve"> </w:t>
            </w:r>
            <w:r w:rsidR="00245BBF" w:rsidRPr="00600ED9">
              <w:rPr>
                <w:lang w:val="es-ES_tradnl"/>
              </w:rPr>
              <w:t xml:space="preserve">de los </w:t>
            </w:r>
            <w:r w:rsidR="008B15A0" w:rsidRPr="00600ED9">
              <w:rPr>
                <w:lang w:val="es-ES_tradnl"/>
              </w:rPr>
              <w:t xml:space="preserve">objetivos.  </w:t>
            </w:r>
          </w:p>
          <w:p w:rsidR="00FE02A4" w:rsidRPr="00600ED9" w:rsidRDefault="00FE02A4" w:rsidP="00FB1954">
            <w:pPr>
              <w:pStyle w:val="Normaltabletext"/>
              <w:spacing w:after="0"/>
              <w:rPr>
                <w:lang w:val="es-ES_tradnl"/>
              </w:rPr>
            </w:pPr>
          </w:p>
          <w:p w:rsidR="008B15A0" w:rsidRPr="00600ED9" w:rsidRDefault="008B15A0" w:rsidP="00FB1954">
            <w:pPr>
              <w:pStyle w:val="Normaltabletext"/>
              <w:spacing w:after="0"/>
              <w:rPr>
                <w:lang w:val="es-ES_tradnl"/>
              </w:rPr>
            </w:pPr>
            <w:r w:rsidRPr="00600ED9">
              <w:rPr>
                <w:lang w:val="es-ES_tradnl"/>
              </w:rPr>
              <w:lastRenderedPageBreak/>
              <w:t xml:space="preserve">El informe de gestión consolidado, que abarca los cuatro años del mandato del Contralor también incluye información relevante de interés ciudadano. En dicho informe se incluyen los beneficios del control fiscal </w:t>
            </w:r>
            <w:r w:rsidR="00705350" w:rsidRPr="00600ED9">
              <w:rPr>
                <w:lang w:val="es-ES_tradnl"/>
              </w:rPr>
              <w:t>a través</w:t>
            </w:r>
            <w:r w:rsidRPr="00600ED9">
              <w:rPr>
                <w:lang w:val="es-ES_tradnl"/>
              </w:rPr>
              <w:t xml:space="preserve"> de las auditorías realizadas. </w:t>
            </w:r>
          </w:p>
          <w:p w:rsidR="00FE02A4" w:rsidRPr="00600ED9" w:rsidRDefault="00FE02A4" w:rsidP="00FB1954">
            <w:pPr>
              <w:pStyle w:val="Normaltabletext"/>
              <w:spacing w:after="0"/>
              <w:rPr>
                <w:lang w:val="es-ES_tradnl"/>
              </w:rPr>
            </w:pPr>
          </w:p>
          <w:p w:rsidR="008B15A0" w:rsidRPr="00600ED9" w:rsidRDefault="008B15A0" w:rsidP="00FB1954">
            <w:pPr>
              <w:pStyle w:val="Normaltabletext"/>
              <w:spacing w:after="0"/>
              <w:rPr>
                <w:lang w:val="es-ES_tradnl"/>
              </w:rPr>
            </w:pPr>
            <w:r w:rsidRPr="00600ED9">
              <w:rPr>
                <w:lang w:val="es-ES_tradnl"/>
              </w:rPr>
              <w:t xml:space="preserve">La CGRC no ha  tenido revisiones entre pares, ni revisiones externas relacionadas con el trabajo realizado. </w:t>
            </w:r>
          </w:p>
          <w:p w:rsidR="00FE02A4" w:rsidRPr="00600ED9" w:rsidRDefault="00FE02A4" w:rsidP="00FB1954">
            <w:pPr>
              <w:pStyle w:val="Normaltabletext"/>
              <w:spacing w:after="0"/>
              <w:rPr>
                <w:lang w:val="es-ES_tradnl"/>
              </w:rPr>
            </w:pPr>
          </w:p>
          <w:p w:rsidR="008B15A0" w:rsidRPr="00600ED9" w:rsidRDefault="008B15A0" w:rsidP="00FB1954">
            <w:pPr>
              <w:pStyle w:val="Normaltabletext"/>
              <w:spacing w:after="0"/>
              <w:rPr>
                <w:lang w:val="es-ES_tradnl"/>
              </w:rPr>
            </w:pPr>
            <w:r w:rsidRPr="00600ED9">
              <w:rPr>
                <w:lang w:val="es-ES_tradnl"/>
              </w:rPr>
              <w:t xml:space="preserve">La Guía de Auditoría </w:t>
            </w:r>
            <w:r w:rsidR="00245BBF" w:rsidRPr="00600ED9">
              <w:rPr>
                <w:lang w:val="es-ES_tradnl"/>
              </w:rPr>
              <w:t>a</w:t>
            </w:r>
            <w:r w:rsidRPr="00600ED9">
              <w:rPr>
                <w:lang w:val="es-ES_tradnl"/>
              </w:rPr>
              <w:t>justada al SICA describe las normas de auditoría y la metodología que utiliza la entidad en la realización de su trabajo. Esta guía está disponible al público a través de su página web.</w:t>
            </w:r>
          </w:p>
          <w:p w:rsidR="00FE02A4" w:rsidRPr="00600ED9" w:rsidRDefault="00FE02A4" w:rsidP="00FB1954">
            <w:pPr>
              <w:pStyle w:val="Normaltabletext"/>
              <w:spacing w:after="0"/>
              <w:rPr>
                <w:lang w:val="es-ES_tradnl"/>
              </w:rPr>
            </w:pPr>
          </w:p>
        </w:tc>
      </w:tr>
      <w:tr w:rsidR="008B15A0" w:rsidRPr="00600ED9" w:rsidTr="0063405A">
        <w:trPr>
          <w:jc w:val="right"/>
        </w:trPr>
        <w:tc>
          <w:tcPr>
            <w:tcW w:w="9356" w:type="dxa"/>
            <w:shd w:val="clear" w:color="auto" w:fill="D9D9D9" w:themeFill="background1" w:themeFillShade="D9"/>
          </w:tcPr>
          <w:p w:rsidR="008B15A0" w:rsidRPr="00600ED9" w:rsidRDefault="008B15A0" w:rsidP="00FB1954">
            <w:pPr>
              <w:pStyle w:val="NoSpacing"/>
              <w:jc w:val="both"/>
              <w:rPr>
                <w:b/>
                <w:i/>
                <w:sz w:val="20"/>
                <w:szCs w:val="20"/>
                <w:lang w:val="es-ES_tradnl"/>
              </w:rPr>
            </w:pPr>
            <w:r w:rsidRPr="00600ED9">
              <w:rPr>
                <w:b/>
                <w:i/>
                <w:sz w:val="20"/>
                <w:szCs w:val="20"/>
                <w:lang w:val="es-ES_tradnl"/>
              </w:rPr>
              <w:lastRenderedPageBreak/>
              <w:t>Dimensión (iv) Presentación de informe sobre los Servicios de Valor Agregado de la EFS y otras funciones obligatorias</w:t>
            </w:r>
          </w:p>
        </w:tc>
      </w:tr>
      <w:tr w:rsidR="008B15A0" w:rsidRPr="00600ED9" w:rsidTr="0063405A">
        <w:trPr>
          <w:jc w:val="right"/>
        </w:trPr>
        <w:tc>
          <w:tcPr>
            <w:tcW w:w="9356" w:type="dxa"/>
            <w:shd w:val="clear" w:color="auto" w:fill="D9D9D9" w:themeFill="background1" w:themeFillShade="D9"/>
          </w:tcPr>
          <w:p w:rsidR="008B15A0" w:rsidRPr="00600ED9" w:rsidRDefault="008B15A0" w:rsidP="00FB1954">
            <w:pPr>
              <w:pStyle w:val="NoSpacing"/>
              <w:rPr>
                <w:i/>
                <w:sz w:val="20"/>
                <w:szCs w:val="20"/>
                <w:lang w:val="es-ES_tradnl"/>
              </w:rPr>
            </w:pPr>
            <w:r w:rsidRPr="00600ED9">
              <w:rPr>
                <w:b/>
                <w:i/>
                <w:sz w:val="20"/>
                <w:szCs w:val="20"/>
                <w:lang w:val="es-ES_tradnl"/>
              </w:rPr>
              <w:t>Puntuación</w:t>
            </w:r>
            <w:r w:rsidR="00705350" w:rsidRPr="00600ED9">
              <w:rPr>
                <w:b/>
                <w:i/>
                <w:sz w:val="20"/>
                <w:szCs w:val="20"/>
                <w:lang w:val="es-ES_tradnl"/>
              </w:rPr>
              <w:t xml:space="preserve"> </w:t>
            </w:r>
            <w:r w:rsidR="00184110" w:rsidRPr="00600ED9">
              <w:rPr>
                <w:rFonts w:cs="Calibri"/>
                <w:b/>
                <w:bCs/>
                <w:i/>
                <w:sz w:val="20"/>
                <w:szCs w:val="20"/>
                <w:lang w:val="es-ES_tradnl" w:eastAsia="en-GB"/>
              </w:rPr>
              <w:t>4</w:t>
            </w:r>
            <w:r w:rsidR="00705350" w:rsidRPr="00600ED9">
              <w:rPr>
                <w:rFonts w:cs="Calibri"/>
                <w:b/>
                <w:bCs/>
                <w:i/>
                <w:sz w:val="20"/>
                <w:szCs w:val="20"/>
                <w:lang w:val="es-ES_tradnl" w:eastAsia="en-GB"/>
              </w:rPr>
              <w:t>:</w:t>
            </w:r>
            <w:r w:rsidRPr="00600ED9">
              <w:rPr>
                <w:rFonts w:cs="Calibri"/>
                <w:b/>
                <w:bCs/>
                <w:i/>
                <w:sz w:val="20"/>
                <w:szCs w:val="20"/>
                <w:lang w:val="es-ES_tradnl" w:eastAsia="en-GB"/>
              </w:rPr>
              <w:t xml:space="preserve"> </w:t>
            </w:r>
            <w:r w:rsidRPr="00600ED9">
              <w:rPr>
                <w:rFonts w:cs="Calibri"/>
                <w:bCs/>
                <w:i/>
                <w:sz w:val="20"/>
                <w:szCs w:val="20"/>
                <w:lang w:val="es-ES_tradnl" w:eastAsia="en-GB"/>
              </w:rPr>
              <w:t xml:space="preserve">La EFS ha presentado informes cubriendo al menos </w:t>
            </w:r>
            <w:r w:rsidR="00184110" w:rsidRPr="00600ED9">
              <w:rPr>
                <w:rFonts w:cs="Calibri"/>
                <w:bCs/>
                <w:i/>
                <w:sz w:val="20"/>
                <w:szCs w:val="20"/>
                <w:lang w:val="es-ES_tradnl" w:eastAsia="en-GB"/>
              </w:rPr>
              <w:t xml:space="preserve">ocho </w:t>
            </w:r>
            <w:r w:rsidRPr="00600ED9">
              <w:rPr>
                <w:rFonts w:cs="Calibri"/>
                <w:bCs/>
                <w:i/>
                <w:sz w:val="20"/>
                <w:szCs w:val="20"/>
                <w:lang w:val="es-ES_tradnl" w:eastAsia="en-GB"/>
              </w:rPr>
              <w:t>de los</w:t>
            </w:r>
            <w:r w:rsidRPr="00600ED9">
              <w:rPr>
                <w:rFonts w:cs="Calibri"/>
                <w:i/>
                <w:sz w:val="20"/>
                <w:szCs w:val="20"/>
                <w:lang w:val="es-ES_tradnl" w:eastAsia="en-GB"/>
              </w:rPr>
              <w:t xml:space="preserve"> criterios enumerados.</w:t>
            </w:r>
          </w:p>
        </w:tc>
      </w:tr>
      <w:tr w:rsidR="008B15A0" w:rsidRPr="00600ED9" w:rsidTr="0063405A">
        <w:trPr>
          <w:jc w:val="right"/>
        </w:trPr>
        <w:tc>
          <w:tcPr>
            <w:tcW w:w="9356" w:type="dxa"/>
          </w:tcPr>
          <w:p w:rsidR="008B15A0" w:rsidRPr="00600ED9" w:rsidRDefault="008B15A0" w:rsidP="00FB1954">
            <w:pPr>
              <w:pStyle w:val="Normaltabletext"/>
              <w:spacing w:after="0"/>
              <w:rPr>
                <w:lang w:val="es-ES_tradnl"/>
              </w:rPr>
            </w:pPr>
            <w:proofErr w:type="spellStart"/>
            <w:r w:rsidRPr="004F42B9">
              <w:rPr>
                <w:lang w:val="pt-BR"/>
              </w:rPr>
              <w:t>Criterios</w:t>
            </w:r>
            <w:proofErr w:type="spellEnd"/>
            <w:r w:rsidRPr="004F42B9">
              <w:rPr>
                <w:lang w:val="pt-BR"/>
              </w:rPr>
              <w:t xml:space="preserve"> (a), (d), (e), (f), </w:t>
            </w:r>
            <w:r w:rsidR="00184110" w:rsidRPr="004F42B9">
              <w:rPr>
                <w:lang w:val="pt-BR"/>
              </w:rPr>
              <w:t xml:space="preserve">(g), (h), </w:t>
            </w:r>
            <w:r w:rsidRPr="004F42B9">
              <w:rPr>
                <w:lang w:val="pt-BR"/>
              </w:rPr>
              <w:t xml:space="preserve">(i), (k) </w:t>
            </w:r>
            <w:proofErr w:type="spellStart"/>
            <w:r w:rsidRPr="004F42B9">
              <w:rPr>
                <w:lang w:val="pt-BR"/>
              </w:rPr>
              <w:t>cumplen</w:t>
            </w:r>
            <w:proofErr w:type="spellEnd"/>
            <w:r w:rsidRPr="004F42B9">
              <w:rPr>
                <w:lang w:val="pt-BR"/>
              </w:rPr>
              <w:t xml:space="preserve">. </w:t>
            </w:r>
            <w:r w:rsidRPr="00600ED9">
              <w:rPr>
                <w:lang w:val="es-ES_tradnl"/>
              </w:rPr>
              <w:t>Criterios (c)</w:t>
            </w:r>
            <w:r w:rsidR="00184110" w:rsidRPr="00600ED9">
              <w:rPr>
                <w:lang w:val="es-ES_tradnl"/>
              </w:rPr>
              <w:t>, (l)</w:t>
            </w:r>
            <w:r w:rsidRPr="00600ED9">
              <w:rPr>
                <w:lang w:val="es-ES_tradnl"/>
              </w:rPr>
              <w:t xml:space="preserve"> no cumplen. </w:t>
            </w:r>
            <w:r w:rsidR="00EC325C" w:rsidRPr="00600ED9">
              <w:rPr>
                <w:lang w:val="es-ES_tradnl"/>
              </w:rPr>
              <w:t>Criterio</w:t>
            </w:r>
            <w:r w:rsidR="004F3599" w:rsidRPr="00600ED9">
              <w:rPr>
                <w:lang w:val="es-ES_tradnl"/>
              </w:rPr>
              <w:t>s</w:t>
            </w:r>
            <w:r w:rsidR="00EC325C" w:rsidRPr="00600ED9">
              <w:rPr>
                <w:lang w:val="es-ES_tradnl"/>
              </w:rPr>
              <w:t xml:space="preserve"> (b)</w:t>
            </w:r>
            <w:r w:rsidR="004F3599" w:rsidRPr="00600ED9">
              <w:rPr>
                <w:lang w:val="es-ES_tradnl"/>
              </w:rPr>
              <w:t xml:space="preserve"> y (j)</w:t>
            </w:r>
            <w:r w:rsidR="00EC325C" w:rsidRPr="00600ED9">
              <w:rPr>
                <w:lang w:val="es-ES_tradnl"/>
              </w:rPr>
              <w:t xml:space="preserve"> No aplica</w:t>
            </w:r>
            <w:r w:rsidR="004F3599" w:rsidRPr="00600ED9">
              <w:rPr>
                <w:lang w:val="es-ES_tradnl"/>
              </w:rPr>
              <w:t>n</w:t>
            </w:r>
            <w:r w:rsidR="00EC325C" w:rsidRPr="00600ED9">
              <w:rPr>
                <w:lang w:val="es-ES_tradnl"/>
              </w:rPr>
              <w:t>.</w:t>
            </w:r>
          </w:p>
          <w:p w:rsidR="00FE02A4" w:rsidRPr="00600ED9" w:rsidRDefault="00FE02A4" w:rsidP="00FB1954">
            <w:pPr>
              <w:pStyle w:val="Normaltabletext"/>
              <w:spacing w:after="0"/>
              <w:rPr>
                <w:lang w:val="es-ES_tradnl"/>
              </w:rPr>
            </w:pPr>
          </w:p>
          <w:p w:rsidR="008B15A0" w:rsidRPr="00600ED9" w:rsidRDefault="008B15A0" w:rsidP="00FB1954">
            <w:pPr>
              <w:pStyle w:val="Normaltabletext"/>
              <w:spacing w:after="0"/>
              <w:rPr>
                <w:lang w:val="es-ES_tradnl"/>
              </w:rPr>
            </w:pPr>
            <w:r w:rsidRPr="00600ED9">
              <w:rPr>
                <w:lang w:val="es-ES_tradnl"/>
              </w:rPr>
              <w:t xml:space="preserve">La CGRC ha estructurado las Contralorías Delegadas de tal forma que pueda cumplir con su mandato de vigilancia fiscal. Entre ellas cuenta con la Delegada de Medio Ambiente que es la encargada de realizar auditorías a los sujetos de revisión fiscal relacionados con medio ambiente. Adicionalmente como parte de sus informes anuales, esta Delegada emite el “Informe del estado de los recursos naturales y del medio ambiente”.  </w:t>
            </w:r>
          </w:p>
          <w:p w:rsidR="00FE02A4" w:rsidRPr="00600ED9" w:rsidRDefault="00FE02A4" w:rsidP="00FB1954">
            <w:pPr>
              <w:pStyle w:val="Normaltabletext"/>
              <w:spacing w:after="0"/>
              <w:rPr>
                <w:lang w:val="es-ES_tradnl"/>
              </w:rPr>
            </w:pPr>
          </w:p>
          <w:p w:rsidR="008B15A0" w:rsidRPr="00600ED9" w:rsidRDefault="008B15A0" w:rsidP="00FB1954">
            <w:pPr>
              <w:pStyle w:val="Normaltabletext"/>
              <w:spacing w:after="0"/>
              <w:rPr>
                <w:lang w:val="es-ES_tradnl"/>
              </w:rPr>
            </w:pPr>
            <w:r w:rsidRPr="00600ED9">
              <w:rPr>
                <w:lang w:val="es-ES_tradnl"/>
              </w:rPr>
              <w:t xml:space="preserve">La CGRC no ha realizado auditorías en las siguientes áreas: </w:t>
            </w:r>
          </w:p>
          <w:p w:rsidR="008B15A0" w:rsidRPr="00600ED9" w:rsidRDefault="008B15A0" w:rsidP="00233205">
            <w:pPr>
              <w:pStyle w:val="Normaltabletext"/>
              <w:numPr>
                <w:ilvl w:val="0"/>
                <w:numId w:val="33"/>
              </w:numPr>
              <w:spacing w:after="0"/>
              <w:rPr>
                <w:rFonts w:cstheme="majorBidi"/>
                <w:b/>
                <w:bCs/>
                <w:i/>
                <w:iCs/>
                <w:color w:val="404040" w:themeColor="text1" w:themeTint="BF"/>
                <w:lang w:val="es-ES_tradnl"/>
              </w:rPr>
            </w:pPr>
            <w:r w:rsidRPr="00600ED9">
              <w:rPr>
                <w:lang w:val="es-ES_tradnl"/>
              </w:rPr>
              <w:t xml:space="preserve">Auditorías de privatización.    </w:t>
            </w:r>
          </w:p>
          <w:p w:rsidR="004F3599" w:rsidRPr="00600ED9" w:rsidRDefault="008B15A0" w:rsidP="00233205">
            <w:pPr>
              <w:pStyle w:val="Normaltabletext"/>
              <w:numPr>
                <w:ilvl w:val="0"/>
                <w:numId w:val="33"/>
              </w:numPr>
              <w:spacing w:after="0"/>
              <w:rPr>
                <w:rFonts w:cstheme="majorBidi"/>
                <w:b/>
                <w:bCs/>
                <w:i/>
                <w:iCs/>
                <w:color w:val="404040" w:themeColor="text1" w:themeTint="BF"/>
                <w:lang w:val="es-ES_tradnl"/>
              </w:rPr>
            </w:pPr>
            <w:r w:rsidRPr="00600ED9">
              <w:rPr>
                <w:lang w:val="es-ES_tradnl"/>
              </w:rPr>
              <w:t xml:space="preserve">Auditoría de ambientes de TI y sistemas de TI. </w:t>
            </w:r>
          </w:p>
          <w:p w:rsidR="008B15A0" w:rsidRPr="00600ED9" w:rsidRDefault="008B15A0" w:rsidP="00FB1954">
            <w:pPr>
              <w:pStyle w:val="Normaltabletext"/>
              <w:spacing w:after="0"/>
              <w:ind w:left="360"/>
              <w:rPr>
                <w:rFonts w:cstheme="majorBidi"/>
                <w:b/>
                <w:bCs/>
                <w:i/>
                <w:iCs/>
                <w:color w:val="404040" w:themeColor="text1" w:themeTint="BF"/>
                <w:lang w:val="es-ES_tradnl"/>
              </w:rPr>
            </w:pPr>
          </w:p>
          <w:p w:rsidR="004F3599" w:rsidRPr="00600ED9" w:rsidRDefault="004F3599" w:rsidP="00FB1954">
            <w:pPr>
              <w:jc w:val="both"/>
              <w:rPr>
                <w:sz w:val="20"/>
                <w:szCs w:val="20"/>
              </w:rPr>
            </w:pPr>
            <w:r w:rsidRPr="00600ED9">
              <w:rPr>
                <w:sz w:val="20"/>
                <w:szCs w:val="20"/>
              </w:rPr>
              <w:t>De acuerdo con el marco legal, el control fiscal a la gestión pública es posterior y selectivo. No obstante, aunque el enfoque del control permite la aplicación de una función de advertencia para que el administrador público conozca en tiempo real las inconsistencias detectadas por la Contraloría y, mediante la aplicación de un control de corrección, proceda a subsanarlas, la Corte Constitucional mediante sentencia C-103 del 11 de marzo de 2015</w:t>
            </w:r>
            <w:r w:rsidRPr="00600ED9">
              <w:rPr>
                <w:rStyle w:val="FootnoteReference"/>
                <w:sz w:val="20"/>
                <w:szCs w:val="20"/>
              </w:rPr>
              <w:footnoteReference w:id="25"/>
            </w:r>
            <w:r w:rsidRPr="00600ED9">
              <w:rPr>
                <w:sz w:val="20"/>
                <w:szCs w:val="20"/>
              </w:rPr>
              <w:t xml:space="preserve">, declaró inconstitucional el numeral 7, del artículo 5, del Decreto 267 del año 2000, por considerar que constituye una función de </w:t>
            </w:r>
            <w:proofErr w:type="spellStart"/>
            <w:r w:rsidRPr="00600ED9">
              <w:rPr>
                <w:sz w:val="20"/>
                <w:szCs w:val="20"/>
              </w:rPr>
              <w:t>co</w:t>
            </w:r>
            <w:proofErr w:type="spellEnd"/>
            <w:r w:rsidRPr="00600ED9">
              <w:rPr>
                <w:sz w:val="20"/>
                <w:szCs w:val="20"/>
              </w:rPr>
              <w:t>-administración.</w:t>
            </w:r>
          </w:p>
          <w:p w:rsidR="004F3599" w:rsidRPr="00600ED9" w:rsidRDefault="004F3599" w:rsidP="00FB1954">
            <w:pPr>
              <w:jc w:val="both"/>
              <w:rPr>
                <w:sz w:val="20"/>
                <w:szCs w:val="20"/>
              </w:rPr>
            </w:pPr>
          </w:p>
          <w:p w:rsidR="008B15A0" w:rsidRPr="00600ED9" w:rsidRDefault="008B15A0" w:rsidP="00FB1954">
            <w:pPr>
              <w:pStyle w:val="Normaltabletext"/>
              <w:spacing w:after="0"/>
              <w:rPr>
                <w:lang w:val="es-ES_tradnl"/>
              </w:rPr>
            </w:pPr>
            <w:r w:rsidRPr="00600ED9">
              <w:rPr>
                <w:lang w:val="es-ES_tradnl"/>
              </w:rPr>
              <w:t xml:space="preserve">A </w:t>
            </w:r>
            <w:r w:rsidR="00184110" w:rsidRPr="00600ED9">
              <w:rPr>
                <w:lang w:val="es-ES_tradnl"/>
              </w:rPr>
              <w:t xml:space="preserve">las </w:t>
            </w:r>
            <w:r w:rsidR="00245BBF" w:rsidRPr="00600ED9">
              <w:rPr>
                <w:lang w:val="es-ES_tradnl"/>
              </w:rPr>
              <w:t>entidades</w:t>
            </w:r>
            <w:r w:rsidRPr="00600ED9">
              <w:rPr>
                <w:lang w:val="es-ES_tradnl"/>
              </w:rPr>
              <w:t xml:space="preserve"> auditadas, </w:t>
            </w:r>
            <w:r w:rsidR="005B1C8B" w:rsidRPr="00600ED9">
              <w:rPr>
                <w:lang w:val="es-ES_tradnl"/>
              </w:rPr>
              <w:t xml:space="preserve">previo a la emisión del informe final, </w:t>
            </w:r>
            <w:r w:rsidRPr="00600ED9">
              <w:rPr>
                <w:lang w:val="es-ES_tradnl"/>
              </w:rPr>
              <w:t xml:space="preserve">se les comparte el detalle de los hallazgos de auditoría, y los auditados responden por escrito sus comentarios, </w:t>
            </w:r>
            <w:r w:rsidR="005B1C8B" w:rsidRPr="00600ED9">
              <w:rPr>
                <w:lang w:val="es-ES_tradnl"/>
              </w:rPr>
              <w:t xml:space="preserve">los cuales son considerados </w:t>
            </w:r>
            <w:r w:rsidRPr="00600ED9">
              <w:rPr>
                <w:lang w:val="es-ES_tradnl"/>
              </w:rPr>
              <w:t xml:space="preserve">en el informe final de auditoría. </w:t>
            </w:r>
            <w:r w:rsidR="00184110" w:rsidRPr="00600ED9">
              <w:rPr>
                <w:lang w:val="es-ES_tradnl"/>
              </w:rPr>
              <w:t>L</w:t>
            </w:r>
            <w:r w:rsidRPr="00600ED9">
              <w:rPr>
                <w:lang w:val="es-ES_tradnl"/>
              </w:rPr>
              <w:t>as entidades auditadas tienen la obligación de elaborar un Plan de Mejoramiento, que es alojado en el sistema SIRECI. Sin embargo, estos hallazgos no hacen referencia a los beneficios financieros que se obtendrían tras la implementación de sus observaciones y/o recomendaciones.</w:t>
            </w:r>
          </w:p>
          <w:p w:rsidR="00FE02A4" w:rsidRPr="00600ED9" w:rsidRDefault="00FE02A4" w:rsidP="00FB1954">
            <w:pPr>
              <w:pStyle w:val="Normaltabletext"/>
              <w:spacing w:after="0"/>
              <w:rPr>
                <w:lang w:val="es-ES_tradnl"/>
              </w:rPr>
            </w:pPr>
          </w:p>
        </w:tc>
      </w:tr>
    </w:tbl>
    <w:p w:rsidR="006245E1" w:rsidRPr="00600ED9" w:rsidRDefault="006245E1" w:rsidP="00FB1954">
      <w:pPr>
        <w:spacing w:after="0" w:line="240" w:lineRule="auto"/>
        <w:jc w:val="both"/>
        <w:rPr>
          <w:b/>
          <w:sz w:val="20"/>
          <w:szCs w:val="20"/>
        </w:rPr>
      </w:pPr>
    </w:p>
    <w:p w:rsidR="00245BBF" w:rsidRPr="00600ED9" w:rsidRDefault="006245E1" w:rsidP="00FB1954">
      <w:pPr>
        <w:pStyle w:val="NoSpacing"/>
        <w:ind w:left="720"/>
        <w:rPr>
          <w:lang w:val="es-ES_tradnl"/>
        </w:rPr>
      </w:pPr>
      <w:r w:rsidRPr="00600ED9">
        <w:rPr>
          <w:b/>
          <w:bCs/>
          <w:smallCaps/>
          <w:lang w:val="es-ES_tradnl"/>
        </w:rPr>
        <w:t>Recomendaciones:</w:t>
      </w:r>
      <w:r w:rsidR="00E772D7" w:rsidRPr="00600ED9">
        <w:rPr>
          <w:b/>
          <w:bCs/>
          <w:smallCaps/>
          <w:lang w:val="es-ES_tradnl"/>
        </w:rPr>
        <w:t xml:space="preserve"> </w:t>
      </w:r>
      <w:r w:rsidR="005120A2" w:rsidRPr="00600ED9">
        <w:rPr>
          <w:lang w:val="es-ES_tradnl"/>
        </w:rPr>
        <w:t>Consultar el</w:t>
      </w:r>
      <w:r w:rsidR="00D42D17" w:rsidRPr="00600ED9">
        <w:rPr>
          <w:lang w:val="es-ES_tradnl"/>
        </w:rPr>
        <w:t xml:space="preserve"> Anexo A</w:t>
      </w:r>
      <w:r w:rsidR="00CA3E61" w:rsidRPr="00600ED9">
        <w:rPr>
          <w:lang w:val="es-ES_tradnl"/>
        </w:rPr>
        <w:t xml:space="preserve">: Plan de Acción, </w:t>
      </w:r>
      <w:r w:rsidR="00245BBF" w:rsidRPr="00600ED9">
        <w:rPr>
          <w:lang w:val="es-ES_tradnl"/>
        </w:rPr>
        <w:t xml:space="preserve">recomendaciones </w:t>
      </w:r>
      <w:r w:rsidR="009A62D2" w:rsidRPr="00600ED9">
        <w:rPr>
          <w:lang w:val="es-ES_tradnl"/>
        </w:rPr>
        <w:t xml:space="preserve">No. 4, </w:t>
      </w:r>
      <w:r w:rsidR="00FF28D3" w:rsidRPr="00600ED9">
        <w:rPr>
          <w:lang w:val="es-ES_tradnl"/>
        </w:rPr>
        <w:t>5</w:t>
      </w:r>
      <w:r w:rsidR="009A62D2" w:rsidRPr="00600ED9">
        <w:rPr>
          <w:lang w:val="es-ES_tradnl"/>
        </w:rPr>
        <w:t xml:space="preserve"> y 26</w:t>
      </w:r>
      <w:r w:rsidR="00245BBF" w:rsidRPr="00600ED9">
        <w:rPr>
          <w:lang w:val="es-ES_tradnl"/>
        </w:rPr>
        <w:t>.</w:t>
      </w:r>
    </w:p>
    <w:p w:rsidR="00C16D3B" w:rsidRPr="00600ED9" w:rsidRDefault="00C16D3B">
      <w:pPr>
        <w:rPr>
          <w:rFonts w:eastAsiaTheme="minorEastAsia"/>
          <w:sz w:val="28"/>
        </w:rPr>
      </w:pPr>
      <w:r w:rsidRPr="00600ED9">
        <w:rPr>
          <w:sz w:val="28"/>
        </w:rPr>
        <w:br w:type="page"/>
      </w:r>
    </w:p>
    <w:p w:rsidR="00245BBF" w:rsidRPr="00600ED9" w:rsidRDefault="00720E42" w:rsidP="00FB1954">
      <w:pPr>
        <w:pStyle w:val="Heading1"/>
        <w:spacing w:line="240" w:lineRule="auto"/>
        <w:ind w:left="567" w:hanging="567"/>
        <w:rPr>
          <w:noProof w:val="0"/>
        </w:rPr>
      </w:pPr>
      <w:bookmarkStart w:id="18" w:name="_Toc295932910"/>
      <w:r w:rsidRPr="00600ED9">
        <w:rPr>
          <w:noProof w:val="0"/>
        </w:rPr>
        <w:lastRenderedPageBreak/>
        <w:t>Dominio B: Independencia y Marco Legal</w:t>
      </w:r>
      <w:bookmarkEnd w:id="18"/>
    </w:p>
    <w:p w:rsidR="00AF060B" w:rsidRPr="00600ED9" w:rsidRDefault="00AF060B" w:rsidP="00FB1954">
      <w:pPr>
        <w:pStyle w:val="NoSpacing"/>
        <w:rPr>
          <w:lang w:val="es-ES_tradnl"/>
        </w:rPr>
      </w:pPr>
    </w:p>
    <w:p w:rsidR="00E86805" w:rsidRPr="00600ED9" w:rsidRDefault="00A26130" w:rsidP="00FB1954">
      <w:pPr>
        <w:pStyle w:val="NoSpacing"/>
        <w:ind w:left="567"/>
        <w:rPr>
          <w:lang w:val="es-ES_tradnl"/>
        </w:rPr>
      </w:pPr>
      <w:r w:rsidRPr="00600ED9">
        <w:rPr>
          <w:rFonts w:cs="Arial"/>
          <w:szCs w:val="24"/>
          <w:lang w:val="es-ES_tradnl"/>
        </w:rPr>
        <w:t>Este dominio</w:t>
      </w:r>
      <w:r w:rsidR="00AF060B" w:rsidRPr="00600ED9">
        <w:rPr>
          <w:rFonts w:cs="Arial"/>
          <w:szCs w:val="24"/>
          <w:lang w:val="es-ES_tradnl"/>
        </w:rPr>
        <w:t xml:space="preserve"> </w:t>
      </w:r>
      <w:r w:rsidRPr="00600ED9">
        <w:rPr>
          <w:rFonts w:cs="Arial"/>
          <w:szCs w:val="24"/>
          <w:lang w:val="es-ES_tradnl"/>
        </w:rPr>
        <w:t>cubre</w:t>
      </w:r>
      <w:r w:rsidR="00AF060B" w:rsidRPr="00600ED9">
        <w:rPr>
          <w:rFonts w:cs="Arial"/>
          <w:szCs w:val="24"/>
          <w:lang w:val="es-ES_tradnl"/>
        </w:rPr>
        <w:t xml:space="preserve"> los indicadores EFS-6 y EFS-7 </w:t>
      </w:r>
      <w:r w:rsidRPr="00600ED9">
        <w:rPr>
          <w:rFonts w:cs="Arial"/>
          <w:szCs w:val="24"/>
          <w:lang w:val="es-ES_tradnl"/>
        </w:rPr>
        <w:t>que se encargan de analizar</w:t>
      </w:r>
      <w:r w:rsidR="00AF060B" w:rsidRPr="00600ED9">
        <w:rPr>
          <w:rFonts w:cs="Arial"/>
          <w:szCs w:val="24"/>
          <w:lang w:val="es-ES_tradnl"/>
        </w:rPr>
        <w:t xml:space="preserve"> </w:t>
      </w:r>
      <w:r w:rsidRPr="00600ED9">
        <w:rPr>
          <w:rFonts w:ascii="Calibri" w:hAnsi="Calibri" w:cs="Calibri"/>
          <w:lang w:val="es-ES_tradnl"/>
        </w:rPr>
        <w:t>el mandato legal de la EFS y su independencia, en particular del Poder Ejecutivo</w:t>
      </w:r>
      <w:r w:rsidR="00AF060B" w:rsidRPr="00600ED9">
        <w:rPr>
          <w:lang w:val="es-ES_tradnl"/>
        </w:rPr>
        <w:t xml:space="preserve">.  </w:t>
      </w:r>
    </w:p>
    <w:p w:rsidR="00C16D3B" w:rsidRPr="00600ED9" w:rsidRDefault="00C16D3B" w:rsidP="00FB1954">
      <w:pPr>
        <w:pStyle w:val="NoSpacing"/>
        <w:ind w:left="567"/>
        <w:rPr>
          <w:lang w:val="es-ES_tradnl"/>
        </w:rPr>
      </w:pPr>
    </w:p>
    <w:p w:rsidR="00C16D3B" w:rsidRPr="00600ED9" w:rsidRDefault="00C16D3B" w:rsidP="00FB1954">
      <w:pPr>
        <w:pStyle w:val="NoSpacing"/>
        <w:ind w:left="567"/>
        <w:rPr>
          <w:lang w:val="es-ES_tradnl"/>
        </w:rPr>
      </w:pPr>
    </w:p>
    <w:p w:rsidR="006245E1" w:rsidRPr="00600ED9" w:rsidRDefault="00FC6FE0" w:rsidP="00233205">
      <w:pPr>
        <w:pStyle w:val="Heading2"/>
        <w:numPr>
          <w:ilvl w:val="0"/>
          <w:numId w:val="20"/>
        </w:numPr>
        <w:spacing w:before="0" w:line="240" w:lineRule="auto"/>
        <w:ind w:hanging="513"/>
      </w:pPr>
      <w:bookmarkStart w:id="19" w:name="_Toc295932911"/>
      <w:r w:rsidRPr="00600ED9">
        <w:t xml:space="preserve">EFS </w:t>
      </w:r>
      <w:r w:rsidR="00720E42" w:rsidRPr="00600ED9">
        <w:t xml:space="preserve">6 – Independencia de la </w:t>
      </w:r>
      <w:r w:rsidR="00A6325D" w:rsidRPr="00600ED9">
        <w:t>EFS</w:t>
      </w:r>
      <w:bookmarkEnd w:id="19"/>
    </w:p>
    <w:p w:rsidR="00C16D3B" w:rsidRPr="00600ED9" w:rsidRDefault="00C16D3B" w:rsidP="00C16D3B">
      <w:pPr>
        <w:spacing w:after="0"/>
      </w:pPr>
    </w:p>
    <w:tbl>
      <w:tblPr>
        <w:tblW w:w="8785" w:type="dxa"/>
        <w:jc w:val="center"/>
        <w:tblInd w:w="720" w:type="dxa"/>
        <w:tblCellMar>
          <w:left w:w="70" w:type="dxa"/>
          <w:right w:w="70" w:type="dxa"/>
        </w:tblCellMar>
        <w:tblLook w:val="04A0" w:firstRow="1" w:lastRow="0" w:firstColumn="1" w:lastColumn="0" w:noHBand="0" w:noVBand="1"/>
      </w:tblPr>
      <w:tblGrid>
        <w:gridCol w:w="2327"/>
        <w:gridCol w:w="1523"/>
        <w:gridCol w:w="1225"/>
        <w:gridCol w:w="1240"/>
        <w:gridCol w:w="1225"/>
        <w:gridCol w:w="160"/>
        <w:gridCol w:w="1085"/>
      </w:tblGrid>
      <w:tr w:rsidR="00782ABF" w:rsidRPr="00600ED9" w:rsidTr="009E5DCF">
        <w:trPr>
          <w:trHeight w:val="255"/>
          <w:jc w:val="center"/>
        </w:trPr>
        <w:tc>
          <w:tcPr>
            <w:tcW w:w="2327" w:type="dxa"/>
            <w:tcBorders>
              <w:top w:val="nil"/>
              <w:left w:val="nil"/>
              <w:bottom w:val="nil"/>
              <w:right w:val="nil"/>
            </w:tcBorders>
            <w:shd w:val="clear" w:color="auto" w:fill="auto"/>
            <w:noWrap/>
            <w:vAlign w:val="bottom"/>
            <w:hideMark/>
          </w:tcPr>
          <w:p w:rsidR="00782ABF" w:rsidRPr="00600ED9" w:rsidRDefault="00782ABF" w:rsidP="00FB1954">
            <w:pPr>
              <w:pStyle w:val="NoSpacing"/>
              <w:tabs>
                <w:tab w:val="center" w:pos="4680"/>
                <w:tab w:val="right" w:pos="9360"/>
              </w:tabs>
              <w:jc w:val="center"/>
              <w:rPr>
                <w:sz w:val="20"/>
                <w:lang w:val="es-ES_tradnl"/>
              </w:rPr>
            </w:pPr>
          </w:p>
        </w:tc>
        <w:tc>
          <w:tcPr>
            <w:tcW w:w="5213" w:type="dxa"/>
            <w:gridSpan w:val="4"/>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782ABF" w:rsidRPr="00600ED9" w:rsidRDefault="00782ABF" w:rsidP="00FB1954">
            <w:pPr>
              <w:pStyle w:val="NoSpacing"/>
              <w:jc w:val="center"/>
              <w:rPr>
                <w:b/>
                <w:bCs/>
                <w:sz w:val="20"/>
                <w:lang w:val="es-ES_tradnl"/>
              </w:rPr>
            </w:pPr>
            <w:r w:rsidRPr="00600ED9">
              <w:rPr>
                <w:b/>
                <w:bCs/>
                <w:sz w:val="20"/>
                <w:lang w:val="es-ES_tradnl"/>
              </w:rPr>
              <w:t>Dimensiones Evaluadas</w:t>
            </w:r>
          </w:p>
        </w:tc>
        <w:tc>
          <w:tcPr>
            <w:tcW w:w="160" w:type="dxa"/>
            <w:tcBorders>
              <w:top w:val="nil"/>
              <w:left w:val="nil"/>
              <w:bottom w:val="nil"/>
              <w:right w:val="nil"/>
            </w:tcBorders>
            <w:shd w:val="clear" w:color="auto" w:fill="auto"/>
            <w:noWrap/>
            <w:vAlign w:val="bottom"/>
            <w:hideMark/>
          </w:tcPr>
          <w:p w:rsidR="00782ABF" w:rsidRPr="00600ED9" w:rsidRDefault="00782ABF" w:rsidP="00FB1954">
            <w:pPr>
              <w:pStyle w:val="NoSpacing"/>
              <w:tabs>
                <w:tab w:val="center" w:pos="4680"/>
                <w:tab w:val="right" w:pos="9360"/>
              </w:tabs>
              <w:jc w:val="center"/>
              <w:rPr>
                <w:sz w:val="20"/>
                <w:lang w:val="es-ES_tradnl"/>
              </w:rPr>
            </w:pPr>
          </w:p>
        </w:tc>
        <w:tc>
          <w:tcPr>
            <w:tcW w:w="1085" w:type="dxa"/>
            <w:vMerge w:val="restart"/>
            <w:tcBorders>
              <w:top w:val="single" w:sz="4" w:space="0" w:color="auto"/>
              <w:left w:val="single" w:sz="4" w:space="0" w:color="auto"/>
              <w:bottom w:val="single" w:sz="4" w:space="0" w:color="auto"/>
              <w:right w:val="single" w:sz="4" w:space="0" w:color="auto"/>
            </w:tcBorders>
            <w:shd w:val="clear" w:color="000000" w:fill="95B3D7"/>
            <w:vAlign w:val="center"/>
            <w:hideMark/>
          </w:tcPr>
          <w:p w:rsidR="00782ABF" w:rsidRPr="00600ED9" w:rsidRDefault="00782ABF" w:rsidP="00FB1954">
            <w:pPr>
              <w:pStyle w:val="NoSpacing"/>
              <w:jc w:val="center"/>
              <w:rPr>
                <w:b/>
                <w:bCs/>
                <w:sz w:val="20"/>
                <w:lang w:val="es-ES_tradnl"/>
              </w:rPr>
            </w:pPr>
            <w:r w:rsidRPr="00600ED9">
              <w:rPr>
                <w:b/>
                <w:bCs/>
                <w:sz w:val="20"/>
                <w:lang w:val="es-ES_tradnl"/>
              </w:rPr>
              <w:t>Puntuación General</w:t>
            </w:r>
          </w:p>
        </w:tc>
      </w:tr>
      <w:tr w:rsidR="00782ABF" w:rsidRPr="00600ED9" w:rsidTr="009E5DCF">
        <w:trPr>
          <w:trHeight w:val="390"/>
          <w:jc w:val="center"/>
        </w:trPr>
        <w:tc>
          <w:tcPr>
            <w:tcW w:w="2327"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782ABF" w:rsidRPr="00600ED9" w:rsidRDefault="00782ABF" w:rsidP="00FB1954">
            <w:pPr>
              <w:pStyle w:val="NoSpacing"/>
              <w:jc w:val="center"/>
              <w:rPr>
                <w:b/>
                <w:bCs/>
                <w:sz w:val="20"/>
                <w:lang w:val="es-ES_tradnl"/>
              </w:rPr>
            </w:pPr>
            <w:r w:rsidRPr="00600ED9">
              <w:rPr>
                <w:b/>
                <w:bCs/>
                <w:sz w:val="20"/>
                <w:lang w:val="es-ES_tradnl"/>
              </w:rPr>
              <w:t>Indicadores</w:t>
            </w:r>
          </w:p>
        </w:tc>
        <w:tc>
          <w:tcPr>
            <w:tcW w:w="1523" w:type="dxa"/>
            <w:tcBorders>
              <w:top w:val="single" w:sz="4" w:space="0" w:color="auto"/>
              <w:left w:val="nil"/>
              <w:bottom w:val="single" w:sz="4" w:space="0" w:color="auto"/>
              <w:right w:val="single" w:sz="4" w:space="0" w:color="auto"/>
            </w:tcBorders>
            <w:shd w:val="clear" w:color="000000" w:fill="D8D8D8"/>
            <w:noWrap/>
            <w:hideMark/>
          </w:tcPr>
          <w:p w:rsidR="00683FE2" w:rsidRPr="00600ED9" w:rsidRDefault="00CA134D" w:rsidP="00FB1954">
            <w:pPr>
              <w:pStyle w:val="NoSpacing"/>
              <w:jc w:val="center"/>
              <w:rPr>
                <w:b/>
                <w:bCs/>
                <w:w w:val="90"/>
                <w:sz w:val="20"/>
                <w:lang w:val="es-ES_tradnl"/>
              </w:rPr>
            </w:pPr>
            <w:r w:rsidRPr="00600ED9">
              <w:rPr>
                <w:b/>
                <w:bCs/>
                <w:w w:val="90"/>
                <w:sz w:val="20"/>
                <w:lang w:val="es-ES_tradnl"/>
              </w:rPr>
              <w:t>(i)</w:t>
            </w:r>
          </w:p>
          <w:p w:rsidR="00782ABF" w:rsidRPr="00600ED9" w:rsidRDefault="00782ABF" w:rsidP="00FB1954">
            <w:pPr>
              <w:pStyle w:val="NoSpacing"/>
              <w:jc w:val="center"/>
              <w:rPr>
                <w:b/>
                <w:bCs/>
                <w:sz w:val="20"/>
                <w:lang w:val="es-ES_tradnl"/>
              </w:rPr>
            </w:pPr>
            <w:r w:rsidRPr="00600ED9">
              <w:rPr>
                <w:w w:val="90"/>
                <w:sz w:val="20"/>
                <w:lang w:val="es-ES_tradnl"/>
              </w:rPr>
              <w:t xml:space="preserve">Marco legal y </w:t>
            </w:r>
            <w:r w:rsidR="00800F57" w:rsidRPr="00600ED9">
              <w:rPr>
                <w:w w:val="90"/>
                <w:sz w:val="20"/>
                <w:lang w:val="es-ES_tradnl"/>
              </w:rPr>
              <w:t>constitucional</w:t>
            </w:r>
            <w:r w:rsidRPr="00600ED9">
              <w:rPr>
                <w:w w:val="90"/>
                <w:sz w:val="20"/>
                <w:lang w:val="es-ES_tradnl"/>
              </w:rPr>
              <w:t xml:space="preserve"> apropiado y efectivo</w:t>
            </w:r>
          </w:p>
        </w:tc>
        <w:tc>
          <w:tcPr>
            <w:tcW w:w="1225" w:type="dxa"/>
            <w:tcBorders>
              <w:top w:val="single" w:sz="4" w:space="0" w:color="auto"/>
              <w:left w:val="nil"/>
              <w:bottom w:val="single" w:sz="4" w:space="0" w:color="auto"/>
              <w:right w:val="single" w:sz="4" w:space="0" w:color="auto"/>
            </w:tcBorders>
            <w:shd w:val="clear" w:color="000000" w:fill="D8D8D8"/>
            <w:noWrap/>
            <w:hideMark/>
          </w:tcPr>
          <w:p w:rsidR="00683FE2" w:rsidRPr="00600ED9" w:rsidRDefault="00CA134D" w:rsidP="00FB1954">
            <w:pPr>
              <w:pStyle w:val="NoSpacing"/>
              <w:jc w:val="center"/>
              <w:rPr>
                <w:b/>
                <w:bCs/>
                <w:w w:val="90"/>
                <w:sz w:val="20"/>
                <w:lang w:val="es-ES_tradnl"/>
              </w:rPr>
            </w:pPr>
            <w:r w:rsidRPr="00600ED9">
              <w:rPr>
                <w:b/>
                <w:bCs/>
                <w:w w:val="90"/>
                <w:sz w:val="20"/>
                <w:lang w:val="es-ES_tradnl"/>
              </w:rPr>
              <w:t>(ii)</w:t>
            </w:r>
          </w:p>
          <w:p w:rsidR="00782ABF" w:rsidRPr="00600ED9" w:rsidRDefault="00800F57" w:rsidP="00FB1954">
            <w:pPr>
              <w:pStyle w:val="NoSpacing"/>
              <w:jc w:val="center"/>
              <w:rPr>
                <w:b/>
                <w:bCs/>
                <w:sz w:val="20"/>
                <w:lang w:val="es-ES_tradnl"/>
              </w:rPr>
            </w:pPr>
            <w:r w:rsidRPr="00600ED9">
              <w:rPr>
                <w:w w:val="90"/>
                <w:sz w:val="20"/>
                <w:lang w:val="es-ES_tradnl"/>
              </w:rPr>
              <w:t>Independen</w:t>
            </w:r>
            <w:r w:rsidR="00782ABF" w:rsidRPr="00600ED9">
              <w:rPr>
                <w:w w:val="90"/>
                <w:sz w:val="20"/>
                <w:lang w:val="es-ES_tradnl"/>
              </w:rPr>
              <w:t>cia o autonomía financiera</w:t>
            </w:r>
          </w:p>
        </w:tc>
        <w:tc>
          <w:tcPr>
            <w:tcW w:w="1240" w:type="dxa"/>
            <w:tcBorders>
              <w:top w:val="single" w:sz="4" w:space="0" w:color="auto"/>
              <w:left w:val="nil"/>
              <w:bottom w:val="single" w:sz="4" w:space="0" w:color="auto"/>
              <w:right w:val="single" w:sz="4" w:space="0" w:color="auto"/>
            </w:tcBorders>
            <w:shd w:val="clear" w:color="000000" w:fill="D8D8D8"/>
            <w:noWrap/>
            <w:hideMark/>
          </w:tcPr>
          <w:p w:rsidR="00683FE2" w:rsidRPr="00600ED9" w:rsidRDefault="00CA134D" w:rsidP="00FB1954">
            <w:pPr>
              <w:pStyle w:val="NoSpacing"/>
              <w:jc w:val="center"/>
              <w:rPr>
                <w:b/>
                <w:bCs/>
                <w:w w:val="90"/>
                <w:sz w:val="20"/>
                <w:lang w:val="es-ES_tradnl"/>
              </w:rPr>
            </w:pPr>
            <w:r w:rsidRPr="00600ED9">
              <w:rPr>
                <w:b/>
                <w:bCs/>
                <w:w w:val="90"/>
                <w:sz w:val="20"/>
                <w:lang w:val="es-ES_tradnl"/>
              </w:rPr>
              <w:t>(iii)</w:t>
            </w:r>
          </w:p>
          <w:p w:rsidR="00782ABF" w:rsidRPr="00600ED9" w:rsidRDefault="00800F57" w:rsidP="00FB1954">
            <w:pPr>
              <w:pStyle w:val="NoSpacing"/>
              <w:jc w:val="center"/>
              <w:rPr>
                <w:b/>
                <w:bCs/>
                <w:sz w:val="20"/>
                <w:lang w:val="es-ES_tradnl"/>
              </w:rPr>
            </w:pPr>
            <w:r w:rsidRPr="00600ED9">
              <w:rPr>
                <w:w w:val="90"/>
                <w:sz w:val="20"/>
                <w:lang w:val="es-ES_tradnl"/>
              </w:rPr>
              <w:t>Independen</w:t>
            </w:r>
            <w:r w:rsidR="00782ABF" w:rsidRPr="00600ED9">
              <w:rPr>
                <w:w w:val="90"/>
                <w:sz w:val="20"/>
                <w:lang w:val="es-ES_tradnl"/>
              </w:rPr>
              <w:t>cia o autonomía organizacional</w:t>
            </w:r>
          </w:p>
        </w:tc>
        <w:tc>
          <w:tcPr>
            <w:tcW w:w="1225" w:type="dxa"/>
            <w:tcBorders>
              <w:top w:val="single" w:sz="4" w:space="0" w:color="auto"/>
              <w:left w:val="nil"/>
              <w:bottom w:val="single" w:sz="4" w:space="0" w:color="auto"/>
              <w:right w:val="single" w:sz="4" w:space="0" w:color="auto"/>
            </w:tcBorders>
            <w:shd w:val="clear" w:color="000000" w:fill="D8D8D8"/>
            <w:noWrap/>
            <w:hideMark/>
          </w:tcPr>
          <w:p w:rsidR="00683FE2" w:rsidRPr="00600ED9" w:rsidRDefault="00CA134D" w:rsidP="00FB1954">
            <w:pPr>
              <w:pStyle w:val="NoSpacing"/>
              <w:jc w:val="center"/>
              <w:rPr>
                <w:b/>
                <w:bCs/>
                <w:w w:val="90"/>
                <w:sz w:val="20"/>
                <w:lang w:val="es-ES_tradnl"/>
              </w:rPr>
            </w:pPr>
            <w:r w:rsidRPr="00600ED9">
              <w:rPr>
                <w:b/>
                <w:bCs/>
                <w:w w:val="90"/>
                <w:sz w:val="20"/>
                <w:lang w:val="es-ES_tradnl"/>
              </w:rPr>
              <w:t>(iv)</w:t>
            </w:r>
          </w:p>
          <w:p w:rsidR="00782ABF" w:rsidRPr="00600ED9" w:rsidRDefault="00782ABF" w:rsidP="00FB1954">
            <w:pPr>
              <w:pStyle w:val="NoSpacing"/>
              <w:jc w:val="center"/>
              <w:rPr>
                <w:b/>
                <w:bCs/>
                <w:sz w:val="20"/>
                <w:lang w:val="es-ES_tradnl"/>
              </w:rPr>
            </w:pPr>
            <w:r w:rsidRPr="00600ED9">
              <w:rPr>
                <w:w w:val="90"/>
                <w:sz w:val="20"/>
                <w:lang w:val="es-ES_tradnl"/>
              </w:rPr>
              <w:t xml:space="preserve">Independencia del Titular de la </w:t>
            </w:r>
            <w:r w:rsidR="00CA134D" w:rsidRPr="00600ED9">
              <w:rPr>
                <w:w w:val="90"/>
                <w:sz w:val="20"/>
                <w:lang w:val="es-ES_tradnl"/>
              </w:rPr>
              <w:t>EFS</w:t>
            </w:r>
            <w:r w:rsidRPr="00600ED9">
              <w:rPr>
                <w:w w:val="90"/>
                <w:sz w:val="20"/>
                <w:lang w:val="es-ES_tradnl"/>
              </w:rPr>
              <w:t xml:space="preserve"> y sus funcionarios</w:t>
            </w:r>
          </w:p>
        </w:tc>
        <w:tc>
          <w:tcPr>
            <w:tcW w:w="160" w:type="dxa"/>
            <w:tcBorders>
              <w:top w:val="nil"/>
              <w:left w:val="nil"/>
              <w:bottom w:val="nil"/>
              <w:right w:val="nil"/>
            </w:tcBorders>
            <w:shd w:val="clear" w:color="auto" w:fill="auto"/>
            <w:noWrap/>
            <w:hideMark/>
          </w:tcPr>
          <w:p w:rsidR="00782ABF" w:rsidRPr="00600ED9" w:rsidRDefault="00782ABF" w:rsidP="00FB1954">
            <w:pPr>
              <w:pStyle w:val="NoSpacing"/>
              <w:tabs>
                <w:tab w:val="center" w:pos="4680"/>
                <w:tab w:val="right" w:pos="9360"/>
              </w:tabs>
              <w:jc w:val="center"/>
              <w:rPr>
                <w:sz w:val="20"/>
                <w:lang w:val="es-ES_tradnl"/>
              </w:rPr>
            </w:pPr>
          </w:p>
        </w:tc>
        <w:tc>
          <w:tcPr>
            <w:tcW w:w="1085" w:type="dxa"/>
            <w:vMerge/>
            <w:tcBorders>
              <w:top w:val="single" w:sz="4" w:space="0" w:color="auto"/>
              <w:left w:val="single" w:sz="4" w:space="0" w:color="auto"/>
              <w:bottom w:val="single" w:sz="4" w:space="0" w:color="auto"/>
              <w:right w:val="single" w:sz="4" w:space="0" w:color="auto"/>
            </w:tcBorders>
            <w:hideMark/>
          </w:tcPr>
          <w:p w:rsidR="00782ABF" w:rsidRPr="00600ED9" w:rsidRDefault="00782ABF" w:rsidP="00FB1954">
            <w:pPr>
              <w:pStyle w:val="NoSpacing"/>
              <w:tabs>
                <w:tab w:val="center" w:pos="4680"/>
                <w:tab w:val="right" w:pos="9360"/>
              </w:tabs>
              <w:jc w:val="center"/>
              <w:rPr>
                <w:b/>
                <w:bCs/>
                <w:sz w:val="20"/>
                <w:lang w:val="es-ES_tradnl"/>
              </w:rPr>
            </w:pPr>
          </w:p>
        </w:tc>
      </w:tr>
      <w:tr w:rsidR="00782ABF" w:rsidRPr="00600ED9" w:rsidTr="009E5DCF">
        <w:trPr>
          <w:trHeight w:val="510"/>
          <w:jc w:val="center"/>
        </w:trPr>
        <w:tc>
          <w:tcPr>
            <w:tcW w:w="2327" w:type="dxa"/>
            <w:tcBorders>
              <w:top w:val="nil"/>
              <w:left w:val="single" w:sz="4" w:space="0" w:color="auto"/>
              <w:bottom w:val="single" w:sz="4" w:space="0" w:color="auto"/>
              <w:right w:val="single" w:sz="4" w:space="0" w:color="auto"/>
            </w:tcBorders>
            <w:shd w:val="clear" w:color="auto" w:fill="auto"/>
            <w:vAlign w:val="center"/>
            <w:hideMark/>
          </w:tcPr>
          <w:p w:rsidR="00782ABF" w:rsidRPr="00600ED9" w:rsidRDefault="00782ABF" w:rsidP="00FB1954">
            <w:pPr>
              <w:pStyle w:val="NoSpacing"/>
              <w:jc w:val="center"/>
              <w:rPr>
                <w:b/>
                <w:bCs/>
                <w:sz w:val="20"/>
                <w:lang w:val="es-ES_tradnl"/>
              </w:rPr>
            </w:pPr>
            <w:r w:rsidRPr="00600ED9">
              <w:rPr>
                <w:rFonts w:eastAsia="Calibri" w:cs="Times New Roman"/>
                <w:b/>
                <w:sz w:val="20"/>
                <w:lang w:val="es-ES_tradnl"/>
              </w:rPr>
              <w:t xml:space="preserve">EFS 6 – Independencia de la </w:t>
            </w:r>
            <w:r w:rsidR="00CA134D" w:rsidRPr="00600ED9">
              <w:rPr>
                <w:rFonts w:eastAsia="Calibri" w:cs="Times New Roman"/>
                <w:b/>
                <w:sz w:val="20"/>
                <w:lang w:val="es-ES_tradnl"/>
              </w:rPr>
              <w:t>EFS</w:t>
            </w:r>
          </w:p>
        </w:tc>
        <w:tc>
          <w:tcPr>
            <w:tcW w:w="1523" w:type="dxa"/>
            <w:tcBorders>
              <w:top w:val="nil"/>
              <w:left w:val="nil"/>
              <w:bottom w:val="single" w:sz="4" w:space="0" w:color="auto"/>
              <w:right w:val="single" w:sz="4" w:space="0" w:color="auto"/>
            </w:tcBorders>
            <w:shd w:val="clear" w:color="auto" w:fill="auto"/>
            <w:noWrap/>
            <w:vAlign w:val="center"/>
          </w:tcPr>
          <w:p w:rsidR="00782ABF" w:rsidRPr="00600ED9" w:rsidRDefault="00782ABF" w:rsidP="00FB1954">
            <w:pPr>
              <w:pStyle w:val="NoSpacing"/>
              <w:jc w:val="center"/>
              <w:rPr>
                <w:b/>
                <w:bCs/>
                <w:sz w:val="20"/>
                <w:lang w:val="es-ES_tradnl"/>
              </w:rPr>
            </w:pPr>
            <w:r w:rsidRPr="00600ED9">
              <w:rPr>
                <w:b/>
                <w:bCs/>
                <w:sz w:val="20"/>
                <w:lang w:val="es-ES_tradnl"/>
              </w:rPr>
              <w:t>4</w:t>
            </w:r>
          </w:p>
        </w:tc>
        <w:tc>
          <w:tcPr>
            <w:tcW w:w="1225" w:type="dxa"/>
            <w:tcBorders>
              <w:top w:val="nil"/>
              <w:left w:val="nil"/>
              <w:bottom w:val="single" w:sz="4" w:space="0" w:color="auto"/>
              <w:right w:val="single" w:sz="4" w:space="0" w:color="auto"/>
            </w:tcBorders>
            <w:shd w:val="clear" w:color="auto" w:fill="auto"/>
            <w:noWrap/>
            <w:vAlign w:val="center"/>
          </w:tcPr>
          <w:p w:rsidR="00782ABF" w:rsidRPr="00600ED9" w:rsidRDefault="00782ABF" w:rsidP="00FB1954">
            <w:pPr>
              <w:pStyle w:val="NoSpacing"/>
              <w:jc w:val="center"/>
              <w:rPr>
                <w:b/>
                <w:bCs/>
                <w:sz w:val="20"/>
                <w:lang w:val="es-ES_tradnl"/>
              </w:rPr>
            </w:pPr>
            <w:r w:rsidRPr="00600ED9">
              <w:rPr>
                <w:b/>
                <w:bCs/>
                <w:sz w:val="20"/>
                <w:lang w:val="es-ES_tradnl"/>
              </w:rPr>
              <w:t>4</w:t>
            </w:r>
          </w:p>
        </w:tc>
        <w:tc>
          <w:tcPr>
            <w:tcW w:w="1240" w:type="dxa"/>
            <w:tcBorders>
              <w:top w:val="nil"/>
              <w:left w:val="nil"/>
              <w:bottom w:val="single" w:sz="4" w:space="0" w:color="auto"/>
              <w:right w:val="single" w:sz="4" w:space="0" w:color="auto"/>
            </w:tcBorders>
            <w:shd w:val="clear" w:color="auto" w:fill="auto"/>
            <w:noWrap/>
            <w:vAlign w:val="center"/>
          </w:tcPr>
          <w:p w:rsidR="00782ABF" w:rsidRPr="00600ED9" w:rsidRDefault="00C33375" w:rsidP="00FB1954">
            <w:pPr>
              <w:pStyle w:val="NoSpacing"/>
              <w:jc w:val="center"/>
              <w:rPr>
                <w:b/>
                <w:bCs/>
                <w:sz w:val="20"/>
                <w:lang w:val="es-ES_tradnl"/>
              </w:rPr>
            </w:pPr>
            <w:r w:rsidRPr="00600ED9">
              <w:rPr>
                <w:b/>
                <w:bCs/>
                <w:sz w:val="20"/>
                <w:lang w:val="es-ES_tradnl"/>
              </w:rPr>
              <w:t>4</w:t>
            </w:r>
          </w:p>
        </w:tc>
        <w:tc>
          <w:tcPr>
            <w:tcW w:w="1225" w:type="dxa"/>
            <w:tcBorders>
              <w:top w:val="nil"/>
              <w:left w:val="nil"/>
              <w:bottom w:val="single" w:sz="4" w:space="0" w:color="auto"/>
              <w:right w:val="single" w:sz="4" w:space="0" w:color="auto"/>
            </w:tcBorders>
            <w:shd w:val="clear" w:color="auto" w:fill="auto"/>
            <w:noWrap/>
            <w:vAlign w:val="center"/>
          </w:tcPr>
          <w:p w:rsidR="00782ABF" w:rsidRPr="00600ED9" w:rsidRDefault="00782ABF" w:rsidP="00FB1954">
            <w:pPr>
              <w:pStyle w:val="NoSpacing"/>
              <w:jc w:val="center"/>
              <w:rPr>
                <w:b/>
                <w:bCs/>
                <w:sz w:val="20"/>
                <w:lang w:val="es-ES_tradnl"/>
              </w:rPr>
            </w:pPr>
            <w:r w:rsidRPr="00600ED9">
              <w:rPr>
                <w:b/>
                <w:bCs/>
                <w:sz w:val="20"/>
                <w:lang w:val="es-ES_tradnl"/>
              </w:rPr>
              <w:t>4</w:t>
            </w:r>
          </w:p>
        </w:tc>
        <w:tc>
          <w:tcPr>
            <w:tcW w:w="160" w:type="dxa"/>
            <w:tcBorders>
              <w:top w:val="nil"/>
              <w:left w:val="nil"/>
              <w:bottom w:val="nil"/>
              <w:right w:val="nil"/>
            </w:tcBorders>
            <w:shd w:val="clear" w:color="auto" w:fill="auto"/>
            <w:noWrap/>
            <w:vAlign w:val="bottom"/>
          </w:tcPr>
          <w:p w:rsidR="00782ABF" w:rsidRPr="00600ED9" w:rsidRDefault="00782ABF" w:rsidP="00FB1954">
            <w:pPr>
              <w:pStyle w:val="NoSpacing"/>
              <w:tabs>
                <w:tab w:val="center" w:pos="4680"/>
                <w:tab w:val="right" w:pos="9360"/>
              </w:tabs>
              <w:jc w:val="center"/>
              <w:rPr>
                <w:sz w:val="20"/>
                <w:lang w:val="es-ES_tradnl"/>
              </w:rPr>
            </w:pPr>
          </w:p>
        </w:tc>
        <w:tc>
          <w:tcPr>
            <w:tcW w:w="1085" w:type="dxa"/>
            <w:tcBorders>
              <w:top w:val="nil"/>
              <w:left w:val="single" w:sz="4" w:space="0" w:color="auto"/>
              <w:bottom w:val="single" w:sz="4" w:space="0" w:color="auto"/>
              <w:right w:val="single" w:sz="4" w:space="0" w:color="auto"/>
            </w:tcBorders>
            <w:shd w:val="clear" w:color="auto" w:fill="auto"/>
            <w:noWrap/>
            <w:vAlign w:val="center"/>
          </w:tcPr>
          <w:p w:rsidR="00782ABF" w:rsidRPr="00600ED9" w:rsidRDefault="00782ABF" w:rsidP="00FB1954">
            <w:pPr>
              <w:pStyle w:val="NoSpacing"/>
              <w:jc w:val="center"/>
              <w:rPr>
                <w:b/>
                <w:sz w:val="20"/>
                <w:lang w:val="es-ES_tradnl"/>
              </w:rPr>
            </w:pPr>
            <w:r w:rsidRPr="00600ED9">
              <w:rPr>
                <w:b/>
                <w:sz w:val="20"/>
                <w:lang w:val="es-ES_tradnl"/>
              </w:rPr>
              <w:t>4</w:t>
            </w:r>
          </w:p>
        </w:tc>
      </w:tr>
    </w:tbl>
    <w:p w:rsidR="009E5DCF" w:rsidRPr="00600ED9" w:rsidRDefault="009E5DCF" w:rsidP="00FB1954">
      <w:pPr>
        <w:pStyle w:val="ListParagraph"/>
        <w:tabs>
          <w:tab w:val="right" w:leader="dot" w:pos="8640"/>
        </w:tabs>
        <w:spacing w:after="0" w:line="240" w:lineRule="auto"/>
        <w:jc w:val="both"/>
        <w:rPr>
          <w:sz w:val="20"/>
          <w:szCs w:val="20"/>
        </w:rPr>
      </w:pPr>
    </w:p>
    <w:p w:rsidR="0066134C" w:rsidRPr="00600ED9" w:rsidRDefault="00FD2D70" w:rsidP="00FB1954">
      <w:pPr>
        <w:spacing w:after="0" w:line="240" w:lineRule="auto"/>
        <w:ind w:left="567"/>
        <w:jc w:val="both"/>
        <w:rPr>
          <w:rFonts w:cs="Arial"/>
          <w:szCs w:val="24"/>
        </w:rPr>
      </w:pPr>
      <w:r w:rsidRPr="00600ED9">
        <w:rPr>
          <w:rFonts w:cs="Arial"/>
          <w:szCs w:val="24"/>
        </w:rPr>
        <w:t xml:space="preserve">La independencia de la Contraloría y su relación con otros Organismos del Estado, está claramente definida en el marco legal conformado de manera principista,  por la Constitución, la Ley 42 de 1993, Ley 1474 del 2011, y el Decreto 267 de 2000. </w:t>
      </w:r>
    </w:p>
    <w:p w:rsidR="009E5DCF" w:rsidRPr="00600ED9" w:rsidRDefault="009E5DCF" w:rsidP="00FB1954">
      <w:pPr>
        <w:spacing w:after="0" w:line="240" w:lineRule="auto"/>
        <w:ind w:left="567"/>
        <w:jc w:val="both"/>
        <w:rPr>
          <w:rFonts w:cs="Arial"/>
          <w:szCs w:val="24"/>
        </w:rPr>
      </w:pPr>
    </w:p>
    <w:tbl>
      <w:tblPr>
        <w:tblStyle w:val="TableGrid"/>
        <w:tblW w:w="9498" w:type="dxa"/>
        <w:tblInd w:w="675" w:type="dxa"/>
        <w:tblLayout w:type="fixed"/>
        <w:tblLook w:val="04A0" w:firstRow="1" w:lastRow="0" w:firstColumn="1" w:lastColumn="0" w:noHBand="0" w:noVBand="1"/>
      </w:tblPr>
      <w:tblGrid>
        <w:gridCol w:w="9498"/>
      </w:tblGrid>
      <w:tr w:rsidR="00DB7008" w:rsidRPr="00600ED9" w:rsidTr="009262BB">
        <w:trPr>
          <w:tblHeader/>
        </w:trPr>
        <w:tc>
          <w:tcPr>
            <w:tcW w:w="9498" w:type="dxa"/>
            <w:shd w:val="clear" w:color="auto" w:fill="365F91" w:themeFill="accent1" w:themeFillShade="BF"/>
          </w:tcPr>
          <w:p w:rsidR="00DB7008" w:rsidRPr="00600ED9" w:rsidRDefault="00DB7008" w:rsidP="00FB1954">
            <w:pPr>
              <w:pStyle w:val="NoSpacing"/>
              <w:rPr>
                <w:b/>
                <w:color w:val="FFFFFF" w:themeColor="background1"/>
                <w:sz w:val="20"/>
                <w:szCs w:val="20"/>
                <w:lang w:val="es-ES_tradnl"/>
              </w:rPr>
            </w:pPr>
            <w:r w:rsidRPr="00600ED9">
              <w:rPr>
                <w:b/>
                <w:color w:val="FFFFFF" w:themeColor="background1"/>
                <w:sz w:val="20"/>
                <w:szCs w:val="20"/>
                <w:lang w:val="es-ES_tradnl"/>
              </w:rPr>
              <w:t>Principales observaciones y conclusiones</w:t>
            </w:r>
          </w:p>
        </w:tc>
      </w:tr>
      <w:tr w:rsidR="00DB7008" w:rsidRPr="00600ED9" w:rsidTr="00466F5B">
        <w:tc>
          <w:tcPr>
            <w:tcW w:w="9498" w:type="dxa"/>
            <w:shd w:val="clear" w:color="auto" w:fill="D9D9D9" w:themeFill="background1" w:themeFillShade="D9"/>
          </w:tcPr>
          <w:p w:rsidR="00DB7008" w:rsidRPr="00600ED9" w:rsidRDefault="00DB7008" w:rsidP="00FB1954">
            <w:pPr>
              <w:pStyle w:val="NoSpacing"/>
              <w:rPr>
                <w:b/>
                <w:i/>
                <w:sz w:val="20"/>
                <w:szCs w:val="20"/>
                <w:lang w:val="es-ES_tradnl"/>
              </w:rPr>
            </w:pPr>
            <w:r w:rsidRPr="00600ED9">
              <w:rPr>
                <w:b/>
                <w:i/>
                <w:sz w:val="20"/>
                <w:szCs w:val="20"/>
                <w:lang w:val="es-ES_tradnl"/>
              </w:rPr>
              <w:t>Dimensión (i) Marco legal y constitucional apropiado y efectivo</w:t>
            </w:r>
          </w:p>
        </w:tc>
      </w:tr>
      <w:tr w:rsidR="00DB7008" w:rsidRPr="00600ED9" w:rsidTr="009262BB">
        <w:tc>
          <w:tcPr>
            <w:tcW w:w="9498" w:type="dxa"/>
            <w:shd w:val="clear" w:color="auto" w:fill="D9D9D9" w:themeFill="background1" w:themeFillShade="D9"/>
          </w:tcPr>
          <w:p w:rsidR="00DB7008" w:rsidRPr="00600ED9" w:rsidRDefault="003D129E" w:rsidP="00FB1954">
            <w:pPr>
              <w:pStyle w:val="NoSpacing"/>
              <w:rPr>
                <w:i/>
                <w:sz w:val="20"/>
                <w:szCs w:val="20"/>
                <w:lang w:val="es-ES_tradnl"/>
              </w:rPr>
            </w:pPr>
            <w:r w:rsidRPr="00600ED9">
              <w:rPr>
                <w:b/>
                <w:i/>
                <w:sz w:val="20"/>
                <w:szCs w:val="20"/>
                <w:lang w:val="es-ES_tradnl"/>
              </w:rPr>
              <w:t>Puntuación</w:t>
            </w:r>
            <w:r w:rsidR="00DB7008" w:rsidRPr="00600ED9">
              <w:rPr>
                <w:b/>
                <w:i/>
                <w:sz w:val="20"/>
                <w:szCs w:val="20"/>
                <w:lang w:val="es-ES_tradnl"/>
              </w:rPr>
              <w:t xml:space="preserve"> </w:t>
            </w:r>
            <w:r w:rsidR="00DB7008" w:rsidRPr="00600ED9">
              <w:rPr>
                <w:rFonts w:cs="Calibri"/>
                <w:b/>
                <w:bCs/>
                <w:i/>
                <w:sz w:val="20"/>
                <w:szCs w:val="20"/>
                <w:lang w:val="es-ES_tradnl"/>
              </w:rPr>
              <w:t>4</w:t>
            </w:r>
            <w:r w:rsidRPr="00600ED9">
              <w:rPr>
                <w:rFonts w:cs="Calibri"/>
                <w:bCs/>
                <w:i/>
                <w:sz w:val="20"/>
                <w:szCs w:val="20"/>
                <w:lang w:val="es-ES_tradnl"/>
              </w:rPr>
              <w:t>:</w:t>
            </w:r>
            <w:r w:rsidR="00DB7008" w:rsidRPr="00600ED9">
              <w:rPr>
                <w:rFonts w:cs="Calibri"/>
                <w:bCs/>
                <w:i/>
                <w:sz w:val="20"/>
                <w:szCs w:val="20"/>
                <w:lang w:val="es-ES_tradnl"/>
              </w:rPr>
              <w:t xml:space="preserve"> </w:t>
            </w:r>
            <w:r w:rsidR="00DB7008" w:rsidRPr="00600ED9">
              <w:rPr>
                <w:rFonts w:cs="Calibri"/>
                <w:i/>
                <w:sz w:val="20"/>
                <w:szCs w:val="20"/>
                <w:lang w:val="es-ES_tradnl"/>
              </w:rPr>
              <w:t>Se cumplen todos los criterios.</w:t>
            </w:r>
          </w:p>
        </w:tc>
      </w:tr>
      <w:tr w:rsidR="00DB7008" w:rsidRPr="00600ED9" w:rsidTr="00466F5B">
        <w:tc>
          <w:tcPr>
            <w:tcW w:w="9498" w:type="dxa"/>
          </w:tcPr>
          <w:p w:rsidR="00DB7008" w:rsidRPr="00600ED9" w:rsidRDefault="00DB7008" w:rsidP="00FB1954">
            <w:pPr>
              <w:pStyle w:val="Normaltabletext"/>
              <w:spacing w:after="0"/>
              <w:rPr>
                <w:lang w:val="es-ES_tradnl"/>
              </w:rPr>
            </w:pPr>
            <w:r w:rsidRPr="00600ED9">
              <w:rPr>
                <w:lang w:val="es-ES_tradnl"/>
              </w:rPr>
              <w:t xml:space="preserve">Se cumplen los criterios (a), (b), (c), (d) y (e). </w:t>
            </w:r>
          </w:p>
          <w:p w:rsidR="009E5DCF" w:rsidRPr="00600ED9" w:rsidRDefault="009E5DCF" w:rsidP="00FB1954">
            <w:pPr>
              <w:pStyle w:val="Normaltabletext"/>
              <w:spacing w:after="0"/>
              <w:rPr>
                <w:lang w:val="es-ES_tradnl"/>
              </w:rPr>
            </w:pPr>
          </w:p>
          <w:p w:rsidR="00DB7008" w:rsidRPr="00600ED9" w:rsidRDefault="00DB7008" w:rsidP="00FB1954">
            <w:pPr>
              <w:pStyle w:val="Normaltabletext"/>
              <w:spacing w:after="0"/>
              <w:rPr>
                <w:lang w:val="es-ES_tradnl"/>
              </w:rPr>
            </w:pPr>
            <w:r w:rsidRPr="00600ED9">
              <w:rPr>
                <w:lang w:val="es-ES_tradnl"/>
              </w:rPr>
              <w:t>El marco legal y constitucional es apropiado y efectivo. Ver explicación del marco legal y constitucional de la CGRC incluido en la sección 3 de este informe.</w:t>
            </w:r>
          </w:p>
          <w:p w:rsidR="009E5DCF" w:rsidRPr="00600ED9" w:rsidRDefault="009E5DCF" w:rsidP="00FB1954">
            <w:pPr>
              <w:pStyle w:val="Normaltabletext"/>
              <w:spacing w:after="0"/>
              <w:rPr>
                <w:lang w:val="es-ES_tradnl"/>
              </w:rPr>
            </w:pPr>
          </w:p>
        </w:tc>
      </w:tr>
      <w:tr w:rsidR="00DB7008" w:rsidRPr="00600ED9" w:rsidTr="00466F5B">
        <w:tc>
          <w:tcPr>
            <w:tcW w:w="9498" w:type="dxa"/>
            <w:shd w:val="clear" w:color="auto" w:fill="D9D9D9" w:themeFill="background1" w:themeFillShade="D9"/>
          </w:tcPr>
          <w:p w:rsidR="00DB7008" w:rsidRPr="00600ED9" w:rsidRDefault="00DB7008" w:rsidP="00FB1954">
            <w:pPr>
              <w:pStyle w:val="NoSpacing"/>
              <w:rPr>
                <w:b/>
                <w:i/>
                <w:sz w:val="20"/>
                <w:szCs w:val="20"/>
                <w:lang w:val="es-ES_tradnl"/>
              </w:rPr>
            </w:pPr>
            <w:r w:rsidRPr="00600ED9">
              <w:rPr>
                <w:b/>
                <w:i/>
                <w:sz w:val="20"/>
                <w:szCs w:val="20"/>
                <w:lang w:val="es-ES_tradnl"/>
              </w:rPr>
              <w:t>Dimensión (ii) Independencia  o autonomía financiera</w:t>
            </w:r>
          </w:p>
        </w:tc>
      </w:tr>
      <w:tr w:rsidR="00DB7008" w:rsidRPr="00600ED9" w:rsidTr="00254E0B">
        <w:tc>
          <w:tcPr>
            <w:tcW w:w="9498" w:type="dxa"/>
            <w:shd w:val="clear" w:color="auto" w:fill="D9D9D9" w:themeFill="background1" w:themeFillShade="D9"/>
          </w:tcPr>
          <w:p w:rsidR="00DB7008" w:rsidRPr="00600ED9" w:rsidRDefault="00175ABD" w:rsidP="00FB1954">
            <w:pPr>
              <w:pStyle w:val="NoSpacing"/>
              <w:rPr>
                <w:i/>
                <w:sz w:val="20"/>
                <w:szCs w:val="20"/>
                <w:lang w:val="es-ES_tradnl"/>
              </w:rPr>
            </w:pPr>
            <w:r w:rsidRPr="00600ED9">
              <w:rPr>
                <w:b/>
                <w:i/>
                <w:sz w:val="20"/>
                <w:szCs w:val="20"/>
                <w:lang w:val="es-ES_tradnl"/>
              </w:rPr>
              <w:t>Puntuación</w:t>
            </w:r>
            <w:r w:rsidR="00DB7008" w:rsidRPr="00600ED9">
              <w:rPr>
                <w:b/>
                <w:i/>
                <w:sz w:val="20"/>
                <w:szCs w:val="20"/>
                <w:lang w:val="es-ES_tradnl"/>
              </w:rPr>
              <w:t xml:space="preserve"> </w:t>
            </w:r>
            <w:r w:rsidR="00DB7008" w:rsidRPr="00600ED9">
              <w:rPr>
                <w:rFonts w:cs="Calibri"/>
                <w:b/>
                <w:bCs/>
                <w:i/>
                <w:sz w:val="20"/>
                <w:szCs w:val="20"/>
                <w:lang w:val="es-ES_tradnl"/>
              </w:rPr>
              <w:t>4</w:t>
            </w:r>
            <w:r w:rsidRPr="00600ED9">
              <w:rPr>
                <w:rFonts w:cs="Calibri"/>
                <w:b/>
                <w:bCs/>
                <w:i/>
                <w:sz w:val="20"/>
                <w:szCs w:val="20"/>
                <w:lang w:val="es-ES_tradnl"/>
              </w:rPr>
              <w:t>:</w:t>
            </w:r>
            <w:r w:rsidR="00DB7008" w:rsidRPr="00600ED9">
              <w:rPr>
                <w:rFonts w:cs="Calibri"/>
                <w:b/>
                <w:bCs/>
                <w:i/>
                <w:sz w:val="20"/>
                <w:szCs w:val="20"/>
                <w:lang w:val="es-ES_tradnl"/>
              </w:rPr>
              <w:t xml:space="preserve"> </w:t>
            </w:r>
            <w:r w:rsidR="00DB7008" w:rsidRPr="00600ED9">
              <w:rPr>
                <w:rFonts w:cs="Calibri"/>
                <w:i/>
                <w:sz w:val="20"/>
                <w:szCs w:val="20"/>
                <w:lang w:val="es-ES_tradnl"/>
              </w:rPr>
              <w:t>Se cumplen todos los criterios.</w:t>
            </w:r>
          </w:p>
        </w:tc>
      </w:tr>
      <w:tr w:rsidR="00DB7008" w:rsidRPr="00600ED9" w:rsidTr="00466F5B">
        <w:tc>
          <w:tcPr>
            <w:tcW w:w="9498" w:type="dxa"/>
          </w:tcPr>
          <w:p w:rsidR="00DB7008" w:rsidRPr="00600ED9" w:rsidRDefault="00DB7008" w:rsidP="00FB1954">
            <w:pPr>
              <w:pStyle w:val="Normaltabletext"/>
              <w:spacing w:after="0"/>
              <w:rPr>
                <w:lang w:val="es-ES_tradnl"/>
              </w:rPr>
            </w:pPr>
            <w:r w:rsidRPr="00600ED9">
              <w:rPr>
                <w:lang w:val="es-ES_tradnl"/>
              </w:rPr>
              <w:t xml:space="preserve">Se cumplen los criterios (a), (b), (c), (d), (e) y (f). </w:t>
            </w:r>
          </w:p>
          <w:p w:rsidR="009E5DCF" w:rsidRPr="00600ED9" w:rsidRDefault="009E5DCF" w:rsidP="00FB1954">
            <w:pPr>
              <w:pStyle w:val="Normaltabletext"/>
              <w:spacing w:after="0"/>
              <w:rPr>
                <w:lang w:val="es-ES_tradnl"/>
              </w:rPr>
            </w:pPr>
          </w:p>
          <w:p w:rsidR="00DB7008" w:rsidRPr="00600ED9" w:rsidRDefault="00DB7008" w:rsidP="00FB1954">
            <w:pPr>
              <w:pStyle w:val="Normaltabletext"/>
              <w:spacing w:after="0"/>
              <w:rPr>
                <w:lang w:val="es-ES_tradnl"/>
              </w:rPr>
            </w:pPr>
            <w:r w:rsidRPr="00600ED9">
              <w:rPr>
                <w:lang w:val="es-ES_tradnl"/>
              </w:rPr>
              <w:t xml:space="preserve">La independencia y autonomía financiera están garantizadas en el marco legal vigente, a través de la Constitución Política de Colombia. En el Artículo 267 se establece que: “La Contraloría es una entidad de carácter técnico, con autonomía administrativa y presupuestal. No tendrá funciones administrativas distintas de las inherentes a su propia organización.” </w:t>
            </w:r>
          </w:p>
          <w:p w:rsidR="009E5DCF" w:rsidRPr="00600ED9" w:rsidRDefault="009E5DCF" w:rsidP="00FB1954">
            <w:pPr>
              <w:pStyle w:val="Normaltabletext"/>
              <w:spacing w:after="0"/>
              <w:rPr>
                <w:lang w:val="es-ES_tradnl"/>
              </w:rPr>
            </w:pPr>
          </w:p>
          <w:p w:rsidR="00DB7008" w:rsidRPr="00600ED9" w:rsidRDefault="00DB7008" w:rsidP="00FB1954">
            <w:pPr>
              <w:pStyle w:val="Normaltabletext"/>
              <w:spacing w:after="0"/>
              <w:rPr>
                <w:lang w:val="es-ES_tradnl"/>
              </w:rPr>
            </w:pPr>
            <w:r w:rsidRPr="00600ED9">
              <w:rPr>
                <w:lang w:val="es-ES_tradnl"/>
              </w:rPr>
              <w:t xml:space="preserve">El </w:t>
            </w:r>
            <w:r w:rsidR="00A41AA3" w:rsidRPr="00600ED9">
              <w:rPr>
                <w:lang w:val="es-ES_tradnl"/>
              </w:rPr>
              <w:t>Art. 6</w:t>
            </w:r>
            <w:r w:rsidRPr="00600ED9">
              <w:rPr>
                <w:lang w:val="es-ES_tradnl"/>
              </w:rPr>
              <w:t xml:space="preserve"> del Decreto 267 del 2000 especifica la autonomía administrativa y menciona que: “En ejercicio de su autonomía administrativa, le corresponde a la Contraloría General de la República definir todos los aspectos relacionados con el cumplimiento de sus funciones, en armonía con los principios consagrados en la Constitución y en este decreto.”</w:t>
            </w:r>
          </w:p>
          <w:p w:rsidR="009E5DCF" w:rsidRPr="00600ED9" w:rsidRDefault="009E5DCF" w:rsidP="00FB1954">
            <w:pPr>
              <w:pStyle w:val="Normaltabletext"/>
              <w:spacing w:after="0"/>
              <w:rPr>
                <w:lang w:val="es-ES_tradnl"/>
              </w:rPr>
            </w:pPr>
          </w:p>
          <w:p w:rsidR="005561D8" w:rsidRPr="00600ED9" w:rsidRDefault="00DB7008" w:rsidP="00FB1954">
            <w:pPr>
              <w:pStyle w:val="Normaltabletext"/>
              <w:spacing w:after="0"/>
              <w:rPr>
                <w:lang w:val="es-ES_tradnl"/>
              </w:rPr>
            </w:pPr>
            <w:r w:rsidRPr="00600ED9">
              <w:rPr>
                <w:lang w:val="es-ES_tradnl"/>
              </w:rPr>
              <w:t xml:space="preserve">De igual forma, el </w:t>
            </w:r>
            <w:r w:rsidR="00A41AA3" w:rsidRPr="00600ED9">
              <w:rPr>
                <w:lang w:val="es-ES_tradnl"/>
              </w:rPr>
              <w:t>Art. 8</w:t>
            </w:r>
            <w:r w:rsidRPr="00600ED9">
              <w:rPr>
                <w:lang w:val="es-ES_tradnl"/>
              </w:rPr>
              <w:t xml:space="preserve"> del Decreto 267 de 2000 y el </w:t>
            </w:r>
            <w:r w:rsidR="00A41AA3" w:rsidRPr="00600ED9">
              <w:rPr>
                <w:lang w:val="es-ES_tradnl"/>
              </w:rPr>
              <w:t>Art. 4</w:t>
            </w:r>
            <w:r w:rsidRPr="00600ED9">
              <w:rPr>
                <w:lang w:val="es-ES_tradnl"/>
              </w:rPr>
              <w:t xml:space="preserve"> de la Ley 106 de 1996 establecen </w:t>
            </w:r>
            <w:r w:rsidR="00175ABD" w:rsidRPr="00600ED9">
              <w:rPr>
                <w:lang w:val="es-ES_tradnl"/>
              </w:rPr>
              <w:t xml:space="preserve">la </w:t>
            </w:r>
            <w:r w:rsidRPr="00600ED9">
              <w:rPr>
                <w:lang w:val="es-ES_tradnl"/>
              </w:rPr>
              <w:t>autonomía presupuestaria y los ingresos de la CGRC</w:t>
            </w:r>
            <w:r w:rsidR="00175ABD" w:rsidRPr="00600ED9">
              <w:rPr>
                <w:lang w:val="es-ES_tradnl"/>
              </w:rPr>
              <w:t xml:space="preserve">, </w:t>
            </w:r>
            <w:r w:rsidRPr="00600ED9">
              <w:rPr>
                <w:lang w:val="es-ES_tradnl"/>
              </w:rPr>
              <w:t xml:space="preserve">al mencionar que la </w:t>
            </w:r>
            <w:r w:rsidR="00175ABD" w:rsidRPr="00600ED9">
              <w:rPr>
                <w:lang w:val="es-ES_tradnl"/>
              </w:rPr>
              <w:t>Contraloría</w:t>
            </w:r>
            <w:r w:rsidRPr="00600ED9">
              <w:rPr>
                <w:lang w:val="es-ES_tradnl"/>
              </w:rPr>
              <w:t xml:space="preserve"> tendrá autonomía para el manejo, administración y fijación de su presupuesto, en concordancia con la </w:t>
            </w:r>
            <w:r w:rsidR="00175ABD" w:rsidRPr="00600ED9">
              <w:rPr>
                <w:lang w:val="es-ES_tradnl"/>
              </w:rPr>
              <w:t>L</w:t>
            </w:r>
            <w:r w:rsidRPr="00600ED9">
              <w:rPr>
                <w:lang w:val="es-ES_tradnl"/>
              </w:rPr>
              <w:t xml:space="preserve">ey orgánica de presupuesto. Con el fin de desarrollar dicho artículo, la CGRC cobrará una tarifa de control fiscal a los organismos y entidades fiscalizadas, equivalente al de aplicar el factor resultante de la fórmula de dividir el presupuesto de funcionamiento de la Contraloría sobre la sumatoria del valor de los presupuestos de los organismos y entidades vigiladas, al valor de los presupuestos de cada organismo o entidad vigilada. </w:t>
            </w:r>
          </w:p>
          <w:p w:rsidR="00DB7008" w:rsidRPr="00600ED9" w:rsidRDefault="00DB7008" w:rsidP="00FB1954">
            <w:pPr>
              <w:pStyle w:val="Normaltabletext"/>
              <w:spacing w:after="0"/>
              <w:rPr>
                <w:lang w:val="es-ES_tradnl"/>
              </w:rPr>
            </w:pPr>
            <w:r w:rsidRPr="00600ED9">
              <w:rPr>
                <w:lang w:val="es-ES_tradnl"/>
              </w:rPr>
              <w:lastRenderedPageBreak/>
              <w:t>La tarifa de control fiscal es fijada individualmente para cada organismo o entidad vigilada, mediante resolución del Contralor General de la República. El valor total del recaudo por este concepto no podrá superar por ningún motivo el valor total de los gastos de funcionamiento de la Contraloría General de la República.</w:t>
            </w:r>
          </w:p>
          <w:p w:rsidR="009E5DCF" w:rsidRPr="00600ED9" w:rsidRDefault="009E5DCF" w:rsidP="00FB1954">
            <w:pPr>
              <w:pStyle w:val="Normaltabletext"/>
              <w:spacing w:after="0"/>
              <w:rPr>
                <w:sz w:val="16"/>
                <w:lang w:val="es-ES_tradnl"/>
              </w:rPr>
            </w:pPr>
          </w:p>
          <w:p w:rsidR="00DB7008" w:rsidRPr="00600ED9" w:rsidRDefault="00DB7008" w:rsidP="00FB1954">
            <w:pPr>
              <w:pStyle w:val="Normaltabletext"/>
              <w:spacing w:after="0"/>
              <w:rPr>
                <w:lang w:val="es-ES_tradnl"/>
              </w:rPr>
            </w:pPr>
            <w:r w:rsidRPr="00600ED9">
              <w:rPr>
                <w:lang w:val="es-ES_tradnl"/>
              </w:rPr>
              <w:t xml:space="preserve">A pesar que los presupuestos del Estado son manejados directamente por la Dirección General de Presupuesto, la CGRC tiene </w:t>
            </w:r>
            <w:r w:rsidR="00175ABD" w:rsidRPr="00600ED9">
              <w:rPr>
                <w:lang w:val="es-ES_tradnl"/>
              </w:rPr>
              <w:t>la facultad</w:t>
            </w:r>
            <w:r w:rsidRPr="00600ED9">
              <w:rPr>
                <w:lang w:val="es-ES_tradnl"/>
              </w:rPr>
              <w:t xml:space="preserve"> de solicitar directamente del organismo encargado del presupuesto nacional, los medios financieros que estime necesarios cuando menciona en su </w:t>
            </w:r>
            <w:r w:rsidR="00A41AA3" w:rsidRPr="00600ED9">
              <w:rPr>
                <w:lang w:val="es-ES_tradnl"/>
              </w:rPr>
              <w:t>Art. 54</w:t>
            </w:r>
            <w:r w:rsidRPr="00600ED9">
              <w:rPr>
                <w:lang w:val="es-ES_tradnl"/>
              </w:rPr>
              <w:t xml:space="preserve"> de la Ley 42 de 1993 que: “En ejercicio de la autonomía presupuestal la Contraloría General de la República elaborará cada año su proyecto de presupuesto de gastos o de apropiaciones para ser presentado a la Dirección General de Presupuesto, quien lo incorporará al respectivo proyecto de </w:t>
            </w:r>
            <w:r w:rsidR="00175ABD" w:rsidRPr="00600ED9">
              <w:rPr>
                <w:lang w:val="es-ES_tradnl"/>
              </w:rPr>
              <w:t>L</w:t>
            </w:r>
            <w:r w:rsidRPr="00600ED9">
              <w:rPr>
                <w:lang w:val="es-ES_tradnl"/>
              </w:rPr>
              <w:t>ey de presupuesto que se someterá a la consideración del Congreso de la República. La Contraloría General de la República presentará el proyecto de su presupuesto dos (2) meses antes de iniciarse la correspondiente legislatura."</w:t>
            </w:r>
          </w:p>
          <w:p w:rsidR="009E5DCF" w:rsidRPr="00600ED9" w:rsidRDefault="009E5DCF" w:rsidP="00FB1954">
            <w:pPr>
              <w:pStyle w:val="Normaltabletext"/>
              <w:spacing w:after="0"/>
              <w:rPr>
                <w:sz w:val="16"/>
                <w:lang w:val="es-ES_tradnl"/>
              </w:rPr>
            </w:pPr>
          </w:p>
          <w:p w:rsidR="00DB7008" w:rsidRPr="00600ED9" w:rsidRDefault="00DB7008" w:rsidP="00FB1954">
            <w:pPr>
              <w:pStyle w:val="Normaltabletext"/>
              <w:spacing w:after="0"/>
              <w:rPr>
                <w:lang w:val="es-ES_tradnl"/>
              </w:rPr>
            </w:pPr>
            <w:r w:rsidRPr="00600ED9">
              <w:rPr>
                <w:lang w:val="es-ES_tradnl"/>
              </w:rPr>
              <w:t xml:space="preserve">Adicionalmente, la CGRC no tiene interferencia por parte del Ejecutivo con relación a sus recursos, puesto que el </w:t>
            </w:r>
            <w:r w:rsidR="00A41AA3" w:rsidRPr="00600ED9">
              <w:rPr>
                <w:lang w:val="es-ES_tradnl"/>
              </w:rPr>
              <w:t>Art. 53</w:t>
            </w:r>
            <w:r w:rsidRPr="00600ED9">
              <w:rPr>
                <w:lang w:val="es-ES_tradnl"/>
              </w:rPr>
              <w:t xml:space="preserve"> de la Ley 42 de 1993 menciona que “En desarrollo de los artículos 113, 117 y 267 de la Constitución Nacional la Contraloría General de la República tiene autonomía presupuestal, administrativa y contractual.  La autonomía administrativa y contractual comprende el nivel regional.” En los últimos tres años no ha habido casos de interferencia del Ejecutivo en cuanto al presupuesto de la CGRC.</w:t>
            </w:r>
          </w:p>
          <w:p w:rsidR="009E5DCF" w:rsidRPr="00600ED9" w:rsidRDefault="009E5DCF" w:rsidP="00FB1954">
            <w:pPr>
              <w:pStyle w:val="Normaltabletext"/>
              <w:spacing w:after="0"/>
              <w:rPr>
                <w:sz w:val="12"/>
                <w:lang w:val="es-ES_tradnl"/>
              </w:rPr>
            </w:pPr>
          </w:p>
        </w:tc>
      </w:tr>
      <w:tr w:rsidR="00DB7008" w:rsidRPr="00600ED9" w:rsidTr="00466F5B">
        <w:tc>
          <w:tcPr>
            <w:tcW w:w="9498" w:type="dxa"/>
            <w:shd w:val="clear" w:color="auto" w:fill="D9D9D9" w:themeFill="background1" w:themeFillShade="D9"/>
          </w:tcPr>
          <w:p w:rsidR="00DB7008" w:rsidRPr="00600ED9" w:rsidRDefault="00DB7008" w:rsidP="00FB1954">
            <w:pPr>
              <w:pStyle w:val="NoSpacing"/>
              <w:rPr>
                <w:b/>
                <w:i/>
                <w:sz w:val="20"/>
                <w:szCs w:val="20"/>
                <w:lang w:val="es-ES_tradnl"/>
              </w:rPr>
            </w:pPr>
            <w:r w:rsidRPr="00600ED9">
              <w:rPr>
                <w:b/>
                <w:i/>
                <w:sz w:val="20"/>
                <w:szCs w:val="20"/>
                <w:lang w:val="es-ES_tradnl"/>
              </w:rPr>
              <w:lastRenderedPageBreak/>
              <w:t>Dimensión (iii) Independencia o autonomía organizacional</w:t>
            </w:r>
          </w:p>
        </w:tc>
      </w:tr>
      <w:tr w:rsidR="00DB7008" w:rsidRPr="00600ED9" w:rsidTr="000C5C4F">
        <w:tc>
          <w:tcPr>
            <w:tcW w:w="9498" w:type="dxa"/>
            <w:shd w:val="clear" w:color="auto" w:fill="D9D9D9" w:themeFill="background1" w:themeFillShade="D9"/>
          </w:tcPr>
          <w:p w:rsidR="00DB7008" w:rsidRPr="00600ED9" w:rsidRDefault="00175ABD" w:rsidP="00FB1954">
            <w:pPr>
              <w:pStyle w:val="NoSpacing"/>
              <w:rPr>
                <w:i/>
                <w:sz w:val="20"/>
                <w:szCs w:val="20"/>
                <w:lang w:val="es-ES_tradnl"/>
              </w:rPr>
            </w:pPr>
            <w:r w:rsidRPr="00600ED9">
              <w:rPr>
                <w:b/>
                <w:i/>
                <w:sz w:val="20"/>
                <w:szCs w:val="20"/>
                <w:lang w:val="es-ES_tradnl"/>
              </w:rPr>
              <w:t xml:space="preserve">Puntuación </w:t>
            </w:r>
            <w:r w:rsidR="00C33375" w:rsidRPr="00600ED9">
              <w:rPr>
                <w:rFonts w:cs="Calibri"/>
                <w:b/>
                <w:bCs/>
                <w:i/>
                <w:sz w:val="20"/>
                <w:szCs w:val="20"/>
                <w:lang w:val="es-ES_tradnl"/>
              </w:rPr>
              <w:t>4</w:t>
            </w:r>
            <w:r w:rsidRPr="00600ED9">
              <w:rPr>
                <w:rFonts w:cs="Calibri"/>
                <w:b/>
                <w:bCs/>
                <w:i/>
                <w:sz w:val="20"/>
                <w:szCs w:val="20"/>
                <w:lang w:val="es-ES_tradnl"/>
              </w:rPr>
              <w:t>:</w:t>
            </w:r>
            <w:r w:rsidR="00DB7008" w:rsidRPr="00600ED9">
              <w:rPr>
                <w:rFonts w:cs="Calibri"/>
                <w:b/>
                <w:bCs/>
                <w:i/>
                <w:sz w:val="20"/>
                <w:szCs w:val="20"/>
                <w:lang w:val="es-ES_tradnl"/>
              </w:rPr>
              <w:t xml:space="preserve"> </w:t>
            </w:r>
            <w:r w:rsidR="00DB7008" w:rsidRPr="00600ED9">
              <w:rPr>
                <w:rFonts w:cs="Calibri"/>
                <w:i/>
                <w:sz w:val="20"/>
                <w:szCs w:val="20"/>
                <w:lang w:val="es-ES_tradnl"/>
              </w:rPr>
              <w:t>Se cumple</w:t>
            </w:r>
            <w:r w:rsidR="00C33375" w:rsidRPr="00600ED9">
              <w:rPr>
                <w:rFonts w:cs="Calibri"/>
                <w:i/>
                <w:sz w:val="20"/>
                <w:szCs w:val="20"/>
                <w:lang w:val="es-ES_tradnl"/>
              </w:rPr>
              <w:t>n todos los</w:t>
            </w:r>
            <w:r w:rsidR="00DB7008" w:rsidRPr="00600ED9">
              <w:rPr>
                <w:rFonts w:cs="Calibri"/>
                <w:i/>
                <w:sz w:val="20"/>
                <w:szCs w:val="20"/>
                <w:lang w:val="es-ES_tradnl"/>
              </w:rPr>
              <w:t xml:space="preserve"> criterio</w:t>
            </w:r>
            <w:r w:rsidR="00C33375" w:rsidRPr="00600ED9">
              <w:rPr>
                <w:rFonts w:cs="Calibri"/>
                <w:i/>
                <w:sz w:val="20"/>
                <w:szCs w:val="20"/>
                <w:lang w:val="es-ES_tradnl"/>
              </w:rPr>
              <w:t>s.</w:t>
            </w:r>
            <w:r w:rsidR="00DB7008" w:rsidRPr="00600ED9">
              <w:rPr>
                <w:rFonts w:cs="Calibri"/>
                <w:i/>
                <w:sz w:val="20"/>
                <w:szCs w:val="20"/>
                <w:lang w:val="es-ES_tradnl"/>
              </w:rPr>
              <w:t xml:space="preserve"> </w:t>
            </w:r>
            <w:r w:rsidR="00C33375" w:rsidRPr="00600ED9">
              <w:rPr>
                <w:rFonts w:cs="Calibri"/>
                <w:i/>
                <w:sz w:val="20"/>
                <w:szCs w:val="20"/>
                <w:lang w:val="es-ES_tradnl"/>
              </w:rPr>
              <w:t xml:space="preserve"> </w:t>
            </w:r>
          </w:p>
        </w:tc>
      </w:tr>
      <w:tr w:rsidR="00DB7008" w:rsidRPr="00600ED9" w:rsidTr="00466F5B">
        <w:tc>
          <w:tcPr>
            <w:tcW w:w="9498" w:type="dxa"/>
          </w:tcPr>
          <w:p w:rsidR="00DB7008" w:rsidRPr="00600ED9" w:rsidRDefault="00DB7008" w:rsidP="00FB1954">
            <w:pPr>
              <w:pStyle w:val="Normaltabletext"/>
              <w:spacing w:after="0"/>
              <w:rPr>
                <w:lang w:val="es-ES_tradnl"/>
              </w:rPr>
            </w:pPr>
            <w:r w:rsidRPr="00600ED9">
              <w:rPr>
                <w:lang w:val="es-ES_tradnl"/>
              </w:rPr>
              <w:t xml:space="preserve">Criterios (a), </w:t>
            </w:r>
            <w:r w:rsidR="00C33375" w:rsidRPr="00600ED9">
              <w:rPr>
                <w:lang w:val="es-ES_tradnl"/>
              </w:rPr>
              <w:t xml:space="preserve">(b), </w:t>
            </w:r>
            <w:r w:rsidRPr="00600ED9">
              <w:rPr>
                <w:lang w:val="es-ES_tradnl"/>
              </w:rPr>
              <w:t xml:space="preserve">(c), (d), (e), (f) y (g) cumplen. </w:t>
            </w:r>
          </w:p>
          <w:p w:rsidR="009E5DCF" w:rsidRPr="00600ED9" w:rsidRDefault="009E5DCF" w:rsidP="00FB1954">
            <w:pPr>
              <w:pStyle w:val="Normaltabletext"/>
              <w:spacing w:after="0"/>
              <w:rPr>
                <w:sz w:val="16"/>
                <w:lang w:val="es-ES_tradnl"/>
              </w:rPr>
            </w:pPr>
          </w:p>
          <w:p w:rsidR="00DB7008" w:rsidRPr="00600ED9" w:rsidRDefault="00DB7008" w:rsidP="00FB1954">
            <w:pPr>
              <w:pStyle w:val="Normaltabletext"/>
              <w:spacing w:after="0"/>
              <w:rPr>
                <w:lang w:val="es-ES_tradnl"/>
              </w:rPr>
            </w:pPr>
            <w:r w:rsidRPr="00600ED9">
              <w:rPr>
                <w:lang w:val="es-ES_tradnl"/>
              </w:rPr>
              <w:t xml:space="preserve">El Decreto 267 de 2000 </w:t>
            </w:r>
            <w:r w:rsidR="00197CE8" w:rsidRPr="00600ED9">
              <w:rPr>
                <w:lang w:val="es-ES_tradnl"/>
              </w:rPr>
              <w:t xml:space="preserve">establece </w:t>
            </w:r>
            <w:r w:rsidRPr="00600ED9">
              <w:rPr>
                <w:lang w:val="es-ES_tradnl"/>
              </w:rPr>
              <w:t>que la CGRC goza</w:t>
            </w:r>
            <w:r w:rsidR="00197CE8" w:rsidRPr="00600ED9">
              <w:rPr>
                <w:lang w:val="es-ES_tradnl"/>
              </w:rPr>
              <w:t xml:space="preserve"> </w:t>
            </w:r>
            <w:r w:rsidRPr="00600ED9">
              <w:rPr>
                <w:lang w:val="es-ES_tradnl"/>
              </w:rPr>
              <w:t xml:space="preserve">de independencia funcional y organizacional para cumplir con sus tareas, </w:t>
            </w:r>
            <w:r w:rsidR="00197CE8" w:rsidRPr="00600ED9">
              <w:rPr>
                <w:lang w:val="es-ES_tradnl"/>
              </w:rPr>
              <w:t>así</w:t>
            </w:r>
            <w:r w:rsidRPr="00600ED9">
              <w:rPr>
                <w:lang w:val="es-ES_tradnl"/>
              </w:rPr>
              <w:t>:</w:t>
            </w:r>
          </w:p>
          <w:p w:rsidR="00DB7008" w:rsidRPr="00600ED9" w:rsidRDefault="00DB7008" w:rsidP="00233205">
            <w:pPr>
              <w:pStyle w:val="Normaltabletext"/>
              <w:numPr>
                <w:ilvl w:val="0"/>
                <w:numId w:val="47"/>
              </w:numPr>
              <w:ind w:left="225" w:hanging="225"/>
              <w:rPr>
                <w:lang w:val="es-ES_tradnl"/>
              </w:rPr>
            </w:pPr>
            <w:r w:rsidRPr="00600ED9">
              <w:rPr>
                <w:lang w:val="es-ES_tradnl"/>
              </w:rPr>
              <w:t>“Artículo 6. Autonomía administrativa. En ejercicio de su autonomía administrativa le corresponde a la Contraloría General de la República definir todos los aspectos relacionados con el cumplimiento de sus funciones en armonía con los principios consagrados en la Constitución y en este decreto.”</w:t>
            </w:r>
          </w:p>
          <w:p w:rsidR="000C5C4F" w:rsidRPr="00600ED9" w:rsidRDefault="00DB7008" w:rsidP="00233205">
            <w:pPr>
              <w:pStyle w:val="Normaltabletext"/>
              <w:numPr>
                <w:ilvl w:val="0"/>
                <w:numId w:val="47"/>
              </w:numPr>
              <w:ind w:left="225" w:hanging="225"/>
              <w:rPr>
                <w:lang w:val="es-ES_tradnl"/>
              </w:rPr>
            </w:pPr>
            <w:r w:rsidRPr="00600ED9">
              <w:rPr>
                <w:lang w:val="es-ES_tradnl"/>
              </w:rPr>
              <w:t>“Artículo 7. Autonomía contractual. En ejercicio de la autonomía contractual, el Contralor General de la República suscribirá en nombre y representación de la entidad, los contratos que debe celebrar en cumplimiento de sus funciones, sin perjuicio de la delegación que al efecto realice conforme a lo dispuesto en el presente decreto.”</w:t>
            </w:r>
          </w:p>
          <w:p w:rsidR="00175ABD" w:rsidRPr="00600ED9" w:rsidRDefault="00197CE8" w:rsidP="00233205">
            <w:pPr>
              <w:pStyle w:val="Normaltabletext"/>
              <w:numPr>
                <w:ilvl w:val="0"/>
                <w:numId w:val="47"/>
              </w:numPr>
              <w:ind w:left="225" w:hanging="225"/>
              <w:rPr>
                <w:lang w:val="es-ES_tradnl"/>
              </w:rPr>
            </w:pPr>
            <w:r w:rsidRPr="00600ED9">
              <w:rPr>
                <w:lang w:val="es-ES_tradnl"/>
              </w:rPr>
              <w:t>Complementariamente</w:t>
            </w:r>
            <w:r w:rsidR="00DB7008" w:rsidRPr="00600ED9">
              <w:rPr>
                <w:lang w:val="es-ES_tradnl"/>
              </w:rPr>
              <w:t xml:space="preserve">, la </w:t>
            </w:r>
            <w:r w:rsidRPr="00600ED9">
              <w:rPr>
                <w:lang w:val="es-ES_tradnl"/>
              </w:rPr>
              <w:t>L</w:t>
            </w:r>
            <w:r w:rsidR="00DB7008" w:rsidRPr="00600ED9">
              <w:rPr>
                <w:lang w:val="es-ES_tradnl"/>
              </w:rPr>
              <w:t xml:space="preserve">ey 42 de 1993 en su Artículo 31 hace mención clara </w:t>
            </w:r>
            <w:r w:rsidR="00175ABD" w:rsidRPr="00600ED9">
              <w:rPr>
                <w:lang w:val="es-ES_tradnl"/>
              </w:rPr>
              <w:t>a</w:t>
            </w:r>
            <w:r w:rsidR="00DB7008" w:rsidRPr="00600ED9">
              <w:rPr>
                <w:lang w:val="es-ES_tradnl"/>
              </w:rPr>
              <w:t xml:space="preserve">l derecho que tiene la CGRC para contratar y pagar experticia externa cuando menciona que “los órganos de control fiscal podrán contratar la vigilancia de la gestión fiscal con empresas privadas colombianas, previo concepto sobre su conveniencia del Consejo de Estado. Estas serán escogidas por concurso de mérito en los siguientes casos: </w:t>
            </w:r>
          </w:p>
          <w:p w:rsidR="00DB7008" w:rsidRPr="00600ED9" w:rsidRDefault="00DB7008" w:rsidP="00233205">
            <w:pPr>
              <w:pStyle w:val="Normaltabletext"/>
              <w:numPr>
                <w:ilvl w:val="0"/>
                <w:numId w:val="34"/>
              </w:numPr>
              <w:spacing w:after="0"/>
              <w:rPr>
                <w:lang w:val="es-ES_tradnl"/>
              </w:rPr>
            </w:pPr>
            <w:r w:rsidRPr="00600ED9">
              <w:rPr>
                <w:lang w:val="es-ES_tradnl"/>
              </w:rPr>
              <w:t>Cuando la disponibilidad de los recursos técnicos, económicos y humanos no le permitan al órgano de control ejercer la vigilancia fiscal en forma directa.</w:t>
            </w:r>
          </w:p>
          <w:p w:rsidR="00DB7008" w:rsidRPr="00600ED9" w:rsidRDefault="00DB7008" w:rsidP="00233205">
            <w:pPr>
              <w:pStyle w:val="Normaltabletext"/>
              <w:numPr>
                <w:ilvl w:val="0"/>
                <w:numId w:val="34"/>
              </w:numPr>
              <w:spacing w:after="0"/>
              <w:rPr>
                <w:lang w:val="es-ES_tradnl"/>
              </w:rPr>
            </w:pPr>
            <w:r w:rsidRPr="00600ED9">
              <w:rPr>
                <w:lang w:val="es-ES_tradnl"/>
              </w:rPr>
              <w:t>Cuando se requieran conocimientos técnicos especializados.</w:t>
            </w:r>
          </w:p>
          <w:p w:rsidR="00175ABD" w:rsidRPr="00600ED9" w:rsidRDefault="00DB7008" w:rsidP="00233205">
            <w:pPr>
              <w:pStyle w:val="Normaltabletext"/>
              <w:numPr>
                <w:ilvl w:val="0"/>
                <w:numId w:val="34"/>
              </w:numPr>
              <w:rPr>
                <w:lang w:val="es-ES_tradnl"/>
              </w:rPr>
            </w:pPr>
            <w:r w:rsidRPr="00600ED9">
              <w:rPr>
                <w:lang w:val="es-ES_tradnl"/>
              </w:rPr>
              <w:t>Cuando por razones de conveniencia económica resultare más favorable.”</w:t>
            </w:r>
          </w:p>
          <w:p w:rsidR="00DB7008" w:rsidRPr="00600ED9" w:rsidRDefault="00DB7008" w:rsidP="00233205">
            <w:pPr>
              <w:pStyle w:val="Normaltabletext"/>
              <w:numPr>
                <w:ilvl w:val="0"/>
                <w:numId w:val="47"/>
              </w:numPr>
              <w:ind w:left="225" w:hanging="225"/>
              <w:rPr>
                <w:lang w:val="es-ES_tradnl"/>
              </w:rPr>
            </w:pPr>
            <w:r w:rsidRPr="00600ED9">
              <w:rPr>
                <w:lang w:val="es-ES_tradnl"/>
              </w:rPr>
              <w:t>“Artículo 8. Autonomía presupuestal. La Contraloría General de la República tendrá autonomía para la fijación, el manejo y la administración de su presupuesto en concordancia con la Ley Orgánica del Presupuesto Nacional.”</w:t>
            </w:r>
          </w:p>
          <w:p w:rsidR="009E5DCF" w:rsidRPr="00600ED9" w:rsidRDefault="00DB7008" w:rsidP="00233205">
            <w:pPr>
              <w:pStyle w:val="Normaltabletext"/>
              <w:numPr>
                <w:ilvl w:val="0"/>
                <w:numId w:val="47"/>
              </w:numPr>
              <w:ind w:left="225" w:hanging="225"/>
              <w:rPr>
                <w:lang w:val="es-ES_tradnl"/>
              </w:rPr>
            </w:pPr>
            <w:r w:rsidRPr="00600ED9">
              <w:rPr>
                <w:lang w:val="es-ES_tradnl"/>
              </w:rPr>
              <w:t xml:space="preserve">El </w:t>
            </w:r>
            <w:r w:rsidR="00A41AA3" w:rsidRPr="00600ED9">
              <w:rPr>
                <w:lang w:val="es-ES_tradnl"/>
              </w:rPr>
              <w:t>Art. 268</w:t>
            </w:r>
            <w:r w:rsidRPr="00600ED9">
              <w:rPr>
                <w:lang w:val="es-ES_tradnl"/>
              </w:rPr>
              <w:t xml:space="preserve"> de la </w:t>
            </w:r>
            <w:r w:rsidR="00197CE8" w:rsidRPr="00600ED9">
              <w:rPr>
                <w:lang w:val="es-ES_tradnl"/>
              </w:rPr>
              <w:t>C</w:t>
            </w:r>
            <w:r w:rsidRPr="00600ED9">
              <w:rPr>
                <w:lang w:val="es-ES_tradnl"/>
              </w:rPr>
              <w:t xml:space="preserve">onstitución establece como parte de su autonomía organizacional y dentro de las atribuciones del Contralor, en su numeral 10, el de proveer los empleos de la CGRC, tal como se describe a continuación: “10. Proveer mediante concurso público los empleos de su dependencia que haya creado la </w:t>
            </w:r>
            <w:r w:rsidR="00197CE8" w:rsidRPr="00600ED9">
              <w:rPr>
                <w:lang w:val="es-ES_tradnl"/>
              </w:rPr>
              <w:t>L</w:t>
            </w:r>
            <w:r w:rsidRPr="00600ED9">
              <w:rPr>
                <w:lang w:val="es-ES_tradnl"/>
              </w:rPr>
              <w:t>ey. Esta determinará un régimen especial de carrera administrativa para la selección, promoción y retiro de los funcionarios de la Contraloría. Se prohíbe a quienes formen parte de las corporaciones que intervienen en la postulación y elección del Contralor, dar recomendaciones personales y políticas para empleos en su despacho.”</w:t>
            </w:r>
          </w:p>
          <w:p w:rsidR="00DB7008" w:rsidRPr="00600ED9" w:rsidRDefault="00DB7008" w:rsidP="009E5DCF">
            <w:pPr>
              <w:pStyle w:val="Normaltabletext"/>
              <w:rPr>
                <w:lang w:val="es-ES_tradnl"/>
              </w:rPr>
            </w:pPr>
            <w:r w:rsidRPr="00600ED9">
              <w:rPr>
                <w:rFonts w:cs="Arial"/>
                <w:lang w:val="es-ES_tradnl"/>
              </w:rPr>
              <w:lastRenderedPageBreak/>
              <w:t>Adicionalmente, una de las competencias y responsabilidades del Contralor es la Facultad Nominadora que tiene para designar funcionarios dentro de la CGRC, tal como lo señala el numeral 5, Art. 29 del Decreto 267 del 2000.</w:t>
            </w:r>
          </w:p>
          <w:p w:rsidR="00DB7008" w:rsidRPr="00600ED9" w:rsidRDefault="00DB7008" w:rsidP="00FB1954">
            <w:pPr>
              <w:pStyle w:val="Normaltabletext"/>
              <w:spacing w:after="0"/>
              <w:rPr>
                <w:lang w:val="es-ES_tradnl"/>
              </w:rPr>
            </w:pPr>
            <w:r w:rsidRPr="00600ED9">
              <w:rPr>
                <w:lang w:val="es-ES_tradnl"/>
              </w:rPr>
              <w:t>En la estructura organizacional de</w:t>
            </w:r>
            <w:r w:rsidR="00175ABD" w:rsidRPr="00600ED9">
              <w:rPr>
                <w:lang w:val="es-ES_tradnl"/>
              </w:rPr>
              <w:t xml:space="preserve">l Estado en </w:t>
            </w:r>
            <w:r w:rsidRPr="00600ED9">
              <w:rPr>
                <w:lang w:val="es-ES_tradnl"/>
              </w:rPr>
              <w:t>Colombia la CGRC está claramente identificada dentro de los órganos autónomos o independientes</w:t>
            </w:r>
            <w:r w:rsidR="00601142" w:rsidRPr="00600ED9">
              <w:rPr>
                <w:lang w:val="es-ES_tradnl"/>
              </w:rPr>
              <w:t xml:space="preserve">, </w:t>
            </w:r>
            <w:r w:rsidRPr="00600ED9">
              <w:rPr>
                <w:lang w:val="es-ES_tradnl"/>
              </w:rPr>
              <w:t>tal como se señala en su Artículo 117 que dice: “El Ministerio Público y la Contraloría General de la República son órganos de control”, los cuales se encuentran separados en la Estructura del Estado</w:t>
            </w:r>
            <w:r w:rsidRPr="00600ED9">
              <w:rPr>
                <w:rStyle w:val="FootnoteReference"/>
                <w:lang w:val="es-ES_tradnl"/>
              </w:rPr>
              <w:footnoteReference w:id="26"/>
            </w:r>
            <w:r w:rsidRPr="00600ED9">
              <w:rPr>
                <w:lang w:val="es-ES_tradnl"/>
              </w:rPr>
              <w:t xml:space="preserve"> como </w:t>
            </w:r>
            <w:r w:rsidRPr="00600ED9">
              <w:rPr>
                <w:rFonts w:cs="Arial"/>
                <w:lang w:val="es-ES_tradnl"/>
              </w:rPr>
              <w:t>ó</w:t>
            </w:r>
            <w:r w:rsidRPr="00600ED9">
              <w:rPr>
                <w:lang w:val="es-ES_tradnl"/>
              </w:rPr>
              <w:t>rganos autónomos e independientes.</w:t>
            </w:r>
          </w:p>
          <w:p w:rsidR="007F19FA" w:rsidRPr="00600ED9" w:rsidRDefault="007F19FA" w:rsidP="00FB1954">
            <w:pPr>
              <w:pStyle w:val="Normaltabletext"/>
              <w:spacing w:after="0"/>
              <w:rPr>
                <w:lang w:val="es-ES_tradnl"/>
              </w:rPr>
            </w:pPr>
          </w:p>
          <w:p w:rsidR="00C33375" w:rsidRPr="00600ED9" w:rsidRDefault="00DB7008" w:rsidP="00FB1954">
            <w:pPr>
              <w:pStyle w:val="Normaltabletext"/>
              <w:spacing w:after="0"/>
              <w:rPr>
                <w:lang w:val="es-ES_tradnl"/>
              </w:rPr>
            </w:pPr>
            <w:r w:rsidRPr="00600ED9">
              <w:rPr>
                <w:lang w:val="es-ES_tradnl"/>
              </w:rPr>
              <w:t>La relación entre la CGRC y el Congreso de la República de Colombia están claramente definid</w:t>
            </w:r>
            <w:r w:rsidR="00C33375" w:rsidRPr="00600ED9">
              <w:rPr>
                <w:lang w:val="es-ES_tradnl"/>
              </w:rPr>
              <w:t>a</w:t>
            </w:r>
            <w:r w:rsidRPr="00600ED9">
              <w:rPr>
                <w:lang w:val="es-ES_tradnl"/>
              </w:rPr>
              <w:t xml:space="preserve">s en </w:t>
            </w:r>
            <w:r w:rsidR="00C33375" w:rsidRPr="00600ED9">
              <w:rPr>
                <w:lang w:val="es-ES_tradnl"/>
              </w:rPr>
              <w:t xml:space="preserve">la </w:t>
            </w:r>
            <w:r w:rsidR="00E404BC" w:rsidRPr="00600ED9">
              <w:rPr>
                <w:lang w:val="es-ES_tradnl"/>
              </w:rPr>
              <w:t>Constitución</w:t>
            </w:r>
            <w:r w:rsidR="00C33375" w:rsidRPr="00600ED9">
              <w:rPr>
                <w:lang w:val="es-ES_tradnl"/>
              </w:rPr>
              <w:t xml:space="preserve"> el Decreto 267 de 200</w:t>
            </w:r>
            <w:r w:rsidR="00A41AA3" w:rsidRPr="00600ED9">
              <w:rPr>
                <w:lang w:val="es-ES_tradnl"/>
              </w:rPr>
              <w:t>0</w:t>
            </w:r>
            <w:r w:rsidR="00C33375" w:rsidRPr="00600ED9">
              <w:rPr>
                <w:lang w:val="es-ES_tradnl"/>
              </w:rPr>
              <w:t xml:space="preserve"> y </w:t>
            </w:r>
            <w:r w:rsidRPr="00600ED9">
              <w:rPr>
                <w:lang w:val="es-ES_tradnl"/>
              </w:rPr>
              <w:t xml:space="preserve">la Ley 1474 del 2011, Art 128, inciso 4º </w:t>
            </w:r>
            <w:r w:rsidR="00C33375" w:rsidRPr="00600ED9">
              <w:rPr>
                <w:lang w:val="es-ES_tradnl"/>
              </w:rPr>
              <w:t xml:space="preserve">mediante la cual se constituye </w:t>
            </w:r>
            <w:r w:rsidR="00601142" w:rsidRPr="00600ED9">
              <w:rPr>
                <w:lang w:val="es-ES_tradnl"/>
              </w:rPr>
              <w:t>l</w:t>
            </w:r>
            <w:r w:rsidRPr="00600ED9">
              <w:rPr>
                <w:lang w:val="es-ES_tradnl"/>
              </w:rPr>
              <w:t xml:space="preserve">a Unidad de Apoyo Técnico al Congreso, la cual presta asistencia técnica a las </w:t>
            </w:r>
            <w:r w:rsidR="00601142" w:rsidRPr="00600ED9">
              <w:rPr>
                <w:lang w:val="es-ES_tradnl"/>
              </w:rPr>
              <w:t>P</w:t>
            </w:r>
            <w:r w:rsidRPr="00600ED9">
              <w:rPr>
                <w:lang w:val="es-ES_tradnl"/>
              </w:rPr>
              <w:t xml:space="preserve">lenarias, </w:t>
            </w:r>
            <w:r w:rsidR="00601142" w:rsidRPr="00600ED9">
              <w:rPr>
                <w:lang w:val="es-ES_tradnl"/>
              </w:rPr>
              <w:t>C</w:t>
            </w:r>
            <w:r w:rsidRPr="00600ED9">
              <w:rPr>
                <w:lang w:val="es-ES_tradnl"/>
              </w:rPr>
              <w:t xml:space="preserve">omisiones constitucionales y legales, </w:t>
            </w:r>
            <w:r w:rsidR="00601142" w:rsidRPr="00600ED9">
              <w:rPr>
                <w:lang w:val="es-ES_tradnl"/>
              </w:rPr>
              <w:t>B</w:t>
            </w:r>
            <w:r w:rsidRPr="00600ED9">
              <w:rPr>
                <w:lang w:val="es-ES_tradnl"/>
              </w:rPr>
              <w:t xml:space="preserve">ancadas parlamentarias y los </w:t>
            </w:r>
            <w:r w:rsidR="00601142" w:rsidRPr="00600ED9">
              <w:rPr>
                <w:lang w:val="es-ES_tradnl"/>
              </w:rPr>
              <w:t>S</w:t>
            </w:r>
            <w:r w:rsidRPr="00600ED9">
              <w:rPr>
                <w:lang w:val="es-ES_tradnl"/>
              </w:rPr>
              <w:t xml:space="preserve">enadores y </w:t>
            </w:r>
            <w:r w:rsidR="00601142" w:rsidRPr="00600ED9">
              <w:rPr>
                <w:lang w:val="es-ES_tradnl"/>
              </w:rPr>
              <w:t>R</w:t>
            </w:r>
            <w:r w:rsidRPr="00600ED9">
              <w:rPr>
                <w:lang w:val="es-ES_tradnl"/>
              </w:rPr>
              <w:t>epresentantes a la Cámara para el ejercicio de sus funciones legislativas y de control político, mediante el suministro de información que no tenga carácter reservado, el acompañamiento en el análisis, evaluación y la elaboración de proyectos e informes especialmente en relación con su impacto y efectos fiscales y presupuestales, así como la canalización de las denuncias o quejas de origen parlamentario.</w:t>
            </w:r>
          </w:p>
          <w:p w:rsidR="007F19FA" w:rsidRPr="00600ED9" w:rsidRDefault="007F19FA" w:rsidP="00FB1954">
            <w:pPr>
              <w:pStyle w:val="Normaltabletext"/>
              <w:spacing w:after="0"/>
              <w:rPr>
                <w:lang w:val="es-ES_tradnl"/>
              </w:rPr>
            </w:pPr>
          </w:p>
          <w:p w:rsidR="00C33375" w:rsidRPr="00600ED9" w:rsidRDefault="00C33375" w:rsidP="00FB1954">
            <w:pPr>
              <w:pStyle w:val="Normaltabletext"/>
              <w:spacing w:after="0"/>
              <w:rPr>
                <w:rFonts w:cs="Calibri"/>
                <w:lang w:val="es-ES_tradnl"/>
              </w:rPr>
            </w:pPr>
            <w:r w:rsidRPr="00600ED9">
              <w:rPr>
                <w:rFonts w:cs="Calibri"/>
                <w:lang w:val="es-ES_tradnl"/>
              </w:rPr>
              <w:t xml:space="preserve">En los aspectos relacionados con </w:t>
            </w:r>
            <w:r w:rsidR="00876159" w:rsidRPr="00600ED9">
              <w:rPr>
                <w:rFonts w:cs="Calibri"/>
                <w:lang w:val="es-ES_tradnl"/>
              </w:rPr>
              <w:t>su</w:t>
            </w:r>
            <w:r w:rsidR="00F3306E" w:rsidRPr="00600ED9">
              <w:rPr>
                <w:rFonts w:cs="Calibri"/>
                <w:lang w:val="es-ES_tradnl"/>
              </w:rPr>
              <w:t xml:space="preserve"> relación con el Poder Ejecutivo, la Constitución y el Decreto Ley 267 de 2000 (Artículo 3, 4 y 5 Objetivos, Sujetos de vigilancia y control fiscal y Funciones), </w:t>
            </w:r>
            <w:r w:rsidR="00876159" w:rsidRPr="00600ED9">
              <w:rPr>
                <w:rFonts w:cs="Calibri"/>
                <w:lang w:val="es-ES_tradnl"/>
              </w:rPr>
              <w:t xml:space="preserve">la </w:t>
            </w:r>
            <w:r w:rsidR="00F3306E" w:rsidRPr="00600ED9">
              <w:rPr>
                <w:rFonts w:cs="Calibri"/>
                <w:lang w:val="es-ES_tradnl"/>
              </w:rPr>
              <w:t>definen clara</w:t>
            </w:r>
            <w:r w:rsidR="00876159" w:rsidRPr="00600ED9">
              <w:rPr>
                <w:rFonts w:cs="Calibri"/>
                <w:lang w:val="es-ES_tradnl"/>
              </w:rPr>
              <w:t>mente,</w:t>
            </w:r>
            <w:r w:rsidR="00F3306E" w:rsidRPr="00600ED9">
              <w:rPr>
                <w:rFonts w:cs="Calibri"/>
                <w:lang w:val="es-ES_tradnl"/>
              </w:rPr>
              <w:t xml:space="preserve"> </w:t>
            </w:r>
            <w:r w:rsidR="00876159" w:rsidRPr="00600ED9">
              <w:rPr>
                <w:rFonts w:cs="Calibri"/>
                <w:lang w:val="es-ES_tradnl"/>
              </w:rPr>
              <w:t xml:space="preserve">como principal </w:t>
            </w:r>
            <w:r w:rsidRPr="00600ED9">
              <w:rPr>
                <w:rFonts w:cs="Calibri"/>
                <w:lang w:val="es-ES_tradnl"/>
              </w:rPr>
              <w:t>suj</w:t>
            </w:r>
            <w:r w:rsidR="00F3306E" w:rsidRPr="00600ED9">
              <w:rPr>
                <w:rFonts w:cs="Calibri"/>
                <w:lang w:val="es-ES_tradnl"/>
              </w:rPr>
              <w:t>eto pasivo del control e</w:t>
            </w:r>
            <w:r w:rsidRPr="00600ED9">
              <w:rPr>
                <w:rFonts w:cs="Calibri"/>
                <w:lang w:val="es-ES_tradnl"/>
              </w:rPr>
              <w:t>xterno.</w:t>
            </w:r>
          </w:p>
          <w:p w:rsidR="007F19FA" w:rsidRPr="00600ED9" w:rsidRDefault="007F19FA" w:rsidP="00FB1954">
            <w:pPr>
              <w:pStyle w:val="Normaltabletext"/>
              <w:spacing w:after="0"/>
              <w:rPr>
                <w:lang w:val="es-ES_tradnl"/>
              </w:rPr>
            </w:pPr>
          </w:p>
          <w:p w:rsidR="000C5C4F" w:rsidRPr="00600ED9" w:rsidRDefault="00F3306E" w:rsidP="00FB1954">
            <w:pPr>
              <w:pStyle w:val="Normaltabletext"/>
              <w:spacing w:after="0"/>
              <w:rPr>
                <w:lang w:val="es-ES_tradnl"/>
              </w:rPr>
            </w:pPr>
            <w:r w:rsidRPr="00600ED9">
              <w:rPr>
                <w:lang w:val="es-ES_tradnl"/>
              </w:rPr>
              <w:t>L</w:t>
            </w:r>
            <w:r w:rsidR="00DB7008" w:rsidRPr="00600ED9">
              <w:rPr>
                <w:lang w:val="es-ES_tradnl"/>
              </w:rPr>
              <w:t>as estructuras de gobernanza están debidamente documentadas a través de las “Normas sobre Organización y Funcionamiento de la CGRC, Decreto 267 de 2000” donde se presentan claramente las funciones de cada una de las dependencias de la CGRC como en su Artículo 11 y están representadas gráficamente tal como se determina en su organigrama</w:t>
            </w:r>
            <w:r w:rsidR="00DB7008" w:rsidRPr="00600ED9">
              <w:rPr>
                <w:rStyle w:val="FootnoteReference"/>
                <w:lang w:val="es-ES_tradnl"/>
              </w:rPr>
              <w:footnoteReference w:id="27"/>
            </w:r>
            <w:r w:rsidR="00DB7008" w:rsidRPr="00600ED9">
              <w:rPr>
                <w:lang w:val="es-ES_tradnl"/>
              </w:rPr>
              <w:t>.</w:t>
            </w:r>
          </w:p>
          <w:p w:rsidR="007F19FA" w:rsidRPr="00600ED9" w:rsidRDefault="007F19FA" w:rsidP="00FB1954">
            <w:pPr>
              <w:pStyle w:val="Normaltabletext"/>
              <w:spacing w:after="0"/>
              <w:rPr>
                <w:lang w:val="es-ES_tradnl"/>
              </w:rPr>
            </w:pPr>
          </w:p>
        </w:tc>
      </w:tr>
      <w:tr w:rsidR="00DB7008" w:rsidRPr="00600ED9" w:rsidTr="00466F5B">
        <w:tc>
          <w:tcPr>
            <w:tcW w:w="9498" w:type="dxa"/>
            <w:shd w:val="clear" w:color="auto" w:fill="D9D9D9" w:themeFill="background1" w:themeFillShade="D9"/>
          </w:tcPr>
          <w:p w:rsidR="00DB7008" w:rsidRPr="00600ED9" w:rsidRDefault="00DB7008" w:rsidP="00FB1954">
            <w:pPr>
              <w:pStyle w:val="NoSpacing"/>
              <w:rPr>
                <w:b/>
                <w:i/>
                <w:sz w:val="20"/>
                <w:szCs w:val="20"/>
                <w:lang w:val="es-ES_tradnl"/>
              </w:rPr>
            </w:pPr>
            <w:r w:rsidRPr="00600ED9">
              <w:rPr>
                <w:b/>
                <w:i/>
                <w:sz w:val="20"/>
                <w:szCs w:val="20"/>
                <w:lang w:val="es-ES_tradnl"/>
              </w:rPr>
              <w:lastRenderedPageBreak/>
              <w:t>Dimensión (iv) Independencia del Titular de la EFS y de sus funcionarios</w:t>
            </w:r>
          </w:p>
        </w:tc>
      </w:tr>
      <w:tr w:rsidR="00DB7008" w:rsidRPr="00600ED9" w:rsidTr="000C5C4F">
        <w:tc>
          <w:tcPr>
            <w:tcW w:w="9498" w:type="dxa"/>
            <w:shd w:val="clear" w:color="auto" w:fill="D9D9D9" w:themeFill="background1" w:themeFillShade="D9"/>
          </w:tcPr>
          <w:p w:rsidR="00DB7008" w:rsidRPr="00600ED9" w:rsidRDefault="00D37658" w:rsidP="00FB1954">
            <w:pPr>
              <w:pStyle w:val="NoSpacing"/>
              <w:rPr>
                <w:i/>
                <w:sz w:val="20"/>
                <w:szCs w:val="20"/>
                <w:lang w:val="es-ES_tradnl"/>
              </w:rPr>
            </w:pPr>
            <w:r w:rsidRPr="00600ED9">
              <w:rPr>
                <w:b/>
                <w:i/>
                <w:sz w:val="20"/>
                <w:szCs w:val="20"/>
                <w:lang w:val="es-ES_tradnl"/>
              </w:rPr>
              <w:t>Puntuación</w:t>
            </w:r>
            <w:r w:rsidR="00DB7008" w:rsidRPr="00600ED9">
              <w:rPr>
                <w:b/>
                <w:i/>
                <w:sz w:val="20"/>
                <w:szCs w:val="20"/>
                <w:lang w:val="es-ES_tradnl"/>
              </w:rPr>
              <w:t xml:space="preserve"> </w:t>
            </w:r>
            <w:r w:rsidR="00DB7008" w:rsidRPr="00600ED9">
              <w:rPr>
                <w:rFonts w:cs="Calibri"/>
                <w:b/>
                <w:bCs/>
                <w:i/>
                <w:sz w:val="20"/>
                <w:szCs w:val="20"/>
                <w:lang w:val="es-ES_tradnl"/>
              </w:rPr>
              <w:t>4</w:t>
            </w:r>
            <w:r w:rsidRPr="00600ED9">
              <w:rPr>
                <w:rFonts w:cs="Calibri"/>
                <w:b/>
                <w:bCs/>
                <w:i/>
                <w:sz w:val="20"/>
                <w:szCs w:val="20"/>
                <w:lang w:val="es-ES_tradnl"/>
              </w:rPr>
              <w:t>:</w:t>
            </w:r>
            <w:r w:rsidR="00DB7008" w:rsidRPr="00600ED9">
              <w:rPr>
                <w:rFonts w:cs="Calibri"/>
                <w:b/>
                <w:bCs/>
                <w:i/>
                <w:sz w:val="20"/>
                <w:szCs w:val="20"/>
                <w:lang w:val="es-ES_tradnl"/>
              </w:rPr>
              <w:t xml:space="preserve"> </w:t>
            </w:r>
            <w:r w:rsidR="00DB7008" w:rsidRPr="00600ED9">
              <w:rPr>
                <w:rFonts w:cs="Calibri"/>
                <w:i/>
                <w:sz w:val="20"/>
                <w:szCs w:val="20"/>
                <w:lang w:val="es-ES_tradnl"/>
              </w:rPr>
              <w:t>Se cumplen todos los criterios.</w:t>
            </w:r>
          </w:p>
        </w:tc>
      </w:tr>
      <w:tr w:rsidR="00DB7008" w:rsidRPr="00600ED9" w:rsidTr="00466F5B">
        <w:tc>
          <w:tcPr>
            <w:tcW w:w="9498" w:type="dxa"/>
          </w:tcPr>
          <w:p w:rsidR="00DB7008" w:rsidRPr="00600ED9" w:rsidRDefault="00DB7008" w:rsidP="00FB1954">
            <w:pPr>
              <w:pStyle w:val="Normaltabletext"/>
              <w:spacing w:after="0"/>
              <w:rPr>
                <w:lang w:val="es-ES_tradnl"/>
              </w:rPr>
            </w:pPr>
            <w:r w:rsidRPr="00600ED9">
              <w:rPr>
                <w:lang w:val="es-ES_tradnl"/>
              </w:rPr>
              <w:t xml:space="preserve">Se cumplen los criterios (a), (b), (c), (d) y (e). </w:t>
            </w:r>
          </w:p>
          <w:p w:rsidR="007F19FA" w:rsidRPr="00600ED9" w:rsidRDefault="007F19FA" w:rsidP="00FB1954">
            <w:pPr>
              <w:pStyle w:val="Normaltabletext"/>
              <w:spacing w:after="0"/>
              <w:rPr>
                <w:lang w:val="es-ES_tradnl"/>
              </w:rPr>
            </w:pPr>
          </w:p>
          <w:p w:rsidR="00DB7008" w:rsidRPr="00600ED9" w:rsidRDefault="00DB7008" w:rsidP="00FB1954">
            <w:pPr>
              <w:pStyle w:val="Normaltabletext"/>
              <w:spacing w:after="0"/>
              <w:rPr>
                <w:lang w:val="es-ES_tradnl"/>
              </w:rPr>
            </w:pPr>
            <w:r w:rsidRPr="00600ED9">
              <w:rPr>
                <w:lang w:val="es-ES_tradnl"/>
              </w:rPr>
              <w:t xml:space="preserve">La legislación específica las condiciones para el nombramiento y mandato del titular de la CGRC, tal como se describe en el </w:t>
            </w:r>
            <w:r w:rsidR="00A41AA3" w:rsidRPr="00600ED9">
              <w:rPr>
                <w:lang w:val="es-ES_tradnl"/>
              </w:rPr>
              <w:t>Art. 267</w:t>
            </w:r>
            <w:r w:rsidRPr="00600ED9">
              <w:rPr>
                <w:lang w:val="es-ES_tradnl"/>
              </w:rPr>
              <w:t xml:space="preserve"> de la Constitución cuando menciona que el Contralor será elegido por el Congreso en pleno en el primer mes de sus sesiones para un período igual al del Presidente de la República, de terna integrada por candidatos presentados a razón de uno por la Corte Constitucional, la Corte Suprema de Justicia y el Consejo de Estado, y no podrá ser reelegido para el período inmediato ni continuar en ejercicio de sus funciones al vencimiento del mismo. Quien haya ejercido en propiedad este cargo no podrá desempeñar empleo público alguno del orden nacional, salvo la docencia, ni aspirar a cargos de elección popular sino un año después de haber cesado en sus funciones.</w:t>
            </w:r>
          </w:p>
          <w:p w:rsidR="007F19FA" w:rsidRPr="00600ED9" w:rsidRDefault="007F19FA" w:rsidP="00FB1954">
            <w:pPr>
              <w:pStyle w:val="Normaltabletext"/>
              <w:spacing w:after="0"/>
              <w:rPr>
                <w:sz w:val="18"/>
                <w:lang w:val="es-ES_tradnl"/>
              </w:rPr>
            </w:pPr>
          </w:p>
          <w:p w:rsidR="00DB7008" w:rsidRPr="00600ED9" w:rsidRDefault="00DB7008" w:rsidP="00FB1954">
            <w:pPr>
              <w:pStyle w:val="Normaltabletext"/>
              <w:spacing w:after="0"/>
              <w:rPr>
                <w:lang w:val="es-ES_tradnl"/>
              </w:rPr>
            </w:pPr>
            <w:r w:rsidRPr="00600ED9">
              <w:rPr>
                <w:lang w:val="es-ES_tradnl"/>
              </w:rPr>
              <w:t xml:space="preserve">Sólo el Congreso puede admitir las renuncias que presente el Contralor y proveer las vacantes definitivas del cargo; las faltas temporales serán provistas por el Consejo de Estado. </w:t>
            </w:r>
          </w:p>
          <w:p w:rsidR="007F19FA" w:rsidRPr="00600ED9" w:rsidRDefault="007F19FA" w:rsidP="00FB1954">
            <w:pPr>
              <w:pStyle w:val="Normaltabletext"/>
              <w:spacing w:after="0"/>
              <w:rPr>
                <w:sz w:val="18"/>
                <w:lang w:val="es-ES_tradnl"/>
              </w:rPr>
            </w:pPr>
          </w:p>
          <w:p w:rsidR="00DB7008" w:rsidRPr="00600ED9" w:rsidRDefault="00DB7008" w:rsidP="00FB1954">
            <w:pPr>
              <w:pStyle w:val="Normaltabletext"/>
              <w:spacing w:after="0"/>
              <w:rPr>
                <w:lang w:val="es-ES_tradnl"/>
              </w:rPr>
            </w:pPr>
            <w:r w:rsidRPr="00600ED9">
              <w:rPr>
                <w:lang w:val="es-ES_tradnl"/>
              </w:rPr>
              <w:t xml:space="preserve">Para ser elegido Contralor General de la República, se requiere ser colombiano de nacimiento y en ejercicio de la ciudadanía; tener más de 35 años de edad; tener título universitario; o haber sido profesor universitario durante un tiempo no menor de 5 años; y acreditar las calidades adicionales que exija la ley. </w:t>
            </w:r>
          </w:p>
          <w:p w:rsidR="007F19FA" w:rsidRPr="00600ED9" w:rsidRDefault="007F19FA" w:rsidP="00FB1954">
            <w:pPr>
              <w:pStyle w:val="Normaltabletext"/>
              <w:spacing w:after="0"/>
              <w:rPr>
                <w:sz w:val="18"/>
                <w:lang w:val="es-ES_tradnl"/>
              </w:rPr>
            </w:pPr>
          </w:p>
          <w:p w:rsidR="00DB7008" w:rsidRPr="00600ED9" w:rsidRDefault="00DB7008" w:rsidP="00FB1954">
            <w:pPr>
              <w:pStyle w:val="Normaltabletext"/>
              <w:spacing w:after="0"/>
              <w:rPr>
                <w:lang w:val="es-ES_tradnl"/>
              </w:rPr>
            </w:pPr>
            <w:r w:rsidRPr="00600ED9">
              <w:rPr>
                <w:lang w:val="es-ES_tradnl"/>
              </w:rPr>
              <w:t xml:space="preserve">No podrá ser elegido Contralor General quien sea o haya sido miembro del Congreso u ocupado cargo público alguno del orden nacional, salvo la docencia, en el año inmediatamente anterior a la elección. Tampoco podrá ser elegido quien haya sido condenado a pena de prisión por delitos comunes. </w:t>
            </w:r>
          </w:p>
          <w:p w:rsidR="00DB7008" w:rsidRPr="00600ED9" w:rsidRDefault="00DB7008" w:rsidP="00FB1954">
            <w:pPr>
              <w:pStyle w:val="Normaltabletext"/>
              <w:spacing w:after="0"/>
              <w:rPr>
                <w:lang w:val="es-ES_tradnl"/>
              </w:rPr>
            </w:pPr>
            <w:r w:rsidRPr="00600ED9">
              <w:rPr>
                <w:lang w:val="es-ES_tradnl"/>
              </w:rPr>
              <w:lastRenderedPageBreak/>
              <w:t>En ningún caso podrán intervenir en la postulación o elección del Contralor personas que se hallen dentro del cuarto grado de consanguinidad, segundo de afinidad y primero civil o legal respecto de los candidatos</w:t>
            </w:r>
            <w:r w:rsidR="009D0234" w:rsidRPr="00600ED9">
              <w:rPr>
                <w:lang w:val="es-ES_tradnl"/>
              </w:rPr>
              <w:t>.</w:t>
            </w:r>
          </w:p>
          <w:p w:rsidR="007F19FA" w:rsidRPr="00600ED9" w:rsidRDefault="007F19FA" w:rsidP="00FB1954">
            <w:pPr>
              <w:pStyle w:val="Normaltabletext"/>
              <w:spacing w:after="0"/>
              <w:rPr>
                <w:lang w:val="es-ES_tradnl"/>
              </w:rPr>
            </w:pPr>
          </w:p>
          <w:p w:rsidR="00DB7008" w:rsidRPr="00600ED9" w:rsidRDefault="009D0234" w:rsidP="00FB1954">
            <w:pPr>
              <w:pStyle w:val="Normaltabletext"/>
              <w:spacing w:after="0"/>
              <w:rPr>
                <w:lang w:val="es-ES_tradnl"/>
              </w:rPr>
            </w:pPr>
            <w:r w:rsidRPr="00600ED9">
              <w:rPr>
                <w:lang w:val="es-ES_tradnl"/>
              </w:rPr>
              <w:t>N</w:t>
            </w:r>
            <w:r w:rsidR="00DB7008" w:rsidRPr="00600ED9">
              <w:rPr>
                <w:lang w:val="es-ES_tradnl"/>
              </w:rPr>
              <w:t>o se han registrado per</w:t>
            </w:r>
            <w:r w:rsidRPr="00600ED9">
              <w:rPr>
                <w:lang w:val="es-ES_tradnl"/>
              </w:rPr>
              <w:t>í</w:t>
            </w:r>
            <w:r w:rsidR="00DB7008" w:rsidRPr="00600ED9">
              <w:rPr>
                <w:lang w:val="es-ES_tradnl"/>
              </w:rPr>
              <w:t>odos de vacancia del titular de la CGRC. Inclusive si esta instancia llegara a presentarse, el vice-contralor asume automáticamente la posición como contralor encargado. No se han presentado tampoco intentos de destituir al Contralor por motivos que no hayan sido previstos dentro del marco judicial colombiano y sin la aplicación del debido proceso.</w:t>
            </w:r>
          </w:p>
          <w:p w:rsidR="007F19FA" w:rsidRPr="00600ED9" w:rsidRDefault="007F19FA" w:rsidP="00FB1954">
            <w:pPr>
              <w:pStyle w:val="Normaltabletext"/>
              <w:spacing w:after="0"/>
              <w:rPr>
                <w:lang w:val="es-ES_tradnl"/>
              </w:rPr>
            </w:pPr>
          </w:p>
        </w:tc>
      </w:tr>
    </w:tbl>
    <w:p w:rsidR="0066134C" w:rsidRPr="00600ED9" w:rsidRDefault="0066134C" w:rsidP="00FB1954">
      <w:pPr>
        <w:pStyle w:val="NoSpacing"/>
        <w:ind w:left="720"/>
        <w:rPr>
          <w:lang w:val="es-ES_tradnl"/>
        </w:rPr>
      </w:pPr>
    </w:p>
    <w:p w:rsidR="007F19FA" w:rsidRPr="00600ED9" w:rsidRDefault="007F19FA" w:rsidP="00FB1954">
      <w:pPr>
        <w:pStyle w:val="NoSpacing"/>
        <w:ind w:left="720"/>
        <w:rPr>
          <w:lang w:val="es-ES_tradnl"/>
        </w:rPr>
      </w:pPr>
    </w:p>
    <w:p w:rsidR="00720E42" w:rsidRPr="00600ED9" w:rsidRDefault="00FC6FE0" w:rsidP="00FB1954">
      <w:pPr>
        <w:pStyle w:val="Heading2"/>
        <w:spacing w:before="0" w:line="240" w:lineRule="auto"/>
      </w:pPr>
      <w:bookmarkStart w:id="20" w:name="_Toc295932912"/>
      <w:r w:rsidRPr="00600ED9">
        <w:t xml:space="preserve">EFS </w:t>
      </w:r>
      <w:r w:rsidR="00720E42" w:rsidRPr="00600ED9">
        <w:t xml:space="preserve">7 – Mandato de la </w:t>
      </w:r>
      <w:r w:rsidR="007316C3" w:rsidRPr="00600ED9">
        <w:t>EFS</w:t>
      </w:r>
      <w:bookmarkEnd w:id="20"/>
    </w:p>
    <w:p w:rsidR="007316C3" w:rsidRPr="00600ED9" w:rsidRDefault="007316C3" w:rsidP="00FB1954">
      <w:pPr>
        <w:spacing w:after="0" w:line="240" w:lineRule="auto"/>
        <w:rPr>
          <w:sz w:val="28"/>
        </w:rPr>
      </w:pPr>
    </w:p>
    <w:tbl>
      <w:tblPr>
        <w:tblW w:w="8941" w:type="dxa"/>
        <w:tblInd w:w="720" w:type="dxa"/>
        <w:tblCellMar>
          <w:left w:w="70" w:type="dxa"/>
          <w:right w:w="70" w:type="dxa"/>
        </w:tblCellMar>
        <w:tblLook w:val="04A0" w:firstRow="1" w:lastRow="0" w:firstColumn="1" w:lastColumn="0" w:noHBand="0" w:noVBand="1"/>
      </w:tblPr>
      <w:tblGrid>
        <w:gridCol w:w="2560"/>
        <w:gridCol w:w="1331"/>
        <w:gridCol w:w="1044"/>
        <w:gridCol w:w="1255"/>
        <w:gridCol w:w="1440"/>
        <w:gridCol w:w="160"/>
        <w:gridCol w:w="1151"/>
      </w:tblGrid>
      <w:tr w:rsidR="00A54788" w:rsidRPr="00600ED9" w:rsidTr="00A06F21">
        <w:trPr>
          <w:trHeight w:val="255"/>
        </w:trPr>
        <w:tc>
          <w:tcPr>
            <w:tcW w:w="2560" w:type="dxa"/>
            <w:tcBorders>
              <w:top w:val="nil"/>
              <w:left w:val="nil"/>
              <w:bottom w:val="nil"/>
              <w:right w:val="nil"/>
            </w:tcBorders>
            <w:shd w:val="clear" w:color="auto" w:fill="auto"/>
            <w:noWrap/>
            <w:vAlign w:val="bottom"/>
            <w:hideMark/>
          </w:tcPr>
          <w:p w:rsidR="00A54788" w:rsidRPr="00600ED9" w:rsidRDefault="00A54788" w:rsidP="00FB1954">
            <w:pPr>
              <w:pStyle w:val="NoSpacing"/>
              <w:tabs>
                <w:tab w:val="center" w:pos="4680"/>
                <w:tab w:val="right" w:pos="9360"/>
              </w:tabs>
              <w:jc w:val="center"/>
              <w:rPr>
                <w:sz w:val="20"/>
                <w:lang w:val="es-ES_tradnl"/>
              </w:rPr>
            </w:pPr>
          </w:p>
        </w:tc>
        <w:tc>
          <w:tcPr>
            <w:tcW w:w="5070" w:type="dxa"/>
            <w:gridSpan w:val="4"/>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A54788" w:rsidRPr="00600ED9" w:rsidRDefault="00A54788" w:rsidP="00FB1954">
            <w:pPr>
              <w:pStyle w:val="NoSpacing"/>
              <w:jc w:val="center"/>
              <w:rPr>
                <w:b/>
                <w:bCs/>
                <w:sz w:val="20"/>
                <w:lang w:val="es-ES_tradnl"/>
              </w:rPr>
            </w:pPr>
            <w:r w:rsidRPr="00600ED9">
              <w:rPr>
                <w:b/>
                <w:bCs/>
                <w:sz w:val="20"/>
                <w:lang w:val="es-ES_tradnl"/>
              </w:rPr>
              <w:t>Dimensiones Evaluadas</w:t>
            </w:r>
          </w:p>
        </w:tc>
        <w:tc>
          <w:tcPr>
            <w:tcW w:w="160" w:type="dxa"/>
            <w:tcBorders>
              <w:top w:val="nil"/>
              <w:left w:val="nil"/>
              <w:bottom w:val="nil"/>
              <w:right w:val="nil"/>
            </w:tcBorders>
            <w:shd w:val="clear" w:color="auto" w:fill="auto"/>
            <w:noWrap/>
            <w:vAlign w:val="bottom"/>
            <w:hideMark/>
          </w:tcPr>
          <w:p w:rsidR="00A54788" w:rsidRPr="00600ED9" w:rsidRDefault="00A54788" w:rsidP="00FB1954">
            <w:pPr>
              <w:pStyle w:val="NoSpacing"/>
              <w:tabs>
                <w:tab w:val="center" w:pos="4680"/>
                <w:tab w:val="right" w:pos="9360"/>
              </w:tabs>
              <w:jc w:val="center"/>
              <w:rPr>
                <w:sz w:val="20"/>
                <w:lang w:val="es-ES_tradnl"/>
              </w:rPr>
            </w:pPr>
          </w:p>
        </w:tc>
        <w:tc>
          <w:tcPr>
            <w:tcW w:w="1151" w:type="dxa"/>
            <w:vMerge w:val="restart"/>
            <w:tcBorders>
              <w:top w:val="single" w:sz="4" w:space="0" w:color="auto"/>
              <w:left w:val="single" w:sz="4" w:space="0" w:color="auto"/>
              <w:bottom w:val="single" w:sz="4" w:space="0" w:color="auto"/>
              <w:right w:val="single" w:sz="4" w:space="0" w:color="auto"/>
            </w:tcBorders>
            <w:shd w:val="clear" w:color="000000" w:fill="95B3D7"/>
            <w:vAlign w:val="center"/>
            <w:hideMark/>
          </w:tcPr>
          <w:p w:rsidR="00A54788" w:rsidRPr="00600ED9" w:rsidRDefault="00A54788" w:rsidP="00FB1954">
            <w:pPr>
              <w:pStyle w:val="NoSpacing"/>
              <w:jc w:val="center"/>
              <w:rPr>
                <w:b/>
                <w:bCs/>
                <w:sz w:val="20"/>
                <w:lang w:val="es-ES_tradnl"/>
              </w:rPr>
            </w:pPr>
            <w:r w:rsidRPr="00600ED9">
              <w:rPr>
                <w:b/>
                <w:bCs/>
                <w:sz w:val="20"/>
                <w:lang w:val="es-ES_tradnl"/>
              </w:rPr>
              <w:t>Puntuación General</w:t>
            </w:r>
          </w:p>
        </w:tc>
      </w:tr>
      <w:tr w:rsidR="00A54788" w:rsidRPr="00600ED9" w:rsidTr="00A06F21">
        <w:trPr>
          <w:trHeight w:val="390"/>
        </w:trPr>
        <w:tc>
          <w:tcPr>
            <w:tcW w:w="256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A54788" w:rsidRPr="00600ED9" w:rsidRDefault="00A54788" w:rsidP="00FB1954">
            <w:pPr>
              <w:pStyle w:val="NoSpacing"/>
              <w:jc w:val="center"/>
              <w:rPr>
                <w:b/>
                <w:bCs/>
                <w:sz w:val="20"/>
                <w:lang w:val="es-ES_tradnl"/>
              </w:rPr>
            </w:pPr>
            <w:r w:rsidRPr="00600ED9">
              <w:rPr>
                <w:b/>
                <w:bCs/>
                <w:sz w:val="20"/>
                <w:lang w:val="es-ES_tradnl"/>
              </w:rPr>
              <w:t>Indicadores</w:t>
            </w:r>
          </w:p>
        </w:tc>
        <w:tc>
          <w:tcPr>
            <w:tcW w:w="1331" w:type="dxa"/>
            <w:tcBorders>
              <w:top w:val="nil"/>
              <w:left w:val="nil"/>
              <w:bottom w:val="single" w:sz="4" w:space="0" w:color="auto"/>
              <w:right w:val="single" w:sz="4" w:space="0" w:color="auto"/>
            </w:tcBorders>
            <w:shd w:val="clear" w:color="000000" w:fill="D8D8D8"/>
            <w:noWrap/>
            <w:hideMark/>
          </w:tcPr>
          <w:p w:rsidR="00683FE2" w:rsidRPr="00600ED9" w:rsidRDefault="007316C3" w:rsidP="00FB1954">
            <w:pPr>
              <w:pStyle w:val="NoSpacing"/>
              <w:jc w:val="center"/>
              <w:rPr>
                <w:b/>
                <w:bCs/>
                <w:w w:val="90"/>
                <w:sz w:val="20"/>
                <w:lang w:val="es-ES_tradnl"/>
              </w:rPr>
            </w:pPr>
            <w:r w:rsidRPr="00600ED9">
              <w:rPr>
                <w:b/>
                <w:bCs/>
                <w:w w:val="90"/>
                <w:sz w:val="20"/>
                <w:lang w:val="es-ES_tradnl"/>
              </w:rPr>
              <w:t>(i)</w:t>
            </w:r>
          </w:p>
          <w:p w:rsidR="00A54788" w:rsidRPr="00600ED9" w:rsidRDefault="00A54788" w:rsidP="00FB1954">
            <w:pPr>
              <w:pStyle w:val="NoSpacing"/>
              <w:jc w:val="center"/>
              <w:rPr>
                <w:b/>
                <w:bCs/>
                <w:sz w:val="20"/>
                <w:lang w:val="es-ES_tradnl"/>
              </w:rPr>
            </w:pPr>
            <w:r w:rsidRPr="00600ED9">
              <w:rPr>
                <w:w w:val="90"/>
                <w:sz w:val="20"/>
                <w:lang w:val="es-ES_tradnl"/>
              </w:rPr>
              <w:t>Mandato suficientemente amplio</w:t>
            </w:r>
          </w:p>
        </w:tc>
        <w:tc>
          <w:tcPr>
            <w:tcW w:w="1044" w:type="dxa"/>
            <w:tcBorders>
              <w:top w:val="nil"/>
              <w:left w:val="nil"/>
              <w:bottom w:val="single" w:sz="4" w:space="0" w:color="auto"/>
              <w:right w:val="single" w:sz="4" w:space="0" w:color="auto"/>
            </w:tcBorders>
            <w:shd w:val="clear" w:color="000000" w:fill="D8D8D8"/>
            <w:noWrap/>
            <w:hideMark/>
          </w:tcPr>
          <w:p w:rsidR="00683FE2" w:rsidRPr="00600ED9" w:rsidRDefault="007316C3" w:rsidP="00FB1954">
            <w:pPr>
              <w:pStyle w:val="NoSpacing"/>
              <w:jc w:val="center"/>
              <w:rPr>
                <w:b/>
                <w:bCs/>
                <w:w w:val="90"/>
                <w:sz w:val="20"/>
                <w:lang w:val="es-ES_tradnl"/>
              </w:rPr>
            </w:pPr>
            <w:r w:rsidRPr="00600ED9">
              <w:rPr>
                <w:b/>
                <w:bCs/>
                <w:w w:val="90"/>
                <w:sz w:val="20"/>
                <w:lang w:val="es-ES_tradnl"/>
              </w:rPr>
              <w:t>(ii)</w:t>
            </w:r>
          </w:p>
          <w:p w:rsidR="00A54788" w:rsidRPr="00600ED9" w:rsidRDefault="00A54788" w:rsidP="00FB1954">
            <w:pPr>
              <w:pStyle w:val="NoSpacing"/>
              <w:jc w:val="center"/>
              <w:rPr>
                <w:b/>
                <w:bCs/>
                <w:sz w:val="20"/>
                <w:lang w:val="es-ES_tradnl"/>
              </w:rPr>
            </w:pPr>
            <w:r w:rsidRPr="00600ED9">
              <w:rPr>
                <w:w w:val="90"/>
                <w:sz w:val="20"/>
                <w:lang w:val="es-ES_tradnl"/>
              </w:rPr>
              <w:t>Acceso a la información</w:t>
            </w:r>
          </w:p>
        </w:tc>
        <w:tc>
          <w:tcPr>
            <w:tcW w:w="1255" w:type="dxa"/>
            <w:tcBorders>
              <w:top w:val="nil"/>
              <w:left w:val="nil"/>
              <w:bottom w:val="single" w:sz="4" w:space="0" w:color="auto"/>
              <w:right w:val="single" w:sz="4" w:space="0" w:color="auto"/>
            </w:tcBorders>
            <w:shd w:val="clear" w:color="000000" w:fill="D8D8D8"/>
            <w:noWrap/>
            <w:hideMark/>
          </w:tcPr>
          <w:p w:rsidR="00683FE2" w:rsidRPr="00600ED9" w:rsidRDefault="007316C3" w:rsidP="00FB1954">
            <w:pPr>
              <w:pStyle w:val="NoSpacing"/>
              <w:jc w:val="center"/>
              <w:rPr>
                <w:b/>
                <w:bCs/>
                <w:w w:val="90"/>
                <w:sz w:val="20"/>
                <w:lang w:val="es-ES_tradnl"/>
              </w:rPr>
            </w:pPr>
            <w:r w:rsidRPr="00600ED9">
              <w:rPr>
                <w:b/>
                <w:bCs/>
                <w:w w:val="90"/>
                <w:sz w:val="20"/>
                <w:lang w:val="es-ES_tradnl"/>
              </w:rPr>
              <w:t>(iii)</w:t>
            </w:r>
          </w:p>
          <w:p w:rsidR="00A54788" w:rsidRPr="00600ED9" w:rsidRDefault="00A54788" w:rsidP="00FB1954">
            <w:pPr>
              <w:pStyle w:val="NoSpacing"/>
              <w:jc w:val="center"/>
              <w:rPr>
                <w:b/>
                <w:bCs/>
                <w:sz w:val="20"/>
                <w:lang w:val="es-ES_tradnl"/>
              </w:rPr>
            </w:pPr>
            <w:r w:rsidRPr="00600ED9">
              <w:rPr>
                <w:w w:val="90"/>
                <w:sz w:val="20"/>
                <w:lang w:val="es-ES_tradnl"/>
              </w:rPr>
              <w:t>Derecho y obligación de informar</w:t>
            </w:r>
          </w:p>
        </w:tc>
        <w:tc>
          <w:tcPr>
            <w:tcW w:w="1440" w:type="dxa"/>
            <w:tcBorders>
              <w:top w:val="nil"/>
              <w:left w:val="nil"/>
              <w:bottom w:val="single" w:sz="4" w:space="0" w:color="auto"/>
              <w:right w:val="single" w:sz="4" w:space="0" w:color="auto"/>
            </w:tcBorders>
            <w:shd w:val="clear" w:color="000000" w:fill="D8D8D8"/>
            <w:noWrap/>
            <w:hideMark/>
          </w:tcPr>
          <w:p w:rsidR="00683FE2" w:rsidRPr="00600ED9" w:rsidRDefault="007316C3" w:rsidP="00FB1954">
            <w:pPr>
              <w:pStyle w:val="NoSpacing"/>
              <w:jc w:val="center"/>
              <w:rPr>
                <w:b/>
                <w:bCs/>
                <w:w w:val="90"/>
                <w:sz w:val="20"/>
                <w:lang w:val="es-ES_tradnl"/>
              </w:rPr>
            </w:pPr>
            <w:r w:rsidRPr="00600ED9">
              <w:rPr>
                <w:b/>
                <w:bCs/>
                <w:w w:val="90"/>
                <w:sz w:val="20"/>
                <w:lang w:val="es-ES_tradnl"/>
              </w:rPr>
              <w:t>(iv)</w:t>
            </w:r>
          </w:p>
          <w:p w:rsidR="00A54788" w:rsidRPr="00600ED9" w:rsidRDefault="00A54788" w:rsidP="00FB1954">
            <w:pPr>
              <w:pStyle w:val="NoSpacing"/>
              <w:jc w:val="center"/>
              <w:rPr>
                <w:b/>
                <w:bCs/>
                <w:sz w:val="20"/>
                <w:lang w:val="es-ES_tradnl"/>
              </w:rPr>
            </w:pPr>
            <w:r w:rsidRPr="00600ED9">
              <w:rPr>
                <w:w w:val="90"/>
                <w:sz w:val="20"/>
                <w:lang w:val="es-ES_tradnl"/>
              </w:rPr>
              <w:t>Existencia de mecanismos de seguimiento eficaces</w:t>
            </w:r>
          </w:p>
        </w:tc>
        <w:tc>
          <w:tcPr>
            <w:tcW w:w="160" w:type="dxa"/>
            <w:tcBorders>
              <w:top w:val="nil"/>
              <w:left w:val="nil"/>
              <w:bottom w:val="nil"/>
              <w:right w:val="nil"/>
            </w:tcBorders>
            <w:shd w:val="clear" w:color="auto" w:fill="auto"/>
            <w:noWrap/>
            <w:hideMark/>
          </w:tcPr>
          <w:p w:rsidR="00A54788" w:rsidRPr="00600ED9" w:rsidRDefault="00A54788" w:rsidP="00FB1954">
            <w:pPr>
              <w:pStyle w:val="NoSpacing"/>
              <w:tabs>
                <w:tab w:val="center" w:pos="4680"/>
                <w:tab w:val="right" w:pos="9360"/>
              </w:tabs>
              <w:jc w:val="center"/>
              <w:rPr>
                <w:sz w:val="20"/>
                <w:lang w:val="es-ES_tradnl"/>
              </w:rPr>
            </w:pPr>
          </w:p>
        </w:tc>
        <w:tc>
          <w:tcPr>
            <w:tcW w:w="1151" w:type="dxa"/>
            <w:vMerge/>
            <w:tcBorders>
              <w:top w:val="single" w:sz="4" w:space="0" w:color="auto"/>
              <w:left w:val="single" w:sz="4" w:space="0" w:color="auto"/>
              <w:bottom w:val="single" w:sz="4" w:space="0" w:color="auto"/>
              <w:right w:val="single" w:sz="4" w:space="0" w:color="auto"/>
            </w:tcBorders>
            <w:hideMark/>
          </w:tcPr>
          <w:p w:rsidR="00A54788" w:rsidRPr="00600ED9" w:rsidRDefault="00A54788" w:rsidP="00FB1954">
            <w:pPr>
              <w:pStyle w:val="NoSpacing"/>
              <w:tabs>
                <w:tab w:val="center" w:pos="4680"/>
                <w:tab w:val="right" w:pos="9360"/>
              </w:tabs>
              <w:jc w:val="center"/>
              <w:rPr>
                <w:b/>
                <w:bCs/>
                <w:sz w:val="20"/>
                <w:lang w:val="es-ES_tradnl"/>
              </w:rPr>
            </w:pPr>
          </w:p>
        </w:tc>
      </w:tr>
      <w:tr w:rsidR="00A54788" w:rsidRPr="00600ED9" w:rsidTr="00A06F21">
        <w:trPr>
          <w:trHeight w:val="510"/>
        </w:trPr>
        <w:tc>
          <w:tcPr>
            <w:tcW w:w="2560" w:type="dxa"/>
            <w:tcBorders>
              <w:top w:val="nil"/>
              <w:left w:val="single" w:sz="4" w:space="0" w:color="auto"/>
              <w:bottom w:val="single" w:sz="4" w:space="0" w:color="auto"/>
              <w:right w:val="single" w:sz="4" w:space="0" w:color="auto"/>
            </w:tcBorders>
            <w:shd w:val="clear" w:color="auto" w:fill="auto"/>
            <w:vAlign w:val="center"/>
            <w:hideMark/>
          </w:tcPr>
          <w:p w:rsidR="00A54788" w:rsidRPr="00600ED9" w:rsidRDefault="00A54788" w:rsidP="00FB1954">
            <w:pPr>
              <w:pStyle w:val="NoSpacing"/>
              <w:jc w:val="center"/>
              <w:rPr>
                <w:b/>
                <w:bCs/>
                <w:sz w:val="20"/>
                <w:lang w:val="es-ES_tradnl"/>
              </w:rPr>
            </w:pPr>
            <w:r w:rsidRPr="00600ED9">
              <w:rPr>
                <w:rFonts w:eastAsia="Calibri" w:cs="Times New Roman"/>
                <w:b/>
                <w:sz w:val="20"/>
                <w:lang w:val="es-ES_tradnl"/>
              </w:rPr>
              <w:t xml:space="preserve">EFS 7 – Mandato de la </w:t>
            </w:r>
            <w:r w:rsidR="007316C3" w:rsidRPr="00600ED9">
              <w:rPr>
                <w:rFonts w:eastAsia="Calibri" w:cs="Times New Roman"/>
                <w:b/>
                <w:sz w:val="20"/>
                <w:lang w:val="es-ES_tradnl"/>
              </w:rPr>
              <w:t>EFS</w:t>
            </w:r>
          </w:p>
        </w:tc>
        <w:tc>
          <w:tcPr>
            <w:tcW w:w="1331" w:type="dxa"/>
            <w:tcBorders>
              <w:top w:val="nil"/>
              <w:left w:val="nil"/>
              <w:bottom w:val="single" w:sz="4" w:space="0" w:color="auto"/>
              <w:right w:val="single" w:sz="4" w:space="0" w:color="auto"/>
            </w:tcBorders>
            <w:shd w:val="clear" w:color="auto" w:fill="auto"/>
            <w:noWrap/>
            <w:vAlign w:val="center"/>
          </w:tcPr>
          <w:p w:rsidR="00A54788" w:rsidRPr="00600ED9" w:rsidRDefault="00A54788" w:rsidP="00FB1954">
            <w:pPr>
              <w:pStyle w:val="NoSpacing"/>
              <w:jc w:val="center"/>
              <w:rPr>
                <w:b/>
                <w:bCs/>
                <w:sz w:val="20"/>
                <w:lang w:val="es-ES_tradnl"/>
              </w:rPr>
            </w:pPr>
            <w:r w:rsidRPr="00600ED9">
              <w:rPr>
                <w:b/>
                <w:bCs/>
                <w:sz w:val="20"/>
                <w:lang w:val="es-ES_tradnl"/>
              </w:rPr>
              <w:t>4</w:t>
            </w:r>
          </w:p>
        </w:tc>
        <w:tc>
          <w:tcPr>
            <w:tcW w:w="1044" w:type="dxa"/>
            <w:tcBorders>
              <w:top w:val="nil"/>
              <w:left w:val="nil"/>
              <w:bottom w:val="single" w:sz="4" w:space="0" w:color="auto"/>
              <w:right w:val="single" w:sz="4" w:space="0" w:color="auto"/>
            </w:tcBorders>
            <w:shd w:val="clear" w:color="auto" w:fill="auto"/>
            <w:noWrap/>
            <w:vAlign w:val="center"/>
          </w:tcPr>
          <w:p w:rsidR="00A54788" w:rsidRPr="00600ED9" w:rsidRDefault="00485C4B" w:rsidP="00FB1954">
            <w:pPr>
              <w:pStyle w:val="NoSpacing"/>
              <w:jc w:val="center"/>
              <w:rPr>
                <w:b/>
                <w:bCs/>
                <w:sz w:val="20"/>
                <w:lang w:val="es-ES_tradnl"/>
              </w:rPr>
            </w:pPr>
            <w:r w:rsidRPr="00600ED9">
              <w:rPr>
                <w:b/>
                <w:bCs/>
                <w:sz w:val="20"/>
                <w:lang w:val="es-ES_tradnl"/>
              </w:rPr>
              <w:t>4</w:t>
            </w:r>
          </w:p>
        </w:tc>
        <w:tc>
          <w:tcPr>
            <w:tcW w:w="1255" w:type="dxa"/>
            <w:tcBorders>
              <w:top w:val="nil"/>
              <w:left w:val="nil"/>
              <w:bottom w:val="single" w:sz="4" w:space="0" w:color="auto"/>
              <w:right w:val="single" w:sz="4" w:space="0" w:color="auto"/>
            </w:tcBorders>
            <w:shd w:val="clear" w:color="auto" w:fill="auto"/>
            <w:noWrap/>
            <w:vAlign w:val="center"/>
          </w:tcPr>
          <w:p w:rsidR="00A54788" w:rsidRPr="00600ED9" w:rsidRDefault="00A54788" w:rsidP="00FB1954">
            <w:pPr>
              <w:pStyle w:val="NoSpacing"/>
              <w:jc w:val="center"/>
              <w:rPr>
                <w:b/>
                <w:bCs/>
                <w:sz w:val="20"/>
                <w:lang w:val="es-ES_tradnl"/>
              </w:rPr>
            </w:pPr>
            <w:r w:rsidRPr="00600ED9">
              <w:rPr>
                <w:b/>
                <w:bCs/>
                <w:sz w:val="20"/>
                <w:lang w:val="es-ES_tradnl"/>
              </w:rPr>
              <w:t>3</w:t>
            </w:r>
          </w:p>
        </w:tc>
        <w:tc>
          <w:tcPr>
            <w:tcW w:w="1440" w:type="dxa"/>
            <w:tcBorders>
              <w:top w:val="nil"/>
              <w:left w:val="nil"/>
              <w:bottom w:val="single" w:sz="4" w:space="0" w:color="auto"/>
              <w:right w:val="single" w:sz="4" w:space="0" w:color="auto"/>
            </w:tcBorders>
            <w:shd w:val="clear" w:color="auto" w:fill="auto"/>
            <w:noWrap/>
            <w:vAlign w:val="center"/>
          </w:tcPr>
          <w:p w:rsidR="00A54788" w:rsidRPr="00600ED9" w:rsidRDefault="00A54788" w:rsidP="00FB1954">
            <w:pPr>
              <w:pStyle w:val="NoSpacing"/>
              <w:jc w:val="center"/>
              <w:rPr>
                <w:b/>
                <w:bCs/>
                <w:sz w:val="20"/>
                <w:lang w:val="es-ES_tradnl"/>
              </w:rPr>
            </w:pPr>
            <w:r w:rsidRPr="00600ED9">
              <w:rPr>
                <w:b/>
                <w:bCs/>
                <w:sz w:val="20"/>
                <w:lang w:val="es-ES_tradnl"/>
              </w:rPr>
              <w:t>3</w:t>
            </w:r>
          </w:p>
        </w:tc>
        <w:tc>
          <w:tcPr>
            <w:tcW w:w="160" w:type="dxa"/>
            <w:tcBorders>
              <w:top w:val="nil"/>
              <w:left w:val="nil"/>
              <w:bottom w:val="nil"/>
              <w:right w:val="nil"/>
            </w:tcBorders>
            <w:shd w:val="clear" w:color="auto" w:fill="auto"/>
            <w:noWrap/>
            <w:vAlign w:val="bottom"/>
          </w:tcPr>
          <w:p w:rsidR="00A54788" w:rsidRPr="00600ED9" w:rsidRDefault="00A54788" w:rsidP="00FB1954">
            <w:pPr>
              <w:pStyle w:val="NoSpacing"/>
              <w:tabs>
                <w:tab w:val="center" w:pos="4680"/>
                <w:tab w:val="right" w:pos="9360"/>
              </w:tabs>
              <w:jc w:val="center"/>
              <w:rPr>
                <w:sz w:val="20"/>
                <w:lang w:val="es-ES_tradnl"/>
              </w:rPr>
            </w:pPr>
          </w:p>
        </w:tc>
        <w:tc>
          <w:tcPr>
            <w:tcW w:w="1151" w:type="dxa"/>
            <w:tcBorders>
              <w:top w:val="nil"/>
              <w:left w:val="single" w:sz="4" w:space="0" w:color="auto"/>
              <w:bottom w:val="single" w:sz="4" w:space="0" w:color="auto"/>
              <w:right w:val="single" w:sz="4" w:space="0" w:color="auto"/>
            </w:tcBorders>
            <w:shd w:val="clear" w:color="auto" w:fill="auto"/>
            <w:noWrap/>
            <w:vAlign w:val="center"/>
          </w:tcPr>
          <w:p w:rsidR="00A54788" w:rsidRPr="00600ED9" w:rsidRDefault="00A54788" w:rsidP="00FB1954">
            <w:pPr>
              <w:pStyle w:val="NoSpacing"/>
              <w:jc w:val="center"/>
              <w:rPr>
                <w:b/>
                <w:sz w:val="20"/>
                <w:lang w:val="es-ES_tradnl"/>
              </w:rPr>
            </w:pPr>
            <w:r w:rsidRPr="00600ED9">
              <w:rPr>
                <w:b/>
                <w:sz w:val="20"/>
                <w:lang w:val="es-ES_tradnl"/>
              </w:rPr>
              <w:t>3</w:t>
            </w:r>
          </w:p>
        </w:tc>
      </w:tr>
    </w:tbl>
    <w:p w:rsidR="00A54788" w:rsidRPr="00600ED9" w:rsidRDefault="00A54788" w:rsidP="00FB1954">
      <w:pPr>
        <w:pStyle w:val="ListParagraph"/>
        <w:spacing w:after="0" w:line="240" w:lineRule="auto"/>
        <w:jc w:val="both"/>
        <w:rPr>
          <w:sz w:val="24"/>
          <w:szCs w:val="20"/>
        </w:rPr>
      </w:pPr>
    </w:p>
    <w:p w:rsidR="00A54788" w:rsidRPr="00600ED9" w:rsidRDefault="00A54788" w:rsidP="00FB1954">
      <w:pPr>
        <w:pStyle w:val="ListParagraph"/>
        <w:spacing w:after="0" w:line="240" w:lineRule="auto"/>
        <w:jc w:val="both"/>
      </w:pPr>
      <w:r w:rsidRPr="00600ED9">
        <w:t xml:space="preserve">La </w:t>
      </w:r>
      <w:r w:rsidR="00431CA4" w:rsidRPr="00600ED9">
        <w:t>CGRC</w:t>
      </w:r>
      <w:r w:rsidRPr="00600ED9">
        <w:t xml:space="preserve"> tiene un mandato suficientemente amplio en el marco de la Constitución, al ser reconocido como el máximo órgano de control fiscal del </w:t>
      </w:r>
      <w:r w:rsidR="00B324D2" w:rsidRPr="00600ED9">
        <w:t>E</w:t>
      </w:r>
      <w:r w:rsidRPr="00600ED9">
        <w:t xml:space="preserve">stado, a través de lo </w:t>
      </w:r>
      <w:r w:rsidR="009E0B42" w:rsidRPr="00600ED9">
        <w:t>establecido</w:t>
      </w:r>
      <w:r w:rsidRPr="00600ED9">
        <w:t xml:space="preserve"> en su artículo 267,</w:t>
      </w:r>
      <w:r w:rsidR="0019215E" w:rsidRPr="00600ED9">
        <w:t xml:space="preserve"> </w:t>
      </w:r>
      <w:r w:rsidRPr="00600ED9">
        <w:t>lo cual le permite realizar auditorías financieras, d</w:t>
      </w:r>
      <w:r w:rsidR="009E0B42" w:rsidRPr="00600ED9">
        <w:t xml:space="preserve">e cumplimiento y de desempeño. </w:t>
      </w:r>
      <w:r w:rsidRPr="00600ED9">
        <w:t xml:space="preserve">La </w:t>
      </w:r>
      <w:r w:rsidR="004B2B29" w:rsidRPr="00600ED9">
        <w:t>L</w:t>
      </w:r>
      <w:r w:rsidRPr="00600ED9">
        <w:t xml:space="preserve">ey le confiere el mandato de auditar a todas las entidades del gobierno y le proporciona los poderes y protecciones constitucionales generales, incluyendo el no estar sujeto al control o dirección de ninguna autoridad en la selección de sus asuntos de auditoría, y tampoco recibir interferencia en la selección de sus clientes, temas de auditoría y contenidos de sus informes. </w:t>
      </w:r>
    </w:p>
    <w:p w:rsidR="00A54788" w:rsidRPr="00600ED9" w:rsidRDefault="00A54788" w:rsidP="00FB1954">
      <w:pPr>
        <w:pStyle w:val="ListParagraph"/>
        <w:spacing w:after="0" w:line="240" w:lineRule="auto"/>
        <w:jc w:val="both"/>
      </w:pPr>
    </w:p>
    <w:p w:rsidR="00A54788" w:rsidRPr="00600ED9" w:rsidRDefault="00485C4B" w:rsidP="00FB1954">
      <w:pPr>
        <w:pStyle w:val="ListParagraph"/>
        <w:spacing w:after="0" w:line="240" w:lineRule="auto"/>
        <w:jc w:val="both"/>
      </w:pPr>
      <w:r w:rsidRPr="00600ED9">
        <w:t>L</w:t>
      </w:r>
      <w:r w:rsidR="00A54788" w:rsidRPr="00600ED9">
        <w:t xml:space="preserve">os auditores de la </w:t>
      </w:r>
      <w:r w:rsidR="00431CA4" w:rsidRPr="00600ED9">
        <w:t>CGRC</w:t>
      </w:r>
      <w:r w:rsidR="00A54788" w:rsidRPr="00600ED9">
        <w:t xml:space="preserve"> tienen acceso ilimitado a registros, documentos, información y locales de los organismos auditados</w:t>
      </w:r>
      <w:r w:rsidRPr="00600ED9">
        <w:t>, de acuerdo con el marco legal, el cual incluye un proceso formal, en caso que pudiera llegar a presentarse instancias en las que un organismo o funcionario pueda limitar o negar el acceso a información requerida dentro del proceso auditor</w:t>
      </w:r>
    </w:p>
    <w:p w:rsidR="00E17170" w:rsidRPr="00600ED9" w:rsidRDefault="00E17170" w:rsidP="00FB1954">
      <w:pPr>
        <w:pStyle w:val="ListParagraph"/>
        <w:spacing w:after="0" w:line="240" w:lineRule="auto"/>
        <w:jc w:val="both"/>
      </w:pPr>
    </w:p>
    <w:p w:rsidR="00321ADC" w:rsidRPr="00600ED9" w:rsidRDefault="00A54788" w:rsidP="00FB1954">
      <w:pPr>
        <w:pStyle w:val="ListParagraph"/>
        <w:spacing w:after="0" w:line="240" w:lineRule="auto"/>
        <w:jc w:val="both"/>
      </w:pPr>
      <w:r w:rsidRPr="00600ED9">
        <w:t xml:space="preserve">La </w:t>
      </w:r>
      <w:r w:rsidR="00431CA4" w:rsidRPr="00600ED9">
        <w:t>CGRC</w:t>
      </w:r>
      <w:r w:rsidRPr="00600ED9">
        <w:t xml:space="preserve"> informa al Congreso</w:t>
      </w:r>
      <w:r w:rsidR="00321ADC" w:rsidRPr="00600ED9">
        <w:t xml:space="preserve"> </w:t>
      </w:r>
      <w:r w:rsidRPr="00600ED9">
        <w:t xml:space="preserve">o a cualquier otro </w:t>
      </w:r>
      <w:r w:rsidR="00321ADC" w:rsidRPr="00600ED9">
        <w:t>O</w:t>
      </w:r>
      <w:r w:rsidRPr="00600ED9">
        <w:t xml:space="preserve">rganismo público responsable, </w:t>
      </w:r>
      <w:r w:rsidR="00321ADC" w:rsidRPr="00600ED9">
        <w:t>de acuerdo con</w:t>
      </w:r>
      <w:r w:rsidRPr="00600ED9">
        <w:t xml:space="preserve"> asunto que estime conveniente, por lo menos una vez al año. De igual forma, </w:t>
      </w:r>
      <w:r w:rsidR="00321ADC" w:rsidRPr="00600ED9">
        <w:t>de acuerdo con</w:t>
      </w:r>
      <w:r w:rsidRPr="00600ED9">
        <w:t xml:space="preserve"> </w:t>
      </w:r>
      <w:r w:rsidR="00B324D2" w:rsidRPr="00600ED9">
        <w:t xml:space="preserve">el </w:t>
      </w:r>
      <w:r w:rsidRPr="00600ED9">
        <w:t>mandato</w:t>
      </w:r>
      <w:r w:rsidR="009E0B42" w:rsidRPr="00600ED9">
        <w:t xml:space="preserve"> constitucional</w:t>
      </w:r>
      <w:r w:rsidRPr="00600ED9">
        <w:t xml:space="preserve">, </w:t>
      </w:r>
      <w:r w:rsidR="00B324D2" w:rsidRPr="00600ED9">
        <w:t>por lo menos anualmente</w:t>
      </w:r>
      <w:r w:rsidR="00321ADC" w:rsidRPr="00600ED9">
        <w:t xml:space="preserve"> </w:t>
      </w:r>
      <w:r w:rsidRPr="00600ED9">
        <w:t xml:space="preserve">publica sus informes de auditoría. </w:t>
      </w:r>
      <w:r w:rsidR="00321ADC" w:rsidRPr="00600ED9">
        <w:t>Adicionalmente, cuenta dentro de su estructura orgánica con una Dependencia encargada de coordinar las relaciones con el</w:t>
      </w:r>
      <w:r w:rsidRPr="00600ED9">
        <w:t xml:space="preserve"> Congreso</w:t>
      </w:r>
      <w:r w:rsidR="009E0B42" w:rsidRPr="00600ED9">
        <w:t xml:space="preserve"> de la </w:t>
      </w:r>
      <w:r w:rsidR="0047153A" w:rsidRPr="00600ED9">
        <w:t>República</w:t>
      </w:r>
      <w:r w:rsidRPr="00600ED9">
        <w:t>.</w:t>
      </w:r>
    </w:p>
    <w:p w:rsidR="00A22DBD" w:rsidRPr="00600ED9" w:rsidRDefault="00A22DBD" w:rsidP="00FB1954">
      <w:pPr>
        <w:pStyle w:val="ListParagraph"/>
        <w:spacing w:after="0" w:line="240" w:lineRule="auto"/>
        <w:jc w:val="both"/>
      </w:pPr>
    </w:p>
    <w:p w:rsidR="00321ADC" w:rsidRPr="00600ED9" w:rsidRDefault="00321ADC" w:rsidP="00FB1954">
      <w:pPr>
        <w:pStyle w:val="ListParagraph"/>
        <w:spacing w:after="0" w:line="240" w:lineRule="auto"/>
        <w:jc w:val="both"/>
      </w:pPr>
      <w:r w:rsidRPr="00600ED9">
        <w:t>La CGRC no realiza seguimiento periódico de la implementación de las recomendaciones, resultado de los informes de auditoría, aunque dispone de un sistema de soporte</w:t>
      </w:r>
      <w:r w:rsidR="006352EA" w:rsidRPr="00600ED9">
        <w:t>.</w:t>
      </w:r>
    </w:p>
    <w:p w:rsidR="007F19FA" w:rsidRPr="00600ED9" w:rsidRDefault="007F19FA" w:rsidP="00FB1954">
      <w:pPr>
        <w:pStyle w:val="ListParagraph"/>
        <w:spacing w:after="0" w:line="240" w:lineRule="auto"/>
        <w:jc w:val="both"/>
        <w:rPr>
          <w:sz w:val="28"/>
        </w:rPr>
      </w:pPr>
    </w:p>
    <w:tbl>
      <w:tblPr>
        <w:tblStyle w:val="TableGrid"/>
        <w:tblW w:w="9356" w:type="dxa"/>
        <w:tblInd w:w="817" w:type="dxa"/>
        <w:tblLook w:val="04A0" w:firstRow="1" w:lastRow="0" w:firstColumn="1" w:lastColumn="0" w:noHBand="0" w:noVBand="1"/>
      </w:tblPr>
      <w:tblGrid>
        <w:gridCol w:w="9356"/>
      </w:tblGrid>
      <w:tr w:rsidR="001517D8" w:rsidRPr="00600ED9" w:rsidTr="00545676">
        <w:trPr>
          <w:tblHeader/>
        </w:trPr>
        <w:tc>
          <w:tcPr>
            <w:tcW w:w="9356" w:type="dxa"/>
            <w:shd w:val="clear" w:color="auto" w:fill="365F91" w:themeFill="accent1" w:themeFillShade="BF"/>
          </w:tcPr>
          <w:p w:rsidR="001517D8" w:rsidRPr="00600ED9" w:rsidRDefault="001517D8" w:rsidP="00FB1954">
            <w:pPr>
              <w:pStyle w:val="NoSpacing"/>
              <w:rPr>
                <w:b/>
                <w:color w:val="FFFFFF" w:themeColor="background1"/>
                <w:sz w:val="20"/>
                <w:szCs w:val="20"/>
                <w:lang w:val="es-ES_tradnl"/>
              </w:rPr>
            </w:pPr>
            <w:r w:rsidRPr="00600ED9">
              <w:rPr>
                <w:b/>
                <w:color w:val="FFFFFF" w:themeColor="background1"/>
                <w:sz w:val="20"/>
                <w:szCs w:val="20"/>
                <w:lang w:val="es-ES_tradnl"/>
              </w:rPr>
              <w:t xml:space="preserve">Principales observaciones y conclusiones </w:t>
            </w:r>
          </w:p>
        </w:tc>
      </w:tr>
      <w:tr w:rsidR="001517D8" w:rsidRPr="00600ED9" w:rsidTr="00545676">
        <w:tc>
          <w:tcPr>
            <w:tcW w:w="9356" w:type="dxa"/>
            <w:shd w:val="clear" w:color="auto" w:fill="D9D9D9" w:themeFill="background1" w:themeFillShade="D9"/>
          </w:tcPr>
          <w:p w:rsidR="001517D8" w:rsidRPr="00600ED9" w:rsidRDefault="001517D8" w:rsidP="00FB1954">
            <w:pPr>
              <w:pStyle w:val="NoSpacing"/>
              <w:rPr>
                <w:b/>
                <w:i/>
                <w:sz w:val="20"/>
                <w:szCs w:val="20"/>
                <w:lang w:val="es-ES_tradnl"/>
              </w:rPr>
            </w:pPr>
            <w:r w:rsidRPr="00600ED9">
              <w:rPr>
                <w:b/>
                <w:i/>
                <w:sz w:val="20"/>
                <w:szCs w:val="20"/>
                <w:lang w:val="es-ES_tradnl"/>
              </w:rPr>
              <w:t>Dimensión (i) Mandato suficientemente amplio</w:t>
            </w:r>
          </w:p>
        </w:tc>
      </w:tr>
      <w:tr w:rsidR="001517D8" w:rsidRPr="00600ED9" w:rsidTr="00545676">
        <w:tc>
          <w:tcPr>
            <w:tcW w:w="9356" w:type="dxa"/>
            <w:shd w:val="clear" w:color="auto" w:fill="D9D9D9" w:themeFill="background1" w:themeFillShade="D9"/>
          </w:tcPr>
          <w:p w:rsidR="001517D8" w:rsidRPr="00600ED9" w:rsidRDefault="00D32A51" w:rsidP="00FB1954">
            <w:pPr>
              <w:pStyle w:val="NoSpacing"/>
              <w:jc w:val="both"/>
              <w:rPr>
                <w:i/>
                <w:sz w:val="20"/>
                <w:szCs w:val="20"/>
                <w:lang w:val="es-ES_tradnl"/>
              </w:rPr>
            </w:pPr>
            <w:r w:rsidRPr="00600ED9">
              <w:rPr>
                <w:b/>
                <w:i/>
                <w:sz w:val="20"/>
                <w:szCs w:val="20"/>
                <w:lang w:val="es-ES_tradnl"/>
              </w:rPr>
              <w:t>Puntuación</w:t>
            </w:r>
            <w:r w:rsidR="001517D8" w:rsidRPr="00600ED9">
              <w:rPr>
                <w:b/>
                <w:i/>
                <w:sz w:val="20"/>
                <w:szCs w:val="20"/>
                <w:lang w:val="es-ES_tradnl"/>
              </w:rPr>
              <w:t xml:space="preserve"> </w:t>
            </w:r>
            <w:r w:rsidR="001517D8" w:rsidRPr="00600ED9">
              <w:rPr>
                <w:rFonts w:cs="Calibri"/>
                <w:b/>
                <w:bCs/>
                <w:i/>
                <w:sz w:val="20"/>
                <w:szCs w:val="20"/>
                <w:lang w:val="es-ES_tradnl"/>
              </w:rPr>
              <w:t>4</w:t>
            </w:r>
            <w:r w:rsidRPr="00600ED9">
              <w:rPr>
                <w:rFonts w:cs="Calibri"/>
                <w:bCs/>
                <w:i/>
                <w:sz w:val="20"/>
                <w:szCs w:val="20"/>
                <w:lang w:val="es-ES_tradnl"/>
              </w:rPr>
              <w:t>:</w:t>
            </w:r>
            <w:r w:rsidR="001517D8" w:rsidRPr="00600ED9">
              <w:rPr>
                <w:rFonts w:cs="Calibri"/>
                <w:bCs/>
                <w:i/>
                <w:sz w:val="20"/>
                <w:szCs w:val="20"/>
                <w:lang w:val="es-ES_tradnl"/>
              </w:rPr>
              <w:t xml:space="preserve"> </w:t>
            </w:r>
            <w:r w:rsidR="001517D8" w:rsidRPr="00600ED9">
              <w:rPr>
                <w:rFonts w:cs="Calibri"/>
                <w:i/>
                <w:sz w:val="20"/>
                <w:szCs w:val="20"/>
                <w:lang w:val="es-ES_tradnl"/>
              </w:rPr>
              <w:t>Se cumplen todos los criterios.</w:t>
            </w:r>
          </w:p>
        </w:tc>
      </w:tr>
      <w:tr w:rsidR="001517D8" w:rsidRPr="00600ED9" w:rsidTr="00545676">
        <w:tc>
          <w:tcPr>
            <w:tcW w:w="9356" w:type="dxa"/>
          </w:tcPr>
          <w:p w:rsidR="001517D8" w:rsidRPr="00600ED9" w:rsidRDefault="001517D8" w:rsidP="00FB1954">
            <w:pPr>
              <w:pStyle w:val="Normaltabletext"/>
              <w:spacing w:after="0"/>
              <w:rPr>
                <w:lang w:val="es-ES_tradnl"/>
              </w:rPr>
            </w:pPr>
            <w:r w:rsidRPr="00600ED9">
              <w:rPr>
                <w:lang w:val="es-ES_tradnl"/>
              </w:rPr>
              <w:t xml:space="preserve">Se cumplen los criterios (a), (b), (c), (d), (e), (f), (g), (h), (i) y (j). </w:t>
            </w:r>
          </w:p>
          <w:p w:rsidR="007F19FA" w:rsidRPr="00600ED9" w:rsidRDefault="007F19FA" w:rsidP="00FB1954">
            <w:pPr>
              <w:pStyle w:val="Normaltabletext"/>
              <w:spacing w:after="0"/>
              <w:rPr>
                <w:lang w:val="es-ES_tradnl"/>
              </w:rPr>
            </w:pPr>
          </w:p>
          <w:p w:rsidR="001517D8" w:rsidRPr="00600ED9" w:rsidRDefault="001517D8" w:rsidP="00FB1954">
            <w:pPr>
              <w:pStyle w:val="Normaltabletext"/>
              <w:spacing w:after="0"/>
              <w:rPr>
                <w:lang w:val="es-ES_tradnl"/>
              </w:rPr>
            </w:pPr>
            <w:r w:rsidRPr="00600ED9">
              <w:rPr>
                <w:lang w:val="es-ES_tradnl"/>
              </w:rPr>
              <w:lastRenderedPageBreak/>
              <w:t xml:space="preserve">El Decreto 267 del 2000 en su artículo 4 y la Ley 42 de 1993 en su artículo 2, menciona el alcance de todas las entidades sujetas de control del Estado, que incluye todos los órganos que integran las ramas legislativa y judicial, los órganos autónomos e independientes como los de control y electorales, los organismos que hacen parte de la estructura de la administración nacional y demás entidades nacionales, los organismos creados por la Constitución Nacional y la </w:t>
            </w:r>
            <w:r w:rsidR="001D3FF2" w:rsidRPr="00600ED9">
              <w:rPr>
                <w:lang w:val="es-ES_tradnl"/>
              </w:rPr>
              <w:t>L</w:t>
            </w:r>
            <w:r w:rsidRPr="00600ED9">
              <w:rPr>
                <w:lang w:val="es-ES_tradnl"/>
              </w:rPr>
              <w:t>ey que tienen régimen especial, las sociedades de economía mixta, las empresas industriales y comerciales del Estado, los particulares que manejen fondos o bienes del Estado, las personas jurídicas y cualquier otro tipo de organización o sociedad que maneje recursos del Estado en lo relacionado con éstos y el Banco de la República.</w:t>
            </w:r>
          </w:p>
          <w:p w:rsidR="007F19FA" w:rsidRPr="00600ED9" w:rsidRDefault="007F19FA" w:rsidP="00FB1954">
            <w:pPr>
              <w:pStyle w:val="Normaltabletext"/>
              <w:spacing w:after="0"/>
              <w:rPr>
                <w:lang w:val="es-ES_tradnl"/>
              </w:rPr>
            </w:pPr>
          </w:p>
          <w:p w:rsidR="001517D8" w:rsidRPr="00600ED9" w:rsidRDefault="001517D8" w:rsidP="00FB1954">
            <w:pPr>
              <w:pStyle w:val="Normaltabletext"/>
              <w:spacing w:after="0"/>
              <w:rPr>
                <w:lang w:val="es-ES_tradnl"/>
              </w:rPr>
            </w:pPr>
            <w:r w:rsidRPr="00600ED9">
              <w:rPr>
                <w:lang w:val="es-ES_tradnl"/>
              </w:rPr>
              <w:t>La Ley 42 de 1993, articulo 41, menciona que la CGRC deberá también certificar la situación de las finanzas del Estado y rendir el respectivo informe al Congreso y al Presidente de la República, tomando en cuenta, entre otros, los siguientes factores:</w:t>
            </w:r>
          </w:p>
          <w:p w:rsidR="007F19FA" w:rsidRPr="00600ED9" w:rsidRDefault="007F19FA" w:rsidP="00FB1954">
            <w:pPr>
              <w:pStyle w:val="Normaltabletext"/>
              <w:spacing w:after="0"/>
              <w:rPr>
                <w:lang w:val="es-ES_tradnl"/>
              </w:rPr>
            </w:pPr>
          </w:p>
          <w:p w:rsidR="001517D8" w:rsidRPr="00600ED9" w:rsidRDefault="001517D8" w:rsidP="007F19FA">
            <w:pPr>
              <w:pStyle w:val="Normaltabletext"/>
              <w:spacing w:after="0"/>
              <w:ind w:left="263"/>
              <w:rPr>
                <w:lang w:val="es-ES_tradnl"/>
              </w:rPr>
            </w:pPr>
            <w:r w:rsidRPr="00600ED9">
              <w:rPr>
                <w:lang w:val="es-ES_tradnl"/>
              </w:rPr>
              <w:t>1. Ingresos y gastos totales.</w:t>
            </w:r>
          </w:p>
          <w:p w:rsidR="001517D8" w:rsidRPr="00600ED9" w:rsidRDefault="001517D8" w:rsidP="007F19FA">
            <w:pPr>
              <w:pStyle w:val="Normaltabletext"/>
              <w:spacing w:after="0"/>
              <w:ind w:left="263"/>
              <w:rPr>
                <w:lang w:val="es-ES_tradnl"/>
              </w:rPr>
            </w:pPr>
            <w:r w:rsidRPr="00600ED9">
              <w:rPr>
                <w:lang w:val="es-ES_tradnl"/>
              </w:rPr>
              <w:t>2. Superávit o déficit fiscal y presupuestal.</w:t>
            </w:r>
          </w:p>
          <w:p w:rsidR="001517D8" w:rsidRPr="00600ED9" w:rsidRDefault="001517D8" w:rsidP="007F19FA">
            <w:pPr>
              <w:pStyle w:val="Normaltabletext"/>
              <w:spacing w:after="0"/>
              <w:ind w:left="263"/>
              <w:rPr>
                <w:lang w:val="es-ES_tradnl"/>
              </w:rPr>
            </w:pPr>
            <w:r w:rsidRPr="00600ED9">
              <w:rPr>
                <w:lang w:val="es-ES_tradnl"/>
              </w:rPr>
              <w:t>3. Superávit o déficit de tesorería y de operaciones efectivas.</w:t>
            </w:r>
          </w:p>
          <w:p w:rsidR="001517D8" w:rsidRPr="00600ED9" w:rsidRDefault="001517D8" w:rsidP="007F19FA">
            <w:pPr>
              <w:pStyle w:val="Normaltabletext"/>
              <w:spacing w:after="0"/>
              <w:ind w:left="263"/>
              <w:rPr>
                <w:lang w:val="es-ES_tradnl"/>
              </w:rPr>
            </w:pPr>
            <w:r w:rsidRPr="00600ED9">
              <w:rPr>
                <w:lang w:val="es-ES_tradnl"/>
              </w:rPr>
              <w:t>4. Registro de la deuda total.</w:t>
            </w:r>
          </w:p>
          <w:p w:rsidR="001517D8" w:rsidRPr="00600ED9" w:rsidRDefault="001517D8" w:rsidP="007F19FA">
            <w:pPr>
              <w:pStyle w:val="Normaltabletext"/>
              <w:spacing w:after="0"/>
              <w:ind w:left="263"/>
              <w:rPr>
                <w:lang w:val="es-ES_tradnl"/>
              </w:rPr>
            </w:pPr>
            <w:r w:rsidRPr="00600ED9">
              <w:rPr>
                <w:lang w:val="es-ES_tradnl"/>
              </w:rPr>
              <w:t>5. Resultados financieros de las entidades descentralizadas territorialmente o por servicios.</w:t>
            </w:r>
          </w:p>
          <w:p w:rsidR="007F19FA" w:rsidRPr="00600ED9" w:rsidRDefault="007F19FA" w:rsidP="007F19FA">
            <w:pPr>
              <w:pStyle w:val="Normaltabletext"/>
              <w:spacing w:after="0"/>
              <w:ind w:left="263"/>
              <w:rPr>
                <w:lang w:val="es-ES_tradnl"/>
              </w:rPr>
            </w:pPr>
          </w:p>
          <w:p w:rsidR="00F8282D" w:rsidRPr="00600ED9" w:rsidRDefault="001517D8" w:rsidP="00FB1954">
            <w:pPr>
              <w:pStyle w:val="Normaltabletext"/>
              <w:spacing w:after="0"/>
              <w:rPr>
                <w:lang w:val="es-ES_tradnl"/>
              </w:rPr>
            </w:pPr>
            <w:r w:rsidRPr="00600ED9">
              <w:rPr>
                <w:rFonts w:eastAsia="Calibri" w:cs="Calibri"/>
                <w:lang w:val="es-ES_tradnl"/>
              </w:rPr>
              <w:t xml:space="preserve">Durante los últimos tres años, la CGRC no ha llevado a cabo ninguna tarea que pudiera influir en su independencia y, </w:t>
            </w:r>
            <w:r w:rsidR="001D3FF2" w:rsidRPr="00600ED9">
              <w:rPr>
                <w:rFonts w:eastAsia="Calibri" w:cs="Calibri"/>
                <w:lang w:val="es-ES_tradnl"/>
              </w:rPr>
              <w:t xml:space="preserve">de acuerdo con </w:t>
            </w:r>
            <w:r w:rsidRPr="00600ED9">
              <w:rPr>
                <w:rFonts w:eastAsia="Calibri" w:cs="Calibri"/>
                <w:lang w:val="es-ES_tradnl"/>
              </w:rPr>
              <w:t xml:space="preserve">sus funcionarios, no </w:t>
            </w:r>
            <w:r w:rsidR="001D3FF2" w:rsidRPr="00600ED9">
              <w:rPr>
                <w:rFonts w:eastAsia="Calibri" w:cs="Calibri"/>
                <w:lang w:val="es-ES_tradnl"/>
              </w:rPr>
              <w:t>se han presentado</w:t>
            </w:r>
            <w:r w:rsidRPr="00600ED9">
              <w:rPr>
                <w:rFonts w:eastAsia="Calibri" w:cs="Calibri"/>
                <w:lang w:val="es-ES_tradnl"/>
              </w:rPr>
              <w:t xml:space="preserve"> casos de interferencia durante la selección de los clientes o temas de auditoría. </w:t>
            </w:r>
            <w:r w:rsidR="003D11DB" w:rsidRPr="00600ED9">
              <w:rPr>
                <w:lang w:val="es-ES_tradnl"/>
              </w:rPr>
              <w:t>L</w:t>
            </w:r>
            <w:r w:rsidRPr="00600ED9">
              <w:rPr>
                <w:lang w:val="es-ES_tradnl"/>
              </w:rPr>
              <w:t xml:space="preserve">a CGRC </w:t>
            </w:r>
            <w:r w:rsidR="003D11DB" w:rsidRPr="00600ED9">
              <w:rPr>
                <w:lang w:val="es-ES_tradnl"/>
              </w:rPr>
              <w:t xml:space="preserve">dispone de </w:t>
            </w:r>
            <w:r w:rsidRPr="00600ED9">
              <w:rPr>
                <w:lang w:val="es-ES_tradnl"/>
              </w:rPr>
              <w:t>una estructura y un marco legal claramente delimitado que no le permiten recibir ni asumir tareas que puedan comprometer la independencia de su mandato.</w:t>
            </w:r>
          </w:p>
          <w:p w:rsidR="007F19FA" w:rsidRPr="00600ED9" w:rsidRDefault="007F19FA" w:rsidP="00FB1954">
            <w:pPr>
              <w:pStyle w:val="Normaltabletext"/>
              <w:spacing w:after="0"/>
              <w:rPr>
                <w:lang w:val="es-ES_tradnl"/>
              </w:rPr>
            </w:pPr>
          </w:p>
          <w:p w:rsidR="001517D8" w:rsidRPr="00600ED9" w:rsidRDefault="001517D8" w:rsidP="00FB1954">
            <w:pPr>
              <w:pStyle w:val="Normaltabletext"/>
              <w:spacing w:after="0"/>
              <w:rPr>
                <w:lang w:val="es-ES_tradnl"/>
              </w:rPr>
            </w:pPr>
            <w:r w:rsidRPr="00600ED9">
              <w:rPr>
                <w:lang w:val="es-ES_tradnl"/>
              </w:rPr>
              <w:t>La CGRC hace público su mandato a través de la página web institucional. En este mandato, se especifica su responsabilidad en la realización de auditorías financieras, de gestión y de cumplimiento, según lo establecido en el inciso 3º del artículo 267 de la Constitución de Colombia que dice: “La vigilancia de la gestión fiscal del Estado incluye el ejercicio de un control financiero, de gestión y de resultados, fundado en la eficiencia, la economía, la equidad y la valoración de los costos ambientales.”</w:t>
            </w:r>
          </w:p>
          <w:p w:rsidR="007F19FA" w:rsidRPr="00600ED9" w:rsidRDefault="007F19FA" w:rsidP="00FB1954">
            <w:pPr>
              <w:pStyle w:val="Normaltabletext"/>
              <w:spacing w:after="0"/>
              <w:rPr>
                <w:lang w:val="es-ES_tradnl"/>
              </w:rPr>
            </w:pPr>
          </w:p>
        </w:tc>
      </w:tr>
      <w:tr w:rsidR="001517D8" w:rsidRPr="00600ED9" w:rsidTr="00545676">
        <w:tc>
          <w:tcPr>
            <w:tcW w:w="9356" w:type="dxa"/>
            <w:shd w:val="clear" w:color="auto" w:fill="D9D9D9" w:themeFill="background1" w:themeFillShade="D9"/>
          </w:tcPr>
          <w:p w:rsidR="001517D8" w:rsidRPr="00600ED9" w:rsidRDefault="001517D8" w:rsidP="00FB1954">
            <w:pPr>
              <w:pStyle w:val="NoSpacing"/>
              <w:rPr>
                <w:b/>
                <w:i/>
                <w:sz w:val="20"/>
                <w:szCs w:val="20"/>
                <w:lang w:val="es-ES_tradnl"/>
              </w:rPr>
            </w:pPr>
            <w:r w:rsidRPr="00600ED9">
              <w:rPr>
                <w:b/>
                <w:i/>
                <w:sz w:val="20"/>
                <w:szCs w:val="20"/>
                <w:lang w:val="es-ES_tradnl"/>
              </w:rPr>
              <w:lastRenderedPageBreak/>
              <w:t>Dimensión (ii) Acceso a la información</w:t>
            </w:r>
          </w:p>
        </w:tc>
      </w:tr>
      <w:tr w:rsidR="001517D8" w:rsidRPr="00600ED9" w:rsidTr="00F343E8">
        <w:tc>
          <w:tcPr>
            <w:tcW w:w="9356" w:type="dxa"/>
            <w:shd w:val="clear" w:color="auto" w:fill="D9D9D9" w:themeFill="background1" w:themeFillShade="D9"/>
          </w:tcPr>
          <w:p w:rsidR="001517D8" w:rsidRPr="00600ED9" w:rsidRDefault="00D32A51" w:rsidP="00FB1954">
            <w:pPr>
              <w:pStyle w:val="NoSpacing"/>
              <w:rPr>
                <w:i/>
                <w:sz w:val="20"/>
                <w:szCs w:val="20"/>
                <w:lang w:val="es-ES_tradnl"/>
              </w:rPr>
            </w:pPr>
            <w:r w:rsidRPr="00600ED9">
              <w:rPr>
                <w:b/>
                <w:i/>
                <w:sz w:val="20"/>
                <w:szCs w:val="20"/>
                <w:lang w:val="es-ES_tradnl"/>
              </w:rPr>
              <w:t>Puntuación</w:t>
            </w:r>
            <w:r w:rsidR="001517D8" w:rsidRPr="00600ED9">
              <w:rPr>
                <w:b/>
                <w:i/>
                <w:sz w:val="20"/>
                <w:szCs w:val="20"/>
                <w:lang w:val="es-ES_tradnl"/>
              </w:rPr>
              <w:t xml:space="preserve"> </w:t>
            </w:r>
            <w:r w:rsidR="00092B63" w:rsidRPr="00600ED9">
              <w:rPr>
                <w:rFonts w:cs="Calibri"/>
                <w:b/>
                <w:bCs/>
                <w:i/>
                <w:sz w:val="20"/>
                <w:szCs w:val="20"/>
                <w:lang w:val="es-ES_tradnl"/>
              </w:rPr>
              <w:t>4</w:t>
            </w:r>
            <w:r w:rsidRPr="00600ED9">
              <w:rPr>
                <w:rFonts w:cs="Calibri"/>
                <w:b/>
                <w:bCs/>
                <w:i/>
                <w:sz w:val="20"/>
                <w:szCs w:val="20"/>
                <w:lang w:val="es-ES_tradnl"/>
              </w:rPr>
              <w:t>:</w:t>
            </w:r>
            <w:r w:rsidR="001517D8" w:rsidRPr="00600ED9">
              <w:rPr>
                <w:rFonts w:cs="Calibri"/>
                <w:b/>
                <w:bCs/>
                <w:i/>
                <w:sz w:val="20"/>
                <w:szCs w:val="20"/>
                <w:lang w:val="es-ES_tradnl"/>
              </w:rPr>
              <w:t xml:space="preserve"> </w:t>
            </w:r>
            <w:r w:rsidR="001517D8" w:rsidRPr="00600ED9">
              <w:rPr>
                <w:rFonts w:cs="Calibri"/>
                <w:bCs/>
                <w:i/>
                <w:sz w:val="20"/>
                <w:szCs w:val="20"/>
                <w:lang w:val="es-ES_tradnl"/>
              </w:rPr>
              <w:t>S</w:t>
            </w:r>
            <w:r w:rsidR="001517D8" w:rsidRPr="00600ED9">
              <w:rPr>
                <w:rFonts w:cs="Calibri"/>
                <w:i/>
                <w:sz w:val="20"/>
                <w:szCs w:val="20"/>
                <w:lang w:val="es-ES_tradnl"/>
              </w:rPr>
              <w:t xml:space="preserve">e cumplen </w:t>
            </w:r>
            <w:r w:rsidR="00092B63" w:rsidRPr="00600ED9">
              <w:rPr>
                <w:rFonts w:cs="Calibri"/>
                <w:i/>
                <w:sz w:val="20"/>
                <w:szCs w:val="20"/>
                <w:lang w:val="es-ES_tradnl"/>
              </w:rPr>
              <w:t>todos</w:t>
            </w:r>
            <w:r w:rsidR="001517D8" w:rsidRPr="00600ED9">
              <w:rPr>
                <w:rFonts w:cs="Calibri"/>
                <w:i/>
                <w:sz w:val="20"/>
                <w:szCs w:val="20"/>
                <w:lang w:val="es-ES_tradnl"/>
              </w:rPr>
              <w:t xml:space="preserve"> los criterios</w:t>
            </w:r>
            <w:r w:rsidR="001517D8" w:rsidRPr="00600ED9">
              <w:rPr>
                <w:i/>
                <w:sz w:val="20"/>
                <w:szCs w:val="20"/>
                <w:lang w:val="es-ES_tradnl"/>
              </w:rPr>
              <w:t>.</w:t>
            </w:r>
          </w:p>
        </w:tc>
      </w:tr>
      <w:tr w:rsidR="001517D8" w:rsidRPr="00600ED9" w:rsidTr="00545676">
        <w:tc>
          <w:tcPr>
            <w:tcW w:w="9356" w:type="dxa"/>
          </w:tcPr>
          <w:p w:rsidR="00092B63" w:rsidRPr="00600ED9" w:rsidRDefault="00092B63" w:rsidP="00FB1954">
            <w:pPr>
              <w:pStyle w:val="Normaltabletext"/>
              <w:spacing w:after="0"/>
              <w:rPr>
                <w:lang w:val="es-ES_tradnl"/>
              </w:rPr>
            </w:pPr>
            <w:r w:rsidRPr="00600ED9">
              <w:rPr>
                <w:lang w:val="es-ES_tradnl"/>
              </w:rPr>
              <w:t>C</w:t>
            </w:r>
            <w:r w:rsidR="001517D8" w:rsidRPr="00600ED9">
              <w:rPr>
                <w:lang w:val="es-ES_tradnl"/>
              </w:rPr>
              <w:t xml:space="preserve">riterios </w:t>
            </w:r>
            <w:r w:rsidRPr="00600ED9">
              <w:rPr>
                <w:lang w:val="es-ES_tradnl"/>
              </w:rPr>
              <w:t xml:space="preserve">(a), </w:t>
            </w:r>
            <w:r w:rsidR="001517D8" w:rsidRPr="00600ED9">
              <w:rPr>
                <w:lang w:val="es-ES_tradnl"/>
              </w:rPr>
              <w:t xml:space="preserve">(b), (c) y (d) cumplen. </w:t>
            </w:r>
          </w:p>
          <w:p w:rsidR="007F19FA" w:rsidRPr="00600ED9" w:rsidRDefault="007F19FA" w:rsidP="00FB1954">
            <w:pPr>
              <w:pStyle w:val="Normaltabletext"/>
              <w:spacing w:after="0"/>
              <w:rPr>
                <w:lang w:val="es-ES_tradnl"/>
              </w:rPr>
            </w:pPr>
          </w:p>
          <w:p w:rsidR="00B42194" w:rsidRPr="00600ED9" w:rsidRDefault="00EC2AF4" w:rsidP="00FB1954">
            <w:pPr>
              <w:pStyle w:val="Normaltabletext"/>
              <w:spacing w:after="0"/>
              <w:rPr>
                <w:lang w:val="es-ES_tradnl"/>
              </w:rPr>
            </w:pPr>
            <w:r w:rsidRPr="00600ED9">
              <w:rPr>
                <w:lang w:val="es-ES_tradnl"/>
              </w:rPr>
              <w:t xml:space="preserve">La CGRC tiene acceso ilimitado a registros, documentos, información y locales de los organismos auditados.  </w:t>
            </w:r>
            <w:r w:rsidR="00B42194" w:rsidRPr="00600ED9">
              <w:rPr>
                <w:lang w:val="es-ES_tradnl"/>
              </w:rPr>
              <w:t>E</w:t>
            </w:r>
            <w:r w:rsidR="001517D8" w:rsidRPr="00600ED9">
              <w:rPr>
                <w:lang w:val="es-ES_tradnl"/>
              </w:rPr>
              <w:t xml:space="preserve">l </w:t>
            </w:r>
            <w:r w:rsidR="00A41AA3" w:rsidRPr="00600ED9">
              <w:rPr>
                <w:lang w:val="es-ES_tradnl"/>
              </w:rPr>
              <w:t>Art. 268</w:t>
            </w:r>
            <w:r w:rsidR="001517D8" w:rsidRPr="00600ED9">
              <w:rPr>
                <w:lang w:val="es-ES_tradnl"/>
              </w:rPr>
              <w:t xml:space="preserve">, numeral 1 de la Constitución, </w:t>
            </w:r>
            <w:r w:rsidR="00B42194" w:rsidRPr="00600ED9">
              <w:rPr>
                <w:lang w:val="es-ES_tradnl"/>
              </w:rPr>
              <w:t>establece</w:t>
            </w:r>
            <w:r w:rsidR="001517D8" w:rsidRPr="00600ED9">
              <w:rPr>
                <w:lang w:val="es-ES_tradnl"/>
              </w:rPr>
              <w:t xml:space="preserve"> que la CGRC puede prescribir los métodos y la forma de rendición de cuentas para los responsables del manejo de fondos o bienes de la Nación, e indicar los criterios de evaluación financiera, operativa y de resultados que deberán seguirse.</w:t>
            </w:r>
          </w:p>
          <w:p w:rsidR="007F19FA" w:rsidRPr="00600ED9" w:rsidRDefault="007F19FA" w:rsidP="00FB1954">
            <w:pPr>
              <w:pStyle w:val="Normaltabletext"/>
              <w:spacing w:after="0"/>
              <w:rPr>
                <w:lang w:val="es-ES_tradnl"/>
              </w:rPr>
            </w:pPr>
          </w:p>
          <w:p w:rsidR="00B42194" w:rsidRPr="00600ED9" w:rsidRDefault="00B42194" w:rsidP="00FB1954">
            <w:pPr>
              <w:pStyle w:val="Normaltabletext"/>
              <w:spacing w:after="0"/>
              <w:rPr>
                <w:lang w:val="es-ES_tradnl"/>
              </w:rPr>
            </w:pPr>
            <w:r w:rsidRPr="00600ED9">
              <w:rPr>
                <w:lang w:val="es-ES_tradnl"/>
              </w:rPr>
              <w:t>Complementariamente, el Artículo 32 - Solicitud de información, del Decreto 2674-2012 que reglamenta el SIIF</w:t>
            </w:r>
            <w:r w:rsidRPr="00600ED9">
              <w:rPr>
                <w:rStyle w:val="FootnoteReference"/>
                <w:lang w:val="es-ES_tradnl"/>
              </w:rPr>
              <w:footnoteReference w:id="28"/>
            </w:r>
            <w:r w:rsidRPr="00600ED9">
              <w:rPr>
                <w:lang w:val="es-ES_tradnl"/>
              </w:rPr>
              <w:t>, establece: «Cuando los entes de control y seguimiento soliciten información que esté registrada en el SIIF Nación, las entidades en línea la extraerán del mismo para su presentación. Tales entes si lo consideran conveniente, podrán solicitar, de acuerdo a los procedimientos establecidos, su vinculación como usuarios del Sistema con un perfil especial de consulta, con el fin de obtener la información requerida.»</w:t>
            </w:r>
          </w:p>
          <w:p w:rsidR="007F19FA" w:rsidRPr="00600ED9" w:rsidRDefault="007F19FA" w:rsidP="00FB1954">
            <w:pPr>
              <w:pStyle w:val="Normaltabletext"/>
              <w:spacing w:after="0"/>
              <w:rPr>
                <w:lang w:val="es-ES_tradnl"/>
              </w:rPr>
            </w:pPr>
          </w:p>
          <w:p w:rsidR="001517D8" w:rsidRPr="00600ED9" w:rsidRDefault="00EC2AF4" w:rsidP="00FB1954">
            <w:pPr>
              <w:pStyle w:val="Normaltabletext"/>
              <w:spacing w:after="0"/>
              <w:rPr>
                <w:lang w:val="es-ES_tradnl"/>
              </w:rPr>
            </w:pPr>
            <w:r w:rsidRPr="00600ED9">
              <w:rPr>
                <w:lang w:val="es-ES_tradnl"/>
              </w:rPr>
              <w:lastRenderedPageBreak/>
              <w:t>Adicionalmente,</w:t>
            </w:r>
            <w:r w:rsidR="00B42194" w:rsidRPr="00600ED9">
              <w:rPr>
                <w:lang w:val="es-ES_tradnl"/>
              </w:rPr>
              <w:t xml:space="preserve"> la CGR</w:t>
            </w:r>
            <w:r w:rsidR="004F42B9">
              <w:rPr>
                <w:lang w:val="es-ES_tradnl"/>
              </w:rPr>
              <w:t>C</w:t>
            </w:r>
            <w:r w:rsidR="00B42194" w:rsidRPr="00600ED9">
              <w:rPr>
                <w:lang w:val="es-ES_tradnl"/>
              </w:rPr>
              <w:t xml:space="preserve"> cuenta con un proceso formal establecido en los Artículos 99 a 101 de la Ley 42 de 1993, en caso que pudiera llegar a presentarse instancias en las que un organismo o funcionario pueda limitar o negar el acceso a información requerida dentro del proceso auditor.</w:t>
            </w:r>
            <w:r w:rsidR="001517D8" w:rsidRPr="00600ED9">
              <w:rPr>
                <w:lang w:val="es-ES_tradnl"/>
              </w:rPr>
              <w:t>. Dichos artículos hablan de las sanciones a las cuales están sujetos los funcionarios de los entes sujetos de control, por no colaborar con los auditores de la CGRC en el desarrollo normal de las funciones asignadas a las contralorías. En este caso los contralores podrán imponer sanciones, amonestaciones, llamadas de atención e inclusive multas a los servidores públicos que entorpezcan o impidan el cumplimiento de las funciones asignadas a las contralorías.</w:t>
            </w:r>
          </w:p>
          <w:p w:rsidR="007F19FA" w:rsidRPr="00EA1355" w:rsidRDefault="007F19FA" w:rsidP="00FB1954">
            <w:pPr>
              <w:pStyle w:val="Normaltabletext"/>
              <w:spacing w:after="0"/>
              <w:rPr>
                <w:sz w:val="32"/>
                <w:lang w:val="es-ES_tradnl"/>
              </w:rPr>
            </w:pPr>
          </w:p>
        </w:tc>
      </w:tr>
      <w:tr w:rsidR="001517D8" w:rsidRPr="00600ED9" w:rsidTr="00545676">
        <w:tc>
          <w:tcPr>
            <w:tcW w:w="9356" w:type="dxa"/>
            <w:shd w:val="clear" w:color="auto" w:fill="D9D9D9" w:themeFill="background1" w:themeFillShade="D9"/>
          </w:tcPr>
          <w:p w:rsidR="001517D8" w:rsidRPr="00600ED9" w:rsidRDefault="001517D8" w:rsidP="00FB1954">
            <w:pPr>
              <w:pStyle w:val="NoSpacing"/>
              <w:rPr>
                <w:b/>
                <w:i/>
                <w:sz w:val="20"/>
                <w:szCs w:val="20"/>
                <w:lang w:val="es-ES_tradnl"/>
              </w:rPr>
            </w:pPr>
            <w:r w:rsidRPr="00600ED9">
              <w:rPr>
                <w:b/>
                <w:i/>
                <w:sz w:val="20"/>
                <w:szCs w:val="20"/>
                <w:lang w:val="es-ES_tradnl"/>
              </w:rPr>
              <w:lastRenderedPageBreak/>
              <w:t>Dimensión (iii) Derecho y obligación de informar</w:t>
            </w:r>
          </w:p>
        </w:tc>
      </w:tr>
      <w:tr w:rsidR="001517D8" w:rsidRPr="00600ED9" w:rsidTr="00F343E8">
        <w:tc>
          <w:tcPr>
            <w:tcW w:w="9356" w:type="dxa"/>
            <w:shd w:val="clear" w:color="auto" w:fill="D9D9D9" w:themeFill="background1" w:themeFillShade="D9"/>
          </w:tcPr>
          <w:p w:rsidR="001517D8" w:rsidRPr="00600ED9" w:rsidRDefault="00D32A51" w:rsidP="00FB1954">
            <w:pPr>
              <w:pStyle w:val="NoSpacing"/>
              <w:rPr>
                <w:i/>
                <w:sz w:val="20"/>
                <w:szCs w:val="20"/>
                <w:lang w:val="es-ES_tradnl"/>
              </w:rPr>
            </w:pPr>
            <w:r w:rsidRPr="00600ED9">
              <w:rPr>
                <w:b/>
                <w:i/>
                <w:sz w:val="20"/>
                <w:szCs w:val="20"/>
                <w:lang w:val="es-ES_tradnl"/>
              </w:rPr>
              <w:t>Puntuación</w:t>
            </w:r>
            <w:r w:rsidR="001517D8" w:rsidRPr="00600ED9">
              <w:rPr>
                <w:b/>
                <w:i/>
                <w:sz w:val="20"/>
                <w:szCs w:val="20"/>
                <w:lang w:val="es-ES_tradnl"/>
              </w:rPr>
              <w:t xml:space="preserve"> </w:t>
            </w:r>
            <w:r w:rsidR="001517D8" w:rsidRPr="00600ED9">
              <w:rPr>
                <w:rFonts w:cs="Calibri"/>
                <w:b/>
                <w:bCs/>
                <w:i/>
                <w:sz w:val="20"/>
                <w:szCs w:val="20"/>
                <w:lang w:val="es-ES_tradnl"/>
              </w:rPr>
              <w:t>3</w:t>
            </w:r>
            <w:r w:rsidRPr="00600ED9">
              <w:rPr>
                <w:rFonts w:cs="Calibri"/>
                <w:b/>
                <w:bCs/>
                <w:i/>
                <w:sz w:val="20"/>
                <w:szCs w:val="20"/>
                <w:lang w:val="es-ES_tradnl"/>
              </w:rPr>
              <w:t>:</w:t>
            </w:r>
            <w:r w:rsidR="001517D8" w:rsidRPr="00600ED9">
              <w:rPr>
                <w:rFonts w:cs="Calibri"/>
                <w:b/>
                <w:bCs/>
                <w:i/>
                <w:sz w:val="20"/>
                <w:szCs w:val="20"/>
                <w:lang w:val="es-ES_tradnl"/>
              </w:rPr>
              <w:t xml:space="preserve"> </w:t>
            </w:r>
            <w:r w:rsidR="001517D8" w:rsidRPr="00600ED9">
              <w:rPr>
                <w:rFonts w:cs="Calibri"/>
                <w:bCs/>
                <w:i/>
                <w:sz w:val="20"/>
                <w:szCs w:val="20"/>
                <w:lang w:val="es-ES_tradnl"/>
              </w:rPr>
              <w:t>S</w:t>
            </w:r>
            <w:r w:rsidR="001517D8" w:rsidRPr="00600ED9">
              <w:rPr>
                <w:rFonts w:cs="Calibri"/>
                <w:i/>
                <w:sz w:val="20"/>
                <w:szCs w:val="20"/>
                <w:lang w:val="es-ES_tradnl"/>
              </w:rPr>
              <w:t>e cumplen el criterio (a) y por lo menos cinco de los criterios mencionados.</w:t>
            </w:r>
          </w:p>
        </w:tc>
      </w:tr>
      <w:tr w:rsidR="001517D8" w:rsidRPr="00600ED9" w:rsidTr="00545676">
        <w:tc>
          <w:tcPr>
            <w:tcW w:w="9356" w:type="dxa"/>
          </w:tcPr>
          <w:p w:rsidR="001517D8" w:rsidRPr="00600ED9" w:rsidRDefault="001517D8" w:rsidP="00FB1954">
            <w:pPr>
              <w:pStyle w:val="Normaltabletext"/>
              <w:spacing w:after="0"/>
              <w:rPr>
                <w:lang w:val="es-ES_tradnl"/>
              </w:rPr>
            </w:pPr>
            <w:r w:rsidRPr="00600ED9">
              <w:rPr>
                <w:lang w:val="es-ES_tradnl"/>
              </w:rPr>
              <w:t>Cumple (a), (b), (c), (d), (e), (g) y (h). No cumple (f).</w:t>
            </w:r>
          </w:p>
          <w:p w:rsidR="007F19FA" w:rsidRPr="00600ED9" w:rsidRDefault="007F19FA" w:rsidP="00FB1954">
            <w:pPr>
              <w:pStyle w:val="Normaltabletext"/>
              <w:spacing w:after="0"/>
              <w:rPr>
                <w:sz w:val="22"/>
                <w:lang w:val="es-ES_tradnl"/>
              </w:rPr>
            </w:pPr>
          </w:p>
          <w:p w:rsidR="001517D8" w:rsidRPr="00600ED9" w:rsidRDefault="001517D8" w:rsidP="00FB1954">
            <w:pPr>
              <w:pStyle w:val="Normaltabletext"/>
              <w:spacing w:after="0"/>
              <w:rPr>
                <w:lang w:val="es-ES_tradnl"/>
              </w:rPr>
            </w:pPr>
            <w:r w:rsidRPr="00600ED9">
              <w:rPr>
                <w:lang w:val="es-ES_tradnl"/>
              </w:rPr>
              <w:t xml:space="preserve">La CGRC está obligada, por </w:t>
            </w:r>
            <w:r w:rsidR="003D11DB" w:rsidRPr="00600ED9">
              <w:rPr>
                <w:lang w:val="es-ES_tradnl"/>
              </w:rPr>
              <w:t>L</w:t>
            </w:r>
            <w:r w:rsidRPr="00600ED9">
              <w:rPr>
                <w:lang w:val="es-ES_tradnl"/>
              </w:rPr>
              <w:t xml:space="preserve">ey, a informar sobre hallazgos importantes y significativos al Congreso de la República y a publicar sus informes de auditoría. El Art. 268, numeral 11 en su último inciso, menciona la obligatoriedad que tiene la CGRC para informar sobre hallazgos importantes y significativos al Legislativo al menos una vez al año, tal como se detalla a continuación: “Presentar informes al Congreso y al Presidente de la República, sobre el cumplimiento de sus funciones y certificación sobre la situación de las finanzas del Estado, de acuerdo con la ley. Presentar a la Cámara de Representantes la Cuenta General de Presupuesto y del Tesoro y certificar el balance de la Hacienda presentado al Congreso por el Contador General.” </w:t>
            </w:r>
          </w:p>
          <w:p w:rsidR="007F19FA" w:rsidRPr="00600ED9" w:rsidRDefault="007F19FA" w:rsidP="00FB1954">
            <w:pPr>
              <w:pStyle w:val="Normaltabletext"/>
              <w:spacing w:after="0"/>
              <w:rPr>
                <w:sz w:val="22"/>
                <w:lang w:val="es-ES_tradnl"/>
              </w:rPr>
            </w:pPr>
          </w:p>
          <w:p w:rsidR="001517D8" w:rsidRPr="00600ED9" w:rsidRDefault="001517D8" w:rsidP="00FB1954">
            <w:pPr>
              <w:pStyle w:val="Normaltabletext"/>
              <w:spacing w:after="0"/>
              <w:rPr>
                <w:rFonts w:eastAsia="Calibri" w:cs="Calibri"/>
                <w:lang w:val="es-ES_tradnl"/>
              </w:rPr>
            </w:pPr>
            <w:r w:rsidRPr="00600ED9">
              <w:rPr>
                <w:lang w:val="es-ES_tradnl"/>
              </w:rPr>
              <w:t xml:space="preserve">La CGRC tiene también el derecho de decidir sobre el contenido y la temporalidad de sus informes, de acuerdo a sus procedimientos de planificación interna. </w:t>
            </w:r>
            <w:r w:rsidR="005561D8" w:rsidRPr="00600ED9">
              <w:rPr>
                <w:lang w:val="es-ES_tradnl"/>
              </w:rPr>
              <w:t xml:space="preserve"> </w:t>
            </w:r>
            <w:r w:rsidRPr="00600ED9">
              <w:rPr>
                <w:rFonts w:eastAsia="Calibri" w:cs="Calibri"/>
                <w:lang w:val="es-ES_tradnl"/>
              </w:rPr>
              <w:t>Durante los últimos tres años, la CGRC no ha registrado casos de inferencia en cuanto al contenido y publicación de sus informes.</w:t>
            </w:r>
          </w:p>
          <w:p w:rsidR="007F19FA" w:rsidRPr="00600ED9" w:rsidRDefault="007F19FA" w:rsidP="00FB1954">
            <w:pPr>
              <w:pStyle w:val="Normaltabletext"/>
              <w:spacing w:after="0"/>
              <w:rPr>
                <w:sz w:val="22"/>
                <w:lang w:val="es-ES_tradnl"/>
              </w:rPr>
            </w:pPr>
          </w:p>
          <w:p w:rsidR="001517D8" w:rsidRPr="00600ED9" w:rsidRDefault="001517D8" w:rsidP="00FB1954">
            <w:pPr>
              <w:pStyle w:val="Normaltabletext"/>
              <w:spacing w:after="0"/>
              <w:rPr>
                <w:lang w:val="es-ES_tradnl"/>
              </w:rPr>
            </w:pPr>
            <w:r w:rsidRPr="00600ED9">
              <w:rPr>
                <w:lang w:val="es-ES_tradnl"/>
              </w:rPr>
              <w:t>La guía de auditoría de la CGRC menciona la obligación que tiene la CGRC de brindar al Congreso información derivada del proceso auditor, en el inciso relacionado al Fortalecimiento del apoyo técnico al congreso de la República, que dice: “La Contraloría como organismo técnico debe brindar al Congreso información resultado del proceso auditor, que no tenga carácter reservado</w:t>
            </w:r>
            <w:r w:rsidRPr="00600ED9">
              <w:rPr>
                <w:rStyle w:val="FootnoteReference"/>
                <w:lang w:val="es-ES_tradnl"/>
              </w:rPr>
              <w:footnoteReference w:id="29"/>
            </w:r>
            <w:r w:rsidRPr="00600ED9">
              <w:rPr>
                <w:lang w:val="es-ES_tradnl"/>
              </w:rPr>
              <w:t>, para apoyar su labor de control político.”</w:t>
            </w:r>
          </w:p>
          <w:p w:rsidR="007F19FA" w:rsidRPr="00600ED9" w:rsidRDefault="007F19FA" w:rsidP="00FB1954">
            <w:pPr>
              <w:pStyle w:val="Normaltabletext"/>
              <w:spacing w:after="0"/>
              <w:rPr>
                <w:lang w:val="es-ES_tradnl"/>
              </w:rPr>
            </w:pPr>
          </w:p>
          <w:p w:rsidR="001517D8" w:rsidRPr="00600ED9" w:rsidRDefault="001517D8" w:rsidP="00FB1954">
            <w:pPr>
              <w:pStyle w:val="Normaltabletext"/>
              <w:spacing w:after="0"/>
              <w:rPr>
                <w:lang w:val="es-ES_tradnl"/>
              </w:rPr>
            </w:pPr>
            <w:r w:rsidRPr="00600ED9">
              <w:rPr>
                <w:lang w:val="es-ES_tradnl"/>
              </w:rPr>
              <w:t>Finalmente, se pudo verificar que el titular de la CGRC no tiene inmunidad ante una prosecución por cualquier acto que resulte de una descarga normal de sus deberes, puesto que de acuerdo a la Constitución de la República de Colombia (artículo 235, numeral 4), la Jurisdicción Ordinaria tiene la responsabilidad, a través de la Corte Suprema de Justicia, de juzgar a altos funcionarios públicos. Por lo tanto, el mandato de la ley no provee inmunidad al Contralor de la República como lo recomienda la ISSAI.</w:t>
            </w:r>
          </w:p>
          <w:p w:rsidR="007F19FA" w:rsidRPr="00600ED9" w:rsidRDefault="007F19FA" w:rsidP="00FB1954">
            <w:pPr>
              <w:pStyle w:val="Normaltabletext"/>
              <w:spacing w:after="0"/>
              <w:rPr>
                <w:sz w:val="24"/>
                <w:lang w:val="es-ES_tradnl"/>
              </w:rPr>
            </w:pPr>
          </w:p>
          <w:p w:rsidR="001517D8" w:rsidRPr="00600ED9" w:rsidRDefault="001517D8" w:rsidP="00FB1954">
            <w:pPr>
              <w:pStyle w:val="Normaltabletext"/>
              <w:spacing w:after="0"/>
              <w:rPr>
                <w:lang w:val="es-ES_tradnl"/>
              </w:rPr>
            </w:pPr>
            <w:r w:rsidRPr="00600ED9">
              <w:rPr>
                <w:lang w:val="es-ES_tradnl"/>
              </w:rPr>
              <w:t xml:space="preserve">Además, esta inmunidad no está contemplada en la </w:t>
            </w:r>
            <w:r w:rsidR="00A6325D" w:rsidRPr="00600ED9">
              <w:rPr>
                <w:lang w:val="es-ES_tradnl"/>
              </w:rPr>
              <w:t>L</w:t>
            </w:r>
            <w:r w:rsidRPr="00600ED9">
              <w:rPr>
                <w:lang w:val="es-ES_tradnl"/>
              </w:rPr>
              <w:t>ey, para ninguna de las altas autoridades del Estado. Al respecto, se pudo determinar que se inició un proceso judicial en contra de la ex contralora, siendo la Fiscalía General de la Nación la entidad que tomó la decisión de imputar a la máxima autoridad previa de la CGRC por irregularidades encontradas en cuatro contratos de arrendamiento de la nueva sede de la Contraloría bajo los delitos de peculado, contratos sin cumplimento de requisitos legales, falsedad en documento público e interés indebido e</w:t>
            </w:r>
            <w:r w:rsidR="007F19FA" w:rsidRPr="00600ED9">
              <w:rPr>
                <w:lang w:val="es-ES_tradnl"/>
              </w:rPr>
              <w:t xml:space="preserve">n la celebración de contratos. </w:t>
            </w:r>
            <w:r w:rsidRPr="00600ED9">
              <w:rPr>
                <w:lang w:val="es-ES_tradnl"/>
              </w:rPr>
              <w:t>Al momento de la realización del diagnóstico (primer semestre del 2015), el  proceso judicial no ha concluido.</w:t>
            </w:r>
          </w:p>
          <w:p w:rsidR="007F19FA" w:rsidRPr="00600ED9" w:rsidRDefault="007F19FA" w:rsidP="00FB1954">
            <w:pPr>
              <w:pStyle w:val="Normaltabletext"/>
              <w:spacing w:after="0"/>
              <w:rPr>
                <w:sz w:val="24"/>
                <w:lang w:val="es-ES_tradnl"/>
              </w:rPr>
            </w:pPr>
          </w:p>
        </w:tc>
      </w:tr>
      <w:tr w:rsidR="001517D8" w:rsidRPr="00600ED9" w:rsidTr="00545676">
        <w:tc>
          <w:tcPr>
            <w:tcW w:w="9356" w:type="dxa"/>
            <w:shd w:val="clear" w:color="auto" w:fill="D9D9D9" w:themeFill="background1" w:themeFillShade="D9"/>
          </w:tcPr>
          <w:p w:rsidR="001517D8" w:rsidRPr="00600ED9" w:rsidRDefault="001517D8" w:rsidP="00FB1954">
            <w:pPr>
              <w:pStyle w:val="NoSpacing"/>
              <w:rPr>
                <w:b/>
                <w:i/>
                <w:sz w:val="20"/>
                <w:szCs w:val="20"/>
                <w:lang w:val="es-ES_tradnl"/>
              </w:rPr>
            </w:pPr>
            <w:r w:rsidRPr="00600ED9">
              <w:rPr>
                <w:b/>
                <w:i/>
                <w:sz w:val="20"/>
                <w:szCs w:val="20"/>
                <w:lang w:val="es-ES_tradnl"/>
              </w:rPr>
              <w:t>Dimensión (iv) Existencia de mecanismos de seguimiento efectivos</w:t>
            </w:r>
          </w:p>
        </w:tc>
      </w:tr>
      <w:tr w:rsidR="001517D8" w:rsidRPr="00600ED9" w:rsidTr="00F343E8">
        <w:tc>
          <w:tcPr>
            <w:tcW w:w="9356" w:type="dxa"/>
            <w:shd w:val="clear" w:color="auto" w:fill="D9D9D9" w:themeFill="background1" w:themeFillShade="D9"/>
          </w:tcPr>
          <w:p w:rsidR="001517D8" w:rsidRPr="00600ED9" w:rsidRDefault="001517D8" w:rsidP="00FB1954">
            <w:pPr>
              <w:pStyle w:val="NoSpacing"/>
              <w:rPr>
                <w:i/>
                <w:sz w:val="20"/>
                <w:szCs w:val="20"/>
                <w:lang w:val="es-ES_tradnl"/>
              </w:rPr>
            </w:pPr>
            <w:r w:rsidRPr="00600ED9">
              <w:rPr>
                <w:b/>
                <w:i/>
                <w:sz w:val="20"/>
                <w:szCs w:val="20"/>
                <w:lang w:val="es-ES_tradnl"/>
              </w:rPr>
              <w:t xml:space="preserve">Puntuación: </w:t>
            </w:r>
            <w:r w:rsidRPr="00600ED9">
              <w:rPr>
                <w:rFonts w:cs="Calibri"/>
                <w:b/>
                <w:bCs/>
                <w:i/>
                <w:sz w:val="20"/>
                <w:szCs w:val="20"/>
                <w:lang w:val="es-ES_tradnl"/>
              </w:rPr>
              <w:t xml:space="preserve">3 </w:t>
            </w:r>
            <w:r w:rsidRPr="00600ED9">
              <w:rPr>
                <w:rFonts w:cs="Calibri"/>
                <w:bCs/>
                <w:i/>
                <w:sz w:val="20"/>
                <w:szCs w:val="20"/>
                <w:lang w:val="es-ES_tradnl"/>
              </w:rPr>
              <w:t>S</w:t>
            </w:r>
            <w:r w:rsidRPr="00600ED9">
              <w:rPr>
                <w:rFonts w:cs="Calibri"/>
                <w:i/>
                <w:sz w:val="20"/>
                <w:szCs w:val="20"/>
                <w:lang w:val="es-ES_tradnl"/>
              </w:rPr>
              <w:t>e cumplen por lo menos tres de los criterios mencionados</w:t>
            </w:r>
          </w:p>
        </w:tc>
      </w:tr>
      <w:tr w:rsidR="001517D8" w:rsidRPr="00600ED9" w:rsidTr="00545676">
        <w:tc>
          <w:tcPr>
            <w:tcW w:w="9356" w:type="dxa"/>
          </w:tcPr>
          <w:p w:rsidR="001517D8" w:rsidRPr="00600ED9" w:rsidRDefault="001517D8" w:rsidP="00FB1954">
            <w:pPr>
              <w:pStyle w:val="Normaltabletext"/>
              <w:spacing w:after="0"/>
              <w:rPr>
                <w:lang w:val="es-ES_tradnl"/>
              </w:rPr>
            </w:pPr>
            <w:r w:rsidRPr="00600ED9">
              <w:rPr>
                <w:lang w:val="es-ES_tradnl"/>
              </w:rPr>
              <w:t>Se cumplen (b), (c) y (d). No se cumple (a).</w:t>
            </w:r>
          </w:p>
          <w:p w:rsidR="007F19FA" w:rsidRPr="00600ED9" w:rsidRDefault="007F19FA" w:rsidP="00FB1954">
            <w:pPr>
              <w:pStyle w:val="Normaltabletext"/>
              <w:spacing w:after="0"/>
              <w:rPr>
                <w:sz w:val="24"/>
                <w:lang w:val="es-ES_tradnl"/>
              </w:rPr>
            </w:pPr>
          </w:p>
          <w:p w:rsidR="005561D8" w:rsidRPr="00600ED9" w:rsidRDefault="001517D8" w:rsidP="00FB1954">
            <w:pPr>
              <w:pStyle w:val="Normaltabletext"/>
              <w:spacing w:after="0"/>
              <w:rPr>
                <w:lang w:val="es-ES_tradnl"/>
              </w:rPr>
            </w:pPr>
            <w:r w:rsidRPr="00600ED9">
              <w:rPr>
                <w:lang w:val="es-ES_tradnl"/>
              </w:rPr>
              <w:lastRenderedPageBreak/>
              <w:t xml:space="preserve">La CGRC, de conformidad con lo previsto en el numeral 11 del artículo 267 de la Constitución Nacional, desarrollado por el artículo 254 de la Ley 5 de 1992, da a conocer al Congreso de la República los resultados de su gestión a través de su último informe por el cuatrienio transcurrido entre el 1º de septiembre de 2010 y el 31 de agosto de 2014. </w:t>
            </w:r>
          </w:p>
          <w:p w:rsidR="007F19FA" w:rsidRPr="00600ED9" w:rsidRDefault="007F19FA" w:rsidP="00FB1954">
            <w:pPr>
              <w:pStyle w:val="Normaltabletext"/>
              <w:spacing w:after="0"/>
              <w:rPr>
                <w:sz w:val="16"/>
                <w:lang w:val="es-ES_tradnl"/>
              </w:rPr>
            </w:pPr>
          </w:p>
          <w:p w:rsidR="001517D8" w:rsidRPr="00600ED9" w:rsidRDefault="001517D8" w:rsidP="00FB1954">
            <w:pPr>
              <w:pStyle w:val="Normaltabletext"/>
              <w:spacing w:after="0"/>
              <w:rPr>
                <w:lang w:val="es-ES_tradnl"/>
              </w:rPr>
            </w:pPr>
            <w:r w:rsidRPr="00600ED9">
              <w:rPr>
                <w:lang w:val="es-ES_tradnl"/>
              </w:rPr>
              <w:t>Este informe se compone de dos partes: la primera, aborda los resultados de la gestión misional propiamente dicha (capítulos 1 a 13) y la segunda, hace referencia al proceso de modernización de la CGRC (capítulos 14 a 18).</w:t>
            </w:r>
          </w:p>
          <w:p w:rsidR="007F19FA" w:rsidRPr="00600ED9" w:rsidRDefault="007F19FA" w:rsidP="00FB1954">
            <w:pPr>
              <w:pStyle w:val="Normaltabletext"/>
              <w:spacing w:after="0"/>
              <w:rPr>
                <w:sz w:val="18"/>
                <w:lang w:val="es-ES_tradnl"/>
              </w:rPr>
            </w:pPr>
          </w:p>
          <w:p w:rsidR="001517D8" w:rsidRPr="00600ED9" w:rsidRDefault="001517D8" w:rsidP="00FB1954">
            <w:pPr>
              <w:pStyle w:val="Normaltabletext"/>
              <w:spacing w:after="0"/>
              <w:rPr>
                <w:lang w:val="es-ES_tradnl"/>
              </w:rPr>
            </w:pPr>
            <w:r w:rsidRPr="00600ED9">
              <w:rPr>
                <w:lang w:val="es-ES_tradnl"/>
              </w:rPr>
              <w:t>La CGRC tiene la facultad de acudir a las autoridades competentes para exigir que se siga el debido proceso con respecto a los hallazgos que la CGRC haya determinado y que no se entreguen como juicios legalmente válidos y aplicables, tal como lo detalla la Constitución en su artículo 268, numeral 8: “Promover ante las autoridades competentes, aportando las pruebas respectivas, investigaciones penales o disciplinarias contra quienes hayan causado perjuicio a los intereses patrimoniales del Estado. La Contraloría, bajo su responsabilidad, podrá exigir, verdad sabida y buena fe guardada, la suspensión inmediata de funcionarios mientras culminan las investigaciones o los respectivos procesos penales o disciplinarios.”</w:t>
            </w:r>
          </w:p>
          <w:p w:rsidR="007F19FA" w:rsidRPr="00600ED9" w:rsidRDefault="007F19FA" w:rsidP="00FB1954">
            <w:pPr>
              <w:pStyle w:val="Normaltabletext"/>
              <w:spacing w:after="0"/>
              <w:rPr>
                <w:sz w:val="18"/>
                <w:lang w:val="es-ES_tradnl"/>
              </w:rPr>
            </w:pPr>
          </w:p>
          <w:p w:rsidR="001517D8" w:rsidRPr="00600ED9" w:rsidRDefault="001517D8" w:rsidP="00FB1954">
            <w:pPr>
              <w:pStyle w:val="Normaltabletext"/>
              <w:spacing w:after="0"/>
              <w:rPr>
                <w:lang w:val="es-ES_tradnl"/>
              </w:rPr>
            </w:pPr>
            <w:r w:rsidRPr="00600ED9">
              <w:rPr>
                <w:lang w:val="es-ES_tradnl"/>
              </w:rPr>
              <w:t>Finalmente, la CGRC cuenta con una Unidad de Apoyo Técnico al Congreso, que es la encargada de brindar asistencia técnica a las plenarias, las comisiones constitucionales y legales, las bancadas parlamentarias y los senadores y representantes a la Cámara, para el ejercicio de su función legislativa y de control político. Este apoyo se ofrece a través del suministro de información que no tenga carácter reservado, el acompañamiento en el análisis, evaluación y la elaboración de proyectos e informes, especialmente en relación con su impacto y efectos fiscales y presupuestales, así como la canalización de las denuncias o quejas de origen parlamentario. La relación entre la CGRC y el Congreso de la República de Colombia están definidos de manera clara en  la Ley 1474 del 2011, Art 128, inciso 4º.</w:t>
            </w:r>
          </w:p>
          <w:p w:rsidR="007F19FA" w:rsidRPr="00600ED9" w:rsidRDefault="007F19FA" w:rsidP="00FB1954">
            <w:pPr>
              <w:pStyle w:val="Normaltabletext"/>
              <w:spacing w:after="0"/>
              <w:rPr>
                <w:sz w:val="18"/>
                <w:lang w:val="es-ES_tradnl"/>
              </w:rPr>
            </w:pPr>
          </w:p>
          <w:p w:rsidR="00D32A51" w:rsidRPr="00600ED9" w:rsidRDefault="00D32A51" w:rsidP="00FB1954">
            <w:pPr>
              <w:pStyle w:val="Normaltabletext"/>
              <w:spacing w:after="0"/>
              <w:rPr>
                <w:lang w:val="es-ES_tradnl"/>
              </w:rPr>
            </w:pPr>
            <w:r w:rsidRPr="00600ED9">
              <w:rPr>
                <w:lang w:val="es-ES_tradnl"/>
              </w:rPr>
              <w:t xml:space="preserve">Como parte del proceso auditor y específicamente en lo que se refiere a la fase de seguimiento, la CGRC dispone de un sistema, a través del cual las entidades, una vez reciben el informe, para los hallazgos y recomendaciones desarrollan  un Plan de Mejoramiento, el cual es reportado en el SIRECI. Sin embargo, la CGRC no realiza seguimiento periódico a la implementación de las recomendaciones, solo hasta una próxima auditoría evalúa las acciones emprendidas por el ente sujeto de control. </w:t>
            </w:r>
          </w:p>
          <w:p w:rsidR="007F19FA" w:rsidRPr="00600ED9" w:rsidRDefault="007F19FA" w:rsidP="00FB1954">
            <w:pPr>
              <w:pStyle w:val="Normaltabletext"/>
              <w:spacing w:after="0"/>
              <w:rPr>
                <w:sz w:val="14"/>
                <w:lang w:val="es-ES_tradnl"/>
              </w:rPr>
            </w:pPr>
          </w:p>
        </w:tc>
      </w:tr>
    </w:tbl>
    <w:p w:rsidR="00F343E8" w:rsidRPr="00600ED9" w:rsidRDefault="00F343E8" w:rsidP="00FB1954">
      <w:pPr>
        <w:pStyle w:val="NoSpacing"/>
        <w:ind w:left="720"/>
        <w:rPr>
          <w:lang w:val="es-ES_tradnl"/>
        </w:rPr>
      </w:pPr>
    </w:p>
    <w:p w:rsidR="007543B9" w:rsidRPr="00600ED9" w:rsidRDefault="007F19FA" w:rsidP="00FB1954">
      <w:pPr>
        <w:pStyle w:val="NoSpacing"/>
        <w:ind w:left="720"/>
        <w:rPr>
          <w:lang w:val="es-ES_tradnl"/>
        </w:rPr>
      </w:pPr>
      <w:r w:rsidRPr="00600ED9">
        <w:rPr>
          <w:b/>
          <w:bCs/>
          <w:smallCaps/>
          <w:lang w:val="es-ES_tradnl"/>
        </w:rPr>
        <w:t>Recomendació</w:t>
      </w:r>
      <w:r w:rsidR="003B04AB" w:rsidRPr="00600ED9">
        <w:rPr>
          <w:b/>
          <w:bCs/>
          <w:smallCaps/>
          <w:lang w:val="es-ES_tradnl"/>
        </w:rPr>
        <w:t>n:</w:t>
      </w:r>
      <w:r w:rsidR="0060405D" w:rsidRPr="00600ED9">
        <w:rPr>
          <w:b/>
          <w:bCs/>
          <w:smallCaps/>
          <w:lang w:val="es-ES_tradnl"/>
        </w:rPr>
        <w:t xml:space="preserve"> </w:t>
      </w:r>
      <w:r w:rsidR="005120A2" w:rsidRPr="00600ED9">
        <w:rPr>
          <w:lang w:val="es-ES_tradnl"/>
        </w:rPr>
        <w:t>Consultar el</w:t>
      </w:r>
      <w:r w:rsidR="00CA3E61" w:rsidRPr="00600ED9">
        <w:rPr>
          <w:lang w:val="es-ES_tradnl"/>
        </w:rPr>
        <w:t xml:space="preserve"> Anexo </w:t>
      </w:r>
      <w:r w:rsidR="003F6677" w:rsidRPr="00600ED9">
        <w:rPr>
          <w:lang w:val="es-ES_tradnl"/>
        </w:rPr>
        <w:t>A</w:t>
      </w:r>
      <w:r w:rsidR="00CA3E61" w:rsidRPr="00600ED9">
        <w:rPr>
          <w:lang w:val="es-ES_tradnl"/>
        </w:rPr>
        <w:t xml:space="preserve">: Plan de Acción, </w:t>
      </w:r>
      <w:r w:rsidR="004B2B29" w:rsidRPr="00600ED9">
        <w:rPr>
          <w:lang w:val="es-ES_tradnl"/>
        </w:rPr>
        <w:t>recomendaci</w:t>
      </w:r>
      <w:r w:rsidR="00350E5C" w:rsidRPr="00600ED9">
        <w:rPr>
          <w:lang w:val="es-ES_tradnl"/>
        </w:rPr>
        <w:t xml:space="preserve">ón No. 6. </w:t>
      </w:r>
    </w:p>
    <w:p w:rsidR="00F343E8" w:rsidRPr="00600ED9" w:rsidRDefault="00F343E8" w:rsidP="00FB1954">
      <w:pPr>
        <w:pStyle w:val="NoSpacing"/>
        <w:ind w:left="720"/>
        <w:rPr>
          <w:sz w:val="20"/>
          <w:lang w:val="es-ES_tradnl"/>
        </w:rPr>
      </w:pPr>
    </w:p>
    <w:p w:rsidR="00AB7798" w:rsidRPr="00600ED9" w:rsidRDefault="00AB7798" w:rsidP="00FB1954">
      <w:pPr>
        <w:pStyle w:val="NoSpacing"/>
        <w:ind w:left="720"/>
        <w:rPr>
          <w:sz w:val="20"/>
          <w:lang w:val="es-ES_tradnl"/>
        </w:rPr>
      </w:pPr>
    </w:p>
    <w:p w:rsidR="00720E42" w:rsidRPr="00600ED9" w:rsidRDefault="00720E42" w:rsidP="00FB1954">
      <w:pPr>
        <w:pStyle w:val="Heading1"/>
        <w:spacing w:line="240" w:lineRule="auto"/>
        <w:ind w:left="567" w:hanging="567"/>
        <w:rPr>
          <w:noProof w:val="0"/>
        </w:rPr>
      </w:pPr>
      <w:bookmarkStart w:id="21" w:name="_Toc295932913"/>
      <w:r w:rsidRPr="00600ED9">
        <w:rPr>
          <w:noProof w:val="0"/>
        </w:rPr>
        <w:t>Dominio C: Estrategia para el Desarrollo Organizacional</w:t>
      </w:r>
      <w:bookmarkEnd w:id="21"/>
    </w:p>
    <w:p w:rsidR="00A26130" w:rsidRPr="00600ED9" w:rsidRDefault="00A26130" w:rsidP="00FB1954">
      <w:pPr>
        <w:pStyle w:val="NoSpacing"/>
        <w:ind w:left="567"/>
        <w:jc w:val="both"/>
        <w:rPr>
          <w:lang w:val="es-ES_tradnl"/>
        </w:rPr>
      </w:pPr>
    </w:p>
    <w:p w:rsidR="00A26130" w:rsidRPr="00600ED9" w:rsidRDefault="00A26130" w:rsidP="00FB1954">
      <w:pPr>
        <w:pStyle w:val="NoSpacing"/>
        <w:ind w:left="567"/>
        <w:jc w:val="both"/>
        <w:rPr>
          <w:lang w:val="es-ES_tradnl"/>
        </w:rPr>
      </w:pPr>
      <w:r w:rsidRPr="00600ED9">
        <w:rPr>
          <w:rFonts w:cs="Arial"/>
          <w:szCs w:val="24"/>
          <w:lang w:val="es-ES_tradnl"/>
        </w:rPr>
        <w:t xml:space="preserve">Este dominio </w:t>
      </w:r>
      <w:r w:rsidR="001F4F32" w:rsidRPr="00600ED9">
        <w:rPr>
          <w:rFonts w:cs="Arial"/>
          <w:szCs w:val="24"/>
          <w:lang w:val="es-ES_tradnl"/>
        </w:rPr>
        <w:t>analiza</w:t>
      </w:r>
      <w:r w:rsidR="00D82475" w:rsidRPr="00600ED9">
        <w:rPr>
          <w:rFonts w:cs="Arial"/>
          <w:szCs w:val="24"/>
          <w:lang w:val="es-ES_tradnl"/>
        </w:rPr>
        <w:t xml:space="preserve"> el indicador EFS-8, el cual busca</w:t>
      </w:r>
      <w:r w:rsidRPr="00600ED9">
        <w:rPr>
          <w:rFonts w:cs="Arial"/>
          <w:szCs w:val="24"/>
          <w:lang w:val="es-ES_tradnl"/>
        </w:rPr>
        <w:t xml:space="preserve"> </w:t>
      </w:r>
      <w:r w:rsidR="000B5992" w:rsidRPr="00600ED9">
        <w:rPr>
          <w:rFonts w:cs="Arial"/>
          <w:szCs w:val="24"/>
          <w:lang w:val="es-ES_tradnl"/>
        </w:rPr>
        <w:t xml:space="preserve">establecer la disponibilidad de </w:t>
      </w:r>
      <w:r w:rsidR="001F4F32" w:rsidRPr="00600ED9">
        <w:rPr>
          <w:rFonts w:ascii="Calibri" w:hAnsi="Calibri" w:cs="Calibri"/>
          <w:lang w:val="es-ES_tradnl"/>
        </w:rPr>
        <w:t xml:space="preserve">sistemas eficientes y efectivos  </w:t>
      </w:r>
      <w:r w:rsidR="000B5992" w:rsidRPr="00600ED9">
        <w:rPr>
          <w:rFonts w:ascii="Calibri" w:hAnsi="Calibri" w:cs="Calibri"/>
          <w:lang w:val="es-ES_tradnl"/>
        </w:rPr>
        <w:t xml:space="preserve">para la planeación  a </w:t>
      </w:r>
      <w:r w:rsidR="001F4F32" w:rsidRPr="00600ED9">
        <w:rPr>
          <w:rFonts w:ascii="Calibri" w:hAnsi="Calibri" w:cs="Calibri"/>
          <w:lang w:val="es-ES_tradnl"/>
        </w:rPr>
        <w:t xml:space="preserve">largo </w:t>
      </w:r>
      <w:r w:rsidR="000B5992" w:rsidRPr="00600ED9">
        <w:rPr>
          <w:rFonts w:ascii="Calibri" w:hAnsi="Calibri" w:cs="Calibri"/>
          <w:lang w:val="es-ES_tradnl"/>
        </w:rPr>
        <w:t>y</w:t>
      </w:r>
      <w:r w:rsidR="001F4F32" w:rsidRPr="00600ED9">
        <w:rPr>
          <w:rFonts w:ascii="Calibri" w:hAnsi="Calibri" w:cs="Calibri"/>
          <w:lang w:val="es-ES_tradnl"/>
        </w:rPr>
        <w:t xml:space="preserve"> corto plazo</w:t>
      </w:r>
      <w:r w:rsidR="000B5992" w:rsidRPr="00600ED9">
        <w:rPr>
          <w:rFonts w:ascii="Calibri" w:hAnsi="Calibri" w:cs="Calibri"/>
          <w:lang w:val="es-ES_tradnl"/>
        </w:rPr>
        <w:t xml:space="preserve">,  y la forma en que se monitorea e </w:t>
      </w:r>
      <w:r w:rsidR="003251D8" w:rsidRPr="00600ED9">
        <w:rPr>
          <w:rFonts w:ascii="Calibri" w:hAnsi="Calibri" w:cs="Calibri"/>
          <w:lang w:val="es-ES_tradnl"/>
        </w:rPr>
        <w:t>informa</w:t>
      </w:r>
      <w:r w:rsidR="001F4F32" w:rsidRPr="00600ED9">
        <w:rPr>
          <w:rFonts w:ascii="Calibri" w:hAnsi="Calibri" w:cs="Calibri"/>
          <w:lang w:val="es-ES_tradnl"/>
        </w:rPr>
        <w:t xml:space="preserve">  </w:t>
      </w:r>
      <w:r w:rsidR="000B5992" w:rsidRPr="00600ED9">
        <w:rPr>
          <w:rFonts w:ascii="Calibri" w:hAnsi="Calibri" w:cs="Calibri"/>
          <w:lang w:val="es-ES_tradnl"/>
        </w:rPr>
        <w:t>sobre el</w:t>
      </w:r>
      <w:r w:rsidR="001F4F32" w:rsidRPr="00600ED9">
        <w:rPr>
          <w:rFonts w:ascii="Calibri" w:hAnsi="Calibri" w:cs="Calibri"/>
          <w:lang w:val="es-ES_tradnl"/>
        </w:rPr>
        <w:t xml:space="preserve"> desempeño</w:t>
      </w:r>
      <w:r w:rsidR="000B5992" w:rsidRPr="00600ED9">
        <w:rPr>
          <w:rFonts w:ascii="Calibri" w:hAnsi="Calibri" w:cs="Calibri"/>
          <w:lang w:val="es-ES_tradnl"/>
        </w:rPr>
        <w:t xml:space="preserve"> de la EFS. </w:t>
      </w:r>
    </w:p>
    <w:p w:rsidR="00BF1D03" w:rsidRPr="00600ED9" w:rsidRDefault="00BF1D03" w:rsidP="00FB1954">
      <w:pPr>
        <w:spacing w:after="0" w:line="240" w:lineRule="auto"/>
      </w:pPr>
    </w:p>
    <w:p w:rsidR="00A54788" w:rsidRPr="00600ED9" w:rsidRDefault="00720E42" w:rsidP="00233205">
      <w:pPr>
        <w:pStyle w:val="Heading2"/>
        <w:numPr>
          <w:ilvl w:val="0"/>
          <w:numId w:val="21"/>
        </w:numPr>
        <w:spacing w:before="0" w:line="240" w:lineRule="auto"/>
        <w:ind w:hanging="513"/>
      </w:pPr>
      <w:bookmarkStart w:id="22" w:name="_Toc295932914"/>
      <w:r w:rsidRPr="00600ED9">
        <w:t>EFS</w:t>
      </w:r>
      <w:r w:rsidR="00574E3F" w:rsidRPr="00600ED9">
        <w:t xml:space="preserve"> </w:t>
      </w:r>
      <w:r w:rsidRPr="00600ED9">
        <w:t>8 – Estrategia para el Desarrollo Organizacional</w:t>
      </w:r>
      <w:bookmarkEnd w:id="22"/>
    </w:p>
    <w:p w:rsidR="00370DF2" w:rsidRPr="00600ED9" w:rsidRDefault="00370DF2" w:rsidP="00FB1954">
      <w:pPr>
        <w:pStyle w:val="NoSpacing"/>
        <w:rPr>
          <w:lang w:val="es-ES_tradnl"/>
        </w:rPr>
      </w:pPr>
    </w:p>
    <w:tbl>
      <w:tblPr>
        <w:tblW w:w="7856" w:type="dxa"/>
        <w:tblInd w:w="720" w:type="dxa"/>
        <w:tblCellMar>
          <w:left w:w="70" w:type="dxa"/>
          <w:right w:w="70" w:type="dxa"/>
        </w:tblCellMar>
        <w:tblLook w:val="04A0" w:firstRow="1" w:lastRow="0" w:firstColumn="1" w:lastColumn="0" w:noHBand="0" w:noVBand="1"/>
      </w:tblPr>
      <w:tblGrid>
        <w:gridCol w:w="2560"/>
        <w:gridCol w:w="956"/>
        <w:gridCol w:w="1064"/>
        <w:gridCol w:w="901"/>
        <w:gridCol w:w="1064"/>
        <w:gridCol w:w="160"/>
        <w:gridCol w:w="1151"/>
      </w:tblGrid>
      <w:tr w:rsidR="00A54788" w:rsidRPr="00600ED9" w:rsidTr="00F07F86">
        <w:trPr>
          <w:trHeight w:val="255"/>
        </w:trPr>
        <w:tc>
          <w:tcPr>
            <w:tcW w:w="2560" w:type="dxa"/>
            <w:tcBorders>
              <w:top w:val="nil"/>
              <w:left w:val="nil"/>
              <w:bottom w:val="nil"/>
              <w:right w:val="nil"/>
            </w:tcBorders>
            <w:shd w:val="clear" w:color="auto" w:fill="auto"/>
            <w:noWrap/>
            <w:vAlign w:val="bottom"/>
            <w:hideMark/>
          </w:tcPr>
          <w:p w:rsidR="00A54788" w:rsidRPr="00600ED9" w:rsidRDefault="00A54788" w:rsidP="00FB1954">
            <w:pPr>
              <w:pStyle w:val="NoSpacing"/>
              <w:tabs>
                <w:tab w:val="center" w:pos="4680"/>
                <w:tab w:val="right" w:pos="9360"/>
              </w:tabs>
              <w:jc w:val="center"/>
              <w:rPr>
                <w:sz w:val="20"/>
                <w:lang w:val="es-ES_tradnl"/>
              </w:rPr>
            </w:pPr>
          </w:p>
        </w:tc>
        <w:tc>
          <w:tcPr>
            <w:tcW w:w="3985" w:type="dxa"/>
            <w:gridSpan w:val="4"/>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A54788" w:rsidRPr="00600ED9" w:rsidRDefault="00A54788" w:rsidP="00FB1954">
            <w:pPr>
              <w:pStyle w:val="NoSpacing"/>
              <w:jc w:val="center"/>
              <w:rPr>
                <w:b/>
                <w:bCs/>
                <w:sz w:val="20"/>
                <w:lang w:val="es-ES_tradnl"/>
              </w:rPr>
            </w:pPr>
            <w:r w:rsidRPr="00600ED9">
              <w:rPr>
                <w:b/>
                <w:bCs/>
                <w:sz w:val="20"/>
                <w:lang w:val="es-ES_tradnl"/>
              </w:rPr>
              <w:t>Dimensiones Evaluadas</w:t>
            </w:r>
          </w:p>
        </w:tc>
        <w:tc>
          <w:tcPr>
            <w:tcW w:w="160" w:type="dxa"/>
            <w:tcBorders>
              <w:top w:val="nil"/>
              <w:left w:val="nil"/>
              <w:bottom w:val="nil"/>
              <w:right w:val="nil"/>
            </w:tcBorders>
            <w:shd w:val="clear" w:color="auto" w:fill="auto"/>
            <w:noWrap/>
            <w:vAlign w:val="bottom"/>
            <w:hideMark/>
          </w:tcPr>
          <w:p w:rsidR="00A54788" w:rsidRPr="00600ED9" w:rsidRDefault="00A54788" w:rsidP="00FB1954">
            <w:pPr>
              <w:pStyle w:val="NoSpacing"/>
              <w:tabs>
                <w:tab w:val="center" w:pos="4680"/>
                <w:tab w:val="right" w:pos="9360"/>
              </w:tabs>
              <w:jc w:val="center"/>
              <w:rPr>
                <w:sz w:val="20"/>
                <w:lang w:val="es-ES_tradnl"/>
              </w:rPr>
            </w:pPr>
          </w:p>
        </w:tc>
        <w:tc>
          <w:tcPr>
            <w:tcW w:w="1151" w:type="dxa"/>
            <w:vMerge w:val="restart"/>
            <w:tcBorders>
              <w:top w:val="single" w:sz="4" w:space="0" w:color="auto"/>
              <w:left w:val="single" w:sz="4" w:space="0" w:color="auto"/>
              <w:bottom w:val="single" w:sz="4" w:space="0" w:color="auto"/>
              <w:right w:val="single" w:sz="4" w:space="0" w:color="auto"/>
            </w:tcBorders>
            <w:shd w:val="clear" w:color="000000" w:fill="95B3D7"/>
            <w:vAlign w:val="center"/>
            <w:hideMark/>
          </w:tcPr>
          <w:p w:rsidR="00A54788" w:rsidRPr="00600ED9" w:rsidRDefault="00A54788" w:rsidP="00FB1954">
            <w:pPr>
              <w:pStyle w:val="NoSpacing"/>
              <w:jc w:val="center"/>
              <w:rPr>
                <w:b/>
                <w:bCs/>
                <w:sz w:val="20"/>
                <w:lang w:val="es-ES_tradnl"/>
              </w:rPr>
            </w:pPr>
            <w:r w:rsidRPr="00600ED9">
              <w:rPr>
                <w:b/>
                <w:bCs/>
                <w:sz w:val="20"/>
                <w:lang w:val="es-ES_tradnl"/>
              </w:rPr>
              <w:t>Puntuación General</w:t>
            </w:r>
          </w:p>
        </w:tc>
      </w:tr>
      <w:tr w:rsidR="00A54788" w:rsidRPr="00600ED9" w:rsidTr="00F07F86">
        <w:trPr>
          <w:trHeight w:val="390"/>
        </w:trPr>
        <w:tc>
          <w:tcPr>
            <w:tcW w:w="256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A54788" w:rsidRPr="00600ED9" w:rsidRDefault="00A54788" w:rsidP="00FB1954">
            <w:pPr>
              <w:pStyle w:val="NoSpacing"/>
              <w:jc w:val="center"/>
              <w:rPr>
                <w:b/>
                <w:bCs/>
                <w:sz w:val="20"/>
                <w:lang w:val="es-ES_tradnl"/>
              </w:rPr>
            </w:pPr>
            <w:r w:rsidRPr="00600ED9">
              <w:rPr>
                <w:b/>
                <w:bCs/>
                <w:sz w:val="20"/>
                <w:lang w:val="es-ES_tradnl"/>
              </w:rPr>
              <w:t>Indicadores</w:t>
            </w:r>
          </w:p>
        </w:tc>
        <w:tc>
          <w:tcPr>
            <w:tcW w:w="956" w:type="dxa"/>
            <w:tcBorders>
              <w:top w:val="nil"/>
              <w:left w:val="nil"/>
              <w:bottom w:val="single" w:sz="4" w:space="0" w:color="auto"/>
              <w:right w:val="single" w:sz="4" w:space="0" w:color="auto"/>
            </w:tcBorders>
            <w:shd w:val="clear" w:color="000000" w:fill="D8D8D8"/>
            <w:noWrap/>
            <w:vAlign w:val="bottom"/>
            <w:hideMark/>
          </w:tcPr>
          <w:p w:rsidR="00683FE2" w:rsidRPr="00600ED9" w:rsidRDefault="00C01EB1" w:rsidP="00FB1954">
            <w:pPr>
              <w:pStyle w:val="NoSpacing"/>
              <w:jc w:val="center"/>
              <w:rPr>
                <w:b/>
                <w:bCs/>
                <w:w w:val="90"/>
                <w:sz w:val="20"/>
                <w:lang w:val="es-ES_tradnl"/>
              </w:rPr>
            </w:pPr>
            <w:r w:rsidRPr="00600ED9">
              <w:rPr>
                <w:b/>
                <w:bCs/>
                <w:w w:val="90"/>
                <w:sz w:val="20"/>
                <w:lang w:val="es-ES_tradnl"/>
              </w:rPr>
              <w:t>(i)</w:t>
            </w:r>
          </w:p>
          <w:p w:rsidR="00A54788" w:rsidRPr="00600ED9" w:rsidRDefault="00A54788" w:rsidP="00FB1954">
            <w:pPr>
              <w:pStyle w:val="NoSpacing"/>
              <w:jc w:val="center"/>
              <w:rPr>
                <w:b/>
                <w:bCs/>
                <w:sz w:val="20"/>
                <w:lang w:val="es-ES_tradnl"/>
              </w:rPr>
            </w:pPr>
            <w:r w:rsidRPr="00600ED9">
              <w:rPr>
                <w:rFonts w:cs="Times New Roman"/>
                <w:w w:val="90"/>
                <w:sz w:val="20"/>
                <w:lang w:val="es-ES_tradnl" w:eastAsia="en-GB"/>
              </w:rPr>
              <w:t>Contenido del plan estratégico</w:t>
            </w:r>
          </w:p>
        </w:tc>
        <w:tc>
          <w:tcPr>
            <w:tcW w:w="1064" w:type="dxa"/>
            <w:tcBorders>
              <w:top w:val="nil"/>
              <w:left w:val="nil"/>
              <w:bottom w:val="single" w:sz="4" w:space="0" w:color="auto"/>
              <w:right w:val="single" w:sz="4" w:space="0" w:color="auto"/>
            </w:tcBorders>
            <w:shd w:val="clear" w:color="000000" w:fill="D8D8D8"/>
            <w:noWrap/>
            <w:vAlign w:val="bottom"/>
            <w:hideMark/>
          </w:tcPr>
          <w:p w:rsidR="00683FE2" w:rsidRPr="00600ED9" w:rsidRDefault="00C01EB1" w:rsidP="00FB1954">
            <w:pPr>
              <w:pStyle w:val="NoSpacing"/>
              <w:jc w:val="center"/>
              <w:rPr>
                <w:b/>
                <w:bCs/>
                <w:w w:val="90"/>
                <w:sz w:val="20"/>
                <w:lang w:val="es-ES_tradnl"/>
              </w:rPr>
            </w:pPr>
            <w:r w:rsidRPr="00600ED9">
              <w:rPr>
                <w:b/>
                <w:bCs/>
                <w:w w:val="90"/>
                <w:sz w:val="20"/>
                <w:lang w:val="es-ES_tradnl"/>
              </w:rPr>
              <w:t>(ii)</w:t>
            </w:r>
          </w:p>
          <w:p w:rsidR="00A54788" w:rsidRPr="00600ED9" w:rsidRDefault="00A54788" w:rsidP="00FB1954">
            <w:pPr>
              <w:pStyle w:val="NoSpacing"/>
              <w:jc w:val="center"/>
              <w:rPr>
                <w:b/>
                <w:bCs/>
                <w:sz w:val="20"/>
                <w:lang w:val="es-ES_tradnl"/>
              </w:rPr>
            </w:pPr>
            <w:r w:rsidRPr="00600ED9">
              <w:rPr>
                <w:rFonts w:cs="Times New Roman"/>
                <w:w w:val="90"/>
                <w:sz w:val="20"/>
                <w:lang w:val="es-ES_tradnl" w:eastAsia="en-GB"/>
              </w:rPr>
              <w:t>Proceso de planificación estratégica</w:t>
            </w:r>
          </w:p>
        </w:tc>
        <w:tc>
          <w:tcPr>
            <w:tcW w:w="901" w:type="dxa"/>
            <w:tcBorders>
              <w:top w:val="nil"/>
              <w:left w:val="nil"/>
              <w:bottom w:val="single" w:sz="4" w:space="0" w:color="auto"/>
              <w:right w:val="single" w:sz="4" w:space="0" w:color="auto"/>
            </w:tcBorders>
            <w:shd w:val="clear" w:color="000000" w:fill="D8D8D8"/>
            <w:noWrap/>
            <w:vAlign w:val="bottom"/>
            <w:hideMark/>
          </w:tcPr>
          <w:p w:rsidR="00683FE2" w:rsidRPr="00600ED9" w:rsidRDefault="00C01EB1" w:rsidP="00FB1954">
            <w:pPr>
              <w:pStyle w:val="NoSpacing"/>
              <w:jc w:val="center"/>
              <w:rPr>
                <w:b/>
                <w:bCs/>
                <w:w w:val="90"/>
                <w:sz w:val="20"/>
                <w:lang w:val="es-ES_tradnl"/>
              </w:rPr>
            </w:pPr>
            <w:r w:rsidRPr="00600ED9">
              <w:rPr>
                <w:b/>
                <w:bCs/>
                <w:w w:val="90"/>
                <w:sz w:val="20"/>
                <w:lang w:val="es-ES_tradnl"/>
              </w:rPr>
              <w:t>(iii)</w:t>
            </w:r>
          </w:p>
          <w:p w:rsidR="00A54788" w:rsidRPr="00600ED9" w:rsidRDefault="00A54788" w:rsidP="00FB1954">
            <w:pPr>
              <w:pStyle w:val="NoSpacing"/>
              <w:jc w:val="center"/>
              <w:rPr>
                <w:b/>
                <w:bCs/>
                <w:sz w:val="20"/>
                <w:lang w:val="es-ES_tradnl"/>
              </w:rPr>
            </w:pPr>
            <w:r w:rsidRPr="00600ED9">
              <w:rPr>
                <w:rFonts w:cs="Times New Roman"/>
                <w:w w:val="90"/>
                <w:sz w:val="20"/>
                <w:lang w:val="es-ES_tradnl" w:eastAsia="en-GB"/>
              </w:rPr>
              <w:t>Contenido del plan anual</w:t>
            </w:r>
          </w:p>
        </w:tc>
        <w:tc>
          <w:tcPr>
            <w:tcW w:w="1064" w:type="dxa"/>
            <w:tcBorders>
              <w:top w:val="nil"/>
              <w:left w:val="nil"/>
              <w:bottom w:val="single" w:sz="4" w:space="0" w:color="auto"/>
              <w:right w:val="single" w:sz="4" w:space="0" w:color="auto"/>
            </w:tcBorders>
            <w:shd w:val="clear" w:color="000000" w:fill="D8D8D8"/>
            <w:noWrap/>
            <w:vAlign w:val="bottom"/>
            <w:hideMark/>
          </w:tcPr>
          <w:p w:rsidR="00683FE2" w:rsidRPr="00600ED9" w:rsidRDefault="00C01EB1" w:rsidP="00FB1954">
            <w:pPr>
              <w:pStyle w:val="NoSpacing"/>
              <w:jc w:val="center"/>
              <w:rPr>
                <w:b/>
                <w:bCs/>
                <w:w w:val="90"/>
                <w:sz w:val="20"/>
                <w:lang w:val="es-ES_tradnl"/>
              </w:rPr>
            </w:pPr>
            <w:r w:rsidRPr="00600ED9">
              <w:rPr>
                <w:b/>
                <w:bCs/>
                <w:w w:val="90"/>
                <w:sz w:val="20"/>
                <w:lang w:val="es-ES_tradnl"/>
              </w:rPr>
              <w:t>(iv)</w:t>
            </w:r>
          </w:p>
          <w:p w:rsidR="00A54788" w:rsidRPr="00600ED9" w:rsidRDefault="00A54788" w:rsidP="00FB1954">
            <w:pPr>
              <w:pStyle w:val="NoSpacing"/>
              <w:jc w:val="center"/>
              <w:rPr>
                <w:b/>
                <w:bCs/>
                <w:sz w:val="20"/>
                <w:lang w:val="es-ES_tradnl"/>
              </w:rPr>
            </w:pPr>
            <w:r w:rsidRPr="00600ED9">
              <w:rPr>
                <w:rFonts w:cs="Times New Roman"/>
                <w:w w:val="90"/>
                <w:sz w:val="20"/>
                <w:lang w:val="es-ES_tradnl" w:eastAsia="en-GB"/>
              </w:rPr>
              <w:t>Proceso de planificación anual</w:t>
            </w:r>
          </w:p>
        </w:tc>
        <w:tc>
          <w:tcPr>
            <w:tcW w:w="160" w:type="dxa"/>
            <w:tcBorders>
              <w:top w:val="nil"/>
              <w:left w:val="nil"/>
              <w:bottom w:val="nil"/>
              <w:right w:val="nil"/>
            </w:tcBorders>
            <w:shd w:val="clear" w:color="auto" w:fill="auto"/>
            <w:noWrap/>
            <w:vAlign w:val="bottom"/>
            <w:hideMark/>
          </w:tcPr>
          <w:p w:rsidR="00A54788" w:rsidRPr="00600ED9" w:rsidRDefault="00A54788" w:rsidP="00FB1954">
            <w:pPr>
              <w:pStyle w:val="NoSpacing"/>
              <w:tabs>
                <w:tab w:val="center" w:pos="4680"/>
                <w:tab w:val="right" w:pos="9360"/>
              </w:tabs>
              <w:jc w:val="center"/>
              <w:rPr>
                <w:sz w:val="20"/>
                <w:lang w:val="es-ES_tradnl"/>
              </w:rPr>
            </w:pPr>
          </w:p>
        </w:tc>
        <w:tc>
          <w:tcPr>
            <w:tcW w:w="1151" w:type="dxa"/>
            <w:vMerge/>
            <w:tcBorders>
              <w:top w:val="single" w:sz="4" w:space="0" w:color="auto"/>
              <w:left w:val="single" w:sz="4" w:space="0" w:color="auto"/>
              <w:bottom w:val="single" w:sz="4" w:space="0" w:color="auto"/>
              <w:right w:val="single" w:sz="4" w:space="0" w:color="auto"/>
            </w:tcBorders>
            <w:vAlign w:val="center"/>
            <w:hideMark/>
          </w:tcPr>
          <w:p w:rsidR="00A54788" w:rsidRPr="00600ED9" w:rsidRDefault="00A54788" w:rsidP="00FB1954">
            <w:pPr>
              <w:pStyle w:val="NoSpacing"/>
              <w:tabs>
                <w:tab w:val="center" w:pos="4680"/>
                <w:tab w:val="right" w:pos="9360"/>
              </w:tabs>
              <w:jc w:val="center"/>
              <w:rPr>
                <w:b/>
                <w:bCs/>
                <w:sz w:val="20"/>
                <w:lang w:val="es-ES_tradnl"/>
              </w:rPr>
            </w:pPr>
          </w:p>
        </w:tc>
      </w:tr>
      <w:tr w:rsidR="00A54788" w:rsidRPr="00600ED9" w:rsidTr="00F07F86">
        <w:trPr>
          <w:trHeight w:val="510"/>
        </w:trPr>
        <w:tc>
          <w:tcPr>
            <w:tcW w:w="2560" w:type="dxa"/>
            <w:tcBorders>
              <w:top w:val="nil"/>
              <w:left w:val="single" w:sz="4" w:space="0" w:color="auto"/>
              <w:bottom w:val="single" w:sz="4" w:space="0" w:color="auto"/>
              <w:right w:val="single" w:sz="4" w:space="0" w:color="auto"/>
            </w:tcBorders>
            <w:shd w:val="clear" w:color="auto" w:fill="auto"/>
            <w:vAlign w:val="center"/>
            <w:hideMark/>
          </w:tcPr>
          <w:p w:rsidR="00A54788" w:rsidRPr="00600ED9" w:rsidRDefault="00A54788" w:rsidP="00FB1954">
            <w:pPr>
              <w:pStyle w:val="NoSpacing"/>
              <w:jc w:val="center"/>
              <w:rPr>
                <w:b/>
                <w:bCs/>
                <w:sz w:val="20"/>
                <w:lang w:val="es-ES_tradnl"/>
              </w:rPr>
            </w:pPr>
            <w:r w:rsidRPr="00600ED9">
              <w:rPr>
                <w:rFonts w:eastAsia="Calibri" w:cs="Times New Roman"/>
                <w:b/>
                <w:sz w:val="20"/>
                <w:lang w:val="es-ES_tradnl"/>
              </w:rPr>
              <w:t>EFS 8 – Estrategia para el Desarrollo Organizacional</w:t>
            </w:r>
          </w:p>
        </w:tc>
        <w:tc>
          <w:tcPr>
            <w:tcW w:w="956" w:type="dxa"/>
            <w:tcBorders>
              <w:top w:val="nil"/>
              <w:left w:val="nil"/>
              <w:bottom w:val="single" w:sz="4" w:space="0" w:color="auto"/>
              <w:right w:val="single" w:sz="4" w:space="0" w:color="auto"/>
            </w:tcBorders>
            <w:shd w:val="clear" w:color="auto" w:fill="auto"/>
            <w:noWrap/>
            <w:vAlign w:val="center"/>
          </w:tcPr>
          <w:p w:rsidR="00A54788" w:rsidRPr="00600ED9" w:rsidRDefault="00A54788" w:rsidP="00FB1954">
            <w:pPr>
              <w:pStyle w:val="NoSpacing"/>
              <w:jc w:val="center"/>
              <w:rPr>
                <w:b/>
                <w:bCs/>
                <w:sz w:val="20"/>
                <w:lang w:val="es-ES_tradnl"/>
              </w:rPr>
            </w:pPr>
            <w:r w:rsidRPr="00600ED9">
              <w:rPr>
                <w:b/>
                <w:bCs/>
                <w:sz w:val="20"/>
                <w:lang w:val="es-ES_tradnl"/>
              </w:rPr>
              <w:t>2</w:t>
            </w:r>
          </w:p>
        </w:tc>
        <w:tc>
          <w:tcPr>
            <w:tcW w:w="1064" w:type="dxa"/>
            <w:tcBorders>
              <w:top w:val="nil"/>
              <w:left w:val="nil"/>
              <w:bottom w:val="single" w:sz="4" w:space="0" w:color="auto"/>
              <w:right w:val="single" w:sz="4" w:space="0" w:color="auto"/>
            </w:tcBorders>
            <w:shd w:val="clear" w:color="auto" w:fill="auto"/>
            <w:noWrap/>
            <w:vAlign w:val="center"/>
          </w:tcPr>
          <w:p w:rsidR="00A54788" w:rsidRPr="00600ED9" w:rsidRDefault="00A54788" w:rsidP="00FB1954">
            <w:pPr>
              <w:pStyle w:val="NoSpacing"/>
              <w:jc w:val="center"/>
              <w:rPr>
                <w:b/>
                <w:bCs/>
                <w:sz w:val="20"/>
                <w:lang w:val="es-ES_tradnl"/>
              </w:rPr>
            </w:pPr>
            <w:r w:rsidRPr="00600ED9">
              <w:rPr>
                <w:b/>
                <w:bCs/>
                <w:sz w:val="20"/>
                <w:lang w:val="es-ES_tradnl"/>
              </w:rPr>
              <w:t>2</w:t>
            </w:r>
          </w:p>
        </w:tc>
        <w:tc>
          <w:tcPr>
            <w:tcW w:w="901" w:type="dxa"/>
            <w:tcBorders>
              <w:top w:val="nil"/>
              <w:left w:val="nil"/>
              <w:bottom w:val="single" w:sz="4" w:space="0" w:color="auto"/>
              <w:right w:val="single" w:sz="4" w:space="0" w:color="auto"/>
            </w:tcBorders>
            <w:shd w:val="clear" w:color="auto" w:fill="auto"/>
            <w:noWrap/>
            <w:vAlign w:val="center"/>
          </w:tcPr>
          <w:p w:rsidR="00A54788" w:rsidRPr="00600ED9" w:rsidRDefault="00A54788" w:rsidP="00FB1954">
            <w:pPr>
              <w:pStyle w:val="NoSpacing"/>
              <w:jc w:val="center"/>
              <w:rPr>
                <w:b/>
                <w:bCs/>
                <w:sz w:val="20"/>
                <w:lang w:val="es-ES_tradnl"/>
              </w:rPr>
            </w:pPr>
            <w:r w:rsidRPr="00600ED9">
              <w:rPr>
                <w:b/>
                <w:bCs/>
                <w:sz w:val="20"/>
                <w:lang w:val="es-ES_tradnl"/>
              </w:rPr>
              <w:t>1</w:t>
            </w:r>
          </w:p>
        </w:tc>
        <w:tc>
          <w:tcPr>
            <w:tcW w:w="1064" w:type="dxa"/>
            <w:tcBorders>
              <w:top w:val="nil"/>
              <w:left w:val="nil"/>
              <w:bottom w:val="single" w:sz="4" w:space="0" w:color="auto"/>
              <w:right w:val="single" w:sz="4" w:space="0" w:color="auto"/>
            </w:tcBorders>
            <w:shd w:val="clear" w:color="auto" w:fill="auto"/>
            <w:noWrap/>
            <w:vAlign w:val="center"/>
          </w:tcPr>
          <w:p w:rsidR="00A54788" w:rsidRPr="00600ED9" w:rsidRDefault="00E06D0A" w:rsidP="00FB1954">
            <w:pPr>
              <w:pStyle w:val="NoSpacing"/>
              <w:jc w:val="center"/>
              <w:rPr>
                <w:b/>
                <w:bCs/>
                <w:sz w:val="20"/>
                <w:lang w:val="es-ES_tradnl"/>
              </w:rPr>
            </w:pPr>
            <w:r w:rsidRPr="00600ED9">
              <w:rPr>
                <w:b/>
                <w:bCs/>
                <w:sz w:val="20"/>
                <w:lang w:val="es-ES_tradnl"/>
              </w:rPr>
              <w:t>4</w:t>
            </w:r>
          </w:p>
        </w:tc>
        <w:tc>
          <w:tcPr>
            <w:tcW w:w="160" w:type="dxa"/>
            <w:tcBorders>
              <w:top w:val="nil"/>
              <w:left w:val="nil"/>
              <w:bottom w:val="nil"/>
              <w:right w:val="nil"/>
            </w:tcBorders>
            <w:shd w:val="clear" w:color="auto" w:fill="auto"/>
            <w:noWrap/>
            <w:vAlign w:val="bottom"/>
          </w:tcPr>
          <w:p w:rsidR="00A54788" w:rsidRPr="00600ED9" w:rsidRDefault="00A54788" w:rsidP="00FB1954">
            <w:pPr>
              <w:pStyle w:val="NoSpacing"/>
              <w:tabs>
                <w:tab w:val="center" w:pos="4680"/>
                <w:tab w:val="right" w:pos="9360"/>
              </w:tabs>
              <w:jc w:val="center"/>
              <w:rPr>
                <w:sz w:val="20"/>
                <w:lang w:val="es-ES_tradnl"/>
              </w:rPr>
            </w:pPr>
          </w:p>
        </w:tc>
        <w:tc>
          <w:tcPr>
            <w:tcW w:w="1151" w:type="dxa"/>
            <w:tcBorders>
              <w:top w:val="nil"/>
              <w:left w:val="single" w:sz="4" w:space="0" w:color="auto"/>
              <w:bottom w:val="single" w:sz="4" w:space="0" w:color="auto"/>
              <w:right w:val="single" w:sz="4" w:space="0" w:color="auto"/>
            </w:tcBorders>
            <w:shd w:val="clear" w:color="auto" w:fill="auto"/>
            <w:noWrap/>
            <w:vAlign w:val="center"/>
          </w:tcPr>
          <w:p w:rsidR="00A54788" w:rsidRPr="00600ED9" w:rsidRDefault="00A54788" w:rsidP="00FB1954">
            <w:pPr>
              <w:pStyle w:val="NoSpacing"/>
              <w:jc w:val="center"/>
              <w:rPr>
                <w:b/>
                <w:sz w:val="20"/>
                <w:lang w:val="es-ES_tradnl"/>
              </w:rPr>
            </w:pPr>
            <w:r w:rsidRPr="00600ED9">
              <w:rPr>
                <w:b/>
                <w:sz w:val="20"/>
                <w:lang w:val="es-ES_tradnl"/>
              </w:rPr>
              <w:t>2</w:t>
            </w:r>
          </w:p>
        </w:tc>
      </w:tr>
    </w:tbl>
    <w:p w:rsidR="00A54788" w:rsidRPr="00600ED9" w:rsidRDefault="00A54788" w:rsidP="00FB1954">
      <w:pPr>
        <w:pStyle w:val="NoSpacing"/>
        <w:ind w:left="720"/>
        <w:jc w:val="both"/>
        <w:rPr>
          <w:lang w:val="es-ES_tradnl"/>
        </w:rPr>
      </w:pPr>
      <w:r w:rsidRPr="00600ED9">
        <w:rPr>
          <w:lang w:val="es-ES_tradnl"/>
        </w:rPr>
        <w:lastRenderedPageBreak/>
        <w:t>En la estrategia para el desarrollo organizacional</w:t>
      </w:r>
      <w:r w:rsidR="005B517A" w:rsidRPr="00600ED9">
        <w:rPr>
          <w:lang w:val="es-ES_tradnl"/>
        </w:rPr>
        <w:t>,</w:t>
      </w:r>
      <w:r w:rsidRPr="00600ED9">
        <w:rPr>
          <w:lang w:val="es-ES_tradnl"/>
        </w:rPr>
        <w:t xml:space="preserve"> la </w:t>
      </w:r>
      <w:r w:rsidR="00431CA4" w:rsidRPr="00600ED9">
        <w:rPr>
          <w:lang w:val="es-ES_tradnl"/>
        </w:rPr>
        <w:t>CGRC</w:t>
      </w:r>
      <w:r w:rsidRPr="00600ED9">
        <w:rPr>
          <w:lang w:val="es-ES_tradnl"/>
        </w:rPr>
        <w:t xml:space="preserve"> dispone de importantes oportunidades de fortalecimiento. Las áreas en las que se observó una brecha entre la situación actual y las mejores prácticas son: la actualización, el diseño y la implementación de guías técnicas y administrativas, mediante la coordinación de la Oficina de Planeación.  </w:t>
      </w:r>
    </w:p>
    <w:p w:rsidR="00A54788" w:rsidRPr="00600ED9" w:rsidRDefault="00A54788" w:rsidP="00FB1954">
      <w:pPr>
        <w:pStyle w:val="NoSpacing"/>
        <w:ind w:left="720"/>
        <w:jc w:val="both"/>
        <w:rPr>
          <w:lang w:val="es-ES_tradnl"/>
        </w:rPr>
      </w:pPr>
    </w:p>
    <w:p w:rsidR="00E06D0A" w:rsidRPr="00600ED9" w:rsidRDefault="00E06D0A" w:rsidP="00FB1954">
      <w:pPr>
        <w:pStyle w:val="NoSpacing"/>
        <w:ind w:left="720"/>
        <w:jc w:val="both"/>
        <w:rPr>
          <w:lang w:val="es-ES_tradnl"/>
        </w:rPr>
      </w:pPr>
      <w:r w:rsidRPr="00600ED9">
        <w:rPr>
          <w:lang w:val="es-ES_tradnl"/>
        </w:rPr>
        <w:t>Para abordar estas brechas, se requieren cambios como la preparación de análisis de riesgos al nivel del Plan Estratégico (</w:t>
      </w:r>
      <w:r w:rsidR="005120A2" w:rsidRPr="00600ED9">
        <w:rPr>
          <w:lang w:val="es-ES_tradnl"/>
        </w:rPr>
        <w:t>PEI</w:t>
      </w:r>
      <w:r w:rsidR="00E34D09" w:rsidRPr="00600ED9">
        <w:rPr>
          <w:lang w:val="es-ES_tradnl"/>
        </w:rPr>
        <w:t xml:space="preserve">) y </w:t>
      </w:r>
      <w:r w:rsidRPr="00600ED9">
        <w:rPr>
          <w:lang w:val="es-ES_tradnl"/>
        </w:rPr>
        <w:t>el Plan de Acción Anual (PAA), de tal f</w:t>
      </w:r>
      <w:r w:rsidR="005B517A" w:rsidRPr="00600ED9">
        <w:rPr>
          <w:lang w:val="es-ES_tradnl"/>
        </w:rPr>
        <w:t>orma que desde la alta gerencia</w:t>
      </w:r>
      <w:r w:rsidRPr="00600ED9">
        <w:rPr>
          <w:lang w:val="es-ES_tradnl"/>
        </w:rPr>
        <w:t xml:space="preserve"> se fomente la cultura de gestión del riesgo, para prevenir resultados indeseados.  En este sentido, es importante </w:t>
      </w:r>
      <w:r w:rsidR="001F40AB" w:rsidRPr="00600ED9">
        <w:rPr>
          <w:lang w:val="es-ES_tradnl"/>
        </w:rPr>
        <w:t xml:space="preserve">incorporar al proceso de planificación, los </w:t>
      </w:r>
      <w:r w:rsidRPr="00600ED9">
        <w:rPr>
          <w:lang w:val="es-ES_tradnl"/>
        </w:rPr>
        <w:t>aportes del personal</w:t>
      </w:r>
      <w:r w:rsidR="00524567" w:rsidRPr="00600ED9">
        <w:rPr>
          <w:lang w:val="es-ES_tradnl"/>
        </w:rPr>
        <w:t xml:space="preserve"> </w:t>
      </w:r>
      <w:r w:rsidRPr="00600ED9">
        <w:rPr>
          <w:lang w:val="es-ES_tradnl"/>
        </w:rPr>
        <w:t>diferente a los niveles directivos</w:t>
      </w:r>
      <w:r w:rsidR="001F40AB" w:rsidRPr="00600ED9">
        <w:rPr>
          <w:lang w:val="es-ES_tradnl"/>
        </w:rPr>
        <w:t>,</w:t>
      </w:r>
      <w:r w:rsidRPr="00600ED9">
        <w:rPr>
          <w:lang w:val="es-ES_tradnl"/>
        </w:rPr>
        <w:t xml:space="preserve"> de los ciudadanos, del </w:t>
      </w:r>
      <w:r w:rsidR="00C01EB1" w:rsidRPr="00600ED9">
        <w:rPr>
          <w:lang w:val="es-ES_tradnl"/>
        </w:rPr>
        <w:t>P</w:t>
      </w:r>
      <w:r w:rsidRPr="00600ED9">
        <w:rPr>
          <w:lang w:val="es-ES_tradnl"/>
        </w:rPr>
        <w:t xml:space="preserve">oder </w:t>
      </w:r>
      <w:r w:rsidR="00C01EB1" w:rsidRPr="00600ED9">
        <w:rPr>
          <w:lang w:val="es-ES_tradnl"/>
        </w:rPr>
        <w:t>L</w:t>
      </w:r>
      <w:r w:rsidRPr="00600ED9">
        <w:rPr>
          <w:lang w:val="es-ES_tradnl"/>
        </w:rPr>
        <w:t>egisl</w:t>
      </w:r>
      <w:r w:rsidR="00524567" w:rsidRPr="00600ED9">
        <w:rPr>
          <w:lang w:val="es-ES_tradnl"/>
        </w:rPr>
        <w:t>ativo y otros grupos de interés.</w:t>
      </w:r>
      <w:r w:rsidR="001F40AB" w:rsidRPr="00600ED9">
        <w:rPr>
          <w:lang w:val="es-ES_tradnl"/>
        </w:rPr>
        <w:t xml:space="preserve"> </w:t>
      </w:r>
      <w:r w:rsidR="00524567" w:rsidRPr="00600ED9">
        <w:rPr>
          <w:lang w:val="es-ES_tradnl"/>
        </w:rPr>
        <w:t>También</w:t>
      </w:r>
      <w:r w:rsidR="001F40AB" w:rsidRPr="00600ED9">
        <w:rPr>
          <w:lang w:val="es-ES_tradnl"/>
        </w:rPr>
        <w:t xml:space="preserve"> es importante tener en cuenta</w:t>
      </w:r>
      <w:r w:rsidRPr="00600ED9">
        <w:rPr>
          <w:lang w:val="es-ES_tradnl"/>
        </w:rPr>
        <w:t xml:space="preserve"> la relación del control externo con el contexto actualizado del país, en términos de la evolución de la economía, las finanzas públicas, </w:t>
      </w:r>
      <w:r w:rsidR="001F40AB" w:rsidRPr="00600ED9">
        <w:rPr>
          <w:lang w:val="es-ES_tradnl"/>
        </w:rPr>
        <w:t>los escándalos y debates públicos</w:t>
      </w:r>
      <w:r w:rsidR="005B517A" w:rsidRPr="00600ED9">
        <w:rPr>
          <w:lang w:val="es-ES_tradnl"/>
        </w:rPr>
        <w:t>,</w:t>
      </w:r>
      <w:r w:rsidR="001F40AB" w:rsidRPr="00600ED9">
        <w:rPr>
          <w:lang w:val="es-ES_tradnl"/>
        </w:rPr>
        <w:t xml:space="preserve"> </w:t>
      </w:r>
      <w:r w:rsidR="00777229" w:rsidRPr="00600ED9">
        <w:rPr>
          <w:lang w:val="es-ES_tradnl"/>
        </w:rPr>
        <w:t>así</w:t>
      </w:r>
      <w:r w:rsidR="001F40AB" w:rsidRPr="00600ED9">
        <w:rPr>
          <w:lang w:val="es-ES_tradnl"/>
        </w:rPr>
        <w:t xml:space="preserve"> como los</w:t>
      </w:r>
      <w:r w:rsidRPr="00600ED9">
        <w:rPr>
          <w:lang w:val="es-ES_tradnl"/>
        </w:rPr>
        <w:t xml:space="preserve"> nuevos emprendimi</w:t>
      </w:r>
      <w:r w:rsidR="00E34D09" w:rsidRPr="00600ED9">
        <w:rPr>
          <w:lang w:val="es-ES_tradnl"/>
        </w:rPr>
        <w:t>entos y políticas  del gobierno</w:t>
      </w:r>
      <w:r w:rsidR="001F40AB" w:rsidRPr="00600ED9">
        <w:rPr>
          <w:lang w:val="es-ES_tradnl"/>
        </w:rPr>
        <w:t>.</w:t>
      </w:r>
      <w:r w:rsidRPr="00600ED9">
        <w:rPr>
          <w:lang w:val="es-ES_tradnl"/>
        </w:rPr>
        <w:t xml:space="preserve"> </w:t>
      </w:r>
    </w:p>
    <w:p w:rsidR="00E06D0A" w:rsidRPr="00600ED9" w:rsidRDefault="00E06D0A" w:rsidP="00FB1954">
      <w:pPr>
        <w:pStyle w:val="NoSpacing"/>
        <w:ind w:left="720"/>
        <w:jc w:val="both"/>
        <w:rPr>
          <w:lang w:val="es-ES_tradnl"/>
        </w:rPr>
      </w:pPr>
    </w:p>
    <w:p w:rsidR="0066134C" w:rsidRPr="00600ED9" w:rsidRDefault="00E06D0A" w:rsidP="00FB1954">
      <w:pPr>
        <w:pStyle w:val="NoSpacing"/>
        <w:ind w:left="720"/>
        <w:jc w:val="both"/>
        <w:rPr>
          <w:lang w:val="es-ES_tradnl"/>
        </w:rPr>
      </w:pPr>
      <w:r w:rsidRPr="00600ED9">
        <w:rPr>
          <w:lang w:val="es-ES_tradnl"/>
        </w:rPr>
        <w:t xml:space="preserve">En este mismo sentido, el PAA no está articulado con los recursos y el presupuesto necesario para adelantar acciones específicas y tampoco está acompañado de un análisis de desempeño que pueda ser medido y actualizado mediante indicadores relacionados </w:t>
      </w:r>
      <w:r w:rsidR="001F40AB" w:rsidRPr="00600ED9">
        <w:rPr>
          <w:lang w:val="es-ES_tradnl"/>
        </w:rPr>
        <w:t xml:space="preserve">que cuenten </w:t>
      </w:r>
      <w:r w:rsidRPr="00600ED9">
        <w:rPr>
          <w:lang w:val="es-ES_tradnl"/>
        </w:rPr>
        <w:t>con una línea de base</w:t>
      </w:r>
      <w:r w:rsidR="001F40AB" w:rsidRPr="00600ED9">
        <w:rPr>
          <w:lang w:val="es-ES_tradnl"/>
        </w:rPr>
        <w:t xml:space="preserve"> que permita</w:t>
      </w:r>
      <w:r w:rsidRPr="00600ED9">
        <w:rPr>
          <w:lang w:val="es-ES_tradnl"/>
        </w:rPr>
        <w:t xml:space="preserve"> establecer el logro de los hitos establecidos</w:t>
      </w:r>
      <w:r w:rsidR="00E34D09" w:rsidRPr="00600ED9">
        <w:rPr>
          <w:lang w:val="es-ES_tradnl"/>
        </w:rPr>
        <w:t>.</w:t>
      </w:r>
    </w:p>
    <w:p w:rsidR="0066134C" w:rsidRPr="00600ED9" w:rsidRDefault="0066134C" w:rsidP="00FB1954">
      <w:pPr>
        <w:pStyle w:val="NoSpacing"/>
        <w:ind w:left="720"/>
        <w:jc w:val="both"/>
        <w:rPr>
          <w:sz w:val="20"/>
          <w:lang w:val="es-ES_tradnl"/>
        </w:rPr>
      </w:pPr>
    </w:p>
    <w:tbl>
      <w:tblPr>
        <w:tblStyle w:val="TableGrid"/>
        <w:tblW w:w="9356" w:type="dxa"/>
        <w:tblInd w:w="817" w:type="dxa"/>
        <w:tblLook w:val="04A0" w:firstRow="1" w:lastRow="0" w:firstColumn="1" w:lastColumn="0" w:noHBand="0" w:noVBand="1"/>
      </w:tblPr>
      <w:tblGrid>
        <w:gridCol w:w="9356"/>
      </w:tblGrid>
      <w:tr w:rsidR="00C93E11" w:rsidRPr="00600ED9" w:rsidTr="00942504">
        <w:trPr>
          <w:tblHeader/>
        </w:trPr>
        <w:tc>
          <w:tcPr>
            <w:tcW w:w="9356" w:type="dxa"/>
            <w:shd w:val="clear" w:color="auto" w:fill="365F91" w:themeFill="accent1" w:themeFillShade="BF"/>
          </w:tcPr>
          <w:p w:rsidR="00C93E11" w:rsidRPr="00600ED9" w:rsidRDefault="00C93E11" w:rsidP="00FB1954">
            <w:pPr>
              <w:pStyle w:val="NoSpacing"/>
              <w:rPr>
                <w:b/>
                <w:color w:val="FFFFFF" w:themeColor="background1"/>
                <w:sz w:val="20"/>
                <w:szCs w:val="20"/>
                <w:lang w:val="es-ES_tradnl"/>
              </w:rPr>
            </w:pPr>
            <w:r w:rsidRPr="00600ED9">
              <w:rPr>
                <w:b/>
                <w:color w:val="FFFFFF" w:themeColor="background1"/>
                <w:sz w:val="20"/>
                <w:szCs w:val="20"/>
                <w:lang w:val="es-ES_tradnl"/>
              </w:rPr>
              <w:t>Principales observaciones y conclusiones</w:t>
            </w:r>
          </w:p>
        </w:tc>
      </w:tr>
      <w:tr w:rsidR="00C93E11" w:rsidRPr="00600ED9" w:rsidTr="00942504">
        <w:tc>
          <w:tcPr>
            <w:tcW w:w="9356" w:type="dxa"/>
            <w:shd w:val="clear" w:color="auto" w:fill="D9D9D9" w:themeFill="background1" w:themeFillShade="D9"/>
          </w:tcPr>
          <w:p w:rsidR="00C93E11" w:rsidRPr="00600ED9" w:rsidRDefault="00C93E11" w:rsidP="00FB1954">
            <w:pPr>
              <w:pStyle w:val="NoSpacing"/>
              <w:rPr>
                <w:b/>
                <w:i/>
                <w:sz w:val="20"/>
                <w:szCs w:val="20"/>
                <w:lang w:val="es-ES_tradnl"/>
              </w:rPr>
            </w:pPr>
            <w:r w:rsidRPr="00600ED9">
              <w:rPr>
                <w:b/>
                <w:i/>
                <w:sz w:val="20"/>
                <w:szCs w:val="20"/>
                <w:lang w:val="es-ES_tradnl"/>
              </w:rPr>
              <w:t>Dimensión (i) Contenido del plan estratégico</w:t>
            </w:r>
          </w:p>
        </w:tc>
      </w:tr>
      <w:tr w:rsidR="00C93E11" w:rsidRPr="00600ED9" w:rsidTr="00942504">
        <w:tc>
          <w:tcPr>
            <w:tcW w:w="9356" w:type="dxa"/>
            <w:shd w:val="clear" w:color="auto" w:fill="D9D9D9" w:themeFill="background1" w:themeFillShade="D9"/>
          </w:tcPr>
          <w:p w:rsidR="00C93E11" w:rsidRPr="00600ED9" w:rsidRDefault="003251D8" w:rsidP="00FB1954">
            <w:pPr>
              <w:pStyle w:val="NoSpacing"/>
              <w:rPr>
                <w:i/>
                <w:sz w:val="20"/>
                <w:szCs w:val="20"/>
                <w:lang w:val="es-ES_tradnl"/>
              </w:rPr>
            </w:pPr>
            <w:r w:rsidRPr="00600ED9">
              <w:rPr>
                <w:b/>
                <w:i/>
                <w:sz w:val="20"/>
                <w:szCs w:val="20"/>
                <w:lang w:val="es-ES_tradnl"/>
              </w:rPr>
              <w:t>Puntuación</w:t>
            </w:r>
            <w:r w:rsidR="00C93E11" w:rsidRPr="00600ED9">
              <w:rPr>
                <w:b/>
                <w:i/>
                <w:sz w:val="20"/>
                <w:szCs w:val="20"/>
                <w:lang w:val="es-ES_tradnl"/>
              </w:rPr>
              <w:t xml:space="preserve"> </w:t>
            </w:r>
            <w:r w:rsidR="00C93E11" w:rsidRPr="00600ED9">
              <w:rPr>
                <w:rFonts w:cs="Calibri"/>
                <w:b/>
                <w:bCs/>
                <w:i/>
                <w:sz w:val="20"/>
                <w:szCs w:val="20"/>
                <w:lang w:val="es-ES_tradnl"/>
              </w:rPr>
              <w:t>2</w:t>
            </w:r>
            <w:r w:rsidRPr="00600ED9">
              <w:rPr>
                <w:rFonts w:cs="Calibri"/>
                <w:bCs/>
                <w:i/>
                <w:sz w:val="20"/>
                <w:szCs w:val="20"/>
                <w:lang w:val="es-ES_tradnl"/>
              </w:rPr>
              <w:t>:</w:t>
            </w:r>
            <w:r w:rsidR="00C93E11" w:rsidRPr="00600ED9">
              <w:rPr>
                <w:rFonts w:cs="Calibri"/>
                <w:bCs/>
                <w:i/>
                <w:sz w:val="20"/>
                <w:szCs w:val="20"/>
                <w:lang w:val="es-ES_tradnl"/>
              </w:rPr>
              <w:t xml:space="preserve"> </w:t>
            </w:r>
            <w:r w:rsidR="00C93E11" w:rsidRPr="00600ED9">
              <w:rPr>
                <w:rFonts w:cs="Calibri"/>
                <w:i/>
                <w:sz w:val="20"/>
                <w:szCs w:val="20"/>
                <w:lang w:val="es-ES_tradnl"/>
              </w:rPr>
              <w:t>Se aplican al menos tres de los criterios mencionados.</w:t>
            </w:r>
          </w:p>
        </w:tc>
      </w:tr>
      <w:tr w:rsidR="00C93E11" w:rsidRPr="00600ED9" w:rsidTr="00942504">
        <w:tc>
          <w:tcPr>
            <w:tcW w:w="9356" w:type="dxa"/>
          </w:tcPr>
          <w:p w:rsidR="00C93E11" w:rsidRPr="00600ED9" w:rsidRDefault="00C93E11" w:rsidP="00FB1954">
            <w:pPr>
              <w:pStyle w:val="Normaltabletext"/>
              <w:spacing w:after="0"/>
              <w:rPr>
                <w:lang w:val="es-ES_tradnl"/>
              </w:rPr>
            </w:pPr>
            <w:r w:rsidRPr="00600ED9">
              <w:rPr>
                <w:lang w:val="es-ES_tradnl"/>
              </w:rPr>
              <w:t xml:space="preserve">Criterios (b), (c) y (g) se cumplen.  Criterios (a), (d), (e) y (f) no se cumplen. </w:t>
            </w:r>
          </w:p>
          <w:p w:rsidR="007F19FA" w:rsidRPr="00600ED9" w:rsidRDefault="007F19FA" w:rsidP="00FB1954">
            <w:pPr>
              <w:pStyle w:val="Normaltabletext"/>
              <w:spacing w:after="0"/>
              <w:rPr>
                <w:lang w:val="es-ES_tradnl"/>
              </w:rPr>
            </w:pPr>
          </w:p>
          <w:p w:rsidR="00C93E11" w:rsidRPr="00600ED9" w:rsidRDefault="00C93E11" w:rsidP="00FB1954">
            <w:pPr>
              <w:pStyle w:val="Normaltabletext"/>
              <w:spacing w:after="0"/>
              <w:rPr>
                <w:lang w:val="es-ES_tradnl"/>
              </w:rPr>
            </w:pPr>
            <w:r w:rsidRPr="00600ED9">
              <w:rPr>
                <w:lang w:val="es-ES_tradnl"/>
              </w:rPr>
              <w:t xml:space="preserve">El </w:t>
            </w:r>
            <w:r w:rsidR="005120A2" w:rsidRPr="00600ED9">
              <w:rPr>
                <w:lang w:val="es-ES_tradnl"/>
              </w:rPr>
              <w:t>PEI</w:t>
            </w:r>
            <w:r w:rsidRPr="00600ED9">
              <w:rPr>
                <w:lang w:val="es-ES_tradnl"/>
              </w:rPr>
              <w:t xml:space="preserve"> 2014 – 2018 se sustenta en la evaluación de los temas estratégicos, que abarcan los principales aspectos de la organización, las prácticas formales e informales que rigen las operaciones de la CGRC (marco institucional).</w:t>
            </w:r>
          </w:p>
          <w:p w:rsidR="007F19FA" w:rsidRPr="00600ED9" w:rsidRDefault="007F19FA" w:rsidP="00FB1954">
            <w:pPr>
              <w:pStyle w:val="Normaltabletext"/>
              <w:spacing w:after="0"/>
              <w:rPr>
                <w:lang w:val="es-ES_tradnl"/>
              </w:rPr>
            </w:pPr>
          </w:p>
          <w:p w:rsidR="00FD11D3" w:rsidRPr="00600ED9" w:rsidRDefault="00C93E11" w:rsidP="00FB1954">
            <w:pPr>
              <w:pStyle w:val="Normaltabletext"/>
              <w:spacing w:after="0"/>
              <w:rPr>
                <w:lang w:val="es-ES_tradnl"/>
              </w:rPr>
            </w:pPr>
            <w:r w:rsidRPr="00600ED9">
              <w:rPr>
                <w:lang w:val="es-ES_tradnl"/>
              </w:rPr>
              <w:t xml:space="preserve">El </w:t>
            </w:r>
            <w:r w:rsidR="005120A2" w:rsidRPr="00600ED9">
              <w:rPr>
                <w:lang w:val="es-ES_tradnl"/>
              </w:rPr>
              <w:t>PEI</w:t>
            </w:r>
            <w:r w:rsidRPr="00600ED9">
              <w:rPr>
                <w:lang w:val="es-ES_tradnl"/>
              </w:rPr>
              <w:t xml:space="preserve"> incorpora un marco de resultados con una jerarquía lógica de propósitos: misión, visión, objetivos corporativos, estrategias, macro procesos (cubiertos por las estrategias), productos (en términos de los resultados que se espera alcanzar), indicadores y responsables de la ejecución (a nivel de dependencias).</w:t>
            </w:r>
          </w:p>
          <w:p w:rsidR="00C93E11" w:rsidRPr="00600ED9" w:rsidRDefault="00C93E11" w:rsidP="00FB1954">
            <w:pPr>
              <w:pStyle w:val="Normaltabletext"/>
              <w:spacing w:after="0"/>
              <w:rPr>
                <w:lang w:val="es-ES_tradnl"/>
              </w:rPr>
            </w:pPr>
            <w:r w:rsidRPr="00600ED9">
              <w:rPr>
                <w:lang w:val="es-ES_tradnl"/>
              </w:rPr>
              <w:t xml:space="preserve">El </w:t>
            </w:r>
            <w:r w:rsidR="005120A2" w:rsidRPr="00600ED9">
              <w:rPr>
                <w:lang w:val="es-ES_tradnl"/>
              </w:rPr>
              <w:t>PEI</w:t>
            </w:r>
            <w:r w:rsidRPr="00600ED9">
              <w:rPr>
                <w:lang w:val="es-ES_tradnl"/>
              </w:rPr>
              <w:t xml:space="preserve"> 2014 </w:t>
            </w:r>
            <w:r w:rsidRPr="00600ED9">
              <w:rPr>
                <w:rFonts w:cs="Calibri"/>
                <w:lang w:val="es-ES_tradnl"/>
              </w:rPr>
              <w:t>–</w:t>
            </w:r>
            <w:r w:rsidRPr="00600ED9">
              <w:rPr>
                <w:lang w:val="es-ES_tradnl"/>
              </w:rPr>
              <w:t xml:space="preserve"> 2018 plantea los siguientes cinco objetivos:</w:t>
            </w:r>
          </w:p>
          <w:p w:rsidR="00C93E11" w:rsidRPr="00600ED9" w:rsidRDefault="00C93E11" w:rsidP="00FB1954">
            <w:pPr>
              <w:pStyle w:val="Normaltabletext"/>
              <w:spacing w:after="0"/>
              <w:rPr>
                <w:sz w:val="16"/>
                <w:lang w:val="es-ES_tradnl"/>
              </w:rPr>
            </w:pPr>
          </w:p>
          <w:p w:rsidR="00C93E11" w:rsidRPr="00600ED9" w:rsidRDefault="00C93E11" w:rsidP="00233205">
            <w:pPr>
              <w:pStyle w:val="Normaltabletext"/>
              <w:numPr>
                <w:ilvl w:val="0"/>
                <w:numId w:val="6"/>
              </w:numPr>
              <w:tabs>
                <w:tab w:val="clear" w:pos="720"/>
              </w:tabs>
              <w:spacing w:after="0"/>
              <w:ind w:left="443"/>
              <w:rPr>
                <w:lang w:val="es-ES_tradnl"/>
              </w:rPr>
            </w:pPr>
            <w:r w:rsidRPr="00600ED9">
              <w:rPr>
                <w:lang w:val="es-ES_tradnl"/>
              </w:rPr>
              <w:t>Fortalecer el modelo de la vigilancia y control fiscal orientado a resultados efectivos y a la mejora de la gestión.</w:t>
            </w:r>
          </w:p>
          <w:p w:rsidR="00C93E11" w:rsidRPr="00600ED9" w:rsidRDefault="00C93E11" w:rsidP="00233205">
            <w:pPr>
              <w:pStyle w:val="Normaltabletext"/>
              <w:numPr>
                <w:ilvl w:val="0"/>
                <w:numId w:val="6"/>
              </w:numPr>
              <w:tabs>
                <w:tab w:val="clear" w:pos="720"/>
              </w:tabs>
              <w:spacing w:after="0"/>
              <w:ind w:left="443"/>
              <w:rPr>
                <w:lang w:val="es-ES_tradnl"/>
              </w:rPr>
            </w:pPr>
            <w:r w:rsidRPr="00600ED9">
              <w:rPr>
                <w:lang w:val="es-ES_tradnl"/>
              </w:rPr>
              <w:t>Ejercer el control fiscal macro a las políticas públicas en sus objetivos de mediano y largo plazo.</w:t>
            </w:r>
          </w:p>
          <w:p w:rsidR="00C93E11" w:rsidRPr="00600ED9" w:rsidRDefault="00C93E11" w:rsidP="00233205">
            <w:pPr>
              <w:pStyle w:val="Normaltabletext"/>
              <w:numPr>
                <w:ilvl w:val="0"/>
                <w:numId w:val="6"/>
              </w:numPr>
              <w:tabs>
                <w:tab w:val="clear" w:pos="720"/>
              </w:tabs>
              <w:spacing w:after="0"/>
              <w:ind w:left="443"/>
              <w:rPr>
                <w:lang w:val="es-ES_tradnl"/>
              </w:rPr>
            </w:pPr>
            <w:r w:rsidRPr="00600ED9">
              <w:rPr>
                <w:lang w:val="es-ES_tradnl"/>
              </w:rPr>
              <w:t>Lucha frontal, oportuna y efectiva contra la corrupción e inadecuada gestión de los recursos públicos.</w:t>
            </w:r>
          </w:p>
          <w:p w:rsidR="00C93E11" w:rsidRPr="00600ED9" w:rsidRDefault="00C93E11" w:rsidP="00233205">
            <w:pPr>
              <w:pStyle w:val="Normaltabletext"/>
              <w:numPr>
                <w:ilvl w:val="0"/>
                <w:numId w:val="6"/>
              </w:numPr>
              <w:tabs>
                <w:tab w:val="clear" w:pos="720"/>
              </w:tabs>
              <w:spacing w:after="0"/>
              <w:ind w:left="443"/>
              <w:rPr>
                <w:lang w:val="es-ES_tradnl"/>
              </w:rPr>
            </w:pPr>
            <w:r w:rsidRPr="00600ED9">
              <w:rPr>
                <w:lang w:val="es-ES_tradnl"/>
              </w:rPr>
              <w:t>Construir ciudadanía solidaria, incluyente y activa en el control fiscal a la gestión pública.</w:t>
            </w:r>
          </w:p>
          <w:p w:rsidR="00C93E11" w:rsidRPr="00600ED9" w:rsidRDefault="00C93E11" w:rsidP="00233205">
            <w:pPr>
              <w:pStyle w:val="Normaltabletext"/>
              <w:numPr>
                <w:ilvl w:val="0"/>
                <w:numId w:val="6"/>
              </w:numPr>
              <w:tabs>
                <w:tab w:val="clear" w:pos="720"/>
              </w:tabs>
              <w:spacing w:after="0"/>
              <w:ind w:left="443"/>
              <w:rPr>
                <w:lang w:val="es-ES_tradnl"/>
              </w:rPr>
            </w:pPr>
            <w:r w:rsidRPr="00600ED9">
              <w:rPr>
                <w:lang w:val="es-ES_tradnl"/>
              </w:rPr>
              <w:t>Asegurar el funcionamiento y la organización de</w:t>
            </w:r>
            <w:r w:rsidR="007F19FA" w:rsidRPr="00600ED9">
              <w:rPr>
                <w:lang w:val="es-ES_tradnl"/>
              </w:rPr>
              <w:t xml:space="preserve"> la CGRC para lograr resultados (</w:t>
            </w:r>
            <w:r w:rsidRPr="00600ED9">
              <w:rPr>
                <w:lang w:val="es-ES_tradnl"/>
              </w:rPr>
              <w:t>incluye medidas para el fortalecimiento institucional de la CGRC</w:t>
            </w:r>
            <w:r w:rsidR="007F19FA" w:rsidRPr="00600ED9">
              <w:rPr>
                <w:lang w:val="es-ES_tradnl"/>
              </w:rPr>
              <w:t>)</w:t>
            </w:r>
            <w:r w:rsidRPr="00600ED9">
              <w:rPr>
                <w:lang w:val="es-ES_tradnl"/>
              </w:rPr>
              <w:t>.</w:t>
            </w:r>
          </w:p>
          <w:p w:rsidR="007F19FA" w:rsidRPr="00600ED9" w:rsidRDefault="007F19FA" w:rsidP="00FB1954">
            <w:pPr>
              <w:pStyle w:val="Normaltabletext"/>
              <w:spacing w:after="0"/>
              <w:rPr>
                <w:sz w:val="16"/>
                <w:lang w:val="es-ES_tradnl"/>
              </w:rPr>
            </w:pPr>
          </w:p>
          <w:p w:rsidR="00C93E11" w:rsidRPr="00600ED9" w:rsidRDefault="00C93E11" w:rsidP="00FB1954">
            <w:pPr>
              <w:pStyle w:val="Normaltabletext"/>
              <w:spacing w:after="0"/>
              <w:rPr>
                <w:lang w:val="es-ES_tradnl"/>
              </w:rPr>
            </w:pPr>
            <w:r w:rsidRPr="00600ED9">
              <w:rPr>
                <w:lang w:val="es-ES_tradnl"/>
              </w:rPr>
              <w:t>La CGRC no realiza</w:t>
            </w:r>
            <w:r w:rsidR="005561D8" w:rsidRPr="00600ED9">
              <w:rPr>
                <w:lang w:val="es-ES_tradnl"/>
              </w:rPr>
              <w:t>, como parte del proceso de planeación estratégica,</w:t>
            </w:r>
            <w:r w:rsidRPr="00600ED9">
              <w:rPr>
                <w:lang w:val="es-ES_tradnl"/>
              </w:rPr>
              <w:t xml:space="preserve"> un análisis de brechas, con el fin de comparar la situación actual con la condición deseada </w:t>
            </w:r>
            <w:r w:rsidR="005D718E" w:rsidRPr="00600ED9">
              <w:rPr>
                <w:lang w:val="es-ES_tradnl"/>
              </w:rPr>
              <w:t xml:space="preserve">establecida </w:t>
            </w:r>
            <w:r w:rsidRPr="00600ED9">
              <w:rPr>
                <w:lang w:val="es-ES_tradnl"/>
              </w:rPr>
              <w:t xml:space="preserve">en el </w:t>
            </w:r>
            <w:r w:rsidR="005120A2" w:rsidRPr="00600ED9">
              <w:rPr>
                <w:lang w:val="es-ES_tradnl"/>
              </w:rPr>
              <w:t>PEI</w:t>
            </w:r>
            <w:r w:rsidRPr="00600ED9">
              <w:rPr>
                <w:lang w:val="es-ES_tradnl"/>
              </w:rPr>
              <w:t xml:space="preserve"> y así identificar las necesidades, las causas, y por ende las áreas que requieren mejoras en el desempeño</w:t>
            </w:r>
            <w:r w:rsidR="005561D8" w:rsidRPr="00600ED9">
              <w:rPr>
                <w:lang w:val="es-ES_tradnl"/>
              </w:rPr>
              <w:t>, tampoco evalúa</w:t>
            </w:r>
            <w:r w:rsidRPr="00600ED9">
              <w:rPr>
                <w:lang w:val="es-ES_tradnl"/>
              </w:rPr>
              <w:t xml:space="preserve"> los sistemas de gobernanza nacional, político, económico y de gestión financiera pública en el que opera la CGRC. El análisis del medio externo es importante porque éste puede llegar a incidir directa o indirectamente en el éxito o fracaso de las iniciativas planteadas.</w:t>
            </w:r>
          </w:p>
          <w:p w:rsidR="00C93E11" w:rsidRPr="00600ED9" w:rsidRDefault="00C93E11" w:rsidP="00FB1954">
            <w:pPr>
              <w:pStyle w:val="Normaltabletext"/>
              <w:spacing w:after="0"/>
              <w:rPr>
                <w:sz w:val="16"/>
                <w:lang w:val="es-ES_tradnl"/>
              </w:rPr>
            </w:pPr>
          </w:p>
          <w:p w:rsidR="00C93E11" w:rsidRPr="00600ED9" w:rsidRDefault="00C93E11" w:rsidP="00FB1954">
            <w:pPr>
              <w:pStyle w:val="Normaltabletext"/>
              <w:spacing w:after="0"/>
              <w:rPr>
                <w:lang w:val="es-ES_tradnl"/>
              </w:rPr>
            </w:pPr>
            <w:r w:rsidRPr="00600ED9">
              <w:rPr>
                <w:lang w:val="es-ES_tradnl"/>
              </w:rPr>
              <w:t xml:space="preserve">La CGRC no ha desarrollado una Matriz de Implementación que sirva como enlace entre el </w:t>
            </w:r>
            <w:r w:rsidR="005120A2" w:rsidRPr="00600ED9">
              <w:rPr>
                <w:lang w:val="es-ES_tradnl"/>
              </w:rPr>
              <w:t>PEI</w:t>
            </w:r>
            <w:r w:rsidRPr="00600ED9">
              <w:rPr>
                <w:lang w:val="es-ES_tradnl"/>
              </w:rPr>
              <w:t xml:space="preserve"> y PAA, con el fin de identificar y priorizar los proyectos que se llevarán a cabo para alcanzar los objetivos del </w:t>
            </w:r>
            <w:r w:rsidR="005120A2" w:rsidRPr="00600ED9">
              <w:rPr>
                <w:lang w:val="es-ES_tradnl"/>
              </w:rPr>
              <w:t>PEI</w:t>
            </w:r>
            <w:r w:rsidRPr="00600ED9">
              <w:rPr>
                <w:lang w:val="es-ES_tradnl"/>
              </w:rPr>
              <w:t>, así como los recursos necesarios, las personas responsables, los tiempos y plazos, los factores de éxito y los riesgos que todo ello implica.</w:t>
            </w:r>
          </w:p>
        </w:tc>
      </w:tr>
      <w:tr w:rsidR="00C93E11" w:rsidRPr="00600ED9" w:rsidTr="00942504">
        <w:tc>
          <w:tcPr>
            <w:tcW w:w="9356" w:type="dxa"/>
            <w:shd w:val="clear" w:color="auto" w:fill="D9D9D9" w:themeFill="background1" w:themeFillShade="D9"/>
          </w:tcPr>
          <w:p w:rsidR="00C93E11" w:rsidRPr="00600ED9" w:rsidRDefault="00C93E11" w:rsidP="00FB1954">
            <w:pPr>
              <w:pStyle w:val="NoSpacing"/>
              <w:rPr>
                <w:b/>
                <w:i/>
                <w:sz w:val="20"/>
                <w:szCs w:val="20"/>
                <w:lang w:val="es-ES_tradnl"/>
              </w:rPr>
            </w:pPr>
            <w:r w:rsidRPr="00600ED9">
              <w:rPr>
                <w:b/>
                <w:i/>
                <w:sz w:val="20"/>
                <w:szCs w:val="20"/>
                <w:lang w:val="es-ES_tradnl"/>
              </w:rPr>
              <w:lastRenderedPageBreak/>
              <w:t>Dimensión (ii) Proceso de planeación estratégica</w:t>
            </w:r>
          </w:p>
        </w:tc>
      </w:tr>
      <w:tr w:rsidR="00C93E11" w:rsidRPr="00600ED9" w:rsidTr="00614E29">
        <w:tc>
          <w:tcPr>
            <w:tcW w:w="9356" w:type="dxa"/>
            <w:shd w:val="clear" w:color="auto" w:fill="D9D9D9" w:themeFill="background1" w:themeFillShade="D9"/>
          </w:tcPr>
          <w:p w:rsidR="00C93E11" w:rsidRPr="00600ED9" w:rsidRDefault="003251D8" w:rsidP="00FB1954">
            <w:pPr>
              <w:pStyle w:val="NoSpacing"/>
              <w:rPr>
                <w:i/>
                <w:sz w:val="20"/>
                <w:szCs w:val="20"/>
                <w:lang w:val="es-ES_tradnl"/>
              </w:rPr>
            </w:pPr>
            <w:r w:rsidRPr="00600ED9">
              <w:rPr>
                <w:b/>
                <w:i/>
                <w:sz w:val="20"/>
                <w:szCs w:val="20"/>
                <w:lang w:val="es-ES_tradnl"/>
              </w:rPr>
              <w:t>Puntuación</w:t>
            </w:r>
            <w:r w:rsidR="00C93E11" w:rsidRPr="00600ED9">
              <w:rPr>
                <w:b/>
                <w:i/>
                <w:sz w:val="20"/>
                <w:szCs w:val="20"/>
                <w:lang w:val="es-ES_tradnl"/>
              </w:rPr>
              <w:t xml:space="preserve"> </w:t>
            </w:r>
            <w:r w:rsidR="00C93E11" w:rsidRPr="00600ED9">
              <w:rPr>
                <w:rFonts w:cs="Calibri"/>
                <w:b/>
                <w:bCs/>
                <w:i/>
                <w:sz w:val="20"/>
                <w:szCs w:val="20"/>
                <w:lang w:val="es-ES_tradnl"/>
              </w:rPr>
              <w:t>2</w:t>
            </w:r>
            <w:r w:rsidRPr="00600ED9">
              <w:rPr>
                <w:rFonts w:cs="Calibri"/>
                <w:b/>
                <w:bCs/>
                <w:i/>
                <w:sz w:val="20"/>
                <w:szCs w:val="20"/>
                <w:lang w:val="es-ES_tradnl"/>
              </w:rPr>
              <w:t>:</w:t>
            </w:r>
            <w:r w:rsidR="00C93E11" w:rsidRPr="00600ED9">
              <w:rPr>
                <w:rFonts w:cs="Calibri"/>
                <w:b/>
                <w:bCs/>
                <w:i/>
                <w:sz w:val="20"/>
                <w:szCs w:val="20"/>
                <w:lang w:val="es-ES_tradnl"/>
              </w:rPr>
              <w:t xml:space="preserve"> </w:t>
            </w:r>
            <w:r w:rsidR="00C93E11" w:rsidRPr="00600ED9">
              <w:rPr>
                <w:rFonts w:cs="Calibri"/>
                <w:i/>
                <w:sz w:val="20"/>
                <w:szCs w:val="20"/>
                <w:lang w:val="es-ES_tradnl"/>
              </w:rPr>
              <w:t>Se aplican al menos cuatro de los criterios mencionados.</w:t>
            </w:r>
          </w:p>
        </w:tc>
      </w:tr>
      <w:tr w:rsidR="00C93E11" w:rsidRPr="00600ED9" w:rsidTr="00942504">
        <w:tc>
          <w:tcPr>
            <w:tcW w:w="9356" w:type="dxa"/>
          </w:tcPr>
          <w:p w:rsidR="00C93E11" w:rsidRPr="00600ED9" w:rsidRDefault="00C93E11" w:rsidP="00FB1954">
            <w:pPr>
              <w:pStyle w:val="Normaltabletext"/>
              <w:spacing w:after="0"/>
              <w:rPr>
                <w:lang w:val="es-ES_tradnl"/>
              </w:rPr>
            </w:pPr>
            <w:r w:rsidRPr="00600ED9">
              <w:rPr>
                <w:lang w:val="es-ES_tradnl"/>
              </w:rPr>
              <w:t xml:space="preserve">Criterios (a), (c), (e), (g) y (h) se cumplen.  Criterios (b), (d), y (f) no se cumplen. </w:t>
            </w:r>
          </w:p>
          <w:p w:rsidR="007F19FA" w:rsidRPr="00600ED9" w:rsidRDefault="007F19FA" w:rsidP="00FB1954">
            <w:pPr>
              <w:pStyle w:val="Normaltabletext"/>
              <w:spacing w:after="0"/>
              <w:rPr>
                <w:lang w:val="es-ES_tradnl"/>
              </w:rPr>
            </w:pPr>
          </w:p>
          <w:p w:rsidR="00C93E11" w:rsidRPr="00600ED9" w:rsidRDefault="00C93E11" w:rsidP="00FB1954">
            <w:pPr>
              <w:pStyle w:val="Normaltabletext"/>
              <w:spacing w:after="0"/>
              <w:rPr>
                <w:lang w:val="es-ES_tradnl"/>
              </w:rPr>
            </w:pPr>
            <w:r w:rsidRPr="00600ED9">
              <w:rPr>
                <w:lang w:val="es-ES_tradnl"/>
              </w:rPr>
              <w:t xml:space="preserve">La alta dirección de la CGRC y el Contralor General están comprometidos  y han liderado el proceso de preparación del </w:t>
            </w:r>
            <w:r w:rsidR="005120A2" w:rsidRPr="00600ED9">
              <w:rPr>
                <w:lang w:val="es-ES_tradnl"/>
              </w:rPr>
              <w:t>PEI</w:t>
            </w:r>
            <w:r w:rsidRPr="00600ED9">
              <w:rPr>
                <w:lang w:val="es-ES_tradnl"/>
              </w:rPr>
              <w:t>, como parte de un proceso continuo.</w:t>
            </w:r>
          </w:p>
          <w:p w:rsidR="007F19FA" w:rsidRPr="00600ED9" w:rsidRDefault="007F19FA" w:rsidP="00FB1954">
            <w:pPr>
              <w:pStyle w:val="Normaltabletext"/>
              <w:spacing w:after="0"/>
              <w:rPr>
                <w:lang w:val="es-ES_tradnl"/>
              </w:rPr>
            </w:pPr>
          </w:p>
          <w:p w:rsidR="00C93E11" w:rsidRPr="00600ED9" w:rsidRDefault="00C93E11" w:rsidP="00FB1954">
            <w:pPr>
              <w:pStyle w:val="Normaltabletext"/>
              <w:spacing w:after="0"/>
              <w:rPr>
                <w:lang w:val="es-ES_tradnl"/>
              </w:rPr>
            </w:pPr>
            <w:r w:rsidRPr="00600ED9">
              <w:rPr>
                <w:lang w:val="es-ES_tradnl"/>
              </w:rPr>
              <w:t xml:space="preserve">Los resultados del </w:t>
            </w:r>
            <w:r w:rsidR="005120A2" w:rsidRPr="00600ED9">
              <w:rPr>
                <w:lang w:val="es-ES_tradnl"/>
              </w:rPr>
              <w:t>PEI</w:t>
            </w:r>
            <w:r w:rsidRPr="00600ED9">
              <w:rPr>
                <w:lang w:val="es-ES_tradnl"/>
              </w:rPr>
              <w:t xml:space="preserve"> anterior, son considerados como insumos para el seguimiento e implementación, y a través de los PAA ha permitido confirmar su implementación al inicio del </w:t>
            </w:r>
            <w:r w:rsidR="005120A2" w:rsidRPr="00600ED9">
              <w:rPr>
                <w:lang w:val="es-ES_tradnl"/>
              </w:rPr>
              <w:t>PEI</w:t>
            </w:r>
            <w:r w:rsidRPr="00600ED9">
              <w:rPr>
                <w:lang w:val="es-ES_tradnl"/>
              </w:rPr>
              <w:t xml:space="preserve"> actual.</w:t>
            </w:r>
          </w:p>
          <w:p w:rsidR="007F19FA" w:rsidRPr="00600ED9" w:rsidRDefault="007F19FA" w:rsidP="00FB1954">
            <w:pPr>
              <w:pStyle w:val="Normaltabletext"/>
              <w:spacing w:after="0"/>
              <w:rPr>
                <w:lang w:val="es-ES_tradnl"/>
              </w:rPr>
            </w:pPr>
          </w:p>
          <w:p w:rsidR="00C93E11" w:rsidRPr="00600ED9" w:rsidRDefault="00C93E11" w:rsidP="00FB1954">
            <w:pPr>
              <w:pStyle w:val="Normaltabletext"/>
              <w:spacing w:after="0"/>
              <w:rPr>
                <w:lang w:val="es-ES_tradnl"/>
              </w:rPr>
            </w:pPr>
            <w:r w:rsidRPr="00600ED9">
              <w:rPr>
                <w:lang w:val="es-ES_tradnl"/>
              </w:rPr>
              <w:t xml:space="preserve">De acuerdo con las políticas establecidas, el </w:t>
            </w:r>
            <w:r w:rsidR="005120A2" w:rsidRPr="00600ED9">
              <w:rPr>
                <w:lang w:val="es-ES_tradnl"/>
              </w:rPr>
              <w:t>PEI</w:t>
            </w:r>
            <w:r w:rsidRPr="00600ED9">
              <w:rPr>
                <w:lang w:val="es-ES_tradnl"/>
              </w:rPr>
              <w:t xml:space="preserve"> 2014 – 2018 de la CGRC es publicado en el portal  institucional</w:t>
            </w:r>
            <w:r w:rsidRPr="00600ED9">
              <w:rPr>
                <w:vertAlign w:val="superscript"/>
                <w:lang w:val="es-ES_tradnl" w:eastAsia="en-US"/>
              </w:rPr>
              <w:footnoteReference w:id="30"/>
            </w:r>
            <w:r w:rsidRPr="00600ED9">
              <w:rPr>
                <w:lang w:val="es-ES_tradnl"/>
              </w:rPr>
              <w:t>.</w:t>
            </w:r>
          </w:p>
          <w:p w:rsidR="00C93E11" w:rsidRPr="00600ED9" w:rsidRDefault="00C93E11" w:rsidP="00FB1954">
            <w:pPr>
              <w:pStyle w:val="Normaltabletext"/>
              <w:spacing w:after="0"/>
              <w:rPr>
                <w:lang w:val="es-ES_tradnl"/>
              </w:rPr>
            </w:pPr>
            <w:r w:rsidRPr="00600ED9">
              <w:rPr>
                <w:lang w:val="es-ES_tradnl"/>
              </w:rPr>
              <w:t xml:space="preserve">Para la elaboración del </w:t>
            </w:r>
            <w:r w:rsidR="005120A2" w:rsidRPr="00600ED9">
              <w:rPr>
                <w:lang w:val="es-ES_tradnl"/>
              </w:rPr>
              <w:t>PEI</w:t>
            </w:r>
            <w:r w:rsidRPr="00600ED9">
              <w:rPr>
                <w:lang w:val="es-ES_tradnl"/>
              </w:rPr>
              <w:t xml:space="preserve">, se cuenta con criterios generales que orientan los procesos necesarios para formular, ajustar, divulgar y efectuar </w:t>
            </w:r>
            <w:r w:rsidR="005D718E" w:rsidRPr="00600ED9">
              <w:rPr>
                <w:lang w:val="es-ES_tradnl"/>
              </w:rPr>
              <w:t xml:space="preserve">su </w:t>
            </w:r>
            <w:r w:rsidRPr="00600ED9">
              <w:rPr>
                <w:lang w:val="es-ES_tradnl"/>
              </w:rPr>
              <w:t xml:space="preserve">seguimiento y evaluación. No obstante, no se detallan las etapas que se deben seguir para su desarrollo e implementación, así como tampoco se describen las actividades, los responsables y plazos definidos para este proceso. </w:t>
            </w:r>
          </w:p>
          <w:p w:rsidR="007F19FA" w:rsidRPr="00600ED9" w:rsidRDefault="007F19FA" w:rsidP="00FB1954">
            <w:pPr>
              <w:pStyle w:val="Normaltabletext"/>
              <w:spacing w:after="0"/>
              <w:rPr>
                <w:lang w:val="es-ES_tradnl"/>
              </w:rPr>
            </w:pPr>
          </w:p>
          <w:p w:rsidR="00C93E11" w:rsidRPr="00600ED9" w:rsidRDefault="00C93E11" w:rsidP="00FB1954">
            <w:pPr>
              <w:pStyle w:val="Normaltabletext"/>
              <w:spacing w:after="0"/>
              <w:rPr>
                <w:lang w:val="es-ES_tradnl"/>
              </w:rPr>
            </w:pPr>
            <w:r w:rsidRPr="00600ED9">
              <w:rPr>
                <w:lang w:val="es-ES_tradnl"/>
              </w:rPr>
              <w:t xml:space="preserve">La CGRC no establece como mejor práctica brindar la oportunidad para que todos en la organización participen del proceso de planeación estratégica y tampoco consulta a una variedad de actores externos con el fin de identificar sus intereses y aportes al funcionamiento de la Contraloría. </w:t>
            </w:r>
          </w:p>
          <w:p w:rsidR="007F19FA" w:rsidRPr="00600ED9" w:rsidRDefault="007F19FA" w:rsidP="00FB1954">
            <w:pPr>
              <w:pStyle w:val="Normaltabletext"/>
              <w:spacing w:after="0"/>
              <w:rPr>
                <w:lang w:val="es-ES_tradnl"/>
              </w:rPr>
            </w:pPr>
          </w:p>
          <w:p w:rsidR="00394F25" w:rsidRPr="00600ED9" w:rsidRDefault="00C93E11" w:rsidP="00FB1954">
            <w:pPr>
              <w:pStyle w:val="Normaltabletext"/>
              <w:keepNext/>
              <w:keepLines/>
              <w:spacing w:after="0"/>
              <w:outlineLvl w:val="1"/>
              <w:rPr>
                <w:lang w:val="es-ES_tradnl"/>
              </w:rPr>
            </w:pPr>
            <w:r w:rsidRPr="00600ED9">
              <w:rPr>
                <w:lang w:val="es-ES_tradnl"/>
              </w:rPr>
              <w:t xml:space="preserve">Se espera que los resultados de este diagnóstico permitan implementar acciones para establecer y mantener relaciones con dichos actores, que podrían hacer una contribución importante a los resultados del control externo. </w:t>
            </w:r>
          </w:p>
          <w:p w:rsidR="00CF5512" w:rsidRPr="00600ED9" w:rsidRDefault="00CF5512" w:rsidP="00FB1954">
            <w:pPr>
              <w:pStyle w:val="Normaltabletext"/>
              <w:keepNext/>
              <w:keepLines/>
              <w:spacing w:after="0"/>
              <w:outlineLvl w:val="1"/>
              <w:rPr>
                <w:sz w:val="16"/>
                <w:lang w:val="es-ES_tradnl"/>
              </w:rPr>
            </w:pPr>
          </w:p>
        </w:tc>
      </w:tr>
      <w:tr w:rsidR="00C93E11" w:rsidRPr="00600ED9" w:rsidTr="00942504">
        <w:tc>
          <w:tcPr>
            <w:tcW w:w="9356" w:type="dxa"/>
            <w:shd w:val="clear" w:color="auto" w:fill="D9D9D9" w:themeFill="background1" w:themeFillShade="D9"/>
          </w:tcPr>
          <w:p w:rsidR="00C93E11" w:rsidRPr="00600ED9" w:rsidRDefault="00C93E11" w:rsidP="00FB1954">
            <w:pPr>
              <w:pStyle w:val="NoSpacing"/>
              <w:rPr>
                <w:b/>
                <w:i/>
                <w:sz w:val="20"/>
                <w:szCs w:val="20"/>
                <w:lang w:val="es-ES_tradnl"/>
              </w:rPr>
            </w:pPr>
            <w:r w:rsidRPr="00600ED9">
              <w:rPr>
                <w:b/>
                <w:i/>
                <w:sz w:val="20"/>
                <w:szCs w:val="20"/>
                <w:lang w:val="es-ES_tradnl"/>
              </w:rPr>
              <w:t>Dimensión (iii) Contenido del plan anual</w:t>
            </w:r>
          </w:p>
        </w:tc>
      </w:tr>
      <w:tr w:rsidR="00C93E11" w:rsidRPr="00600ED9" w:rsidTr="00614E29">
        <w:tc>
          <w:tcPr>
            <w:tcW w:w="9356" w:type="dxa"/>
            <w:shd w:val="clear" w:color="auto" w:fill="D9D9D9" w:themeFill="background1" w:themeFillShade="D9"/>
          </w:tcPr>
          <w:p w:rsidR="00C93E11" w:rsidRPr="00600ED9" w:rsidRDefault="00C93E11" w:rsidP="00FB1954">
            <w:pPr>
              <w:pStyle w:val="NoSpacing"/>
              <w:rPr>
                <w:i/>
                <w:sz w:val="20"/>
                <w:szCs w:val="20"/>
                <w:lang w:val="es-ES_tradnl"/>
              </w:rPr>
            </w:pPr>
            <w:r w:rsidRPr="00600ED9">
              <w:rPr>
                <w:b/>
                <w:i/>
                <w:sz w:val="20"/>
                <w:szCs w:val="20"/>
                <w:lang w:val="es-ES_tradnl"/>
              </w:rPr>
              <w:t>Puntuación</w:t>
            </w:r>
            <w:r w:rsidR="003251D8" w:rsidRPr="00600ED9">
              <w:rPr>
                <w:b/>
                <w:i/>
                <w:sz w:val="20"/>
                <w:szCs w:val="20"/>
                <w:lang w:val="es-ES_tradnl"/>
              </w:rPr>
              <w:t xml:space="preserve"> </w:t>
            </w:r>
            <w:r w:rsidRPr="00600ED9">
              <w:rPr>
                <w:rFonts w:cs="Calibri"/>
                <w:b/>
                <w:bCs/>
                <w:i/>
                <w:sz w:val="20"/>
                <w:szCs w:val="20"/>
                <w:lang w:val="es-ES_tradnl"/>
              </w:rPr>
              <w:t>1</w:t>
            </w:r>
            <w:r w:rsidR="003251D8" w:rsidRPr="00600ED9">
              <w:rPr>
                <w:rFonts w:cs="Calibri"/>
                <w:b/>
                <w:bCs/>
                <w:i/>
                <w:sz w:val="20"/>
                <w:szCs w:val="20"/>
                <w:lang w:val="es-ES_tradnl"/>
              </w:rPr>
              <w:t>:</w:t>
            </w:r>
            <w:r w:rsidRPr="00600ED9">
              <w:rPr>
                <w:rFonts w:cs="Calibri"/>
                <w:b/>
                <w:bCs/>
                <w:i/>
                <w:sz w:val="20"/>
                <w:szCs w:val="20"/>
                <w:lang w:val="es-ES_tradnl"/>
              </w:rPr>
              <w:t xml:space="preserve"> </w:t>
            </w:r>
            <w:r w:rsidRPr="00600ED9">
              <w:rPr>
                <w:rFonts w:cs="Calibri"/>
                <w:bCs/>
                <w:i/>
                <w:sz w:val="20"/>
                <w:szCs w:val="20"/>
                <w:lang w:val="es-ES_tradnl"/>
              </w:rPr>
              <w:t xml:space="preserve">Se aplica </w:t>
            </w:r>
            <w:r w:rsidRPr="00600ED9">
              <w:rPr>
                <w:rFonts w:cs="Calibri"/>
                <w:i/>
                <w:sz w:val="20"/>
                <w:szCs w:val="20"/>
                <w:lang w:val="es-ES_tradnl"/>
              </w:rPr>
              <w:t>al menos uno de los criterios mencionados.</w:t>
            </w:r>
          </w:p>
        </w:tc>
      </w:tr>
      <w:tr w:rsidR="00C93E11" w:rsidRPr="00600ED9" w:rsidTr="00942504">
        <w:tc>
          <w:tcPr>
            <w:tcW w:w="9356" w:type="dxa"/>
          </w:tcPr>
          <w:p w:rsidR="00C93E11" w:rsidRPr="00600ED9" w:rsidRDefault="00C93E11" w:rsidP="00FB1954">
            <w:pPr>
              <w:pStyle w:val="Normaltabletext"/>
              <w:spacing w:after="0"/>
              <w:rPr>
                <w:lang w:val="es-ES_tradnl"/>
              </w:rPr>
            </w:pPr>
            <w:r w:rsidRPr="00600ED9">
              <w:rPr>
                <w:lang w:val="es-ES_tradnl"/>
              </w:rPr>
              <w:t xml:space="preserve">Criterios (c) y (f) se cumplen.  Criterios (a), (b), (d), (e) y (g) no se cumplen. </w:t>
            </w:r>
          </w:p>
          <w:p w:rsidR="00CF5512" w:rsidRPr="00600ED9" w:rsidRDefault="00CF5512" w:rsidP="00FB1954">
            <w:pPr>
              <w:pStyle w:val="Normaltabletext"/>
              <w:spacing w:after="0"/>
              <w:rPr>
                <w:lang w:val="es-ES_tradnl"/>
              </w:rPr>
            </w:pPr>
          </w:p>
          <w:p w:rsidR="00C93E11" w:rsidRPr="00600ED9" w:rsidRDefault="00C93E11" w:rsidP="00FB1954">
            <w:pPr>
              <w:pStyle w:val="Normaltabletext"/>
              <w:spacing w:after="0"/>
              <w:rPr>
                <w:lang w:val="es-ES_tradnl"/>
              </w:rPr>
            </w:pPr>
            <w:r w:rsidRPr="00600ED9">
              <w:rPr>
                <w:lang w:val="es-ES_tradnl"/>
              </w:rPr>
              <w:t xml:space="preserve">El PAA responde en forma directa al cumplimiento de la misión, objetivos corporativos y estrategias del </w:t>
            </w:r>
            <w:r w:rsidR="005120A2" w:rsidRPr="00600ED9">
              <w:rPr>
                <w:lang w:val="es-ES_tradnl"/>
              </w:rPr>
              <w:t>PEI</w:t>
            </w:r>
            <w:r w:rsidRPr="00600ED9">
              <w:rPr>
                <w:lang w:val="es-ES_tradnl"/>
              </w:rPr>
              <w:t xml:space="preserve">. Proporciona el detalle de las actividades planeadas para el año, los plazos, los responsables de su implementación y además, contiene un conjunto de indicadores medibles a nivel de productos y actividades.   </w:t>
            </w:r>
          </w:p>
          <w:p w:rsidR="00CF5512" w:rsidRPr="00600ED9" w:rsidRDefault="00CF5512" w:rsidP="00FB1954">
            <w:pPr>
              <w:pStyle w:val="Normaltabletext"/>
              <w:spacing w:after="0"/>
              <w:rPr>
                <w:lang w:val="es-ES_tradnl"/>
              </w:rPr>
            </w:pPr>
          </w:p>
          <w:p w:rsidR="00C93E11" w:rsidRPr="00600ED9" w:rsidRDefault="00C93E11" w:rsidP="00FB1954">
            <w:pPr>
              <w:pStyle w:val="NoSpacing"/>
              <w:jc w:val="both"/>
              <w:rPr>
                <w:sz w:val="20"/>
                <w:szCs w:val="20"/>
                <w:lang w:val="es-ES_tradnl"/>
              </w:rPr>
            </w:pPr>
            <w:r w:rsidRPr="00600ED9">
              <w:rPr>
                <w:sz w:val="20"/>
                <w:szCs w:val="20"/>
                <w:lang w:val="es-ES_tradnl"/>
              </w:rPr>
              <w:t xml:space="preserve">Sin embargo, el PAA no considera los siguientes aspectos, que son relevantes en la medida en que éste constituye la herramienta que permite asegurar que el </w:t>
            </w:r>
            <w:r w:rsidR="005120A2" w:rsidRPr="00600ED9">
              <w:rPr>
                <w:sz w:val="20"/>
                <w:szCs w:val="20"/>
                <w:lang w:val="es-ES_tradnl"/>
              </w:rPr>
              <w:t>PEI</w:t>
            </w:r>
            <w:r w:rsidRPr="00600ED9">
              <w:rPr>
                <w:sz w:val="20"/>
                <w:szCs w:val="20"/>
                <w:lang w:val="es-ES_tradnl"/>
              </w:rPr>
              <w:t xml:space="preserve"> sea implementado de manera coordinada y eficaz:</w:t>
            </w:r>
          </w:p>
          <w:p w:rsidR="00C93E11" w:rsidRPr="00600ED9" w:rsidRDefault="00C93E11" w:rsidP="00FB1954">
            <w:pPr>
              <w:pStyle w:val="NoSpacing"/>
              <w:jc w:val="both"/>
              <w:rPr>
                <w:sz w:val="16"/>
                <w:szCs w:val="20"/>
                <w:lang w:val="es-ES_tradnl"/>
              </w:rPr>
            </w:pPr>
          </w:p>
          <w:p w:rsidR="00C93E11" w:rsidRPr="00600ED9" w:rsidRDefault="00C93E11" w:rsidP="00233205">
            <w:pPr>
              <w:pStyle w:val="NoSpacing"/>
              <w:numPr>
                <w:ilvl w:val="0"/>
                <w:numId w:val="12"/>
              </w:numPr>
              <w:ind w:left="533"/>
              <w:jc w:val="both"/>
              <w:rPr>
                <w:sz w:val="20"/>
                <w:szCs w:val="20"/>
                <w:lang w:val="es-ES_tradnl"/>
              </w:rPr>
            </w:pPr>
            <w:r w:rsidRPr="00600ED9">
              <w:rPr>
                <w:sz w:val="20"/>
                <w:szCs w:val="20"/>
                <w:lang w:val="es-ES_tradnl"/>
              </w:rPr>
              <w:t>Recursos, en términos de los aportes que las diferentes áreas de la organización proporcionan al plan.</w:t>
            </w:r>
          </w:p>
          <w:p w:rsidR="00C93E11" w:rsidRPr="00600ED9" w:rsidRDefault="00C93E11" w:rsidP="00233205">
            <w:pPr>
              <w:pStyle w:val="NoSpacing"/>
              <w:numPr>
                <w:ilvl w:val="0"/>
                <w:numId w:val="12"/>
              </w:numPr>
              <w:ind w:left="533"/>
              <w:jc w:val="both"/>
              <w:rPr>
                <w:sz w:val="20"/>
                <w:szCs w:val="20"/>
                <w:lang w:val="es-ES_tradnl"/>
              </w:rPr>
            </w:pPr>
            <w:r w:rsidRPr="00600ED9">
              <w:rPr>
                <w:sz w:val="20"/>
                <w:szCs w:val="20"/>
                <w:lang w:val="es-ES_tradnl"/>
              </w:rPr>
              <w:t>Presupuesto requerido para ejecutar las actividades.</w:t>
            </w:r>
          </w:p>
          <w:p w:rsidR="00C93E11" w:rsidRPr="00600ED9" w:rsidRDefault="00C93E11" w:rsidP="00233205">
            <w:pPr>
              <w:pStyle w:val="NoSpacing"/>
              <w:numPr>
                <w:ilvl w:val="0"/>
                <w:numId w:val="12"/>
              </w:numPr>
              <w:ind w:left="533"/>
              <w:jc w:val="both"/>
              <w:rPr>
                <w:sz w:val="20"/>
                <w:szCs w:val="20"/>
                <w:lang w:val="es-ES_tradnl"/>
              </w:rPr>
            </w:pPr>
            <w:r w:rsidRPr="00600ED9">
              <w:rPr>
                <w:sz w:val="20"/>
                <w:szCs w:val="20"/>
                <w:lang w:val="es-ES_tradnl"/>
              </w:rPr>
              <w:t>Referencias al desempeño actual e hitos para los indicadores principales</w:t>
            </w:r>
            <w:r w:rsidR="005D718E" w:rsidRPr="00600ED9">
              <w:rPr>
                <w:sz w:val="20"/>
                <w:szCs w:val="20"/>
                <w:lang w:val="es-ES_tradnl"/>
              </w:rPr>
              <w:t>,</w:t>
            </w:r>
            <w:r w:rsidRPr="00600ED9">
              <w:rPr>
                <w:sz w:val="20"/>
                <w:szCs w:val="20"/>
                <w:lang w:val="es-ES_tradnl"/>
              </w:rPr>
              <w:t xml:space="preserve"> y</w:t>
            </w:r>
          </w:p>
          <w:p w:rsidR="00C93E11" w:rsidRPr="00600ED9" w:rsidRDefault="00C93E11" w:rsidP="00233205">
            <w:pPr>
              <w:pStyle w:val="NoSpacing"/>
              <w:numPr>
                <w:ilvl w:val="0"/>
                <w:numId w:val="12"/>
              </w:numPr>
              <w:ind w:left="533"/>
              <w:jc w:val="both"/>
              <w:rPr>
                <w:sz w:val="20"/>
                <w:szCs w:val="20"/>
                <w:lang w:val="es-ES_tradnl"/>
              </w:rPr>
            </w:pPr>
            <w:r w:rsidRPr="00600ED9">
              <w:rPr>
                <w:sz w:val="20"/>
                <w:szCs w:val="20"/>
                <w:lang w:val="es-ES_tradnl"/>
              </w:rPr>
              <w:t>Evaluación de los riesgos que pueden llegar a limitar el logro de los objetivos planteados.</w:t>
            </w:r>
          </w:p>
          <w:p w:rsidR="00CF5512" w:rsidRPr="00600ED9" w:rsidRDefault="00CF5512" w:rsidP="00CF5512">
            <w:pPr>
              <w:pStyle w:val="NoSpacing"/>
              <w:ind w:left="533"/>
              <w:jc w:val="both"/>
              <w:rPr>
                <w:sz w:val="20"/>
                <w:szCs w:val="20"/>
                <w:lang w:val="es-ES_tradnl"/>
              </w:rPr>
            </w:pPr>
          </w:p>
        </w:tc>
      </w:tr>
      <w:tr w:rsidR="00C93E11" w:rsidRPr="00600ED9" w:rsidTr="00942504">
        <w:tc>
          <w:tcPr>
            <w:tcW w:w="9356" w:type="dxa"/>
            <w:shd w:val="clear" w:color="auto" w:fill="D9D9D9" w:themeFill="background1" w:themeFillShade="D9"/>
          </w:tcPr>
          <w:p w:rsidR="00C93E11" w:rsidRPr="00600ED9" w:rsidRDefault="00C93E11" w:rsidP="00FB1954">
            <w:pPr>
              <w:pStyle w:val="NoSpacing"/>
              <w:rPr>
                <w:b/>
                <w:i/>
                <w:sz w:val="20"/>
                <w:szCs w:val="20"/>
                <w:lang w:val="es-ES_tradnl"/>
              </w:rPr>
            </w:pPr>
            <w:r w:rsidRPr="00600ED9">
              <w:rPr>
                <w:b/>
                <w:i/>
                <w:sz w:val="20"/>
                <w:szCs w:val="20"/>
                <w:lang w:val="es-ES_tradnl"/>
              </w:rPr>
              <w:t>Dimensión (iv) Proceso de planeación anual</w:t>
            </w:r>
          </w:p>
        </w:tc>
      </w:tr>
      <w:tr w:rsidR="00C93E11" w:rsidRPr="00600ED9" w:rsidTr="00224652">
        <w:tc>
          <w:tcPr>
            <w:tcW w:w="9356" w:type="dxa"/>
            <w:shd w:val="clear" w:color="auto" w:fill="D9D9D9" w:themeFill="background1" w:themeFillShade="D9"/>
          </w:tcPr>
          <w:p w:rsidR="00C93E11" w:rsidRPr="00600ED9" w:rsidRDefault="003251D8" w:rsidP="00FB1954">
            <w:pPr>
              <w:pStyle w:val="NoSpacing"/>
              <w:rPr>
                <w:i/>
                <w:sz w:val="20"/>
                <w:szCs w:val="20"/>
                <w:lang w:val="es-ES_tradnl"/>
              </w:rPr>
            </w:pPr>
            <w:r w:rsidRPr="00600ED9">
              <w:rPr>
                <w:b/>
                <w:i/>
                <w:sz w:val="20"/>
                <w:szCs w:val="20"/>
                <w:lang w:val="es-ES_tradnl"/>
              </w:rPr>
              <w:t>Puntuación</w:t>
            </w:r>
            <w:r w:rsidR="00C93E11" w:rsidRPr="00600ED9">
              <w:rPr>
                <w:b/>
                <w:i/>
                <w:sz w:val="20"/>
                <w:szCs w:val="20"/>
                <w:lang w:val="es-ES_tradnl"/>
              </w:rPr>
              <w:t xml:space="preserve"> </w:t>
            </w:r>
            <w:r w:rsidR="00C93E11" w:rsidRPr="00600ED9">
              <w:rPr>
                <w:rFonts w:cs="Calibri"/>
                <w:b/>
                <w:bCs/>
                <w:i/>
                <w:sz w:val="20"/>
                <w:szCs w:val="20"/>
                <w:lang w:val="es-ES_tradnl"/>
              </w:rPr>
              <w:t>4</w:t>
            </w:r>
            <w:r w:rsidRPr="00600ED9">
              <w:rPr>
                <w:rFonts w:cs="Calibri"/>
                <w:bCs/>
                <w:i/>
                <w:sz w:val="20"/>
                <w:szCs w:val="20"/>
                <w:lang w:val="es-ES_tradnl"/>
              </w:rPr>
              <w:t>:</w:t>
            </w:r>
            <w:r w:rsidR="00C93E11" w:rsidRPr="00600ED9">
              <w:rPr>
                <w:rFonts w:cs="Calibri"/>
                <w:bCs/>
                <w:i/>
                <w:sz w:val="20"/>
                <w:szCs w:val="20"/>
                <w:lang w:val="es-ES_tradnl"/>
              </w:rPr>
              <w:t xml:space="preserve"> </w:t>
            </w:r>
            <w:r w:rsidR="00C93E11" w:rsidRPr="00600ED9">
              <w:rPr>
                <w:rFonts w:cs="Calibri"/>
                <w:i/>
                <w:sz w:val="20"/>
                <w:szCs w:val="20"/>
                <w:lang w:val="es-ES_tradnl"/>
              </w:rPr>
              <w:t>Se aplican todos los criterios mencionados.</w:t>
            </w:r>
          </w:p>
        </w:tc>
      </w:tr>
      <w:tr w:rsidR="00C93E11" w:rsidRPr="00600ED9" w:rsidTr="00942504">
        <w:tc>
          <w:tcPr>
            <w:tcW w:w="9356" w:type="dxa"/>
          </w:tcPr>
          <w:p w:rsidR="00C93E11" w:rsidRPr="00600ED9" w:rsidRDefault="00C93E11" w:rsidP="00FB1954">
            <w:pPr>
              <w:pStyle w:val="Normaltabletext"/>
              <w:spacing w:after="0"/>
              <w:rPr>
                <w:lang w:val="es-ES_tradnl"/>
              </w:rPr>
            </w:pPr>
            <w:r w:rsidRPr="00600ED9">
              <w:rPr>
                <w:lang w:val="es-ES_tradnl"/>
              </w:rPr>
              <w:t>Criterios (a), (b), (c) y (d) se cumplen.</w:t>
            </w:r>
          </w:p>
          <w:p w:rsidR="00CF5512" w:rsidRPr="00600ED9" w:rsidRDefault="00CF5512" w:rsidP="00FB1954">
            <w:pPr>
              <w:pStyle w:val="Normaltabletext"/>
              <w:spacing w:after="0"/>
              <w:rPr>
                <w:lang w:val="es-ES_tradnl"/>
              </w:rPr>
            </w:pPr>
          </w:p>
          <w:p w:rsidR="00C93E11" w:rsidRPr="00600ED9" w:rsidRDefault="00C93E11" w:rsidP="00FB1954">
            <w:pPr>
              <w:pStyle w:val="Normaltabletext"/>
              <w:spacing w:after="0"/>
              <w:rPr>
                <w:lang w:val="es-ES_tradnl"/>
              </w:rPr>
            </w:pPr>
            <w:r w:rsidRPr="00600ED9">
              <w:rPr>
                <w:lang w:val="es-ES_tradnl"/>
              </w:rPr>
              <w:t>La alta dirección de la CGRC y el Contralor General están comprometidos y han liderado el proceso de preparación de los PAA 2015.</w:t>
            </w:r>
          </w:p>
          <w:p w:rsidR="00CF5512" w:rsidRPr="00600ED9" w:rsidRDefault="00CF5512" w:rsidP="00FB1954">
            <w:pPr>
              <w:pStyle w:val="Normaltabletext"/>
              <w:spacing w:after="0"/>
              <w:rPr>
                <w:sz w:val="16"/>
                <w:lang w:val="es-ES_tradnl"/>
              </w:rPr>
            </w:pPr>
          </w:p>
          <w:p w:rsidR="00C93E11" w:rsidRPr="00600ED9" w:rsidRDefault="00C93E11" w:rsidP="00FB1954">
            <w:pPr>
              <w:pStyle w:val="NoSpacing"/>
              <w:jc w:val="both"/>
              <w:rPr>
                <w:sz w:val="20"/>
                <w:szCs w:val="20"/>
                <w:lang w:val="es-ES_tradnl"/>
              </w:rPr>
            </w:pPr>
            <w:r w:rsidRPr="00600ED9">
              <w:rPr>
                <w:sz w:val="20"/>
                <w:szCs w:val="20"/>
                <w:lang w:val="es-ES_tradnl"/>
              </w:rPr>
              <w:t xml:space="preserve">La socialización y seguimiento a la implementación de los PAA está a cargo de los responsables de los macro procesos, quienes elaboran informes trimestrales en los que detallan para cada actividad, el avance, impacto, </w:t>
            </w:r>
            <w:r w:rsidRPr="00600ED9">
              <w:rPr>
                <w:sz w:val="20"/>
                <w:szCs w:val="20"/>
                <w:lang w:val="es-ES_tradnl"/>
              </w:rPr>
              <w:lastRenderedPageBreak/>
              <w:t>debilidades</w:t>
            </w:r>
            <w:r w:rsidR="005D718E" w:rsidRPr="00600ED9">
              <w:rPr>
                <w:sz w:val="20"/>
                <w:szCs w:val="20"/>
                <w:lang w:val="es-ES_tradnl"/>
              </w:rPr>
              <w:t>,</w:t>
            </w:r>
            <w:r w:rsidRPr="00600ED9">
              <w:rPr>
                <w:sz w:val="20"/>
                <w:szCs w:val="20"/>
                <w:lang w:val="es-ES_tradnl"/>
              </w:rPr>
              <w:t xml:space="preserve"> las acciones de mejora y lecciones aprendidas.  El PAA como parte de su divulgación, es publicado en el portal institucional</w:t>
            </w:r>
            <w:r w:rsidRPr="00600ED9">
              <w:rPr>
                <w:rStyle w:val="FootnoteReference"/>
                <w:sz w:val="20"/>
                <w:szCs w:val="20"/>
                <w:lang w:val="es-ES_tradnl"/>
              </w:rPr>
              <w:footnoteReference w:id="31"/>
            </w:r>
            <w:r w:rsidRPr="00600ED9">
              <w:rPr>
                <w:sz w:val="20"/>
                <w:szCs w:val="20"/>
                <w:lang w:val="es-ES_tradnl"/>
              </w:rPr>
              <w:t xml:space="preserve">. </w:t>
            </w:r>
          </w:p>
          <w:p w:rsidR="00CF5512" w:rsidRPr="00600ED9" w:rsidRDefault="00CF5512" w:rsidP="00FB1954">
            <w:pPr>
              <w:pStyle w:val="NoSpacing"/>
              <w:jc w:val="both"/>
              <w:rPr>
                <w:sz w:val="20"/>
                <w:szCs w:val="20"/>
                <w:lang w:val="es-ES_tradnl"/>
              </w:rPr>
            </w:pPr>
          </w:p>
          <w:p w:rsidR="00C93E11" w:rsidRPr="00600ED9" w:rsidRDefault="00C93E11" w:rsidP="00FB1954">
            <w:pPr>
              <w:pStyle w:val="NoSpacing"/>
              <w:jc w:val="both"/>
              <w:rPr>
                <w:sz w:val="20"/>
                <w:szCs w:val="20"/>
                <w:lang w:val="es-ES_tradnl"/>
              </w:rPr>
            </w:pPr>
            <w:r w:rsidRPr="00600ED9">
              <w:rPr>
                <w:sz w:val="20"/>
                <w:szCs w:val="20"/>
                <w:lang w:val="es-ES_tradnl"/>
              </w:rPr>
              <w:t>La CGRC dispone de un procedimiento que establece los lineamientos para elaborar, ajustar y hacer seguimiento al PAA. Este procedimiento describe claramente las acciones, los responsables y plazos para su desarrollo, y se complementa con los cronogramas que prepara anualmente la Oficina de Planeación para orientar el proceso de planeación anual.</w:t>
            </w:r>
          </w:p>
          <w:p w:rsidR="00CF5512" w:rsidRPr="00600ED9" w:rsidRDefault="00CF5512" w:rsidP="00FB1954">
            <w:pPr>
              <w:pStyle w:val="NoSpacing"/>
              <w:jc w:val="both"/>
              <w:rPr>
                <w:sz w:val="20"/>
                <w:szCs w:val="20"/>
                <w:lang w:val="es-ES_tradnl"/>
              </w:rPr>
            </w:pPr>
          </w:p>
        </w:tc>
      </w:tr>
    </w:tbl>
    <w:p w:rsidR="003B04AB" w:rsidRPr="00600ED9" w:rsidRDefault="003B04AB" w:rsidP="00FB1954">
      <w:pPr>
        <w:spacing w:after="0" w:line="240" w:lineRule="auto"/>
        <w:jc w:val="both"/>
        <w:rPr>
          <w:b/>
          <w:sz w:val="20"/>
          <w:szCs w:val="20"/>
        </w:rPr>
      </w:pPr>
    </w:p>
    <w:p w:rsidR="00F25A95" w:rsidRPr="00600ED9" w:rsidRDefault="003B04AB" w:rsidP="00FB1954">
      <w:pPr>
        <w:pStyle w:val="NoSpacing"/>
        <w:ind w:left="720"/>
        <w:rPr>
          <w:lang w:val="es-ES_tradnl"/>
        </w:rPr>
      </w:pPr>
      <w:r w:rsidRPr="00600ED9">
        <w:rPr>
          <w:b/>
          <w:bCs/>
          <w:smallCaps/>
          <w:lang w:val="es-ES_tradnl"/>
        </w:rPr>
        <w:t>Recomendaciones:</w:t>
      </w:r>
      <w:r w:rsidR="00AB7798" w:rsidRPr="00600ED9">
        <w:rPr>
          <w:b/>
          <w:bCs/>
          <w:smallCaps/>
          <w:lang w:val="es-ES_tradnl"/>
        </w:rPr>
        <w:t xml:space="preserve"> </w:t>
      </w:r>
      <w:r w:rsidR="005120A2" w:rsidRPr="00600ED9">
        <w:rPr>
          <w:lang w:val="es-ES_tradnl"/>
        </w:rPr>
        <w:t>Consultar el</w:t>
      </w:r>
      <w:r w:rsidR="00CA3E61" w:rsidRPr="00600ED9">
        <w:rPr>
          <w:lang w:val="es-ES_tradnl"/>
        </w:rPr>
        <w:t xml:space="preserve"> Anexo </w:t>
      </w:r>
      <w:r w:rsidR="005D718E" w:rsidRPr="00600ED9">
        <w:rPr>
          <w:lang w:val="es-ES_tradnl"/>
        </w:rPr>
        <w:t>A</w:t>
      </w:r>
      <w:r w:rsidR="00CA3E61" w:rsidRPr="00600ED9">
        <w:rPr>
          <w:lang w:val="es-ES_tradnl"/>
        </w:rPr>
        <w:t xml:space="preserve">: Plan de Acción, </w:t>
      </w:r>
      <w:r w:rsidR="005D718E" w:rsidRPr="00600ED9">
        <w:rPr>
          <w:lang w:val="es-ES_tradnl"/>
        </w:rPr>
        <w:t xml:space="preserve">recomendaciones </w:t>
      </w:r>
      <w:r w:rsidR="00710AA3" w:rsidRPr="00600ED9">
        <w:rPr>
          <w:lang w:val="es-ES_tradnl"/>
        </w:rPr>
        <w:t>No. 7 a 10</w:t>
      </w:r>
      <w:r w:rsidR="00CA3E61" w:rsidRPr="00600ED9">
        <w:rPr>
          <w:lang w:val="es-ES_tradnl"/>
        </w:rPr>
        <w:t>.</w:t>
      </w:r>
    </w:p>
    <w:p w:rsidR="005B517A" w:rsidRPr="00600ED9" w:rsidRDefault="005B517A" w:rsidP="00FB1954">
      <w:pPr>
        <w:spacing w:after="0" w:line="240" w:lineRule="auto"/>
        <w:ind w:left="720"/>
        <w:jc w:val="both"/>
        <w:rPr>
          <w:sz w:val="20"/>
          <w:szCs w:val="20"/>
        </w:rPr>
      </w:pPr>
    </w:p>
    <w:p w:rsidR="005B517A" w:rsidRPr="00600ED9" w:rsidRDefault="005B517A" w:rsidP="00FB1954">
      <w:pPr>
        <w:spacing w:after="0" w:line="240" w:lineRule="auto"/>
        <w:ind w:left="720"/>
        <w:jc w:val="both"/>
        <w:rPr>
          <w:sz w:val="20"/>
          <w:szCs w:val="20"/>
        </w:rPr>
      </w:pPr>
    </w:p>
    <w:p w:rsidR="00720E42" w:rsidRPr="00600ED9" w:rsidRDefault="00720E42" w:rsidP="00FB1954">
      <w:pPr>
        <w:pStyle w:val="Heading1"/>
        <w:spacing w:line="240" w:lineRule="auto"/>
        <w:ind w:left="567" w:hanging="567"/>
        <w:rPr>
          <w:noProof w:val="0"/>
        </w:rPr>
      </w:pPr>
      <w:bookmarkStart w:id="23" w:name="_Toc295932915"/>
      <w:r w:rsidRPr="00600ED9">
        <w:rPr>
          <w:noProof w:val="0"/>
        </w:rPr>
        <w:t xml:space="preserve">Dominio D: Normas y </w:t>
      </w:r>
      <w:r w:rsidR="008776C1" w:rsidRPr="00600ED9">
        <w:rPr>
          <w:noProof w:val="0"/>
        </w:rPr>
        <w:t>Metodología</w:t>
      </w:r>
      <w:r w:rsidRPr="00600ED9">
        <w:rPr>
          <w:noProof w:val="0"/>
        </w:rPr>
        <w:t xml:space="preserve"> de </w:t>
      </w:r>
      <w:r w:rsidR="001F40AB" w:rsidRPr="00600ED9">
        <w:rPr>
          <w:noProof w:val="0"/>
        </w:rPr>
        <w:t>Auditoría</w:t>
      </w:r>
      <w:bookmarkEnd w:id="23"/>
    </w:p>
    <w:p w:rsidR="00D82475" w:rsidRPr="00600ED9" w:rsidRDefault="00D82475" w:rsidP="00FB1954">
      <w:pPr>
        <w:pStyle w:val="NoSpacing"/>
        <w:ind w:left="567"/>
        <w:jc w:val="both"/>
        <w:rPr>
          <w:lang w:val="es-ES_tradnl"/>
        </w:rPr>
      </w:pPr>
    </w:p>
    <w:p w:rsidR="00D82475" w:rsidRPr="00600ED9" w:rsidRDefault="00D82475" w:rsidP="00FB1954">
      <w:pPr>
        <w:pStyle w:val="NoSpacing"/>
        <w:ind w:left="567"/>
        <w:jc w:val="both"/>
        <w:rPr>
          <w:lang w:val="es-ES_tradnl"/>
        </w:rPr>
      </w:pPr>
      <w:r w:rsidRPr="00600ED9">
        <w:rPr>
          <w:rFonts w:cs="Arial"/>
          <w:szCs w:val="24"/>
          <w:lang w:val="es-ES_tradnl"/>
        </w:rPr>
        <w:t xml:space="preserve">Este dominio </w:t>
      </w:r>
      <w:r w:rsidR="00F576EB" w:rsidRPr="00600ED9">
        <w:rPr>
          <w:rFonts w:cs="Arial"/>
          <w:szCs w:val="24"/>
          <w:lang w:val="es-ES_tradnl"/>
        </w:rPr>
        <w:t>cubre</w:t>
      </w:r>
      <w:r w:rsidRPr="00600ED9">
        <w:rPr>
          <w:rFonts w:cs="Arial"/>
          <w:szCs w:val="24"/>
          <w:lang w:val="es-ES_tradnl"/>
        </w:rPr>
        <w:t xml:space="preserve"> </w:t>
      </w:r>
      <w:r w:rsidR="00647620" w:rsidRPr="00600ED9">
        <w:rPr>
          <w:rFonts w:cs="Arial"/>
          <w:szCs w:val="24"/>
          <w:lang w:val="es-ES_tradnl"/>
        </w:rPr>
        <w:t>los</w:t>
      </w:r>
      <w:r w:rsidRPr="00600ED9">
        <w:rPr>
          <w:rFonts w:cs="Arial"/>
          <w:szCs w:val="24"/>
          <w:lang w:val="es-ES_tradnl"/>
        </w:rPr>
        <w:t xml:space="preserve"> indicador</w:t>
      </w:r>
      <w:r w:rsidR="00647620" w:rsidRPr="00600ED9">
        <w:rPr>
          <w:rFonts w:cs="Arial"/>
          <w:szCs w:val="24"/>
          <w:lang w:val="es-ES_tradnl"/>
        </w:rPr>
        <w:t>es EFS-9 a EFS-17</w:t>
      </w:r>
      <w:r w:rsidRPr="00600ED9">
        <w:rPr>
          <w:rFonts w:cs="Arial"/>
          <w:szCs w:val="24"/>
          <w:lang w:val="es-ES_tradnl"/>
        </w:rPr>
        <w:t xml:space="preserve">, </w:t>
      </w:r>
      <w:r w:rsidR="00F576EB" w:rsidRPr="00600ED9">
        <w:rPr>
          <w:rFonts w:cs="Arial"/>
          <w:szCs w:val="24"/>
          <w:lang w:val="es-ES_tradnl"/>
        </w:rPr>
        <w:t xml:space="preserve">mediante los cuales se busca establecer la disponibilidad de estándares para la auditoría del sector público y su aplicación uniforme a todo tipo de auditoría, con base en el mandato y las estrategias de la EFS.  </w:t>
      </w:r>
    </w:p>
    <w:p w:rsidR="00EC260B" w:rsidRPr="00600ED9" w:rsidRDefault="00EC260B" w:rsidP="00FB1954">
      <w:pPr>
        <w:pStyle w:val="NoSpacing"/>
        <w:ind w:left="567"/>
        <w:jc w:val="both"/>
        <w:rPr>
          <w:lang w:val="es-ES_tradnl"/>
        </w:rPr>
      </w:pPr>
    </w:p>
    <w:p w:rsidR="00720E42" w:rsidRPr="00600ED9" w:rsidRDefault="00FC6FE0" w:rsidP="00233205">
      <w:pPr>
        <w:pStyle w:val="Heading2"/>
        <w:numPr>
          <w:ilvl w:val="0"/>
          <w:numId w:val="22"/>
        </w:numPr>
        <w:spacing w:before="0" w:line="240" w:lineRule="auto"/>
        <w:ind w:hanging="513"/>
        <w:rPr>
          <w:rFonts w:eastAsia="Calibri" w:cs="Times New Roman"/>
          <w:sz w:val="28"/>
        </w:rPr>
      </w:pPr>
      <w:bookmarkStart w:id="24" w:name="_Toc295932916"/>
      <w:r w:rsidRPr="00600ED9">
        <w:t xml:space="preserve">EFS </w:t>
      </w:r>
      <w:r w:rsidR="00720E42" w:rsidRPr="00600ED9">
        <w:t>9 – Planificación de auditoría y gestión de la calidad de la</w:t>
      </w:r>
      <w:r w:rsidR="00720E42" w:rsidRPr="00600ED9">
        <w:rPr>
          <w:rFonts w:eastAsia="Calibri" w:cs="Times New Roman"/>
          <w:sz w:val="28"/>
        </w:rPr>
        <w:t xml:space="preserve"> </w:t>
      </w:r>
      <w:r w:rsidR="005738C9" w:rsidRPr="00600ED9">
        <w:rPr>
          <w:rFonts w:eastAsia="Calibri" w:cs="Times New Roman"/>
          <w:sz w:val="28"/>
        </w:rPr>
        <w:t>EFS</w:t>
      </w:r>
      <w:bookmarkEnd w:id="24"/>
    </w:p>
    <w:p w:rsidR="005738C9" w:rsidRPr="00600ED9" w:rsidRDefault="005738C9" w:rsidP="00FB1954">
      <w:pPr>
        <w:pStyle w:val="NoSpacing"/>
        <w:rPr>
          <w:lang w:val="es-ES_tradnl"/>
        </w:rPr>
      </w:pPr>
    </w:p>
    <w:tbl>
      <w:tblPr>
        <w:tblW w:w="8702" w:type="dxa"/>
        <w:tblInd w:w="810" w:type="dxa"/>
        <w:tblCellMar>
          <w:left w:w="70" w:type="dxa"/>
          <w:right w:w="70" w:type="dxa"/>
        </w:tblCellMar>
        <w:tblLook w:val="04A0" w:firstRow="1" w:lastRow="0" w:firstColumn="1" w:lastColumn="0" w:noHBand="0" w:noVBand="1"/>
      </w:tblPr>
      <w:tblGrid>
        <w:gridCol w:w="2560"/>
        <w:gridCol w:w="1167"/>
        <w:gridCol w:w="1203"/>
        <w:gridCol w:w="1440"/>
        <w:gridCol w:w="1381"/>
        <w:gridCol w:w="160"/>
        <w:gridCol w:w="1151"/>
      </w:tblGrid>
      <w:tr w:rsidR="001A0635" w:rsidRPr="00600ED9" w:rsidTr="00A06F21">
        <w:trPr>
          <w:trHeight w:val="255"/>
        </w:trPr>
        <w:tc>
          <w:tcPr>
            <w:tcW w:w="2560" w:type="dxa"/>
            <w:tcBorders>
              <w:top w:val="nil"/>
              <w:left w:val="nil"/>
              <w:bottom w:val="nil"/>
              <w:right w:val="nil"/>
            </w:tcBorders>
            <w:shd w:val="clear" w:color="auto" w:fill="auto"/>
            <w:noWrap/>
            <w:vAlign w:val="bottom"/>
            <w:hideMark/>
          </w:tcPr>
          <w:p w:rsidR="001A0635" w:rsidRPr="00600ED9" w:rsidRDefault="001A0635" w:rsidP="00FB1954">
            <w:pPr>
              <w:pStyle w:val="NoSpacing"/>
              <w:tabs>
                <w:tab w:val="center" w:pos="4680"/>
                <w:tab w:val="right" w:pos="9360"/>
              </w:tabs>
              <w:jc w:val="center"/>
              <w:rPr>
                <w:sz w:val="20"/>
                <w:lang w:val="es-ES_tradnl"/>
              </w:rPr>
            </w:pPr>
          </w:p>
        </w:tc>
        <w:tc>
          <w:tcPr>
            <w:tcW w:w="4831" w:type="dxa"/>
            <w:gridSpan w:val="4"/>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1A0635" w:rsidRPr="00600ED9" w:rsidRDefault="001A0635" w:rsidP="00FB1954">
            <w:pPr>
              <w:pStyle w:val="NoSpacing"/>
              <w:jc w:val="center"/>
              <w:rPr>
                <w:b/>
                <w:bCs/>
                <w:sz w:val="20"/>
                <w:lang w:val="es-ES_tradnl"/>
              </w:rPr>
            </w:pPr>
            <w:r w:rsidRPr="00600ED9">
              <w:rPr>
                <w:b/>
                <w:bCs/>
                <w:sz w:val="20"/>
                <w:lang w:val="es-ES_tradnl"/>
              </w:rPr>
              <w:t>Dimensiones Evaluadas</w:t>
            </w:r>
          </w:p>
        </w:tc>
        <w:tc>
          <w:tcPr>
            <w:tcW w:w="160" w:type="dxa"/>
            <w:tcBorders>
              <w:top w:val="nil"/>
              <w:left w:val="nil"/>
              <w:bottom w:val="nil"/>
              <w:right w:val="nil"/>
            </w:tcBorders>
            <w:shd w:val="clear" w:color="auto" w:fill="auto"/>
            <w:noWrap/>
            <w:vAlign w:val="bottom"/>
            <w:hideMark/>
          </w:tcPr>
          <w:p w:rsidR="001A0635" w:rsidRPr="00600ED9" w:rsidRDefault="001A0635" w:rsidP="00FB1954">
            <w:pPr>
              <w:pStyle w:val="NoSpacing"/>
              <w:tabs>
                <w:tab w:val="center" w:pos="4680"/>
                <w:tab w:val="right" w:pos="9360"/>
              </w:tabs>
              <w:jc w:val="center"/>
              <w:rPr>
                <w:sz w:val="20"/>
                <w:lang w:val="es-ES_tradnl"/>
              </w:rPr>
            </w:pPr>
          </w:p>
        </w:tc>
        <w:tc>
          <w:tcPr>
            <w:tcW w:w="1151" w:type="dxa"/>
            <w:vMerge w:val="restart"/>
            <w:tcBorders>
              <w:top w:val="single" w:sz="4" w:space="0" w:color="auto"/>
              <w:left w:val="single" w:sz="4" w:space="0" w:color="auto"/>
              <w:bottom w:val="single" w:sz="4" w:space="0" w:color="auto"/>
              <w:right w:val="single" w:sz="4" w:space="0" w:color="auto"/>
            </w:tcBorders>
            <w:shd w:val="clear" w:color="000000" w:fill="95B3D7"/>
            <w:vAlign w:val="center"/>
            <w:hideMark/>
          </w:tcPr>
          <w:p w:rsidR="001A0635" w:rsidRPr="00600ED9" w:rsidRDefault="001A0635" w:rsidP="00FB1954">
            <w:pPr>
              <w:pStyle w:val="NoSpacing"/>
              <w:jc w:val="center"/>
              <w:rPr>
                <w:b/>
                <w:bCs/>
                <w:sz w:val="20"/>
                <w:lang w:val="es-ES_tradnl"/>
              </w:rPr>
            </w:pPr>
            <w:r w:rsidRPr="00600ED9">
              <w:rPr>
                <w:b/>
                <w:bCs/>
                <w:sz w:val="20"/>
                <w:lang w:val="es-ES_tradnl"/>
              </w:rPr>
              <w:t>Puntuación General</w:t>
            </w:r>
          </w:p>
        </w:tc>
      </w:tr>
      <w:tr w:rsidR="001A0635" w:rsidRPr="00600ED9" w:rsidTr="00A06F21">
        <w:trPr>
          <w:trHeight w:val="390"/>
        </w:trPr>
        <w:tc>
          <w:tcPr>
            <w:tcW w:w="256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1A0635" w:rsidRPr="00600ED9" w:rsidRDefault="001A0635" w:rsidP="00FB1954">
            <w:pPr>
              <w:pStyle w:val="NoSpacing"/>
              <w:jc w:val="center"/>
              <w:rPr>
                <w:b/>
                <w:bCs/>
                <w:sz w:val="20"/>
                <w:lang w:val="es-ES_tradnl"/>
              </w:rPr>
            </w:pPr>
            <w:r w:rsidRPr="00600ED9">
              <w:rPr>
                <w:b/>
                <w:bCs/>
                <w:sz w:val="20"/>
                <w:lang w:val="es-ES_tradnl"/>
              </w:rPr>
              <w:t>Indicadores</w:t>
            </w:r>
          </w:p>
        </w:tc>
        <w:tc>
          <w:tcPr>
            <w:tcW w:w="1167" w:type="dxa"/>
            <w:tcBorders>
              <w:top w:val="nil"/>
              <w:left w:val="nil"/>
              <w:bottom w:val="single" w:sz="4" w:space="0" w:color="auto"/>
              <w:right w:val="single" w:sz="4" w:space="0" w:color="auto"/>
            </w:tcBorders>
            <w:shd w:val="clear" w:color="000000" w:fill="D8D8D8"/>
            <w:noWrap/>
            <w:hideMark/>
          </w:tcPr>
          <w:p w:rsidR="00683FE2" w:rsidRPr="00600ED9" w:rsidRDefault="00F576EB" w:rsidP="00FB1954">
            <w:pPr>
              <w:pStyle w:val="NoSpacing"/>
              <w:jc w:val="center"/>
              <w:rPr>
                <w:b/>
                <w:bCs/>
                <w:sz w:val="20"/>
                <w:lang w:val="es-ES_tradnl"/>
              </w:rPr>
            </w:pPr>
            <w:r w:rsidRPr="00600ED9">
              <w:rPr>
                <w:b/>
                <w:bCs/>
                <w:sz w:val="20"/>
                <w:lang w:val="es-ES_tradnl"/>
              </w:rPr>
              <w:t>(i)</w:t>
            </w:r>
          </w:p>
          <w:p w:rsidR="001A0635" w:rsidRPr="00600ED9" w:rsidRDefault="001A0635" w:rsidP="00FB1954">
            <w:pPr>
              <w:pStyle w:val="NoSpacing"/>
              <w:jc w:val="center"/>
              <w:rPr>
                <w:b/>
                <w:bCs/>
                <w:sz w:val="20"/>
                <w:lang w:val="es-ES_tradnl"/>
              </w:rPr>
            </w:pPr>
            <w:r w:rsidRPr="00600ED9">
              <w:rPr>
                <w:sz w:val="20"/>
                <w:lang w:val="es-ES_tradnl"/>
              </w:rPr>
              <w:t>Proceso de planificación de auditoría</w:t>
            </w:r>
          </w:p>
        </w:tc>
        <w:tc>
          <w:tcPr>
            <w:tcW w:w="1203" w:type="dxa"/>
            <w:tcBorders>
              <w:top w:val="nil"/>
              <w:left w:val="nil"/>
              <w:bottom w:val="single" w:sz="4" w:space="0" w:color="auto"/>
              <w:right w:val="single" w:sz="4" w:space="0" w:color="auto"/>
            </w:tcBorders>
            <w:shd w:val="clear" w:color="000000" w:fill="D8D8D8"/>
            <w:noWrap/>
            <w:hideMark/>
          </w:tcPr>
          <w:p w:rsidR="00683FE2" w:rsidRPr="00600ED9" w:rsidRDefault="00F576EB" w:rsidP="00FB1954">
            <w:pPr>
              <w:pStyle w:val="NoSpacing"/>
              <w:jc w:val="center"/>
              <w:rPr>
                <w:b/>
                <w:bCs/>
                <w:sz w:val="20"/>
                <w:lang w:val="es-ES_tradnl"/>
              </w:rPr>
            </w:pPr>
            <w:r w:rsidRPr="00600ED9">
              <w:rPr>
                <w:b/>
                <w:bCs/>
                <w:sz w:val="20"/>
                <w:lang w:val="es-ES_tradnl"/>
              </w:rPr>
              <w:t>(ii)</w:t>
            </w:r>
          </w:p>
          <w:p w:rsidR="001A0635" w:rsidRPr="00600ED9" w:rsidRDefault="001A0635" w:rsidP="00FB1954">
            <w:pPr>
              <w:pStyle w:val="NoSpacing"/>
              <w:jc w:val="center"/>
              <w:rPr>
                <w:b/>
                <w:bCs/>
                <w:sz w:val="20"/>
                <w:lang w:val="es-ES_tradnl"/>
              </w:rPr>
            </w:pPr>
            <w:r w:rsidRPr="00600ED9">
              <w:rPr>
                <w:sz w:val="20"/>
                <w:lang w:val="es-ES_tradnl"/>
              </w:rPr>
              <w:t>Contenido del plan de auditoría</w:t>
            </w:r>
          </w:p>
        </w:tc>
        <w:tc>
          <w:tcPr>
            <w:tcW w:w="1440" w:type="dxa"/>
            <w:tcBorders>
              <w:top w:val="nil"/>
              <w:left w:val="nil"/>
              <w:bottom w:val="single" w:sz="4" w:space="0" w:color="auto"/>
              <w:right w:val="single" w:sz="4" w:space="0" w:color="auto"/>
            </w:tcBorders>
            <w:shd w:val="clear" w:color="000000" w:fill="D8D8D8"/>
            <w:noWrap/>
            <w:hideMark/>
          </w:tcPr>
          <w:p w:rsidR="00683FE2" w:rsidRPr="00600ED9" w:rsidRDefault="00F576EB" w:rsidP="00FB1954">
            <w:pPr>
              <w:pStyle w:val="NoSpacing"/>
              <w:jc w:val="center"/>
              <w:rPr>
                <w:b/>
                <w:bCs/>
                <w:sz w:val="20"/>
                <w:lang w:val="es-ES_tradnl"/>
              </w:rPr>
            </w:pPr>
            <w:r w:rsidRPr="00600ED9">
              <w:rPr>
                <w:b/>
                <w:bCs/>
                <w:sz w:val="20"/>
                <w:lang w:val="es-ES_tradnl"/>
              </w:rPr>
              <w:t>(iii)</w:t>
            </w:r>
          </w:p>
          <w:p w:rsidR="001A0635" w:rsidRPr="00600ED9" w:rsidRDefault="001A0635" w:rsidP="00FB1954">
            <w:pPr>
              <w:pStyle w:val="NoSpacing"/>
              <w:jc w:val="center"/>
              <w:rPr>
                <w:b/>
                <w:bCs/>
                <w:sz w:val="20"/>
                <w:lang w:val="es-ES_tradnl"/>
              </w:rPr>
            </w:pPr>
            <w:r w:rsidRPr="00600ED9">
              <w:rPr>
                <w:rFonts w:cs="Times New Roman"/>
                <w:sz w:val="20"/>
                <w:lang w:val="es-ES_tradnl" w:eastAsia="en-GB"/>
              </w:rPr>
              <w:t>Sistemas de control de calidad de la auditoría</w:t>
            </w:r>
          </w:p>
        </w:tc>
        <w:tc>
          <w:tcPr>
            <w:tcW w:w="1021" w:type="dxa"/>
            <w:tcBorders>
              <w:top w:val="nil"/>
              <w:left w:val="nil"/>
              <w:bottom w:val="single" w:sz="4" w:space="0" w:color="auto"/>
              <w:right w:val="single" w:sz="4" w:space="0" w:color="auto"/>
            </w:tcBorders>
            <w:shd w:val="clear" w:color="000000" w:fill="D8D8D8"/>
            <w:noWrap/>
            <w:hideMark/>
          </w:tcPr>
          <w:p w:rsidR="00683FE2" w:rsidRPr="00600ED9" w:rsidRDefault="00F576EB" w:rsidP="00FB1954">
            <w:pPr>
              <w:pStyle w:val="NoSpacing"/>
              <w:jc w:val="center"/>
              <w:rPr>
                <w:b/>
                <w:bCs/>
                <w:sz w:val="20"/>
                <w:lang w:val="es-ES_tradnl"/>
              </w:rPr>
            </w:pPr>
            <w:r w:rsidRPr="00600ED9">
              <w:rPr>
                <w:bCs/>
                <w:sz w:val="20"/>
                <w:lang w:val="es-ES_tradnl"/>
              </w:rPr>
              <w:t>(</w:t>
            </w:r>
            <w:r w:rsidRPr="00600ED9">
              <w:rPr>
                <w:b/>
                <w:bCs/>
                <w:sz w:val="20"/>
                <w:lang w:val="es-ES_tradnl"/>
              </w:rPr>
              <w:t>iv)</w:t>
            </w:r>
          </w:p>
          <w:p w:rsidR="001A0635" w:rsidRPr="00600ED9" w:rsidRDefault="00E6565D" w:rsidP="00FB1954">
            <w:pPr>
              <w:pStyle w:val="NoSpacing"/>
              <w:jc w:val="center"/>
              <w:rPr>
                <w:b/>
                <w:bCs/>
                <w:sz w:val="20"/>
                <w:lang w:val="es-ES_tradnl"/>
              </w:rPr>
            </w:pPr>
            <w:r w:rsidRPr="00600ED9">
              <w:rPr>
                <w:sz w:val="20"/>
                <w:lang w:val="es-ES_tradnl"/>
              </w:rPr>
              <w:t>Sistema de Asegura</w:t>
            </w:r>
            <w:r w:rsidR="001A0635" w:rsidRPr="00600ED9">
              <w:rPr>
                <w:sz w:val="20"/>
                <w:lang w:val="es-ES_tradnl"/>
              </w:rPr>
              <w:t>miento de la calidad</w:t>
            </w:r>
          </w:p>
        </w:tc>
        <w:tc>
          <w:tcPr>
            <w:tcW w:w="160" w:type="dxa"/>
            <w:tcBorders>
              <w:top w:val="nil"/>
              <w:left w:val="nil"/>
              <w:bottom w:val="nil"/>
              <w:right w:val="nil"/>
            </w:tcBorders>
            <w:shd w:val="clear" w:color="auto" w:fill="auto"/>
            <w:noWrap/>
            <w:vAlign w:val="bottom"/>
            <w:hideMark/>
          </w:tcPr>
          <w:p w:rsidR="001A0635" w:rsidRPr="00600ED9" w:rsidRDefault="001A0635" w:rsidP="00FB1954">
            <w:pPr>
              <w:pStyle w:val="NoSpacing"/>
              <w:tabs>
                <w:tab w:val="center" w:pos="4680"/>
                <w:tab w:val="right" w:pos="9360"/>
              </w:tabs>
              <w:jc w:val="center"/>
              <w:rPr>
                <w:sz w:val="20"/>
                <w:lang w:val="es-ES_tradnl"/>
              </w:rPr>
            </w:pPr>
          </w:p>
        </w:tc>
        <w:tc>
          <w:tcPr>
            <w:tcW w:w="1151" w:type="dxa"/>
            <w:vMerge/>
            <w:tcBorders>
              <w:top w:val="single" w:sz="4" w:space="0" w:color="auto"/>
              <w:left w:val="single" w:sz="4" w:space="0" w:color="auto"/>
              <w:bottom w:val="single" w:sz="4" w:space="0" w:color="auto"/>
              <w:right w:val="single" w:sz="4" w:space="0" w:color="auto"/>
            </w:tcBorders>
            <w:vAlign w:val="center"/>
            <w:hideMark/>
          </w:tcPr>
          <w:p w:rsidR="001A0635" w:rsidRPr="00600ED9" w:rsidRDefault="001A0635" w:rsidP="00FB1954">
            <w:pPr>
              <w:pStyle w:val="NoSpacing"/>
              <w:tabs>
                <w:tab w:val="center" w:pos="4680"/>
                <w:tab w:val="right" w:pos="9360"/>
              </w:tabs>
              <w:jc w:val="center"/>
              <w:rPr>
                <w:b/>
                <w:bCs/>
                <w:sz w:val="20"/>
                <w:lang w:val="es-ES_tradnl"/>
              </w:rPr>
            </w:pPr>
          </w:p>
        </w:tc>
      </w:tr>
      <w:tr w:rsidR="001A0635" w:rsidRPr="00600ED9" w:rsidTr="00A06F21">
        <w:trPr>
          <w:trHeight w:val="510"/>
        </w:trPr>
        <w:tc>
          <w:tcPr>
            <w:tcW w:w="2560" w:type="dxa"/>
            <w:tcBorders>
              <w:top w:val="nil"/>
              <w:left w:val="single" w:sz="4" w:space="0" w:color="auto"/>
              <w:bottom w:val="single" w:sz="4" w:space="0" w:color="auto"/>
              <w:right w:val="single" w:sz="4" w:space="0" w:color="auto"/>
            </w:tcBorders>
            <w:shd w:val="clear" w:color="auto" w:fill="auto"/>
            <w:vAlign w:val="center"/>
            <w:hideMark/>
          </w:tcPr>
          <w:p w:rsidR="001A0635" w:rsidRPr="00600ED9" w:rsidRDefault="001A0635" w:rsidP="00FB1954">
            <w:pPr>
              <w:pStyle w:val="NoSpacing"/>
              <w:jc w:val="center"/>
              <w:rPr>
                <w:b/>
                <w:bCs/>
                <w:sz w:val="20"/>
                <w:lang w:val="es-ES_tradnl"/>
              </w:rPr>
            </w:pPr>
            <w:r w:rsidRPr="00600ED9">
              <w:rPr>
                <w:rFonts w:eastAsia="Calibri" w:cs="Times New Roman"/>
                <w:b/>
                <w:sz w:val="20"/>
                <w:lang w:val="es-ES_tradnl"/>
              </w:rPr>
              <w:t xml:space="preserve">EFS 9 – Planificación de auditoría y gestión de la calidad de la </w:t>
            </w:r>
            <w:r w:rsidR="00166552" w:rsidRPr="00600ED9">
              <w:rPr>
                <w:rFonts w:eastAsia="Calibri" w:cs="Times New Roman"/>
                <w:b/>
                <w:sz w:val="20"/>
                <w:lang w:val="es-ES_tradnl"/>
              </w:rPr>
              <w:t>EFS</w:t>
            </w:r>
          </w:p>
        </w:tc>
        <w:tc>
          <w:tcPr>
            <w:tcW w:w="1167" w:type="dxa"/>
            <w:tcBorders>
              <w:top w:val="nil"/>
              <w:left w:val="nil"/>
              <w:bottom w:val="single" w:sz="4" w:space="0" w:color="auto"/>
              <w:right w:val="single" w:sz="4" w:space="0" w:color="auto"/>
            </w:tcBorders>
            <w:shd w:val="clear" w:color="auto" w:fill="auto"/>
            <w:noWrap/>
            <w:vAlign w:val="center"/>
          </w:tcPr>
          <w:p w:rsidR="001A0635" w:rsidRPr="00600ED9" w:rsidRDefault="001A0635" w:rsidP="00FB1954">
            <w:pPr>
              <w:pStyle w:val="NoSpacing"/>
              <w:jc w:val="center"/>
              <w:rPr>
                <w:b/>
                <w:bCs/>
                <w:sz w:val="20"/>
                <w:lang w:val="es-ES_tradnl"/>
              </w:rPr>
            </w:pPr>
            <w:r w:rsidRPr="00600ED9">
              <w:rPr>
                <w:b/>
                <w:bCs/>
                <w:sz w:val="20"/>
                <w:lang w:val="es-ES_tradnl"/>
              </w:rPr>
              <w:t>3</w:t>
            </w:r>
          </w:p>
        </w:tc>
        <w:tc>
          <w:tcPr>
            <w:tcW w:w="1203" w:type="dxa"/>
            <w:tcBorders>
              <w:top w:val="nil"/>
              <w:left w:val="nil"/>
              <w:bottom w:val="single" w:sz="4" w:space="0" w:color="auto"/>
              <w:right w:val="single" w:sz="4" w:space="0" w:color="auto"/>
            </w:tcBorders>
            <w:shd w:val="clear" w:color="auto" w:fill="auto"/>
            <w:noWrap/>
            <w:vAlign w:val="center"/>
          </w:tcPr>
          <w:p w:rsidR="001A0635" w:rsidRPr="00600ED9" w:rsidRDefault="001A0635" w:rsidP="00FB1954">
            <w:pPr>
              <w:pStyle w:val="NoSpacing"/>
              <w:jc w:val="center"/>
              <w:rPr>
                <w:b/>
                <w:bCs/>
                <w:sz w:val="20"/>
                <w:lang w:val="es-ES_tradnl"/>
              </w:rPr>
            </w:pPr>
            <w:r w:rsidRPr="00600ED9">
              <w:rPr>
                <w:b/>
                <w:bCs/>
                <w:sz w:val="20"/>
                <w:lang w:val="es-ES_tradnl"/>
              </w:rPr>
              <w:t>2</w:t>
            </w:r>
          </w:p>
        </w:tc>
        <w:tc>
          <w:tcPr>
            <w:tcW w:w="1440" w:type="dxa"/>
            <w:tcBorders>
              <w:top w:val="nil"/>
              <w:left w:val="nil"/>
              <w:bottom w:val="single" w:sz="4" w:space="0" w:color="auto"/>
              <w:right w:val="single" w:sz="4" w:space="0" w:color="auto"/>
            </w:tcBorders>
            <w:shd w:val="clear" w:color="auto" w:fill="auto"/>
            <w:noWrap/>
            <w:vAlign w:val="center"/>
          </w:tcPr>
          <w:p w:rsidR="001A0635" w:rsidRPr="00600ED9" w:rsidRDefault="001B01AD" w:rsidP="00FB1954">
            <w:pPr>
              <w:pStyle w:val="NoSpacing"/>
              <w:jc w:val="center"/>
              <w:rPr>
                <w:b/>
                <w:bCs/>
                <w:sz w:val="20"/>
                <w:lang w:val="es-ES_tradnl"/>
              </w:rPr>
            </w:pPr>
            <w:r w:rsidRPr="00600ED9">
              <w:rPr>
                <w:b/>
                <w:bCs/>
                <w:sz w:val="20"/>
                <w:lang w:val="es-ES_tradnl"/>
              </w:rPr>
              <w:t>1</w:t>
            </w:r>
          </w:p>
        </w:tc>
        <w:tc>
          <w:tcPr>
            <w:tcW w:w="1021" w:type="dxa"/>
            <w:tcBorders>
              <w:top w:val="nil"/>
              <w:left w:val="nil"/>
              <w:bottom w:val="single" w:sz="4" w:space="0" w:color="auto"/>
              <w:right w:val="single" w:sz="4" w:space="0" w:color="auto"/>
            </w:tcBorders>
            <w:shd w:val="clear" w:color="auto" w:fill="auto"/>
            <w:noWrap/>
            <w:vAlign w:val="center"/>
          </w:tcPr>
          <w:p w:rsidR="001A0635" w:rsidRPr="00600ED9" w:rsidRDefault="001A0635" w:rsidP="00FB1954">
            <w:pPr>
              <w:pStyle w:val="NoSpacing"/>
              <w:jc w:val="center"/>
              <w:rPr>
                <w:b/>
                <w:bCs/>
                <w:sz w:val="20"/>
                <w:lang w:val="es-ES_tradnl"/>
              </w:rPr>
            </w:pPr>
            <w:r w:rsidRPr="00600ED9">
              <w:rPr>
                <w:b/>
                <w:bCs/>
                <w:sz w:val="20"/>
                <w:lang w:val="es-ES_tradnl"/>
              </w:rPr>
              <w:t>1</w:t>
            </w:r>
          </w:p>
        </w:tc>
        <w:tc>
          <w:tcPr>
            <w:tcW w:w="160" w:type="dxa"/>
            <w:tcBorders>
              <w:top w:val="nil"/>
              <w:left w:val="nil"/>
              <w:bottom w:val="nil"/>
              <w:right w:val="nil"/>
            </w:tcBorders>
            <w:shd w:val="clear" w:color="auto" w:fill="auto"/>
            <w:noWrap/>
            <w:vAlign w:val="bottom"/>
          </w:tcPr>
          <w:p w:rsidR="001A0635" w:rsidRPr="00600ED9" w:rsidRDefault="001A0635" w:rsidP="00FB1954">
            <w:pPr>
              <w:pStyle w:val="NoSpacing"/>
              <w:tabs>
                <w:tab w:val="center" w:pos="4680"/>
                <w:tab w:val="right" w:pos="9360"/>
              </w:tabs>
              <w:jc w:val="center"/>
              <w:rPr>
                <w:sz w:val="20"/>
                <w:lang w:val="es-ES_tradnl"/>
              </w:rPr>
            </w:pPr>
          </w:p>
        </w:tc>
        <w:tc>
          <w:tcPr>
            <w:tcW w:w="1151" w:type="dxa"/>
            <w:tcBorders>
              <w:top w:val="nil"/>
              <w:left w:val="single" w:sz="4" w:space="0" w:color="auto"/>
              <w:bottom w:val="single" w:sz="4" w:space="0" w:color="auto"/>
              <w:right w:val="single" w:sz="4" w:space="0" w:color="auto"/>
            </w:tcBorders>
            <w:shd w:val="clear" w:color="auto" w:fill="auto"/>
            <w:noWrap/>
            <w:vAlign w:val="center"/>
          </w:tcPr>
          <w:p w:rsidR="001A0635" w:rsidRPr="00600ED9" w:rsidRDefault="001A0635" w:rsidP="00FB1954">
            <w:pPr>
              <w:pStyle w:val="NoSpacing"/>
              <w:jc w:val="center"/>
              <w:rPr>
                <w:b/>
                <w:sz w:val="20"/>
                <w:lang w:val="es-ES_tradnl"/>
              </w:rPr>
            </w:pPr>
            <w:r w:rsidRPr="00600ED9">
              <w:rPr>
                <w:b/>
                <w:sz w:val="20"/>
                <w:lang w:val="es-ES_tradnl"/>
              </w:rPr>
              <w:t>2</w:t>
            </w:r>
          </w:p>
        </w:tc>
      </w:tr>
    </w:tbl>
    <w:p w:rsidR="00E06D3A" w:rsidRPr="00600ED9" w:rsidRDefault="00E06D3A" w:rsidP="00FB1954">
      <w:pPr>
        <w:pStyle w:val="Normaltabletext"/>
        <w:spacing w:after="0"/>
        <w:rPr>
          <w:rFonts w:cs="Calibri"/>
          <w:lang w:val="es-ES_tradnl"/>
        </w:rPr>
      </w:pPr>
    </w:p>
    <w:p w:rsidR="00E06D3A" w:rsidRPr="00600ED9" w:rsidRDefault="00E06D3A" w:rsidP="00FB1954">
      <w:pPr>
        <w:pStyle w:val="Normaltabletext"/>
        <w:spacing w:after="0"/>
        <w:ind w:left="720"/>
        <w:rPr>
          <w:rFonts w:cs="Calibri"/>
          <w:sz w:val="22"/>
          <w:szCs w:val="22"/>
          <w:lang w:val="es-ES_tradnl"/>
        </w:rPr>
      </w:pPr>
      <w:r w:rsidRPr="00600ED9">
        <w:rPr>
          <w:rFonts w:cs="Calibri"/>
          <w:sz w:val="22"/>
          <w:szCs w:val="22"/>
          <w:lang w:val="es-ES_tradnl"/>
        </w:rPr>
        <w:t xml:space="preserve">La CGRC dispone de procedimientos para la planeación de auditoría,  que incluyen responsabilidades específicas para la elaboración, desarrollo, aprobación y seguimiento, formalizados en la </w:t>
      </w:r>
      <w:r w:rsidRPr="00600ED9">
        <w:rPr>
          <w:rFonts w:cs="Calibri"/>
          <w:i/>
          <w:sz w:val="22"/>
          <w:szCs w:val="22"/>
          <w:lang w:val="es-ES_tradnl"/>
        </w:rPr>
        <w:t xml:space="preserve">Guía de Auditoría Ajustada al SICA </w:t>
      </w:r>
      <w:r w:rsidRPr="00600ED9">
        <w:rPr>
          <w:rFonts w:cs="Calibri"/>
          <w:sz w:val="22"/>
          <w:szCs w:val="22"/>
          <w:lang w:val="es-ES_tradnl"/>
        </w:rPr>
        <w:t xml:space="preserve">y plasmados anualmente en el </w:t>
      </w:r>
      <w:r w:rsidRPr="00600ED9">
        <w:rPr>
          <w:rFonts w:cs="Calibri"/>
          <w:i/>
          <w:sz w:val="22"/>
          <w:szCs w:val="22"/>
          <w:lang w:val="es-ES_tradnl"/>
        </w:rPr>
        <w:t>Plan de Vigilancia y Control Fiscal (PVCF)</w:t>
      </w:r>
      <w:r w:rsidRPr="00600ED9">
        <w:rPr>
          <w:rFonts w:cs="Calibri"/>
          <w:sz w:val="22"/>
          <w:szCs w:val="22"/>
          <w:lang w:val="es-ES_tradnl"/>
        </w:rPr>
        <w:t>.</w:t>
      </w:r>
    </w:p>
    <w:p w:rsidR="00CF5512" w:rsidRPr="00600ED9" w:rsidRDefault="00CF5512" w:rsidP="00FB1954">
      <w:pPr>
        <w:pStyle w:val="Normaltabletext"/>
        <w:spacing w:after="0"/>
        <w:ind w:left="720"/>
        <w:rPr>
          <w:rFonts w:cs="Calibri"/>
          <w:sz w:val="22"/>
          <w:szCs w:val="22"/>
          <w:lang w:val="es-ES_tradnl"/>
        </w:rPr>
      </w:pPr>
    </w:p>
    <w:p w:rsidR="00E06D3A" w:rsidRPr="00600ED9" w:rsidRDefault="00E06D3A" w:rsidP="00FB1954">
      <w:pPr>
        <w:pStyle w:val="Normaltabletext"/>
        <w:spacing w:after="0"/>
        <w:ind w:left="720"/>
        <w:rPr>
          <w:sz w:val="22"/>
          <w:szCs w:val="22"/>
          <w:lang w:val="es-ES_tradnl"/>
        </w:rPr>
      </w:pPr>
      <w:r w:rsidRPr="00600ED9">
        <w:rPr>
          <w:rFonts w:cs="Calibri"/>
          <w:sz w:val="22"/>
          <w:szCs w:val="22"/>
          <w:lang w:val="es-ES_tradnl"/>
        </w:rPr>
        <w:t>Aunque la Guía de Auditoría establece que la planeación de los entes a auditar se realiza con base en riesgo, como se indicó en el EFS-1, también se consideran solicitudes del Contralor General por requerimientos especiales o denuncias ciudadanas y requerimientos de la Contraloría Delegada de Economía y Finanzas</w:t>
      </w:r>
      <w:r w:rsidRPr="00600ED9">
        <w:rPr>
          <w:sz w:val="22"/>
          <w:szCs w:val="22"/>
          <w:lang w:val="es-ES_tradnl"/>
        </w:rPr>
        <w:t>.</w:t>
      </w:r>
    </w:p>
    <w:p w:rsidR="00CF5512" w:rsidRPr="00600ED9" w:rsidRDefault="00CF5512" w:rsidP="00FB1954">
      <w:pPr>
        <w:pStyle w:val="Normaltabletext"/>
        <w:spacing w:after="0"/>
        <w:ind w:left="720"/>
        <w:rPr>
          <w:rFonts w:asciiTheme="majorHAnsi" w:eastAsiaTheme="majorEastAsia" w:hAnsiTheme="majorHAnsi" w:cstheme="majorBidi"/>
          <w:i/>
          <w:iCs/>
          <w:color w:val="404040" w:themeColor="text1" w:themeTint="BF"/>
          <w:sz w:val="22"/>
          <w:szCs w:val="22"/>
          <w:lang w:val="es-ES_tradnl"/>
        </w:rPr>
      </w:pPr>
    </w:p>
    <w:p w:rsidR="00E06D3A" w:rsidRPr="00600ED9" w:rsidRDefault="00E06D3A" w:rsidP="00FB1954">
      <w:pPr>
        <w:pStyle w:val="Normaltabletext"/>
        <w:spacing w:after="0"/>
        <w:ind w:left="720"/>
        <w:rPr>
          <w:rFonts w:cs="Calibri"/>
          <w:sz w:val="22"/>
          <w:szCs w:val="22"/>
          <w:lang w:val="es-ES_tradnl"/>
        </w:rPr>
      </w:pPr>
      <w:r w:rsidRPr="00600ED9">
        <w:rPr>
          <w:rFonts w:eastAsia="Calibri" w:cs="Arial"/>
          <w:sz w:val="22"/>
          <w:szCs w:val="22"/>
          <w:lang w:val="es-ES_tradnl"/>
        </w:rPr>
        <w:t xml:space="preserve">El PVCF desarrolla la programación anual del control fiscal micro y describe la estrategia y los objetivos para su ejecución. Sin embargo, no detalla los recursos humanos y  financieros que se requerirán para su ejecución, ni la evaluación de los riesgos o de las posibles restricciones que podrían limitar su ejecución.  Igualmente, la CGRC no </w:t>
      </w:r>
      <w:r w:rsidRPr="00600ED9">
        <w:rPr>
          <w:rFonts w:cs="Calibri"/>
          <w:sz w:val="22"/>
          <w:szCs w:val="22"/>
          <w:lang w:val="es-ES_tradnl"/>
        </w:rPr>
        <w:t>prepara un informe de evaluación  del cumplimiento del plan de auditoría al finalizar cada vigencia fiscal.</w:t>
      </w:r>
    </w:p>
    <w:p w:rsidR="00CF5512" w:rsidRPr="00600ED9" w:rsidRDefault="00CF5512" w:rsidP="00FB1954">
      <w:pPr>
        <w:pStyle w:val="Normaltabletext"/>
        <w:spacing w:after="0"/>
        <w:ind w:left="720"/>
        <w:rPr>
          <w:rFonts w:cs="Calibri"/>
          <w:sz w:val="22"/>
          <w:szCs w:val="22"/>
          <w:lang w:val="es-ES_tradnl"/>
        </w:rPr>
      </w:pPr>
    </w:p>
    <w:p w:rsidR="00B0687A" w:rsidRPr="00600ED9" w:rsidRDefault="00C16435" w:rsidP="00FB1954">
      <w:pPr>
        <w:spacing w:after="0" w:line="240" w:lineRule="auto"/>
        <w:ind w:left="720"/>
        <w:jc w:val="both"/>
        <w:rPr>
          <w:rFonts w:cs="Calibri"/>
        </w:rPr>
      </w:pPr>
      <w:r w:rsidRPr="00600ED9">
        <w:rPr>
          <w:rFonts w:cs="Calibri"/>
        </w:rPr>
        <w:lastRenderedPageBreak/>
        <w:t>Aunque la CGRC dispone de un Sistema de Gestión y Control de Calidad</w:t>
      </w:r>
      <w:r w:rsidR="00B0687A" w:rsidRPr="00600ED9">
        <w:rPr>
          <w:rFonts w:cs="Calibri"/>
        </w:rPr>
        <w:t>, ajustado a mejores prácticas, no contempla los procedimientos establecidos en los estándares internacionales de control de calidad de las EFS (ISSAI 40</w:t>
      </w:r>
      <w:r w:rsidR="00B0687A" w:rsidRPr="00600ED9">
        <w:rPr>
          <w:rStyle w:val="FootnoteReference"/>
          <w:rFonts w:eastAsia="Calibri" w:cs="Arial"/>
        </w:rPr>
        <w:footnoteReference w:id="32"/>
      </w:r>
      <w:r w:rsidR="00B0687A" w:rsidRPr="00600ED9">
        <w:rPr>
          <w:rFonts w:cs="Calibri"/>
        </w:rPr>
        <w:t xml:space="preserve">).  </w:t>
      </w:r>
    </w:p>
    <w:p w:rsidR="00845280" w:rsidRPr="00600ED9" w:rsidRDefault="00845280" w:rsidP="00FB1954">
      <w:pPr>
        <w:pStyle w:val="NoSpacing"/>
        <w:rPr>
          <w:lang w:val="es-ES_tradnl"/>
        </w:rPr>
      </w:pPr>
    </w:p>
    <w:p w:rsidR="00CC08C8" w:rsidRPr="00600ED9" w:rsidRDefault="00B0687A" w:rsidP="00FB1954">
      <w:pPr>
        <w:pStyle w:val="Normaltabletext"/>
        <w:spacing w:after="0"/>
        <w:ind w:left="720"/>
        <w:rPr>
          <w:rFonts w:cs="Calibri"/>
          <w:sz w:val="22"/>
          <w:szCs w:val="22"/>
          <w:lang w:val="es-ES_tradnl"/>
        </w:rPr>
      </w:pPr>
      <w:r w:rsidRPr="00600ED9">
        <w:rPr>
          <w:rFonts w:cs="Calibri"/>
          <w:sz w:val="22"/>
          <w:szCs w:val="22"/>
          <w:lang w:val="es-ES_tradnl"/>
        </w:rPr>
        <w:t xml:space="preserve">Los procedimientos de control de calidad del trabajo de auditoría establecidos en la </w:t>
      </w:r>
      <w:r w:rsidRPr="00600ED9">
        <w:rPr>
          <w:rFonts w:cs="Calibri"/>
          <w:i/>
          <w:sz w:val="22"/>
          <w:szCs w:val="22"/>
          <w:lang w:val="es-ES_tradnl"/>
        </w:rPr>
        <w:t xml:space="preserve">“Guía de Auditoría Ajustada al SICA”, </w:t>
      </w:r>
      <w:r w:rsidRPr="00600ED9">
        <w:rPr>
          <w:rFonts w:cs="Calibri"/>
          <w:sz w:val="22"/>
          <w:szCs w:val="22"/>
          <w:lang w:val="es-ES_tradnl"/>
        </w:rPr>
        <w:t>son de carácter</w:t>
      </w:r>
      <w:r w:rsidR="00CC08C8" w:rsidRPr="00600ED9">
        <w:rPr>
          <w:rFonts w:cs="Calibri"/>
          <w:sz w:val="22"/>
          <w:szCs w:val="22"/>
          <w:lang w:val="es-ES_tradnl"/>
        </w:rPr>
        <w:t xml:space="preserve"> general</w:t>
      </w:r>
      <w:r w:rsidR="00CC08C8" w:rsidRPr="00600ED9">
        <w:rPr>
          <w:rStyle w:val="FootnoteReference"/>
          <w:rFonts w:cs="Calibri"/>
          <w:sz w:val="22"/>
          <w:szCs w:val="22"/>
          <w:lang w:val="es-ES_tradnl"/>
        </w:rPr>
        <w:footnoteReference w:id="33"/>
      </w:r>
      <w:r w:rsidR="00CC08C8" w:rsidRPr="00600ED9">
        <w:rPr>
          <w:rFonts w:cs="Calibri"/>
          <w:sz w:val="22"/>
          <w:szCs w:val="22"/>
          <w:lang w:val="es-ES_tradnl"/>
        </w:rPr>
        <w:t xml:space="preserve"> </w:t>
      </w:r>
      <w:r w:rsidRPr="00600ED9">
        <w:rPr>
          <w:rFonts w:cs="Calibri"/>
          <w:sz w:val="22"/>
          <w:szCs w:val="22"/>
          <w:lang w:val="es-ES_tradnl"/>
        </w:rPr>
        <w:t xml:space="preserve">y no se cumplen de manera regular. Por ejemplo, aunque </w:t>
      </w:r>
      <w:r w:rsidR="003251D8" w:rsidRPr="00600ED9">
        <w:rPr>
          <w:rFonts w:cs="Calibri"/>
          <w:sz w:val="22"/>
          <w:szCs w:val="22"/>
          <w:lang w:val="es-ES_tradnl"/>
        </w:rPr>
        <w:t>se dispone de</w:t>
      </w:r>
      <w:r w:rsidRPr="00600ED9">
        <w:rPr>
          <w:rFonts w:cs="Calibri"/>
          <w:sz w:val="22"/>
          <w:szCs w:val="22"/>
          <w:lang w:val="es-ES_tradnl"/>
        </w:rPr>
        <w:t xml:space="preserve"> procedimientos </w:t>
      </w:r>
      <w:r w:rsidR="003251D8" w:rsidRPr="00600ED9">
        <w:rPr>
          <w:rFonts w:cs="Calibri"/>
          <w:sz w:val="22"/>
          <w:szCs w:val="22"/>
          <w:lang w:val="es-ES_tradnl"/>
        </w:rPr>
        <w:t>para el</w:t>
      </w:r>
      <w:r w:rsidRPr="00600ED9">
        <w:rPr>
          <w:rFonts w:cs="Calibri"/>
          <w:sz w:val="22"/>
          <w:szCs w:val="22"/>
          <w:lang w:val="es-ES_tradnl"/>
        </w:rPr>
        <w:t xml:space="preserve"> </w:t>
      </w:r>
      <w:r w:rsidR="001A0635" w:rsidRPr="00600ED9">
        <w:rPr>
          <w:rFonts w:cs="Calibri"/>
          <w:sz w:val="22"/>
          <w:szCs w:val="22"/>
          <w:lang w:val="es-ES_tradnl"/>
        </w:rPr>
        <w:t xml:space="preserve">seguimiento al PVCF, no se </w:t>
      </w:r>
      <w:r w:rsidRPr="00600ED9">
        <w:rPr>
          <w:rFonts w:cs="Calibri"/>
          <w:sz w:val="22"/>
          <w:szCs w:val="22"/>
          <w:lang w:val="es-ES_tradnl"/>
        </w:rPr>
        <w:t>prepara un informe de evaluación del cumplimiento del plan de auditoría.</w:t>
      </w:r>
    </w:p>
    <w:p w:rsidR="00CF5512" w:rsidRPr="00600ED9" w:rsidRDefault="00CF5512" w:rsidP="00FB1954">
      <w:pPr>
        <w:pStyle w:val="Normaltabletext"/>
        <w:spacing w:after="0"/>
        <w:ind w:left="720"/>
        <w:rPr>
          <w:rFonts w:cs="Calibri"/>
          <w:sz w:val="22"/>
          <w:szCs w:val="22"/>
          <w:lang w:val="es-ES_tradnl"/>
        </w:rPr>
      </w:pPr>
    </w:p>
    <w:tbl>
      <w:tblPr>
        <w:tblStyle w:val="TableGrid"/>
        <w:tblW w:w="9356" w:type="dxa"/>
        <w:tblInd w:w="817" w:type="dxa"/>
        <w:tblLook w:val="04A0" w:firstRow="1" w:lastRow="0" w:firstColumn="1" w:lastColumn="0" w:noHBand="0" w:noVBand="1"/>
      </w:tblPr>
      <w:tblGrid>
        <w:gridCol w:w="9356"/>
      </w:tblGrid>
      <w:tr w:rsidR="00F576EB" w:rsidRPr="00600ED9" w:rsidTr="00845280">
        <w:trPr>
          <w:tblHeader/>
        </w:trPr>
        <w:tc>
          <w:tcPr>
            <w:tcW w:w="9356" w:type="dxa"/>
            <w:shd w:val="clear" w:color="auto" w:fill="365F91" w:themeFill="accent1" w:themeFillShade="BF"/>
          </w:tcPr>
          <w:p w:rsidR="00F576EB" w:rsidRPr="00600ED9" w:rsidRDefault="00F576EB" w:rsidP="00FB1954">
            <w:pPr>
              <w:pStyle w:val="NoSpacing"/>
              <w:rPr>
                <w:b/>
                <w:color w:val="FFFFFF" w:themeColor="background1"/>
                <w:sz w:val="20"/>
                <w:szCs w:val="20"/>
                <w:lang w:val="es-ES_tradnl"/>
              </w:rPr>
            </w:pPr>
            <w:r w:rsidRPr="00600ED9">
              <w:rPr>
                <w:b/>
                <w:color w:val="FFFFFF" w:themeColor="background1"/>
                <w:sz w:val="20"/>
                <w:szCs w:val="20"/>
                <w:lang w:val="es-ES_tradnl"/>
              </w:rPr>
              <w:t xml:space="preserve">Principales observaciones y conclusiones </w:t>
            </w:r>
          </w:p>
        </w:tc>
      </w:tr>
      <w:tr w:rsidR="00F576EB" w:rsidRPr="00600ED9" w:rsidTr="00845280">
        <w:tc>
          <w:tcPr>
            <w:tcW w:w="9356" w:type="dxa"/>
            <w:shd w:val="clear" w:color="auto" w:fill="D9D9D9" w:themeFill="background1" w:themeFillShade="D9"/>
          </w:tcPr>
          <w:p w:rsidR="00F576EB" w:rsidRPr="00600ED9" w:rsidRDefault="00F576EB" w:rsidP="00FB1954">
            <w:pPr>
              <w:pStyle w:val="NoSpacing"/>
              <w:rPr>
                <w:b/>
                <w:i/>
                <w:sz w:val="20"/>
                <w:szCs w:val="20"/>
                <w:lang w:val="es-ES_tradnl"/>
              </w:rPr>
            </w:pPr>
            <w:r w:rsidRPr="00600ED9">
              <w:rPr>
                <w:b/>
                <w:i/>
                <w:sz w:val="20"/>
                <w:szCs w:val="20"/>
                <w:lang w:val="es-ES_tradnl"/>
              </w:rPr>
              <w:t>Dimensión (i) Proceso de planeación de auditoría</w:t>
            </w:r>
          </w:p>
        </w:tc>
      </w:tr>
      <w:tr w:rsidR="00F576EB" w:rsidRPr="00600ED9" w:rsidTr="00845280">
        <w:tc>
          <w:tcPr>
            <w:tcW w:w="9356" w:type="dxa"/>
            <w:shd w:val="clear" w:color="auto" w:fill="D9D9D9" w:themeFill="background1" w:themeFillShade="D9"/>
          </w:tcPr>
          <w:p w:rsidR="00F576EB" w:rsidRPr="00600ED9" w:rsidRDefault="00C70637" w:rsidP="00FB1954">
            <w:pPr>
              <w:pStyle w:val="NoSpacing"/>
              <w:rPr>
                <w:i/>
                <w:color w:val="000000"/>
                <w:sz w:val="20"/>
                <w:szCs w:val="20"/>
                <w:lang w:val="es-ES_tradnl"/>
              </w:rPr>
            </w:pPr>
            <w:r w:rsidRPr="00600ED9">
              <w:rPr>
                <w:b/>
                <w:i/>
                <w:color w:val="000000"/>
                <w:sz w:val="20"/>
                <w:szCs w:val="20"/>
                <w:lang w:val="es-ES_tradnl"/>
              </w:rPr>
              <w:t>Puntuación</w:t>
            </w:r>
            <w:r w:rsidR="00F576EB" w:rsidRPr="00600ED9">
              <w:rPr>
                <w:b/>
                <w:i/>
                <w:color w:val="000000"/>
                <w:sz w:val="20"/>
                <w:szCs w:val="20"/>
                <w:lang w:val="es-ES_tradnl"/>
              </w:rPr>
              <w:t xml:space="preserve"> </w:t>
            </w:r>
            <w:r w:rsidR="00F576EB" w:rsidRPr="00600ED9">
              <w:rPr>
                <w:rFonts w:cs="Calibri"/>
                <w:b/>
                <w:bCs/>
                <w:i/>
                <w:sz w:val="20"/>
                <w:szCs w:val="20"/>
                <w:lang w:val="es-ES_tradnl"/>
              </w:rPr>
              <w:t>3</w:t>
            </w:r>
            <w:r w:rsidRPr="00600ED9">
              <w:rPr>
                <w:rFonts w:cs="Calibri"/>
                <w:bCs/>
                <w:i/>
                <w:sz w:val="20"/>
                <w:szCs w:val="20"/>
                <w:lang w:val="es-ES_tradnl"/>
              </w:rPr>
              <w:t>:</w:t>
            </w:r>
            <w:r w:rsidR="00F576EB" w:rsidRPr="00600ED9">
              <w:rPr>
                <w:rFonts w:cs="Calibri"/>
                <w:bCs/>
                <w:i/>
                <w:sz w:val="20"/>
                <w:szCs w:val="20"/>
                <w:lang w:val="es-ES_tradnl"/>
              </w:rPr>
              <w:t xml:space="preserve"> Se aplican </w:t>
            </w:r>
            <w:r w:rsidR="00F576EB" w:rsidRPr="00600ED9">
              <w:rPr>
                <w:rFonts w:cs="Calibri"/>
                <w:i/>
                <w:sz w:val="20"/>
                <w:szCs w:val="20"/>
                <w:lang w:val="es-ES_tradnl"/>
              </w:rPr>
              <w:t>los criterios (a) y (b) y al menos otro de los criterios mencionados.</w:t>
            </w:r>
          </w:p>
        </w:tc>
      </w:tr>
      <w:tr w:rsidR="00F576EB" w:rsidRPr="00600ED9" w:rsidTr="008A3B8E">
        <w:trPr>
          <w:trHeight w:val="5119"/>
        </w:trPr>
        <w:tc>
          <w:tcPr>
            <w:tcW w:w="9356" w:type="dxa"/>
          </w:tcPr>
          <w:p w:rsidR="00F576EB" w:rsidRPr="00600ED9" w:rsidRDefault="00F576EB" w:rsidP="00FB1954">
            <w:pPr>
              <w:pStyle w:val="Normaltabletext"/>
              <w:spacing w:after="0"/>
              <w:rPr>
                <w:color w:val="000000"/>
                <w:lang w:val="es-ES_tradnl"/>
              </w:rPr>
            </w:pPr>
            <w:r w:rsidRPr="00600ED9">
              <w:rPr>
                <w:color w:val="000000"/>
                <w:lang w:val="es-ES_tradnl"/>
              </w:rPr>
              <w:t xml:space="preserve">Criterios (a), (b), (c) cumplen. Criterios (d) (e) no cumplen. </w:t>
            </w:r>
          </w:p>
          <w:p w:rsidR="00CF5512" w:rsidRPr="00600ED9" w:rsidRDefault="00CF5512" w:rsidP="00FB1954">
            <w:pPr>
              <w:pStyle w:val="Normaltabletext"/>
              <w:spacing w:after="0"/>
              <w:rPr>
                <w:color w:val="000000"/>
                <w:lang w:val="es-ES_tradnl"/>
              </w:rPr>
            </w:pPr>
          </w:p>
          <w:p w:rsidR="00F576EB" w:rsidRPr="00600ED9" w:rsidRDefault="00F576EB" w:rsidP="00FB1954">
            <w:pPr>
              <w:pStyle w:val="Normaltabletext"/>
              <w:spacing w:after="0"/>
              <w:rPr>
                <w:rFonts w:cs="Calibri"/>
                <w:lang w:val="es-ES_tradnl"/>
              </w:rPr>
            </w:pPr>
            <w:r w:rsidRPr="00600ED9">
              <w:rPr>
                <w:rFonts w:cs="Calibri"/>
                <w:lang w:val="es-ES_tradnl"/>
              </w:rPr>
              <w:t xml:space="preserve">La CGRC </w:t>
            </w:r>
            <w:r w:rsidR="00BB1B94" w:rsidRPr="00600ED9">
              <w:rPr>
                <w:rFonts w:cs="Calibri"/>
                <w:lang w:val="es-ES_tradnl"/>
              </w:rPr>
              <w:t xml:space="preserve">dispone de </w:t>
            </w:r>
            <w:r w:rsidRPr="00600ED9">
              <w:rPr>
                <w:rFonts w:cs="Calibri"/>
                <w:lang w:val="es-ES_tradnl"/>
              </w:rPr>
              <w:t xml:space="preserve">procedimientos para la </w:t>
            </w:r>
            <w:r w:rsidR="00BB1B94" w:rsidRPr="00600ED9">
              <w:rPr>
                <w:rFonts w:cs="Calibri"/>
                <w:lang w:val="es-ES_tradnl"/>
              </w:rPr>
              <w:t>p</w:t>
            </w:r>
            <w:r w:rsidRPr="00600ED9">
              <w:rPr>
                <w:rFonts w:cs="Calibri"/>
                <w:lang w:val="es-ES_tradnl"/>
              </w:rPr>
              <w:t>lan</w:t>
            </w:r>
            <w:r w:rsidR="00BB1B94" w:rsidRPr="00600ED9">
              <w:rPr>
                <w:rFonts w:cs="Calibri"/>
                <w:lang w:val="es-ES_tradnl"/>
              </w:rPr>
              <w:t>eación</w:t>
            </w:r>
            <w:r w:rsidRPr="00600ED9">
              <w:rPr>
                <w:rFonts w:cs="Calibri"/>
                <w:lang w:val="es-ES_tradnl"/>
              </w:rPr>
              <w:t xml:space="preserve"> de </w:t>
            </w:r>
            <w:r w:rsidR="00BB1B94" w:rsidRPr="00600ED9">
              <w:rPr>
                <w:rFonts w:cs="Calibri"/>
                <w:lang w:val="es-ES_tradnl"/>
              </w:rPr>
              <w:t>a</w:t>
            </w:r>
            <w:r w:rsidRPr="00600ED9">
              <w:rPr>
                <w:rFonts w:cs="Calibri"/>
                <w:lang w:val="es-ES_tradnl"/>
              </w:rPr>
              <w:t xml:space="preserve">uditoría, </w:t>
            </w:r>
            <w:r w:rsidR="00293C62" w:rsidRPr="00600ED9">
              <w:rPr>
                <w:rFonts w:cs="Calibri"/>
                <w:lang w:val="es-ES_tradnl"/>
              </w:rPr>
              <w:t xml:space="preserve"> que incluyen </w:t>
            </w:r>
            <w:r w:rsidR="00FF0E07" w:rsidRPr="00600ED9">
              <w:rPr>
                <w:rFonts w:cs="Calibri"/>
                <w:lang w:val="es-ES_tradnl"/>
              </w:rPr>
              <w:t xml:space="preserve">responsabilidades específicas para la elaboración, desarrollo, </w:t>
            </w:r>
            <w:r w:rsidR="00293C62" w:rsidRPr="00600ED9">
              <w:rPr>
                <w:rFonts w:cs="Calibri"/>
                <w:lang w:val="es-ES_tradnl"/>
              </w:rPr>
              <w:t>aprobación</w:t>
            </w:r>
            <w:r w:rsidR="00FF0E07" w:rsidRPr="00600ED9">
              <w:rPr>
                <w:rFonts w:cs="Calibri"/>
                <w:lang w:val="es-ES_tradnl"/>
              </w:rPr>
              <w:t xml:space="preserve"> y seguimiento</w:t>
            </w:r>
            <w:r w:rsidR="00293C62" w:rsidRPr="00600ED9">
              <w:rPr>
                <w:rFonts w:cs="Calibri"/>
                <w:lang w:val="es-ES_tradnl"/>
              </w:rPr>
              <w:t xml:space="preserve">, </w:t>
            </w:r>
            <w:r w:rsidR="00BB1B94" w:rsidRPr="00600ED9">
              <w:rPr>
                <w:rFonts w:cs="Calibri"/>
                <w:lang w:val="es-ES_tradnl"/>
              </w:rPr>
              <w:t>formalizados</w:t>
            </w:r>
            <w:r w:rsidRPr="00600ED9">
              <w:rPr>
                <w:rFonts w:cs="Calibri"/>
                <w:lang w:val="es-ES_tradnl"/>
              </w:rPr>
              <w:t xml:space="preserve"> en la </w:t>
            </w:r>
            <w:r w:rsidRPr="00600ED9">
              <w:rPr>
                <w:rFonts w:cs="Calibri"/>
                <w:i/>
                <w:lang w:val="es-ES_tradnl"/>
              </w:rPr>
              <w:t>“Guía de Auditoría Ajustada al SICA”</w:t>
            </w:r>
            <w:r w:rsidR="00DE7023" w:rsidRPr="00600ED9">
              <w:rPr>
                <w:rFonts w:cs="Calibri"/>
                <w:lang w:val="es-ES_tradnl"/>
              </w:rPr>
              <w:t xml:space="preserve"> y plasmados anualmente en el</w:t>
            </w:r>
            <w:r w:rsidRPr="00600ED9">
              <w:rPr>
                <w:rFonts w:cs="Calibri"/>
                <w:lang w:val="es-ES_tradnl"/>
              </w:rPr>
              <w:t xml:space="preserve"> </w:t>
            </w:r>
            <w:r w:rsidRPr="00600ED9">
              <w:rPr>
                <w:rFonts w:cs="Calibri"/>
                <w:i/>
                <w:lang w:val="es-ES_tradnl"/>
              </w:rPr>
              <w:t>“Plan de Vigilancia y Control</w:t>
            </w:r>
            <w:r w:rsidR="00DE7023" w:rsidRPr="00600ED9">
              <w:rPr>
                <w:rFonts w:cs="Calibri"/>
                <w:i/>
                <w:lang w:val="es-ES_tradnl"/>
              </w:rPr>
              <w:t xml:space="preserve"> F</w:t>
            </w:r>
            <w:r w:rsidRPr="00600ED9">
              <w:rPr>
                <w:rFonts w:cs="Calibri"/>
                <w:i/>
                <w:lang w:val="es-ES_tradnl"/>
              </w:rPr>
              <w:t xml:space="preserve">iscal </w:t>
            </w:r>
            <w:r w:rsidR="00DE7023" w:rsidRPr="00600ED9">
              <w:rPr>
                <w:rFonts w:cs="Calibri"/>
                <w:i/>
                <w:lang w:val="es-ES_tradnl"/>
              </w:rPr>
              <w:t>(</w:t>
            </w:r>
            <w:r w:rsidRPr="00600ED9">
              <w:rPr>
                <w:rFonts w:cs="Calibri"/>
                <w:i/>
                <w:lang w:val="es-ES_tradnl"/>
              </w:rPr>
              <w:t>PVCF</w:t>
            </w:r>
            <w:r w:rsidR="00DE7023" w:rsidRPr="00600ED9">
              <w:rPr>
                <w:rFonts w:cs="Calibri"/>
                <w:i/>
                <w:lang w:val="es-ES_tradnl"/>
              </w:rPr>
              <w:t>)</w:t>
            </w:r>
            <w:r w:rsidRPr="00600ED9">
              <w:rPr>
                <w:rFonts w:cs="Calibri"/>
                <w:i/>
                <w:lang w:val="es-ES_tradnl"/>
              </w:rPr>
              <w:t>”</w:t>
            </w:r>
            <w:r w:rsidRPr="00600ED9">
              <w:rPr>
                <w:rFonts w:cs="Calibri"/>
                <w:lang w:val="es-ES_tradnl"/>
              </w:rPr>
              <w:t>.</w:t>
            </w:r>
          </w:p>
          <w:p w:rsidR="00CF5512" w:rsidRPr="00600ED9" w:rsidRDefault="00CF5512" w:rsidP="00FB1954">
            <w:pPr>
              <w:pStyle w:val="Normaltabletext"/>
              <w:spacing w:after="0"/>
              <w:rPr>
                <w:rFonts w:cs="Calibri"/>
                <w:lang w:val="es-ES_tradnl"/>
              </w:rPr>
            </w:pPr>
          </w:p>
          <w:p w:rsidR="00DE7023" w:rsidRPr="00600ED9" w:rsidRDefault="00F576EB" w:rsidP="00FB1954">
            <w:pPr>
              <w:pStyle w:val="Normaltabletext"/>
              <w:spacing w:after="0"/>
              <w:rPr>
                <w:lang w:val="es-ES_tradnl"/>
              </w:rPr>
            </w:pPr>
            <w:r w:rsidRPr="00600ED9">
              <w:rPr>
                <w:rFonts w:cs="Calibri"/>
                <w:lang w:val="es-ES_tradnl"/>
              </w:rPr>
              <w:t xml:space="preserve">Aunque la Guía de Auditoría </w:t>
            </w:r>
            <w:r w:rsidR="00DE7023" w:rsidRPr="00600ED9">
              <w:rPr>
                <w:rFonts w:cs="Calibri"/>
                <w:lang w:val="es-ES_tradnl"/>
              </w:rPr>
              <w:t xml:space="preserve">establece </w:t>
            </w:r>
            <w:r w:rsidRPr="00600ED9">
              <w:rPr>
                <w:rFonts w:cs="Calibri"/>
                <w:lang w:val="es-ES_tradnl"/>
              </w:rPr>
              <w:t xml:space="preserve">que la planeación de los entes a auditar se realiza con base </w:t>
            </w:r>
            <w:r w:rsidR="00DE7023" w:rsidRPr="00600ED9">
              <w:rPr>
                <w:rFonts w:cs="Calibri"/>
                <w:lang w:val="es-ES_tradnl"/>
              </w:rPr>
              <w:t xml:space="preserve">en </w:t>
            </w:r>
            <w:r w:rsidRPr="00600ED9">
              <w:rPr>
                <w:rFonts w:cs="Calibri"/>
                <w:lang w:val="es-ES_tradnl"/>
              </w:rPr>
              <w:t xml:space="preserve">riesgo, </w:t>
            </w:r>
            <w:r w:rsidR="00DE7023" w:rsidRPr="00600ED9">
              <w:rPr>
                <w:rFonts w:cs="Calibri"/>
                <w:lang w:val="es-ES_tradnl"/>
              </w:rPr>
              <w:t xml:space="preserve">como se indicó en el EFS-1, también se consideran solicitudes del Contralor General por requerimientos especiales o denuncias ciudadanas y </w:t>
            </w:r>
            <w:r w:rsidRPr="00600ED9">
              <w:rPr>
                <w:rFonts w:cs="Calibri"/>
                <w:lang w:val="es-ES_tradnl"/>
              </w:rPr>
              <w:t>requerimiento</w:t>
            </w:r>
            <w:r w:rsidR="00DE7023" w:rsidRPr="00600ED9">
              <w:rPr>
                <w:rFonts w:cs="Calibri"/>
                <w:lang w:val="es-ES_tradnl"/>
              </w:rPr>
              <w:t>s</w:t>
            </w:r>
            <w:r w:rsidRPr="00600ED9">
              <w:rPr>
                <w:rFonts w:cs="Calibri"/>
                <w:lang w:val="es-ES_tradnl"/>
              </w:rPr>
              <w:t xml:space="preserve"> de la Contraloría Delegada de Economía y Finanzas</w:t>
            </w:r>
            <w:r w:rsidR="00DE7023" w:rsidRPr="00600ED9">
              <w:rPr>
                <w:lang w:val="es-ES_tradnl"/>
              </w:rPr>
              <w:t>.</w:t>
            </w:r>
          </w:p>
          <w:p w:rsidR="00CF5512" w:rsidRPr="00600ED9" w:rsidRDefault="00CF5512" w:rsidP="00FB1954">
            <w:pPr>
              <w:pStyle w:val="Normaltabletext"/>
              <w:spacing w:after="0"/>
              <w:rPr>
                <w:rFonts w:asciiTheme="majorHAnsi" w:eastAsiaTheme="majorEastAsia" w:hAnsiTheme="majorHAnsi" w:cstheme="majorBidi"/>
                <w:b/>
                <w:bCs/>
                <w:i/>
                <w:iCs/>
                <w:color w:val="404040" w:themeColor="text1" w:themeTint="BF"/>
                <w:lang w:val="es-ES_tradnl"/>
              </w:rPr>
            </w:pPr>
          </w:p>
          <w:p w:rsidR="00293C62" w:rsidRPr="00600ED9" w:rsidRDefault="00293C62" w:rsidP="00FB1954">
            <w:pPr>
              <w:pStyle w:val="Normaltabletext"/>
              <w:spacing w:after="0"/>
              <w:rPr>
                <w:rFonts w:eastAsia="Calibri" w:cs="Arial"/>
                <w:lang w:val="es-ES_tradnl"/>
              </w:rPr>
            </w:pPr>
            <w:r w:rsidRPr="00600ED9">
              <w:rPr>
                <w:rFonts w:eastAsia="Calibri" w:cs="Arial"/>
                <w:lang w:val="es-ES_tradnl"/>
              </w:rPr>
              <w:t>El PVCF desarrolla la programación anual del control fiscal micro y tiene como propósito articular y armonizar la vigilancia de la gestión fiscal, a través de la aplicación de la Auditoría Gubernamental con Enfoque Integral en sus diferentes modalidades.</w:t>
            </w:r>
          </w:p>
          <w:p w:rsidR="00CF5512" w:rsidRPr="00600ED9" w:rsidRDefault="00CF5512" w:rsidP="00FB1954">
            <w:pPr>
              <w:pStyle w:val="Normaltabletext"/>
              <w:spacing w:after="0"/>
              <w:rPr>
                <w:rFonts w:eastAsia="Calibri" w:cs="Arial"/>
                <w:lang w:val="es-ES_tradnl"/>
              </w:rPr>
            </w:pPr>
          </w:p>
          <w:p w:rsidR="00293C62" w:rsidRPr="00600ED9" w:rsidRDefault="00293C62" w:rsidP="00FB1954">
            <w:pPr>
              <w:pStyle w:val="Normaltabletext"/>
              <w:spacing w:after="0"/>
              <w:rPr>
                <w:rFonts w:eastAsia="Calibri" w:cs="Arial"/>
                <w:lang w:val="es-ES_tradnl"/>
              </w:rPr>
            </w:pPr>
            <w:r w:rsidRPr="00600ED9">
              <w:rPr>
                <w:rFonts w:eastAsia="Calibri" w:cs="Arial"/>
                <w:lang w:val="es-ES_tradnl"/>
              </w:rPr>
              <w:t xml:space="preserve">La Oficina de Planeación de la CGRC, con base en los registros realizados por las </w:t>
            </w:r>
            <w:proofErr w:type="spellStart"/>
            <w:r w:rsidRPr="00600ED9">
              <w:rPr>
                <w:rFonts w:eastAsia="Calibri" w:cs="Arial"/>
                <w:lang w:val="es-ES_tradnl"/>
              </w:rPr>
              <w:t>UEs</w:t>
            </w:r>
            <w:proofErr w:type="spellEnd"/>
            <w:r w:rsidRPr="00600ED9">
              <w:rPr>
                <w:rFonts w:eastAsia="Calibri" w:cs="Arial"/>
                <w:lang w:val="es-ES_tradnl"/>
              </w:rPr>
              <w:t xml:space="preserve"> en el módulo de planificación y programación del SICA, presenta al Comité Directivo, el PVCF consolidado para su respectiva aprobación. La aprobación del Plan de Auditoría 2014 fue realizada por el Comité Directivo mediante el Acta </w:t>
            </w:r>
            <w:r w:rsidR="00A41AA3" w:rsidRPr="00600ED9">
              <w:rPr>
                <w:rFonts w:eastAsia="Calibri" w:cs="Arial"/>
                <w:lang w:val="es-ES_tradnl"/>
              </w:rPr>
              <w:t>No</w:t>
            </w:r>
            <w:r w:rsidR="006C4962" w:rsidRPr="00600ED9">
              <w:rPr>
                <w:rFonts w:eastAsia="Calibri" w:cs="Arial"/>
                <w:lang w:val="es-ES_tradnl"/>
              </w:rPr>
              <w:t xml:space="preserve">. 6 </w:t>
            </w:r>
            <w:r w:rsidRPr="00600ED9">
              <w:rPr>
                <w:rFonts w:eastAsia="Calibri" w:cs="Arial"/>
                <w:lang w:val="es-ES_tradnl"/>
              </w:rPr>
              <w:t xml:space="preserve">el 8 de Noviembre de 2013. </w:t>
            </w:r>
          </w:p>
          <w:p w:rsidR="00CF5512" w:rsidRPr="00600ED9" w:rsidRDefault="00CF5512" w:rsidP="00FB1954">
            <w:pPr>
              <w:pStyle w:val="Normaltabletext"/>
              <w:spacing w:after="0"/>
              <w:rPr>
                <w:rFonts w:eastAsia="Calibri" w:cs="Arial"/>
                <w:lang w:val="es-ES_tradnl"/>
              </w:rPr>
            </w:pPr>
          </w:p>
          <w:p w:rsidR="00F576EB" w:rsidRPr="00600ED9" w:rsidRDefault="001C1C68" w:rsidP="00FB1954">
            <w:pPr>
              <w:pStyle w:val="Normaltabletext"/>
              <w:spacing w:after="0"/>
              <w:rPr>
                <w:rFonts w:cs="Calibri"/>
                <w:lang w:val="es-ES_tradnl"/>
              </w:rPr>
            </w:pPr>
            <w:r w:rsidRPr="00600ED9">
              <w:rPr>
                <w:rFonts w:eastAsia="Calibri" w:cs="Arial"/>
                <w:lang w:val="es-ES_tradnl"/>
              </w:rPr>
              <w:t xml:space="preserve">Como parte del proceso de planeación de la CGRC no son considerados </w:t>
            </w:r>
            <w:r w:rsidR="00F576EB" w:rsidRPr="00600ED9">
              <w:rPr>
                <w:rFonts w:cs="Calibri"/>
                <w:lang w:val="es-ES_tradnl"/>
              </w:rPr>
              <w:t xml:space="preserve"> </w:t>
            </w:r>
            <w:r w:rsidR="00293C62" w:rsidRPr="00600ED9">
              <w:rPr>
                <w:rFonts w:cs="Calibri"/>
                <w:lang w:val="es-ES_tradnl"/>
              </w:rPr>
              <w:t xml:space="preserve">los </w:t>
            </w:r>
            <w:r w:rsidR="00F576EB" w:rsidRPr="00600ED9">
              <w:rPr>
                <w:rFonts w:cs="Calibri"/>
                <w:lang w:val="es-ES_tradnl"/>
              </w:rPr>
              <w:t xml:space="preserve">recursos financieros </w:t>
            </w:r>
            <w:r w:rsidR="00293C62" w:rsidRPr="00600ED9">
              <w:rPr>
                <w:rFonts w:cs="Calibri"/>
                <w:lang w:val="es-ES_tradnl"/>
              </w:rPr>
              <w:t xml:space="preserve">y </w:t>
            </w:r>
            <w:r w:rsidR="00F576EB" w:rsidRPr="00600ED9">
              <w:rPr>
                <w:rFonts w:cs="Calibri"/>
                <w:lang w:val="es-ES_tradnl"/>
              </w:rPr>
              <w:t xml:space="preserve">humanos </w:t>
            </w:r>
            <w:r w:rsidR="00572120" w:rsidRPr="00600ED9">
              <w:rPr>
                <w:rFonts w:cs="Calibri"/>
                <w:lang w:val="es-ES_tradnl"/>
              </w:rPr>
              <w:t xml:space="preserve"> </w:t>
            </w:r>
            <w:r w:rsidRPr="00600ED9">
              <w:rPr>
                <w:rFonts w:cs="Calibri"/>
                <w:lang w:val="es-ES_tradnl"/>
              </w:rPr>
              <w:t>disponibles</w:t>
            </w:r>
            <w:r w:rsidR="00E12D7F" w:rsidRPr="00600ED9">
              <w:rPr>
                <w:rFonts w:cs="Calibri"/>
                <w:lang w:val="es-ES_tradnl"/>
              </w:rPr>
              <w:t xml:space="preserve"> y tampoco se </w:t>
            </w:r>
            <w:r w:rsidR="00581B49" w:rsidRPr="00600ED9">
              <w:rPr>
                <w:rFonts w:cs="Calibri"/>
                <w:lang w:val="es-ES_tradnl"/>
              </w:rPr>
              <w:t xml:space="preserve">prepara un informe de evaluación </w:t>
            </w:r>
            <w:r w:rsidR="0071461B" w:rsidRPr="00600ED9">
              <w:rPr>
                <w:rFonts w:cs="Calibri"/>
                <w:lang w:val="es-ES_tradnl"/>
              </w:rPr>
              <w:t xml:space="preserve"> </w:t>
            </w:r>
            <w:r w:rsidR="00581B49" w:rsidRPr="00600ED9">
              <w:rPr>
                <w:rFonts w:cs="Calibri"/>
                <w:lang w:val="es-ES_tradnl"/>
              </w:rPr>
              <w:t>d</w:t>
            </w:r>
            <w:r w:rsidR="0071461B" w:rsidRPr="00600ED9">
              <w:rPr>
                <w:rFonts w:cs="Calibri"/>
                <w:lang w:val="es-ES_tradnl"/>
              </w:rPr>
              <w:t xml:space="preserve">el cumplimiento del plan de auditoría al finalizar </w:t>
            </w:r>
            <w:r w:rsidR="00581B49" w:rsidRPr="00600ED9">
              <w:rPr>
                <w:rFonts w:cs="Calibri"/>
                <w:lang w:val="es-ES_tradnl"/>
              </w:rPr>
              <w:t>cada vigencia f</w:t>
            </w:r>
            <w:r w:rsidR="0071461B" w:rsidRPr="00600ED9">
              <w:rPr>
                <w:rFonts w:cs="Calibri"/>
                <w:lang w:val="es-ES_tradnl"/>
              </w:rPr>
              <w:t>iscal.</w:t>
            </w:r>
          </w:p>
          <w:p w:rsidR="00CF5512" w:rsidRPr="00600ED9" w:rsidRDefault="00CF5512" w:rsidP="00FB1954">
            <w:pPr>
              <w:pStyle w:val="Normaltabletext"/>
              <w:spacing w:after="0"/>
              <w:rPr>
                <w:lang w:val="es-ES_tradnl"/>
              </w:rPr>
            </w:pPr>
          </w:p>
        </w:tc>
      </w:tr>
      <w:tr w:rsidR="00F576EB" w:rsidRPr="00600ED9" w:rsidTr="00845280">
        <w:tc>
          <w:tcPr>
            <w:tcW w:w="9356" w:type="dxa"/>
            <w:shd w:val="clear" w:color="auto" w:fill="D9D9D9" w:themeFill="background1" w:themeFillShade="D9"/>
          </w:tcPr>
          <w:p w:rsidR="00F576EB" w:rsidRPr="00600ED9" w:rsidRDefault="00F576EB" w:rsidP="00FB1954">
            <w:pPr>
              <w:pStyle w:val="NoSpacing"/>
              <w:rPr>
                <w:b/>
                <w:i/>
                <w:sz w:val="20"/>
                <w:szCs w:val="20"/>
                <w:lang w:val="es-ES_tradnl"/>
              </w:rPr>
            </w:pPr>
            <w:r w:rsidRPr="00600ED9">
              <w:rPr>
                <w:b/>
                <w:i/>
                <w:sz w:val="20"/>
                <w:szCs w:val="20"/>
                <w:lang w:val="es-ES_tradnl"/>
              </w:rPr>
              <w:t>Dimensión (ii) Contenido del plan de auditoría</w:t>
            </w:r>
          </w:p>
        </w:tc>
      </w:tr>
      <w:tr w:rsidR="00F576EB" w:rsidRPr="00600ED9" w:rsidTr="003069A3">
        <w:tc>
          <w:tcPr>
            <w:tcW w:w="9356" w:type="dxa"/>
            <w:shd w:val="clear" w:color="auto" w:fill="D9D9D9" w:themeFill="background1" w:themeFillShade="D9"/>
          </w:tcPr>
          <w:p w:rsidR="00F576EB" w:rsidRPr="00600ED9" w:rsidRDefault="00F576EB" w:rsidP="00FB1954">
            <w:pPr>
              <w:pStyle w:val="NoSpacing"/>
              <w:rPr>
                <w:i/>
                <w:sz w:val="20"/>
                <w:szCs w:val="20"/>
                <w:lang w:val="es-ES_tradnl"/>
              </w:rPr>
            </w:pPr>
            <w:r w:rsidRPr="00600ED9">
              <w:rPr>
                <w:b/>
                <w:i/>
                <w:sz w:val="20"/>
                <w:szCs w:val="20"/>
                <w:lang w:val="es-ES_tradnl"/>
              </w:rPr>
              <w:t>Puntuación</w:t>
            </w:r>
            <w:r w:rsidR="00E835A8" w:rsidRPr="00600ED9">
              <w:rPr>
                <w:b/>
                <w:i/>
                <w:sz w:val="20"/>
                <w:szCs w:val="20"/>
                <w:lang w:val="es-ES_tradnl"/>
              </w:rPr>
              <w:t xml:space="preserve"> 2</w:t>
            </w:r>
            <w:r w:rsidR="00912AD8" w:rsidRPr="00600ED9">
              <w:rPr>
                <w:b/>
                <w:i/>
                <w:sz w:val="20"/>
                <w:szCs w:val="20"/>
                <w:lang w:val="es-ES_tradnl"/>
              </w:rPr>
              <w:t xml:space="preserve">: </w:t>
            </w:r>
            <w:r w:rsidR="00912AD8" w:rsidRPr="00600ED9">
              <w:rPr>
                <w:rFonts w:cs="Calibri"/>
                <w:b/>
                <w:bCs/>
                <w:i/>
                <w:sz w:val="20"/>
                <w:szCs w:val="20"/>
                <w:lang w:val="es-ES_tradnl"/>
              </w:rPr>
              <w:t>La</w:t>
            </w:r>
            <w:r w:rsidRPr="00600ED9">
              <w:rPr>
                <w:rFonts w:cs="Calibri"/>
                <w:i/>
                <w:sz w:val="20"/>
                <w:szCs w:val="20"/>
                <w:lang w:val="es-ES_tradnl"/>
              </w:rPr>
              <w:t xml:space="preserve"> EFS tiene un plan de auditoría y  se aplican los criterios (a) y (b).</w:t>
            </w:r>
          </w:p>
        </w:tc>
      </w:tr>
      <w:tr w:rsidR="00F576EB" w:rsidRPr="00600ED9" w:rsidTr="00845280">
        <w:tc>
          <w:tcPr>
            <w:tcW w:w="9356" w:type="dxa"/>
          </w:tcPr>
          <w:p w:rsidR="00F576EB" w:rsidRPr="00600ED9" w:rsidRDefault="00F576EB" w:rsidP="00FB1954">
            <w:pPr>
              <w:pStyle w:val="Normaltabletext"/>
              <w:spacing w:after="0"/>
              <w:rPr>
                <w:lang w:val="es-ES_tradnl"/>
              </w:rPr>
            </w:pPr>
            <w:r w:rsidRPr="00600ED9">
              <w:rPr>
                <w:lang w:val="es-ES_tradnl"/>
              </w:rPr>
              <w:t>Criterio</w:t>
            </w:r>
            <w:r w:rsidR="006F4E9C" w:rsidRPr="00600ED9">
              <w:rPr>
                <w:lang w:val="es-ES_tradnl"/>
              </w:rPr>
              <w:t>s (a), (b) y</w:t>
            </w:r>
            <w:r w:rsidRPr="00600ED9">
              <w:rPr>
                <w:lang w:val="es-ES_tradnl"/>
              </w:rPr>
              <w:t xml:space="preserve"> (c)</w:t>
            </w:r>
            <w:r w:rsidR="006F4E9C" w:rsidRPr="00600ED9">
              <w:rPr>
                <w:lang w:val="es-ES_tradnl"/>
              </w:rPr>
              <w:t xml:space="preserve">  </w:t>
            </w:r>
            <w:r w:rsidRPr="00600ED9">
              <w:rPr>
                <w:lang w:val="es-ES_tradnl"/>
              </w:rPr>
              <w:t>cumplen. Criterio</w:t>
            </w:r>
            <w:r w:rsidR="006F4E9C" w:rsidRPr="00600ED9">
              <w:rPr>
                <w:lang w:val="es-ES_tradnl"/>
              </w:rPr>
              <w:t>s</w:t>
            </w:r>
            <w:r w:rsidRPr="00600ED9">
              <w:rPr>
                <w:lang w:val="es-ES_tradnl"/>
              </w:rPr>
              <w:t xml:space="preserve"> (d) </w:t>
            </w:r>
            <w:r w:rsidR="006F4E9C" w:rsidRPr="00600ED9">
              <w:rPr>
                <w:lang w:val="es-ES_tradnl"/>
              </w:rPr>
              <w:t xml:space="preserve">y (e) </w:t>
            </w:r>
            <w:r w:rsidRPr="00600ED9">
              <w:rPr>
                <w:lang w:val="es-ES_tradnl"/>
              </w:rPr>
              <w:t>no cumple</w:t>
            </w:r>
            <w:r w:rsidR="006F4E9C" w:rsidRPr="00600ED9">
              <w:rPr>
                <w:lang w:val="es-ES_tradnl"/>
              </w:rPr>
              <w:t>n</w:t>
            </w:r>
            <w:r w:rsidRPr="00600ED9">
              <w:rPr>
                <w:lang w:val="es-ES_tradnl"/>
              </w:rPr>
              <w:t xml:space="preserve">. </w:t>
            </w:r>
          </w:p>
          <w:p w:rsidR="00CF5512" w:rsidRPr="00600ED9" w:rsidRDefault="00CF5512" w:rsidP="00FB1954">
            <w:pPr>
              <w:pStyle w:val="Normaltabletext"/>
              <w:spacing w:after="0"/>
              <w:rPr>
                <w:lang w:val="es-ES_tradnl"/>
              </w:rPr>
            </w:pPr>
          </w:p>
          <w:p w:rsidR="006F4E9C" w:rsidRPr="00600ED9" w:rsidRDefault="006F4E9C" w:rsidP="00FB1954">
            <w:pPr>
              <w:pStyle w:val="Normaltabletext"/>
              <w:spacing w:after="0"/>
              <w:rPr>
                <w:rFonts w:eastAsia="Calibri" w:cs="Arial"/>
                <w:lang w:val="es-ES_tradnl"/>
              </w:rPr>
            </w:pPr>
            <w:r w:rsidRPr="00600ED9">
              <w:rPr>
                <w:rFonts w:eastAsia="Calibri" w:cs="Arial"/>
                <w:lang w:val="es-ES_tradnl"/>
              </w:rPr>
              <w:t>El PVCF cuenta con una programación para la implementación de las auditorias, así como también una estrategia clara y con objetivos específicos para llevar a cabo el plan.</w:t>
            </w:r>
          </w:p>
          <w:p w:rsidR="00CF5512" w:rsidRPr="00600ED9" w:rsidRDefault="00CF5512" w:rsidP="00FB1954">
            <w:pPr>
              <w:pStyle w:val="Normaltabletext"/>
              <w:spacing w:after="0"/>
              <w:rPr>
                <w:rFonts w:eastAsia="Calibri" w:cs="Arial"/>
                <w:lang w:val="es-ES_tradnl"/>
              </w:rPr>
            </w:pPr>
          </w:p>
          <w:p w:rsidR="001C1C68" w:rsidRPr="00600ED9" w:rsidRDefault="00F576EB" w:rsidP="00FB1954">
            <w:pPr>
              <w:pStyle w:val="Normaltabletext"/>
              <w:spacing w:after="0"/>
              <w:rPr>
                <w:rFonts w:eastAsia="Calibri" w:cs="Arial"/>
                <w:lang w:val="es-ES_tradnl"/>
              </w:rPr>
            </w:pPr>
            <w:r w:rsidRPr="00600ED9">
              <w:rPr>
                <w:rFonts w:eastAsia="Calibri" w:cs="Arial"/>
                <w:lang w:val="es-ES_tradnl"/>
              </w:rPr>
              <w:t>El PVCF 2014 incluye una sección de las auditorías que se llevar</w:t>
            </w:r>
            <w:r w:rsidR="001C1C68" w:rsidRPr="00600ED9">
              <w:rPr>
                <w:rFonts w:eastAsia="Calibri" w:cs="Arial"/>
                <w:lang w:val="es-ES_tradnl"/>
              </w:rPr>
              <w:t>á</w:t>
            </w:r>
            <w:r w:rsidRPr="00600ED9">
              <w:rPr>
                <w:rFonts w:eastAsia="Calibri" w:cs="Arial"/>
                <w:lang w:val="es-ES_tradnl"/>
              </w:rPr>
              <w:t xml:space="preserve">n a cabo y se adjunta un anexo, en el cual se detallan las delegadas sectoriales que estarán a cargo de su ejecución. </w:t>
            </w:r>
            <w:r w:rsidR="006F4E9C" w:rsidRPr="00600ED9">
              <w:rPr>
                <w:rFonts w:eastAsia="Calibri" w:cs="Arial"/>
                <w:lang w:val="es-ES_tradnl"/>
              </w:rPr>
              <w:t>Además, refleja en su contenido, la normativa aplicable de acuerdo con su mandato.</w:t>
            </w:r>
          </w:p>
          <w:p w:rsidR="00CF5512" w:rsidRPr="00600ED9" w:rsidRDefault="00CF5512" w:rsidP="00FB1954">
            <w:pPr>
              <w:pStyle w:val="Normaltabletext"/>
              <w:spacing w:after="0"/>
              <w:rPr>
                <w:rFonts w:eastAsia="Calibri" w:cs="Arial"/>
                <w:lang w:val="es-ES_tradnl"/>
              </w:rPr>
            </w:pPr>
          </w:p>
          <w:p w:rsidR="008A3B8E" w:rsidRPr="00600ED9" w:rsidRDefault="001C1C68" w:rsidP="00FB1954">
            <w:pPr>
              <w:pStyle w:val="Normaltabletext"/>
              <w:spacing w:after="0"/>
              <w:rPr>
                <w:lang w:val="es-ES_tradnl"/>
              </w:rPr>
            </w:pPr>
            <w:r w:rsidRPr="00600ED9">
              <w:rPr>
                <w:rFonts w:eastAsia="Calibri" w:cs="Arial"/>
                <w:lang w:val="es-ES_tradnl"/>
              </w:rPr>
              <w:t xml:space="preserve">El PVCF no detalla los recursos humanos y  financieros que </w:t>
            </w:r>
            <w:r w:rsidR="00E12D7F" w:rsidRPr="00600ED9">
              <w:rPr>
                <w:rFonts w:eastAsia="Calibri" w:cs="Arial"/>
                <w:lang w:val="es-ES_tradnl"/>
              </w:rPr>
              <w:t>se requerirán</w:t>
            </w:r>
            <w:r w:rsidRPr="00600ED9">
              <w:rPr>
                <w:rFonts w:eastAsia="Calibri" w:cs="Arial"/>
                <w:lang w:val="es-ES_tradnl"/>
              </w:rPr>
              <w:t xml:space="preserve"> para su ejecución, ni la evaluación de los riesgos o de las posibles restricciones que limitarían su cumplimiento.  </w:t>
            </w:r>
          </w:p>
        </w:tc>
      </w:tr>
      <w:tr w:rsidR="00F576EB" w:rsidRPr="00600ED9" w:rsidTr="00845280">
        <w:tc>
          <w:tcPr>
            <w:tcW w:w="9356" w:type="dxa"/>
            <w:shd w:val="clear" w:color="auto" w:fill="D9D9D9" w:themeFill="background1" w:themeFillShade="D9"/>
          </w:tcPr>
          <w:p w:rsidR="00F576EB" w:rsidRPr="00600ED9" w:rsidRDefault="00F576EB" w:rsidP="00FB1954">
            <w:pPr>
              <w:pStyle w:val="NoSpacing"/>
              <w:rPr>
                <w:b/>
                <w:i/>
                <w:sz w:val="20"/>
                <w:szCs w:val="20"/>
                <w:lang w:val="es-ES_tradnl"/>
              </w:rPr>
            </w:pPr>
            <w:r w:rsidRPr="00600ED9">
              <w:rPr>
                <w:b/>
                <w:i/>
                <w:sz w:val="20"/>
                <w:szCs w:val="20"/>
                <w:lang w:val="es-ES_tradnl"/>
              </w:rPr>
              <w:lastRenderedPageBreak/>
              <w:t>Dimensión (iii) Sistema de control de la calidad</w:t>
            </w:r>
          </w:p>
        </w:tc>
      </w:tr>
      <w:tr w:rsidR="00F576EB" w:rsidRPr="00600ED9" w:rsidTr="003069A3">
        <w:tc>
          <w:tcPr>
            <w:tcW w:w="9356" w:type="dxa"/>
            <w:shd w:val="clear" w:color="auto" w:fill="D9D9D9" w:themeFill="background1" w:themeFillShade="D9"/>
          </w:tcPr>
          <w:p w:rsidR="00F576EB" w:rsidRPr="00600ED9" w:rsidRDefault="00624441" w:rsidP="00FB1954">
            <w:pPr>
              <w:pStyle w:val="NoSpacing"/>
              <w:rPr>
                <w:rFonts w:eastAsia="Calibri" w:cs="Arial"/>
                <w:i/>
                <w:sz w:val="20"/>
                <w:szCs w:val="20"/>
                <w:lang w:val="es-ES_tradnl"/>
              </w:rPr>
            </w:pPr>
            <w:r w:rsidRPr="00600ED9">
              <w:rPr>
                <w:rFonts w:eastAsia="Calibri" w:cs="Arial"/>
                <w:b/>
                <w:i/>
                <w:sz w:val="20"/>
                <w:szCs w:val="20"/>
                <w:lang w:val="es-ES_tradnl"/>
              </w:rPr>
              <w:t>Puntuación</w:t>
            </w:r>
            <w:r w:rsidR="00F576EB" w:rsidRPr="00600ED9">
              <w:rPr>
                <w:rFonts w:eastAsia="Calibri" w:cs="Arial"/>
                <w:b/>
                <w:i/>
                <w:sz w:val="20"/>
                <w:szCs w:val="20"/>
                <w:lang w:val="es-ES_tradnl"/>
              </w:rPr>
              <w:t xml:space="preserve"> </w:t>
            </w:r>
            <w:r w:rsidR="001B01AD" w:rsidRPr="00600ED9">
              <w:rPr>
                <w:rFonts w:cs="Calibri"/>
                <w:b/>
                <w:bCs/>
                <w:i/>
                <w:sz w:val="20"/>
                <w:szCs w:val="20"/>
                <w:lang w:val="es-ES_tradnl"/>
              </w:rPr>
              <w:t>1</w:t>
            </w:r>
            <w:r w:rsidR="00912AD8" w:rsidRPr="00600ED9">
              <w:rPr>
                <w:rFonts w:cs="Calibri"/>
                <w:b/>
                <w:bCs/>
                <w:i/>
                <w:sz w:val="20"/>
                <w:szCs w:val="20"/>
                <w:lang w:val="es-ES_tradnl"/>
              </w:rPr>
              <w:t>: Se</w:t>
            </w:r>
            <w:r w:rsidR="00F576EB" w:rsidRPr="00600ED9">
              <w:rPr>
                <w:rFonts w:cs="Calibri"/>
                <w:i/>
                <w:sz w:val="20"/>
                <w:szCs w:val="20"/>
                <w:lang w:val="es-ES_tradnl"/>
              </w:rPr>
              <w:t xml:space="preserve"> aplican al menos </w:t>
            </w:r>
            <w:r w:rsidR="001B01AD" w:rsidRPr="00600ED9">
              <w:rPr>
                <w:rFonts w:cs="Calibri"/>
                <w:i/>
                <w:sz w:val="20"/>
                <w:szCs w:val="20"/>
                <w:lang w:val="es-ES_tradnl"/>
              </w:rPr>
              <w:t>dos</w:t>
            </w:r>
            <w:r w:rsidR="00F576EB" w:rsidRPr="00600ED9">
              <w:rPr>
                <w:rFonts w:cs="Calibri"/>
                <w:i/>
                <w:sz w:val="20"/>
                <w:szCs w:val="20"/>
                <w:lang w:val="es-ES_tradnl"/>
              </w:rPr>
              <w:t xml:space="preserve"> de los criterios mencionados.</w:t>
            </w:r>
          </w:p>
        </w:tc>
      </w:tr>
      <w:tr w:rsidR="00F576EB" w:rsidRPr="00600ED9" w:rsidTr="00845280">
        <w:tc>
          <w:tcPr>
            <w:tcW w:w="9356" w:type="dxa"/>
          </w:tcPr>
          <w:p w:rsidR="00F576EB" w:rsidRPr="00600ED9" w:rsidRDefault="00F576EB" w:rsidP="00FB1954">
            <w:pPr>
              <w:pStyle w:val="Normaltabletext"/>
              <w:spacing w:after="0"/>
              <w:rPr>
                <w:rFonts w:eastAsia="Calibri" w:cs="Arial"/>
                <w:lang w:val="es-ES_tradnl"/>
              </w:rPr>
            </w:pPr>
            <w:r w:rsidRPr="00600ED9">
              <w:rPr>
                <w:rFonts w:eastAsia="Calibri" w:cs="Arial"/>
                <w:lang w:val="es-ES_tradnl"/>
              </w:rPr>
              <w:t xml:space="preserve">Criterios (b) y (c) cumplen. Criterios (a) (d) y (e) no cumple. </w:t>
            </w:r>
            <w:r w:rsidR="006C2B1F" w:rsidRPr="00600ED9">
              <w:rPr>
                <w:rFonts w:eastAsia="Calibri" w:cs="Arial"/>
                <w:lang w:val="es-ES_tradnl"/>
              </w:rPr>
              <w:t>Criterio (f) no aplica</w:t>
            </w:r>
            <w:r w:rsidR="006C2B1F" w:rsidRPr="00600ED9">
              <w:rPr>
                <w:rStyle w:val="FootnoteReference"/>
                <w:rFonts w:eastAsia="Calibri" w:cs="Arial"/>
                <w:lang w:val="es-ES_tradnl"/>
              </w:rPr>
              <w:footnoteReference w:id="34"/>
            </w:r>
            <w:r w:rsidR="006C2B1F" w:rsidRPr="00600ED9">
              <w:rPr>
                <w:rFonts w:eastAsia="Calibri" w:cs="Arial"/>
                <w:lang w:val="es-ES_tradnl"/>
              </w:rPr>
              <w:t>.</w:t>
            </w:r>
          </w:p>
          <w:p w:rsidR="00CF5512" w:rsidRPr="00600ED9" w:rsidRDefault="00CF5512" w:rsidP="00FB1954">
            <w:pPr>
              <w:pStyle w:val="Normaltabletext"/>
              <w:spacing w:after="0"/>
              <w:rPr>
                <w:rFonts w:eastAsia="Calibri" w:cs="Arial"/>
                <w:lang w:val="es-ES_tradnl"/>
              </w:rPr>
            </w:pPr>
          </w:p>
          <w:p w:rsidR="00F576EB" w:rsidRPr="00600ED9" w:rsidRDefault="00F576EB" w:rsidP="00FB1954">
            <w:pPr>
              <w:pStyle w:val="Normaltabletext"/>
              <w:spacing w:after="0"/>
              <w:rPr>
                <w:rFonts w:eastAsia="Calibri" w:cs="Arial"/>
                <w:lang w:val="es-ES_tradnl"/>
              </w:rPr>
            </w:pPr>
            <w:r w:rsidRPr="00600ED9">
              <w:rPr>
                <w:rFonts w:eastAsia="Calibri" w:cs="Arial"/>
                <w:lang w:val="es-ES_tradnl"/>
              </w:rPr>
              <w:t xml:space="preserve">La CGRC </w:t>
            </w:r>
            <w:r w:rsidR="00B13F3A" w:rsidRPr="00600ED9">
              <w:rPr>
                <w:rFonts w:eastAsia="Calibri" w:cs="Arial"/>
                <w:lang w:val="es-ES_tradnl"/>
              </w:rPr>
              <w:t xml:space="preserve">dispone de </w:t>
            </w:r>
            <w:r w:rsidRPr="00600ED9">
              <w:rPr>
                <w:rFonts w:eastAsia="Calibri" w:cs="Arial"/>
                <w:lang w:val="es-ES_tradnl"/>
              </w:rPr>
              <w:t xml:space="preserve">políticas y procedimientos para promover la calidad, </w:t>
            </w:r>
            <w:r w:rsidR="00B13F3A" w:rsidRPr="00600ED9">
              <w:rPr>
                <w:rFonts w:eastAsia="Calibri" w:cs="Arial"/>
                <w:lang w:val="es-ES_tradnl"/>
              </w:rPr>
              <w:t xml:space="preserve">con base en </w:t>
            </w:r>
            <w:r w:rsidRPr="00600ED9">
              <w:rPr>
                <w:rFonts w:eastAsia="Calibri" w:cs="Arial"/>
                <w:lang w:val="es-ES_tradnl"/>
              </w:rPr>
              <w:t xml:space="preserve">lo requerido </w:t>
            </w:r>
            <w:r w:rsidR="00B13F3A" w:rsidRPr="00600ED9">
              <w:rPr>
                <w:rFonts w:eastAsia="Calibri" w:cs="Arial"/>
                <w:lang w:val="es-ES_tradnl"/>
              </w:rPr>
              <w:t>en la Norma</w:t>
            </w:r>
            <w:r w:rsidRPr="00600ED9">
              <w:rPr>
                <w:rFonts w:eastAsia="Calibri" w:cs="Arial"/>
                <w:lang w:val="es-ES_tradnl"/>
              </w:rPr>
              <w:t xml:space="preserve"> ISO 9001:2008 “Sistemas de Gestión de Calidad Requisitos” y la </w:t>
            </w:r>
            <w:r w:rsidR="00B13F3A" w:rsidRPr="00600ED9">
              <w:rPr>
                <w:rFonts w:eastAsia="Calibri" w:cs="Arial"/>
                <w:lang w:val="es-ES_tradnl"/>
              </w:rPr>
              <w:t xml:space="preserve">“Norma Técnica de Calidad en la Gestión Pública” </w:t>
            </w:r>
            <w:r w:rsidRPr="00600ED9">
              <w:rPr>
                <w:rFonts w:eastAsia="Calibri" w:cs="Arial"/>
                <w:lang w:val="es-ES_tradnl"/>
              </w:rPr>
              <w:t>NTCGP 1000:2009</w:t>
            </w:r>
            <w:r w:rsidR="00C04C10" w:rsidRPr="00600ED9">
              <w:rPr>
                <w:rFonts w:eastAsia="Calibri" w:cs="Arial"/>
                <w:lang w:val="es-ES_tradnl"/>
              </w:rPr>
              <w:t xml:space="preserve">, los cuales forman parte </w:t>
            </w:r>
            <w:r w:rsidRPr="00600ED9">
              <w:rPr>
                <w:rFonts w:eastAsia="Calibri" w:cs="Arial"/>
                <w:lang w:val="es-ES_tradnl"/>
              </w:rPr>
              <w:t xml:space="preserve">de la Guía de Auditoría Ajustada al SICA (Capítulo 5.4 Aseguramiento de la Calidad). Sin embargo, el enfoque de calidad que la CGRC promueve, no </w:t>
            </w:r>
            <w:r w:rsidR="0098244B" w:rsidRPr="00600ED9">
              <w:rPr>
                <w:rFonts w:eastAsia="Calibri" w:cs="Arial"/>
                <w:lang w:val="es-ES_tradnl"/>
              </w:rPr>
              <w:t xml:space="preserve">guarda </w:t>
            </w:r>
            <w:r w:rsidRPr="00600ED9">
              <w:rPr>
                <w:rFonts w:eastAsia="Calibri" w:cs="Arial"/>
                <w:lang w:val="es-ES_tradnl"/>
              </w:rPr>
              <w:t xml:space="preserve">relación </w:t>
            </w:r>
            <w:r w:rsidR="0098244B" w:rsidRPr="00600ED9">
              <w:rPr>
                <w:rFonts w:eastAsia="Calibri" w:cs="Arial"/>
                <w:lang w:val="es-ES_tradnl"/>
              </w:rPr>
              <w:t xml:space="preserve">con el estándar internacional  </w:t>
            </w:r>
            <w:r w:rsidR="00E90661" w:rsidRPr="00600ED9">
              <w:rPr>
                <w:rFonts w:eastAsia="Calibri" w:cs="Arial"/>
                <w:lang w:val="es-ES_tradnl"/>
              </w:rPr>
              <w:t xml:space="preserve">para el trabajo de auditoría, </w:t>
            </w:r>
            <w:r w:rsidR="0098244B" w:rsidRPr="00600ED9">
              <w:rPr>
                <w:rFonts w:eastAsia="Calibri" w:cs="Arial"/>
                <w:lang w:val="es-ES_tradnl"/>
              </w:rPr>
              <w:t xml:space="preserve">establecido en la </w:t>
            </w:r>
            <w:r w:rsidRPr="00600ED9">
              <w:rPr>
                <w:rFonts w:eastAsia="Calibri" w:cs="Arial"/>
                <w:lang w:val="es-ES_tradnl"/>
              </w:rPr>
              <w:t>ISSAI 40</w:t>
            </w:r>
            <w:r w:rsidR="00E90661" w:rsidRPr="00600ED9">
              <w:rPr>
                <w:rFonts w:eastAsia="Calibri" w:cs="Arial"/>
                <w:lang w:val="es-ES_tradnl"/>
              </w:rPr>
              <w:t>.</w:t>
            </w:r>
            <w:r w:rsidRPr="00600ED9">
              <w:rPr>
                <w:rFonts w:eastAsia="Calibri" w:cs="Arial"/>
                <w:lang w:val="es-ES_tradnl"/>
              </w:rPr>
              <w:t xml:space="preserve"> </w:t>
            </w:r>
          </w:p>
          <w:p w:rsidR="00CF5512" w:rsidRPr="00600ED9" w:rsidRDefault="00CF5512" w:rsidP="00FB1954">
            <w:pPr>
              <w:pStyle w:val="Normaltabletext"/>
              <w:spacing w:after="0"/>
              <w:rPr>
                <w:rFonts w:eastAsia="Calibri" w:cs="Arial"/>
                <w:lang w:val="es-ES_tradnl"/>
              </w:rPr>
            </w:pPr>
          </w:p>
          <w:p w:rsidR="003069A3" w:rsidRPr="00600ED9" w:rsidRDefault="00F576EB" w:rsidP="00FB1954">
            <w:pPr>
              <w:pStyle w:val="Normaltabletext"/>
              <w:spacing w:after="0"/>
              <w:rPr>
                <w:rFonts w:eastAsia="Calibri" w:cs="Arial"/>
                <w:lang w:val="es-ES_tradnl"/>
              </w:rPr>
            </w:pPr>
            <w:r w:rsidRPr="00600ED9">
              <w:rPr>
                <w:rFonts w:eastAsia="Calibri" w:cs="Arial"/>
                <w:lang w:val="es-ES_tradnl"/>
              </w:rPr>
              <w:t>El Contralor ha delegado la responsabilidad del manejo del sistema de control de calidad de las auditorías a los Contralores Delegados</w:t>
            </w:r>
            <w:r w:rsidR="00E90661" w:rsidRPr="00600ED9">
              <w:rPr>
                <w:rFonts w:eastAsia="Calibri" w:cs="Arial"/>
                <w:lang w:val="es-ES_tradnl"/>
              </w:rPr>
              <w:t xml:space="preserve">, quienes </w:t>
            </w:r>
            <w:r w:rsidRPr="00600ED9">
              <w:rPr>
                <w:rFonts w:eastAsia="Calibri" w:cs="Arial"/>
                <w:lang w:val="es-ES_tradnl"/>
              </w:rPr>
              <w:t>se apoyan en supervisores</w:t>
            </w:r>
            <w:r w:rsidR="00E90661" w:rsidRPr="00600ED9">
              <w:rPr>
                <w:rFonts w:eastAsia="Calibri" w:cs="Arial"/>
                <w:lang w:val="es-ES_tradnl"/>
              </w:rPr>
              <w:t xml:space="preserve">, </w:t>
            </w:r>
            <w:r w:rsidRPr="00600ED9">
              <w:rPr>
                <w:rFonts w:eastAsia="Calibri" w:cs="Arial"/>
                <w:lang w:val="es-ES_tradnl"/>
              </w:rPr>
              <w:t xml:space="preserve"> qu</w:t>
            </w:r>
            <w:r w:rsidR="00E90661" w:rsidRPr="00600ED9">
              <w:rPr>
                <w:rFonts w:eastAsia="Calibri" w:cs="Arial"/>
                <w:lang w:val="es-ES_tradnl"/>
              </w:rPr>
              <w:t>e</w:t>
            </w:r>
            <w:r w:rsidRPr="00600ED9">
              <w:rPr>
                <w:rFonts w:eastAsia="Calibri" w:cs="Arial"/>
                <w:lang w:val="es-ES_tradnl"/>
              </w:rPr>
              <w:t xml:space="preserve"> en función de sus responsabilidades, llevan a cabo el control de calidad de las auditorías con base en  su experiencia y conocimiento y no en </w:t>
            </w:r>
            <w:r w:rsidR="00E90661" w:rsidRPr="00600ED9">
              <w:rPr>
                <w:rFonts w:eastAsia="Calibri" w:cs="Arial"/>
                <w:lang w:val="es-ES_tradnl"/>
              </w:rPr>
              <w:t xml:space="preserve">estándares </w:t>
            </w:r>
            <w:r w:rsidRPr="00600ED9">
              <w:rPr>
                <w:rFonts w:eastAsia="Calibri" w:cs="Arial"/>
                <w:lang w:val="es-ES_tradnl"/>
              </w:rPr>
              <w:t xml:space="preserve">que </w:t>
            </w:r>
            <w:r w:rsidR="00FE2D19" w:rsidRPr="00600ED9">
              <w:rPr>
                <w:rFonts w:eastAsia="Calibri" w:cs="Arial"/>
                <w:lang w:val="es-ES_tradnl"/>
              </w:rPr>
              <w:t>cubran todo</w:t>
            </w:r>
            <w:r w:rsidR="00E90661" w:rsidRPr="00600ED9">
              <w:rPr>
                <w:rFonts w:eastAsia="Calibri" w:cs="Arial"/>
                <w:lang w:val="es-ES_tradnl"/>
              </w:rPr>
              <w:t xml:space="preserve"> </w:t>
            </w:r>
            <w:r w:rsidRPr="00600ED9">
              <w:rPr>
                <w:rFonts w:eastAsia="Calibri" w:cs="Arial"/>
                <w:lang w:val="es-ES_tradnl"/>
              </w:rPr>
              <w:t>e</w:t>
            </w:r>
            <w:r w:rsidR="00E90661" w:rsidRPr="00600ED9">
              <w:rPr>
                <w:rFonts w:eastAsia="Calibri" w:cs="Arial"/>
                <w:lang w:val="es-ES_tradnl"/>
              </w:rPr>
              <w:t xml:space="preserve">l proceso de </w:t>
            </w:r>
            <w:r w:rsidRPr="00600ED9">
              <w:rPr>
                <w:rFonts w:eastAsia="Calibri" w:cs="Arial"/>
                <w:lang w:val="es-ES_tradnl"/>
              </w:rPr>
              <w:t>auditoría</w:t>
            </w:r>
            <w:r w:rsidR="00E90661" w:rsidRPr="00600ED9">
              <w:rPr>
                <w:rFonts w:eastAsia="Calibri" w:cs="Arial"/>
                <w:lang w:val="es-ES_tradnl"/>
              </w:rPr>
              <w:t xml:space="preserve">, </w:t>
            </w:r>
            <w:r w:rsidR="00E404BC" w:rsidRPr="00600ED9">
              <w:rPr>
                <w:rFonts w:eastAsia="Calibri" w:cs="Arial"/>
                <w:lang w:val="es-ES_tradnl"/>
              </w:rPr>
              <w:t>incluidos</w:t>
            </w:r>
            <w:r w:rsidR="00FE2D19" w:rsidRPr="00600ED9">
              <w:rPr>
                <w:rFonts w:eastAsia="Calibri" w:cs="Arial"/>
                <w:lang w:val="es-ES_tradnl"/>
              </w:rPr>
              <w:t xml:space="preserve"> los </w:t>
            </w:r>
            <w:r w:rsidR="00E90661" w:rsidRPr="00600ED9">
              <w:rPr>
                <w:rFonts w:eastAsia="Calibri" w:cs="Arial"/>
                <w:lang w:val="es-ES_tradnl"/>
              </w:rPr>
              <w:t>riesgos inherentes</w:t>
            </w:r>
            <w:r w:rsidR="00FE2D19" w:rsidRPr="00600ED9">
              <w:rPr>
                <w:rFonts w:eastAsia="Calibri" w:cs="Arial"/>
                <w:lang w:val="es-ES_tradnl"/>
              </w:rPr>
              <w:t xml:space="preserve"> </w:t>
            </w:r>
            <w:r w:rsidR="00E90661" w:rsidRPr="00600ED9">
              <w:rPr>
                <w:rFonts w:eastAsia="Calibri" w:cs="Arial"/>
                <w:lang w:val="es-ES_tradnl"/>
              </w:rPr>
              <w:t xml:space="preserve">de calidad, salvo por los procedimientos </w:t>
            </w:r>
            <w:r w:rsidRPr="00600ED9">
              <w:rPr>
                <w:rFonts w:eastAsia="Calibri" w:cs="Arial"/>
                <w:lang w:val="es-ES_tradnl"/>
              </w:rPr>
              <w:t xml:space="preserve"> establecidos para la revisión de hallazgos fiscales y del informe de auditoría, denominado “revisión del producto no conforme”. </w:t>
            </w:r>
            <w:r w:rsidR="003069A3" w:rsidRPr="00600ED9">
              <w:rPr>
                <w:rFonts w:eastAsia="Calibri" w:cs="Arial"/>
                <w:lang w:val="es-ES_tradnl"/>
              </w:rPr>
              <w:t xml:space="preserve">  </w:t>
            </w:r>
          </w:p>
          <w:p w:rsidR="00CF5512" w:rsidRPr="00600ED9" w:rsidRDefault="00CF5512" w:rsidP="00FB1954">
            <w:pPr>
              <w:pStyle w:val="Normaltabletext"/>
              <w:spacing w:after="0"/>
              <w:rPr>
                <w:rFonts w:eastAsia="Calibri" w:cs="Arial"/>
                <w:lang w:val="es-ES_tradnl"/>
              </w:rPr>
            </w:pPr>
          </w:p>
          <w:p w:rsidR="003069A3" w:rsidRPr="00600ED9" w:rsidRDefault="00E90661" w:rsidP="00FB1954">
            <w:pPr>
              <w:pStyle w:val="Normaltabletext"/>
              <w:spacing w:after="0"/>
              <w:rPr>
                <w:lang w:val="es-ES_tradnl"/>
              </w:rPr>
            </w:pPr>
            <w:r w:rsidRPr="00600ED9">
              <w:rPr>
                <w:rFonts w:eastAsia="Calibri" w:cs="Arial"/>
                <w:lang w:val="es-ES_tradnl"/>
              </w:rPr>
              <w:t>La CGRC no</w:t>
            </w:r>
            <w:r w:rsidR="00F576EB" w:rsidRPr="00600ED9">
              <w:rPr>
                <w:lang w:val="es-ES_tradnl"/>
              </w:rPr>
              <w:t xml:space="preserve"> </w:t>
            </w:r>
            <w:r w:rsidR="00FE2D19" w:rsidRPr="00600ED9">
              <w:rPr>
                <w:lang w:val="es-ES_tradnl"/>
              </w:rPr>
              <w:t xml:space="preserve">se apoya en Firmas Privadas para el ejercicio del control fiscal.  </w:t>
            </w:r>
          </w:p>
          <w:p w:rsidR="00CF5512" w:rsidRPr="00600ED9" w:rsidRDefault="00CF5512" w:rsidP="00FB1954">
            <w:pPr>
              <w:pStyle w:val="Normaltabletext"/>
              <w:spacing w:after="0"/>
              <w:rPr>
                <w:lang w:val="es-ES_tradnl"/>
              </w:rPr>
            </w:pPr>
          </w:p>
        </w:tc>
      </w:tr>
      <w:tr w:rsidR="00F576EB" w:rsidRPr="00600ED9" w:rsidTr="00845280">
        <w:tc>
          <w:tcPr>
            <w:tcW w:w="9356" w:type="dxa"/>
            <w:shd w:val="clear" w:color="auto" w:fill="D9D9D9" w:themeFill="background1" w:themeFillShade="D9"/>
          </w:tcPr>
          <w:p w:rsidR="00F576EB" w:rsidRPr="00600ED9" w:rsidRDefault="00F576EB" w:rsidP="00FB1954">
            <w:pPr>
              <w:pStyle w:val="NoSpacing"/>
              <w:rPr>
                <w:b/>
                <w:i/>
                <w:sz w:val="20"/>
                <w:szCs w:val="20"/>
                <w:lang w:val="es-ES_tradnl"/>
              </w:rPr>
            </w:pPr>
            <w:r w:rsidRPr="00600ED9">
              <w:rPr>
                <w:b/>
                <w:i/>
                <w:sz w:val="20"/>
                <w:szCs w:val="20"/>
                <w:lang w:val="es-ES_tradnl"/>
              </w:rPr>
              <w:t>Dimensión (iv) Sistema de aseguramiento de la calidad</w:t>
            </w:r>
          </w:p>
        </w:tc>
      </w:tr>
      <w:tr w:rsidR="00F576EB" w:rsidRPr="00600ED9" w:rsidTr="003069A3">
        <w:tc>
          <w:tcPr>
            <w:tcW w:w="9356" w:type="dxa"/>
            <w:shd w:val="clear" w:color="auto" w:fill="D9D9D9" w:themeFill="background1" w:themeFillShade="D9"/>
          </w:tcPr>
          <w:p w:rsidR="00F576EB" w:rsidRPr="00600ED9" w:rsidRDefault="004C4748" w:rsidP="00FB1954">
            <w:pPr>
              <w:pStyle w:val="NoSpacing"/>
              <w:rPr>
                <w:i/>
                <w:sz w:val="20"/>
                <w:szCs w:val="20"/>
                <w:lang w:val="es-ES_tradnl"/>
              </w:rPr>
            </w:pPr>
            <w:r w:rsidRPr="00600ED9">
              <w:rPr>
                <w:b/>
                <w:i/>
                <w:sz w:val="20"/>
                <w:szCs w:val="20"/>
                <w:lang w:val="es-ES_tradnl"/>
              </w:rPr>
              <w:t>Puntuación</w:t>
            </w:r>
            <w:r w:rsidR="00F576EB" w:rsidRPr="00600ED9">
              <w:rPr>
                <w:b/>
                <w:i/>
                <w:sz w:val="20"/>
                <w:szCs w:val="20"/>
                <w:lang w:val="es-ES_tradnl"/>
              </w:rPr>
              <w:t xml:space="preserve"> </w:t>
            </w:r>
            <w:r w:rsidR="00F576EB" w:rsidRPr="00600ED9">
              <w:rPr>
                <w:rFonts w:cs="Calibri"/>
                <w:b/>
                <w:bCs/>
                <w:i/>
                <w:sz w:val="20"/>
                <w:szCs w:val="20"/>
                <w:lang w:val="es-ES_tradnl"/>
              </w:rPr>
              <w:t>1</w:t>
            </w:r>
            <w:r w:rsidRPr="00600ED9">
              <w:rPr>
                <w:rFonts w:cs="Calibri"/>
                <w:b/>
                <w:bCs/>
                <w:i/>
                <w:sz w:val="20"/>
                <w:szCs w:val="20"/>
                <w:lang w:val="es-ES_tradnl"/>
              </w:rPr>
              <w:t>:</w:t>
            </w:r>
            <w:r w:rsidR="00F576EB" w:rsidRPr="00600ED9">
              <w:rPr>
                <w:rFonts w:cs="Calibri"/>
                <w:b/>
                <w:bCs/>
                <w:i/>
                <w:sz w:val="20"/>
                <w:szCs w:val="20"/>
                <w:lang w:val="es-ES_tradnl"/>
              </w:rPr>
              <w:t xml:space="preserve"> </w:t>
            </w:r>
            <w:r w:rsidR="00F576EB" w:rsidRPr="00600ED9">
              <w:rPr>
                <w:rFonts w:cs="Calibri"/>
                <w:i/>
                <w:sz w:val="20"/>
                <w:szCs w:val="20"/>
                <w:lang w:val="es-ES_tradnl"/>
              </w:rPr>
              <w:t>Se aplica al menos uno de los criterios mencionados.</w:t>
            </w:r>
          </w:p>
        </w:tc>
      </w:tr>
      <w:tr w:rsidR="00F576EB" w:rsidRPr="00600ED9" w:rsidTr="00845280">
        <w:tc>
          <w:tcPr>
            <w:tcW w:w="9356" w:type="dxa"/>
          </w:tcPr>
          <w:p w:rsidR="00F576EB" w:rsidRPr="00600ED9" w:rsidRDefault="00F576EB" w:rsidP="00FB1954">
            <w:pPr>
              <w:pStyle w:val="Normaltabletext"/>
              <w:spacing w:after="0"/>
              <w:rPr>
                <w:lang w:val="es-ES_tradnl"/>
              </w:rPr>
            </w:pPr>
            <w:r w:rsidRPr="00600ED9">
              <w:rPr>
                <w:lang w:val="es-ES_tradnl"/>
              </w:rPr>
              <w:t xml:space="preserve">Criterio (b) cumple. Criterios (a), (c), (d), (e) no cumplen. </w:t>
            </w:r>
          </w:p>
          <w:p w:rsidR="00CF5512" w:rsidRPr="00600ED9" w:rsidRDefault="00CF5512" w:rsidP="00FB1954">
            <w:pPr>
              <w:pStyle w:val="Normaltabletext"/>
              <w:spacing w:after="0"/>
              <w:rPr>
                <w:lang w:val="es-ES_tradnl"/>
              </w:rPr>
            </w:pPr>
          </w:p>
          <w:p w:rsidR="006E7EEB" w:rsidRPr="00600ED9" w:rsidRDefault="0063460F" w:rsidP="00FB1954">
            <w:pPr>
              <w:pStyle w:val="Normaltabletext"/>
              <w:spacing w:after="0"/>
              <w:rPr>
                <w:lang w:val="es-ES_tradnl"/>
              </w:rPr>
            </w:pPr>
            <w:r w:rsidRPr="00600ED9">
              <w:rPr>
                <w:lang w:val="es-ES_tradnl"/>
              </w:rPr>
              <w:t>El</w:t>
            </w:r>
            <w:r w:rsidR="00F576EB" w:rsidRPr="00600ED9">
              <w:rPr>
                <w:lang w:val="es-ES_tradnl"/>
              </w:rPr>
              <w:t xml:space="preserve"> proceso interno de revisión de las auditorías, </w:t>
            </w:r>
            <w:r w:rsidRPr="00600ED9">
              <w:rPr>
                <w:lang w:val="es-ES_tradnl"/>
              </w:rPr>
              <w:t>es llevado a cabo por</w:t>
            </w:r>
            <w:r w:rsidR="00F576EB" w:rsidRPr="00600ED9">
              <w:rPr>
                <w:lang w:val="es-ES_tradnl"/>
              </w:rPr>
              <w:t xml:space="preserve"> miembros experimentados del equipo auditor, quienes como parte de su</w:t>
            </w:r>
            <w:r w:rsidR="004C4748" w:rsidRPr="00600ED9">
              <w:rPr>
                <w:lang w:val="es-ES_tradnl"/>
              </w:rPr>
              <w:t>s</w:t>
            </w:r>
            <w:r w:rsidR="00F576EB" w:rsidRPr="00600ED9">
              <w:rPr>
                <w:lang w:val="es-ES_tradnl"/>
              </w:rPr>
              <w:t xml:space="preserve"> responsabilidad</w:t>
            </w:r>
            <w:r w:rsidRPr="00600ED9">
              <w:rPr>
                <w:lang w:val="es-ES_tradnl"/>
              </w:rPr>
              <w:t>es</w:t>
            </w:r>
            <w:r w:rsidR="00F576EB" w:rsidRPr="00600ED9">
              <w:rPr>
                <w:lang w:val="es-ES_tradnl"/>
              </w:rPr>
              <w:t xml:space="preserve">, revisan la documentación de </w:t>
            </w:r>
            <w:r w:rsidRPr="00600ED9">
              <w:rPr>
                <w:lang w:val="es-ES_tradnl"/>
              </w:rPr>
              <w:t xml:space="preserve">respaldo, </w:t>
            </w:r>
            <w:r w:rsidR="00F576EB" w:rsidRPr="00600ED9">
              <w:rPr>
                <w:lang w:val="es-ES_tradnl"/>
              </w:rPr>
              <w:t xml:space="preserve">ingresada por los auditores al SICA. </w:t>
            </w:r>
          </w:p>
          <w:p w:rsidR="00CF5512" w:rsidRPr="00600ED9" w:rsidRDefault="00CF5512" w:rsidP="00FB1954">
            <w:pPr>
              <w:pStyle w:val="Normaltabletext"/>
              <w:spacing w:after="0"/>
              <w:rPr>
                <w:lang w:val="es-ES_tradnl"/>
              </w:rPr>
            </w:pPr>
          </w:p>
          <w:p w:rsidR="00AE6FF8" w:rsidRPr="00600ED9" w:rsidRDefault="006E7EEB" w:rsidP="00FB1954">
            <w:pPr>
              <w:pStyle w:val="Normaltabletext"/>
              <w:spacing w:after="0"/>
              <w:rPr>
                <w:lang w:val="es-ES_tradnl"/>
              </w:rPr>
            </w:pPr>
            <w:r w:rsidRPr="00600ED9">
              <w:rPr>
                <w:lang w:val="es-ES_tradnl"/>
              </w:rPr>
              <w:t>Los procedimiento de control de calidad existentes, en la medida que no se ajustan a los estándares de la</w:t>
            </w:r>
            <w:r w:rsidR="00F576EB" w:rsidRPr="00600ED9">
              <w:rPr>
                <w:lang w:val="es-ES_tradnl"/>
              </w:rPr>
              <w:t xml:space="preserve"> ISSAI 40, </w:t>
            </w:r>
            <w:r w:rsidRPr="00600ED9">
              <w:rPr>
                <w:lang w:val="es-ES_tradnl"/>
              </w:rPr>
              <w:t>no consideran</w:t>
            </w:r>
            <w:r w:rsidR="00AE6FF8" w:rsidRPr="00600ED9">
              <w:rPr>
                <w:lang w:val="es-ES_tradnl"/>
              </w:rPr>
              <w:t>:</w:t>
            </w:r>
          </w:p>
          <w:p w:rsidR="00CF5512" w:rsidRPr="00600ED9" w:rsidRDefault="00CF5512" w:rsidP="00FB1954">
            <w:pPr>
              <w:pStyle w:val="Normaltabletext"/>
              <w:spacing w:after="0"/>
              <w:rPr>
                <w:lang w:val="es-ES_tradnl"/>
              </w:rPr>
            </w:pPr>
          </w:p>
          <w:p w:rsidR="00AE6FF8" w:rsidRPr="00600ED9" w:rsidRDefault="00AE6FF8" w:rsidP="00233205">
            <w:pPr>
              <w:pStyle w:val="Normaltabletext"/>
              <w:numPr>
                <w:ilvl w:val="0"/>
                <w:numId w:val="23"/>
              </w:numPr>
              <w:spacing w:after="0"/>
              <w:ind w:left="533"/>
              <w:rPr>
                <w:lang w:val="es-ES_tradnl"/>
              </w:rPr>
            </w:pPr>
            <w:r w:rsidRPr="00600ED9">
              <w:rPr>
                <w:lang w:val="es-ES_tradnl"/>
              </w:rPr>
              <w:t xml:space="preserve">La evaluación interna del sistema de control de la calidad, a través de la revisión de una muestra del trabajo de auditoría. </w:t>
            </w:r>
          </w:p>
          <w:p w:rsidR="00AE6FF8" w:rsidRPr="00600ED9" w:rsidRDefault="00AE6FF8" w:rsidP="00233205">
            <w:pPr>
              <w:pStyle w:val="Normaltabletext"/>
              <w:numPr>
                <w:ilvl w:val="0"/>
                <w:numId w:val="23"/>
              </w:numPr>
              <w:spacing w:after="0"/>
              <w:ind w:left="533"/>
              <w:rPr>
                <w:lang w:val="es-ES_tradnl"/>
              </w:rPr>
            </w:pPr>
            <w:r w:rsidRPr="00600ED9">
              <w:rPr>
                <w:lang w:val="es-ES_tradnl"/>
              </w:rPr>
              <w:t>La</w:t>
            </w:r>
            <w:r w:rsidR="006E7EEB" w:rsidRPr="00600ED9">
              <w:rPr>
                <w:lang w:val="es-ES_tradnl"/>
              </w:rPr>
              <w:t xml:space="preserve"> revisión independiente del trabajo de auditoría, por parte de profesionales que no haya</w:t>
            </w:r>
            <w:r w:rsidRPr="00600ED9">
              <w:rPr>
                <w:lang w:val="es-ES_tradnl"/>
              </w:rPr>
              <w:t>n</w:t>
            </w:r>
            <w:r w:rsidR="006E7EEB" w:rsidRPr="00600ED9">
              <w:rPr>
                <w:lang w:val="es-ES_tradnl"/>
              </w:rPr>
              <w:t xml:space="preserve"> formado parte  del equipo de auditoría</w:t>
            </w:r>
          </w:p>
          <w:p w:rsidR="006E7EEB" w:rsidRPr="00600ED9" w:rsidRDefault="00AE6FF8" w:rsidP="00233205">
            <w:pPr>
              <w:pStyle w:val="Normaltabletext"/>
              <w:numPr>
                <w:ilvl w:val="0"/>
                <w:numId w:val="23"/>
              </w:numPr>
              <w:spacing w:after="0"/>
              <w:ind w:left="533"/>
              <w:rPr>
                <w:lang w:val="es-ES_tradnl"/>
              </w:rPr>
            </w:pPr>
            <w:r w:rsidRPr="00600ED9">
              <w:rPr>
                <w:lang w:val="es-ES_tradnl"/>
              </w:rPr>
              <w:t xml:space="preserve">El requerimiento </w:t>
            </w:r>
            <w:r w:rsidR="006E7EEB" w:rsidRPr="00600ED9">
              <w:rPr>
                <w:lang w:val="es-ES_tradnl"/>
              </w:rPr>
              <w:t>de informa</w:t>
            </w:r>
            <w:r w:rsidRPr="00600ED9">
              <w:rPr>
                <w:lang w:val="es-ES_tradnl"/>
              </w:rPr>
              <w:t>r al Contralor General los resu</w:t>
            </w:r>
            <w:r w:rsidR="006E7EEB" w:rsidRPr="00600ED9">
              <w:rPr>
                <w:lang w:val="es-ES_tradnl"/>
              </w:rPr>
              <w:t>ltados del monitoreo del sistema de control de calidad.</w:t>
            </w:r>
          </w:p>
          <w:p w:rsidR="00CF5512" w:rsidRPr="00600ED9" w:rsidRDefault="00CF5512" w:rsidP="00500FE4">
            <w:pPr>
              <w:pStyle w:val="Normaltabletext"/>
              <w:spacing w:after="0"/>
              <w:ind w:left="533"/>
              <w:rPr>
                <w:lang w:val="es-ES_tradnl"/>
              </w:rPr>
            </w:pPr>
          </w:p>
          <w:p w:rsidR="00F576EB" w:rsidRPr="00600ED9" w:rsidRDefault="00AE6FF8" w:rsidP="00FB1954">
            <w:pPr>
              <w:pStyle w:val="Normaltabletext"/>
              <w:spacing w:after="0"/>
              <w:rPr>
                <w:lang w:val="es-ES_tradnl"/>
              </w:rPr>
            </w:pPr>
            <w:r w:rsidRPr="00600ED9">
              <w:rPr>
                <w:lang w:val="es-ES_tradnl"/>
              </w:rPr>
              <w:t>El sistema de control de calidad de l</w:t>
            </w:r>
            <w:r w:rsidR="00F576EB" w:rsidRPr="00600ED9">
              <w:rPr>
                <w:lang w:val="es-ES_tradnl"/>
              </w:rPr>
              <w:t xml:space="preserve">a CGRC no ha </w:t>
            </w:r>
            <w:r w:rsidRPr="00600ED9">
              <w:rPr>
                <w:lang w:val="es-ES_tradnl"/>
              </w:rPr>
              <w:t>sido sometido</w:t>
            </w:r>
            <w:r w:rsidR="00F576EB" w:rsidRPr="00600ED9">
              <w:rPr>
                <w:lang w:val="es-ES_tradnl"/>
              </w:rPr>
              <w:t xml:space="preserve"> una revisión entre pares </w:t>
            </w:r>
            <w:r w:rsidRPr="00600ED9">
              <w:rPr>
                <w:lang w:val="es-ES_tradnl"/>
              </w:rPr>
              <w:t xml:space="preserve">por parte de  </w:t>
            </w:r>
            <w:r w:rsidR="00F576EB" w:rsidRPr="00600ED9">
              <w:rPr>
                <w:lang w:val="es-ES_tradnl"/>
              </w:rPr>
              <w:t xml:space="preserve">otra Contraloría, </w:t>
            </w:r>
            <w:r w:rsidRPr="00600ED9">
              <w:rPr>
                <w:lang w:val="es-ES_tradnl"/>
              </w:rPr>
              <w:t>u otro organismo competente</w:t>
            </w:r>
            <w:r w:rsidR="00F576EB" w:rsidRPr="00600ED9">
              <w:rPr>
                <w:lang w:val="es-ES_tradnl"/>
              </w:rPr>
              <w:t>.</w:t>
            </w:r>
          </w:p>
          <w:p w:rsidR="00CF5512" w:rsidRPr="00600ED9" w:rsidRDefault="00CF5512" w:rsidP="00FB1954">
            <w:pPr>
              <w:pStyle w:val="Normaltabletext"/>
              <w:spacing w:after="0"/>
              <w:rPr>
                <w:lang w:val="es-ES_tradnl"/>
              </w:rPr>
            </w:pPr>
          </w:p>
        </w:tc>
      </w:tr>
    </w:tbl>
    <w:p w:rsidR="003B04AB" w:rsidRPr="00600ED9" w:rsidRDefault="003B04AB" w:rsidP="00FB1954">
      <w:pPr>
        <w:spacing w:after="0" w:line="240" w:lineRule="auto"/>
        <w:jc w:val="both"/>
        <w:rPr>
          <w:b/>
          <w:sz w:val="20"/>
          <w:szCs w:val="20"/>
        </w:rPr>
      </w:pPr>
    </w:p>
    <w:p w:rsidR="0066134C" w:rsidRPr="00600ED9" w:rsidRDefault="003B04AB" w:rsidP="00FB1954">
      <w:pPr>
        <w:pStyle w:val="NoSpacing"/>
        <w:ind w:left="720"/>
        <w:rPr>
          <w:lang w:val="es-ES_tradnl"/>
        </w:rPr>
      </w:pPr>
      <w:r w:rsidRPr="00600ED9">
        <w:rPr>
          <w:b/>
          <w:bCs/>
          <w:smallCaps/>
          <w:lang w:val="es-ES_tradnl"/>
        </w:rPr>
        <w:t>Recomendaciones:</w:t>
      </w:r>
      <w:r w:rsidR="00B03F60" w:rsidRPr="00600ED9">
        <w:rPr>
          <w:b/>
          <w:bCs/>
          <w:smallCaps/>
          <w:lang w:val="es-ES_tradnl"/>
        </w:rPr>
        <w:t xml:space="preserve"> </w:t>
      </w:r>
      <w:r w:rsidR="005120A2" w:rsidRPr="00600ED9">
        <w:rPr>
          <w:lang w:val="es-ES_tradnl"/>
        </w:rPr>
        <w:t>Consultar el</w:t>
      </w:r>
      <w:r w:rsidR="00CA3E61" w:rsidRPr="00600ED9">
        <w:rPr>
          <w:lang w:val="es-ES_tradnl"/>
        </w:rPr>
        <w:t xml:space="preserve"> Anexo </w:t>
      </w:r>
      <w:r w:rsidR="004F78BD" w:rsidRPr="00600ED9">
        <w:rPr>
          <w:lang w:val="es-ES_tradnl"/>
        </w:rPr>
        <w:t>A</w:t>
      </w:r>
      <w:r w:rsidR="00CA3E61" w:rsidRPr="00600ED9">
        <w:rPr>
          <w:lang w:val="es-ES_tradnl"/>
        </w:rPr>
        <w:t xml:space="preserve">: Plan de Acción, </w:t>
      </w:r>
      <w:r w:rsidR="004F78BD" w:rsidRPr="00600ED9">
        <w:rPr>
          <w:lang w:val="es-ES_tradnl"/>
        </w:rPr>
        <w:t xml:space="preserve">recomendaciones </w:t>
      </w:r>
      <w:r w:rsidR="00710AA3" w:rsidRPr="00600ED9">
        <w:rPr>
          <w:lang w:val="es-ES_tradnl"/>
        </w:rPr>
        <w:t>No. 11 y 12</w:t>
      </w:r>
      <w:r w:rsidR="00CA3E61" w:rsidRPr="00600ED9">
        <w:rPr>
          <w:lang w:val="es-ES_tradnl"/>
        </w:rPr>
        <w:t>.</w:t>
      </w:r>
    </w:p>
    <w:p w:rsidR="0066134C" w:rsidRPr="00600ED9" w:rsidRDefault="0066134C" w:rsidP="00FB1954">
      <w:pPr>
        <w:pStyle w:val="NoSpacing"/>
        <w:ind w:left="720"/>
        <w:rPr>
          <w:sz w:val="24"/>
          <w:lang w:val="es-ES_tradnl"/>
        </w:rPr>
      </w:pPr>
    </w:p>
    <w:p w:rsidR="00CF5512" w:rsidRPr="00600ED9" w:rsidRDefault="00CF5512" w:rsidP="00FB1954">
      <w:pPr>
        <w:pStyle w:val="NoSpacing"/>
        <w:ind w:left="720"/>
        <w:rPr>
          <w:sz w:val="24"/>
          <w:lang w:val="es-ES_tradnl"/>
        </w:rPr>
      </w:pPr>
    </w:p>
    <w:p w:rsidR="00CF5512" w:rsidRPr="00600ED9" w:rsidRDefault="00CF5512" w:rsidP="00FB1954">
      <w:pPr>
        <w:pStyle w:val="NoSpacing"/>
        <w:ind w:left="720"/>
        <w:rPr>
          <w:sz w:val="24"/>
          <w:lang w:val="es-ES_tradnl"/>
        </w:rPr>
      </w:pPr>
    </w:p>
    <w:p w:rsidR="00CF5512" w:rsidRPr="00600ED9" w:rsidRDefault="00CF5512" w:rsidP="00FB1954">
      <w:pPr>
        <w:pStyle w:val="NoSpacing"/>
        <w:ind w:left="720"/>
        <w:rPr>
          <w:sz w:val="24"/>
          <w:lang w:val="es-ES_tradnl"/>
        </w:rPr>
      </w:pPr>
    </w:p>
    <w:p w:rsidR="00720E42" w:rsidRPr="00600ED9" w:rsidRDefault="00153562" w:rsidP="00FB1954">
      <w:pPr>
        <w:pStyle w:val="Heading2"/>
        <w:spacing w:before="0" w:line="240" w:lineRule="auto"/>
      </w:pPr>
      <w:bookmarkStart w:id="25" w:name="_Toc295932917"/>
      <w:r w:rsidRPr="00600ED9">
        <w:lastRenderedPageBreak/>
        <w:t xml:space="preserve">EFS </w:t>
      </w:r>
      <w:r w:rsidR="00720E42" w:rsidRPr="00600ED9">
        <w:t>10 – Aseguramiento de la Calidad de los Procesos de Auditoría</w:t>
      </w:r>
      <w:bookmarkEnd w:id="25"/>
    </w:p>
    <w:p w:rsidR="00342BFF" w:rsidRPr="00600ED9" w:rsidRDefault="00342BFF" w:rsidP="00FB1954">
      <w:pPr>
        <w:tabs>
          <w:tab w:val="right" w:leader="dot" w:pos="8640"/>
        </w:tabs>
        <w:spacing w:after="0" w:line="240" w:lineRule="auto"/>
        <w:ind w:left="720"/>
        <w:rPr>
          <w:rFonts w:eastAsia="Calibri" w:cs="Times New Roman"/>
          <w:b/>
        </w:rPr>
      </w:pPr>
    </w:p>
    <w:tbl>
      <w:tblPr>
        <w:tblW w:w="8820" w:type="dxa"/>
        <w:tblInd w:w="720" w:type="dxa"/>
        <w:tblLayout w:type="fixed"/>
        <w:tblCellMar>
          <w:left w:w="70" w:type="dxa"/>
          <w:right w:w="70" w:type="dxa"/>
        </w:tblCellMar>
        <w:tblLook w:val="04A0" w:firstRow="1" w:lastRow="0" w:firstColumn="1" w:lastColumn="0" w:noHBand="0" w:noVBand="1"/>
      </w:tblPr>
      <w:tblGrid>
        <w:gridCol w:w="2421"/>
        <w:gridCol w:w="1257"/>
        <w:gridCol w:w="1257"/>
        <w:gridCol w:w="1257"/>
        <w:gridCol w:w="1285"/>
        <w:gridCol w:w="160"/>
        <w:gridCol w:w="1183"/>
      </w:tblGrid>
      <w:tr w:rsidR="00F07F86" w:rsidRPr="00600ED9" w:rsidTr="00A65D0A">
        <w:trPr>
          <w:trHeight w:val="255"/>
        </w:trPr>
        <w:tc>
          <w:tcPr>
            <w:tcW w:w="2421" w:type="dxa"/>
            <w:tcBorders>
              <w:top w:val="nil"/>
              <w:left w:val="nil"/>
              <w:bottom w:val="nil"/>
              <w:right w:val="nil"/>
            </w:tcBorders>
            <w:shd w:val="clear" w:color="auto" w:fill="auto"/>
            <w:noWrap/>
            <w:vAlign w:val="bottom"/>
            <w:hideMark/>
          </w:tcPr>
          <w:p w:rsidR="00F07F86" w:rsidRPr="00600ED9" w:rsidRDefault="00F07F86" w:rsidP="00FB1954">
            <w:pPr>
              <w:pStyle w:val="NoSpacing"/>
              <w:tabs>
                <w:tab w:val="center" w:pos="4680"/>
                <w:tab w:val="right" w:pos="9360"/>
              </w:tabs>
              <w:jc w:val="center"/>
              <w:rPr>
                <w:sz w:val="20"/>
                <w:lang w:val="es-ES_tradnl"/>
              </w:rPr>
            </w:pPr>
          </w:p>
        </w:tc>
        <w:tc>
          <w:tcPr>
            <w:tcW w:w="5056" w:type="dxa"/>
            <w:gridSpan w:val="4"/>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F07F86" w:rsidRPr="00600ED9" w:rsidRDefault="00F07F86" w:rsidP="00FB1954">
            <w:pPr>
              <w:pStyle w:val="NoSpacing"/>
              <w:jc w:val="center"/>
              <w:rPr>
                <w:b/>
                <w:bCs/>
                <w:sz w:val="20"/>
                <w:lang w:val="es-ES_tradnl"/>
              </w:rPr>
            </w:pPr>
            <w:r w:rsidRPr="00600ED9">
              <w:rPr>
                <w:b/>
                <w:bCs/>
                <w:sz w:val="20"/>
                <w:lang w:val="es-ES_tradnl"/>
              </w:rPr>
              <w:t>Dimensiones Evaluadas</w:t>
            </w:r>
          </w:p>
        </w:tc>
        <w:tc>
          <w:tcPr>
            <w:tcW w:w="160" w:type="dxa"/>
            <w:tcBorders>
              <w:top w:val="nil"/>
              <w:left w:val="nil"/>
              <w:bottom w:val="nil"/>
              <w:right w:val="nil"/>
            </w:tcBorders>
            <w:shd w:val="clear" w:color="auto" w:fill="auto"/>
            <w:noWrap/>
            <w:vAlign w:val="bottom"/>
            <w:hideMark/>
          </w:tcPr>
          <w:p w:rsidR="00F07F86" w:rsidRPr="00600ED9" w:rsidRDefault="00F07F86" w:rsidP="00FB1954">
            <w:pPr>
              <w:pStyle w:val="NoSpacing"/>
              <w:tabs>
                <w:tab w:val="center" w:pos="4680"/>
                <w:tab w:val="right" w:pos="9360"/>
              </w:tabs>
              <w:jc w:val="center"/>
              <w:rPr>
                <w:sz w:val="20"/>
                <w:lang w:val="es-ES_tradnl"/>
              </w:rPr>
            </w:pPr>
          </w:p>
        </w:tc>
        <w:tc>
          <w:tcPr>
            <w:tcW w:w="1183" w:type="dxa"/>
            <w:vMerge w:val="restart"/>
            <w:tcBorders>
              <w:top w:val="single" w:sz="4" w:space="0" w:color="auto"/>
              <w:left w:val="single" w:sz="4" w:space="0" w:color="auto"/>
              <w:right w:val="single" w:sz="4" w:space="0" w:color="auto"/>
            </w:tcBorders>
            <w:shd w:val="clear" w:color="000000" w:fill="95B3D7"/>
            <w:vAlign w:val="center"/>
            <w:hideMark/>
          </w:tcPr>
          <w:p w:rsidR="00F07F86" w:rsidRPr="00600ED9" w:rsidRDefault="00F07F86" w:rsidP="00FB1954">
            <w:pPr>
              <w:pStyle w:val="NoSpacing"/>
              <w:jc w:val="center"/>
              <w:rPr>
                <w:b/>
                <w:bCs/>
                <w:sz w:val="20"/>
                <w:lang w:val="es-ES_tradnl"/>
              </w:rPr>
            </w:pPr>
            <w:r w:rsidRPr="00600ED9">
              <w:rPr>
                <w:b/>
                <w:bCs/>
                <w:sz w:val="20"/>
                <w:lang w:val="es-ES_tradnl"/>
              </w:rPr>
              <w:t>Puntuación General</w:t>
            </w:r>
          </w:p>
        </w:tc>
      </w:tr>
      <w:tr w:rsidR="00F07F86" w:rsidRPr="00600ED9" w:rsidTr="00A65D0A">
        <w:trPr>
          <w:trHeight w:val="390"/>
        </w:trPr>
        <w:tc>
          <w:tcPr>
            <w:tcW w:w="2421"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F07F86" w:rsidRPr="00600ED9" w:rsidRDefault="00F07F86" w:rsidP="00FB1954">
            <w:pPr>
              <w:pStyle w:val="NoSpacing"/>
              <w:jc w:val="center"/>
              <w:rPr>
                <w:b/>
                <w:bCs/>
                <w:sz w:val="20"/>
                <w:lang w:val="es-ES_tradnl"/>
              </w:rPr>
            </w:pPr>
            <w:r w:rsidRPr="00600ED9">
              <w:rPr>
                <w:b/>
                <w:bCs/>
                <w:sz w:val="20"/>
                <w:lang w:val="es-ES_tradnl"/>
              </w:rPr>
              <w:t>Indicadores</w:t>
            </w:r>
          </w:p>
        </w:tc>
        <w:tc>
          <w:tcPr>
            <w:tcW w:w="1257" w:type="dxa"/>
            <w:tcBorders>
              <w:top w:val="nil"/>
              <w:left w:val="nil"/>
              <w:bottom w:val="single" w:sz="4" w:space="0" w:color="auto"/>
              <w:right w:val="single" w:sz="4" w:space="0" w:color="auto"/>
            </w:tcBorders>
            <w:shd w:val="clear" w:color="000000" w:fill="D8D8D8"/>
            <w:noWrap/>
            <w:hideMark/>
          </w:tcPr>
          <w:p w:rsidR="00F07F86" w:rsidRPr="00600ED9" w:rsidRDefault="00342BFF" w:rsidP="00FB1954">
            <w:pPr>
              <w:pStyle w:val="NoSpacing"/>
              <w:jc w:val="center"/>
              <w:rPr>
                <w:b/>
                <w:bCs/>
                <w:w w:val="90"/>
                <w:sz w:val="20"/>
                <w:lang w:val="es-ES_tradnl"/>
              </w:rPr>
            </w:pPr>
            <w:r w:rsidRPr="00600ED9">
              <w:rPr>
                <w:b/>
                <w:bCs/>
                <w:w w:val="90"/>
                <w:sz w:val="20"/>
                <w:lang w:val="es-ES_tradnl"/>
              </w:rPr>
              <w:t>(i)</w:t>
            </w:r>
          </w:p>
          <w:p w:rsidR="00F07F86" w:rsidRPr="00600ED9" w:rsidRDefault="00F07F86" w:rsidP="00FB1954">
            <w:pPr>
              <w:pStyle w:val="NoSpacing"/>
              <w:jc w:val="center"/>
              <w:rPr>
                <w:b/>
                <w:bCs/>
                <w:sz w:val="20"/>
                <w:lang w:val="es-ES_tradnl"/>
              </w:rPr>
            </w:pPr>
            <w:r w:rsidRPr="00600ED9">
              <w:rPr>
                <w:w w:val="90"/>
                <w:sz w:val="20"/>
                <w:lang w:val="es-ES_tradnl"/>
              </w:rPr>
              <w:t>Aseguramiento de la Calidad de la Auditoría Financiera</w:t>
            </w:r>
          </w:p>
        </w:tc>
        <w:tc>
          <w:tcPr>
            <w:tcW w:w="1257" w:type="dxa"/>
            <w:tcBorders>
              <w:top w:val="nil"/>
              <w:left w:val="nil"/>
              <w:bottom w:val="single" w:sz="4" w:space="0" w:color="auto"/>
              <w:right w:val="single" w:sz="4" w:space="0" w:color="auto"/>
            </w:tcBorders>
            <w:shd w:val="clear" w:color="000000" w:fill="D8D8D8"/>
            <w:noWrap/>
            <w:hideMark/>
          </w:tcPr>
          <w:p w:rsidR="00F07F86" w:rsidRPr="00600ED9" w:rsidRDefault="00342BFF" w:rsidP="00FB1954">
            <w:pPr>
              <w:pStyle w:val="NoSpacing"/>
              <w:jc w:val="center"/>
              <w:rPr>
                <w:b/>
                <w:bCs/>
                <w:w w:val="90"/>
                <w:sz w:val="20"/>
                <w:lang w:val="es-ES_tradnl"/>
              </w:rPr>
            </w:pPr>
            <w:r w:rsidRPr="00600ED9">
              <w:rPr>
                <w:b/>
                <w:bCs/>
                <w:w w:val="90"/>
                <w:sz w:val="20"/>
                <w:lang w:val="es-ES_tradnl"/>
              </w:rPr>
              <w:t>(ii)</w:t>
            </w:r>
          </w:p>
          <w:p w:rsidR="00F07F86" w:rsidRPr="00600ED9" w:rsidRDefault="00F07F86" w:rsidP="00FB1954">
            <w:pPr>
              <w:pStyle w:val="NoSpacing"/>
              <w:jc w:val="center"/>
              <w:rPr>
                <w:b/>
                <w:bCs/>
                <w:sz w:val="20"/>
                <w:lang w:val="es-ES_tradnl"/>
              </w:rPr>
            </w:pPr>
            <w:r w:rsidRPr="00600ED9">
              <w:rPr>
                <w:w w:val="90"/>
                <w:sz w:val="20"/>
                <w:lang w:val="es-ES_tradnl"/>
              </w:rPr>
              <w:t>Aseguramiento de la Calidad de la Auditoría de Cumplimiento</w:t>
            </w:r>
          </w:p>
        </w:tc>
        <w:tc>
          <w:tcPr>
            <w:tcW w:w="1257" w:type="dxa"/>
            <w:tcBorders>
              <w:top w:val="nil"/>
              <w:left w:val="nil"/>
              <w:bottom w:val="single" w:sz="4" w:space="0" w:color="auto"/>
              <w:right w:val="single" w:sz="4" w:space="0" w:color="auto"/>
            </w:tcBorders>
            <w:shd w:val="clear" w:color="000000" w:fill="D8D8D8"/>
            <w:noWrap/>
            <w:hideMark/>
          </w:tcPr>
          <w:p w:rsidR="00F07F86" w:rsidRPr="00600ED9" w:rsidRDefault="00342BFF" w:rsidP="00FB1954">
            <w:pPr>
              <w:pStyle w:val="NoSpacing"/>
              <w:jc w:val="center"/>
              <w:rPr>
                <w:b/>
                <w:bCs/>
                <w:w w:val="90"/>
                <w:sz w:val="20"/>
                <w:lang w:val="es-ES_tradnl"/>
              </w:rPr>
            </w:pPr>
            <w:r w:rsidRPr="00600ED9">
              <w:rPr>
                <w:b/>
                <w:bCs/>
                <w:w w:val="90"/>
                <w:sz w:val="20"/>
                <w:lang w:val="es-ES_tradnl"/>
              </w:rPr>
              <w:t>(iii)</w:t>
            </w:r>
          </w:p>
          <w:p w:rsidR="00F07F86" w:rsidRPr="00600ED9" w:rsidRDefault="00F07F86" w:rsidP="00FB1954">
            <w:pPr>
              <w:pStyle w:val="NoSpacing"/>
              <w:jc w:val="center"/>
              <w:rPr>
                <w:b/>
                <w:bCs/>
                <w:sz w:val="20"/>
                <w:lang w:val="es-ES_tradnl"/>
              </w:rPr>
            </w:pPr>
            <w:r w:rsidRPr="00600ED9">
              <w:rPr>
                <w:w w:val="90"/>
                <w:sz w:val="20"/>
                <w:lang w:val="es-ES_tradnl"/>
              </w:rPr>
              <w:t>Aseguramiento de la Calidad de la Auditoría de Desempeño</w:t>
            </w:r>
          </w:p>
        </w:tc>
        <w:tc>
          <w:tcPr>
            <w:tcW w:w="1285" w:type="dxa"/>
            <w:tcBorders>
              <w:top w:val="nil"/>
              <w:left w:val="nil"/>
              <w:bottom w:val="single" w:sz="4" w:space="0" w:color="auto"/>
              <w:right w:val="single" w:sz="4" w:space="0" w:color="auto"/>
            </w:tcBorders>
            <w:shd w:val="clear" w:color="000000" w:fill="D8D8D8"/>
            <w:noWrap/>
            <w:hideMark/>
          </w:tcPr>
          <w:p w:rsidR="00F07F86" w:rsidRPr="00600ED9" w:rsidRDefault="00342BFF" w:rsidP="00FB1954">
            <w:pPr>
              <w:pStyle w:val="NoSpacing"/>
              <w:jc w:val="center"/>
              <w:rPr>
                <w:b/>
                <w:bCs/>
                <w:w w:val="90"/>
                <w:sz w:val="20"/>
                <w:lang w:val="es-ES_tradnl"/>
              </w:rPr>
            </w:pPr>
            <w:r w:rsidRPr="00600ED9">
              <w:rPr>
                <w:b/>
                <w:bCs/>
                <w:w w:val="90"/>
                <w:sz w:val="20"/>
                <w:lang w:val="es-ES_tradnl"/>
              </w:rPr>
              <w:t>(iv)</w:t>
            </w:r>
          </w:p>
          <w:p w:rsidR="00F07F86" w:rsidRPr="00600ED9" w:rsidRDefault="00F07F86" w:rsidP="00FB1954">
            <w:pPr>
              <w:pStyle w:val="NoSpacing"/>
              <w:jc w:val="center"/>
              <w:rPr>
                <w:b/>
                <w:bCs/>
                <w:sz w:val="20"/>
                <w:lang w:val="es-ES_tradnl"/>
              </w:rPr>
            </w:pPr>
            <w:r w:rsidRPr="00600ED9">
              <w:rPr>
                <w:w w:val="90"/>
                <w:sz w:val="20"/>
                <w:lang w:val="es-ES_tradnl"/>
              </w:rPr>
              <w:t>Aseguramiento de la Calidad de las auditorías Subcontratadas</w:t>
            </w:r>
          </w:p>
        </w:tc>
        <w:tc>
          <w:tcPr>
            <w:tcW w:w="160" w:type="dxa"/>
            <w:tcBorders>
              <w:top w:val="nil"/>
              <w:left w:val="nil"/>
              <w:bottom w:val="nil"/>
              <w:right w:val="nil"/>
            </w:tcBorders>
            <w:shd w:val="clear" w:color="auto" w:fill="auto"/>
            <w:noWrap/>
            <w:hideMark/>
          </w:tcPr>
          <w:p w:rsidR="00F07F86" w:rsidRPr="00600ED9" w:rsidRDefault="00F07F86" w:rsidP="00FB1954">
            <w:pPr>
              <w:pStyle w:val="NoSpacing"/>
              <w:tabs>
                <w:tab w:val="center" w:pos="4680"/>
                <w:tab w:val="right" w:pos="9360"/>
              </w:tabs>
              <w:jc w:val="center"/>
              <w:rPr>
                <w:sz w:val="20"/>
                <w:lang w:val="es-ES_tradnl"/>
              </w:rPr>
            </w:pPr>
          </w:p>
        </w:tc>
        <w:tc>
          <w:tcPr>
            <w:tcW w:w="1183" w:type="dxa"/>
            <w:vMerge/>
            <w:tcBorders>
              <w:left w:val="single" w:sz="4" w:space="0" w:color="auto"/>
              <w:bottom w:val="single" w:sz="4" w:space="0" w:color="auto"/>
              <w:right w:val="single" w:sz="4" w:space="0" w:color="auto"/>
            </w:tcBorders>
            <w:hideMark/>
          </w:tcPr>
          <w:p w:rsidR="00F07F86" w:rsidRPr="00600ED9" w:rsidRDefault="00F07F86" w:rsidP="00FB1954">
            <w:pPr>
              <w:pStyle w:val="NoSpacing"/>
              <w:tabs>
                <w:tab w:val="center" w:pos="4680"/>
                <w:tab w:val="right" w:pos="9360"/>
              </w:tabs>
              <w:jc w:val="center"/>
              <w:rPr>
                <w:b/>
                <w:bCs/>
                <w:sz w:val="20"/>
                <w:lang w:val="es-ES_tradnl"/>
              </w:rPr>
            </w:pPr>
          </w:p>
        </w:tc>
      </w:tr>
      <w:tr w:rsidR="00FE3CDF" w:rsidRPr="00600ED9" w:rsidTr="00F07F86">
        <w:trPr>
          <w:trHeight w:val="510"/>
        </w:trPr>
        <w:tc>
          <w:tcPr>
            <w:tcW w:w="2421" w:type="dxa"/>
            <w:tcBorders>
              <w:top w:val="nil"/>
              <w:left w:val="single" w:sz="4" w:space="0" w:color="auto"/>
              <w:bottom w:val="single" w:sz="4" w:space="0" w:color="auto"/>
              <w:right w:val="single" w:sz="4" w:space="0" w:color="auto"/>
            </w:tcBorders>
            <w:shd w:val="clear" w:color="auto" w:fill="auto"/>
            <w:vAlign w:val="center"/>
            <w:hideMark/>
          </w:tcPr>
          <w:p w:rsidR="00FE3CDF" w:rsidRPr="00600ED9" w:rsidRDefault="00FE3CDF" w:rsidP="00FB1954">
            <w:pPr>
              <w:pStyle w:val="NoSpacing"/>
              <w:jc w:val="center"/>
              <w:rPr>
                <w:b/>
                <w:bCs/>
                <w:sz w:val="20"/>
                <w:lang w:val="es-ES_tradnl"/>
              </w:rPr>
            </w:pPr>
            <w:r w:rsidRPr="00600ED9">
              <w:rPr>
                <w:rFonts w:eastAsia="Calibri" w:cs="Times New Roman"/>
                <w:b/>
                <w:sz w:val="20"/>
                <w:lang w:val="es-ES_tradnl"/>
              </w:rPr>
              <w:t>EFS 10 – Aseguramiento de la Calidad de los Procesos de Auditoría</w:t>
            </w:r>
          </w:p>
        </w:tc>
        <w:tc>
          <w:tcPr>
            <w:tcW w:w="1257" w:type="dxa"/>
            <w:tcBorders>
              <w:top w:val="nil"/>
              <w:left w:val="nil"/>
              <w:bottom w:val="single" w:sz="4" w:space="0" w:color="auto"/>
              <w:right w:val="single" w:sz="4" w:space="0" w:color="auto"/>
            </w:tcBorders>
            <w:shd w:val="clear" w:color="auto" w:fill="auto"/>
            <w:noWrap/>
            <w:vAlign w:val="center"/>
          </w:tcPr>
          <w:p w:rsidR="00FE3CDF" w:rsidRPr="00600ED9" w:rsidRDefault="00FE3CDF" w:rsidP="00FB1954">
            <w:pPr>
              <w:pStyle w:val="NoSpacing"/>
              <w:jc w:val="center"/>
              <w:rPr>
                <w:b/>
                <w:bCs/>
                <w:sz w:val="20"/>
                <w:lang w:val="es-ES_tradnl"/>
              </w:rPr>
            </w:pPr>
            <w:r w:rsidRPr="00600ED9">
              <w:rPr>
                <w:b/>
                <w:bCs/>
                <w:sz w:val="20"/>
                <w:lang w:val="es-ES_tradnl"/>
              </w:rPr>
              <w:t>0</w:t>
            </w:r>
          </w:p>
        </w:tc>
        <w:tc>
          <w:tcPr>
            <w:tcW w:w="1257" w:type="dxa"/>
            <w:tcBorders>
              <w:top w:val="nil"/>
              <w:left w:val="nil"/>
              <w:bottom w:val="single" w:sz="4" w:space="0" w:color="auto"/>
              <w:right w:val="single" w:sz="4" w:space="0" w:color="auto"/>
            </w:tcBorders>
            <w:shd w:val="clear" w:color="auto" w:fill="auto"/>
            <w:noWrap/>
            <w:vAlign w:val="center"/>
          </w:tcPr>
          <w:p w:rsidR="00FE3CDF" w:rsidRPr="00600ED9" w:rsidRDefault="00FE3CDF" w:rsidP="00FB1954">
            <w:pPr>
              <w:pStyle w:val="NoSpacing"/>
              <w:jc w:val="center"/>
              <w:rPr>
                <w:b/>
                <w:bCs/>
                <w:sz w:val="20"/>
                <w:lang w:val="es-ES_tradnl"/>
              </w:rPr>
            </w:pPr>
            <w:r w:rsidRPr="00600ED9">
              <w:rPr>
                <w:b/>
                <w:bCs/>
                <w:sz w:val="20"/>
                <w:lang w:val="es-ES_tradnl"/>
              </w:rPr>
              <w:t>0</w:t>
            </w:r>
          </w:p>
        </w:tc>
        <w:tc>
          <w:tcPr>
            <w:tcW w:w="1257" w:type="dxa"/>
            <w:tcBorders>
              <w:top w:val="nil"/>
              <w:left w:val="nil"/>
              <w:bottom w:val="single" w:sz="4" w:space="0" w:color="auto"/>
              <w:right w:val="single" w:sz="4" w:space="0" w:color="auto"/>
            </w:tcBorders>
            <w:shd w:val="clear" w:color="auto" w:fill="auto"/>
            <w:noWrap/>
            <w:vAlign w:val="center"/>
          </w:tcPr>
          <w:p w:rsidR="00FE3CDF" w:rsidRPr="00600ED9" w:rsidRDefault="00FE3CDF" w:rsidP="00FB1954">
            <w:pPr>
              <w:pStyle w:val="NoSpacing"/>
              <w:jc w:val="center"/>
              <w:rPr>
                <w:b/>
                <w:bCs/>
                <w:sz w:val="20"/>
                <w:lang w:val="es-ES_tradnl"/>
              </w:rPr>
            </w:pPr>
            <w:r w:rsidRPr="00600ED9">
              <w:rPr>
                <w:b/>
                <w:bCs/>
                <w:sz w:val="20"/>
                <w:lang w:val="es-ES_tradnl"/>
              </w:rPr>
              <w:t>0</w:t>
            </w:r>
          </w:p>
        </w:tc>
        <w:tc>
          <w:tcPr>
            <w:tcW w:w="1285" w:type="dxa"/>
            <w:tcBorders>
              <w:top w:val="nil"/>
              <w:left w:val="nil"/>
              <w:bottom w:val="single" w:sz="4" w:space="0" w:color="auto"/>
              <w:right w:val="single" w:sz="4" w:space="0" w:color="auto"/>
            </w:tcBorders>
            <w:shd w:val="clear" w:color="auto" w:fill="auto"/>
            <w:noWrap/>
            <w:vAlign w:val="center"/>
          </w:tcPr>
          <w:p w:rsidR="00FE3CDF" w:rsidRPr="00600ED9" w:rsidRDefault="00FE3CDF" w:rsidP="00FB1954">
            <w:pPr>
              <w:pStyle w:val="NoSpacing"/>
              <w:jc w:val="center"/>
              <w:rPr>
                <w:b/>
                <w:bCs/>
                <w:sz w:val="20"/>
                <w:lang w:val="es-ES_tradnl"/>
              </w:rPr>
            </w:pPr>
            <w:r w:rsidRPr="00600ED9">
              <w:rPr>
                <w:b/>
                <w:bCs/>
                <w:sz w:val="20"/>
                <w:lang w:val="es-ES_tradnl"/>
              </w:rPr>
              <w:t>NA</w:t>
            </w:r>
          </w:p>
        </w:tc>
        <w:tc>
          <w:tcPr>
            <w:tcW w:w="160" w:type="dxa"/>
            <w:tcBorders>
              <w:top w:val="nil"/>
              <w:left w:val="nil"/>
              <w:bottom w:val="nil"/>
              <w:right w:val="nil"/>
            </w:tcBorders>
            <w:shd w:val="clear" w:color="auto" w:fill="auto"/>
            <w:noWrap/>
            <w:vAlign w:val="bottom"/>
          </w:tcPr>
          <w:p w:rsidR="00FE3CDF" w:rsidRPr="00600ED9" w:rsidRDefault="00FE3CDF" w:rsidP="00FB1954">
            <w:pPr>
              <w:pStyle w:val="NoSpacing"/>
              <w:tabs>
                <w:tab w:val="center" w:pos="4680"/>
                <w:tab w:val="right" w:pos="9360"/>
              </w:tabs>
              <w:jc w:val="center"/>
              <w:rPr>
                <w:sz w:val="20"/>
                <w:lang w:val="es-ES_tradnl"/>
              </w:rPr>
            </w:pPr>
          </w:p>
        </w:tc>
        <w:tc>
          <w:tcPr>
            <w:tcW w:w="1183" w:type="dxa"/>
            <w:tcBorders>
              <w:top w:val="nil"/>
              <w:left w:val="single" w:sz="4" w:space="0" w:color="auto"/>
              <w:bottom w:val="single" w:sz="4" w:space="0" w:color="auto"/>
              <w:right w:val="single" w:sz="4" w:space="0" w:color="auto"/>
            </w:tcBorders>
            <w:shd w:val="clear" w:color="auto" w:fill="auto"/>
            <w:noWrap/>
            <w:vAlign w:val="center"/>
          </w:tcPr>
          <w:p w:rsidR="00FE3CDF" w:rsidRPr="00600ED9" w:rsidRDefault="00FE3CDF" w:rsidP="00FB1954">
            <w:pPr>
              <w:pStyle w:val="NoSpacing"/>
              <w:jc w:val="center"/>
              <w:rPr>
                <w:b/>
                <w:sz w:val="20"/>
                <w:lang w:val="es-ES_tradnl"/>
              </w:rPr>
            </w:pPr>
            <w:r w:rsidRPr="00600ED9">
              <w:rPr>
                <w:b/>
                <w:sz w:val="20"/>
                <w:lang w:val="es-ES_tradnl"/>
              </w:rPr>
              <w:t>0</w:t>
            </w:r>
          </w:p>
        </w:tc>
      </w:tr>
    </w:tbl>
    <w:p w:rsidR="00500FE4" w:rsidRPr="00600ED9" w:rsidRDefault="00500FE4" w:rsidP="00FB1954">
      <w:pPr>
        <w:spacing w:after="0" w:line="240" w:lineRule="auto"/>
        <w:ind w:left="720"/>
        <w:jc w:val="both"/>
        <w:rPr>
          <w:bCs/>
        </w:rPr>
      </w:pPr>
    </w:p>
    <w:p w:rsidR="00D13BBE" w:rsidRPr="00600ED9" w:rsidRDefault="00710AA3" w:rsidP="00FB1954">
      <w:pPr>
        <w:spacing w:after="0" w:line="240" w:lineRule="auto"/>
        <w:ind w:left="720"/>
        <w:jc w:val="both"/>
        <w:rPr>
          <w:rFonts w:cs="Calibri"/>
        </w:rPr>
      </w:pPr>
      <w:r w:rsidRPr="00600ED9">
        <w:rPr>
          <w:bCs/>
        </w:rPr>
        <w:t>Aunque</w:t>
      </w:r>
      <w:r w:rsidR="00CE606A" w:rsidRPr="00600ED9">
        <w:rPr>
          <w:bCs/>
        </w:rPr>
        <w:t xml:space="preserve"> la</w:t>
      </w:r>
      <w:r w:rsidR="00FE3CDF" w:rsidRPr="00600ED9">
        <w:rPr>
          <w:bCs/>
        </w:rPr>
        <w:t xml:space="preserve"> </w:t>
      </w:r>
      <w:r w:rsidR="00431CA4" w:rsidRPr="00600ED9">
        <w:rPr>
          <w:bCs/>
        </w:rPr>
        <w:t>CGRC</w:t>
      </w:r>
      <w:r w:rsidR="00FE3CDF" w:rsidRPr="00600ED9">
        <w:rPr>
          <w:bCs/>
        </w:rPr>
        <w:t xml:space="preserve"> ha dado un primer paso al utilizar las Normas ISO 9000 como un estándar de calidad para la institución</w:t>
      </w:r>
      <w:r w:rsidR="00CE606A" w:rsidRPr="00600ED9">
        <w:rPr>
          <w:bCs/>
        </w:rPr>
        <w:t xml:space="preserve">, nos dispone de </w:t>
      </w:r>
      <w:r w:rsidR="00CE606A" w:rsidRPr="00600ED9">
        <w:rPr>
          <w:rFonts w:cs="Calibri"/>
        </w:rPr>
        <w:t xml:space="preserve">procedimientos de aseguramiento de la calidad </w:t>
      </w:r>
      <w:r w:rsidR="003F0FE0" w:rsidRPr="00600ED9">
        <w:rPr>
          <w:rFonts w:cs="Calibri"/>
        </w:rPr>
        <w:t>para</w:t>
      </w:r>
      <w:r w:rsidR="00CE606A" w:rsidRPr="00600ED9">
        <w:rPr>
          <w:rFonts w:cs="Calibri"/>
        </w:rPr>
        <w:t xml:space="preserve"> los diferentes tipo</w:t>
      </w:r>
      <w:r w:rsidR="00595D97" w:rsidRPr="00600ED9">
        <w:rPr>
          <w:rFonts w:cs="Calibri"/>
        </w:rPr>
        <w:t>s de auditoría que realiza confo</w:t>
      </w:r>
      <w:r w:rsidR="00CE606A" w:rsidRPr="00600ED9">
        <w:rPr>
          <w:rFonts w:cs="Calibri"/>
        </w:rPr>
        <w:t xml:space="preserve">rme a los estándares establecidos en la ISSAI 40.  </w:t>
      </w:r>
    </w:p>
    <w:p w:rsidR="00500FE4" w:rsidRPr="00600ED9" w:rsidRDefault="00500FE4" w:rsidP="00FB1954">
      <w:pPr>
        <w:spacing w:after="0" w:line="240" w:lineRule="auto"/>
        <w:ind w:left="720"/>
        <w:jc w:val="both"/>
        <w:rPr>
          <w:rFonts w:cs="Calibri"/>
        </w:rPr>
      </w:pPr>
    </w:p>
    <w:tbl>
      <w:tblPr>
        <w:tblStyle w:val="TableGrid"/>
        <w:tblW w:w="9356" w:type="dxa"/>
        <w:tblInd w:w="817" w:type="dxa"/>
        <w:tblLook w:val="04A0" w:firstRow="1" w:lastRow="0" w:firstColumn="1" w:lastColumn="0" w:noHBand="0" w:noVBand="1"/>
      </w:tblPr>
      <w:tblGrid>
        <w:gridCol w:w="9356"/>
      </w:tblGrid>
      <w:tr w:rsidR="00342BFF" w:rsidRPr="00600ED9" w:rsidTr="00D13BBE">
        <w:trPr>
          <w:tblHeader/>
        </w:trPr>
        <w:tc>
          <w:tcPr>
            <w:tcW w:w="9356" w:type="dxa"/>
            <w:shd w:val="clear" w:color="auto" w:fill="365F91" w:themeFill="accent1" w:themeFillShade="BF"/>
          </w:tcPr>
          <w:p w:rsidR="00342BFF" w:rsidRPr="00600ED9" w:rsidRDefault="00342BFF" w:rsidP="00FB1954">
            <w:pPr>
              <w:pStyle w:val="NoSpacing"/>
              <w:rPr>
                <w:b/>
                <w:color w:val="FFFFFF" w:themeColor="background1"/>
                <w:sz w:val="20"/>
                <w:szCs w:val="20"/>
                <w:lang w:val="es-ES_tradnl"/>
              </w:rPr>
            </w:pPr>
            <w:r w:rsidRPr="00600ED9">
              <w:rPr>
                <w:b/>
                <w:color w:val="FFFFFF" w:themeColor="background1"/>
                <w:sz w:val="20"/>
                <w:szCs w:val="20"/>
                <w:lang w:val="es-ES_tradnl"/>
              </w:rPr>
              <w:t xml:space="preserve">Principales observaciones y conclusiones </w:t>
            </w:r>
          </w:p>
        </w:tc>
      </w:tr>
      <w:tr w:rsidR="00342BFF" w:rsidRPr="00600ED9" w:rsidTr="00D13BBE">
        <w:tc>
          <w:tcPr>
            <w:tcW w:w="9356" w:type="dxa"/>
            <w:shd w:val="clear" w:color="auto" w:fill="D9D9D9" w:themeFill="background1" w:themeFillShade="D9"/>
          </w:tcPr>
          <w:p w:rsidR="00342BFF" w:rsidRPr="00600ED9" w:rsidRDefault="00342BFF" w:rsidP="00FB1954">
            <w:pPr>
              <w:pStyle w:val="NoSpacing"/>
              <w:rPr>
                <w:b/>
                <w:i/>
                <w:sz w:val="20"/>
                <w:szCs w:val="20"/>
                <w:lang w:val="es-ES_tradnl"/>
              </w:rPr>
            </w:pPr>
            <w:r w:rsidRPr="00600ED9">
              <w:rPr>
                <w:b/>
                <w:i/>
                <w:sz w:val="20"/>
                <w:szCs w:val="20"/>
                <w:lang w:val="es-ES_tradnl"/>
              </w:rPr>
              <w:t>Dimensión (i) Aseguramiento de la calidad de la auditoría financiera</w:t>
            </w:r>
          </w:p>
        </w:tc>
      </w:tr>
      <w:tr w:rsidR="00342BFF" w:rsidRPr="00600ED9" w:rsidTr="00D13BBE">
        <w:tc>
          <w:tcPr>
            <w:tcW w:w="9356" w:type="dxa"/>
            <w:shd w:val="clear" w:color="auto" w:fill="D9D9D9" w:themeFill="background1" w:themeFillShade="D9"/>
          </w:tcPr>
          <w:p w:rsidR="00342BFF" w:rsidRPr="00600ED9" w:rsidRDefault="00342BFF" w:rsidP="00FB1954">
            <w:pPr>
              <w:pStyle w:val="NoSpacing"/>
              <w:rPr>
                <w:i/>
                <w:sz w:val="20"/>
                <w:szCs w:val="20"/>
                <w:lang w:val="es-ES_tradnl"/>
              </w:rPr>
            </w:pPr>
            <w:r w:rsidRPr="00600ED9">
              <w:rPr>
                <w:b/>
                <w:i/>
                <w:sz w:val="20"/>
                <w:szCs w:val="20"/>
                <w:lang w:val="es-ES_tradnl"/>
              </w:rPr>
              <w:t>Puntuaci</w:t>
            </w:r>
            <w:r w:rsidR="003F0FE0" w:rsidRPr="00600ED9">
              <w:rPr>
                <w:b/>
                <w:i/>
                <w:sz w:val="20"/>
                <w:szCs w:val="20"/>
                <w:lang w:val="es-ES_tradnl"/>
              </w:rPr>
              <w:t>ón</w:t>
            </w:r>
            <w:r w:rsidRPr="00600ED9">
              <w:rPr>
                <w:b/>
                <w:i/>
                <w:sz w:val="20"/>
                <w:szCs w:val="20"/>
                <w:lang w:val="es-ES_tradnl"/>
              </w:rPr>
              <w:t xml:space="preserve"> </w:t>
            </w:r>
            <w:r w:rsidRPr="00600ED9">
              <w:rPr>
                <w:rFonts w:cs="Calibri"/>
                <w:b/>
                <w:bCs/>
                <w:i/>
                <w:sz w:val="20"/>
                <w:szCs w:val="20"/>
                <w:lang w:val="es-ES_tradnl"/>
              </w:rPr>
              <w:t>0</w:t>
            </w:r>
            <w:r w:rsidR="003F0FE0" w:rsidRPr="00600ED9">
              <w:rPr>
                <w:rFonts w:cs="Calibri"/>
                <w:bCs/>
                <w:i/>
                <w:sz w:val="20"/>
                <w:szCs w:val="20"/>
                <w:lang w:val="es-ES_tradnl"/>
              </w:rPr>
              <w:t>:</w:t>
            </w:r>
            <w:r w:rsidRPr="00600ED9">
              <w:rPr>
                <w:rFonts w:cs="Calibri"/>
                <w:bCs/>
                <w:i/>
                <w:sz w:val="20"/>
                <w:szCs w:val="20"/>
                <w:lang w:val="es-ES_tradnl"/>
              </w:rPr>
              <w:t xml:space="preserve"> </w:t>
            </w:r>
            <w:r w:rsidRPr="00600ED9">
              <w:rPr>
                <w:rFonts w:cs="Calibri"/>
                <w:i/>
                <w:sz w:val="20"/>
                <w:szCs w:val="20"/>
                <w:lang w:val="es-ES_tradnl"/>
              </w:rPr>
              <w:t>No se cumple el criterio (b), o la EFS no posee AC a la auditoría financiera.</w:t>
            </w:r>
          </w:p>
        </w:tc>
      </w:tr>
      <w:tr w:rsidR="00342BFF" w:rsidRPr="00600ED9" w:rsidTr="00D13BBE">
        <w:tc>
          <w:tcPr>
            <w:tcW w:w="9356" w:type="dxa"/>
          </w:tcPr>
          <w:p w:rsidR="00342BFF" w:rsidRPr="00600ED9" w:rsidRDefault="00342BFF" w:rsidP="00FB1954">
            <w:pPr>
              <w:pStyle w:val="Normaltabletext"/>
              <w:keepNext/>
              <w:keepLines/>
              <w:spacing w:after="0"/>
              <w:outlineLvl w:val="1"/>
              <w:rPr>
                <w:color w:val="000000"/>
                <w:lang w:val="es-ES_tradnl"/>
              </w:rPr>
            </w:pPr>
            <w:r w:rsidRPr="00600ED9">
              <w:rPr>
                <w:lang w:val="es-ES_tradnl"/>
              </w:rPr>
              <w:t xml:space="preserve">Los criterios </w:t>
            </w:r>
            <w:r w:rsidRPr="00600ED9">
              <w:rPr>
                <w:color w:val="000000"/>
                <w:lang w:val="es-ES_tradnl"/>
              </w:rPr>
              <w:t xml:space="preserve">(a), (b), (c), (d), (e), (f), (g) y (h) no cumplen. </w:t>
            </w:r>
          </w:p>
          <w:p w:rsidR="00500FE4" w:rsidRPr="00600ED9" w:rsidRDefault="00500FE4" w:rsidP="00FB1954">
            <w:pPr>
              <w:pStyle w:val="Normaltabletext"/>
              <w:keepNext/>
              <w:keepLines/>
              <w:spacing w:after="0"/>
              <w:outlineLvl w:val="1"/>
              <w:rPr>
                <w:color w:val="000000"/>
                <w:lang w:val="es-ES_tradnl"/>
              </w:rPr>
            </w:pPr>
          </w:p>
          <w:p w:rsidR="00CA52D2" w:rsidRPr="00600ED9" w:rsidRDefault="00342BFF" w:rsidP="00FB1954">
            <w:pPr>
              <w:pStyle w:val="Normaltabletext"/>
              <w:spacing w:after="0"/>
              <w:rPr>
                <w:color w:val="000000"/>
                <w:lang w:val="es-ES_tradnl"/>
              </w:rPr>
            </w:pPr>
            <w:r w:rsidRPr="00600ED9">
              <w:rPr>
                <w:color w:val="000000"/>
                <w:lang w:val="es-ES_tradnl"/>
              </w:rPr>
              <w:t xml:space="preserve">La CGRC no cuenta con procedimientos </w:t>
            </w:r>
            <w:r w:rsidR="00074A8D" w:rsidRPr="00600ED9">
              <w:rPr>
                <w:color w:val="000000"/>
                <w:lang w:val="es-ES_tradnl"/>
              </w:rPr>
              <w:t xml:space="preserve">formalizados de aseguramiento de la calidad de la auditoría financiera </w:t>
            </w:r>
            <w:r w:rsidRPr="00600ED9">
              <w:rPr>
                <w:color w:val="000000"/>
                <w:lang w:val="es-ES_tradnl"/>
              </w:rPr>
              <w:t>que incluyan</w:t>
            </w:r>
            <w:r w:rsidR="00CA52D2" w:rsidRPr="00600ED9">
              <w:rPr>
                <w:color w:val="000000"/>
                <w:lang w:val="es-ES_tradnl"/>
              </w:rPr>
              <w:t>:</w:t>
            </w:r>
          </w:p>
          <w:p w:rsidR="00500FE4" w:rsidRPr="00600ED9" w:rsidRDefault="00500FE4" w:rsidP="00FB1954">
            <w:pPr>
              <w:pStyle w:val="Normaltabletext"/>
              <w:spacing w:after="0"/>
              <w:rPr>
                <w:color w:val="000000"/>
                <w:lang w:val="es-ES_tradnl"/>
              </w:rPr>
            </w:pPr>
          </w:p>
          <w:p w:rsidR="00CA52D2" w:rsidRPr="00600ED9" w:rsidRDefault="00074A8D" w:rsidP="00233205">
            <w:pPr>
              <w:pStyle w:val="Normaltabletext"/>
              <w:numPr>
                <w:ilvl w:val="0"/>
                <w:numId w:val="24"/>
              </w:numPr>
              <w:spacing w:after="0"/>
              <w:ind w:left="533"/>
              <w:rPr>
                <w:color w:val="000000"/>
                <w:lang w:val="es-ES_tradnl"/>
              </w:rPr>
            </w:pPr>
            <w:r w:rsidRPr="00600ED9">
              <w:rPr>
                <w:color w:val="000000"/>
                <w:lang w:val="es-ES_tradnl"/>
              </w:rPr>
              <w:t>La revisión d</w:t>
            </w:r>
            <w:r w:rsidR="00342BFF" w:rsidRPr="00600ED9">
              <w:rPr>
                <w:color w:val="000000"/>
                <w:lang w:val="es-ES_tradnl"/>
              </w:rPr>
              <w:t xml:space="preserve">e una muestra de auditorías completadas para </w:t>
            </w:r>
            <w:r w:rsidRPr="00600ED9">
              <w:rPr>
                <w:color w:val="000000"/>
                <w:lang w:val="es-ES_tradnl"/>
              </w:rPr>
              <w:t xml:space="preserve">confirmar la aplicación </w:t>
            </w:r>
            <w:r w:rsidR="00342BFF" w:rsidRPr="00600ED9">
              <w:rPr>
                <w:color w:val="000000"/>
                <w:lang w:val="es-ES_tradnl"/>
              </w:rPr>
              <w:t xml:space="preserve">de los procedimientos de auditoría </w:t>
            </w:r>
            <w:r w:rsidRPr="00600ED9">
              <w:rPr>
                <w:color w:val="000000"/>
                <w:lang w:val="es-ES_tradnl"/>
              </w:rPr>
              <w:t>establecidos, por lo menos anualmente</w:t>
            </w:r>
            <w:r w:rsidR="00CA52D2" w:rsidRPr="00600ED9">
              <w:rPr>
                <w:color w:val="000000"/>
                <w:lang w:val="es-ES_tradnl"/>
              </w:rPr>
              <w:t>.</w:t>
            </w:r>
          </w:p>
          <w:p w:rsidR="00CA52D2" w:rsidRPr="00600ED9" w:rsidRDefault="00074A8D" w:rsidP="00233205">
            <w:pPr>
              <w:pStyle w:val="Normaltabletext"/>
              <w:numPr>
                <w:ilvl w:val="0"/>
                <w:numId w:val="24"/>
              </w:numPr>
              <w:spacing w:after="0"/>
              <w:ind w:left="533"/>
              <w:rPr>
                <w:color w:val="000000"/>
                <w:lang w:val="es-ES_tradnl"/>
              </w:rPr>
            </w:pPr>
            <w:r w:rsidRPr="00600ED9">
              <w:rPr>
                <w:color w:val="000000"/>
                <w:lang w:val="es-ES_tradnl"/>
              </w:rPr>
              <w:t>La revisión p</w:t>
            </w:r>
            <w:r w:rsidR="00CA52D2" w:rsidRPr="00600ED9">
              <w:rPr>
                <w:color w:val="000000"/>
                <w:lang w:val="es-ES_tradnl"/>
              </w:rPr>
              <w:t>or personal independiente al que ha formado parte del equipo a cargo de la auditoría.</w:t>
            </w:r>
          </w:p>
          <w:p w:rsidR="00CA52D2" w:rsidRPr="00600ED9" w:rsidRDefault="00074A8D" w:rsidP="00233205">
            <w:pPr>
              <w:pStyle w:val="Normaltabletext"/>
              <w:numPr>
                <w:ilvl w:val="0"/>
                <w:numId w:val="24"/>
              </w:numPr>
              <w:spacing w:after="0"/>
              <w:ind w:left="533"/>
              <w:rPr>
                <w:color w:val="000000"/>
                <w:lang w:val="es-ES_tradnl"/>
              </w:rPr>
            </w:pPr>
            <w:r w:rsidRPr="00600ED9">
              <w:rPr>
                <w:color w:val="000000"/>
                <w:lang w:val="es-ES_tradnl"/>
              </w:rPr>
              <w:t>L</w:t>
            </w:r>
            <w:r w:rsidR="00CA52D2" w:rsidRPr="00600ED9">
              <w:rPr>
                <w:color w:val="000000"/>
                <w:lang w:val="es-ES_tradnl"/>
              </w:rPr>
              <w:t xml:space="preserve">a frecuencia </w:t>
            </w:r>
            <w:r w:rsidRPr="00600ED9">
              <w:rPr>
                <w:color w:val="000000"/>
                <w:lang w:val="es-ES_tradnl"/>
              </w:rPr>
              <w:t>de las revisiones con base en lo señalado</w:t>
            </w:r>
            <w:r w:rsidR="00CA52D2" w:rsidRPr="00600ED9">
              <w:rPr>
                <w:color w:val="000000"/>
                <w:lang w:val="es-ES_tradnl"/>
              </w:rPr>
              <w:t xml:space="preserve"> en el plan.</w:t>
            </w:r>
          </w:p>
          <w:p w:rsidR="00074A8D" w:rsidRPr="00600ED9" w:rsidRDefault="00074A8D" w:rsidP="00233205">
            <w:pPr>
              <w:pStyle w:val="Normaltabletext"/>
              <w:numPr>
                <w:ilvl w:val="0"/>
                <w:numId w:val="24"/>
              </w:numPr>
              <w:spacing w:after="0"/>
              <w:ind w:left="533"/>
              <w:rPr>
                <w:color w:val="000000"/>
                <w:lang w:val="es-ES_tradnl"/>
              </w:rPr>
            </w:pPr>
            <w:r w:rsidRPr="00600ED9">
              <w:rPr>
                <w:color w:val="000000"/>
                <w:lang w:val="es-ES_tradnl"/>
              </w:rPr>
              <w:t xml:space="preserve">La emisión de informes que incluyan conclusiones,  y cuando aplique, recomendaciones para las deficiencias identificadas, los cuales </w:t>
            </w:r>
            <w:r w:rsidR="000154DB" w:rsidRPr="00600ED9">
              <w:rPr>
                <w:color w:val="000000"/>
                <w:lang w:val="es-ES_tradnl"/>
              </w:rPr>
              <w:t>sean</w:t>
            </w:r>
            <w:r w:rsidRPr="00600ED9">
              <w:rPr>
                <w:color w:val="000000"/>
                <w:lang w:val="es-ES_tradnl"/>
              </w:rPr>
              <w:t xml:space="preserve"> informados al Contralor General.</w:t>
            </w:r>
          </w:p>
          <w:p w:rsidR="00500FE4" w:rsidRPr="00600ED9" w:rsidRDefault="00500FE4" w:rsidP="00500FE4">
            <w:pPr>
              <w:pStyle w:val="Normaltabletext"/>
              <w:spacing w:after="0"/>
              <w:ind w:left="360"/>
              <w:rPr>
                <w:color w:val="000000"/>
                <w:lang w:val="es-ES_tradnl"/>
              </w:rPr>
            </w:pPr>
          </w:p>
          <w:p w:rsidR="00D31D6A" w:rsidRPr="00600ED9" w:rsidRDefault="00D31D6A" w:rsidP="00FB1954">
            <w:pPr>
              <w:pStyle w:val="Normaltabletext"/>
              <w:spacing w:after="0"/>
              <w:rPr>
                <w:lang w:val="es-ES_tradnl"/>
              </w:rPr>
            </w:pPr>
            <w:r w:rsidRPr="00600ED9">
              <w:rPr>
                <w:lang w:val="es-ES_tradnl"/>
              </w:rPr>
              <w:t xml:space="preserve">Aunque </w:t>
            </w:r>
            <w:r w:rsidR="002D3DF4" w:rsidRPr="00600ED9">
              <w:rPr>
                <w:lang w:val="es-ES_tradnl"/>
              </w:rPr>
              <w:t xml:space="preserve">el control de calidad es realizado por personal con experiencia y conocimiento, en la medida que no se dispone de </w:t>
            </w:r>
            <w:r w:rsidRPr="00600ED9">
              <w:rPr>
                <w:lang w:val="es-ES_tradnl"/>
              </w:rPr>
              <w:t xml:space="preserve">procedimientos </w:t>
            </w:r>
            <w:r w:rsidR="002D3DF4" w:rsidRPr="00600ED9">
              <w:rPr>
                <w:lang w:val="es-ES_tradnl"/>
              </w:rPr>
              <w:t>formalizados no se puede establecer la suficiencia del trabajo realizado</w:t>
            </w:r>
            <w:r w:rsidR="00074A8D" w:rsidRPr="00600ED9">
              <w:rPr>
                <w:lang w:val="es-ES_tradnl"/>
              </w:rPr>
              <w:t xml:space="preserve">, ni existe evidencia </w:t>
            </w:r>
            <w:r w:rsidR="00C34809" w:rsidRPr="00600ED9">
              <w:rPr>
                <w:lang w:val="es-ES_tradnl"/>
              </w:rPr>
              <w:t>de la disp</w:t>
            </w:r>
            <w:r w:rsidR="001B6D44" w:rsidRPr="00600ED9">
              <w:rPr>
                <w:lang w:val="es-ES_tradnl"/>
              </w:rPr>
              <w:t>osición dada a las observaciones realizadas</w:t>
            </w:r>
            <w:r w:rsidRPr="00600ED9">
              <w:rPr>
                <w:lang w:val="es-ES_tradnl"/>
              </w:rPr>
              <w:t>.</w:t>
            </w:r>
          </w:p>
          <w:p w:rsidR="00500FE4" w:rsidRPr="00600ED9" w:rsidRDefault="00500FE4" w:rsidP="00FB1954">
            <w:pPr>
              <w:pStyle w:val="Normaltabletext"/>
              <w:spacing w:after="0"/>
              <w:rPr>
                <w:rFonts w:eastAsia="Calibri" w:cs="Arial"/>
                <w:lang w:val="es-ES_tradnl"/>
              </w:rPr>
            </w:pPr>
          </w:p>
          <w:p w:rsidR="00342BFF" w:rsidRPr="00600ED9" w:rsidRDefault="00342BFF" w:rsidP="00FB1954">
            <w:pPr>
              <w:pStyle w:val="Normaltabletext"/>
              <w:spacing w:after="0"/>
              <w:rPr>
                <w:color w:val="000000"/>
                <w:lang w:val="es-ES_tradnl"/>
              </w:rPr>
            </w:pPr>
            <w:r w:rsidRPr="00600ED9">
              <w:rPr>
                <w:color w:val="000000"/>
                <w:lang w:val="es-ES_tradnl"/>
              </w:rPr>
              <w:t xml:space="preserve">La CGRC no ha contemplado </w:t>
            </w:r>
            <w:r w:rsidR="00C34809" w:rsidRPr="00600ED9">
              <w:rPr>
                <w:color w:val="000000"/>
                <w:lang w:val="es-ES_tradnl"/>
              </w:rPr>
              <w:t>la</w:t>
            </w:r>
            <w:r w:rsidRPr="00600ED9">
              <w:rPr>
                <w:color w:val="000000"/>
                <w:lang w:val="es-ES_tradnl"/>
              </w:rPr>
              <w:t xml:space="preserve"> revisión de</w:t>
            </w:r>
            <w:r w:rsidR="001B6D44" w:rsidRPr="00600ED9">
              <w:rPr>
                <w:color w:val="000000"/>
                <w:lang w:val="es-ES_tradnl"/>
              </w:rPr>
              <w:t>l sistema de control de</w:t>
            </w:r>
            <w:r w:rsidRPr="00600ED9">
              <w:rPr>
                <w:color w:val="000000"/>
                <w:lang w:val="es-ES_tradnl"/>
              </w:rPr>
              <w:t xml:space="preserve"> calidad, </w:t>
            </w:r>
            <w:r w:rsidR="001B6D44" w:rsidRPr="00600ED9">
              <w:rPr>
                <w:color w:val="000000"/>
                <w:lang w:val="es-ES_tradnl"/>
              </w:rPr>
              <w:t xml:space="preserve">por </w:t>
            </w:r>
            <w:r w:rsidR="00C34809" w:rsidRPr="00600ED9">
              <w:rPr>
                <w:color w:val="000000"/>
                <w:lang w:val="es-ES_tradnl"/>
              </w:rPr>
              <w:t>otra</w:t>
            </w:r>
            <w:r w:rsidR="001B6D44" w:rsidRPr="00600ED9">
              <w:rPr>
                <w:color w:val="000000"/>
                <w:lang w:val="es-ES_tradnl"/>
              </w:rPr>
              <w:t xml:space="preserve"> Contraloría, </w:t>
            </w:r>
            <w:r w:rsidRPr="00600ED9">
              <w:rPr>
                <w:color w:val="000000"/>
                <w:lang w:val="es-ES_tradnl"/>
              </w:rPr>
              <w:t xml:space="preserve"> </w:t>
            </w:r>
            <w:r w:rsidR="001B6D44" w:rsidRPr="00600ED9">
              <w:rPr>
                <w:color w:val="000000"/>
                <w:lang w:val="es-ES_tradnl"/>
              </w:rPr>
              <w:t>F</w:t>
            </w:r>
            <w:r w:rsidRPr="00600ED9">
              <w:rPr>
                <w:color w:val="000000"/>
                <w:lang w:val="es-ES_tradnl"/>
              </w:rPr>
              <w:t xml:space="preserve">irma </w:t>
            </w:r>
            <w:r w:rsidR="001B6D44" w:rsidRPr="00600ED9">
              <w:rPr>
                <w:color w:val="000000"/>
                <w:lang w:val="es-ES_tradnl"/>
              </w:rPr>
              <w:t>externa u Organismo competente (</w:t>
            </w:r>
            <w:r w:rsidRPr="00600ED9">
              <w:rPr>
                <w:color w:val="000000"/>
                <w:lang w:val="es-ES_tradnl"/>
              </w:rPr>
              <w:t>revisi</w:t>
            </w:r>
            <w:r w:rsidR="001B6D44" w:rsidRPr="00600ED9">
              <w:rPr>
                <w:color w:val="000000"/>
                <w:lang w:val="es-ES_tradnl"/>
              </w:rPr>
              <w:t>ón</w:t>
            </w:r>
            <w:r w:rsidRPr="00600ED9">
              <w:rPr>
                <w:color w:val="000000"/>
                <w:lang w:val="es-ES_tradnl"/>
              </w:rPr>
              <w:t xml:space="preserve"> entre pares</w:t>
            </w:r>
            <w:r w:rsidR="001B6D44" w:rsidRPr="00600ED9">
              <w:rPr>
                <w:color w:val="000000"/>
                <w:lang w:val="es-ES_tradnl"/>
              </w:rPr>
              <w:t>)</w:t>
            </w:r>
            <w:r w:rsidRPr="00600ED9">
              <w:rPr>
                <w:color w:val="000000"/>
                <w:lang w:val="es-ES_tradnl"/>
              </w:rPr>
              <w:t>.</w:t>
            </w:r>
          </w:p>
          <w:p w:rsidR="00500FE4" w:rsidRPr="00600ED9" w:rsidRDefault="00500FE4" w:rsidP="00FB1954">
            <w:pPr>
              <w:pStyle w:val="Normaltabletext"/>
              <w:spacing w:after="0"/>
              <w:rPr>
                <w:color w:val="000000"/>
                <w:lang w:val="es-ES_tradnl"/>
              </w:rPr>
            </w:pPr>
          </w:p>
        </w:tc>
      </w:tr>
      <w:tr w:rsidR="00342BFF" w:rsidRPr="00600ED9" w:rsidTr="00D13BBE">
        <w:tc>
          <w:tcPr>
            <w:tcW w:w="9356" w:type="dxa"/>
            <w:shd w:val="clear" w:color="auto" w:fill="D9D9D9" w:themeFill="background1" w:themeFillShade="D9"/>
          </w:tcPr>
          <w:p w:rsidR="00342BFF" w:rsidRPr="00600ED9" w:rsidRDefault="00342BFF" w:rsidP="00FB1954">
            <w:pPr>
              <w:pStyle w:val="NoSpacing"/>
              <w:rPr>
                <w:b/>
                <w:i/>
                <w:sz w:val="20"/>
                <w:szCs w:val="20"/>
                <w:lang w:val="es-ES_tradnl"/>
              </w:rPr>
            </w:pPr>
            <w:r w:rsidRPr="00600ED9">
              <w:rPr>
                <w:b/>
                <w:i/>
                <w:sz w:val="20"/>
                <w:szCs w:val="20"/>
                <w:lang w:val="es-ES_tradnl"/>
              </w:rPr>
              <w:t>Dimensión (ii) Aseguramiento de la calidad de la auditoría de cumplimiento</w:t>
            </w:r>
          </w:p>
        </w:tc>
      </w:tr>
      <w:tr w:rsidR="00342BFF" w:rsidRPr="00600ED9" w:rsidTr="005740BB">
        <w:tc>
          <w:tcPr>
            <w:tcW w:w="9356" w:type="dxa"/>
            <w:shd w:val="clear" w:color="auto" w:fill="D9D9D9" w:themeFill="background1" w:themeFillShade="D9"/>
          </w:tcPr>
          <w:p w:rsidR="00342BFF" w:rsidRPr="00600ED9" w:rsidRDefault="000C705B" w:rsidP="00FB1954">
            <w:pPr>
              <w:pStyle w:val="NoSpacing"/>
              <w:rPr>
                <w:i/>
                <w:sz w:val="20"/>
                <w:szCs w:val="20"/>
                <w:lang w:val="es-ES_tradnl"/>
              </w:rPr>
            </w:pPr>
            <w:r w:rsidRPr="00600ED9">
              <w:rPr>
                <w:b/>
                <w:i/>
                <w:sz w:val="20"/>
                <w:szCs w:val="20"/>
                <w:lang w:val="es-ES_tradnl"/>
              </w:rPr>
              <w:t>Puntuación</w:t>
            </w:r>
            <w:r w:rsidR="00342BFF" w:rsidRPr="00600ED9">
              <w:rPr>
                <w:b/>
                <w:i/>
                <w:sz w:val="20"/>
                <w:szCs w:val="20"/>
                <w:lang w:val="es-ES_tradnl"/>
              </w:rPr>
              <w:t xml:space="preserve"> </w:t>
            </w:r>
            <w:r w:rsidR="00342BFF" w:rsidRPr="00600ED9">
              <w:rPr>
                <w:rFonts w:cs="Calibri"/>
                <w:b/>
                <w:bCs/>
                <w:i/>
                <w:sz w:val="20"/>
                <w:szCs w:val="20"/>
                <w:lang w:val="es-ES_tradnl"/>
              </w:rPr>
              <w:t>0</w:t>
            </w:r>
            <w:r w:rsidRPr="00600ED9">
              <w:rPr>
                <w:rFonts w:cs="Calibri"/>
                <w:b/>
                <w:bCs/>
                <w:i/>
                <w:sz w:val="20"/>
                <w:szCs w:val="20"/>
                <w:lang w:val="es-ES_tradnl"/>
              </w:rPr>
              <w:t>:</w:t>
            </w:r>
            <w:r w:rsidR="00342BFF" w:rsidRPr="00600ED9">
              <w:rPr>
                <w:rFonts w:cs="Calibri"/>
                <w:b/>
                <w:bCs/>
                <w:i/>
                <w:sz w:val="20"/>
                <w:szCs w:val="20"/>
                <w:lang w:val="es-ES_tradnl"/>
              </w:rPr>
              <w:t xml:space="preserve"> </w:t>
            </w:r>
            <w:r w:rsidR="00342BFF" w:rsidRPr="00600ED9">
              <w:rPr>
                <w:rFonts w:cs="Calibri"/>
                <w:i/>
                <w:sz w:val="20"/>
                <w:szCs w:val="20"/>
                <w:lang w:val="es-ES_tradnl"/>
              </w:rPr>
              <w:t>No se cumple el criterio (b), o la EFS no posee AC a la auditoría cumplimiento.</w:t>
            </w:r>
          </w:p>
        </w:tc>
      </w:tr>
      <w:tr w:rsidR="00342BFF" w:rsidRPr="00600ED9" w:rsidTr="00D13BBE">
        <w:tc>
          <w:tcPr>
            <w:tcW w:w="9356" w:type="dxa"/>
          </w:tcPr>
          <w:p w:rsidR="00342BFF" w:rsidRPr="00600ED9" w:rsidRDefault="00342BFF" w:rsidP="00FB1954">
            <w:pPr>
              <w:pStyle w:val="Normaltabletext"/>
              <w:spacing w:after="0"/>
              <w:rPr>
                <w:color w:val="000000"/>
                <w:lang w:val="es-ES_tradnl"/>
              </w:rPr>
            </w:pPr>
            <w:r w:rsidRPr="00600ED9">
              <w:rPr>
                <w:lang w:val="es-ES_tradnl"/>
              </w:rPr>
              <w:t xml:space="preserve">Los criterios </w:t>
            </w:r>
            <w:r w:rsidRPr="00600ED9">
              <w:rPr>
                <w:color w:val="000000"/>
                <w:lang w:val="es-ES_tradnl"/>
              </w:rPr>
              <w:t xml:space="preserve">(a), (b), (c), (d), (e), (f), (g) y (h) no cumplen. </w:t>
            </w:r>
          </w:p>
          <w:p w:rsidR="00500FE4" w:rsidRPr="00600ED9" w:rsidRDefault="00500FE4" w:rsidP="00FB1954">
            <w:pPr>
              <w:pStyle w:val="Normaltabletext"/>
              <w:spacing w:after="0"/>
              <w:rPr>
                <w:color w:val="000000"/>
                <w:lang w:val="es-ES_tradnl"/>
              </w:rPr>
            </w:pPr>
          </w:p>
          <w:p w:rsidR="00342BFF" w:rsidRPr="00600ED9" w:rsidRDefault="00342BFF" w:rsidP="00FB1954">
            <w:pPr>
              <w:pStyle w:val="Normaltabletext"/>
              <w:spacing w:after="0"/>
              <w:rPr>
                <w:rFonts w:eastAsia="Calibri" w:cs="Arial"/>
                <w:lang w:val="es-ES_tradnl"/>
              </w:rPr>
            </w:pPr>
            <w:r w:rsidRPr="00600ED9">
              <w:rPr>
                <w:rFonts w:eastAsia="Calibri" w:cs="Arial"/>
                <w:lang w:val="es-ES_tradnl"/>
              </w:rPr>
              <w:t xml:space="preserve">Debido a que la CGRC ha adoptado el concepto de Auditoría Gubernamental con Enfoque Integral, </w:t>
            </w:r>
            <w:r w:rsidR="004C2DD3" w:rsidRPr="00600ED9">
              <w:rPr>
                <w:rFonts w:eastAsia="Calibri" w:cs="Arial"/>
                <w:lang w:val="es-ES_tradnl"/>
              </w:rPr>
              <w:t xml:space="preserve">que incluye </w:t>
            </w:r>
            <w:r w:rsidRPr="00600ED9">
              <w:rPr>
                <w:rFonts w:eastAsia="Calibri" w:cs="Arial"/>
                <w:lang w:val="es-ES_tradnl"/>
              </w:rPr>
              <w:t xml:space="preserve">las auditorías financieras, de cumplimiento y de desempeño, </w:t>
            </w:r>
            <w:r w:rsidR="004C2DD3" w:rsidRPr="00600ED9">
              <w:rPr>
                <w:rFonts w:eastAsia="Calibri" w:cs="Arial"/>
                <w:lang w:val="es-ES_tradnl"/>
              </w:rPr>
              <w:t>las observaciones y conclusiones señaladas</w:t>
            </w:r>
            <w:r w:rsidRPr="00600ED9">
              <w:rPr>
                <w:rFonts w:eastAsia="Calibri" w:cs="Arial"/>
                <w:lang w:val="es-ES_tradnl"/>
              </w:rPr>
              <w:t xml:space="preserve"> en la dimensión (i) de este indicador</w:t>
            </w:r>
            <w:r w:rsidR="004C2DD3" w:rsidRPr="00600ED9">
              <w:rPr>
                <w:rFonts w:eastAsia="Calibri" w:cs="Arial"/>
                <w:lang w:val="es-ES_tradnl"/>
              </w:rPr>
              <w:t>,</w:t>
            </w:r>
            <w:r w:rsidRPr="00600ED9">
              <w:rPr>
                <w:rFonts w:eastAsia="Calibri" w:cs="Arial"/>
                <w:lang w:val="es-ES_tradnl"/>
              </w:rPr>
              <w:t xml:space="preserve"> </w:t>
            </w:r>
            <w:r w:rsidR="004C2DD3" w:rsidRPr="00600ED9">
              <w:rPr>
                <w:rFonts w:eastAsia="Calibri" w:cs="Arial"/>
                <w:lang w:val="es-ES_tradnl"/>
              </w:rPr>
              <w:t>aplican para</w:t>
            </w:r>
            <w:r w:rsidRPr="00600ED9">
              <w:rPr>
                <w:rFonts w:eastAsia="Calibri" w:cs="Arial"/>
                <w:lang w:val="es-ES_tradnl"/>
              </w:rPr>
              <w:t xml:space="preserve"> esta dimensión. </w:t>
            </w:r>
          </w:p>
          <w:p w:rsidR="00500FE4" w:rsidRPr="00600ED9" w:rsidRDefault="00500FE4" w:rsidP="00FB1954">
            <w:pPr>
              <w:pStyle w:val="Normaltabletext"/>
              <w:spacing w:after="0"/>
              <w:rPr>
                <w:lang w:val="es-ES_tradnl"/>
              </w:rPr>
            </w:pPr>
          </w:p>
        </w:tc>
      </w:tr>
      <w:tr w:rsidR="00342BFF" w:rsidRPr="00600ED9" w:rsidTr="00D13BBE">
        <w:tc>
          <w:tcPr>
            <w:tcW w:w="9356" w:type="dxa"/>
            <w:shd w:val="clear" w:color="auto" w:fill="D9D9D9" w:themeFill="background1" w:themeFillShade="D9"/>
          </w:tcPr>
          <w:p w:rsidR="00342BFF" w:rsidRPr="00600ED9" w:rsidRDefault="00342BFF" w:rsidP="00FB1954">
            <w:pPr>
              <w:pStyle w:val="NoSpacing"/>
              <w:rPr>
                <w:b/>
                <w:i/>
                <w:sz w:val="20"/>
                <w:szCs w:val="20"/>
                <w:lang w:val="es-ES_tradnl"/>
              </w:rPr>
            </w:pPr>
            <w:r w:rsidRPr="00600ED9">
              <w:rPr>
                <w:b/>
                <w:i/>
                <w:sz w:val="20"/>
                <w:szCs w:val="20"/>
                <w:lang w:val="es-ES_tradnl"/>
              </w:rPr>
              <w:t>Dimensión (iii) Aseguramiento de la calidad de la auditoría de desempeño</w:t>
            </w:r>
          </w:p>
        </w:tc>
      </w:tr>
      <w:tr w:rsidR="00342BFF" w:rsidRPr="00600ED9" w:rsidTr="005740BB">
        <w:tc>
          <w:tcPr>
            <w:tcW w:w="9356" w:type="dxa"/>
            <w:shd w:val="clear" w:color="auto" w:fill="D9D9D9" w:themeFill="background1" w:themeFillShade="D9"/>
          </w:tcPr>
          <w:p w:rsidR="00342BFF" w:rsidRPr="00600ED9" w:rsidRDefault="00342BFF" w:rsidP="00FB1954">
            <w:pPr>
              <w:pStyle w:val="NoSpacing"/>
              <w:rPr>
                <w:rFonts w:cs="Calibri"/>
                <w:i/>
                <w:sz w:val="20"/>
                <w:szCs w:val="20"/>
                <w:lang w:val="es-ES_tradnl"/>
              </w:rPr>
            </w:pPr>
            <w:r w:rsidRPr="00600ED9">
              <w:rPr>
                <w:b/>
                <w:i/>
                <w:sz w:val="20"/>
                <w:szCs w:val="20"/>
                <w:lang w:val="es-ES_tradnl"/>
              </w:rPr>
              <w:t>P</w:t>
            </w:r>
            <w:r w:rsidR="000C705B" w:rsidRPr="00600ED9">
              <w:rPr>
                <w:b/>
                <w:i/>
                <w:sz w:val="20"/>
                <w:szCs w:val="20"/>
                <w:lang w:val="es-ES_tradnl"/>
              </w:rPr>
              <w:t>untuación</w:t>
            </w:r>
            <w:r w:rsidRPr="00600ED9">
              <w:rPr>
                <w:b/>
                <w:i/>
                <w:sz w:val="20"/>
                <w:szCs w:val="20"/>
                <w:lang w:val="es-ES_tradnl"/>
              </w:rPr>
              <w:t xml:space="preserve"> </w:t>
            </w:r>
            <w:r w:rsidRPr="00600ED9">
              <w:rPr>
                <w:rFonts w:cs="Calibri"/>
                <w:b/>
                <w:bCs/>
                <w:i/>
                <w:sz w:val="20"/>
                <w:szCs w:val="20"/>
                <w:lang w:val="es-ES_tradnl"/>
              </w:rPr>
              <w:t>0</w:t>
            </w:r>
            <w:r w:rsidR="000C705B" w:rsidRPr="00600ED9">
              <w:rPr>
                <w:rFonts w:cs="Calibri"/>
                <w:b/>
                <w:bCs/>
                <w:i/>
                <w:sz w:val="20"/>
                <w:szCs w:val="20"/>
                <w:lang w:val="es-ES_tradnl"/>
              </w:rPr>
              <w:t>:</w:t>
            </w:r>
            <w:r w:rsidRPr="00600ED9">
              <w:rPr>
                <w:rFonts w:cs="Calibri"/>
                <w:b/>
                <w:bCs/>
                <w:i/>
                <w:sz w:val="20"/>
                <w:szCs w:val="20"/>
                <w:lang w:val="es-ES_tradnl"/>
              </w:rPr>
              <w:t xml:space="preserve"> </w:t>
            </w:r>
            <w:r w:rsidRPr="00600ED9">
              <w:rPr>
                <w:rFonts w:cs="Calibri"/>
                <w:i/>
                <w:sz w:val="20"/>
                <w:szCs w:val="20"/>
                <w:lang w:val="es-ES_tradnl"/>
              </w:rPr>
              <w:t>No se cumple el criterio (b), o la EFS no posee AC a la auditoría de desempeño.</w:t>
            </w:r>
          </w:p>
        </w:tc>
      </w:tr>
      <w:tr w:rsidR="00342BFF" w:rsidRPr="00600ED9" w:rsidTr="00D13BBE">
        <w:tc>
          <w:tcPr>
            <w:tcW w:w="9356" w:type="dxa"/>
          </w:tcPr>
          <w:p w:rsidR="00342BFF" w:rsidRPr="00600ED9" w:rsidRDefault="00342BFF" w:rsidP="00FB1954">
            <w:pPr>
              <w:pStyle w:val="Normaltabletext"/>
              <w:spacing w:after="0"/>
              <w:rPr>
                <w:color w:val="000000"/>
                <w:lang w:val="es-ES_tradnl"/>
              </w:rPr>
            </w:pPr>
            <w:r w:rsidRPr="00600ED9">
              <w:rPr>
                <w:lang w:val="es-ES_tradnl"/>
              </w:rPr>
              <w:t xml:space="preserve">Los criterios </w:t>
            </w:r>
            <w:r w:rsidRPr="00600ED9">
              <w:rPr>
                <w:color w:val="000000"/>
                <w:lang w:val="es-ES_tradnl"/>
              </w:rPr>
              <w:t xml:space="preserve">(a), (b), (c), (d), (e), (f), (g) y (h) no cumplen. </w:t>
            </w:r>
          </w:p>
          <w:p w:rsidR="00462986" w:rsidRPr="00600ED9" w:rsidRDefault="00462986" w:rsidP="00FB1954">
            <w:pPr>
              <w:pStyle w:val="Normaltabletext"/>
              <w:spacing w:after="0"/>
              <w:rPr>
                <w:color w:val="000000"/>
                <w:lang w:val="es-ES_tradnl"/>
              </w:rPr>
            </w:pPr>
          </w:p>
          <w:p w:rsidR="00342BFF" w:rsidRPr="00600ED9" w:rsidRDefault="004C2DD3" w:rsidP="00FB1954">
            <w:pPr>
              <w:pStyle w:val="Normaltabletext"/>
              <w:spacing w:after="0"/>
              <w:rPr>
                <w:lang w:val="es-ES_tradnl"/>
              </w:rPr>
            </w:pPr>
            <w:r w:rsidRPr="00600ED9">
              <w:rPr>
                <w:rFonts w:eastAsia="Calibri" w:cs="Arial"/>
                <w:lang w:val="es-ES_tradnl"/>
              </w:rPr>
              <w:t>Aplica la misma observación</w:t>
            </w:r>
            <w:r w:rsidR="00342BFF" w:rsidRPr="00600ED9">
              <w:rPr>
                <w:rFonts w:eastAsia="Calibri" w:cs="Arial"/>
                <w:lang w:val="es-ES_tradnl"/>
              </w:rPr>
              <w:t xml:space="preserve"> </w:t>
            </w:r>
            <w:r w:rsidRPr="00600ED9">
              <w:rPr>
                <w:rFonts w:eastAsia="Calibri" w:cs="Arial"/>
                <w:lang w:val="es-ES_tradnl"/>
              </w:rPr>
              <w:t xml:space="preserve">de </w:t>
            </w:r>
            <w:r w:rsidR="00342BFF" w:rsidRPr="00600ED9">
              <w:rPr>
                <w:rFonts w:eastAsia="Calibri" w:cs="Arial"/>
                <w:lang w:val="es-ES_tradnl"/>
              </w:rPr>
              <w:t>la dimensión (i</w:t>
            </w:r>
            <w:r w:rsidRPr="00600ED9">
              <w:rPr>
                <w:rFonts w:eastAsia="Calibri" w:cs="Arial"/>
                <w:lang w:val="es-ES_tradnl"/>
              </w:rPr>
              <w:t>i</w:t>
            </w:r>
            <w:r w:rsidR="00342BFF" w:rsidRPr="00600ED9">
              <w:rPr>
                <w:rFonts w:eastAsia="Calibri" w:cs="Arial"/>
                <w:lang w:val="es-ES_tradnl"/>
              </w:rPr>
              <w:t>) de este indicador</w:t>
            </w:r>
            <w:r w:rsidR="0036169A" w:rsidRPr="00600ED9">
              <w:rPr>
                <w:rFonts w:eastAsia="Calibri" w:cs="Arial"/>
                <w:lang w:val="es-ES_tradnl"/>
              </w:rPr>
              <w:t>.</w:t>
            </w:r>
            <w:r w:rsidR="00342BFF" w:rsidRPr="00600ED9">
              <w:rPr>
                <w:rFonts w:eastAsia="Calibri" w:cs="Arial"/>
                <w:lang w:val="es-ES_tradnl"/>
              </w:rPr>
              <w:t xml:space="preserve"> </w:t>
            </w:r>
          </w:p>
        </w:tc>
      </w:tr>
      <w:tr w:rsidR="00342BFF" w:rsidRPr="00600ED9" w:rsidTr="00D13BBE">
        <w:tc>
          <w:tcPr>
            <w:tcW w:w="9356" w:type="dxa"/>
            <w:shd w:val="clear" w:color="auto" w:fill="D9D9D9" w:themeFill="background1" w:themeFillShade="D9"/>
          </w:tcPr>
          <w:p w:rsidR="00342BFF" w:rsidRPr="00600ED9" w:rsidRDefault="00342BFF" w:rsidP="00FB1954">
            <w:pPr>
              <w:pStyle w:val="NoSpacing"/>
              <w:rPr>
                <w:b/>
                <w:i/>
                <w:sz w:val="20"/>
                <w:szCs w:val="20"/>
                <w:lang w:val="es-ES_tradnl"/>
              </w:rPr>
            </w:pPr>
            <w:r w:rsidRPr="00600ED9">
              <w:rPr>
                <w:b/>
                <w:i/>
                <w:sz w:val="20"/>
                <w:szCs w:val="20"/>
                <w:lang w:val="es-ES_tradnl"/>
              </w:rPr>
              <w:lastRenderedPageBreak/>
              <w:t>Dimensión (iv) Aseguramiento de la calidad de auditorías subcontratadas</w:t>
            </w:r>
          </w:p>
        </w:tc>
      </w:tr>
      <w:tr w:rsidR="00342BFF" w:rsidRPr="00600ED9" w:rsidTr="005740BB">
        <w:tc>
          <w:tcPr>
            <w:tcW w:w="9356" w:type="dxa"/>
            <w:shd w:val="clear" w:color="auto" w:fill="D9D9D9" w:themeFill="background1" w:themeFillShade="D9"/>
          </w:tcPr>
          <w:p w:rsidR="00342BFF" w:rsidRPr="00600ED9" w:rsidRDefault="000C705B" w:rsidP="00FB1954">
            <w:pPr>
              <w:pStyle w:val="NoSpacing"/>
              <w:rPr>
                <w:i/>
                <w:sz w:val="20"/>
                <w:szCs w:val="20"/>
                <w:lang w:val="es-ES_tradnl"/>
              </w:rPr>
            </w:pPr>
            <w:r w:rsidRPr="00600ED9">
              <w:rPr>
                <w:b/>
                <w:i/>
                <w:sz w:val="20"/>
                <w:szCs w:val="20"/>
                <w:lang w:val="es-ES_tradnl"/>
              </w:rPr>
              <w:t>Puntuación</w:t>
            </w:r>
            <w:r w:rsidR="00342BFF" w:rsidRPr="00600ED9">
              <w:rPr>
                <w:b/>
                <w:i/>
                <w:sz w:val="20"/>
                <w:szCs w:val="20"/>
                <w:lang w:val="es-ES_tradnl"/>
              </w:rPr>
              <w:t xml:space="preserve"> NA</w:t>
            </w:r>
            <w:r w:rsidRPr="00600ED9">
              <w:rPr>
                <w:b/>
                <w:i/>
                <w:sz w:val="20"/>
                <w:szCs w:val="20"/>
                <w:lang w:val="es-ES_tradnl"/>
              </w:rPr>
              <w:t>:</w:t>
            </w:r>
            <w:r w:rsidR="00342BFF" w:rsidRPr="00600ED9">
              <w:rPr>
                <w:i/>
                <w:sz w:val="20"/>
                <w:szCs w:val="20"/>
                <w:lang w:val="es-ES_tradnl"/>
              </w:rPr>
              <w:t xml:space="preserve">  Los criterios </w:t>
            </w:r>
            <w:r w:rsidR="00342BFF" w:rsidRPr="00600ED9">
              <w:rPr>
                <w:i/>
                <w:color w:val="000000"/>
                <w:sz w:val="20"/>
                <w:szCs w:val="20"/>
                <w:lang w:val="es-ES_tradnl"/>
              </w:rPr>
              <w:t>(a), (b), (c), (d), (e), (f), (g) y (h) no aplican debido a que la CGRC no contrata firmas externas.</w:t>
            </w:r>
            <w:r w:rsidR="00342BFF" w:rsidRPr="00600ED9">
              <w:rPr>
                <w:i/>
                <w:sz w:val="20"/>
                <w:szCs w:val="20"/>
                <w:lang w:val="es-ES_tradnl"/>
              </w:rPr>
              <w:t xml:space="preserve"> </w:t>
            </w:r>
          </w:p>
        </w:tc>
      </w:tr>
      <w:tr w:rsidR="00342BFF" w:rsidRPr="00600ED9" w:rsidTr="00D13BBE">
        <w:tc>
          <w:tcPr>
            <w:tcW w:w="9356" w:type="dxa"/>
          </w:tcPr>
          <w:p w:rsidR="00342BFF" w:rsidRPr="00600ED9" w:rsidRDefault="00342BFF" w:rsidP="00FB1954">
            <w:pPr>
              <w:pStyle w:val="Normaltabletext"/>
              <w:spacing w:after="0"/>
              <w:rPr>
                <w:lang w:val="es-ES_tradnl"/>
              </w:rPr>
            </w:pPr>
            <w:r w:rsidRPr="00600ED9">
              <w:rPr>
                <w:lang w:val="es-ES_tradnl"/>
              </w:rPr>
              <w:t>Durante las vigencias fiscales 2013 y 2014</w:t>
            </w:r>
            <w:r w:rsidR="004C2DD3" w:rsidRPr="00600ED9">
              <w:rPr>
                <w:lang w:val="es-ES_tradnl"/>
              </w:rPr>
              <w:t xml:space="preserve">, </w:t>
            </w:r>
            <w:r w:rsidRPr="00600ED9">
              <w:rPr>
                <w:lang w:val="es-ES_tradnl"/>
              </w:rPr>
              <w:t xml:space="preserve">período </w:t>
            </w:r>
            <w:r w:rsidR="004C2DD3" w:rsidRPr="00600ED9">
              <w:rPr>
                <w:lang w:val="es-ES_tradnl"/>
              </w:rPr>
              <w:t>tomado para</w:t>
            </w:r>
            <w:r w:rsidRPr="00600ED9">
              <w:rPr>
                <w:lang w:val="es-ES_tradnl"/>
              </w:rPr>
              <w:t xml:space="preserve"> este diagnóstico, la CGRC no subcontrató </w:t>
            </w:r>
            <w:r w:rsidR="004C2DD3" w:rsidRPr="00600ED9">
              <w:rPr>
                <w:lang w:val="es-ES_tradnl"/>
              </w:rPr>
              <w:t>F</w:t>
            </w:r>
            <w:r w:rsidRPr="00600ED9">
              <w:rPr>
                <w:lang w:val="es-ES_tradnl"/>
              </w:rPr>
              <w:t xml:space="preserve">irmas externas para realizar auditorías. </w:t>
            </w:r>
          </w:p>
          <w:p w:rsidR="00462986" w:rsidRPr="00600ED9" w:rsidRDefault="00462986" w:rsidP="00FB1954">
            <w:pPr>
              <w:pStyle w:val="Normaltabletext"/>
              <w:spacing w:after="0"/>
              <w:rPr>
                <w:lang w:val="es-ES_tradnl"/>
              </w:rPr>
            </w:pPr>
          </w:p>
        </w:tc>
      </w:tr>
    </w:tbl>
    <w:p w:rsidR="003B04AB" w:rsidRPr="00600ED9" w:rsidRDefault="003B04AB" w:rsidP="00FB1954">
      <w:pPr>
        <w:spacing w:after="0" w:line="240" w:lineRule="auto"/>
        <w:jc w:val="both"/>
        <w:rPr>
          <w:b/>
          <w:sz w:val="20"/>
          <w:szCs w:val="20"/>
        </w:rPr>
      </w:pPr>
    </w:p>
    <w:p w:rsidR="0066134C" w:rsidRPr="00600ED9" w:rsidRDefault="003B04AB" w:rsidP="00FB1954">
      <w:pPr>
        <w:pStyle w:val="NoSpacing"/>
        <w:ind w:left="720"/>
        <w:rPr>
          <w:lang w:val="es-ES_tradnl"/>
        </w:rPr>
      </w:pPr>
      <w:r w:rsidRPr="00600ED9">
        <w:rPr>
          <w:b/>
          <w:bCs/>
          <w:smallCaps/>
          <w:lang w:val="es-ES_tradnl"/>
        </w:rPr>
        <w:t>Recomendaci</w:t>
      </w:r>
      <w:r w:rsidR="00462986" w:rsidRPr="00600ED9">
        <w:rPr>
          <w:b/>
          <w:bCs/>
          <w:smallCaps/>
          <w:lang w:val="es-ES_tradnl"/>
        </w:rPr>
        <w:t>ón</w:t>
      </w:r>
      <w:r w:rsidRPr="00600ED9">
        <w:rPr>
          <w:b/>
          <w:bCs/>
          <w:smallCaps/>
          <w:lang w:val="es-ES_tradnl"/>
        </w:rPr>
        <w:t>:</w:t>
      </w:r>
      <w:r w:rsidR="00B03F60" w:rsidRPr="00600ED9">
        <w:rPr>
          <w:b/>
          <w:bCs/>
          <w:smallCaps/>
          <w:lang w:val="es-ES_tradnl"/>
        </w:rPr>
        <w:t xml:space="preserve"> </w:t>
      </w:r>
      <w:r w:rsidR="005120A2" w:rsidRPr="00600ED9">
        <w:rPr>
          <w:lang w:val="es-ES_tradnl"/>
        </w:rPr>
        <w:t>Consultar el</w:t>
      </w:r>
      <w:r w:rsidR="00CA3E61" w:rsidRPr="00600ED9">
        <w:rPr>
          <w:lang w:val="es-ES_tradnl"/>
        </w:rPr>
        <w:t xml:space="preserve"> Anexo </w:t>
      </w:r>
      <w:r w:rsidR="004C2DD3" w:rsidRPr="00600ED9">
        <w:rPr>
          <w:lang w:val="es-ES_tradnl"/>
        </w:rPr>
        <w:t>A</w:t>
      </w:r>
      <w:r w:rsidR="00CA3E61" w:rsidRPr="00600ED9">
        <w:rPr>
          <w:lang w:val="es-ES_tradnl"/>
        </w:rPr>
        <w:t xml:space="preserve">: Plan de Acción, </w:t>
      </w:r>
      <w:r w:rsidR="004C2DD3" w:rsidRPr="00600ED9">
        <w:rPr>
          <w:lang w:val="es-ES_tradnl"/>
        </w:rPr>
        <w:t xml:space="preserve">recomendación No. </w:t>
      </w:r>
      <w:r w:rsidR="00710AA3" w:rsidRPr="00600ED9">
        <w:rPr>
          <w:lang w:val="es-ES_tradnl"/>
        </w:rPr>
        <w:t>12</w:t>
      </w:r>
      <w:r w:rsidR="00CA3E61" w:rsidRPr="00600ED9">
        <w:rPr>
          <w:lang w:val="es-ES_tradnl"/>
        </w:rPr>
        <w:t>.</w:t>
      </w:r>
    </w:p>
    <w:p w:rsidR="008A3B8E" w:rsidRDefault="008A3B8E" w:rsidP="00FB1954">
      <w:pPr>
        <w:pStyle w:val="NoSpacing"/>
        <w:ind w:left="720"/>
        <w:rPr>
          <w:sz w:val="18"/>
          <w:lang w:val="es-ES_tradnl"/>
        </w:rPr>
      </w:pPr>
    </w:p>
    <w:p w:rsidR="00EA1355" w:rsidRPr="00600ED9" w:rsidRDefault="00EA1355" w:rsidP="00FB1954">
      <w:pPr>
        <w:pStyle w:val="NoSpacing"/>
        <w:ind w:left="720"/>
        <w:rPr>
          <w:sz w:val="18"/>
          <w:lang w:val="es-ES_tradnl"/>
        </w:rPr>
      </w:pPr>
    </w:p>
    <w:p w:rsidR="008B29FE" w:rsidRPr="00600ED9" w:rsidRDefault="00452F8B" w:rsidP="00FB1954">
      <w:pPr>
        <w:pStyle w:val="Heading2"/>
        <w:spacing w:before="0" w:line="240" w:lineRule="auto"/>
      </w:pPr>
      <w:bookmarkStart w:id="26" w:name="_Toc295932918"/>
      <w:r w:rsidRPr="00600ED9">
        <w:t xml:space="preserve">EFS </w:t>
      </w:r>
      <w:r w:rsidR="00720E42" w:rsidRPr="00600ED9">
        <w:t>11 – Fundamentos de la Auditoría Financiera</w:t>
      </w:r>
      <w:bookmarkEnd w:id="26"/>
    </w:p>
    <w:p w:rsidR="00EA738B" w:rsidRPr="00600ED9" w:rsidRDefault="00EA738B" w:rsidP="00FB1954">
      <w:pPr>
        <w:spacing w:after="0" w:line="240" w:lineRule="auto"/>
        <w:rPr>
          <w:sz w:val="20"/>
        </w:rPr>
      </w:pPr>
    </w:p>
    <w:tbl>
      <w:tblPr>
        <w:tblW w:w="8222" w:type="dxa"/>
        <w:tblInd w:w="720" w:type="dxa"/>
        <w:tblCellMar>
          <w:left w:w="70" w:type="dxa"/>
          <w:right w:w="70" w:type="dxa"/>
        </w:tblCellMar>
        <w:tblLook w:val="04A0" w:firstRow="1" w:lastRow="0" w:firstColumn="1" w:lastColumn="0" w:noHBand="0" w:noVBand="1"/>
      </w:tblPr>
      <w:tblGrid>
        <w:gridCol w:w="2515"/>
        <w:gridCol w:w="921"/>
        <w:gridCol w:w="1225"/>
        <w:gridCol w:w="964"/>
        <w:gridCol w:w="1285"/>
        <w:gridCol w:w="180"/>
        <w:gridCol w:w="1132"/>
      </w:tblGrid>
      <w:tr w:rsidR="00D26474" w:rsidRPr="00600ED9" w:rsidTr="00A06F21">
        <w:trPr>
          <w:trHeight w:val="255"/>
        </w:trPr>
        <w:tc>
          <w:tcPr>
            <w:tcW w:w="2515" w:type="dxa"/>
            <w:tcBorders>
              <w:top w:val="nil"/>
              <w:left w:val="nil"/>
              <w:bottom w:val="nil"/>
              <w:right w:val="nil"/>
            </w:tcBorders>
            <w:shd w:val="clear" w:color="auto" w:fill="auto"/>
            <w:noWrap/>
            <w:vAlign w:val="bottom"/>
            <w:hideMark/>
          </w:tcPr>
          <w:p w:rsidR="00D26474" w:rsidRPr="00600ED9" w:rsidRDefault="00D26474" w:rsidP="00FB1954">
            <w:pPr>
              <w:pStyle w:val="NoSpacing"/>
              <w:tabs>
                <w:tab w:val="center" w:pos="4680"/>
                <w:tab w:val="right" w:pos="9360"/>
              </w:tabs>
              <w:jc w:val="center"/>
              <w:rPr>
                <w:sz w:val="20"/>
                <w:lang w:val="es-ES_tradnl"/>
              </w:rPr>
            </w:pPr>
          </w:p>
        </w:tc>
        <w:tc>
          <w:tcPr>
            <w:tcW w:w="4395" w:type="dxa"/>
            <w:gridSpan w:val="4"/>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D26474" w:rsidRPr="00600ED9" w:rsidRDefault="00D26474" w:rsidP="00FB1954">
            <w:pPr>
              <w:pStyle w:val="NoSpacing"/>
              <w:jc w:val="center"/>
              <w:rPr>
                <w:b/>
                <w:bCs/>
                <w:sz w:val="20"/>
                <w:lang w:val="es-ES_tradnl"/>
              </w:rPr>
            </w:pPr>
            <w:r w:rsidRPr="00600ED9">
              <w:rPr>
                <w:b/>
                <w:bCs/>
                <w:sz w:val="20"/>
                <w:lang w:val="es-ES_tradnl"/>
              </w:rPr>
              <w:t>Dimensiones Evaluadas</w:t>
            </w:r>
          </w:p>
        </w:tc>
        <w:tc>
          <w:tcPr>
            <w:tcW w:w="180" w:type="dxa"/>
            <w:tcBorders>
              <w:top w:val="nil"/>
              <w:left w:val="nil"/>
              <w:bottom w:val="nil"/>
              <w:right w:val="nil"/>
            </w:tcBorders>
            <w:shd w:val="clear" w:color="auto" w:fill="auto"/>
            <w:noWrap/>
            <w:vAlign w:val="bottom"/>
            <w:hideMark/>
          </w:tcPr>
          <w:p w:rsidR="00D26474" w:rsidRPr="00600ED9" w:rsidRDefault="00D26474" w:rsidP="00FB1954">
            <w:pPr>
              <w:pStyle w:val="NoSpacing"/>
              <w:tabs>
                <w:tab w:val="center" w:pos="4680"/>
                <w:tab w:val="right" w:pos="9360"/>
              </w:tabs>
              <w:jc w:val="center"/>
              <w:rPr>
                <w:sz w:val="20"/>
                <w:lang w:val="es-ES_tradnl"/>
              </w:rPr>
            </w:pPr>
          </w:p>
        </w:tc>
        <w:tc>
          <w:tcPr>
            <w:tcW w:w="1132" w:type="dxa"/>
            <w:vMerge w:val="restart"/>
            <w:tcBorders>
              <w:top w:val="single" w:sz="4" w:space="0" w:color="auto"/>
              <w:left w:val="single" w:sz="4" w:space="0" w:color="auto"/>
              <w:bottom w:val="single" w:sz="4" w:space="0" w:color="auto"/>
              <w:right w:val="single" w:sz="4" w:space="0" w:color="auto"/>
            </w:tcBorders>
            <w:shd w:val="clear" w:color="000000" w:fill="95B3D7"/>
            <w:vAlign w:val="center"/>
            <w:hideMark/>
          </w:tcPr>
          <w:p w:rsidR="00D26474" w:rsidRPr="00600ED9" w:rsidRDefault="00D26474" w:rsidP="00FB1954">
            <w:pPr>
              <w:pStyle w:val="NoSpacing"/>
              <w:jc w:val="center"/>
              <w:rPr>
                <w:b/>
                <w:bCs/>
                <w:sz w:val="20"/>
                <w:lang w:val="es-ES_tradnl"/>
              </w:rPr>
            </w:pPr>
            <w:r w:rsidRPr="00600ED9">
              <w:rPr>
                <w:b/>
                <w:bCs/>
                <w:sz w:val="20"/>
                <w:lang w:val="es-ES_tradnl"/>
              </w:rPr>
              <w:t>Puntuación General</w:t>
            </w:r>
          </w:p>
        </w:tc>
      </w:tr>
      <w:tr w:rsidR="00D26474" w:rsidRPr="00600ED9" w:rsidTr="00A06F21">
        <w:trPr>
          <w:trHeight w:val="390"/>
        </w:trPr>
        <w:tc>
          <w:tcPr>
            <w:tcW w:w="2515"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D26474" w:rsidRPr="00600ED9" w:rsidRDefault="00D26474" w:rsidP="00FB1954">
            <w:pPr>
              <w:pStyle w:val="NoSpacing"/>
              <w:jc w:val="center"/>
              <w:rPr>
                <w:b/>
                <w:bCs/>
                <w:sz w:val="20"/>
                <w:lang w:val="es-ES_tradnl"/>
              </w:rPr>
            </w:pPr>
            <w:r w:rsidRPr="00600ED9">
              <w:rPr>
                <w:b/>
                <w:bCs/>
                <w:sz w:val="20"/>
                <w:lang w:val="es-ES_tradnl"/>
              </w:rPr>
              <w:t>Indicadores</w:t>
            </w:r>
          </w:p>
        </w:tc>
        <w:tc>
          <w:tcPr>
            <w:tcW w:w="921" w:type="dxa"/>
            <w:tcBorders>
              <w:top w:val="nil"/>
              <w:left w:val="nil"/>
              <w:bottom w:val="single" w:sz="4" w:space="0" w:color="auto"/>
              <w:right w:val="single" w:sz="4" w:space="0" w:color="auto"/>
            </w:tcBorders>
            <w:shd w:val="clear" w:color="000000" w:fill="D8D8D8"/>
            <w:noWrap/>
            <w:hideMark/>
          </w:tcPr>
          <w:p w:rsidR="00A82279" w:rsidRPr="00600ED9" w:rsidRDefault="00A04219" w:rsidP="00FB1954">
            <w:pPr>
              <w:pStyle w:val="NoSpacing"/>
              <w:jc w:val="center"/>
              <w:rPr>
                <w:b/>
                <w:bCs/>
                <w:w w:val="90"/>
                <w:sz w:val="20"/>
                <w:lang w:val="es-ES_tradnl"/>
              </w:rPr>
            </w:pPr>
            <w:r w:rsidRPr="00600ED9">
              <w:rPr>
                <w:b/>
                <w:bCs/>
                <w:w w:val="90"/>
                <w:sz w:val="20"/>
                <w:lang w:val="es-ES_tradnl"/>
              </w:rPr>
              <w:t>(i)</w:t>
            </w:r>
          </w:p>
          <w:p w:rsidR="00D26474" w:rsidRPr="00600ED9" w:rsidRDefault="00D26474" w:rsidP="00FB1954">
            <w:pPr>
              <w:pStyle w:val="NoSpacing"/>
              <w:jc w:val="center"/>
              <w:rPr>
                <w:b/>
                <w:bCs/>
                <w:sz w:val="20"/>
                <w:lang w:val="es-ES_tradnl"/>
              </w:rPr>
            </w:pPr>
            <w:r w:rsidRPr="00600ED9">
              <w:rPr>
                <w:w w:val="90"/>
                <w:sz w:val="20"/>
                <w:lang w:val="es-ES_tradnl"/>
              </w:rPr>
              <w:t>Normas y Directrices de Auditoría Financiera</w:t>
            </w:r>
          </w:p>
        </w:tc>
        <w:tc>
          <w:tcPr>
            <w:tcW w:w="1225" w:type="dxa"/>
            <w:tcBorders>
              <w:top w:val="nil"/>
              <w:left w:val="nil"/>
              <w:bottom w:val="single" w:sz="4" w:space="0" w:color="auto"/>
              <w:right w:val="single" w:sz="4" w:space="0" w:color="auto"/>
            </w:tcBorders>
            <w:shd w:val="clear" w:color="000000" w:fill="D8D8D8"/>
            <w:noWrap/>
            <w:hideMark/>
          </w:tcPr>
          <w:p w:rsidR="00A82279" w:rsidRPr="00600ED9" w:rsidRDefault="00A04219" w:rsidP="00FB1954">
            <w:pPr>
              <w:pStyle w:val="NoSpacing"/>
              <w:jc w:val="center"/>
              <w:rPr>
                <w:b/>
                <w:bCs/>
                <w:w w:val="90"/>
                <w:sz w:val="20"/>
                <w:lang w:val="es-ES_tradnl"/>
              </w:rPr>
            </w:pPr>
            <w:r w:rsidRPr="00600ED9">
              <w:rPr>
                <w:b/>
                <w:bCs/>
                <w:w w:val="90"/>
                <w:sz w:val="20"/>
                <w:lang w:val="es-ES_tradnl"/>
              </w:rPr>
              <w:t>(ii)</w:t>
            </w:r>
          </w:p>
          <w:p w:rsidR="00D26474" w:rsidRPr="00600ED9" w:rsidRDefault="00D26474" w:rsidP="00FB1954">
            <w:pPr>
              <w:pStyle w:val="NoSpacing"/>
              <w:jc w:val="center"/>
              <w:rPr>
                <w:b/>
                <w:bCs/>
                <w:sz w:val="20"/>
                <w:lang w:val="es-ES_tradnl"/>
              </w:rPr>
            </w:pPr>
            <w:r w:rsidRPr="00600ED9">
              <w:rPr>
                <w:w w:val="90"/>
                <w:sz w:val="20"/>
                <w:lang w:val="es-ES_tradnl"/>
              </w:rPr>
              <w:t>Ética e Independencia en la Auditoría Financiera</w:t>
            </w:r>
          </w:p>
        </w:tc>
        <w:tc>
          <w:tcPr>
            <w:tcW w:w="964" w:type="dxa"/>
            <w:tcBorders>
              <w:top w:val="nil"/>
              <w:left w:val="nil"/>
              <w:bottom w:val="single" w:sz="4" w:space="0" w:color="auto"/>
              <w:right w:val="single" w:sz="4" w:space="0" w:color="auto"/>
            </w:tcBorders>
            <w:shd w:val="clear" w:color="000000" w:fill="D8D8D8"/>
            <w:noWrap/>
            <w:hideMark/>
          </w:tcPr>
          <w:p w:rsidR="00A82279" w:rsidRPr="00600ED9" w:rsidRDefault="00A04219" w:rsidP="00FB1954">
            <w:pPr>
              <w:pStyle w:val="NoSpacing"/>
              <w:jc w:val="center"/>
              <w:rPr>
                <w:b/>
                <w:bCs/>
                <w:w w:val="90"/>
                <w:sz w:val="20"/>
                <w:lang w:val="es-ES_tradnl"/>
              </w:rPr>
            </w:pPr>
            <w:r w:rsidRPr="00600ED9">
              <w:rPr>
                <w:b/>
                <w:bCs/>
                <w:w w:val="90"/>
                <w:sz w:val="20"/>
                <w:lang w:val="es-ES_tradnl"/>
              </w:rPr>
              <w:t>(iii)</w:t>
            </w:r>
          </w:p>
          <w:p w:rsidR="00D26474" w:rsidRPr="00600ED9" w:rsidRDefault="00D26474" w:rsidP="00FB1954">
            <w:pPr>
              <w:pStyle w:val="NoSpacing"/>
              <w:jc w:val="center"/>
              <w:rPr>
                <w:b/>
                <w:bCs/>
                <w:sz w:val="20"/>
                <w:lang w:val="es-ES_tradnl"/>
              </w:rPr>
            </w:pPr>
            <w:r w:rsidRPr="00600ED9">
              <w:rPr>
                <w:w w:val="90"/>
                <w:sz w:val="20"/>
                <w:lang w:val="es-ES_tradnl"/>
              </w:rPr>
              <w:t>Control de Calidad en la Auditoría Financiera</w:t>
            </w:r>
          </w:p>
        </w:tc>
        <w:tc>
          <w:tcPr>
            <w:tcW w:w="1285" w:type="dxa"/>
            <w:tcBorders>
              <w:top w:val="nil"/>
              <w:left w:val="nil"/>
              <w:bottom w:val="single" w:sz="4" w:space="0" w:color="auto"/>
              <w:right w:val="single" w:sz="4" w:space="0" w:color="auto"/>
            </w:tcBorders>
            <w:shd w:val="clear" w:color="000000" w:fill="D8D8D8"/>
            <w:noWrap/>
            <w:hideMark/>
          </w:tcPr>
          <w:p w:rsidR="00A82279" w:rsidRPr="00600ED9" w:rsidRDefault="00A04219" w:rsidP="00FB1954">
            <w:pPr>
              <w:pStyle w:val="NoSpacing"/>
              <w:jc w:val="center"/>
              <w:rPr>
                <w:b/>
                <w:bCs/>
                <w:w w:val="90"/>
                <w:sz w:val="20"/>
                <w:lang w:val="es-ES_tradnl"/>
              </w:rPr>
            </w:pPr>
            <w:r w:rsidRPr="00600ED9">
              <w:rPr>
                <w:b/>
                <w:bCs/>
                <w:w w:val="90"/>
                <w:sz w:val="20"/>
                <w:lang w:val="es-ES_tradnl"/>
              </w:rPr>
              <w:t>(iv)</w:t>
            </w:r>
          </w:p>
          <w:p w:rsidR="00D26474" w:rsidRPr="00600ED9" w:rsidRDefault="00D26474" w:rsidP="00FB1954">
            <w:pPr>
              <w:pStyle w:val="NoSpacing"/>
              <w:jc w:val="center"/>
              <w:rPr>
                <w:b/>
                <w:bCs/>
                <w:sz w:val="20"/>
                <w:lang w:val="es-ES_tradnl"/>
              </w:rPr>
            </w:pPr>
            <w:r w:rsidRPr="00600ED9">
              <w:rPr>
                <w:w w:val="90"/>
                <w:sz w:val="20"/>
                <w:lang w:val="es-ES_tradnl"/>
              </w:rPr>
              <w:t>Dirección y Habilidades del Equipo de Auditoría Financiera</w:t>
            </w:r>
          </w:p>
        </w:tc>
        <w:tc>
          <w:tcPr>
            <w:tcW w:w="180" w:type="dxa"/>
            <w:tcBorders>
              <w:top w:val="nil"/>
              <w:left w:val="nil"/>
              <w:bottom w:val="nil"/>
              <w:right w:val="nil"/>
            </w:tcBorders>
            <w:shd w:val="clear" w:color="auto" w:fill="auto"/>
            <w:noWrap/>
            <w:hideMark/>
          </w:tcPr>
          <w:p w:rsidR="00D26474" w:rsidRPr="00600ED9" w:rsidRDefault="00D26474" w:rsidP="00FB1954">
            <w:pPr>
              <w:pStyle w:val="NoSpacing"/>
              <w:tabs>
                <w:tab w:val="center" w:pos="4680"/>
                <w:tab w:val="right" w:pos="9360"/>
              </w:tabs>
              <w:jc w:val="center"/>
              <w:rPr>
                <w:sz w:val="20"/>
                <w:lang w:val="es-ES_tradnl"/>
              </w:rPr>
            </w:pPr>
          </w:p>
        </w:tc>
        <w:tc>
          <w:tcPr>
            <w:tcW w:w="1132" w:type="dxa"/>
            <w:vMerge/>
            <w:tcBorders>
              <w:top w:val="single" w:sz="4" w:space="0" w:color="auto"/>
              <w:left w:val="single" w:sz="4" w:space="0" w:color="auto"/>
              <w:bottom w:val="single" w:sz="4" w:space="0" w:color="auto"/>
              <w:right w:val="single" w:sz="4" w:space="0" w:color="auto"/>
            </w:tcBorders>
            <w:hideMark/>
          </w:tcPr>
          <w:p w:rsidR="00D26474" w:rsidRPr="00600ED9" w:rsidRDefault="00D26474" w:rsidP="00FB1954">
            <w:pPr>
              <w:pStyle w:val="NoSpacing"/>
              <w:tabs>
                <w:tab w:val="center" w:pos="4680"/>
                <w:tab w:val="right" w:pos="9360"/>
              </w:tabs>
              <w:jc w:val="center"/>
              <w:rPr>
                <w:b/>
                <w:bCs/>
                <w:sz w:val="20"/>
                <w:lang w:val="es-ES_tradnl"/>
              </w:rPr>
            </w:pPr>
          </w:p>
        </w:tc>
      </w:tr>
      <w:tr w:rsidR="00D26474" w:rsidRPr="00600ED9" w:rsidTr="00A06F21">
        <w:trPr>
          <w:trHeight w:val="510"/>
        </w:trPr>
        <w:tc>
          <w:tcPr>
            <w:tcW w:w="2515" w:type="dxa"/>
            <w:tcBorders>
              <w:top w:val="nil"/>
              <w:left w:val="single" w:sz="4" w:space="0" w:color="auto"/>
              <w:bottom w:val="single" w:sz="4" w:space="0" w:color="auto"/>
              <w:right w:val="single" w:sz="4" w:space="0" w:color="auto"/>
            </w:tcBorders>
            <w:shd w:val="clear" w:color="auto" w:fill="auto"/>
            <w:vAlign w:val="center"/>
            <w:hideMark/>
          </w:tcPr>
          <w:p w:rsidR="00D26474" w:rsidRPr="00600ED9" w:rsidRDefault="00D26474" w:rsidP="00FB1954">
            <w:pPr>
              <w:pStyle w:val="NoSpacing"/>
              <w:jc w:val="center"/>
              <w:rPr>
                <w:b/>
                <w:bCs/>
                <w:sz w:val="20"/>
                <w:lang w:val="es-ES_tradnl"/>
              </w:rPr>
            </w:pPr>
            <w:r w:rsidRPr="00600ED9">
              <w:rPr>
                <w:rFonts w:eastAsia="Calibri" w:cs="Times New Roman"/>
                <w:b/>
                <w:sz w:val="20"/>
                <w:lang w:val="es-ES_tradnl"/>
              </w:rPr>
              <w:t>EFS 11 – Fundamentos de la Auditoría Financiera</w:t>
            </w:r>
          </w:p>
        </w:tc>
        <w:tc>
          <w:tcPr>
            <w:tcW w:w="921" w:type="dxa"/>
            <w:tcBorders>
              <w:top w:val="nil"/>
              <w:left w:val="nil"/>
              <w:bottom w:val="single" w:sz="4" w:space="0" w:color="auto"/>
              <w:right w:val="single" w:sz="4" w:space="0" w:color="auto"/>
            </w:tcBorders>
            <w:shd w:val="clear" w:color="auto" w:fill="auto"/>
            <w:noWrap/>
            <w:vAlign w:val="center"/>
          </w:tcPr>
          <w:p w:rsidR="00D26474" w:rsidRPr="00600ED9" w:rsidRDefault="00D26474" w:rsidP="00FB1954">
            <w:pPr>
              <w:pStyle w:val="NoSpacing"/>
              <w:jc w:val="center"/>
              <w:rPr>
                <w:b/>
                <w:bCs/>
                <w:sz w:val="20"/>
                <w:lang w:val="es-ES_tradnl"/>
              </w:rPr>
            </w:pPr>
            <w:r w:rsidRPr="00600ED9">
              <w:rPr>
                <w:b/>
                <w:bCs/>
                <w:sz w:val="20"/>
                <w:lang w:val="es-ES_tradnl"/>
              </w:rPr>
              <w:t>0</w:t>
            </w:r>
          </w:p>
        </w:tc>
        <w:tc>
          <w:tcPr>
            <w:tcW w:w="1225" w:type="dxa"/>
            <w:tcBorders>
              <w:top w:val="nil"/>
              <w:left w:val="nil"/>
              <w:bottom w:val="single" w:sz="4" w:space="0" w:color="auto"/>
              <w:right w:val="single" w:sz="4" w:space="0" w:color="auto"/>
            </w:tcBorders>
            <w:shd w:val="clear" w:color="auto" w:fill="auto"/>
            <w:noWrap/>
            <w:vAlign w:val="center"/>
          </w:tcPr>
          <w:p w:rsidR="00D26474" w:rsidRPr="00600ED9" w:rsidRDefault="00D26474" w:rsidP="00FB1954">
            <w:pPr>
              <w:pStyle w:val="NoSpacing"/>
              <w:jc w:val="center"/>
              <w:rPr>
                <w:b/>
                <w:bCs/>
                <w:sz w:val="20"/>
                <w:lang w:val="es-ES_tradnl"/>
              </w:rPr>
            </w:pPr>
            <w:r w:rsidRPr="00600ED9">
              <w:rPr>
                <w:b/>
                <w:bCs/>
                <w:sz w:val="20"/>
                <w:lang w:val="es-ES_tradnl"/>
              </w:rPr>
              <w:t>4</w:t>
            </w:r>
          </w:p>
        </w:tc>
        <w:tc>
          <w:tcPr>
            <w:tcW w:w="964" w:type="dxa"/>
            <w:tcBorders>
              <w:top w:val="nil"/>
              <w:left w:val="nil"/>
              <w:bottom w:val="single" w:sz="4" w:space="0" w:color="auto"/>
              <w:right w:val="single" w:sz="4" w:space="0" w:color="auto"/>
            </w:tcBorders>
            <w:shd w:val="clear" w:color="auto" w:fill="auto"/>
            <w:noWrap/>
            <w:vAlign w:val="center"/>
          </w:tcPr>
          <w:p w:rsidR="00D26474" w:rsidRPr="00600ED9" w:rsidRDefault="00D26474" w:rsidP="00FB1954">
            <w:pPr>
              <w:pStyle w:val="NoSpacing"/>
              <w:jc w:val="center"/>
              <w:rPr>
                <w:b/>
                <w:bCs/>
                <w:sz w:val="20"/>
                <w:lang w:val="es-ES_tradnl"/>
              </w:rPr>
            </w:pPr>
            <w:r w:rsidRPr="00600ED9">
              <w:rPr>
                <w:b/>
                <w:bCs/>
                <w:sz w:val="20"/>
                <w:lang w:val="es-ES_tradnl"/>
              </w:rPr>
              <w:t>3</w:t>
            </w:r>
          </w:p>
        </w:tc>
        <w:tc>
          <w:tcPr>
            <w:tcW w:w="1285" w:type="dxa"/>
            <w:tcBorders>
              <w:top w:val="nil"/>
              <w:left w:val="nil"/>
              <w:bottom w:val="single" w:sz="4" w:space="0" w:color="auto"/>
              <w:right w:val="single" w:sz="4" w:space="0" w:color="auto"/>
            </w:tcBorders>
            <w:shd w:val="clear" w:color="auto" w:fill="auto"/>
            <w:noWrap/>
            <w:vAlign w:val="center"/>
          </w:tcPr>
          <w:p w:rsidR="00D26474" w:rsidRPr="00600ED9" w:rsidRDefault="00D26474" w:rsidP="00FB1954">
            <w:pPr>
              <w:pStyle w:val="NoSpacing"/>
              <w:jc w:val="center"/>
              <w:rPr>
                <w:b/>
                <w:bCs/>
                <w:sz w:val="20"/>
                <w:lang w:val="es-ES_tradnl"/>
              </w:rPr>
            </w:pPr>
            <w:r w:rsidRPr="00600ED9">
              <w:rPr>
                <w:b/>
                <w:bCs/>
                <w:sz w:val="20"/>
                <w:lang w:val="es-ES_tradnl"/>
              </w:rPr>
              <w:t>2</w:t>
            </w:r>
          </w:p>
        </w:tc>
        <w:tc>
          <w:tcPr>
            <w:tcW w:w="180" w:type="dxa"/>
            <w:tcBorders>
              <w:top w:val="nil"/>
              <w:left w:val="nil"/>
              <w:bottom w:val="nil"/>
              <w:right w:val="nil"/>
            </w:tcBorders>
            <w:shd w:val="clear" w:color="auto" w:fill="auto"/>
            <w:noWrap/>
            <w:vAlign w:val="bottom"/>
          </w:tcPr>
          <w:p w:rsidR="00D26474" w:rsidRPr="00600ED9" w:rsidRDefault="00D26474" w:rsidP="00FB1954">
            <w:pPr>
              <w:pStyle w:val="NoSpacing"/>
              <w:tabs>
                <w:tab w:val="center" w:pos="4680"/>
                <w:tab w:val="right" w:pos="9360"/>
              </w:tabs>
              <w:jc w:val="center"/>
              <w:rPr>
                <w:sz w:val="20"/>
                <w:lang w:val="es-ES_tradnl"/>
              </w:rPr>
            </w:pPr>
          </w:p>
        </w:tc>
        <w:tc>
          <w:tcPr>
            <w:tcW w:w="1132" w:type="dxa"/>
            <w:tcBorders>
              <w:top w:val="nil"/>
              <w:left w:val="single" w:sz="4" w:space="0" w:color="auto"/>
              <w:bottom w:val="single" w:sz="4" w:space="0" w:color="auto"/>
              <w:right w:val="single" w:sz="4" w:space="0" w:color="auto"/>
            </w:tcBorders>
            <w:shd w:val="clear" w:color="auto" w:fill="auto"/>
            <w:noWrap/>
            <w:vAlign w:val="center"/>
          </w:tcPr>
          <w:p w:rsidR="00D26474" w:rsidRPr="00600ED9" w:rsidRDefault="00D26474" w:rsidP="00FB1954">
            <w:pPr>
              <w:pStyle w:val="NoSpacing"/>
              <w:jc w:val="center"/>
              <w:rPr>
                <w:b/>
                <w:sz w:val="20"/>
                <w:lang w:val="es-ES_tradnl"/>
              </w:rPr>
            </w:pPr>
            <w:r w:rsidRPr="00600ED9">
              <w:rPr>
                <w:b/>
                <w:sz w:val="20"/>
                <w:lang w:val="es-ES_tradnl"/>
              </w:rPr>
              <w:t>2</w:t>
            </w:r>
          </w:p>
        </w:tc>
      </w:tr>
    </w:tbl>
    <w:p w:rsidR="00637A59" w:rsidRPr="00600ED9" w:rsidRDefault="00637A59" w:rsidP="00FB1954">
      <w:pPr>
        <w:pStyle w:val="NoSpacing"/>
        <w:ind w:left="720"/>
        <w:jc w:val="both"/>
        <w:rPr>
          <w:sz w:val="20"/>
          <w:lang w:val="es-ES_tradnl"/>
        </w:rPr>
      </w:pPr>
    </w:p>
    <w:p w:rsidR="00BD25EE" w:rsidRPr="00600ED9" w:rsidRDefault="00BD25EE" w:rsidP="00FB1954">
      <w:pPr>
        <w:pStyle w:val="NoSpacing"/>
        <w:ind w:left="720"/>
        <w:jc w:val="both"/>
        <w:rPr>
          <w:lang w:val="es-ES_tradnl"/>
        </w:rPr>
      </w:pPr>
      <w:r w:rsidRPr="00600ED9">
        <w:rPr>
          <w:lang w:val="es-ES_tradnl"/>
        </w:rPr>
        <w:t xml:space="preserve">Aunque </w:t>
      </w:r>
      <w:r w:rsidR="00637A59" w:rsidRPr="00600ED9">
        <w:rPr>
          <w:lang w:val="es-ES_tradnl"/>
        </w:rPr>
        <w:t xml:space="preserve">CGRC dispone de pautas fundamentales para adelantar el Proceso Auditor </w:t>
      </w:r>
      <w:r w:rsidR="00BE30DA" w:rsidRPr="00600ED9">
        <w:rPr>
          <w:lang w:val="es-ES_tradnl"/>
        </w:rPr>
        <w:t>formalizada</w:t>
      </w:r>
      <w:r w:rsidR="00637A59" w:rsidRPr="00600ED9">
        <w:rPr>
          <w:lang w:val="es-ES_tradnl"/>
        </w:rPr>
        <w:t>s</w:t>
      </w:r>
      <w:r w:rsidR="00D26474" w:rsidRPr="00600ED9">
        <w:rPr>
          <w:lang w:val="es-ES_tradnl"/>
        </w:rPr>
        <w:t xml:space="preserve"> </w:t>
      </w:r>
      <w:r w:rsidR="00637A59" w:rsidRPr="00600ED9">
        <w:rPr>
          <w:rFonts w:cs="Calibri"/>
          <w:lang w:val="es-ES_tradnl"/>
        </w:rPr>
        <w:t>en la Guí</w:t>
      </w:r>
      <w:r w:rsidRPr="00600ED9">
        <w:rPr>
          <w:rFonts w:cs="Calibri"/>
          <w:lang w:val="es-ES_tradnl"/>
        </w:rPr>
        <w:t>a de Auditoría Ajustada al SICA, no están</w:t>
      </w:r>
      <w:r w:rsidRPr="00600ED9">
        <w:rPr>
          <w:b/>
          <w:lang w:val="es-ES_tradnl"/>
        </w:rPr>
        <w:t xml:space="preserve"> </w:t>
      </w:r>
      <w:r w:rsidRPr="00600ED9">
        <w:rPr>
          <w:lang w:val="es-ES_tradnl"/>
        </w:rPr>
        <w:t xml:space="preserve">basadas o </w:t>
      </w:r>
      <w:r w:rsidR="00FA197E" w:rsidRPr="00600ED9">
        <w:rPr>
          <w:lang w:val="es-ES_tradnl"/>
        </w:rPr>
        <w:t xml:space="preserve">no es consistente  </w:t>
      </w:r>
      <w:r w:rsidRPr="00600ED9">
        <w:rPr>
          <w:lang w:val="es-ES_tradnl"/>
        </w:rPr>
        <w:t>con los estándares internacionales para la Auditoría Financiera (ISSAI 200</w:t>
      </w:r>
      <w:r w:rsidRPr="00600ED9">
        <w:rPr>
          <w:rStyle w:val="FootnoteReference"/>
          <w:lang w:val="es-ES_tradnl"/>
        </w:rPr>
        <w:footnoteReference w:id="35"/>
      </w:r>
      <w:r w:rsidRPr="00600ED9">
        <w:rPr>
          <w:lang w:val="es-ES_tradnl"/>
        </w:rPr>
        <w:t xml:space="preserve"> e ISSAI 1000-1810</w:t>
      </w:r>
      <w:r w:rsidRPr="00600ED9">
        <w:rPr>
          <w:rStyle w:val="FootnoteReference"/>
          <w:lang w:val="es-ES_tradnl"/>
        </w:rPr>
        <w:footnoteReference w:id="36"/>
      </w:r>
      <w:r w:rsidRPr="00600ED9">
        <w:rPr>
          <w:lang w:val="es-ES_tradnl"/>
        </w:rPr>
        <w:t>)</w:t>
      </w:r>
      <w:r w:rsidR="00BE30DA" w:rsidRPr="00600ED9">
        <w:rPr>
          <w:lang w:val="es-ES_tradnl"/>
        </w:rPr>
        <w:t xml:space="preserve"> y el control de calidad (ISSAI 40)</w:t>
      </w:r>
      <w:r w:rsidRPr="00600ED9">
        <w:rPr>
          <w:lang w:val="es-ES_tradnl"/>
        </w:rPr>
        <w:t>.</w:t>
      </w:r>
    </w:p>
    <w:p w:rsidR="002E03C7" w:rsidRPr="00600ED9" w:rsidRDefault="002E03C7" w:rsidP="00FB1954">
      <w:pPr>
        <w:pStyle w:val="NoSpacing"/>
        <w:ind w:left="720"/>
        <w:jc w:val="both"/>
        <w:rPr>
          <w:sz w:val="16"/>
          <w:lang w:val="es-ES_tradnl"/>
        </w:rPr>
      </w:pPr>
    </w:p>
    <w:p w:rsidR="0066134C" w:rsidRPr="00600ED9" w:rsidRDefault="00BD25EE" w:rsidP="00FB1954">
      <w:pPr>
        <w:pStyle w:val="NoSpacing"/>
        <w:ind w:left="720"/>
        <w:jc w:val="both"/>
        <w:rPr>
          <w:lang w:val="es-ES_tradnl"/>
        </w:rPr>
      </w:pPr>
      <w:r w:rsidRPr="00600ED9">
        <w:rPr>
          <w:lang w:val="es-ES_tradnl"/>
        </w:rPr>
        <w:t xml:space="preserve">La </w:t>
      </w:r>
      <w:r w:rsidR="00431CA4" w:rsidRPr="00600ED9">
        <w:rPr>
          <w:lang w:val="es-ES_tradnl"/>
        </w:rPr>
        <w:t>CGRC</w:t>
      </w:r>
      <w:r w:rsidR="00F07F86" w:rsidRPr="00600ED9">
        <w:rPr>
          <w:lang w:val="es-ES_tradnl"/>
        </w:rPr>
        <w:t xml:space="preserve"> </w:t>
      </w:r>
      <w:r w:rsidR="00BE30DA" w:rsidRPr="00600ED9">
        <w:rPr>
          <w:lang w:val="es-ES_tradnl"/>
        </w:rPr>
        <w:t>dispone de</w:t>
      </w:r>
      <w:r w:rsidR="00F07F86" w:rsidRPr="00600ED9">
        <w:rPr>
          <w:lang w:val="es-ES_tradnl"/>
        </w:rPr>
        <w:t xml:space="preserve"> </w:t>
      </w:r>
      <w:r w:rsidR="00BE30DA" w:rsidRPr="00600ED9">
        <w:rPr>
          <w:lang w:val="es-ES_tradnl"/>
        </w:rPr>
        <w:t>C</w:t>
      </w:r>
      <w:r w:rsidR="00D26474" w:rsidRPr="00600ED9">
        <w:rPr>
          <w:lang w:val="es-ES_tradnl"/>
        </w:rPr>
        <w:t xml:space="preserve">ódigo de </w:t>
      </w:r>
      <w:r w:rsidR="00BE30DA" w:rsidRPr="00600ED9">
        <w:rPr>
          <w:lang w:val="es-ES_tradnl"/>
        </w:rPr>
        <w:t>É</w:t>
      </w:r>
      <w:r w:rsidR="00D26474" w:rsidRPr="00600ED9">
        <w:rPr>
          <w:lang w:val="es-ES_tradnl"/>
        </w:rPr>
        <w:t xml:space="preserve">tica y de </w:t>
      </w:r>
      <w:r w:rsidR="00BE30DA" w:rsidRPr="00600ED9">
        <w:rPr>
          <w:lang w:val="es-ES_tradnl"/>
        </w:rPr>
        <w:t>Código de B</w:t>
      </w:r>
      <w:r w:rsidR="00D26474" w:rsidRPr="00600ED9">
        <w:rPr>
          <w:lang w:val="es-ES_tradnl"/>
        </w:rPr>
        <w:t xml:space="preserve">uen </w:t>
      </w:r>
      <w:r w:rsidR="00BE30DA" w:rsidRPr="00600ED9">
        <w:rPr>
          <w:lang w:val="es-ES_tradnl"/>
        </w:rPr>
        <w:t>G</w:t>
      </w:r>
      <w:r w:rsidR="00D26474" w:rsidRPr="00600ED9">
        <w:rPr>
          <w:lang w:val="es-ES_tradnl"/>
        </w:rPr>
        <w:t>obierno</w:t>
      </w:r>
      <w:r w:rsidR="00BE30DA" w:rsidRPr="00600ED9">
        <w:rPr>
          <w:lang w:val="es-ES_tradnl"/>
        </w:rPr>
        <w:t xml:space="preserve">.  Sin embargo, </w:t>
      </w:r>
      <w:r w:rsidRPr="00600ED9">
        <w:rPr>
          <w:lang w:val="es-ES_tradnl"/>
        </w:rPr>
        <w:t>está pendiente la implementación de actividades específicas de inducción, socialización y validación de</w:t>
      </w:r>
      <w:r w:rsidR="00BE30DA" w:rsidRPr="00600ED9">
        <w:rPr>
          <w:lang w:val="es-ES_tradnl"/>
        </w:rPr>
        <w:t xml:space="preserve"> su </w:t>
      </w:r>
      <w:r w:rsidRPr="00600ED9">
        <w:rPr>
          <w:lang w:val="es-ES_tradnl"/>
        </w:rPr>
        <w:t>conocimiento y entendimiento</w:t>
      </w:r>
      <w:r w:rsidR="00BE30DA" w:rsidRPr="00600ED9">
        <w:rPr>
          <w:lang w:val="es-ES_tradnl"/>
        </w:rPr>
        <w:t>, así como la revelación de posibles conflictos de interés</w:t>
      </w:r>
      <w:r w:rsidRPr="00600ED9">
        <w:rPr>
          <w:lang w:val="es-ES_tradnl"/>
        </w:rPr>
        <w:t xml:space="preserve">. </w:t>
      </w:r>
      <w:r w:rsidR="00BE30DA" w:rsidRPr="00600ED9">
        <w:rPr>
          <w:lang w:val="es-ES_tradnl"/>
        </w:rPr>
        <w:t xml:space="preserve">El </w:t>
      </w:r>
      <w:r w:rsidR="00D26474" w:rsidRPr="00600ED9">
        <w:rPr>
          <w:lang w:val="es-ES_tradnl"/>
        </w:rPr>
        <w:t>SICA</w:t>
      </w:r>
      <w:r w:rsidR="00BE30DA" w:rsidRPr="00600ED9">
        <w:rPr>
          <w:lang w:val="es-ES_tradnl"/>
        </w:rPr>
        <w:t xml:space="preserve"> establece este procedimiento</w:t>
      </w:r>
      <w:r w:rsidR="00D26474" w:rsidRPr="00600ED9">
        <w:rPr>
          <w:lang w:val="es-ES_tradnl"/>
        </w:rPr>
        <w:t xml:space="preserve">, </w:t>
      </w:r>
      <w:r w:rsidR="00BE30DA" w:rsidRPr="00600ED9">
        <w:rPr>
          <w:lang w:val="es-ES_tradnl"/>
        </w:rPr>
        <w:t xml:space="preserve">pero no existe evidencia de su efectiva aplicación.  </w:t>
      </w:r>
    </w:p>
    <w:p w:rsidR="00462986" w:rsidRPr="00600ED9" w:rsidRDefault="00462986" w:rsidP="00FB1954">
      <w:pPr>
        <w:pStyle w:val="NoSpacing"/>
        <w:ind w:left="720"/>
        <w:jc w:val="both"/>
        <w:rPr>
          <w:lang w:val="es-ES_tradnl"/>
        </w:rPr>
      </w:pPr>
    </w:p>
    <w:p w:rsidR="00BE30DA" w:rsidRPr="00600ED9" w:rsidRDefault="00BE30DA" w:rsidP="00FB1954">
      <w:pPr>
        <w:pStyle w:val="NoSpacing"/>
        <w:ind w:left="720"/>
        <w:jc w:val="both"/>
        <w:rPr>
          <w:lang w:val="es-ES_tradnl"/>
        </w:rPr>
      </w:pPr>
      <w:r w:rsidRPr="00600ED9">
        <w:rPr>
          <w:lang w:val="es-ES_tradnl"/>
        </w:rPr>
        <w:t xml:space="preserve">El equipo a cargo de las Auditorías Financieras, cuenta con experiencia y conocimiento pero requieren fortalecer sus capacidades y competencias en los estándares internacionales y la práctica de auditorías de tecnología.    </w:t>
      </w:r>
    </w:p>
    <w:p w:rsidR="002E03C7" w:rsidRPr="00600ED9" w:rsidRDefault="002E03C7" w:rsidP="00FB1954">
      <w:pPr>
        <w:pStyle w:val="NoSpacing"/>
        <w:ind w:left="720"/>
        <w:jc w:val="both"/>
        <w:rPr>
          <w:color w:val="000000"/>
          <w:sz w:val="20"/>
          <w:szCs w:val="20"/>
          <w:lang w:val="es-ES_tradnl"/>
        </w:rPr>
      </w:pPr>
    </w:p>
    <w:tbl>
      <w:tblPr>
        <w:tblStyle w:val="TableGrid"/>
        <w:tblW w:w="9356" w:type="dxa"/>
        <w:tblInd w:w="817" w:type="dxa"/>
        <w:tblLook w:val="04A0" w:firstRow="1" w:lastRow="0" w:firstColumn="1" w:lastColumn="0" w:noHBand="0" w:noVBand="1"/>
      </w:tblPr>
      <w:tblGrid>
        <w:gridCol w:w="9356"/>
      </w:tblGrid>
      <w:tr w:rsidR="00BE262E" w:rsidRPr="00600ED9" w:rsidTr="002E03C7">
        <w:trPr>
          <w:tblHeader/>
        </w:trPr>
        <w:tc>
          <w:tcPr>
            <w:tcW w:w="9356" w:type="dxa"/>
            <w:shd w:val="clear" w:color="auto" w:fill="365F91" w:themeFill="accent1" w:themeFillShade="BF"/>
          </w:tcPr>
          <w:p w:rsidR="00BE262E" w:rsidRPr="00600ED9" w:rsidRDefault="00BE262E" w:rsidP="00FB1954">
            <w:pPr>
              <w:pStyle w:val="NoSpacing"/>
              <w:rPr>
                <w:b/>
                <w:color w:val="FFFFFF" w:themeColor="background1"/>
                <w:sz w:val="20"/>
                <w:szCs w:val="20"/>
                <w:lang w:val="es-ES_tradnl"/>
              </w:rPr>
            </w:pPr>
            <w:r w:rsidRPr="00600ED9">
              <w:rPr>
                <w:b/>
                <w:color w:val="FFFFFF" w:themeColor="background1"/>
                <w:sz w:val="20"/>
                <w:szCs w:val="20"/>
                <w:lang w:val="es-ES_tradnl"/>
              </w:rPr>
              <w:t>Principales observaciones y conclusiones</w:t>
            </w:r>
          </w:p>
        </w:tc>
      </w:tr>
      <w:tr w:rsidR="00BE262E" w:rsidRPr="00600ED9" w:rsidTr="002E03C7">
        <w:tc>
          <w:tcPr>
            <w:tcW w:w="9356" w:type="dxa"/>
            <w:shd w:val="clear" w:color="auto" w:fill="D9D9D9" w:themeFill="background1" w:themeFillShade="D9"/>
          </w:tcPr>
          <w:p w:rsidR="00BE262E" w:rsidRPr="00600ED9" w:rsidRDefault="00BE262E" w:rsidP="00FB1954">
            <w:pPr>
              <w:pStyle w:val="NoSpacing"/>
              <w:rPr>
                <w:b/>
                <w:i/>
                <w:sz w:val="20"/>
                <w:szCs w:val="20"/>
                <w:lang w:val="es-ES_tradnl"/>
              </w:rPr>
            </w:pPr>
            <w:r w:rsidRPr="00600ED9">
              <w:rPr>
                <w:b/>
                <w:i/>
                <w:sz w:val="20"/>
                <w:szCs w:val="20"/>
                <w:lang w:val="es-ES_tradnl"/>
              </w:rPr>
              <w:t xml:space="preserve">Dimensión (i) </w:t>
            </w:r>
            <w:r w:rsidRPr="00600ED9">
              <w:rPr>
                <w:b/>
                <w:i/>
                <w:iCs/>
                <w:sz w:val="20"/>
                <w:szCs w:val="20"/>
                <w:lang w:val="es-ES_tradnl"/>
              </w:rPr>
              <w:t>Normas y directrices de la auditoría financiera</w:t>
            </w:r>
          </w:p>
        </w:tc>
      </w:tr>
      <w:tr w:rsidR="00BE262E" w:rsidRPr="00600ED9" w:rsidTr="002E03C7">
        <w:tc>
          <w:tcPr>
            <w:tcW w:w="9356" w:type="dxa"/>
            <w:shd w:val="clear" w:color="auto" w:fill="D9D9D9" w:themeFill="background1" w:themeFillShade="D9"/>
          </w:tcPr>
          <w:p w:rsidR="00BE262E" w:rsidRPr="00600ED9" w:rsidRDefault="00BE262E" w:rsidP="00FB1954">
            <w:pPr>
              <w:pStyle w:val="NoSpacing"/>
              <w:rPr>
                <w:rFonts w:eastAsia="Calibri" w:cs="Arial"/>
                <w:i/>
                <w:sz w:val="20"/>
                <w:szCs w:val="20"/>
                <w:lang w:val="es-ES_tradnl"/>
              </w:rPr>
            </w:pPr>
            <w:r w:rsidRPr="00600ED9">
              <w:rPr>
                <w:rFonts w:eastAsia="Calibri" w:cs="Arial"/>
                <w:b/>
                <w:i/>
                <w:sz w:val="20"/>
                <w:szCs w:val="20"/>
                <w:lang w:val="es-ES_tradnl"/>
              </w:rPr>
              <w:t>Puntuación</w:t>
            </w:r>
            <w:r w:rsidR="000154DB" w:rsidRPr="00600ED9">
              <w:rPr>
                <w:rFonts w:eastAsia="Calibri" w:cs="Arial"/>
                <w:b/>
                <w:i/>
                <w:sz w:val="20"/>
                <w:szCs w:val="20"/>
                <w:lang w:val="es-ES_tradnl"/>
              </w:rPr>
              <w:t xml:space="preserve"> </w:t>
            </w:r>
            <w:r w:rsidRPr="00600ED9">
              <w:rPr>
                <w:b/>
                <w:bCs/>
                <w:i/>
                <w:sz w:val="20"/>
                <w:szCs w:val="20"/>
                <w:lang w:val="es-ES_tradnl"/>
              </w:rPr>
              <w:t>0</w:t>
            </w:r>
            <w:r w:rsidR="000154DB" w:rsidRPr="00600ED9">
              <w:rPr>
                <w:bCs/>
                <w:i/>
                <w:sz w:val="20"/>
                <w:szCs w:val="20"/>
                <w:lang w:val="es-ES_tradnl"/>
              </w:rPr>
              <w:t>:</w:t>
            </w:r>
            <w:r w:rsidRPr="00600ED9">
              <w:rPr>
                <w:bCs/>
                <w:i/>
                <w:sz w:val="20"/>
                <w:szCs w:val="20"/>
                <w:lang w:val="es-ES_tradnl"/>
              </w:rPr>
              <w:t xml:space="preserve"> Ninguno de los criterios (a) o (b) referidos están implementados.</w:t>
            </w:r>
          </w:p>
        </w:tc>
      </w:tr>
      <w:tr w:rsidR="00BE262E" w:rsidRPr="00600ED9" w:rsidTr="002E03C7">
        <w:tc>
          <w:tcPr>
            <w:tcW w:w="9356" w:type="dxa"/>
          </w:tcPr>
          <w:p w:rsidR="00BE262E" w:rsidRPr="00600ED9" w:rsidRDefault="00BE262E" w:rsidP="00FB1954">
            <w:pPr>
              <w:pStyle w:val="Normaltabletext"/>
              <w:spacing w:after="0"/>
              <w:rPr>
                <w:rFonts w:eastAsia="Calibri" w:cs="Arial"/>
                <w:lang w:val="es-ES_tradnl"/>
              </w:rPr>
            </w:pPr>
            <w:r w:rsidRPr="00600ED9">
              <w:rPr>
                <w:rFonts w:eastAsia="Calibri" w:cs="Arial"/>
                <w:lang w:val="es-ES_tradnl"/>
              </w:rPr>
              <w:t xml:space="preserve">Criterios (a), (b) y (c) no cumplen. </w:t>
            </w:r>
          </w:p>
          <w:p w:rsidR="00462986" w:rsidRPr="00600ED9" w:rsidRDefault="00462986" w:rsidP="00FB1954">
            <w:pPr>
              <w:pStyle w:val="Normaltabletext"/>
              <w:spacing w:after="0"/>
              <w:rPr>
                <w:rFonts w:eastAsia="Calibri" w:cs="Arial"/>
                <w:lang w:val="es-ES_tradnl"/>
              </w:rPr>
            </w:pPr>
          </w:p>
          <w:p w:rsidR="000154DB" w:rsidRPr="00600ED9" w:rsidRDefault="00637A59" w:rsidP="00FB1954">
            <w:pPr>
              <w:pStyle w:val="Normaltabletext"/>
              <w:spacing w:after="0"/>
              <w:rPr>
                <w:rFonts w:eastAsia="Calibri" w:cs="Arial"/>
                <w:i/>
                <w:iCs/>
                <w:color w:val="404040" w:themeColor="text1" w:themeTint="BF"/>
                <w:lang w:val="es-ES_tradnl"/>
              </w:rPr>
            </w:pPr>
            <w:r w:rsidRPr="00600ED9">
              <w:rPr>
                <w:rFonts w:eastAsia="Calibri" w:cs="Arial"/>
                <w:lang w:val="es-ES_tradnl"/>
              </w:rPr>
              <w:t>La</w:t>
            </w:r>
            <w:r w:rsidR="00BE262E" w:rsidRPr="00600ED9">
              <w:rPr>
                <w:rFonts w:eastAsia="Calibri" w:cs="Arial"/>
                <w:lang w:val="es-ES_tradnl"/>
              </w:rPr>
              <w:t xml:space="preserve"> CGRC </w:t>
            </w:r>
            <w:r w:rsidRPr="00600ED9">
              <w:rPr>
                <w:rFonts w:eastAsia="Calibri" w:cs="Arial"/>
                <w:lang w:val="es-ES_tradnl"/>
              </w:rPr>
              <w:t xml:space="preserve">dispone de </w:t>
            </w:r>
            <w:r w:rsidR="00F67E96" w:rsidRPr="00600ED9">
              <w:rPr>
                <w:bCs/>
                <w:lang w:val="es-ES_tradnl"/>
              </w:rPr>
              <w:t>pautas fundamentales para adelantar el Proceso Auditor</w:t>
            </w:r>
            <w:r w:rsidR="00194615" w:rsidRPr="00600ED9">
              <w:rPr>
                <w:bCs/>
                <w:lang w:val="es-ES_tradnl"/>
              </w:rPr>
              <w:t>, que incluyen procedimientos para</w:t>
            </w:r>
            <w:r w:rsidR="007948FD" w:rsidRPr="00600ED9">
              <w:rPr>
                <w:bCs/>
                <w:lang w:val="es-ES_tradnl"/>
              </w:rPr>
              <w:t xml:space="preserve"> la</w:t>
            </w:r>
            <w:r w:rsidR="00194615" w:rsidRPr="00600ED9">
              <w:rPr>
                <w:rFonts w:eastAsia="Calibri" w:cs="Arial"/>
                <w:lang w:val="es-ES_tradnl"/>
              </w:rPr>
              <w:t xml:space="preserve"> determinación del riesgo a un nivel aceptable</w:t>
            </w:r>
            <w:r w:rsidR="007948FD" w:rsidRPr="00600ED9">
              <w:rPr>
                <w:rFonts w:eastAsia="Calibri" w:cs="Arial"/>
                <w:lang w:val="es-ES_tradnl"/>
              </w:rPr>
              <w:t xml:space="preserve"> y l</w:t>
            </w:r>
            <w:r w:rsidR="00194615" w:rsidRPr="00600ED9">
              <w:rPr>
                <w:rFonts w:eastAsia="Calibri" w:cs="Arial"/>
                <w:lang w:val="es-ES_tradnl"/>
              </w:rPr>
              <w:t>a evaluación del ambiente de control interno</w:t>
            </w:r>
            <w:r w:rsidR="007948FD" w:rsidRPr="00600ED9">
              <w:rPr>
                <w:rFonts w:eastAsia="Calibri" w:cs="Arial"/>
                <w:lang w:val="es-ES_tradnl"/>
              </w:rPr>
              <w:t>.</w:t>
            </w:r>
            <w:r w:rsidR="000154DB" w:rsidRPr="00600ED9">
              <w:rPr>
                <w:rFonts w:eastAsia="Calibri" w:cs="Arial"/>
                <w:lang w:val="es-ES_tradnl"/>
              </w:rPr>
              <w:t xml:space="preserve"> </w:t>
            </w:r>
          </w:p>
          <w:p w:rsidR="00B726EF" w:rsidRPr="00600ED9" w:rsidRDefault="000154DB" w:rsidP="00FB1954">
            <w:pPr>
              <w:pStyle w:val="Normaltabletext"/>
              <w:spacing w:after="0"/>
              <w:rPr>
                <w:rFonts w:eastAsia="Calibri" w:cs="Arial"/>
                <w:lang w:val="es-ES_tradnl"/>
              </w:rPr>
            </w:pPr>
            <w:r w:rsidRPr="00600ED9">
              <w:rPr>
                <w:rFonts w:eastAsia="Calibri" w:cs="Arial"/>
                <w:lang w:val="es-ES_tradnl"/>
              </w:rPr>
              <w:t>C</w:t>
            </w:r>
            <w:r w:rsidR="00F67E96" w:rsidRPr="00600ED9">
              <w:rPr>
                <w:rFonts w:eastAsia="Calibri" w:cs="Arial"/>
                <w:lang w:val="es-ES_tradnl"/>
              </w:rPr>
              <w:t xml:space="preserve">omo marco de referencia para la ejecución de las Auditorías Financieras, </w:t>
            </w:r>
            <w:r w:rsidR="00BE262E" w:rsidRPr="00600ED9">
              <w:rPr>
                <w:rFonts w:eastAsia="Calibri" w:cs="Arial"/>
                <w:lang w:val="es-ES_tradnl"/>
              </w:rPr>
              <w:t xml:space="preserve">utiliza las </w:t>
            </w:r>
            <w:r w:rsidR="00F67E96" w:rsidRPr="00600ED9">
              <w:rPr>
                <w:rFonts w:eastAsia="Calibri" w:cs="Arial"/>
                <w:lang w:val="es-ES_tradnl"/>
              </w:rPr>
              <w:t>N</w:t>
            </w:r>
            <w:r w:rsidR="00BE262E" w:rsidRPr="00600ED9">
              <w:rPr>
                <w:rFonts w:eastAsia="Calibri" w:cs="Arial"/>
                <w:lang w:val="es-ES_tradnl"/>
              </w:rPr>
              <w:t xml:space="preserve">ormas </w:t>
            </w:r>
            <w:r w:rsidR="00F67E96" w:rsidRPr="00600ED9">
              <w:rPr>
                <w:rFonts w:eastAsia="Calibri" w:cs="Arial"/>
                <w:lang w:val="es-ES_tradnl"/>
              </w:rPr>
              <w:t>C</w:t>
            </w:r>
            <w:r w:rsidR="00BE262E" w:rsidRPr="00600ED9">
              <w:rPr>
                <w:rFonts w:eastAsia="Calibri" w:cs="Arial"/>
                <w:lang w:val="es-ES_tradnl"/>
              </w:rPr>
              <w:t>ontables emitidas por la Contaduría General de la Nación,</w:t>
            </w:r>
            <w:r w:rsidR="00F67E96" w:rsidRPr="00600ED9">
              <w:rPr>
                <w:rFonts w:eastAsia="Calibri" w:cs="Arial"/>
                <w:lang w:val="es-ES_tradnl"/>
              </w:rPr>
              <w:t xml:space="preserve"> las cuales </w:t>
            </w:r>
            <w:r w:rsidR="00BE262E" w:rsidRPr="00600ED9">
              <w:rPr>
                <w:rFonts w:eastAsia="Calibri" w:cs="Arial"/>
                <w:lang w:val="es-ES_tradnl"/>
              </w:rPr>
              <w:t xml:space="preserve">constituyen los principios contables que las entidades del </w:t>
            </w:r>
            <w:r w:rsidR="00F67E96" w:rsidRPr="00600ED9">
              <w:rPr>
                <w:rFonts w:eastAsia="Calibri" w:cs="Arial"/>
                <w:lang w:val="es-ES_tradnl"/>
              </w:rPr>
              <w:t>E</w:t>
            </w:r>
            <w:r w:rsidR="00BE262E" w:rsidRPr="00600ED9">
              <w:rPr>
                <w:rFonts w:eastAsia="Calibri" w:cs="Arial"/>
                <w:lang w:val="es-ES_tradnl"/>
              </w:rPr>
              <w:t xml:space="preserve">stado </w:t>
            </w:r>
            <w:r w:rsidR="00F67E96" w:rsidRPr="00600ED9">
              <w:rPr>
                <w:rFonts w:eastAsia="Calibri" w:cs="Arial"/>
                <w:lang w:val="es-ES_tradnl"/>
              </w:rPr>
              <w:t>utilizan para</w:t>
            </w:r>
            <w:r w:rsidR="00BE262E" w:rsidRPr="00600ED9">
              <w:rPr>
                <w:rFonts w:eastAsia="Calibri" w:cs="Arial"/>
                <w:lang w:val="es-ES_tradnl"/>
              </w:rPr>
              <w:t xml:space="preserve"> la emisión de sus estados financieros</w:t>
            </w:r>
            <w:r w:rsidR="00B726EF" w:rsidRPr="00600ED9">
              <w:rPr>
                <w:rFonts w:eastAsia="Calibri" w:cs="Arial"/>
                <w:lang w:val="es-ES_tradnl"/>
              </w:rPr>
              <w:t xml:space="preserve">. </w:t>
            </w:r>
          </w:p>
          <w:p w:rsidR="00212BEB" w:rsidRPr="00600ED9" w:rsidRDefault="00B726EF" w:rsidP="00FB1954">
            <w:pPr>
              <w:pStyle w:val="Normaltabletext"/>
              <w:spacing w:after="0"/>
              <w:rPr>
                <w:lang w:val="es-ES_tradnl"/>
              </w:rPr>
            </w:pPr>
            <w:r w:rsidRPr="00600ED9">
              <w:rPr>
                <w:rFonts w:eastAsia="Calibri" w:cs="Arial"/>
                <w:lang w:val="es-ES_tradnl"/>
              </w:rPr>
              <w:lastRenderedPageBreak/>
              <w:t>A</w:t>
            </w:r>
            <w:r w:rsidR="00F67E96" w:rsidRPr="00600ED9">
              <w:rPr>
                <w:rFonts w:eastAsia="Calibri" w:cs="Arial"/>
                <w:lang w:val="es-ES_tradnl"/>
              </w:rPr>
              <w:t xml:space="preserve">unque la Guía de Auditoría en la sección 1.1. cita </w:t>
            </w:r>
            <w:r w:rsidR="00F67E96" w:rsidRPr="00600ED9">
              <w:rPr>
                <w:rFonts w:eastAsia="Calibri" w:cs="Arial"/>
                <w:i/>
                <w:lang w:val="es-ES_tradnl"/>
              </w:rPr>
              <w:t>“La Guía de Auditoría que establece las actividades y los procedimientos para realizar el proceso auditor, se fundamenta en las Normas de Auditoría Generalmente Aceptadas, las cuáles son compatibles con las Normas Internacionales de Auditoría (NIAS), con las Normas de Auditoría Gubernamental (NAGU), con las normas de la Organización Internacional de Entidades Fiscalizadoras Superiores (INTOSAI) y con las indicaciones de la Organización Latinoamericana y del Caribe de Entidades Fiscalizadoras Superiores (OLACEFS).”</w:t>
            </w:r>
            <w:r w:rsidR="00F67E96" w:rsidRPr="00600ED9">
              <w:rPr>
                <w:rFonts w:eastAsia="Calibri" w:cs="Arial"/>
                <w:lang w:val="es-ES_tradnl"/>
              </w:rPr>
              <w:t xml:space="preserve">, En la práctica </w:t>
            </w:r>
            <w:r w:rsidR="00BE262E" w:rsidRPr="00600ED9">
              <w:rPr>
                <w:rFonts w:eastAsia="Calibri" w:cs="Arial"/>
                <w:lang w:val="es-ES_tradnl"/>
              </w:rPr>
              <w:t xml:space="preserve"> la </w:t>
            </w:r>
            <w:r w:rsidR="00194615" w:rsidRPr="00600ED9">
              <w:rPr>
                <w:rFonts w:eastAsia="Calibri" w:cs="Arial"/>
                <w:lang w:val="es-ES_tradnl"/>
              </w:rPr>
              <w:t>CGRC</w:t>
            </w:r>
            <w:r w:rsidR="00B847FB" w:rsidRPr="00600ED9">
              <w:rPr>
                <w:lang w:val="es-ES_tradnl"/>
              </w:rPr>
              <w:t xml:space="preserve"> no  ha desarrollado o adoptado </w:t>
            </w:r>
            <w:r w:rsidR="00B847FB" w:rsidRPr="00600ED9">
              <w:rPr>
                <w:b/>
                <w:lang w:val="es-ES_tradnl"/>
              </w:rPr>
              <w:t xml:space="preserve">normas de auditoría </w:t>
            </w:r>
            <w:r w:rsidR="00B847FB" w:rsidRPr="00600ED9">
              <w:rPr>
                <w:lang w:val="es-ES_tradnl"/>
              </w:rPr>
              <w:t>basadas en o consistencia con los estándares internacionales para la Auditoría Financiera (ISSAI 200 o ISSAI 1000-1810), que cubran, entre otros:</w:t>
            </w:r>
          </w:p>
          <w:p w:rsidR="00462986" w:rsidRPr="00600ED9" w:rsidRDefault="00462986" w:rsidP="00FB1954">
            <w:pPr>
              <w:pStyle w:val="Normaltabletext"/>
              <w:spacing w:after="0"/>
              <w:rPr>
                <w:lang w:val="es-ES_tradnl"/>
              </w:rPr>
            </w:pPr>
          </w:p>
          <w:p w:rsidR="00194615" w:rsidRPr="00600ED9" w:rsidRDefault="00194615" w:rsidP="00233205">
            <w:pPr>
              <w:pStyle w:val="Normaltabletext"/>
              <w:numPr>
                <w:ilvl w:val="0"/>
                <w:numId w:val="25"/>
              </w:numPr>
              <w:spacing w:after="0"/>
              <w:ind w:left="443" w:hanging="270"/>
              <w:rPr>
                <w:rFonts w:eastAsia="Calibri" w:cs="Arial"/>
                <w:lang w:val="es-ES_tradnl"/>
              </w:rPr>
            </w:pPr>
            <w:r w:rsidRPr="00600ED9">
              <w:rPr>
                <w:rFonts w:eastAsia="Calibri" w:cs="Arial"/>
                <w:lang w:val="es-ES_tradnl"/>
              </w:rPr>
              <w:t>P</w:t>
            </w:r>
            <w:r w:rsidR="00BE262E" w:rsidRPr="00600ED9">
              <w:rPr>
                <w:rFonts w:eastAsia="Calibri" w:cs="Arial"/>
                <w:lang w:val="es-ES_tradnl"/>
              </w:rPr>
              <w:t xml:space="preserve">rocedimientos para la identificación de la materialidad y/o determinación de las muestras de auditoría. </w:t>
            </w:r>
            <w:r w:rsidRPr="00600ED9">
              <w:rPr>
                <w:rFonts w:eastAsia="Calibri" w:cs="Arial"/>
                <w:lang w:val="es-ES_tradnl"/>
              </w:rPr>
              <w:t>E</w:t>
            </w:r>
            <w:r w:rsidR="00BE262E" w:rsidRPr="00600ED9">
              <w:rPr>
                <w:rFonts w:eastAsia="Calibri" w:cs="Arial"/>
                <w:lang w:val="es-ES_tradnl"/>
              </w:rPr>
              <w:t>l método para el cálculo de la materialidad</w:t>
            </w:r>
            <w:r w:rsidRPr="00600ED9">
              <w:rPr>
                <w:rFonts w:eastAsia="Calibri" w:cs="Arial"/>
                <w:lang w:val="es-ES_tradnl"/>
              </w:rPr>
              <w:t xml:space="preserve"> y la selección </w:t>
            </w:r>
            <w:r w:rsidR="00BE262E" w:rsidRPr="00600ED9">
              <w:rPr>
                <w:rFonts w:eastAsia="Calibri" w:cs="Arial"/>
                <w:lang w:val="es-ES_tradnl"/>
              </w:rPr>
              <w:t xml:space="preserve">de muestras se basa en el criterio profesional de los auditores. </w:t>
            </w:r>
          </w:p>
          <w:p w:rsidR="00194615" w:rsidRPr="00600ED9" w:rsidRDefault="00194615" w:rsidP="00233205">
            <w:pPr>
              <w:pStyle w:val="Normaltabletext"/>
              <w:numPr>
                <w:ilvl w:val="0"/>
                <w:numId w:val="25"/>
              </w:numPr>
              <w:spacing w:after="0"/>
              <w:ind w:left="443" w:hanging="270"/>
              <w:rPr>
                <w:rFonts w:eastAsia="Calibri" w:cs="Arial"/>
                <w:lang w:val="es-ES_tradnl"/>
              </w:rPr>
            </w:pPr>
            <w:r w:rsidRPr="00600ED9">
              <w:rPr>
                <w:rFonts w:eastAsia="Calibri" w:cs="Arial"/>
                <w:lang w:val="es-ES_tradnl"/>
              </w:rPr>
              <w:t>P</w:t>
            </w:r>
            <w:r w:rsidR="00BE262E" w:rsidRPr="00600ED9">
              <w:rPr>
                <w:rFonts w:eastAsia="Calibri" w:cs="Arial"/>
                <w:lang w:val="es-ES_tradnl"/>
              </w:rPr>
              <w:t>rocedimientos analíticos de auditoría iniciales y finales</w:t>
            </w:r>
            <w:r w:rsidRPr="00600ED9">
              <w:rPr>
                <w:rFonts w:eastAsia="Calibri" w:cs="Arial"/>
                <w:lang w:val="es-ES_tradnl"/>
              </w:rPr>
              <w:t xml:space="preserve"> y su documentación</w:t>
            </w:r>
            <w:r w:rsidR="00BE262E" w:rsidRPr="00600ED9">
              <w:rPr>
                <w:rFonts w:eastAsia="Calibri" w:cs="Arial"/>
                <w:lang w:val="es-ES_tradnl"/>
              </w:rPr>
              <w:t xml:space="preserve">. </w:t>
            </w:r>
          </w:p>
          <w:p w:rsidR="00194615" w:rsidRPr="00600ED9" w:rsidRDefault="00B726EF" w:rsidP="00233205">
            <w:pPr>
              <w:pStyle w:val="Normaltabletext"/>
              <w:numPr>
                <w:ilvl w:val="0"/>
                <w:numId w:val="25"/>
              </w:numPr>
              <w:spacing w:after="0"/>
              <w:ind w:left="443" w:hanging="270"/>
              <w:rPr>
                <w:rFonts w:cs="Times New Roman"/>
                <w:color w:val="000000"/>
                <w:lang w:val="es-ES_tradnl"/>
              </w:rPr>
            </w:pPr>
            <w:r w:rsidRPr="00600ED9">
              <w:rPr>
                <w:color w:val="000000"/>
                <w:lang w:val="es-ES_tradnl"/>
              </w:rPr>
              <w:t>F</w:t>
            </w:r>
            <w:r w:rsidR="00194615" w:rsidRPr="00600ED9">
              <w:rPr>
                <w:color w:val="000000"/>
                <w:lang w:val="es-ES_tradnl"/>
              </w:rPr>
              <w:t>orma de</w:t>
            </w:r>
            <w:r w:rsidR="00BE262E" w:rsidRPr="00600ED9">
              <w:rPr>
                <w:color w:val="000000"/>
                <w:lang w:val="es-ES_tradnl"/>
              </w:rPr>
              <w:t xml:space="preserve"> documenta</w:t>
            </w:r>
            <w:r w:rsidR="00194615" w:rsidRPr="00600ED9">
              <w:rPr>
                <w:color w:val="000000"/>
                <w:lang w:val="es-ES_tradnl"/>
              </w:rPr>
              <w:t>ción de las</w:t>
            </w:r>
            <w:r w:rsidR="00BE262E" w:rsidRPr="00600ED9">
              <w:rPr>
                <w:color w:val="000000"/>
                <w:lang w:val="es-ES_tradnl"/>
              </w:rPr>
              <w:t xml:space="preserve"> conclusi</w:t>
            </w:r>
            <w:r w:rsidR="00194615" w:rsidRPr="00600ED9">
              <w:rPr>
                <w:color w:val="000000"/>
                <w:lang w:val="es-ES_tradnl"/>
              </w:rPr>
              <w:t xml:space="preserve">ones, </w:t>
            </w:r>
            <w:r w:rsidR="007948FD" w:rsidRPr="00600ED9">
              <w:rPr>
                <w:color w:val="000000"/>
                <w:lang w:val="es-ES_tradnl"/>
              </w:rPr>
              <w:t xml:space="preserve"> y suficiencia de la </w:t>
            </w:r>
            <w:r w:rsidRPr="00600ED9">
              <w:rPr>
                <w:color w:val="000000"/>
                <w:lang w:val="es-ES_tradnl"/>
              </w:rPr>
              <w:t>evidencia</w:t>
            </w:r>
            <w:r w:rsidR="007948FD" w:rsidRPr="00600ED9">
              <w:rPr>
                <w:color w:val="000000"/>
                <w:lang w:val="es-ES_tradnl"/>
              </w:rPr>
              <w:t xml:space="preserve"> de respaldo, </w:t>
            </w:r>
            <w:r w:rsidR="00194615" w:rsidRPr="00600ED9">
              <w:rPr>
                <w:color w:val="000000"/>
                <w:lang w:val="es-ES_tradnl"/>
              </w:rPr>
              <w:t xml:space="preserve">que incluya </w:t>
            </w:r>
            <w:r w:rsidR="00BE262E" w:rsidRPr="00600ED9">
              <w:rPr>
                <w:color w:val="000000"/>
                <w:lang w:val="es-ES_tradnl"/>
              </w:rPr>
              <w:t xml:space="preserve">la combinación de las pruebas de detalle, analíticas y de controles, </w:t>
            </w:r>
            <w:r w:rsidR="00194615" w:rsidRPr="00600ED9">
              <w:rPr>
                <w:color w:val="000000"/>
                <w:lang w:val="es-ES_tradnl"/>
              </w:rPr>
              <w:t xml:space="preserve">y su </w:t>
            </w:r>
            <w:r w:rsidR="00BE262E" w:rsidRPr="00600ED9">
              <w:rPr>
                <w:color w:val="000000"/>
                <w:lang w:val="es-ES_tradnl"/>
              </w:rPr>
              <w:t>contribu</w:t>
            </w:r>
            <w:r w:rsidR="00194615" w:rsidRPr="00600ED9">
              <w:rPr>
                <w:color w:val="000000"/>
                <w:lang w:val="es-ES_tradnl"/>
              </w:rPr>
              <w:t>ción</w:t>
            </w:r>
            <w:r w:rsidR="00BE262E" w:rsidRPr="00600ED9">
              <w:rPr>
                <w:color w:val="000000"/>
                <w:lang w:val="es-ES_tradnl"/>
              </w:rPr>
              <w:t xml:space="preserve"> a </w:t>
            </w:r>
            <w:r w:rsidR="00194615" w:rsidRPr="00600ED9">
              <w:rPr>
                <w:color w:val="000000"/>
                <w:lang w:val="es-ES_tradnl"/>
              </w:rPr>
              <w:t xml:space="preserve">la </w:t>
            </w:r>
            <w:r w:rsidR="00BE262E" w:rsidRPr="00600ED9">
              <w:rPr>
                <w:color w:val="000000"/>
                <w:lang w:val="es-ES_tradnl"/>
              </w:rPr>
              <w:t>mitiga</w:t>
            </w:r>
            <w:r w:rsidR="00194615" w:rsidRPr="00600ED9">
              <w:rPr>
                <w:color w:val="000000"/>
                <w:lang w:val="es-ES_tradnl"/>
              </w:rPr>
              <w:t>ción de</w:t>
            </w:r>
            <w:r w:rsidR="00BE262E" w:rsidRPr="00600ED9">
              <w:rPr>
                <w:color w:val="000000"/>
                <w:lang w:val="es-ES_tradnl"/>
              </w:rPr>
              <w:t xml:space="preserve"> los riesgos identificados.</w:t>
            </w:r>
          </w:p>
          <w:p w:rsidR="007948FD" w:rsidRPr="00600ED9" w:rsidRDefault="00194615" w:rsidP="00233205">
            <w:pPr>
              <w:pStyle w:val="Normaltabletext"/>
              <w:numPr>
                <w:ilvl w:val="0"/>
                <w:numId w:val="25"/>
              </w:numPr>
              <w:spacing w:after="0"/>
              <w:ind w:left="443" w:hanging="270"/>
              <w:rPr>
                <w:rFonts w:cs="Times New Roman"/>
                <w:color w:val="000000"/>
                <w:lang w:val="es-ES_tradnl"/>
              </w:rPr>
            </w:pPr>
            <w:r w:rsidRPr="00600ED9">
              <w:rPr>
                <w:color w:val="000000"/>
                <w:lang w:val="es-ES_tradnl"/>
              </w:rPr>
              <w:t>P</w:t>
            </w:r>
            <w:r w:rsidR="00BE262E" w:rsidRPr="00600ED9">
              <w:rPr>
                <w:color w:val="000000"/>
                <w:lang w:val="es-ES_tradnl"/>
              </w:rPr>
              <w:t xml:space="preserve">rocedimientos para la acumulación de errores bajo el concepto de materialidad, </w:t>
            </w:r>
            <w:r w:rsidR="007948FD" w:rsidRPr="00600ED9">
              <w:rPr>
                <w:color w:val="000000"/>
                <w:lang w:val="es-ES_tradnl"/>
              </w:rPr>
              <w:t>como base para</w:t>
            </w:r>
            <w:r w:rsidR="00BE262E" w:rsidRPr="00600ED9">
              <w:rPr>
                <w:color w:val="000000"/>
                <w:lang w:val="es-ES_tradnl"/>
              </w:rPr>
              <w:t xml:space="preserve"> determinar el nivel en el cual </w:t>
            </w:r>
            <w:r w:rsidR="007948FD" w:rsidRPr="00600ED9">
              <w:rPr>
                <w:color w:val="000000"/>
                <w:lang w:val="es-ES_tradnl"/>
              </w:rPr>
              <w:t xml:space="preserve">es </w:t>
            </w:r>
            <w:r w:rsidR="00BE262E" w:rsidRPr="00600ED9">
              <w:rPr>
                <w:color w:val="000000"/>
                <w:lang w:val="es-ES_tradnl"/>
              </w:rPr>
              <w:t xml:space="preserve">necesario realizar ajustes a los estados financieros. </w:t>
            </w:r>
          </w:p>
          <w:p w:rsidR="00B726EF" w:rsidRPr="00600ED9" w:rsidRDefault="007948FD" w:rsidP="00233205">
            <w:pPr>
              <w:pStyle w:val="Normaltabletext"/>
              <w:numPr>
                <w:ilvl w:val="0"/>
                <w:numId w:val="25"/>
              </w:numPr>
              <w:spacing w:after="0"/>
              <w:ind w:left="443" w:hanging="270"/>
              <w:rPr>
                <w:rFonts w:cs="Times New Roman"/>
                <w:color w:val="000000"/>
                <w:lang w:val="es-ES_tradnl"/>
              </w:rPr>
            </w:pPr>
            <w:r w:rsidRPr="00600ED9">
              <w:rPr>
                <w:color w:val="000000"/>
                <w:lang w:val="es-ES_tradnl"/>
              </w:rPr>
              <w:t>L</w:t>
            </w:r>
            <w:r w:rsidR="00BE262E" w:rsidRPr="00600ED9">
              <w:rPr>
                <w:color w:val="000000"/>
                <w:lang w:val="es-ES_tradnl"/>
              </w:rPr>
              <w:t xml:space="preserve">a determinación de los riesgos de fraude y de no cumplimiento de leyes y regulaciones. Por lo tanto, las conclusiones generadas por los auditores no están basadas en la evidencia obtenida acerca de si los estados financieros fueron preparados de conformidad con las normas de información financiera aplicables. </w:t>
            </w:r>
          </w:p>
          <w:p w:rsidR="00462986" w:rsidRPr="00600ED9" w:rsidRDefault="00462986" w:rsidP="00FB1954">
            <w:pPr>
              <w:pStyle w:val="Normaltabletext"/>
              <w:spacing w:after="0"/>
              <w:rPr>
                <w:rFonts w:eastAsia="Calibri" w:cs="Arial"/>
                <w:lang w:val="es-ES_tradnl"/>
              </w:rPr>
            </w:pPr>
          </w:p>
          <w:p w:rsidR="00BE262E" w:rsidRPr="00600ED9" w:rsidRDefault="008050CA" w:rsidP="00FB1954">
            <w:pPr>
              <w:pStyle w:val="Normaltabletext"/>
              <w:spacing w:after="0"/>
              <w:rPr>
                <w:rFonts w:eastAsia="Calibri" w:cs="Arial"/>
                <w:lang w:val="es-ES_tradnl"/>
              </w:rPr>
            </w:pPr>
            <w:r w:rsidRPr="00600ED9">
              <w:rPr>
                <w:rFonts w:eastAsia="Calibri" w:cs="Arial"/>
                <w:lang w:val="es-ES_tradnl"/>
              </w:rPr>
              <w:t xml:space="preserve">La </w:t>
            </w:r>
            <w:r w:rsidR="00BE262E" w:rsidRPr="00600ED9">
              <w:rPr>
                <w:rFonts w:eastAsia="Calibri" w:cs="Arial"/>
                <w:lang w:val="es-ES_tradnl"/>
              </w:rPr>
              <w:t xml:space="preserve">CGRC </w:t>
            </w:r>
            <w:r w:rsidR="00BD7D43" w:rsidRPr="00600ED9">
              <w:rPr>
                <w:rFonts w:eastAsia="Calibri" w:cs="Arial"/>
                <w:lang w:val="es-ES_tradnl"/>
              </w:rPr>
              <w:t>como parte de sus r</w:t>
            </w:r>
            <w:r w:rsidR="00BE262E" w:rsidRPr="00600ED9">
              <w:rPr>
                <w:rFonts w:eastAsia="Calibri" w:cs="Arial"/>
                <w:lang w:val="es-ES_tradnl"/>
              </w:rPr>
              <w:t>esponsab</w:t>
            </w:r>
            <w:r w:rsidR="00BD7D43" w:rsidRPr="00600ED9">
              <w:rPr>
                <w:rFonts w:eastAsia="Calibri" w:cs="Arial"/>
                <w:lang w:val="es-ES_tradnl"/>
              </w:rPr>
              <w:t>ilidades</w:t>
            </w:r>
            <w:r w:rsidR="00BE262E" w:rsidRPr="00600ED9">
              <w:rPr>
                <w:rFonts w:eastAsia="Calibri" w:cs="Arial"/>
                <w:lang w:val="es-ES_tradnl"/>
              </w:rPr>
              <w:t xml:space="preserve"> audita el Balance General de la Nación, que incluye la consolidación de los estados contables de la </w:t>
            </w:r>
            <w:r w:rsidR="007948FD" w:rsidRPr="00600ED9">
              <w:rPr>
                <w:rFonts w:eastAsia="Calibri" w:cs="Arial"/>
                <w:lang w:val="es-ES_tradnl"/>
              </w:rPr>
              <w:t>N</w:t>
            </w:r>
            <w:r w:rsidR="00BE262E" w:rsidRPr="00600ED9">
              <w:rPr>
                <w:rFonts w:eastAsia="Calibri" w:cs="Arial"/>
                <w:lang w:val="es-ES_tradnl"/>
              </w:rPr>
              <w:t xml:space="preserve">ación. </w:t>
            </w:r>
            <w:r w:rsidR="007948FD" w:rsidRPr="00600ED9">
              <w:rPr>
                <w:rFonts w:eastAsia="Calibri" w:cs="Arial"/>
                <w:lang w:val="es-ES_tradnl"/>
              </w:rPr>
              <w:t xml:space="preserve">Aunque la CGRC </w:t>
            </w:r>
            <w:r w:rsidR="00BE262E" w:rsidRPr="00600ED9">
              <w:rPr>
                <w:rFonts w:eastAsia="Calibri" w:cs="Arial"/>
                <w:lang w:val="es-ES_tradnl"/>
              </w:rPr>
              <w:t xml:space="preserve">no </w:t>
            </w:r>
            <w:r w:rsidR="007948FD" w:rsidRPr="00600ED9">
              <w:rPr>
                <w:rFonts w:eastAsia="Calibri" w:cs="Arial"/>
                <w:lang w:val="es-ES_tradnl"/>
              </w:rPr>
              <w:t xml:space="preserve">dispone de </w:t>
            </w:r>
            <w:r w:rsidR="00BE262E" w:rsidRPr="00600ED9">
              <w:rPr>
                <w:rFonts w:eastAsia="Calibri" w:cs="Arial"/>
                <w:lang w:val="es-ES_tradnl"/>
              </w:rPr>
              <w:t xml:space="preserve">procedimientos para </w:t>
            </w:r>
            <w:r w:rsidR="007948FD" w:rsidRPr="00600ED9">
              <w:rPr>
                <w:rFonts w:eastAsia="Calibri" w:cs="Arial"/>
                <w:lang w:val="es-ES_tradnl"/>
              </w:rPr>
              <w:t>esta</w:t>
            </w:r>
            <w:r w:rsidR="00BE262E" w:rsidRPr="00600ED9">
              <w:rPr>
                <w:rFonts w:eastAsia="Calibri" w:cs="Arial"/>
                <w:lang w:val="es-ES_tradnl"/>
              </w:rPr>
              <w:t xml:space="preserve"> auditoría</w:t>
            </w:r>
            <w:r w:rsidR="007948FD" w:rsidRPr="00600ED9">
              <w:rPr>
                <w:rFonts w:eastAsia="Calibri" w:cs="Arial"/>
                <w:lang w:val="es-ES_tradnl"/>
              </w:rPr>
              <w:t>,</w:t>
            </w:r>
            <w:r w:rsidR="00BD7D43" w:rsidRPr="00600ED9">
              <w:rPr>
                <w:rFonts w:eastAsia="Calibri" w:cs="Arial"/>
                <w:lang w:val="es-ES_tradnl"/>
              </w:rPr>
              <w:t xml:space="preserve"> </w:t>
            </w:r>
            <w:r w:rsidR="00BE262E" w:rsidRPr="00600ED9">
              <w:rPr>
                <w:rFonts w:eastAsia="Calibri" w:cs="Arial"/>
                <w:lang w:val="es-ES_tradnl"/>
              </w:rPr>
              <w:t xml:space="preserve">la opinión del auditor </w:t>
            </w:r>
            <w:r w:rsidR="00BD7D43" w:rsidRPr="00600ED9">
              <w:rPr>
                <w:rFonts w:eastAsia="Calibri" w:cs="Arial"/>
                <w:lang w:val="es-ES_tradnl"/>
              </w:rPr>
              <w:t xml:space="preserve">cita que </w:t>
            </w:r>
            <w:r w:rsidR="00BE262E" w:rsidRPr="00600ED9">
              <w:rPr>
                <w:rFonts w:eastAsia="Calibri" w:cs="Arial"/>
                <w:lang w:val="es-ES_tradnl"/>
              </w:rPr>
              <w:t xml:space="preserve">es emitida bajo “Normas Internacionales de Auditoría”. </w:t>
            </w:r>
          </w:p>
          <w:p w:rsidR="00462986" w:rsidRPr="00600ED9" w:rsidRDefault="00462986" w:rsidP="00FB1954">
            <w:pPr>
              <w:pStyle w:val="Normaltabletext"/>
              <w:spacing w:after="0"/>
              <w:rPr>
                <w:lang w:val="es-ES_tradnl"/>
              </w:rPr>
            </w:pPr>
          </w:p>
        </w:tc>
      </w:tr>
      <w:tr w:rsidR="00BE262E" w:rsidRPr="00600ED9" w:rsidTr="002E03C7">
        <w:tc>
          <w:tcPr>
            <w:tcW w:w="9356" w:type="dxa"/>
            <w:shd w:val="clear" w:color="auto" w:fill="D9D9D9" w:themeFill="background1" w:themeFillShade="D9"/>
          </w:tcPr>
          <w:p w:rsidR="00BE262E" w:rsidRPr="00600ED9" w:rsidRDefault="00BE262E" w:rsidP="00FB1954">
            <w:pPr>
              <w:pStyle w:val="NoSpacing"/>
              <w:rPr>
                <w:b/>
                <w:i/>
                <w:sz w:val="20"/>
                <w:szCs w:val="20"/>
                <w:lang w:val="es-ES_tradnl"/>
              </w:rPr>
            </w:pPr>
            <w:r w:rsidRPr="00600ED9">
              <w:rPr>
                <w:b/>
                <w:i/>
                <w:sz w:val="20"/>
                <w:szCs w:val="20"/>
                <w:lang w:val="es-ES_tradnl"/>
              </w:rPr>
              <w:lastRenderedPageBreak/>
              <w:t>Dimensión (ii) Ética e independencia en la auditoría financiera</w:t>
            </w:r>
          </w:p>
        </w:tc>
      </w:tr>
      <w:tr w:rsidR="00BE262E" w:rsidRPr="00600ED9" w:rsidTr="00212BEB">
        <w:tc>
          <w:tcPr>
            <w:tcW w:w="9356" w:type="dxa"/>
            <w:shd w:val="clear" w:color="auto" w:fill="D9D9D9" w:themeFill="background1" w:themeFillShade="D9"/>
          </w:tcPr>
          <w:p w:rsidR="00BE262E" w:rsidRPr="00600ED9" w:rsidRDefault="00DB5A47" w:rsidP="00FB1954">
            <w:pPr>
              <w:pStyle w:val="NoSpacing"/>
              <w:rPr>
                <w:i/>
                <w:color w:val="000000"/>
                <w:sz w:val="20"/>
                <w:szCs w:val="20"/>
                <w:lang w:val="es-ES_tradnl"/>
              </w:rPr>
            </w:pPr>
            <w:r w:rsidRPr="00600ED9">
              <w:rPr>
                <w:b/>
                <w:i/>
                <w:color w:val="000000"/>
                <w:sz w:val="20"/>
                <w:szCs w:val="20"/>
                <w:lang w:val="es-ES_tradnl"/>
              </w:rPr>
              <w:t>Puntuación</w:t>
            </w:r>
            <w:r w:rsidR="00BE262E" w:rsidRPr="00600ED9">
              <w:rPr>
                <w:b/>
                <w:i/>
                <w:color w:val="000000"/>
                <w:sz w:val="20"/>
                <w:szCs w:val="20"/>
                <w:lang w:val="es-ES_tradnl"/>
              </w:rPr>
              <w:t xml:space="preserve"> </w:t>
            </w:r>
            <w:r w:rsidR="00BE262E" w:rsidRPr="00600ED9">
              <w:rPr>
                <w:b/>
                <w:bCs/>
                <w:i/>
                <w:sz w:val="20"/>
                <w:szCs w:val="20"/>
                <w:lang w:val="es-ES_tradnl"/>
              </w:rPr>
              <w:t>4</w:t>
            </w:r>
            <w:r w:rsidRPr="00600ED9">
              <w:rPr>
                <w:b/>
                <w:bCs/>
                <w:i/>
                <w:sz w:val="20"/>
                <w:szCs w:val="20"/>
                <w:lang w:val="es-ES_tradnl"/>
              </w:rPr>
              <w:t>:</w:t>
            </w:r>
            <w:r w:rsidR="00BE262E" w:rsidRPr="00600ED9">
              <w:rPr>
                <w:bCs/>
                <w:i/>
                <w:sz w:val="20"/>
                <w:szCs w:val="20"/>
                <w:lang w:val="es-ES_tradnl"/>
              </w:rPr>
              <w:t xml:space="preserve"> Están establecidos todos los criterios señalados.</w:t>
            </w:r>
          </w:p>
        </w:tc>
      </w:tr>
      <w:tr w:rsidR="00BE262E" w:rsidRPr="00600ED9" w:rsidTr="002E03C7">
        <w:tc>
          <w:tcPr>
            <w:tcW w:w="9356" w:type="dxa"/>
          </w:tcPr>
          <w:p w:rsidR="00BE262E" w:rsidRPr="00600ED9" w:rsidRDefault="00BE262E" w:rsidP="00FB1954">
            <w:pPr>
              <w:pStyle w:val="Normaltabletext"/>
              <w:spacing w:after="0"/>
              <w:rPr>
                <w:color w:val="000000"/>
                <w:lang w:val="es-ES_tradnl"/>
              </w:rPr>
            </w:pPr>
            <w:r w:rsidRPr="00600ED9">
              <w:rPr>
                <w:color w:val="000000"/>
                <w:lang w:val="es-ES_tradnl"/>
              </w:rPr>
              <w:t xml:space="preserve">Criterios (a), (b), (c) y (d) cumplen. </w:t>
            </w:r>
          </w:p>
          <w:p w:rsidR="00462986" w:rsidRPr="00600ED9" w:rsidRDefault="00462986" w:rsidP="00FB1954">
            <w:pPr>
              <w:pStyle w:val="Normaltabletext"/>
              <w:spacing w:after="0"/>
              <w:rPr>
                <w:color w:val="000000"/>
                <w:lang w:val="es-ES_tradnl"/>
              </w:rPr>
            </w:pPr>
          </w:p>
          <w:p w:rsidR="00BE262E" w:rsidRPr="00600ED9" w:rsidRDefault="00BE262E" w:rsidP="00FB1954">
            <w:pPr>
              <w:pStyle w:val="Normaltabletext"/>
              <w:spacing w:after="0"/>
              <w:rPr>
                <w:rFonts w:eastAsia="Calibri" w:cs="Arial"/>
                <w:lang w:val="es-ES_tradnl"/>
              </w:rPr>
            </w:pPr>
            <w:r w:rsidRPr="00600ED9">
              <w:rPr>
                <w:lang w:val="es-ES_tradnl"/>
              </w:rPr>
              <w:t xml:space="preserve">La CGRC </w:t>
            </w:r>
            <w:r w:rsidR="00793A3C" w:rsidRPr="00600ED9">
              <w:rPr>
                <w:lang w:val="es-ES_tradnl"/>
              </w:rPr>
              <w:t>dispone de</w:t>
            </w:r>
            <w:r w:rsidRPr="00600ED9">
              <w:rPr>
                <w:lang w:val="es-ES_tradnl"/>
              </w:rPr>
              <w:t xml:space="preserve"> un Código de Ética que comprende e</w:t>
            </w:r>
            <w:r w:rsidRPr="00600ED9">
              <w:rPr>
                <w:rFonts w:eastAsia="Calibri" w:cs="Arial"/>
                <w:lang w:val="es-ES_tradnl"/>
              </w:rPr>
              <w:t>l conjunto de Principios, Valores y Directrices Instituc</w:t>
            </w:r>
            <w:r w:rsidR="00F35540" w:rsidRPr="00600ED9">
              <w:rPr>
                <w:rFonts w:eastAsia="Calibri" w:cs="Arial"/>
                <w:lang w:val="es-ES_tradnl"/>
              </w:rPr>
              <w:t>ionales</w:t>
            </w:r>
            <w:r w:rsidRPr="00600ED9">
              <w:rPr>
                <w:rFonts w:eastAsia="Calibri" w:cs="Arial"/>
                <w:lang w:val="es-ES_tradnl"/>
              </w:rPr>
              <w:t xml:space="preserve">, que según el Código de Buen Gobierno, </w:t>
            </w:r>
            <w:r w:rsidR="00F35540" w:rsidRPr="00600ED9">
              <w:rPr>
                <w:rFonts w:eastAsia="Calibri" w:cs="Arial"/>
                <w:lang w:val="es-ES_tradnl"/>
              </w:rPr>
              <w:t>constituyen el</w:t>
            </w:r>
            <w:r w:rsidRPr="00600ED9">
              <w:rPr>
                <w:rFonts w:eastAsia="Calibri" w:cs="Arial"/>
                <w:lang w:val="es-ES_tradnl"/>
              </w:rPr>
              <w:t xml:space="preserve"> marco que todo servidor público de la entidad debe observar en el ejercicio de sus funciones</w:t>
            </w:r>
          </w:p>
          <w:p w:rsidR="00462986" w:rsidRPr="00600ED9" w:rsidRDefault="00462986" w:rsidP="00FB1954">
            <w:pPr>
              <w:pStyle w:val="Normaltabletext"/>
              <w:spacing w:after="0"/>
              <w:rPr>
                <w:rFonts w:eastAsia="Calibri" w:cs="Arial"/>
                <w:lang w:val="es-ES_tradnl"/>
              </w:rPr>
            </w:pPr>
          </w:p>
          <w:p w:rsidR="00526D4B" w:rsidRPr="00600ED9" w:rsidRDefault="00BE262E" w:rsidP="00FB1954">
            <w:pPr>
              <w:pStyle w:val="Normaltabletext"/>
              <w:spacing w:after="0"/>
              <w:rPr>
                <w:rFonts w:eastAsia="Calibri" w:cs="Arial"/>
                <w:lang w:val="es-ES_tradnl"/>
              </w:rPr>
            </w:pPr>
            <w:r w:rsidRPr="00600ED9">
              <w:rPr>
                <w:rFonts w:eastAsia="Calibri" w:cs="Arial"/>
                <w:lang w:val="es-ES_tradnl"/>
              </w:rPr>
              <w:t xml:space="preserve">El </w:t>
            </w:r>
            <w:r w:rsidR="00526D4B" w:rsidRPr="00600ED9">
              <w:rPr>
                <w:rFonts w:eastAsia="Calibri" w:cs="Arial"/>
                <w:lang w:val="es-ES_tradnl"/>
              </w:rPr>
              <w:t>C</w:t>
            </w:r>
            <w:r w:rsidRPr="00600ED9">
              <w:rPr>
                <w:rFonts w:eastAsia="Calibri" w:cs="Arial"/>
                <w:lang w:val="es-ES_tradnl"/>
              </w:rPr>
              <w:t xml:space="preserve">ódigo de </w:t>
            </w:r>
            <w:r w:rsidR="00526D4B" w:rsidRPr="00600ED9">
              <w:rPr>
                <w:rFonts w:eastAsia="Calibri" w:cs="Arial"/>
                <w:lang w:val="es-ES_tradnl"/>
              </w:rPr>
              <w:t>É</w:t>
            </w:r>
            <w:r w:rsidRPr="00600ED9">
              <w:rPr>
                <w:rFonts w:eastAsia="Calibri" w:cs="Arial"/>
                <w:lang w:val="es-ES_tradnl"/>
              </w:rPr>
              <w:t xml:space="preserve">tica </w:t>
            </w:r>
            <w:r w:rsidR="00526D4B" w:rsidRPr="00600ED9">
              <w:rPr>
                <w:rFonts w:eastAsia="Calibri" w:cs="Arial"/>
                <w:lang w:val="es-ES_tradnl"/>
              </w:rPr>
              <w:t xml:space="preserve">contempla </w:t>
            </w:r>
            <w:r w:rsidRPr="00600ED9">
              <w:rPr>
                <w:rFonts w:eastAsia="Calibri" w:cs="Arial"/>
                <w:lang w:val="es-ES_tradnl"/>
              </w:rPr>
              <w:t>los principios de honestidad, secreto profesional, independencia, obligación de declarar conflictos de interés y también, establece  que los auditores deben ser competentes y conducirse de manera profesional y aplicar los mayores estándares de calidad.</w:t>
            </w:r>
          </w:p>
          <w:p w:rsidR="00462986" w:rsidRPr="00600ED9" w:rsidRDefault="00462986" w:rsidP="00FB1954">
            <w:pPr>
              <w:pStyle w:val="Normaltabletext"/>
              <w:spacing w:after="0"/>
              <w:rPr>
                <w:rFonts w:eastAsia="Calibri" w:cs="Arial"/>
                <w:lang w:val="es-ES_tradnl"/>
              </w:rPr>
            </w:pPr>
          </w:p>
          <w:p w:rsidR="00BE262E" w:rsidRPr="00600ED9" w:rsidRDefault="001E0947" w:rsidP="00FB1954">
            <w:pPr>
              <w:pStyle w:val="NoSpacing"/>
              <w:jc w:val="both"/>
              <w:rPr>
                <w:sz w:val="20"/>
                <w:szCs w:val="20"/>
                <w:lang w:val="es-ES_tradnl"/>
              </w:rPr>
            </w:pPr>
            <w:r w:rsidRPr="00600ED9">
              <w:rPr>
                <w:sz w:val="20"/>
                <w:szCs w:val="20"/>
                <w:lang w:val="es-ES_tradnl"/>
              </w:rPr>
              <w:t>E</w:t>
            </w:r>
            <w:r w:rsidR="00526D4B" w:rsidRPr="00600ED9">
              <w:rPr>
                <w:sz w:val="20"/>
                <w:szCs w:val="20"/>
                <w:lang w:val="es-ES_tradnl"/>
              </w:rPr>
              <w:t xml:space="preserve">stá dimensión </w:t>
            </w:r>
            <w:r w:rsidRPr="00600ED9">
              <w:rPr>
                <w:sz w:val="20"/>
                <w:szCs w:val="20"/>
                <w:lang w:val="es-ES_tradnl"/>
              </w:rPr>
              <w:t>se enfoca en</w:t>
            </w:r>
            <w:r w:rsidR="00526D4B" w:rsidRPr="00600ED9">
              <w:rPr>
                <w:sz w:val="20"/>
                <w:szCs w:val="20"/>
                <w:lang w:val="es-ES_tradnl"/>
              </w:rPr>
              <w:t xml:space="preserve"> </w:t>
            </w:r>
            <w:r w:rsidRPr="00600ED9">
              <w:rPr>
                <w:sz w:val="20"/>
                <w:szCs w:val="20"/>
                <w:lang w:val="es-ES_tradnl"/>
              </w:rPr>
              <w:t>confirmar</w:t>
            </w:r>
            <w:r w:rsidR="00526D4B" w:rsidRPr="00600ED9">
              <w:rPr>
                <w:sz w:val="20"/>
                <w:szCs w:val="20"/>
                <w:lang w:val="es-ES_tradnl"/>
              </w:rPr>
              <w:t xml:space="preserve"> la disponibilidad </w:t>
            </w:r>
            <w:r w:rsidR="0085319D" w:rsidRPr="00600ED9">
              <w:rPr>
                <w:sz w:val="20"/>
                <w:szCs w:val="20"/>
                <w:lang w:val="es-ES_tradnl"/>
              </w:rPr>
              <w:t>de requerimientos éticos</w:t>
            </w:r>
            <w:r w:rsidR="005E1F0F" w:rsidRPr="00600ED9">
              <w:rPr>
                <w:sz w:val="20"/>
                <w:szCs w:val="20"/>
                <w:lang w:val="es-ES_tradnl"/>
              </w:rPr>
              <w:t xml:space="preserve"> para el ejercicio de la auditoría</w:t>
            </w:r>
            <w:r w:rsidR="0085319D" w:rsidRPr="00600ED9">
              <w:rPr>
                <w:sz w:val="20"/>
                <w:szCs w:val="20"/>
                <w:lang w:val="es-ES_tradnl"/>
              </w:rPr>
              <w:t>, por lo que todos los criterios se dan por cumplidos</w:t>
            </w:r>
            <w:r w:rsidRPr="00600ED9">
              <w:rPr>
                <w:sz w:val="20"/>
                <w:szCs w:val="20"/>
                <w:lang w:val="es-ES_tradnl"/>
              </w:rPr>
              <w:t>. Sin embargo</w:t>
            </w:r>
            <w:r w:rsidR="0085319D" w:rsidRPr="00600ED9">
              <w:rPr>
                <w:sz w:val="20"/>
                <w:szCs w:val="20"/>
                <w:lang w:val="es-ES_tradnl"/>
              </w:rPr>
              <w:t xml:space="preserve">, es importante señalar que </w:t>
            </w:r>
            <w:r w:rsidRPr="00600ED9">
              <w:rPr>
                <w:sz w:val="20"/>
                <w:szCs w:val="20"/>
                <w:lang w:val="es-ES_tradnl"/>
              </w:rPr>
              <w:t xml:space="preserve">aunque </w:t>
            </w:r>
            <w:r w:rsidR="00526D4B" w:rsidRPr="00600ED9">
              <w:rPr>
                <w:sz w:val="20"/>
                <w:szCs w:val="20"/>
                <w:lang w:val="es-ES_tradnl"/>
              </w:rPr>
              <w:t xml:space="preserve">el </w:t>
            </w:r>
            <w:r w:rsidR="0085319D" w:rsidRPr="00600ED9">
              <w:rPr>
                <w:sz w:val="20"/>
                <w:szCs w:val="20"/>
                <w:lang w:val="es-ES_tradnl"/>
              </w:rPr>
              <w:t>Código de Ética</w:t>
            </w:r>
            <w:r w:rsidR="00526D4B" w:rsidRPr="00600ED9">
              <w:rPr>
                <w:sz w:val="20"/>
                <w:szCs w:val="20"/>
                <w:lang w:val="es-ES_tradnl"/>
              </w:rPr>
              <w:t>, se ajusta de manera general a los lineamientos establecido en la ISSAI 30</w:t>
            </w:r>
            <w:r w:rsidR="00526D4B" w:rsidRPr="00600ED9">
              <w:rPr>
                <w:rStyle w:val="FootnoteReference"/>
                <w:sz w:val="20"/>
                <w:szCs w:val="20"/>
                <w:lang w:val="es-ES_tradnl"/>
              </w:rPr>
              <w:footnoteReference w:id="37"/>
            </w:r>
            <w:r w:rsidR="00526D4B" w:rsidRPr="00600ED9">
              <w:rPr>
                <w:sz w:val="20"/>
                <w:szCs w:val="20"/>
                <w:lang w:val="es-ES_tradnl"/>
              </w:rPr>
              <w:t xml:space="preserve">, </w:t>
            </w:r>
            <w:r w:rsidR="00526D4B" w:rsidRPr="00600ED9">
              <w:rPr>
                <w:sz w:val="20"/>
                <w:szCs w:val="20"/>
                <w:u w:val="single"/>
                <w:lang w:val="es-ES_tradnl"/>
              </w:rPr>
              <w:t>y</w:t>
            </w:r>
            <w:r w:rsidR="00526D4B" w:rsidRPr="00600ED9">
              <w:rPr>
                <w:sz w:val="20"/>
                <w:szCs w:val="20"/>
                <w:lang w:val="es-ES_tradnl"/>
              </w:rPr>
              <w:t xml:space="preserve"> forma parte del proceso de inducción de los nuevos empleados</w:t>
            </w:r>
            <w:r w:rsidR="00A11968" w:rsidRPr="00600ED9">
              <w:rPr>
                <w:sz w:val="20"/>
                <w:szCs w:val="20"/>
                <w:lang w:val="es-ES_tradnl"/>
              </w:rPr>
              <w:t xml:space="preserve">, </w:t>
            </w:r>
            <w:r w:rsidR="00526D4B" w:rsidRPr="00600ED9">
              <w:rPr>
                <w:sz w:val="20"/>
                <w:szCs w:val="20"/>
                <w:u w:val="single"/>
                <w:lang w:val="es-ES_tradnl"/>
              </w:rPr>
              <w:t>no</w:t>
            </w:r>
            <w:r w:rsidR="00526D4B" w:rsidRPr="00600ED9">
              <w:rPr>
                <w:sz w:val="20"/>
                <w:szCs w:val="20"/>
                <w:lang w:val="es-ES_tradnl"/>
              </w:rPr>
              <w:t xml:space="preserve"> es una práctica </w:t>
            </w:r>
            <w:r w:rsidR="005E1F0F" w:rsidRPr="00600ED9">
              <w:rPr>
                <w:sz w:val="20"/>
                <w:szCs w:val="20"/>
                <w:lang w:val="es-ES_tradnl"/>
              </w:rPr>
              <w:t>regular, realizar</w:t>
            </w:r>
            <w:r w:rsidR="00526D4B" w:rsidRPr="00600ED9">
              <w:rPr>
                <w:sz w:val="20"/>
                <w:szCs w:val="20"/>
                <w:lang w:val="es-ES_tradnl"/>
              </w:rPr>
              <w:t xml:space="preserve"> inducción, socialización y validación de su conocimiento y entendimiento y no se dispone de instrumentos para </w:t>
            </w:r>
            <w:r w:rsidR="005E1F0F" w:rsidRPr="00600ED9">
              <w:rPr>
                <w:sz w:val="20"/>
                <w:szCs w:val="20"/>
                <w:lang w:val="es-ES_tradnl"/>
              </w:rPr>
              <w:t xml:space="preserve"> el monitoreo del</w:t>
            </w:r>
            <w:r w:rsidR="00526D4B" w:rsidRPr="00600ED9">
              <w:rPr>
                <w:sz w:val="20"/>
                <w:szCs w:val="20"/>
                <w:lang w:val="es-ES_tradnl"/>
              </w:rPr>
              <w:t xml:space="preserve"> cumplimiento.  </w:t>
            </w:r>
          </w:p>
          <w:p w:rsidR="005732A6" w:rsidRPr="00600ED9" w:rsidRDefault="005732A6" w:rsidP="00FB1954">
            <w:pPr>
              <w:pStyle w:val="NoSpacing"/>
              <w:jc w:val="both"/>
              <w:rPr>
                <w:sz w:val="20"/>
                <w:szCs w:val="20"/>
                <w:lang w:val="es-ES_tradnl"/>
              </w:rPr>
            </w:pPr>
          </w:p>
        </w:tc>
      </w:tr>
      <w:tr w:rsidR="00BE262E" w:rsidRPr="00600ED9" w:rsidTr="002E03C7">
        <w:tc>
          <w:tcPr>
            <w:tcW w:w="9356" w:type="dxa"/>
            <w:shd w:val="clear" w:color="auto" w:fill="D9D9D9" w:themeFill="background1" w:themeFillShade="D9"/>
          </w:tcPr>
          <w:p w:rsidR="00BE262E" w:rsidRPr="00600ED9" w:rsidRDefault="00BE262E" w:rsidP="00FB1954">
            <w:pPr>
              <w:pStyle w:val="NoSpacing"/>
              <w:rPr>
                <w:b/>
                <w:i/>
                <w:sz w:val="20"/>
                <w:szCs w:val="20"/>
                <w:lang w:val="es-ES_tradnl"/>
              </w:rPr>
            </w:pPr>
            <w:r w:rsidRPr="00600ED9">
              <w:rPr>
                <w:b/>
                <w:i/>
                <w:sz w:val="20"/>
                <w:szCs w:val="20"/>
                <w:lang w:val="es-ES_tradnl"/>
              </w:rPr>
              <w:t>Dimensión (iii) Control de calidad en la auditoría financiera</w:t>
            </w:r>
          </w:p>
        </w:tc>
      </w:tr>
      <w:tr w:rsidR="00BE262E" w:rsidRPr="00600ED9" w:rsidTr="00212BEB">
        <w:tc>
          <w:tcPr>
            <w:tcW w:w="9356" w:type="dxa"/>
            <w:shd w:val="clear" w:color="auto" w:fill="D9D9D9" w:themeFill="background1" w:themeFillShade="D9"/>
          </w:tcPr>
          <w:p w:rsidR="00BE262E" w:rsidRPr="00600ED9" w:rsidRDefault="00DB5A47" w:rsidP="00FB1954">
            <w:pPr>
              <w:pStyle w:val="NoSpacing"/>
              <w:rPr>
                <w:i/>
                <w:color w:val="000000"/>
                <w:sz w:val="20"/>
                <w:szCs w:val="20"/>
                <w:lang w:val="es-ES_tradnl"/>
              </w:rPr>
            </w:pPr>
            <w:r w:rsidRPr="00600ED9">
              <w:rPr>
                <w:b/>
                <w:i/>
                <w:color w:val="000000"/>
                <w:sz w:val="20"/>
                <w:szCs w:val="20"/>
                <w:lang w:val="es-ES_tradnl"/>
              </w:rPr>
              <w:t>Puntuación</w:t>
            </w:r>
            <w:r w:rsidR="00BE262E" w:rsidRPr="00600ED9">
              <w:rPr>
                <w:b/>
                <w:i/>
                <w:color w:val="000000"/>
                <w:sz w:val="20"/>
                <w:szCs w:val="20"/>
                <w:lang w:val="es-ES_tradnl"/>
              </w:rPr>
              <w:t xml:space="preserve"> </w:t>
            </w:r>
            <w:r w:rsidR="00BE262E" w:rsidRPr="00600ED9">
              <w:rPr>
                <w:b/>
                <w:bCs/>
                <w:i/>
                <w:sz w:val="20"/>
                <w:szCs w:val="20"/>
                <w:lang w:val="es-ES_tradnl"/>
              </w:rPr>
              <w:t>3</w:t>
            </w:r>
            <w:r w:rsidRPr="00600ED9">
              <w:rPr>
                <w:b/>
                <w:bCs/>
                <w:i/>
                <w:sz w:val="20"/>
                <w:szCs w:val="20"/>
                <w:lang w:val="es-ES_tradnl"/>
              </w:rPr>
              <w:t>:</w:t>
            </w:r>
            <w:r w:rsidR="00BE262E" w:rsidRPr="00600ED9">
              <w:rPr>
                <w:bCs/>
                <w:i/>
                <w:sz w:val="20"/>
                <w:szCs w:val="20"/>
                <w:lang w:val="es-ES_tradnl"/>
              </w:rPr>
              <w:t xml:space="preserve"> Están establecidos al menos cuatro de los criterios señalados.</w:t>
            </w:r>
          </w:p>
        </w:tc>
      </w:tr>
      <w:tr w:rsidR="00BE262E" w:rsidRPr="00600ED9" w:rsidTr="002E03C7">
        <w:tc>
          <w:tcPr>
            <w:tcW w:w="9356" w:type="dxa"/>
          </w:tcPr>
          <w:p w:rsidR="00BE262E" w:rsidRPr="00600ED9" w:rsidRDefault="00BE262E" w:rsidP="00FB1954">
            <w:pPr>
              <w:pStyle w:val="Normaltabletext"/>
              <w:spacing w:after="0"/>
              <w:rPr>
                <w:color w:val="000000"/>
                <w:lang w:val="es-ES_tradnl"/>
              </w:rPr>
            </w:pPr>
            <w:r w:rsidRPr="00600ED9">
              <w:rPr>
                <w:color w:val="000000"/>
                <w:lang w:val="es-ES_tradnl"/>
              </w:rPr>
              <w:t xml:space="preserve">Criterios (a), (b), (c), (e) cumplen. Criterio (d) no cumple. </w:t>
            </w:r>
          </w:p>
          <w:p w:rsidR="00595D97" w:rsidRPr="00600ED9" w:rsidRDefault="00595D97" w:rsidP="00FB1954">
            <w:pPr>
              <w:pStyle w:val="Normaltabletext"/>
              <w:spacing w:after="0"/>
              <w:rPr>
                <w:rFonts w:eastAsia="Calibri" w:cs="Arial"/>
                <w:lang w:val="es-ES_tradnl"/>
              </w:rPr>
            </w:pPr>
            <w:r w:rsidRPr="00600ED9">
              <w:rPr>
                <w:rFonts w:eastAsia="Calibri" w:cs="Arial"/>
                <w:lang w:val="es-ES_tradnl"/>
              </w:rPr>
              <w:lastRenderedPageBreak/>
              <w:t xml:space="preserve">Como se mencionó en </w:t>
            </w:r>
            <w:proofErr w:type="gramStart"/>
            <w:r w:rsidRPr="00600ED9">
              <w:rPr>
                <w:rFonts w:eastAsia="Calibri" w:cs="Arial"/>
                <w:lang w:val="es-ES_tradnl"/>
              </w:rPr>
              <w:t>el</w:t>
            </w:r>
            <w:proofErr w:type="gramEnd"/>
            <w:r w:rsidRPr="00600ED9">
              <w:rPr>
                <w:rFonts w:eastAsia="Calibri" w:cs="Arial"/>
                <w:lang w:val="es-ES_tradnl"/>
              </w:rPr>
              <w:t xml:space="preserve"> EFS-9 dimensión (iii), la CGRC dispone de procedimientos de carácter</w:t>
            </w:r>
            <w:r w:rsidR="00DA39A1" w:rsidRPr="00600ED9">
              <w:rPr>
                <w:rFonts w:eastAsia="Calibri" w:cs="Arial"/>
                <w:lang w:val="es-ES_tradnl"/>
              </w:rPr>
              <w:t xml:space="preserve"> general que promueven la calidad, formalizados en la </w:t>
            </w:r>
            <w:r w:rsidR="00DA39A1" w:rsidRPr="00600ED9">
              <w:rPr>
                <w:color w:val="000000"/>
                <w:lang w:val="es-ES_tradnl"/>
              </w:rPr>
              <w:t>Guía de Auditoría Ajustada al SICA</w:t>
            </w:r>
            <w:r w:rsidR="00DA39A1" w:rsidRPr="00600ED9">
              <w:rPr>
                <w:rFonts w:eastAsia="Calibri" w:cs="Arial"/>
                <w:lang w:val="es-ES_tradnl"/>
              </w:rPr>
              <w:t>, los cuales no están ajustados  a</w:t>
            </w:r>
            <w:r w:rsidRPr="00600ED9">
              <w:rPr>
                <w:rFonts w:eastAsia="Calibri" w:cs="Arial"/>
                <w:lang w:val="es-ES_tradnl"/>
              </w:rPr>
              <w:t xml:space="preserve"> la ISSAI 40. </w:t>
            </w:r>
          </w:p>
          <w:p w:rsidR="00462986" w:rsidRPr="00600ED9" w:rsidRDefault="00462986" w:rsidP="00FB1954">
            <w:pPr>
              <w:pStyle w:val="Normaltabletext"/>
              <w:spacing w:after="0"/>
              <w:rPr>
                <w:rFonts w:eastAsia="Calibri" w:cs="Arial"/>
                <w:lang w:val="es-ES_tradnl"/>
              </w:rPr>
            </w:pPr>
          </w:p>
          <w:p w:rsidR="00DA39A1" w:rsidRPr="00600ED9" w:rsidRDefault="00595D97" w:rsidP="00FB1954">
            <w:pPr>
              <w:pStyle w:val="Normaltabletext"/>
              <w:spacing w:after="0"/>
              <w:rPr>
                <w:rFonts w:ascii="Times New Roman" w:hAnsi="Times New Roman" w:cs="Times New Roman"/>
                <w:color w:val="000000"/>
                <w:lang w:val="es-ES_tradnl"/>
              </w:rPr>
            </w:pPr>
            <w:r w:rsidRPr="00600ED9">
              <w:rPr>
                <w:rFonts w:eastAsia="Calibri" w:cs="Arial"/>
                <w:lang w:val="es-ES_tradnl"/>
              </w:rPr>
              <w:t xml:space="preserve">El control de calidad de las auditorías </w:t>
            </w:r>
            <w:r w:rsidR="00DA39A1" w:rsidRPr="00600ED9">
              <w:rPr>
                <w:rFonts w:eastAsia="Calibri" w:cs="Arial"/>
                <w:lang w:val="es-ES_tradnl"/>
              </w:rPr>
              <w:t>es ejecutado por los encargados de auditoría</w:t>
            </w:r>
            <w:r w:rsidRPr="00600ED9">
              <w:rPr>
                <w:rFonts w:eastAsia="Calibri" w:cs="Arial"/>
                <w:lang w:val="es-ES_tradnl"/>
              </w:rPr>
              <w:t xml:space="preserve"> con base en  su experiencia y conocimiento</w:t>
            </w:r>
            <w:r w:rsidR="00DA39A1" w:rsidRPr="00600ED9">
              <w:rPr>
                <w:rFonts w:eastAsia="Calibri" w:cs="Arial"/>
                <w:lang w:val="es-ES_tradnl"/>
              </w:rPr>
              <w:t xml:space="preserve"> y previo a la</w:t>
            </w:r>
            <w:r w:rsidR="00BE262E" w:rsidRPr="00600ED9">
              <w:rPr>
                <w:color w:val="000000"/>
                <w:lang w:val="es-ES_tradnl"/>
              </w:rPr>
              <w:t xml:space="preserve"> emisión final del informe, se documenta y resuelve cualquier diferencia interna de opinión.</w:t>
            </w:r>
          </w:p>
          <w:p w:rsidR="005732A6" w:rsidRPr="00600ED9" w:rsidRDefault="005732A6" w:rsidP="00FB1954">
            <w:pPr>
              <w:pStyle w:val="Normaltabletext"/>
              <w:spacing w:after="0"/>
              <w:rPr>
                <w:rFonts w:ascii="Times New Roman" w:hAnsi="Times New Roman" w:cs="Times New Roman"/>
                <w:color w:val="000000"/>
                <w:lang w:val="es-ES_tradnl"/>
              </w:rPr>
            </w:pPr>
          </w:p>
          <w:p w:rsidR="00BE262E" w:rsidRPr="00600ED9" w:rsidRDefault="00BE262E" w:rsidP="00FB1954">
            <w:pPr>
              <w:pStyle w:val="Normaltabletext"/>
              <w:spacing w:after="0"/>
              <w:rPr>
                <w:color w:val="000000"/>
                <w:lang w:val="es-ES_tradnl"/>
              </w:rPr>
            </w:pPr>
            <w:r w:rsidRPr="00600ED9">
              <w:rPr>
                <w:color w:val="000000"/>
                <w:lang w:val="es-ES_tradnl"/>
              </w:rPr>
              <w:t xml:space="preserve">La </w:t>
            </w:r>
            <w:r w:rsidR="00DA39A1" w:rsidRPr="00600ED9">
              <w:rPr>
                <w:color w:val="000000"/>
                <w:lang w:val="es-ES_tradnl"/>
              </w:rPr>
              <w:t>G</w:t>
            </w:r>
            <w:r w:rsidRPr="00600ED9">
              <w:rPr>
                <w:color w:val="000000"/>
                <w:lang w:val="es-ES_tradnl"/>
              </w:rPr>
              <w:t xml:space="preserve">uía de </w:t>
            </w:r>
            <w:r w:rsidR="00DA39A1" w:rsidRPr="00600ED9">
              <w:rPr>
                <w:color w:val="000000"/>
                <w:lang w:val="es-ES_tradnl"/>
              </w:rPr>
              <w:t>A</w:t>
            </w:r>
            <w:r w:rsidRPr="00600ED9">
              <w:rPr>
                <w:color w:val="000000"/>
                <w:lang w:val="es-ES_tradnl"/>
              </w:rPr>
              <w:t xml:space="preserve">uditoría </w:t>
            </w:r>
            <w:r w:rsidR="00DA39A1" w:rsidRPr="00600ED9">
              <w:rPr>
                <w:color w:val="000000"/>
                <w:lang w:val="es-ES_tradnl"/>
              </w:rPr>
              <w:t>establece</w:t>
            </w:r>
            <w:r w:rsidRPr="00600ED9">
              <w:rPr>
                <w:color w:val="000000"/>
                <w:lang w:val="es-ES_tradnl"/>
              </w:rPr>
              <w:t xml:space="preserve"> procedimientos en caso de </w:t>
            </w:r>
            <w:r w:rsidR="00DA39A1" w:rsidRPr="00600ED9">
              <w:rPr>
                <w:color w:val="000000"/>
                <w:lang w:val="es-ES_tradnl"/>
              </w:rPr>
              <w:t xml:space="preserve">requerir </w:t>
            </w:r>
            <w:r w:rsidRPr="00600ED9">
              <w:rPr>
                <w:color w:val="000000"/>
                <w:lang w:val="es-ES_tradnl"/>
              </w:rPr>
              <w:t xml:space="preserve">el apoyo de expertos. En </w:t>
            </w:r>
            <w:r w:rsidR="00DA39A1" w:rsidRPr="00600ED9">
              <w:rPr>
                <w:color w:val="000000"/>
                <w:lang w:val="es-ES_tradnl"/>
              </w:rPr>
              <w:t xml:space="preserve">la </w:t>
            </w:r>
            <w:r w:rsidRPr="00600ED9">
              <w:rPr>
                <w:color w:val="000000"/>
                <w:lang w:val="es-ES_tradnl"/>
              </w:rPr>
              <w:t>mayoría</w:t>
            </w:r>
            <w:r w:rsidR="00DA39A1" w:rsidRPr="00600ED9">
              <w:rPr>
                <w:color w:val="000000"/>
                <w:lang w:val="es-ES_tradnl"/>
              </w:rPr>
              <w:t xml:space="preserve"> de los casos</w:t>
            </w:r>
            <w:r w:rsidRPr="00600ED9">
              <w:rPr>
                <w:color w:val="000000"/>
                <w:lang w:val="es-ES_tradnl"/>
              </w:rPr>
              <w:t>, los expertos que utiliza</w:t>
            </w:r>
            <w:r w:rsidR="00DA39A1" w:rsidRPr="00600ED9">
              <w:rPr>
                <w:color w:val="000000"/>
                <w:lang w:val="es-ES_tradnl"/>
              </w:rPr>
              <w:t>dos</w:t>
            </w:r>
            <w:r w:rsidRPr="00600ED9">
              <w:rPr>
                <w:color w:val="000000"/>
                <w:lang w:val="es-ES_tradnl"/>
              </w:rPr>
              <w:t xml:space="preserve"> son abogados ya que los auditores identifican hallazgos fiscales que después servirán como medio de prueba en los procesos de responsabilidad fiscal.</w:t>
            </w:r>
          </w:p>
          <w:p w:rsidR="00462986" w:rsidRPr="00600ED9" w:rsidRDefault="00462986" w:rsidP="00FB1954">
            <w:pPr>
              <w:pStyle w:val="Normaltabletext"/>
              <w:spacing w:after="0"/>
              <w:rPr>
                <w:color w:val="000000"/>
                <w:lang w:val="es-ES_tradnl"/>
              </w:rPr>
            </w:pPr>
          </w:p>
          <w:p w:rsidR="00595D97" w:rsidRPr="00600ED9" w:rsidRDefault="00BE262E" w:rsidP="00FB1954">
            <w:pPr>
              <w:pStyle w:val="Normaltabletext"/>
              <w:spacing w:after="0"/>
              <w:rPr>
                <w:lang w:val="es-ES_tradnl"/>
              </w:rPr>
            </w:pPr>
            <w:r w:rsidRPr="00600ED9">
              <w:rPr>
                <w:color w:val="000000"/>
                <w:lang w:val="es-ES_tradnl"/>
              </w:rPr>
              <w:t xml:space="preserve">La CGRC no </w:t>
            </w:r>
            <w:r w:rsidR="00DA39A1" w:rsidRPr="00600ED9">
              <w:rPr>
                <w:color w:val="000000"/>
                <w:lang w:val="es-ES_tradnl"/>
              </w:rPr>
              <w:t xml:space="preserve">dispone de </w:t>
            </w:r>
            <w:r w:rsidRPr="00600ED9">
              <w:rPr>
                <w:color w:val="000000"/>
                <w:lang w:val="es-ES_tradnl"/>
              </w:rPr>
              <w:t xml:space="preserve">procedimientos </w:t>
            </w:r>
            <w:r w:rsidR="001265BA" w:rsidRPr="00600ED9">
              <w:rPr>
                <w:color w:val="000000"/>
                <w:lang w:val="es-ES_tradnl"/>
              </w:rPr>
              <w:t>que contemplen la</w:t>
            </w:r>
            <w:r w:rsidR="00BF5F02" w:rsidRPr="00600ED9">
              <w:rPr>
                <w:color w:val="000000"/>
                <w:lang w:val="es-ES_tradnl"/>
              </w:rPr>
              <w:t xml:space="preserve"> </w:t>
            </w:r>
            <w:r w:rsidR="001265BA" w:rsidRPr="00600ED9">
              <w:rPr>
                <w:lang w:val="es-ES_tradnl"/>
              </w:rPr>
              <w:t>revisión independiente del trabajo de auditoría, por parte de profesionales que no hayan formado parte  del equipo de auditoría, antes de emitir el informe.</w:t>
            </w:r>
          </w:p>
          <w:p w:rsidR="00462986" w:rsidRPr="00600ED9" w:rsidRDefault="00462986" w:rsidP="00FB1954">
            <w:pPr>
              <w:pStyle w:val="Normaltabletext"/>
              <w:spacing w:after="0"/>
              <w:rPr>
                <w:rFonts w:asciiTheme="majorHAnsi" w:hAnsiTheme="majorHAnsi" w:cstheme="majorBidi"/>
                <w:b/>
                <w:bCs/>
                <w:i/>
                <w:iCs/>
                <w:color w:val="404040" w:themeColor="text1" w:themeTint="BF"/>
                <w:lang w:val="es-ES_tradnl"/>
              </w:rPr>
            </w:pPr>
          </w:p>
        </w:tc>
      </w:tr>
      <w:tr w:rsidR="00BE262E" w:rsidRPr="00600ED9" w:rsidTr="002E03C7">
        <w:tc>
          <w:tcPr>
            <w:tcW w:w="9356" w:type="dxa"/>
            <w:shd w:val="clear" w:color="auto" w:fill="D9D9D9" w:themeFill="background1" w:themeFillShade="D9"/>
          </w:tcPr>
          <w:p w:rsidR="00BE262E" w:rsidRPr="00600ED9" w:rsidRDefault="00BE262E" w:rsidP="00FB1954">
            <w:pPr>
              <w:pStyle w:val="NoSpacing"/>
              <w:rPr>
                <w:b/>
                <w:i/>
                <w:sz w:val="20"/>
                <w:szCs w:val="20"/>
                <w:lang w:val="es-ES_tradnl"/>
              </w:rPr>
            </w:pPr>
            <w:r w:rsidRPr="00600ED9">
              <w:rPr>
                <w:b/>
                <w:i/>
                <w:sz w:val="20"/>
                <w:szCs w:val="20"/>
                <w:lang w:val="es-ES_tradnl"/>
              </w:rPr>
              <w:lastRenderedPageBreak/>
              <w:t>Dimensión (iv) Gestión y habilidades del equipo de trabajo de la auditoría financiera</w:t>
            </w:r>
          </w:p>
        </w:tc>
      </w:tr>
      <w:tr w:rsidR="00BE262E" w:rsidRPr="00600ED9" w:rsidTr="005732A6">
        <w:tc>
          <w:tcPr>
            <w:tcW w:w="9356" w:type="dxa"/>
            <w:shd w:val="clear" w:color="auto" w:fill="D9D9D9" w:themeFill="background1" w:themeFillShade="D9"/>
          </w:tcPr>
          <w:p w:rsidR="00BE262E" w:rsidRPr="00600ED9" w:rsidRDefault="00BE262E" w:rsidP="00FB1954">
            <w:pPr>
              <w:pStyle w:val="NoSpacing"/>
              <w:rPr>
                <w:i/>
                <w:color w:val="000000"/>
                <w:sz w:val="20"/>
                <w:szCs w:val="20"/>
                <w:lang w:val="es-ES_tradnl"/>
              </w:rPr>
            </w:pPr>
            <w:r w:rsidRPr="00600ED9">
              <w:rPr>
                <w:b/>
                <w:bCs/>
                <w:i/>
                <w:sz w:val="20"/>
                <w:szCs w:val="20"/>
                <w:lang w:val="es-ES_tradnl"/>
              </w:rPr>
              <w:t>Puntuació</w:t>
            </w:r>
            <w:r w:rsidR="00DB5A47" w:rsidRPr="00600ED9">
              <w:rPr>
                <w:b/>
                <w:bCs/>
                <w:i/>
                <w:sz w:val="20"/>
                <w:szCs w:val="20"/>
                <w:lang w:val="es-ES_tradnl"/>
              </w:rPr>
              <w:t>n</w:t>
            </w:r>
            <w:r w:rsidRPr="00600ED9">
              <w:rPr>
                <w:b/>
                <w:bCs/>
                <w:i/>
                <w:sz w:val="20"/>
                <w:szCs w:val="20"/>
                <w:lang w:val="es-ES_tradnl"/>
              </w:rPr>
              <w:t xml:space="preserve"> 2</w:t>
            </w:r>
            <w:r w:rsidR="00DB5A47" w:rsidRPr="00600ED9">
              <w:rPr>
                <w:b/>
                <w:bCs/>
                <w:i/>
                <w:sz w:val="20"/>
                <w:szCs w:val="20"/>
                <w:lang w:val="es-ES_tradnl"/>
              </w:rPr>
              <w:t>:</w:t>
            </w:r>
            <w:r w:rsidRPr="00600ED9">
              <w:rPr>
                <w:bCs/>
                <w:i/>
                <w:sz w:val="20"/>
                <w:szCs w:val="20"/>
                <w:lang w:val="es-ES_tradnl"/>
              </w:rPr>
              <w:t xml:space="preserve"> Están establecidos al menos tres de los criterios señalados.</w:t>
            </w:r>
          </w:p>
        </w:tc>
      </w:tr>
      <w:tr w:rsidR="00BE262E" w:rsidRPr="00600ED9" w:rsidTr="002E03C7">
        <w:tc>
          <w:tcPr>
            <w:tcW w:w="9356" w:type="dxa"/>
          </w:tcPr>
          <w:p w:rsidR="00BE262E" w:rsidRPr="00600ED9" w:rsidRDefault="00BE262E" w:rsidP="00FB1954">
            <w:pPr>
              <w:pStyle w:val="Normaltabletext"/>
              <w:spacing w:after="0"/>
              <w:rPr>
                <w:color w:val="000000"/>
                <w:lang w:val="es-ES_tradnl"/>
              </w:rPr>
            </w:pPr>
            <w:r w:rsidRPr="00600ED9">
              <w:rPr>
                <w:color w:val="000000"/>
                <w:lang w:val="es-ES_tradnl"/>
              </w:rPr>
              <w:t xml:space="preserve">Criterios (a), (d), (e), (f) cumple. Criterios (b) y (c) no cumple. </w:t>
            </w:r>
          </w:p>
          <w:p w:rsidR="00462986" w:rsidRPr="00600ED9" w:rsidRDefault="00462986" w:rsidP="00FB1954">
            <w:pPr>
              <w:pStyle w:val="Normaltabletext"/>
              <w:spacing w:after="0"/>
              <w:rPr>
                <w:color w:val="000000"/>
                <w:lang w:val="es-ES_tradnl"/>
              </w:rPr>
            </w:pPr>
          </w:p>
          <w:p w:rsidR="00BF5F02" w:rsidRPr="00600ED9" w:rsidRDefault="00BE262E" w:rsidP="00FB1954">
            <w:pPr>
              <w:pStyle w:val="Normaltabletext"/>
              <w:spacing w:after="0"/>
              <w:rPr>
                <w:color w:val="000000"/>
                <w:lang w:val="es-ES_tradnl"/>
              </w:rPr>
            </w:pPr>
            <w:r w:rsidRPr="00600ED9">
              <w:rPr>
                <w:color w:val="000000"/>
                <w:lang w:val="es-ES_tradnl"/>
              </w:rPr>
              <w:t>El personal asignado a los trabajos de auditoría, reúne  las capacidades requeridas para llevar a cabo su trabajo y conoce</w:t>
            </w:r>
            <w:r w:rsidR="00BF5F02" w:rsidRPr="00600ED9">
              <w:rPr>
                <w:color w:val="000000"/>
                <w:lang w:val="es-ES_tradnl"/>
              </w:rPr>
              <w:t xml:space="preserve"> el marco  institucional establecido para la práctica, formalizado en </w:t>
            </w:r>
            <w:r w:rsidR="00252761" w:rsidRPr="00600ED9">
              <w:rPr>
                <w:color w:val="000000"/>
                <w:lang w:val="es-ES_tradnl"/>
              </w:rPr>
              <w:t xml:space="preserve">la </w:t>
            </w:r>
            <w:r w:rsidRPr="00600ED9">
              <w:rPr>
                <w:color w:val="000000"/>
                <w:lang w:val="es-ES_tradnl"/>
              </w:rPr>
              <w:t>Guía de Auditoría Ajustada al SICA</w:t>
            </w:r>
            <w:r w:rsidR="00BF5F02" w:rsidRPr="00600ED9">
              <w:rPr>
                <w:color w:val="000000"/>
                <w:lang w:val="es-ES_tradnl"/>
              </w:rPr>
              <w:t xml:space="preserve">. </w:t>
            </w:r>
            <w:r w:rsidR="009E380F" w:rsidRPr="00600ED9">
              <w:rPr>
                <w:color w:val="000000"/>
                <w:lang w:val="es-ES_tradnl"/>
              </w:rPr>
              <w:t xml:space="preserve"> </w:t>
            </w:r>
          </w:p>
          <w:p w:rsidR="00462986" w:rsidRPr="00600ED9" w:rsidRDefault="00462986" w:rsidP="00FB1954">
            <w:pPr>
              <w:pStyle w:val="Normaltabletext"/>
              <w:spacing w:after="0"/>
              <w:rPr>
                <w:color w:val="000000"/>
                <w:lang w:val="es-ES_tradnl"/>
              </w:rPr>
            </w:pPr>
          </w:p>
          <w:p w:rsidR="00BF5F02" w:rsidRPr="00600ED9" w:rsidRDefault="00BF5F02" w:rsidP="00FB1954">
            <w:pPr>
              <w:pStyle w:val="Normaltabletext"/>
              <w:spacing w:after="0"/>
              <w:rPr>
                <w:color w:val="000000"/>
                <w:lang w:val="es-ES_tradnl"/>
              </w:rPr>
            </w:pPr>
            <w:r w:rsidRPr="00600ED9">
              <w:rPr>
                <w:color w:val="000000"/>
                <w:lang w:val="es-ES_tradnl"/>
              </w:rPr>
              <w:t xml:space="preserve">La Contraloría está organizada por Contralorías Delegadas, organizadas por sectores, de acuerdo </w:t>
            </w:r>
            <w:r w:rsidR="00A03755" w:rsidRPr="00600ED9">
              <w:rPr>
                <w:color w:val="000000"/>
                <w:lang w:val="es-ES_tradnl"/>
              </w:rPr>
              <w:t>con el ámbito de la CGR</w:t>
            </w:r>
            <w:r w:rsidR="004F42B9">
              <w:rPr>
                <w:color w:val="000000"/>
                <w:lang w:val="es-ES_tradnl"/>
              </w:rPr>
              <w:t>C</w:t>
            </w:r>
            <w:r w:rsidR="00A03755" w:rsidRPr="00600ED9">
              <w:rPr>
                <w:color w:val="000000"/>
                <w:lang w:val="es-ES_tradnl"/>
              </w:rPr>
              <w:t xml:space="preserve"> (</w:t>
            </w:r>
            <w:r w:rsidRPr="00600ED9">
              <w:rPr>
                <w:color w:val="000000"/>
                <w:lang w:val="es-ES_tradnl"/>
              </w:rPr>
              <w:t>agropecuario, social, infraestructura, medio ambiente, etc.)</w:t>
            </w:r>
            <w:r w:rsidR="00A03755" w:rsidRPr="00600ED9">
              <w:rPr>
                <w:color w:val="000000"/>
                <w:lang w:val="es-ES_tradnl"/>
              </w:rPr>
              <w:t>.</w:t>
            </w:r>
            <w:r w:rsidRPr="00600ED9">
              <w:rPr>
                <w:color w:val="000000"/>
                <w:lang w:val="es-ES_tradnl"/>
              </w:rPr>
              <w:t xml:space="preserve"> </w:t>
            </w:r>
          </w:p>
          <w:p w:rsidR="00462986" w:rsidRPr="00600ED9" w:rsidRDefault="00462986" w:rsidP="00FB1954">
            <w:pPr>
              <w:pStyle w:val="Normaltabletext"/>
              <w:spacing w:after="0"/>
              <w:rPr>
                <w:color w:val="000000"/>
                <w:lang w:val="es-ES_tradnl"/>
              </w:rPr>
            </w:pPr>
          </w:p>
          <w:p w:rsidR="00BF4068" w:rsidRPr="00600ED9" w:rsidRDefault="00252761" w:rsidP="00FB1954">
            <w:pPr>
              <w:pStyle w:val="Normaltabletext"/>
              <w:spacing w:after="0"/>
              <w:rPr>
                <w:color w:val="000000"/>
                <w:lang w:val="es-ES_tradnl"/>
              </w:rPr>
            </w:pPr>
            <w:r w:rsidRPr="00600ED9">
              <w:rPr>
                <w:color w:val="000000"/>
                <w:lang w:val="es-ES_tradnl"/>
              </w:rPr>
              <w:t xml:space="preserve">Los equipos de auditorías requieren </w:t>
            </w:r>
            <w:r w:rsidR="00BF4068" w:rsidRPr="00600ED9">
              <w:rPr>
                <w:color w:val="000000"/>
                <w:lang w:val="es-ES_tradnl"/>
              </w:rPr>
              <w:t xml:space="preserve">fortalecer sus capacidades y </w:t>
            </w:r>
            <w:r w:rsidR="00710AA3" w:rsidRPr="00600ED9">
              <w:rPr>
                <w:color w:val="000000"/>
                <w:lang w:val="es-ES_tradnl"/>
              </w:rPr>
              <w:t>competencias</w:t>
            </w:r>
            <w:r w:rsidR="00BF4068" w:rsidRPr="00600ED9">
              <w:rPr>
                <w:color w:val="000000"/>
                <w:lang w:val="es-ES_tradnl"/>
              </w:rPr>
              <w:t xml:space="preserve"> en:</w:t>
            </w:r>
          </w:p>
          <w:p w:rsidR="00BF4068" w:rsidRPr="00600ED9" w:rsidRDefault="00252761" w:rsidP="00233205">
            <w:pPr>
              <w:pStyle w:val="Normaltabletext"/>
              <w:numPr>
                <w:ilvl w:val="0"/>
                <w:numId w:val="26"/>
              </w:numPr>
              <w:spacing w:after="0"/>
              <w:ind w:left="443" w:hanging="270"/>
              <w:rPr>
                <w:color w:val="000000"/>
                <w:lang w:val="es-ES_tradnl"/>
              </w:rPr>
            </w:pPr>
            <w:r w:rsidRPr="00600ED9">
              <w:rPr>
                <w:color w:val="000000"/>
                <w:lang w:val="es-ES_tradnl"/>
              </w:rPr>
              <w:t>El c</w:t>
            </w:r>
            <w:r w:rsidR="00BF4068" w:rsidRPr="00600ED9">
              <w:rPr>
                <w:color w:val="000000"/>
                <w:lang w:val="es-ES_tradnl"/>
              </w:rPr>
              <w:t>onocimiento y aplicación de los estándares internacionales para la práctica profesional de la auditoría externa gubernamental</w:t>
            </w:r>
          </w:p>
          <w:p w:rsidR="00BE262E" w:rsidRPr="00600ED9" w:rsidRDefault="00252761" w:rsidP="00233205">
            <w:pPr>
              <w:pStyle w:val="Normaltabletext"/>
              <w:numPr>
                <w:ilvl w:val="0"/>
                <w:numId w:val="26"/>
              </w:numPr>
              <w:spacing w:after="0"/>
              <w:ind w:left="443" w:hanging="270"/>
              <w:rPr>
                <w:color w:val="000000"/>
                <w:lang w:val="es-ES_tradnl"/>
              </w:rPr>
            </w:pPr>
            <w:r w:rsidRPr="00600ED9">
              <w:rPr>
                <w:color w:val="000000"/>
                <w:lang w:val="es-ES_tradnl"/>
              </w:rPr>
              <w:t>La práctica de auditorías de tecnología de información</w:t>
            </w:r>
            <w:r w:rsidR="00F35540" w:rsidRPr="00600ED9">
              <w:rPr>
                <w:color w:val="000000"/>
                <w:lang w:val="es-ES_tradnl"/>
              </w:rPr>
              <w:t>.</w:t>
            </w:r>
          </w:p>
        </w:tc>
      </w:tr>
    </w:tbl>
    <w:p w:rsidR="003B04AB" w:rsidRPr="00600ED9" w:rsidRDefault="003B04AB" w:rsidP="00FB1954">
      <w:pPr>
        <w:spacing w:after="0" w:line="240" w:lineRule="auto"/>
        <w:jc w:val="both"/>
        <w:rPr>
          <w:b/>
          <w:sz w:val="20"/>
          <w:szCs w:val="20"/>
        </w:rPr>
      </w:pPr>
    </w:p>
    <w:p w:rsidR="00A44ECA" w:rsidRPr="00600ED9" w:rsidRDefault="003B04AB" w:rsidP="00FB1954">
      <w:pPr>
        <w:spacing w:after="0" w:line="240" w:lineRule="auto"/>
        <w:ind w:left="720"/>
        <w:jc w:val="both"/>
        <w:rPr>
          <w:szCs w:val="20"/>
        </w:rPr>
      </w:pPr>
      <w:r w:rsidRPr="00600ED9">
        <w:rPr>
          <w:b/>
          <w:bCs/>
          <w:smallCaps/>
        </w:rPr>
        <w:t>Recomendaciones:</w:t>
      </w:r>
      <w:r w:rsidR="00B03F60" w:rsidRPr="00600ED9">
        <w:rPr>
          <w:b/>
          <w:bCs/>
          <w:smallCaps/>
        </w:rPr>
        <w:t xml:space="preserve"> </w:t>
      </w:r>
      <w:r w:rsidR="005120A2" w:rsidRPr="00600ED9">
        <w:rPr>
          <w:szCs w:val="20"/>
        </w:rPr>
        <w:t>Consultar el</w:t>
      </w:r>
      <w:r w:rsidR="00CA3E61" w:rsidRPr="00600ED9">
        <w:rPr>
          <w:szCs w:val="20"/>
        </w:rPr>
        <w:t xml:space="preserve"> Anexo </w:t>
      </w:r>
      <w:r w:rsidR="0034726A" w:rsidRPr="00600ED9">
        <w:rPr>
          <w:szCs w:val="20"/>
        </w:rPr>
        <w:t>A</w:t>
      </w:r>
      <w:r w:rsidR="00CA3E61" w:rsidRPr="00600ED9">
        <w:rPr>
          <w:szCs w:val="20"/>
        </w:rPr>
        <w:t xml:space="preserve">: </w:t>
      </w:r>
      <w:r w:rsidR="0034726A" w:rsidRPr="00600ED9">
        <w:rPr>
          <w:szCs w:val="20"/>
        </w:rPr>
        <w:t xml:space="preserve">Recomendaciones </w:t>
      </w:r>
      <w:r w:rsidR="00710AA3" w:rsidRPr="00600ED9">
        <w:rPr>
          <w:szCs w:val="20"/>
        </w:rPr>
        <w:t>No. 12 a 14</w:t>
      </w:r>
      <w:r w:rsidR="00CA3E61" w:rsidRPr="00600ED9">
        <w:rPr>
          <w:szCs w:val="20"/>
        </w:rPr>
        <w:t>.</w:t>
      </w:r>
    </w:p>
    <w:p w:rsidR="0034726A" w:rsidRPr="00600ED9" w:rsidRDefault="0034726A" w:rsidP="00FB1954">
      <w:pPr>
        <w:spacing w:after="0" w:line="240" w:lineRule="auto"/>
        <w:ind w:left="720"/>
        <w:jc w:val="both"/>
        <w:rPr>
          <w:sz w:val="20"/>
          <w:szCs w:val="20"/>
        </w:rPr>
      </w:pPr>
    </w:p>
    <w:p w:rsidR="00FA4AC6" w:rsidRPr="00600ED9" w:rsidRDefault="00FA4AC6" w:rsidP="00FB1954">
      <w:pPr>
        <w:spacing w:after="0" w:line="240" w:lineRule="auto"/>
        <w:ind w:left="720"/>
        <w:jc w:val="both"/>
        <w:rPr>
          <w:sz w:val="20"/>
          <w:szCs w:val="20"/>
        </w:rPr>
      </w:pPr>
    </w:p>
    <w:p w:rsidR="00720E42" w:rsidRPr="00600ED9" w:rsidRDefault="00F44D9D" w:rsidP="00FB1954">
      <w:pPr>
        <w:pStyle w:val="Heading2"/>
        <w:spacing w:before="0" w:line="240" w:lineRule="auto"/>
      </w:pPr>
      <w:bookmarkStart w:id="27" w:name="_Toc295932919"/>
      <w:r w:rsidRPr="00600ED9">
        <w:t>E</w:t>
      </w:r>
      <w:r w:rsidR="003D3E72" w:rsidRPr="00600ED9">
        <w:t xml:space="preserve">FS </w:t>
      </w:r>
      <w:r w:rsidR="00720E42" w:rsidRPr="00600ED9">
        <w:t>12 – Proceso de la Auditoría Financiera</w:t>
      </w:r>
      <w:bookmarkEnd w:id="27"/>
    </w:p>
    <w:p w:rsidR="00BD25EE" w:rsidRPr="00600ED9" w:rsidRDefault="00BD25EE" w:rsidP="00FB1954">
      <w:pPr>
        <w:pStyle w:val="NoSpacing"/>
        <w:rPr>
          <w:lang w:val="es-ES_tradnl"/>
        </w:rPr>
      </w:pPr>
    </w:p>
    <w:tbl>
      <w:tblPr>
        <w:tblW w:w="8625" w:type="dxa"/>
        <w:tblInd w:w="720" w:type="dxa"/>
        <w:tblCellMar>
          <w:left w:w="70" w:type="dxa"/>
          <w:right w:w="70" w:type="dxa"/>
        </w:tblCellMar>
        <w:tblLook w:val="04A0" w:firstRow="1" w:lastRow="0" w:firstColumn="1" w:lastColumn="0" w:noHBand="0" w:noVBand="1"/>
      </w:tblPr>
      <w:tblGrid>
        <w:gridCol w:w="2560"/>
        <w:gridCol w:w="1225"/>
        <w:gridCol w:w="1336"/>
        <w:gridCol w:w="2239"/>
        <w:gridCol w:w="180"/>
        <w:gridCol w:w="1085"/>
      </w:tblGrid>
      <w:tr w:rsidR="00DF46C2" w:rsidRPr="00600ED9" w:rsidTr="00A06F21">
        <w:trPr>
          <w:trHeight w:val="255"/>
        </w:trPr>
        <w:tc>
          <w:tcPr>
            <w:tcW w:w="2560" w:type="dxa"/>
            <w:tcBorders>
              <w:top w:val="nil"/>
              <w:left w:val="nil"/>
              <w:bottom w:val="nil"/>
              <w:right w:val="nil"/>
            </w:tcBorders>
            <w:shd w:val="clear" w:color="auto" w:fill="auto"/>
            <w:noWrap/>
            <w:vAlign w:val="bottom"/>
            <w:hideMark/>
          </w:tcPr>
          <w:p w:rsidR="00DF46C2" w:rsidRPr="00600ED9" w:rsidRDefault="00DF46C2" w:rsidP="00FB1954">
            <w:pPr>
              <w:pStyle w:val="NoSpacing"/>
              <w:tabs>
                <w:tab w:val="center" w:pos="4680"/>
                <w:tab w:val="right" w:pos="9360"/>
              </w:tabs>
              <w:jc w:val="center"/>
              <w:rPr>
                <w:sz w:val="20"/>
                <w:szCs w:val="20"/>
                <w:lang w:val="es-ES_tradnl"/>
              </w:rPr>
            </w:pPr>
          </w:p>
        </w:tc>
        <w:tc>
          <w:tcPr>
            <w:tcW w:w="4800" w:type="dxa"/>
            <w:gridSpan w:val="3"/>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DF46C2" w:rsidRPr="00600ED9" w:rsidRDefault="00DF46C2" w:rsidP="00FB1954">
            <w:pPr>
              <w:pStyle w:val="NoSpacing"/>
              <w:jc w:val="center"/>
              <w:rPr>
                <w:b/>
                <w:bCs/>
                <w:sz w:val="20"/>
                <w:szCs w:val="20"/>
                <w:lang w:val="es-ES_tradnl"/>
              </w:rPr>
            </w:pPr>
            <w:r w:rsidRPr="00600ED9">
              <w:rPr>
                <w:b/>
                <w:bCs/>
                <w:sz w:val="20"/>
                <w:szCs w:val="20"/>
                <w:lang w:val="es-ES_tradnl"/>
              </w:rPr>
              <w:t>Dimensiones Evaluadas</w:t>
            </w:r>
          </w:p>
        </w:tc>
        <w:tc>
          <w:tcPr>
            <w:tcW w:w="180" w:type="dxa"/>
            <w:tcBorders>
              <w:top w:val="nil"/>
              <w:left w:val="nil"/>
              <w:bottom w:val="nil"/>
              <w:right w:val="nil"/>
            </w:tcBorders>
            <w:shd w:val="clear" w:color="auto" w:fill="auto"/>
            <w:noWrap/>
            <w:vAlign w:val="bottom"/>
            <w:hideMark/>
          </w:tcPr>
          <w:p w:rsidR="00DF46C2" w:rsidRPr="00600ED9" w:rsidRDefault="00DF46C2" w:rsidP="00FB1954">
            <w:pPr>
              <w:pStyle w:val="NoSpacing"/>
              <w:tabs>
                <w:tab w:val="center" w:pos="4680"/>
                <w:tab w:val="right" w:pos="9360"/>
              </w:tabs>
              <w:jc w:val="center"/>
              <w:rPr>
                <w:sz w:val="20"/>
                <w:szCs w:val="20"/>
                <w:lang w:val="es-ES_tradnl"/>
              </w:rPr>
            </w:pPr>
          </w:p>
        </w:tc>
        <w:tc>
          <w:tcPr>
            <w:tcW w:w="1085" w:type="dxa"/>
            <w:vMerge w:val="restart"/>
            <w:tcBorders>
              <w:top w:val="single" w:sz="4" w:space="0" w:color="auto"/>
              <w:left w:val="single" w:sz="4" w:space="0" w:color="auto"/>
              <w:right w:val="single" w:sz="4" w:space="0" w:color="auto"/>
            </w:tcBorders>
            <w:shd w:val="clear" w:color="000000" w:fill="95B3D7"/>
            <w:vAlign w:val="center"/>
            <w:hideMark/>
          </w:tcPr>
          <w:p w:rsidR="00DF46C2" w:rsidRPr="00600ED9" w:rsidRDefault="00DF46C2" w:rsidP="00FB1954">
            <w:pPr>
              <w:pStyle w:val="NoSpacing"/>
              <w:jc w:val="center"/>
              <w:rPr>
                <w:b/>
                <w:bCs/>
                <w:sz w:val="20"/>
                <w:szCs w:val="20"/>
                <w:lang w:val="es-ES_tradnl"/>
              </w:rPr>
            </w:pPr>
            <w:r w:rsidRPr="00600ED9">
              <w:rPr>
                <w:b/>
                <w:bCs/>
                <w:sz w:val="20"/>
                <w:szCs w:val="20"/>
                <w:lang w:val="es-ES_tradnl"/>
              </w:rPr>
              <w:t>Puntuación General</w:t>
            </w:r>
          </w:p>
        </w:tc>
      </w:tr>
      <w:tr w:rsidR="00DF46C2" w:rsidRPr="00600ED9" w:rsidTr="00A06F21">
        <w:trPr>
          <w:trHeight w:val="390"/>
        </w:trPr>
        <w:tc>
          <w:tcPr>
            <w:tcW w:w="256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DF46C2" w:rsidRPr="00600ED9" w:rsidRDefault="00DF46C2" w:rsidP="00FB1954">
            <w:pPr>
              <w:pStyle w:val="NoSpacing"/>
              <w:jc w:val="center"/>
              <w:rPr>
                <w:b/>
                <w:bCs/>
                <w:sz w:val="20"/>
                <w:szCs w:val="20"/>
                <w:lang w:val="es-ES_tradnl"/>
              </w:rPr>
            </w:pPr>
            <w:r w:rsidRPr="00600ED9">
              <w:rPr>
                <w:b/>
                <w:bCs/>
                <w:sz w:val="20"/>
                <w:szCs w:val="20"/>
                <w:lang w:val="es-ES_tradnl"/>
              </w:rPr>
              <w:t>Indicadores</w:t>
            </w:r>
          </w:p>
        </w:tc>
        <w:tc>
          <w:tcPr>
            <w:tcW w:w="1225" w:type="dxa"/>
            <w:tcBorders>
              <w:top w:val="nil"/>
              <w:left w:val="nil"/>
              <w:bottom w:val="single" w:sz="4" w:space="0" w:color="auto"/>
              <w:right w:val="single" w:sz="4" w:space="0" w:color="auto"/>
            </w:tcBorders>
            <w:shd w:val="clear" w:color="000000" w:fill="D8D8D8"/>
            <w:noWrap/>
            <w:hideMark/>
          </w:tcPr>
          <w:p w:rsidR="006D6D34" w:rsidRPr="00600ED9" w:rsidRDefault="00BD25EE" w:rsidP="00FB1954">
            <w:pPr>
              <w:pStyle w:val="NoSpacing"/>
              <w:jc w:val="center"/>
              <w:rPr>
                <w:b/>
                <w:bCs/>
                <w:w w:val="90"/>
                <w:sz w:val="20"/>
                <w:szCs w:val="20"/>
                <w:lang w:val="es-ES_tradnl"/>
              </w:rPr>
            </w:pPr>
            <w:r w:rsidRPr="00600ED9">
              <w:rPr>
                <w:b/>
                <w:bCs/>
                <w:w w:val="90"/>
                <w:sz w:val="20"/>
                <w:szCs w:val="20"/>
                <w:lang w:val="es-ES_tradnl"/>
              </w:rPr>
              <w:t>(i)</w:t>
            </w:r>
          </w:p>
          <w:p w:rsidR="00DF46C2" w:rsidRPr="00600ED9" w:rsidRDefault="00DF46C2" w:rsidP="00FB1954">
            <w:pPr>
              <w:pStyle w:val="NoSpacing"/>
              <w:jc w:val="center"/>
              <w:rPr>
                <w:b/>
                <w:bCs/>
                <w:w w:val="90"/>
                <w:sz w:val="20"/>
                <w:szCs w:val="20"/>
                <w:lang w:val="es-ES_tradnl"/>
              </w:rPr>
            </w:pPr>
            <w:r w:rsidRPr="00600ED9">
              <w:rPr>
                <w:w w:val="90"/>
                <w:sz w:val="20"/>
                <w:szCs w:val="20"/>
                <w:lang w:val="es-ES_tradnl"/>
              </w:rPr>
              <w:t>Planeación de las Auditorías Financieras</w:t>
            </w:r>
          </w:p>
        </w:tc>
        <w:tc>
          <w:tcPr>
            <w:tcW w:w="1336" w:type="dxa"/>
            <w:tcBorders>
              <w:top w:val="nil"/>
              <w:left w:val="nil"/>
              <w:bottom w:val="single" w:sz="4" w:space="0" w:color="auto"/>
              <w:right w:val="single" w:sz="4" w:space="0" w:color="auto"/>
            </w:tcBorders>
            <w:shd w:val="clear" w:color="000000" w:fill="D8D8D8"/>
            <w:noWrap/>
            <w:hideMark/>
          </w:tcPr>
          <w:p w:rsidR="00DF46C2" w:rsidRPr="00600ED9" w:rsidRDefault="00BD25EE" w:rsidP="00FB1954">
            <w:pPr>
              <w:pStyle w:val="NoSpacing"/>
              <w:jc w:val="center"/>
              <w:rPr>
                <w:b/>
                <w:bCs/>
                <w:w w:val="90"/>
                <w:sz w:val="20"/>
                <w:szCs w:val="20"/>
                <w:lang w:val="es-ES_tradnl"/>
              </w:rPr>
            </w:pPr>
            <w:r w:rsidRPr="00600ED9">
              <w:rPr>
                <w:b/>
                <w:bCs/>
                <w:w w:val="90"/>
                <w:sz w:val="20"/>
                <w:szCs w:val="20"/>
                <w:lang w:val="es-ES_tradnl"/>
              </w:rPr>
              <w:t>(ii)</w:t>
            </w:r>
            <w:r w:rsidR="00DF46C2" w:rsidRPr="00600ED9">
              <w:rPr>
                <w:w w:val="90"/>
                <w:sz w:val="20"/>
                <w:szCs w:val="20"/>
                <w:lang w:val="es-ES_tradnl"/>
              </w:rPr>
              <w:t xml:space="preserve"> Implementación de Auditorías Financieras</w:t>
            </w:r>
          </w:p>
        </w:tc>
        <w:tc>
          <w:tcPr>
            <w:tcW w:w="2239" w:type="dxa"/>
            <w:tcBorders>
              <w:top w:val="nil"/>
              <w:left w:val="nil"/>
              <w:bottom w:val="single" w:sz="4" w:space="0" w:color="auto"/>
              <w:right w:val="single" w:sz="4" w:space="0" w:color="auto"/>
            </w:tcBorders>
            <w:shd w:val="clear" w:color="000000" w:fill="D8D8D8"/>
            <w:noWrap/>
            <w:hideMark/>
          </w:tcPr>
          <w:p w:rsidR="006D6D34" w:rsidRPr="00600ED9" w:rsidRDefault="00BD25EE" w:rsidP="00FB1954">
            <w:pPr>
              <w:pStyle w:val="NoSpacing"/>
              <w:jc w:val="center"/>
              <w:rPr>
                <w:w w:val="90"/>
                <w:sz w:val="20"/>
                <w:szCs w:val="20"/>
                <w:lang w:val="es-ES_tradnl"/>
              </w:rPr>
            </w:pPr>
            <w:r w:rsidRPr="00600ED9">
              <w:rPr>
                <w:b/>
                <w:bCs/>
                <w:w w:val="90"/>
                <w:sz w:val="20"/>
                <w:szCs w:val="20"/>
                <w:lang w:val="es-ES_tradnl"/>
              </w:rPr>
              <w:t>(iii)</w:t>
            </w:r>
          </w:p>
          <w:p w:rsidR="00DF46C2" w:rsidRPr="00600ED9" w:rsidRDefault="00DF46C2" w:rsidP="00FB1954">
            <w:pPr>
              <w:pStyle w:val="NoSpacing"/>
              <w:jc w:val="center"/>
              <w:rPr>
                <w:b/>
                <w:bCs/>
                <w:w w:val="90"/>
                <w:sz w:val="20"/>
                <w:szCs w:val="20"/>
                <w:lang w:val="es-ES_tradnl"/>
              </w:rPr>
            </w:pPr>
            <w:r w:rsidRPr="00600ED9">
              <w:rPr>
                <w:w w:val="90"/>
                <w:sz w:val="20"/>
                <w:szCs w:val="20"/>
                <w:lang w:val="es-ES_tradnl"/>
              </w:rPr>
              <w:t>Evaluación de la Evidencia de Auditoría, Conclusión e Información en las Auditorías Financieras</w:t>
            </w:r>
          </w:p>
        </w:tc>
        <w:tc>
          <w:tcPr>
            <w:tcW w:w="180" w:type="dxa"/>
            <w:tcBorders>
              <w:top w:val="nil"/>
              <w:left w:val="nil"/>
              <w:bottom w:val="nil"/>
              <w:right w:val="nil"/>
            </w:tcBorders>
            <w:shd w:val="clear" w:color="auto" w:fill="auto"/>
            <w:noWrap/>
            <w:vAlign w:val="bottom"/>
            <w:hideMark/>
          </w:tcPr>
          <w:p w:rsidR="00DF46C2" w:rsidRPr="00600ED9" w:rsidRDefault="00DF46C2" w:rsidP="00FB1954">
            <w:pPr>
              <w:pStyle w:val="NoSpacing"/>
              <w:tabs>
                <w:tab w:val="center" w:pos="4680"/>
                <w:tab w:val="right" w:pos="9360"/>
              </w:tabs>
              <w:jc w:val="center"/>
              <w:rPr>
                <w:sz w:val="20"/>
                <w:szCs w:val="20"/>
                <w:lang w:val="es-ES_tradnl"/>
              </w:rPr>
            </w:pPr>
          </w:p>
        </w:tc>
        <w:tc>
          <w:tcPr>
            <w:tcW w:w="1085" w:type="dxa"/>
            <w:vMerge/>
            <w:tcBorders>
              <w:left w:val="single" w:sz="4" w:space="0" w:color="auto"/>
              <w:bottom w:val="single" w:sz="4" w:space="0" w:color="auto"/>
              <w:right w:val="single" w:sz="4" w:space="0" w:color="auto"/>
            </w:tcBorders>
            <w:vAlign w:val="center"/>
            <w:hideMark/>
          </w:tcPr>
          <w:p w:rsidR="00DF46C2" w:rsidRPr="00600ED9" w:rsidRDefault="00DF46C2" w:rsidP="00FB1954">
            <w:pPr>
              <w:pStyle w:val="NoSpacing"/>
              <w:tabs>
                <w:tab w:val="center" w:pos="4680"/>
                <w:tab w:val="right" w:pos="9360"/>
              </w:tabs>
              <w:jc w:val="center"/>
              <w:rPr>
                <w:b/>
                <w:bCs/>
                <w:sz w:val="20"/>
                <w:szCs w:val="20"/>
                <w:lang w:val="es-ES_tradnl"/>
              </w:rPr>
            </w:pPr>
          </w:p>
        </w:tc>
      </w:tr>
      <w:tr w:rsidR="00DF46C2" w:rsidRPr="00600ED9" w:rsidTr="00A06F21">
        <w:trPr>
          <w:trHeight w:val="510"/>
        </w:trPr>
        <w:tc>
          <w:tcPr>
            <w:tcW w:w="2560" w:type="dxa"/>
            <w:tcBorders>
              <w:top w:val="nil"/>
              <w:left w:val="single" w:sz="4" w:space="0" w:color="auto"/>
              <w:bottom w:val="single" w:sz="4" w:space="0" w:color="auto"/>
              <w:right w:val="single" w:sz="4" w:space="0" w:color="auto"/>
            </w:tcBorders>
            <w:shd w:val="clear" w:color="auto" w:fill="auto"/>
            <w:vAlign w:val="center"/>
            <w:hideMark/>
          </w:tcPr>
          <w:p w:rsidR="00DF46C2" w:rsidRPr="00600ED9" w:rsidRDefault="00DF46C2" w:rsidP="00FB1954">
            <w:pPr>
              <w:pStyle w:val="NoSpacing"/>
              <w:jc w:val="center"/>
              <w:rPr>
                <w:b/>
                <w:bCs/>
                <w:sz w:val="20"/>
                <w:szCs w:val="20"/>
                <w:lang w:val="es-ES_tradnl"/>
              </w:rPr>
            </w:pPr>
            <w:r w:rsidRPr="00600ED9">
              <w:rPr>
                <w:rFonts w:eastAsia="Calibri" w:cs="Times New Roman"/>
                <w:b/>
                <w:sz w:val="20"/>
                <w:szCs w:val="20"/>
                <w:lang w:val="es-ES_tradnl"/>
              </w:rPr>
              <w:t>EFS 12 – Proceso de la Auditoría Financiera</w:t>
            </w:r>
          </w:p>
        </w:tc>
        <w:tc>
          <w:tcPr>
            <w:tcW w:w="1225" w:type="dxa"/>
            <w:tcBorders>
              <w:top w:val="nil"/>
              <w:left w:val="nil"/>
              <w:bottom w:val="single" w:sz="4" w:space="0" w:color="auto"/>
              <w:right w:val="single" w:sz="4" w:space="0" w:color="auto"/>
            </w:tcBorders>
            <w:shd w:val="clear" w:color="auto" w:fill="auto"/>
            <w:noWrap/>
            <w:vAlign w:val="center"/>
          </w:tcPr>
          <w:p w:rsidR="00DF46C2" w:rsidRPr="00600ED9" w:rsidRDefault="00DF46C2" w:rsidP="00FB1954">
            <w:pPr>
              <w:pStyle w:val="NoSpacing"/>
              <w:jc w:val="center"/>
              <w:rPr>
                <w:b/>
                <w:bCs/>
                <w:sz w:val="20"/>
                <w:szCs w:val="20"/>
                <w:lang w:val="es-ES_tradnl"/>
              </w:rPr>
            </w:pPr>
            <w:r w:rsidRPr="00600ED9">
              <w:rPr>
                <w:b/>
                <w:bCs/>
                <w:sz w:val="20"/>
                <w:szCs w:val="20"/>
                <w:lang w:val="es-ES_tradnl"/>
              </w:rPr>
              <w:t>1</w:t>
            </w:r>
          </w:p>
        </w:tc>
        <w:tc>
          <w:tcPr>
            <w:tcW w:w="1336" w:type="dxa"/>
            <w:tcBorders>
              <w:top w:val="nil"/>
              <w:left w:val="nil"/>
              <w:bottom w:val="single" w:sz="4" w:space="0" w:color="auto"/>
              <w:right w:val="single" w:sz="4" w:space="0" w:color="auto"/>
            </w:tcBorders>
            <w:shd w:val="clear" w:color="auto" w:fill="auto"/>
            <w:noWrap/>
            <w:vAlign w:val="center"/>
          </w:tcPr>
          <w:p w:rsidR="00DF46C2" w:rsidRPr="00600ED9" w:rsidRDefault="004465A4" w:rsidP="00FB1954">
            <w:pPr>
              <w:pStyle w:val="NoSpacing"/>
              <w:jc w:val="center"/>
              <w:rPr>
                <w:b/>
                <w:bCs/>
                <w:sz w:val="20"/>
                <w:szCs w:val="20"/>
                <w:lang w:val="es-ES_tradnl"/>
              </w:rPr>
            </w:pPr>
            <w:r w:rsidRPr="00600ED9">
              <w:rPr>
                <w:b/>
                <w:bCs/>
                <w:sz w:val="20"/>
                <w:szCs w:val="20"/>
                <w:lang w:val="es-ES_tradnl"/>
              </w:rPr>
              <w:t>0</w:t>
            </w:r>
          </w:p>
        </w:tc>
        <w:tc>
          <w:tcPr>
            <w:tcW w:w="2239" w:type="dxa"/>
            <w:tcBorders>
              <w:top w:val="nil"/>
              <w:left w:val="nil"/>
              <w:bottom w:val="single" w:sz="4" w:space="0" w:color="auto"/>
              <w:right w:val="single" w:sz="4" w:space="0" w:color="auto"/>
            </w:tcBorders>
            <w:shd w:val="clear" w:color="auto" w:fill="auto"/>
            <w:noWrap/>
            <w:vAlign w:val="center"/>
          </w:tcPr>
          <w:p w:rsidR="00DF46C2" w:rsidRPr="00600ED9" w:rsidRDefault="00DF46C2" w:rsidP="00FB1954">
            <w:pPr>
              <w:pStyle w:val="NoSpacing"/>
              <w:jc w:val="center"/>
              <w:rPr>
                <w:b/>
                <w:bCs/>
                <w:sz w:val="20"/>
                <w:szCs w:val="20"/>
                <w:lang w:val="es-ES_tradnl"/>
              </w:rPr>
            </w:pPr>
            <w:r w:rsidRPr="00600ED9">
              <w:rPr>
                <w:b/>
                <w:bCs/>
                <w:sz w:val="20"/>
                <w:szCs w:val="20"/>
                <w:lang w:val="es-ES_tradnl"/>
              </w:rPr>
              <w:t>1</w:t>
            </w:r>
          </w:p>
        </w:tc>
        <w:tc>
          <w:tcPr>
            <w:tcW w:w="180" w:type="dxa"/>
            <w:tcBorders>
              <w:top w:val="nil"/>
              <w:left w:val="nil"/>
              <w:bottom w:val="nil"/>
              <w:right w:val="nil"/>
            </w:tcBorders>
            <w:shd w:val="clear" w:color="auto" w:fill="auto"/>
            <w:noWrap/>
            <w:vAlign w:val="bottom"/>
          </w:tcPr>
          <w:p w:rsidR="00DF46C2" w:rsidRPr="00600ED9" w:rsidRDefault="00DF46C2" w:rsidP="00FB1954">
            <w:pPr>
              <w:pStyle w:val="NoSpacing"/>
              <w:tabs>
                <w:tab w:val="center" w:pos="4680"/>
                <w:tab w:val="right" w:pos="9360"/>
              </w:tabs>
              <w:jc w:val="center"/>
              <w:rPr>
                <w:sz w:val="20"/>
                <w:szCs w:val="20"/>
                <w:lang w:val="es-ES_tradnl"/>
              </w:rPr>
            </w:pPr>
          </w:p>
        </w:tc>
        <w:tc>
          <w:tcPr>
            <w:tcW w:w="1085" w:type="dxa"/>
            <w:tcBorders>
              <w:top w:val="nil"/>
              <w:left w:val="single" w:sz="4" w:space="0" w:color="auto"/>
              <w:bottom w:val="single" w:sz="4" w:space="0" w:color="auto"/>
              <w:right w:val="single" w:sz="4" w:space="0" w:color="auto"/>
            </w:tcBorders>
            <w:shd w:val="clear" w:color="auto" w:fill="auto"/>
            <w:noWrap/>
            <w:vAlign w:val="center"/>
          </w:tcPr>
          <w:p w:rsidR="00DF46C2" w:rsidRPr="00600ED9" w:rsidRDefault="00DF46C2" w:rsidP="00FB1954">
            <w:pPr>
              <w:pStyle w:val="NoSpacing"/>
              <w:jc w:val="center"/>
              <w:rPr>
                <w:b/>
                <w:sz w:val="20"/>
                <w:szCs w:val="20"/>
                <w:lang w:val="es-ES_tradnl"/>
              </w:rPr>
            </w:pPr>
            <w:r w:rsidRPr="00600ED9">
              <w:rPr>
                <w:b/>
                <w:sz w:val="20"/>
                <w:szCs w:val="20"/>
                <w:lang w:val="es-ES_tradnl"/>
              </w:rPr>
              <w:t>1</w:t>
            </w:r>
          </w:p>
        </w:tc>
      </w:tr>
    </w:tbl>
    <w:p w:rsidR="00CB6628" w:rsidRPr="00600ED9" w:rsidRDefault="00CB6628" w:rsidP="00FB1954">
      <w:pPr>
        <w:pStyle w:val="Normaltabletext"/>
        <w:spacing w:after="0"/>
        <w:ind w:left="720"/>
        <w:rPr>
          <w:bCs/>
          <w:sz w:val="22"/>
          <w:szCs w:val="22"/>
          <w:lang w:val="es-ES_tradnl"/>
        </w:rPr>
      </w:pPr>
    </w:p>
    <w:p w:rsidR="00DF46C2" w:rsidRPr="00600ED9" w:rsidRDefault="003B5967" w:rsidP="00FB1954">
      <w:pPr>
        <w:pStyle w:val="Normaltabletext"/>
        <w:spacing w:after="0"/>
        <w:ind w:left="720"/>
        <w:rPr>
          <w:color w:val="000000"/>
          <w:sz w:val="22"/>
          <w:szCs w:val="22"/>
          <w:lang w:val="es-ES_tradnl"/>
        </w:rPr>
      </w:pPr>
      <w:r w:rsidRPr="00600ED9">
        <w:rPr>
          <w:bCs/>
          <w:sz w:val="22"/>
          <w:szCs w:val="22"/>
          <w:lang w:val="es-ES_tradnl"/>
        </w:rPr>
        <w:t xml:space="preserve">En la medida que la CGRC no dispone de procedimientos </w:t>
      </w:r>
      <w:r w:rsidRPr="00600ED9">
        <w:rPr>
          <w:sz w:val="22"/>
          <w:szCs w:val="22"/>
          <w:lang w:val="es-ES_tradnl"/>
        </w:rPr>
        <w:t>consistentes con los estándares internacionales para la Auditoría Financiera</w:t>
      </w:r>
      <w:r w:rsidR="009D57C9" w:rsidRPr="00600ED9">
        <w:rPr>
          <w:sz w:val="22"/>
          <w:szCs w:val="22"/>
          <w:lang w:val="es-ES_tradnl"/>
        </w:rPr>
        <w:t>,</w:t>
      </w:r>
      <w:r w:rsidRPr="00600ED9">
        <w:rPr>
          <w:sz w:val="22"/>
          <w:szCs w:val="22"/>
          <w:lang w:val="es-ES_tradnl"/>
        </w:rPr>
        <w:t xml:space="preserve"> </w:t>
      </w:r>
      <w:r w:rsidR="009D57C9" w:rsidRPr="00600ED9">
        <w:rPr>
          <w:sz w:val="22"/>
          <w:szCs w:val="22"/>
          <w:lang w:val="es-ES_tradnl"/>
        </w:rPr>
        <w:t>s</w:t>
      </w:r>
      <w:r w:rsidRPr="00600ED9">
        <w:rPr>
          <w:sz w:val="22"/>
          <w:szCs w:val="22"/>
          <w:lang w:val="es-ES_tradnl"/>
        </w:rPr>
        <w:t>e identifican oportunidades</w:t>
      </w:r>
      <w:r w:rsidR="009D57C9" w:rsidRPr="00600ED9">
        <w:rPr>
          <w:sz w:val="22"/>
          <w:szCs w:val="22"/>
          <w:lang w:val="es-ES_tradnl"/>
        </w:rPr>
        <w:t xml:space="preserve">, entre las cuales se destacan la necesidad de </w:t>
      </w:r>
      <w:r w:rsidR="00A56ED2" w:rsidRPr="00600ED9">
        <w:rPr>
          <w:rFonts w:eastAsia="Calibri" w:cs="Arial"/>
          <w:sz w:val="22"/>
          <w:szCs w:val="22"/>
          <w:lang w:val="es-ES_tradnl"/>
        </w:rPr>
        <w:t>diseñar e implantar</w:t>
      </w:r>
      <w:r w:rsidRPr="00600ED9">
        <w:rPr>
          <w:rFonts w:eastAsia="Calibri" w:cs="Arial"/>
          <w:sz w:val="22"/>
          <w:szCs w:val="22"/>
          <w:lang w:val="es-ES_tradnl"/>
        </w:rPr>
        <w:t xml:space="preserve"> un marco normativo </w:t>
      </w:r>
      <w:r w:rsidR="00A56ED2" w:rsidRPr="00600ED9">
        <w:rPr>
          <w:rFonts w:eastAsia="Calibri" w:cs="Arial"/>
          <w:sz w:val="22"/>
          <w:szCs w:val="22"/>
          <w:lang w:val="es-ES_tradnl"/>
        </w:rPr>
        <w:t xml:space="preserve">y </w:t>
      </w:r>
      <w:r w:rsidR="00710AA3" w:rsidRPr="00600ED9">
        <w:rPr>
          <w:rFonts w:eastAsia="Calibri" w:cs="Arial"/>
          <w:sz w:val="22"/>
          <w:szCs w:val="22"/>
          <w:lang w:val="es-ES_tradnl"/>
        </w:rPr>
        <w:t>procedimental</w:t>
      </w:r>
      <w:r w:rsidR="00A56ED2" w:rsidRPr="00600ED9">
        <w:rPr>
          <w:rFonts w:eastAsia="Calibri" w:cs="Arial"/>
          <w:sz w:val="22"/>
          <w:szCs w:val="22"/>
          <w:lang w:val="es-ES_tradnl"/>
        </w:rPr>
        <w:t xml:space="preserve"> </w:t>
      </w:r>
      <w:r w:rsidRPr="00600ED9">
        <w:rPr>
          <w:rFonts w:eastAsia="Calibri" w:cs="Arial"/>
          <w:sz w:val="22"/>
          <w:szCs w:val="22"/>
          <w:lang w:val="es-ES_tradnl"/>
        </w:rPr>
        <w:t xml:space="preserve">ajustado a </w:t>
      </w:r>
      <w:r w:rsidRPr="00600ED9">
        <w:rPr>
          <w:color w:val="000000"/>
          <w:sz w:val="22"/>
          <w:szCs w:val="22"/>
          <w:lang w:val="es-ES_tradnl"/>
        </w:rPr>
        <w:t>la</w:t>
      </w:r>
      <w:r w:rsidR="00332E6B" w:rsidRPr="00600ED9">
        <w:rPr>
          <w:color w:val="000000"/>
          <w:sz w:val="22"/>
          <w:szCs w:val="22"/>
          <w:lang w:val="es-ES_tradnl"/>
        </w:rPr>
        <w:t>s</w:t>
      </w:r>
      <w:r w:rsidRPr="00600ED9">
        <w:rPr>
          <w:color w:val="000000"/>
          <w:sz w:val="22"/>
          <w:szCs w:val="22"/>
          <w:lang w:val="es-ES_tradnl"/>
        </w:rPr>
        <w:t xml:space="preserve"> ISSAI 200</w:t>
      </w:r>
      <w:r w:rsidR="00332E6B" w:rsidRPr="00600ED9">
        <w:rPr>
          <w:color w:val="000000"/>
          <w:sz w:val="22"/>
          <w:szCs w:val="22"/>
          <w:lang w:val="es-ES_tradnl"/>
        </w:rPr>
        <w:t xml:space="preserve"> y </w:t>
      </w:r>
      <w:r w:rsidRPr="00600ED9">
        <w:rPr>
          <w:color w:val="000000"/>
          <w:sz w:val="22"/>
          <w:szCs w:val="22"/>
          <w:lang w:val="es-ES_tradnl"/>
        </w:rPr>
        <w:t>1</w:t>
      </w:r>
      <w:r w:rsidR="00332E6B" w:rsidRPr="00600ED9">
        <w:rPr>
          <w:color w:val="000000"/>
          <w:sz w:val="22"/>
          <w:szCs w:val="22"/>
          <w:lang w:val="es-ES_tradnl"/>
        </w:rPr>
        <w:t>0</w:t>
      </w:r>
      <w:r w:rsidRPr="00600ED9">
        <w:rPr>
          <w:color w:val="000000"/>
          <w:sz w:val="22"/>
          <w:szCs w:val="22"/>
          <w:lang w:val="es-ES_tradnl"/>
        </w:rPr>
        <w:t>00</w:t>
      </w:r>
      <w:r w:rsidR="00332E6B" w:rsidRPr="00600ED9">
        <w:rPr>
          <w:color w:val="000000"/>
          <w:sz w:val="22"/>
          <w:szCs w:val="22"/>
          <w:lang w:val="es-ES_tradnl"/>
        </w:rPr>
        <w:t>-1810</w:t>
      </w:r>
      <w:r w:rsidR="00A56ED2" w:rsidRPr="00600ED9">
        <w:rPr>
          <w:color w:val="000000"/>
          <w:sz w:val="22"/>
          <w:szCs w:val="22"/>
          <w:lang w:val="es-ES_tradnl"/>
        </w:rPr>
        <w:t xml:space="preserve">. </w:t>
      </w:r>
    </w:p>
    <w:p w:rsidR="00CB6628" w:rsidRPr="00600ED9" w:rsidRDefault="00CB6628" w:rsidP="00FB1954">
      <w:pPr>
        <w:pStyle w:val="Normaltabletext"/>
        <w:spacing w:after="0"/>
        <w:ind w:left="720"/>
        <w:rPr>
          <w:sz w:val="22"/>
          <w:szCs w:val="22"/>
          <w:lang w:val="es-ES_tradnl"/>
        </w:rPr>
      </w:pPr>
    </w:p>
    <w:p w:rsidR="003D3E72" w:rsidRPr="00600ED9" w:rsidRDefault="00A56ED2" w:rsidP="00FB1954">
      <w:pPr>
        <w:spacing w:after="0" w:line="240" w:lineRule="auto"/>
        <w:ind w:left="720"/>
        <w:jc w:val="both"/>
        <w:rPr>
          <w:rFonts w:eastAsia="Calibri" w:cs="Arial"/>
        </w:rPr>
      </w:pPr>
      <w:r w:rsidRPr="00600ED9">
        <w:rPr>
          <w:rFonts w:eastAsia="Calibri" w:cs="Arial"/>
        </w:rPr>
        <w:lastRenderedPageBreak/>
        <w:t xml:space="preserve">Debido a la insuficiencia de </w:t>
      </w:r>
      <w:r w:rsidR="007F5BBC" w:rsidRPr="00600ED9">
        <w:rPr>
          <w:rFonts w:eastAsia="Calibri" w:cs="Arial"/>
        </w:rPr>
        <w:t>un marco metodológico</w:t>
      </w:r>
      <w:r w:rsidR="009D57C9" w:rsidRPr="00600ED9">
        <w:rPr>
          <w:rFonts w:eastAsia="Calibri" w:cs="Arial"/>
        </w:rPr>
        <w:t>,</w:t>
      </w:r>
      <w:r w:rsidRPr="00600ED9">
        <w:rPr>
          <w:rFonts w:eastAsia="Calibri" w:cs="Arial"/>
        </w:rPr>
        <w:t xml:space="preserve"> en la actualidad no se aplican criterios relevantes</w:t>
      </w:r>
      <w:r w:rsidR="009D57C9" w:rsidRPr="00600ED9">
        <w:rPr>
          <w:rFonts w:eastAsia="Calibri" w:cs="Arial"/>
        </w:rPr>
        <w:t xml:space="preserve">, </w:t>
      </w:r>
      <w:r w:rsidRPr="00600ED9">
        <w:rPr>
          <w:rFonts w:eastAsia="Calibri" w:cs="Arial"/>
        </w:rPr>
        <w:t>que implican el desarrollo e implementación de una estrategia clara que determine la naturaleza, oportunidad, alcance y descripción de los procedimientos de auditoría, suficiencia de la evidencia de respaldo de las conclus</w:t>
      </w:r>
      <w:r w:rsidR="00267DDD" w:rsidRPr="00600ED9">
        <w:rPr>
          <w:rFonts w:eastAsia="Calibri" w:cs="Arial"/>
        </w:rPr>
        <w:t>iones y comunicación de los resultados.</w:t>
      </w:r>
    </w:p>
    <w:p w:rsidR="00CB6628" w:rsidRPr="00600ED9" w:rsidRDefault="00CB6628" w:rsidP="00FB1954">
      <w:pPr>
        <w:spacing w:after="0" w:line="240" w:lineRule="auto"/>
        <w:ind w:left="720"/>
        <w:jc w:val="both"/>
        <w:rPr>
          <w:rFonts w:eastAsia="Calibri" w:cs="Arial"/>
        </w:rPr>
      </w:pPr>
    </w:p>
    <w:tbl>
      <w:tblPr>
        <w:tblStyle w:val="TableGrid"/>
        <w:tblW w:w="9356" w:type="dxa"/>
        <w:tblInd w:w="817" w:type="dxa"/>
        <w:tblLook w:val="04A0" w:firstRow="1" w:lastRow="0" w:firstColumn="1" w:lastColumn="0" w:noHBand="0" w:noVBand="1"/>
      </w:tblPr>
      <w:tblGrid>
        <w:gridCol w:w="9356"/>
      </w:tblGrid>
      <w:tr w:rsidR="00AA263D" w:rsidRPr="00600ED9" w:rsidTr="00DB3FE0">
        <w:trPr>
          <w:tblHeader/>
        </w:trPr>
        <w:tc>
          <w:tcPr>
            <w:tcW w:w="9356" w:type="dxa"/>
            <w:shd w:val="clear" w:color="auto" w:fill="365F91" w:themeFill="accent1" w:themeFillShade="BF"/>
          </w:tcPr>
          <w:p w:rsidR="00AA263D" w:rsidRPr="00600ED9" w:rsidRDefault="00403D7A" w:rsidP="00FB1954">
            <w:pPr>
              <w:pStyle w:val="NoSpacing"/>
              <w:rPr>
                <w:b/>
                <w:color w:val="FFFFFF" w:themeColor="background1"/>
                <w:sz w:val="20"/>
                <w:szCs w:val="20"/>
                <w:lang w:val="es-ES_tradnl"/>
              </w:rPr>
            </w:pPr>
            <w:r w:rsidRPr="00600ED9">
              <w:rPr>
                <w:b/>
                <w:color w:val="FFFFFF" w:themeColor="background1"/>
                <w:sz w:val="20"/>
                <w:szCs w:val="20"/>
                <w:lang w:val="es-ES_tradnl"/>
              </w:rPr>
              <w:t>P</w:t>
            </w:r>
            <w:r w:rsidR="00AA263D" w:rsidRPr="00600ED9">
              <w:rPr>
                <w:b/>
                <w:color w:val="FFFFFF" w:themeColor="background1"/>
                <w:sz w:val="20"/>
                <w:szCs w:val="20"/>
                <w:lang w:val="es-ES_tradnl"/>
              </w:rPr>
              <w:t>rincipales obser</w:t>
            </w:r>
            <w:r w:rsidRPr="00600ED9">
              <w:rPr>
                <w:b/>
                <w:color w:val="FFFFFF" w:themeColor="background1"/>
                <w:sz w:val="20"/>
                <w:szCs w:val="20"/>
                <w:lang w:val="es-ES_tradnl"/>
              </w:rPr>
              <w:t xml:space="preserve">vaciones y conclusiones </w:t>
            </w:r>
          </w:p>
        </w:tc>
      </w:tr>
      <w:tr w:rsidR="00AA263D" w:rsidRPr="00600ED9" w:rsidTr="00403D7A">
        <w:tc>
          <w:tcPr>
            <w:tcW w:w="9356" w:type="dxa"/>
            <w:shd w:val="clear" w:color="auto" w:fill="D9D9D9" w:themeFill="background1" w:themeFillShade="D9"/>
          </w:tcPr>
          <w:p w:rsidR="00AA263D" w:rsidRPr="00600ED9" w:rsidRDefault="00AA263D" w:rsidP="00FB1954">
            <w:pPr>
              <w:pStyle w:val="NoSpacing"/>
              <w:rPr>
                <w:b/>
                <w:i/>
                <w:sz w:val="20"/>
                <w:szCs w:val="20"/>
                <w:lang w:val="es-ES_tradnl"/>
              </w:rPr>
            </w:pPr>
            <w:r w:rsidRPr="00600ED9">
              <w:rPr>
                <w:b/>
                <w:i/>
                <w:sz w:val="20"/>
                <w:szCs w:val="20"/>
                <w:lang w:val="es-ES_tradnl"/>
              </w:rPr>
              <w:t>Dimensión (i) Planeación de auditorías financieras</w:t>
            </w:r>
          </w:p>
        </w:tc>
      </w:tr>
      <w:tr w:rsidR="00AA263D" w:rsidRPr="00600ED9" w:rsidTr="00403D7A">
        <w:tc>
          <w:tcPr>
            <w:tcW w:w="9356" w:type="dxa"/>
            <w:shd w:val="clear" w:color="auto" w:fill="D9D9D9" w:themeFill="background1" w:themeFillShade="D9"/>
          </w:tcPr>
          <w:p w:rsidR="00AA263D" w:rsidRPr="00600ED9" w:rsidRDefault="007F5BBC" w:rsidP="00FB1954">
            <w:pPr>
              <w:pStyle w:val="NoSpacing"/>
              <w:rPr>
                <w:i/>
                <w:color w:val="000000"/>
                <w:sz w:val="20"/>
                <w:szCs w:val="20"/>
                <w:lang w:val="es-ES_tradnl"/>
              </w:rPr>
            </w:pPr>
            <w:r w:rsidRPr="00600ED9">
              <w:rPr>
                <w:b/>
                <w:i/>
                <w:color w:val="000000"/>
                <w:sz w:val="20"/>
                <w:szCs w:val="20"/>
                <w:lang w:val="es-ES_tradnl"/>
              </w:rPr>
              <w:t>Puntuación</w:t>
            </w:r>
            <w:r w:rsidR="00AA263D" w:rsidRPr="00600ED9">
              <w:rPr>
                <w:b/>
                <w:i/>
                <w:color w:val="000000"/>
                <w:sz w:val="20"/>
                <w:szCs w:val="20"/>
                <w:lang w:val="es-ES_tradnl"/>
              </w:rPr>
              <w:t xml:space="preserve"> </w:t>
            </w:r>
            <w:r w:rsidR="00AA263D" w:rsidRPr="00600ED9">
              <w:rPr>
                <w:b/>
                <w:bCs/>
                <w:i/>
                <w:sz w:val="20"/>
                <w:szCs w:val="20"/>
                <w:lang w:val="es-ES_tradnl"/>
              </w:rPr>
              <w:t>1</w:t>
            </w:r>
            <w:r w:rsidRPr="00600ED9">
              <w:rPr>
                <w:bCs/>
                <w:i/>
                <w:sz w:val="20"/>
                <w:szCs w:val="20"/>
                <w:lang w:val="es-ES_tradnl"/>
              </w:rPr>
              <w:t>:</w:t>
            </w:r>
            <w:r w:rsidR="00AA263D" w:rsidRPr="00600ED9">
              <w:rPr>
                <w:bCs/>
                <w:i/>
                <w:sz w:val="20"/>
                <w:szCs w:val="20"/>
                <w:lang w:val="es-ES_tradnl"/>
              </w:rPr>
              <w:t xml:space="preserve"> Al menos tres de los criterios referidos están implementados.</w:t>
            </w:r>
          </w:p>
        </w:tc>
      </w:tr>
      <w:tr w:rsidR="00AA263D" w:rsidRPr="00600ED9" w:rsidTr="00403D7A">
        <w:tc>
          <w:tcPr>
            <w:tcW w:w="9356" w:type="dxa"/>
          </w:tcPr>
          <w:p w:rsidR="00AA263D" w:rsidRPr="00600ED9" w:rsidRDefault="00AA263D" w:rsidP="00FB1954">
            <w:pPr>
              <w:pStyle w:val="NoSpacing"/>
              <w:jc w:val="both"/>
              <w:rPr>
                <w:sz w:val="20"/>
                <w:szCs w:val="20"/>
                <w:lang w:val="es-ES_tradnl"/>
              </w:rPr>
            </w:pPr>
            <w:r w:rsidRPr="00600ED9">
              <w:rPr>
                <w:sz w:val="20"/>
                <w:szCs w:val="20"/>
                <w:lang w:val="es-ES_tradnl"/>
              </w:rPr>
              <w:t xml:space="preserve">Criterios (a), (c), (e) cumple.  Criterios (b), (d), (f), (g), (h), (i), (j) no cumple. </w:t>
            </w:r>
          </w:p>
          <w:p w:rsidR="009A35A3" w:rsidRPr="00600ED9" w:rsidRDefault="009A35A3" w:rsidP="00FB1954">
            <w:pPr>
              <w:pStyle w:val="NoSpacing"/>
              <w:jc w:val="both"/>
              <w:rPr>
                <w:sz w:val="18"/>
                <w:szCs w:val="20"/>
                <w:lang w:val="es-ES_tradnl"/>
              </w:rPr>
            </w:pPr>
          </w:p>
          <w:p w:rsidR="00044232" w:rsidRPr="00600ED9" w:rsidRDefault="00044232" w:rsidP="00FB1954">
            <w:pPr>
              <w:pStyle w:val="NoSpacing"/>
              <w:jc w:val="both"/>
              <w:rPr>
                <w:sz w:val="20"/>
                <w:szCs w:val="20"/>
                <w:lang w:val="es-ES_tradnl" w:eastAsia="zh-TW"/>
              </w:rPr>
            </w:pPr>
            <w:r w:rsidRPr="00600ED9">
              <w:rPr>
                <w:sz w:val="20"/>
                <w:szCs w:val="20"/>
                <w:lang w:val="es-ES_tradnl" w:eastAsia="zh-TW"/>
              </w:rPr>
              <w:t xml:space="preserve">Los equipos de auditoría, como parte del desarrollo de la auditoría y con base en el marco establecido en la </w:t>
            </w:r>
            <w:r w:rsidR="00E404BC" w:rsidRPr="00600ED9">
              <w:rPr>
                <w:sz w:val="20"/>
                <w:szCs w:val="20"/>
                <w:lang w:val="es-ES_tradnl" w:eastAsia="zh-TW"/>
              </w:rPr>
              <w:t>Guía</w:t>
            </w:r>
            <w:r w:rsidRPr="00600ED9">
              <w:rPr>
                <w:sz w:val="20"/>
                <w:szCs w:val="20"/>
                <w:lang w:val="es-ES_tradnl" w:eastAsia="zh-TW"/>
              </w:rPr>
              <w:t xml:space="preserve"> de Auditoría, verifican que las entidades auditadas elaboren sus estados financieros en apego a las Normas Contables emitidas por la Contaduría General de la Nación.</w:t>
            </w:r>
          </w:p>
          <w:p w:rsidR="009A35A3" w:rsidRPr="00600ED9" w:rsidRDefault="009A35A3" w:rsidP="00FB1954">
            <w:pPr>
              <w:pStyle w:val="NoSpacing"/>
              <w:jc w:val="both"/>
              <w:rPr>
                <w:sz w:val="18"/>
                <w:szCs w:val="20"/>
                <w:lang w:val="es-ES_tradnl" w:eastAsia="zh-TW"/>
              </w:rPr>
            </w:pPr>
          </w:p>
          <w:p w:rsidR="00044232" w:rsidRPr="00600ED9" w:rsidRDefault="00044232" w:rsidP="00FB1954">
            <w:pPr>
              <w:pStyle w:val="NoSpacing"/>
              <w:jc w:val="both"/>
              <w:rPr>
                <w:sz w:val="20"/>
                <w:szCs w:val="20"/>
                <w:lang w:val="es-ES_tradnl" w:eastAsia="zh-TW"/>
              </w:rPr>
            </w:pPr>
            <w:r w:rsidRPr="00600ED9">
              <w:rPr>
                <w:sz w:val="20"/>
                <w:szCs w:val="20"/>
                <w:lang w:val="es-ES_tradnl" w:eastAsia="zh-TW"/>
              </w:rPr>
              <w:t>En reunión previa al inicio de la auditoría, con el representante legal (o delegado) de la entidad a auditar, y la participación del Director de Vigilancia Fiscal o el Directivo de la Gerencia Departamental o Distrital Colegiada, se presenta el equipo auditor y se hace entrega de la comunicación donde se formaliza el inicio de la auditoría.  El equipo de auditoría delegado cuenta con un conocimiento integral de la organización y el ambiente en que opera.</w:t>
            </w:r>
          </w:p>
          <w:p w:rsidR="009A35A3" w:rsidRPr="00600ED9" w:rsidRDefault="009A35A3" w:rsidP="00FB1954">
            <w:pPr>
              <w:pStyle w:val="NoSpacing"/>
              <w:jc w:val="both"/>
              <w:rPr>
                <w:sz w:val="18"/>
                <w:szCs w:val="20"/>
                <w:lang w:val="es-ES_tradnl" w:eastAsia="zh-TW"/>
              </w:rPr>
            </w:pPr>
          </w:p>
          <w:p w:rsidR="003E6DD5" w:rsidRPr="00600ED9" w:rsidRDefault="007F5BBC" w:rsidP="00FB1954">
            <w:pPr>
              <w:pStyle w:val="NoSpacing"/>
              <w:jc w:val="both"/>
              <w:rPr>
                <w:sz w:val="20"/>
                <w:szCs w:val="20"/>
                <w:lang w:val="es-ES_tradnl" w:eastAsia="zh-TW"/>
              </w:rPr>
            </w:pPr>
            <w:r w:rsidRPr="00600ED9">
              <w:rPr>
                <w:rFonts w:eastAsia="Calibri" w:cs="Arial"/>
                <w:sz w:val="20"/>
                <w:szCs w:val="20"/>
                <w:lang w:val="es-ES_tradnl"/>
              </w:rPr>
              <w:t>E</w:t>
            </w:r>
            <w:r w:rsidR="003E6DD5" w:rsidRPr="00600ED9">
              <w:rPr>
                <w:rFonts w:eastAsia="Calibri" w:cs="Arial"/>
                <w:sz w:val="20"/>
                <w:szCs w:val="20"/>
                <w:lang w:val="es-ES_tradnl"/>
              </w:rPr>
              <w:t xml:space="preserve">l </w:t>
            </w:r>
            <w:r w:rsidR="00AA263D" w:rsidRPr="00600ED9">
              <w:rPr>
                <w:sz w:val="20"/>
                <w:szCs w:val="20"/>
                <w:lang w:val="es-ES_tradnl" w:eastAsia="zh-TW"/>
              </w:rPr>
              <w:t xml:space="preserve">Plan de </w:t>
            </w:r>
            <w:r w:rsidR="003E6DD5" w:rsidRPr="00600ED9">
              <w:rPr>
                <w:sz w:val="20"/>
                <w:szCs w:val="20"/>
                <w:lang w:val="es-ES_tradnl" w:eastAsia="zh-TW"/>
              </w:rPr>
              <w:t>A</w:t>
            </w:r>
            <w:r w:rsidR="00AA263D" w:rsidRPr="00600ED9">
              <w:rPr>
                <w:sz w:val="20"/>
                <w:szCs w:val="20"/>
                <w:lang w:val="es-ES_tradnl" w:eastAsia="zh-TW"/>
              </w:rPr>
              <w:t xml:space="preserve">uditoría </w:t>
            </w:r>
            <w:r w:rsidR="003E6DD5" w:rsidRPr="00600ED9">
              <w:rPr>
                <w:sz w:val="20"/>
                <w:szCs w:val="20"/>
                <w:lang w:val="es-ES_tradnl" w:eastAsia="zh-TW"/>
              </w:rPr>
              <w:t xml:space="preserve">Financiera </w:t>
            </w:r>
            <w:r w:rsidR="00AA263D" w:rsidRPr="00600ED9">
              <w:rPr>
                <w:sz w:val="20"/>
                <w:szCs w:val="20"/>
                <w:lang w:val="es-ES_tradnl" w:eastAsia="zh-TW"/>
              </w:rPr>
              <w:t>no incluye</w:t>
            </w:r>
            <w:r w:rsidR="003E6DD5" w:rsidRPr="00600ED9">
              <w:rPr>
                <w:sz w:val="20"/>
                <w:szCs w:val="20"/>
                <w:lang w:val="es-ES_tradnl"/>
              </w:rPr>
              <w:t xml:space="preserve"> el detalle específico de </w:t>
            </w:r>
            <w:proofErr w:type="gramStart"/>
            <w:r w:rsidR="003E6DD5" w:rsidRPr="00600ED9">
              <w:rPr>
                <w:sz w:val="20"/>
                <w:szCs w:val="20"/>
                <w:lang w:val="es-ES_tradnl"/>
              </w:rPr>
              <w:t>las</w:t>
            </w:r>
            <w:proofErr w:type="gramEnd"/>
            <w:r w:rsidR="003E6DD5" w:rsidRPr="00600ED9">
              <w:rPr>
                <w:sz w:val="20"/>
                <w:szCs w:val="20"/>
                <w:lang w:val="es-ES_tradnl"/>
              </w:rPr>
              <w:t xml:space="preserve"> </w:t>
            </w:r>
            <w:r w:rsidR="00873109" w:rsidRPr="00600ED9">
              <w:rPr>
                <w:sz w:val="20"/>
                <w:szCs w:val="20"/>
                <w:lang w:val="es-ES_tradnl"/>
              </w:rPr>
              <w:t>procedimientos</w:t>
            </w:r>
            <w:r w:rsidR="003E6DD5" w:rsidRPr="00600ED9">
              <w:rPr>
                <w:sz w:val="20"/>
                <w:szCs w:val="20"/>
                <w:lang w:val="es-ES_tradnl"/>
              </w:rPr>
              <w:t xml:space="preserve"> a realizar, ni define una estrategia clara que incorpore </w:t>
            </w:r>
            <w:r w:rsidR="00873109" w:rsidRPr="00600ED9">
              <w:rPr>
                <w:sz w:val="20"/>
                <w:szCs w:val="20"/>
                <w:lang w:val="es-ES_tradnl" w:eastAsia="zh-TW"/>
              </w:rPr>
              <w:t xml:space="preserve">la naturaleza,  alcance, oportunidad, </w:t>
            </w:r>
            <w:r w:rsidR="003E6DD5" w:rsidRPr="00600ED9">
              <w:rPr>
                <w:sz w:val="20"/>
                <w:szCs w:val="20"/>
                <w:lang w:val="es-ES_tradnl" w:eastAsia="zh-TW"/>
              </w:rPr>
              <w:t>dirección</w:t>
            </w:r>
            <w:r w:rsidR="00873109" w:rsidRPr="00600ED9">
              <w:rPr>
                <w:sz w:val="20"/>
                <w:szCs w:val="20"/>
                <w:lang w:val="es-ES_tradnl" w:eastAsia="zh-TW"/>
              </w:rPr>
              <w:t xml:space="preserve"> y recursos necesarios</w:t>
            </w:r>
            <w:r w:rsidR="003E6DD5" w:rsidRPr="00600ED9">
              <w:rPr>
                <w:sz w:val="20"/>
                <w:szCs w:val="20"/>
                <w:lang w:val="es-ES_tradnl" w:eastAsia="zh-TW"/>
              </w:rPr>
              <w:t>.</w:t>
            </w:r>
          </w:p>
          <w:p w:rsidR="009A35A3" w:rsidRPr="00600ED9" w:rsidRDefault="009A35A3" w:rsidP="00FB1954">
            <w:pPr>
              <w:pStyle w:val="NoSpacing"/>
              <w:jc w:val="both"/>
              <w:rPr>
                <w:sz w:val="18"/>
                <w:szCs w:val="20"/>
                <w:lang w:val="es-ES_tradnl"/>
              </w:rPr>
            </w:pPr>
          </w:p>
          <w:p w:rsidR="00136162" w:rsidRPr="00600ED9" w:rsidRDefault="00873109" w:rsidP="00FB1954">
            <w:pPr>
              <w:pStyle w:val="NoSpacing"/>
              <w:jc w:val="both"/>
              <w:rPr>
                <w:sz w:val="20"/>
                <w:szCs w:val="20"/>
                <w:lang w:val="es-ES_tradnl" w:eastAsia="zh-TW"/>
              </w:rPr>
            </w:pPr>
            <w:r w:rsidRPr="00600ED9">
              <w:rPr>
                <w:sz w:val="20"/>
                <w:szCs w:val="20"/>
                <w:lang w:val="es-ES_tradnl" w:eastAsia="zh-TW"/>
              </w:rPr>
              <w:t>No se determina la materialidad de los estados financieros en conjunto</w:t>
            </w:r>
            <w:r w:rsidR="00136162" w:rsidRPr="00600ED9">
              <w:rPr>
                <w:sz w:val="20"/>
                <w:szCs w:val="20"/>
                <w:lang w:val="es-ES_tradnl" w:eastAsia="zh-TW"/>
              </w:rPr>
              <w:t>, de transacciones específicas, balances de cuentas o divulgación y del desempeño. No se documenta la decisión y el cálculo de la materialidad realizado. La Guía de Auditoría indica que el cálculo se realiza con base en el juicio profesional del auditor.</w:t>
            </w:r>
          </w:p>
          <w:p w:rsidR="009A35A3" w:rsidRPr="00600ED9" w:rsidRDefault="009A35A3" w:rsidP="00FB1954">
            <w:pPr>
              <w:pStyle w:val="NoSpacing"/>
              <w:jc w:val="both"/>
              <w:rPr>
                <w:rFonts w:eastAsiaTheme="majorEastAsia" w:cstheme="majorBidi"/>
                <w:i/>
                <w:iCs/>
                <w:sz w:val="18"/>
                <w:szCs w:val="20"/>
                <w:lang w:val="es-ES_tradnl" w:eastAsia="zh-TW"/>
              </w:rPr>
            </w:pPr>
          </w:p>
          <w:p w:rsidR="00AA263D" w:rsidRPr="00600ED9" w:rsidRDefault="00873109" w:rsidP="00FB1954">
            <w:pPr>
              <w:pStyle w:val="NoSpacing"/>
              <w:jc w:val="both"/>
              <w:rPr>
                <w:sz w:val="20"/>
                <w:szCs w:val="20"/>
                <w:lang w:val="es-ES_tradnl" w:eastAsia="zh-TW"/>
              </w:rPr>
            </w:pPr>
            <w:r w:rsidRPr="00600ED9">
              <w:rPr>
                <w:sz w:val="20"/>
                <w:szCs w:val="20"/>
                <w:lang w:val="es-ES_tradnl" w:eastAsia="zh-TW"/>
              </w:rPr>
              <w:t xml:space="preserve">No se dispone de evidencia suficiente que soporte los </w:t>
            </w:r>
            <w:r w:rsidR="00AA263D" w:rsidRPr="00600ED9">
              <w:rPr>
                <w:sz w:val="20"/>
                <w:szCs w:val="20"/>
                <w:lang w:val="es-ES_tradnl" w:eastAsia="zh-TW"/>
              </w:rPr>
              <w:t>procedimientos lleva</w:t>
            </w:r>
            <w:r w:rsidRPr="00600ED9">
              <w:rPr>
                <w:sz w:val="20"/>
                <w:szCs w:val="20"/>
                <w:lang w:val="es-ES_tradnl" w:eastAsia="zh-TW"/>
              </w:rPr>
              <w:t>dos</w:t>
            </w:r>
            <w:r w:rsidR="00AA263D" w:rsidRPr="00600ED9">
              <w:rPr>
                <w:sz w:val="20"/>
                <w:szCs w:val="20"/>
                <w:lang w:val="es-ES_tradnl" w:eastAsia="zh-TW"/>
              </w:rPr>
              <w:t xml:space="preserve"> a cabo para el entendimiento del ambiente de control interno de la entidad auditada, ni tampoco se hace referencia a un documento que soporte </w:t>
            </w:r>
            <w:r w:rsidR="00F756FC" w:rsidRPr="00600ED9">
              <w:rPr>
                <w:sz w:val="20"/>
                <w:szCs w:val="20"/>
                <w:lang w:val="es-ES_tradnl" w:eastAsia="zh-TW"/>
              </w:rPr>
              <w:t xml:space="preserve">su evaluación.   </w:t>
            </w:r>
          </w:p>
          <w:p w:rsidR="009A35A3" w:rsidRPr="00600ED9" w:rsidRDefault="009A35A3" w:rsidP="00FB1954">
            <w:pPr>
              <w:pStyle w:val="NoSpacing"/>
              <w:jc w:val="both"/>
              <w:rPr>
                <w:sz w:val="18"/>
                <w:szCs w:val="20"/>
                <w:lang w:val="es-ES_tradnl" w:eastAsia="zh-TW"/>
              </w:rPr>
            </w:pPr>
          </w:p>
          <w:p w:rsidR="00AA263D" w:rsidRPr="00600ED9" w:rsidRDefault="00AA263D" w:rsidP="00FB1954">
            <w:pPr>
              <w:pStyle w:val="NoSpacing"/>
              <w:jc w:val="both"/>
              <w:rPr>
                <w:sz w:val="20"/>
                <w:szCs w:val="20"/>
                <w:lang w:val="es-ES_tradnl" w:eastAsia="zh-TW"/>
              </w:rPr>
            </w:pPr>
            <w:r w:rsidRPr="00600ED9">
              <w:rPr>
                <w:sz w:val="20"/>
                <w:szCs w:val="20"/>
                <w:lang w:val="es-ES_tradnl" w:eastAsia="zh-TW"/>
              </w:rPr>
              <w:t xml:space="preserve">Aunque las auditorías deben ser planificadas con base a riesgos, en la práctica, la ejecución de las pruebas realizadas por los auditores, no </w:t>
            </w:r>
            <w:r w:rsidR="00F756FC" w:rsidRPr="00600ED9">
              <w:rPr>
                <w:sz w:val="20"/>
                <w:szCs w:val="20"/>
                <w:lang w:val="es-ES_tradnl" w:eastAsia="zh-TW"/>
              </w:rPr>
              <w:t xml:space="preserve">permiten confirmar su contribución </w:t>
            </w:r>
            <w:r w:rsidR="004F686F" w:rsidRPr="00600ED9">
              <w:rPr>
                <w:sz w:val="20"/>
                <w:szCs w:val="20"/>
                <w:lang w:val="es-ES_tradnl" w:eastAsia="zh-TW"/>
              </w:rPr>
              <w:t>con</w:t>
            </w:r>
            <w:r w:rsidR="00F756FC" w:rsidRPr="00600ED9">
              <w:rPr>
                <w:sz w:val="20"/>
                <w:szCs w:val="20"/>
                <w:lang w:val="es-ES_tradnl" w:eastAsia="zh-TW"/>
              </w:rPr>
              <w:t xml:space="preserve"> la</w:t>
            </w:r>
            <w:r w:rsidRPr="00600ED9">
              <w:rPr>
                <w:sz w:val="20"/>
                <w:szCs w:val="20"/>
                <w:lang w:val="es-ES_tradnl" w:eastAsia="zh-TW"/>
              </w:rPr>
              <w:t xml:space="preserve"> mitiga</w:t>
            </w:r>
            <w:r w:rsidR="00F756FC" w:rsidRPr="00600ED9">
              <w:rPr>
                <w:sz w:val="20"/>
                <w:szCs w:val="20"/>
                <w:lang w:val="es-ES_tradnl" w:eastAsia="zh-TW"/>
              </w:rPr>
              <w:t>ción de</w:t>
            </w:r>
            <w:r w:rsidRPr="00600ED9">
              <w:rPr>
                <w:sz w:val="20"/>
                <w:szCs w:val="20"/>
                <w:lang w:val="es-ES_tradnl" w:eastAsia="zh-TW"/>
              </w:rPr>
              <w:t xml:space="preserve"> los riesgos identificados previamente.</w:t>
            </w:r>
            <w:r w:rsidR="00985E87" w:rsidRPr="00600ED9">
              <w:rPr>
                <w:sz w:val="20"/>
                <w:szCs w:val="20"/>
                <w:lang w:val="es-ES_tradnl" w:eastAsia="zh-TW"/>
              </w:rPr>
              <w:t xml:space="preserve"> Tampoco se identifica</w:t>
            </w:r>
            <w:r w:rsidR="00F756FC" w:rsidRPr="00600ED9">
              <w:rPr>
                <w:sz w:val="20"/>
                <w:szCs w:val="20"/>
                <w:lang w:val="es-ES_tradnl" w:eastAsia="zh-TW"/>
              </w:rPr>
              <w:t xml:space="preserve">n y evalúan el riesgo de fraude y de </w:t>
            </w:r>
            <w:r w:rsidR="00985E87" w:rsidRPr="00600ED9">
              <w:rPr>
                <w:sz w:val="20"/>
                <w:szCs w:val="20"/>
                <w:lang w:val="es-ES_tradnl" w:eastAsia="zh-TW"/>
              </w:rPr>
              <w:t>no cumplimiento</w:t>
            </w:r>
            <w:r w:rsidR="00F756FC" w:rsidRPr="00600ED9">
              <w:rPr>
                <w:sz w:val="20"/>
                <w:szCs w:val="20"/>
                <w:lang w:val="es-ES_tradnl" w:eastAsia="zh-TW"/>
              </w:rPr>
              <w:t xml:space="preserve"> de leyes y regulaciones</w:t>
            </w:r>
            <w:r w:rsidR="00985E87" w:rsidRPr="00600ED9">
              <w:rPr>
                <w:sz w:val="20"/>
                <w:szCs w:val="20"/>
                <w:lang w:val="es-ES_tradnl" w:eastAsia="zh-TW"/>
              </w:rPr>
              <w:t xml:space="preserve">.  </w:t>
            </w:r>
          </w:p>
          <w:p w:rsidR="00FA4AC6" w:rsidRPr="00600ED9" w:rsidRDefault="00FA4AC6" w:rsidP="00FB1954">
            <w:pPr>
              <w:pStyle w:val="NoSpacing"/>
              <w:jc w:val="both"/>
              <w:rPr>
                <w:sz w:val="16"/>
                <w:szCs w:val="20"/>
                <w:lang w:val="es-ES_tradnl" w:eastAsia="zh-TW"/>
              </w:rPr>
            </w:pPr>
          </w:p>
        </w:tc>
      </w:tr>
      <w:tr w:rsidR="00AA263D" w:rsidRPr="00600ED9" w:rsidTr="00403D7A">
        <w:tc>
          <w:tcPr>
            <w:tcW w:w="9356" w:type="dxa"/>
            <w:shd w:val="clear" w:color="auto" w:fill="D9D9D9" w:themeFill="background1" w:themeFillShade="D9"/>
          </w:tcPr>
          <w:p w:rsidR="00AA263D" w:rsidRPr="00600ED9" w:rsidRDefault="00AA263D" w:rsidP="00FB1954">
            <w:pPr>
              <w:pStyle w:val="NoSpacing"/>
              <w:rPr>
                <w:b/>
                <w:i/>
                <w:sz w:val="20"/>
                <w:szCs w:val="20"/>
                <w:lang w:val="es-ES_tradnl"/>
              </w:rPr>
            </w:pPr>
            <w:r w:rsidRPr="00600ED9">
              <w:rPr>
                <w:b/>
                <w:i/>
                <w:sz w:val="20"/>
                <w:szCs w:val="20"/>
                <w:lang w:val="es-ES_tradnl"/>
              </w:rPr>
              <w:t>Dimensión (ii) Ejecución de auditorías financieras</w:t>
            </w:r>
          </w:p>
        </w:tc>
      </w:tr>
      <w:tr w:rsidR="00AA263D" w:rsidRPr="00600ED9" w:rsidTr="00403D7A">
        <w:tc>
          <w:tcPr>
            <w:tcW w:w="9356" w:type="dxa"/>
            <w:shd w:val="clear" w:color="auto" w:fill="D9D9D9" w:themeFill="background1" w:themeFillShade="D9"/>
          </w:tcPr>
          <w:p w:rsidR="00AA263D" w:rsidRPr="00600ED9" w:rsidRDefault="007F5BBC" w:rsidP="00FB1954">
            <w:pPr>
              <w:pStyle w:val="NoSpacing"/>
              <w:rPr>
                <w:i/>
                <w:color w:val="000000"/>
                <w:sz w:val="20"/>
                <w:szCs w:val="20"/>
                <w:lang w:val="es-ES_tradnl"/>
              </w:rPr>
            </w:pPr>
            <w:r w:rsidRPr="00600ED9">
              <w:rPr>
                <w:b/>
                <w:i/>
                <w:color w:val="000000"/>
                <w:sz w:val="20"/>
                <w:szCs w:val="20"/>
                <w:lang w:val="es-ES_tradnl"/>
              </w:rPr>
              <w:t>Puntuación 0:</w:t>
            </w:r>
            <w:r w:rsidR="00AA263D" w:rsidRPr="00600ED9">
              <w:rPr>
                <w:bCs/>
                <w:i/>
                <w:sz w:val="20"/>
                <w:szCs w:val="20"/>
                <w:lang w:val="es-ES_tradnl"/>
              </w:rPr>
              <w:t xml:space="preserve"> </w:t>
            </w:r>
            <w:r w:rsidRPr="00600ED9">
              <w:rPr>
                <w:bCs/>
                <w:i/>
                <w:sz w:val="20"/>
                <w:szCs w:val="20"/>
                <w:lang w:val="es-ES_tradnl"/>
              </w:rPr>
              <w:t>Ninguno</w:t>
            </w:r>
            <w:r w:rsidR="00AA263D" w:rsidRPr="00600ED9">
              <w:rPr>
                <w:bCs/>
                <w:i/>
                <w:sz w:val="20"/>
                <w:szCs w:val="20"/>
                <w:lang w:val="es-ES_tradnl"/>
              </w:rPr>
              <w:t xml:space="preserve"> de los criterios mencionados se implementan.</w:t>
            </w:r>
          </w:p>
        </w:tc>
      </w:tr>
      <w:tr w:rsidR="00AA263D" w:rsidRPr="00600ED9" w:rsidTr="00403D7A">
        <w:tc>
          <w:tcPr>
            <w:tcW w:w="9356" w:type="dxa"/>
          </w:tcPr>
          <w:p w:rsidR="00AA263D" w:rsidRPr="00600ED9" w:rsidRDefault="00AA263D" w:rsidP="00FB1954">
            <w:pPr>
              <w:pStyle w:val="Normaltabletext"/>
              <w:spacing w:after="0"/>
              <w:rPr>
                <w:color w:val="000000"/>
                <w:lang w:val="es-ES_tradnl"/>
              </w:rPr>
            </w:pPr>
            <w:r w:rsidRPr="00600ED9">
              <w:rPr>
                <w:color w:val="000000"/>
                <w:lang w:val="es-ES_tradnl"/>
              </w:rPr>
              <w:t>Criterios (a), (b),</w:t>
            </w:r>
            <w:r w:rsidR="007F5BBC" w:rsidRPr="00600ED9">
              <w:rPr>
                <w:color w:val="000000"/>
                <w:lang w:val="es-ES_tradnl"/>
              </w:rPr>
              <w:t xml:space="preserve"> (c),</w:t>
            </w:r>
            <w:r w:rsidRPr="00600ED9">
              <w:rPr>
                <w:color w:val="000000"/>
                <w:lang w:val="es-ES_tradnl"/>
              </w:rPr>
              <w:t xml:space="preserve"> (d), (e), (f) </w:t>
            </w:r>
            <w:r w:rsidR="007F5BBC" w:rsidRPr="00600ED9">
              <w:rPr>
                <w:color w:val="000000"/>
                <w:lang w:val="es-ES_tradnl"/>
              </w:rPr>
              <w:t xml:space="preserve">y (g) </w:t>
            </w:r>
            <w:r w:rsidRPr="00600ED9">
              <w:rPr>
                <w:color w:val="000000"/>
                <w:lang w:val="es-ES_tradnl"/>
              </w:rPr>
              <w:t>no cumple</w:t>
            </w:r>
            <w:r w:rsidR="007F5BBC" w:rsidRPr="00600ED9">
              <w:rPr>
                <w:color w:val="000000"/>
                <w:lang w:val="es-ES_tradnl"/>
              </w:rPr>
              <w:t>n</w:t>
            </w:r>
            <w:r w:rsidRPr="00600ED9">
              <w:rPr>
                <w:color w:val="000000"/>
                <w:lang w:val="es-ES_tradnl"/>
              </w:rPr>
              <w:t xml:space="preserve">. </w:t>
            </w:r>
          </w:p>
          <w:p w:rsidR="00FA4AC6" w:rsidRPr="00600ED9" w:rsidRDefault="00FA4AC6" w:rsidP="00FB1954">
            <w:pPr>
              <w:pStyle w:val="Normaltabletext"/>
              <w:spacing w:after="0"/>
              <w:rPr>
                <w:color w:val="000000"/>
                <w:lang w:val="es-ES_tradnl"/>
              </w:rPr>
            </w:pPr>
          </w:p>
          <w:p w:rsidR="00DC0CB7" w:rsidRPr="00600ED9" w:rsidRDefault="00BD497F" w:rsidP="00FB1954">
            <w:pPr>
              <w:jc w:val="both"/>
              <w:rPr>
                <w:sz w:val="20"/>
                <w:szCs w:val="20"/>
              </w:rPr>
            </w:pPr>
            <w:r w:rsidRPr="00600ED9">
              <w:rPr>
                <w:sz w:val="20"/>
                <w:szCs w:val="20"/>
              </w:rPr>
              <w:t>L</w:t>
            </w:r>
            <w:r w:rsidR="00DC0CB7" w:rsidRPr="00600ED9">
              <w:rPr>
                <w:sz w:val="20"/>
                <w:szCs w:val="20"/>
              </w:rPr>
              <w:t xml:space="preserve">as debilidades </w:t>
            </w:r>
            <w:r w:rsidRPr="00600ED9">
              <w:rPr>
                <w:sz w:val="20"/>
                <w:szCs w:val="20"/>
              </w:rPr>
              <w:t xml:space="preserve">identificadas en la planeación y </w:t>
            </w:r>
            <w:r w:rsidR="00DC0CB7" w:rsidRPr="00600ED9">
              <w:rPr>
                <w:sz w:val="20"/>
                <w:szCs w:val="20"/>
              </w:rPr>
              <w:t xml:space="preserve">citadas en la dimensión (i) anterior, </w:t>
            </w:r>
            <w:r w:rsidRPr="00600ED9">
              <w:rPr>
                <w:sz w:val="20"/>
                <w:szCs w:val="20"/>
              </w:rPr>
              <w:t xml:space="preserve"> se confirman </w:t>
            </w:r>
            <w:r w:rsidR="007F5BBC" w:rsidRPr="00600ED9">
              <w:rPr>
                <w:sz w:val="20"/>
                <w:szCs w:val="20"/>
              </w:rPr>
              <w:t xml:space="preserve">como parte de la fase de </w:t>
            </w:r>
            <w:r w:rsidRPr="00600ED9">
              <w:rPr>
                <w:sz w:val="20"/>
                <w:szCs w:val="20"/>
              </w:rPr>
              <w:t>ejecución de</w:t>
            </w:r>
            <w:r w:rsidR="007F5BBC" w:rsidRPr="00600ED9">
              <w:rPr>
                <w:sz w:val="20"/>
                <w:szCs w:val="20"/>
              </w:rPr>
              <w:t xml:space="preserve"> </w:t>
            </w:r>
            <w:r w:rsidRPr="00600ED9">
              <w:rPr>
                <w:sz w:val="20"/>
                <w:szCs w:val="20"/>
              </w:rPr>
              <w:t xml:space="preserve">la auditoría.  </w:t>
            </w:r>
          </w:p>
          <w:p w:rsidR="00FA4AC6" w:rsidRPr="00600ED9" w:rsidRDefault="00FA4AC6" w:rsidP="00FB1954">
            <w:pPr>
              <w:jc w:val="both"/>
              <w:rPr>
                <w:sz w:val="20"/>
                <w:szCs w:val="20"/>
              </w:rPr>
            </w:pPr>
          </w:p>
          <w:p w:rsidR="00AA263D" w:rsidRPr="00600ED9" w:rsidRDefault="007F5BBC" w:rsidP="00FB1954">
            <w:pPr>
              <w:jc w:val="both"/>
              <w:rPr>
                <w:rFonts w:eastAsiaTheme="minorEastAsia"/>
                <w:color w:val="000000"/>
                <w:sz w:val="20"/>
                <w:szCs w:val="20"/>
                <w:lang w:eastAsia="zh-TW"/>
              </w:rPr>
            </w:pPr>
            <w:r w:rsidRPr="00600ED9">
              <w:rPr>
                <w:rFonts w:eastAsiaTheme="minorEastAsia"/>
                <w:color w:val="000000"/>
                <w:sz w:val="20"/>
                <w:szCs w:val="20"/>
                <w:lang w:eastAsia="zh-TW"/>
              </w:rPr>
              <w:t xml:space="preserve">A pesar </w:t>
            </w:r>
            <w:r w:rsidR="004F7317" w:rsidRPr="00600ED9">
              <w:rPr>
                <w:rFonts w:eastAsiaTheme="minorEastAsia"/>
                <w:color w:val="000000"/>
                <w:sz w:val="20"/>
                <w:szCs w:val="20"/>
                <w:lang w:eastAsia="zh-TW"/>
              </w:rPr>
              <w:t xml:space="preserve">de </w:t>
            </w:r>
            <w:r w:rsidRPr="00600ED9">
              <w:rPr>
                <w:rFonts w:eastAsiaTheme="minorEastAsia"/>
                <w:color w:val="000000"/>
                <w:sz w:val="20"/>
                <w:szCs w:val="20"/>
                <w:lang w:eastAsia="zh-TW"/>
              </w:rPr>
              <w:t>que los procedimie</w:t>
            </w:r>
            <w:r w:rsidR="004F7317" w:rsidRPr="00600ED9">
              <w:rPr>
                <w:rFonts w:eastAsiaTheme="minorEastAsia"/>
                <w:color w:val="000000"/>
                <w:sz w:val="20"/>
                <w:szCs w:val="20"/>
                <w:lang w:eastAsia="zh-TW"/>
              </w:rPr>
              <w:t>ntos de auditorí</w:t>
            </w:r>
            <w:r w:rsidRPr="00600ED9">
              <w:rPr>
                <w:rFonts w:eastAsiaTheme="minorEastAsia"/>
                <w:color w:val="000000"/>
                <w:sz w:val="20"/>
                <w:szCs w:val="20"/>
                <w:lang w:eastAsia="zh-TW"/>
              </w:rPr>
              <w:t>a planificados se llevan a cabo, l</w:t>
            </w:r>
            <w:r w:rsidR="00AA263D" w:rsidRPr="00600ED9">
              <w:rPr>
                <w:rFonts w:eastAsiaTheme="minorEastAsia"/>
                <w:color w:val="000000"/>
                <w:sz w:val="20"/>
                <w:szCs w:val="20"/>
                <w:lang w:eastAsia="zh-TW"/>
              </w:rPr>
              <w:t xml:space="preserve">a </w:t>
            </w:r>
            <w:r w:rsidRPr="00600ED9">
              <w:rPr>
                <w:rFonts w:eastAsiaTheme="minorEastAsia"/>
                <w:color w:val="000000"/>
                <w:sz w:val="20"/>
                <w:szCs w:val="20"/>
                <w:lang w:eastAsia="zh-TW"/>
              </w:rPr>
              <w:t>forma de</w:t>
            </w:r>
            <w:r w:rsidR="00BD497F" w:rsidRPr="00600ED9">
              <w:rPr>
                <w:rFonts w:eastAsiaTheme="minorEastAsia"/>
                <w:color w:val="000000"/>
                <w:sz w:val="20"/>
                <w:szCs w:val="20"/>
                <w:lang w:eastAsia="zh-TW"/>
              </w:rPr>
              <w:t xml:space="preserve"> </w:t>
            </w:r>
            <w:r w:rsidR="00AA263D" w:rsidRPr="00600ED9">
              <w:rPr>
                <w:rFonts w:eastAsiaTheme="minorEastAsia"/>
                <w:color w:val="000000"/>
                <w:sz w:val="20"/>
                <w:szCs w:val="20"/>
                <w:lang w:eastAsia="zh-TW"/>
              </w:rPr>
              <w:t xml:space="preserve">documentación de </w:t>
            </w:r>
            <w:r w:rsidR="00BD497F" w:rsidRPr="00600ED9">
              <w:rPr>
                <w:rFonts w:eastAsiaTheme="minorEastAsia"/>
                <w:color w:val="000000"/>
                <w:sz w:val="20"/>
                <w:szCs w:val="20"/>
                <w:lang w:eastAsia="zh-TW"/>
              </w:rPr>
              <w:t xml:space="preserve">la evidencia </w:t>
            </w:r>
            <w:r w:rsidR="00AA263D" w:rsidRPr="00600ED9">
              <w:rPr>
                <w:rFonts w:eastAsiaTheme="minorEastAsia"/>
                <w:color w:val="000000"/>
                <w:sz w:val="20"/>
                <w:szCs w:val="20"/>
                <w:lang w:eastAsia="zh-TW"/>
              </w:rPr>
              <w:t>no es suficiente, y dificulta entender la naturaleza, oportunidad</w:t>
            </w:r>
            <w:r w:rsidR="00A446D3" w:rsidRPr="00600ED9">
              <w:rPr>
                <w:rFonts w:eastAsiaTheme="minorEastAsia"/>
                <w:color w:val="000000"/>
                <w:sz w:val="20"/>
                <w:szCs w:val="20"/>
                <w:lang w:eastAsia="zh-TW"/>
              </w:rPr>
              <w:t xml:space="preserve">, </w:t>
            </w:r>
            <w:r w:rsidR="00AA263D" w:rsidRPr="00600ED9">
              <w:rPr>
                <w:rFonts w:eastAsiaTheme="minorEastAsia"/>
                <w:color w:val="000000"/>
                <w:sz w:val="20"/>
                <w:szCs w:val="20"/>
                <w:lang w:eastAsia="zh-TW"/>
              </w:rPr>
              <w:t xml:space="preserve">alcance </w:t>
            </w:r>
            <w:r w:rsidR="00A446D3" w:rsidRPr="00600ED9">
              <w:rPr>
                <w:rFonts w:eastAsiaTheme="minorEastAsia"/>
                <w:color w:val="000000"/>
                <w:sz w:val="20"/>
                <w:szCs w:val="20"/>
                <w:lang w:eastAsia="zh-TW"/>
              </w:rPr>
              <w:t xml:space="preserve">y </w:t>
            </w:r>
            <w:r w:rsidR="00AA263D" w:rsidRPr="00600ED9">
              <w:rPr>
                <w:rFonts w:eastAsiaTheme="minorEastAsia"/>
                <w:color w:val="000000"/>
                <w:sz w:val="20"/>
                <w:szCs w:val="20"/>
                <w:lang w:eastAsia="zh-TW"/>
              </w:rPr>
              <w:t>resultados</w:t>
            </w:r>
            <w:r w:rsidR="00A446D3" w:rsidRPr="00600ED9">
              <w:rPr>
                <w:rFonts w:eastAsiaTheme="minorEastAsia"/>
                <w:color w:val="000000"/>
                <w:sz w:val="20"/>
                <w:szCs w:val="20"/>
                <w:lang w:eastAsia="zh-TW"/>
              </w:rPr>
              <w:t xml:space="preserve"> del trabajo realizado</w:t>
            </w:r>
            <w:r w:rsidR="00AA263D" w:rsidRPr="00600ED9">
              <w:rPr>
                <w:rFonts w:eastAsiaTheme="minorEastAsia"/>
                <w:color w:val="000000"/>
                <w:sz w:val="20"/>
                <w:szCs w:val="20"/>
                <w:lang w:eastAsia="zh-TW"/>
              </w:rPr>
              <w:t xml:space="preserve">. </w:t>
            </w:r>
          </w:p>
          <w:p w:rsidR="00FA4AC6" w:rsidRPr="00600ED9" w:rsidRDefault="00FA4AC6" w:rsidP="00FB1954">
            <w:pPr>
              <w:jc w:val="both"/>
              <w:rPr>
                <w:rFonts w:eastAsiaTheme="minorEastAsia"/>
                <w:color w:val="000000"/>
                <w:sz w:val="20"/>
                <w:szCs w:val="20"/>
                <w:lang w:eastAsia="zh-TW"/>
              </w:rPr>
            </w:pPr>
          </w:p>
          <w:p w:rsidR="00AA263D" w:rsidRPr="00600ED9" w:rsidRDefault="00AA263D" w:rsidP="00FB1954">
            <w:pPr>
              <w:jc w:val="both"/>
              <w:rPr>
                <w:rFonts w:eastAsiaTheme="minorEastAsia"/>
                <w:color w:val="000000"/>
                <w:sz w:val="20"/>
                <w:szCs w:val="20"/>
                <w:lang w:eastAsia="zh-TW"/>
              </w:rPr>
            </w:pPr>
            <w:r w:rsidRPr="00600ED9">
              <w:rPr>
                <w:rFonts w:eastAsiaTheme="minorEastAsia"/>
                <w:color w:val="000000"/>
                <w:sz w:val="20"/>
                <w:szCs w:val="20"/>
                <w:lang w:eastAsia="zh-TW"/>
              </w:rPr>
              <w:t xml:space="preserve">Esto se </w:t>
            </w:r>
            <w:r w:rsidR="00A446D3" w:rsidRPr="00600ED9">
              <w:rPr>
                <w:rFonts w:eastAsiaTheme="minorEastAsia"/>
                <w:color w:val="000000"/>
                <w:sz w:val="20"/>
                <w:szCs w:val="20"/>
                <w:lang w:eastAsia="zh-TW"/>
              </w:rPr>
              <w:t>confirma en aspectos como:</w:t>
            </w:r>
          </w:p>
          <w:p w:rsidR="00A66C0A" w:rsidRPr="00600ED9" w:rsidRDefault="00A66C0A" w:rsidP="00FB1954">
            <w:pPr>
              <w:jc w:val="both"/>
              <w:rPr>
                <w:rFonts w:eastAsiaTheme="minorEastAsia"/>
                <w:color w:val="000000"/>
                <w:sz w:val="20"/>
                <w:szCs w:val="20"/>
                <w:lang w:eastAsia="zh-TW"/>
              </w:rPr>
            </w:pPr>
          </w:p>
          <w:p w:rsidR="00AA263D" w:rsidRPr="00600ED9" w:rsidRDefault="00A446D3" w:rsidP="00233205">
            <w:pPr>
              <w:pStyle w:val="ListParagraph"/>
              <w:numPr>
                <w:ilvl w:val="0"/>
                <w:numId w:val="13"/>
              </w:numPr>
              <w:jc w:val="both"/>
              <w:rPr>
                <w:color w:val="000000"/>
                <w:sz w:val="20"/>
                <w:szCs w:val="20"/>
                <w:lang w:eastAsia="zh-TW"/>
              </w:rPr>
            </w:pPr>
            <w:r w:rsidRPr="00600ED9">
              <w:rPr>
                <w:color w:val="000000"/>
                <w:sz w:val="20"/>
                <w:szCs w:val="20"/>
                <w:lang w:eastAsia="zh-TW"/>
              </w:rPr>
              <w:t>No</w:t>
            </w:r>
            <w:r w:rsidR="00AA263D" w:rsidRPr="00600ED9">
              <w:rPr>
                <w:color w:val="000000"/>
                <w:sz w:val="20"/>
                <w:szCs w:val="20"/>
                <w:lang w:eastAsia="zh-TW"/>
              </w:rPr>
              <w:t xml:space="preserve"> se indica qué aserciones de auditoría se probar</w:t>
            </w:r>
            <w:r w:rsidRPr="00600ED9">
              <w:rPr>
                <w:color w:val="000000"/>
                <w:sz w:val="20"/>
                <w:szCs w:val="20"/>
                <w:lang w:eastAsia="zh-TW"/>
              </w:rPr>
              <w:t>on</w:t>
            </w:r>
            <w:r w:rsidR="00AA263D" w:rsidRPr="00600ED9">
              <w:rPr>
                <w:color w:val="000000"/>
                <w:sz w:val="20"/>
                <w:szCs w:val="20"/>
                <w:lang w:eastAsia="zh-TW"/>
              </w:rPr>
              <w:t xml:space="preserve"> con la</w:t>
            </w:r>
            <w:r w:rsidRPr="00600ED9">
              <w:rPr>
                <w:color w:val="000000"/>
                <w:sz w:val="20"/>
                <w:szCs w:val="20"/>
                <w:lang w:eastAsia="zh-TW"/>
              </w:rPr>
              <w:t>s</w:t>
            </w:r>
            <w:r w:rsidR="00AA263D" w:rsidRPr="00600ED9">
              <w:rPr>
                <w:color w:val="000000"/>
                <w:sz w:val="20"/>
                <w:szCs w:val="20"/>
                <w:lang w:eastAsia="zh-TW"/>
              </w:rPr>
              <w:t xml:space="preserve"> pruebas</w:t>
            </w:r>
            <w:r w:rsidRPr="00600ED9">
              <w:rPr>
                <w:color w:val="000000"/>
                <w:sz w:val="20"/>
                <w:szCs w:val="20"/>
                <w:lang w:eastAsia="zh-TW"/>
              </w:rPr>
              <w:t xml:space="preserve"> realizadas</w:t>
            </w:r>
            <w:r w:rsidR="00AA263D" w:rsidRPr="00600ED9">
              <w:rPr>
                <w:color w:val="000000"/>
                <w:sz w:val="20"/>
                <w:szCs w:val="20"/>
                <w:lang w:eastAsia="zh-TW"/>
              </w:rPr>
              <w:t>.</w:t>
            </w:r>
            <w:r w:rsidR="006E6781" w:rsidRPr="00600ED9">
              <w:rPr>
                <w:color w:val="000000"/>
                <w:sz w:val="20"/>
                <w:szCs w:val="20"/>
                <w:lang w:eastAsia="zh-TW"/>
              </w:rPr>
              <w:t xml:space="preserve"> </w:t>
            </w:r>
            <w:r w:rsidR="006E6781" w:rsidRPr="00600ED9">
              <w:rPr>
                <w:color w:val="000000"/>
                <w:sz w:val="20"/>
                <w:szCs w:val="20"/>
              </w:rPr>
              <w:t>El probar la</w:t>
            </w:r>
            <w:r w:rsidR="004F7317" w:rsidRPr="00600ED9">
              <w:rPr>
                <w:color w:val="000000"/>
                <w:sz w:val="20"/>
                <w:szCs w:val="20"/>
              </w:rPr>
              <w:t xml:space="preserve"> exactitud e integridad de la</w:t>
            </w:r>
            <w:r w:rsidR="006E6781" w:rsidRPr="00600ED9">
              <w:rPr>
                <w:color w:val="000000"/>
                <w:sz w:val="20"/>
                <w:szCs w:val="20"/>
              </w:rPr>
              <w:t>s aserciones permite garantizar la confiablidad y relevancia de la evidencia de auditoría que se va obteniendo y a partir de la cual se emiten conclusiones.</w:t>
            </w:r>
          </w:p>
          <w:p w:rsidR="00A66C0A" w:rsidRPr="00600ED9" w:rsidRDefault="00A66C0A" w:rsidP="00A66C0A">
            <w:pPr>
              <w:pStyle w:val="ListParagraph"/>
              <w:ind w:left="360"/>
              <w:jc w:val="both"/>
              <w:rPr>
                <w:color w:val="000000"/>
                <w:sz w:val="20"/>
                <w:szCs w:val="20"/>
                <w:lang w:eastAsia="zh-TW"/>
              </w:rPr>
            </w:pPr>
          </w:p>
          <w:p w:rsidR="00AA263D" w:rsidRPr="00600ED9" w:rsidRDefault="00AA263D" w:rsidP="00233205">
            <w:pPr>
              <w:pStyle w:val="ListParagraph"/>
              <w:numPr>
                <w:ilvl w:val="0"/>
                <w:numId w:val="13"/>
              </w:numPr>
              <w:jc w:val="both"/>
              <w:rPr>
                <w:rFonts w:cstheme="majorBidi"/>
                <w:iCs/>
                <w:color w:val="000000"/>
                <w:sz w:val="20"/>
                <w:szCs w:val="20"/>
                <w:lang w:eastAsia="zh-TW"/>
              </w:rPr>
            </w:pPr>
            <w:r w:rsidRPr="00600ED9">
              <w:rPr>
                <w:color w:val="000000"/>
                <w:sz w:val="20"/>
                <w:szCs w:val="20"/>
                <w:lang w:eastAsia="zh-TW"/>
              </w:rPr>
              <w:lastRenderedPageBreak/>
              <w:t xml:space="preserve">No se documenta </w:t>
            </w:r>
            <w:r w:rsidR="003315B1" w:rsidRPr="00600ED9">
              <w:rPr>
                <w:color w:val="000000"/>
                <w:sz w:val="20"/>
                <w:szCs w:val="20"/>
                <w:lang w:eastAsia="zh-TW"/>
              </w:rPr>
              <w:t>a</w:t>
            </w:r>
            <w:r w:rsidR="00A446D3" w:rsidRPr="00600ED9">
              <w:rPr>
                <w:color w:val="000000"/>
                <w:sz w:val="20"/>
                <w:szCs w:val="20"/>
                <w:lang w:eastAsia="zh-TW"/>
              </w:rPr>
              <w:t xml:space="preserve">propiadamente </w:t>
            </w:r>
            <w:r w:rsidRPr="00600ED9">
              <w:rPr>
                <w:color w:val="000000"/>
                <w:sz w:val="20"/>
                <w:szCs w:val="20"/>
                <w:lang w:eastAsia="zh-TW"/>
              </w:rPr>
              <w:t xml:space="preserve">la determinación de materialidad, y </w:t>
            </w:r>
            <w:r w:rsidR="00A446D3" w:rsidRPr="00600ED9">
              <w:rPr>
                <w:color w:val="000000"/>
                <w:sz w:val="20"/>
                <w:szCs w:val="20"/>
                <w:lang w:eastAsia="zh-TW"/>
              </w:rPr>
              <w:t>la forma</w:t>
            </w:r>
            <w:r w:rsidRPr="00600ED9">
              <w:rPr>
                <w:color w:val="000000"/>
                <w:sz w:val="20"/>
                <w:szCs w:val="20"/>
                <w:lang w:eastAsia="zh-TW"/>
              </w:rPr>
              <w:t xml:space="preserve"> cómo se calcul</w:t>
            </w:r>
            <w:r w:rsidR="004F7317" w:rsidRPr="00600ED9">
              <w:rPr>
                <w:color w:val="000000"/>
                <w:sz w:val="20"/>
                <w:szCs w:val="20"/>
                <w:lang w:eastAsia="zh-TW"/>
              </w:rPr>
              <w:t>ó</w:t>
            </w:r>
            <w:r w:rsidRPr="00600ED9">
              <w:rPr>
                <w:color w:val="000000"/>
                <w:sz w:val="20"/>
                <w:szCs w:val="20"/>
                <w:lang w:eastAsia="zh-TW"/>
              </w:rPr>
              <w:t xml:space="preserve"> el error tolerable.</w:t>
            </w:r>
          </w:p>
          <w:p w:rsidR="003315B1" w:rsidRPr="00600ED9" w:rsidRDefault="00AA263D" w:rsidP="00233205">
            <w:pPr>
              <w:pStyle w:val="ListParagraph"/>
              <w:numPr>
                <w:ilvl w:val="0"/>
                <w:numId w:val="13"/>
              </w:numPr>
              <w:jc w:val="both"/>
              <w:rPr>
                <w:rFonts w:cs="Times New Roman"/>
                <w:sz w:val="20"/>
                <w:szCs w:val="20"/>
              </w:rPr>
            </w:pPr>
            <w:r w:rsidRPr="00600ED9">
              <w:rPr>
                <w:color w:val="000000"/>
                <w:sz w:val="20"/>
                <w:szCs w:val="20"/>
                <w:lang w:eastAsia="zh-TW"/>
              </w:rPr>
              <w:t>Las pruebas analíticas sustantivas no incluyen:</w:t>
            </w:r>
            <w:r w:rsidRPr="00600ED9">
              <w:rPr>
                <w:sz w:val="20"/>
                <w:szCs w:val="20"/>
              </w:rPr>
              <w:t xml:space="preserve"> la d</w:t>
            </w:r>
            <w:r w:rsidRPr="00600ED9">
              <w:rPr>
                <w:color w:val="000000"/>
                <w:sz w:val="20"/>
                <w:szCs w:val="20"/>
                <w:lang w:eastAsia="zh-TW"/>
              </w:rPr>
              <w:t>eterminación de las expectativas</w:t>
            </w:r>
            <w:r w:rsidR="003315B1" w:rsidRPr="00600ED9">
              <w:rPr>
                <w:color w:val="000000"/>
                <w:sz w:val="20"/>
                <w:szCs w:val="20"/>
                <w:lang w:eastAsia="zh-TW"/>
              </w:rPr>
              <w:t>,</w:t>
            </w:r>
            <w:r w:rsidRPr="00600ED9">
              <w:rPr>
                <w:color w:val="000000"/>
                <w:sz w:val="20"/>
                <w:szCs w:val="20"/>
                <w:lang w:eastAsia="zh-TW"/>
              </w:rPr>
              <w:t xml:space="preserve"> la cuantificación de la diferencia entre las cantidades registradas y los valores esperados considerados aceptables</w:t>
            </w:r>
            <w:r w:rsidR="003315B1" w:rsidRPr="00600ED9">
              <w:rPr>
                <w:color w:val="000000"/>
                <w:sz w:val="20"/>
                <w:szCs w:val="20"/>
                <w:lang w:eastAsia="zh-TW"/>
              </w:rPr>
              <w:t xml:space="preserve">, </w:t>
            </w:r>
            <w:r w:rsidRPr="00600ED9">
              <w:rPr>
                <w:color w:val="000000"/>
                <w:sz w:val="20"/>
                <w:szCs w:val="20"/>
                <w:lang w:eastAsia="zh-TW"/>
              </w:rPr>
              <w:t xml:space="preserve"> y la conclusión del procedimiento aplicado.</w:t>
            </w:r>
          </w:p>
          <w:p w:rsidR="006E6781" w:rsidRPr="00600ED9" w:rsidRDefault="006E6781" w:rsidP="00233205">
            <w:pPr>
              <w:pStyle w:val="ListParagraph"/>
              <w:numPr>
                <w:ilvl w:val="0"/>
                <w:numId w:val="13"/>
              </w:numPr>
              <w:jc w:val="both"/>
              <w:rPr>
                <w:sz w:val="20"/>
                <w:szCs w:val="20"/>
              </w:rPr>
            </w:pPr>
            <w:r w:rsidRPr="00600ED9">
              <w:rPr>
                <w:sz w:val="20"/>
                <w:szCs w:val="20"/>
              </w:rPr>
              <w:t xml:space="preserve">No se </w:t>
            </w:r>
            <w:r w:rsidR="00004E67" w:rsidRPr="00600ED9">
              <w:rPr>
                <w:sz w:val="20"/>
                <w:szCs w:val="20"/>
              </w:rPr>
              <w:t>identifica</w:t>
            </w:r>
            <w:r w:rsidRPr="00600ED9">
              <w:rPr>
                <w:sz w:val="20"/>
                <w:szCs w:val="20"/>
              </w:rPr>
              <w:t xml:space="preserve"> evidencia </w:t>
            </w:r>
            <w:r w:rsidR="00004E67" w:rsidRPr="00600ED9">
              <w:rPr>
                <w:sz w:val="20"/>
                <w:szCs w:val="20"/>
              </w:rPr>
              <w:t>que permita confirmar sí se</w:t>
            </w:r>
            <w:r w:rsidRPr="00600ED9">
              <w:rPr>
                <w:sz w:val="20"/>
                <w:szCs w:val="20"/>
              </w:rPr>
              <w:t xml:space="preserve"> enviaron o no confirmaciones externas. En algunos casos se observó que solamente se revisaron saldos bancarios por medio de una prueba analítica sustantiva. </w:t>
            </w:r>
          </w:p>
          <w:p w:rsidR="006E6781" w:rsidRPr="00600ED9" w:rsidRDefault="00004E67" w:rsidP="00233205">
            <w:pPr>
              <w:pStyle w:val="ListParagraph"/>
              <w:numPr>
                <w:ilvl w:val="0"/>
                <w:numId w:val="13"/>
              </w:numPr>
              <w:jc w:val="both"/>
              <w:rPr>
                <w:sz w:val="20"/>
                <w:szCs w:val="20"/>
              </w:rPr>
            </w:pPr>
            <w:r w:rsidRPr="00600ED9">
              <w:rPr>
                <w:sz w:val="20"/>
                <w:szCs w:val="20"/>
              </w:rPr>
              <w:t>N</w:t>
            </w:r>
            <w:r w:rsidR="006E6781" w:rsidRPr="00600ED9">
              <w:rPr>
                <w:sz w:val="20"/>
                <w:szCs w:val="20"/>
              </w:rPr>
              <w:t xml:space="preserve">o se pudo verificar que se utilice como procedimiento adicional las confirmaciones de terceros, por ejemplo: Confirmación de abogados. </w:t>
            </w:r>
          </w:p>
          <w:p w:rsidR="006E6781" w:rsidRPr="00600ED9" w:rsidRDefault="00004E67" w:rsidP="00233205">
            <w:pPr>
              <w:pStyle w:val="ListParagraph"/>
              <w:numPr>
                <w:ilvl w:val="0"/>
                <w:numId w:val="13"/>
              </w:numPr>
              <w:jc w:val="both"/>
              <w:rPr>
                <w:sz w:val="20"/>
                <w:szCs w:val="20"/>
              </w:rPr>
            </w:pPr>
            <w:r w:rsidRPr="00600ED9">
              <w:rPr>
                <w:sz w:val="20"/>
                <w:szCs w:val="20"/>
              </w:rPr>
              <w:t>Se identifica</w:t>
            </w:r>
            <w:r w:rsidR="006E6781" w:rsidRPr="00600ED9">
              <w:rPr>
                <w:sz w:val="20"/>
                <w:szCs w:val="20"/>
              </w:rPr>
              <w:t>n casos en los cuales la fecha en el que supervisor firma como evidencia de su revisión es posterior a la fecha de emisión del informe de auditoría.</w:t>
            </w:r>
          </w:p>
          <w:p w:rsidR="006E6781" w:rsidRPr="00600ED9" w:rsidRDefault="006E6781" w:rsidP="00233205">
            <w:pPr>
              <w:pStyle w:val="ListParagraph"/>
              <w:numPr>
                <w:ilvl w:val="0"/>
                <w:numId w:val="13"/>
              </w:numPr>
              <w:jc w:val="both"/>
              <w:rPr>
                <w:sz w:val="20"/>
                <w:szCs w:val="20"/>
              </w:rPr>
            </w:pPr>
            <w:r w:rsidRPr="00600ED9">
              <w:rPr>
                <w:sz w:val="20"/>
                <w:szCs w:val="20"/>
              </w:rPr>
              <w:t>No se realizan procedimientos analíticos al f</w:t>
            </w:r>
            <w:r w:rsidR="004F7317" w:rsidRPr="00600ED9">
              <w:rPr>
                <w:sz w:val="20"/>
                <w:szCs w:val="20"/>
              </w:rPr>
              <w:t>inal de la auditoría  (NIA 520.13) El auditor debe</w:t>
            </w:r>
            <w:r w:rsidRPr="00600ED9">
              <w:rPr>
                <w:sz w:val="20"/>
                <w:szCs w:val="20"/>
              </w:rPr>
              <w:t xml:space="preserve"> aplicar procedimientos analíticos al final o al acercarse al final de la auditoría, para formarse una conclusión global sobre si los estados financieros en general son consistentes con el conocimiento del negocio por parte del auditor.</w:t>
            </w:r>
          </w:p>
          <w:p w:rsidR="006E6781" w:rsidRPr="00600ED9" w:rsidRDefault="006E6781" w:rsidP="00233205">
            <w:pPr>
              <w:pStyle w:val="ListParagraph"/>
              <w:numPr>
                <w:ilvl w:val="0"/>
                <w:numId w:val="13"/>
              </w:numPr>
              <w:jc w:val="both"/>
              <w:rPr>
                <w:sz w:val="20"/>
                <w:szCs w:val="20"/>
              </w:rPr>
            </w:pPr>
            <w:r w:rsidRPr="00600ED9">
              <w:rPr>
                <w:sz w:val="20"/>
                <w:szCs w:val="20"/>
              </w:rPr>
              <w:t>No se incluye una sumaria o una matriz final que resuma el total de pruebas realizadas (de controles, analíticas y de detalle) que le permitieron al equipo auditor arribar a sus conclusiones y explicar cómo se probaron las aserciones de la auditoría. Por lo tanto, es difícil cumplir con el requerimiento de la NIA 200,7 “la seguridad razonable se alcanza cuando el auditor ha obtenido evidencia de auditoría suficiente y adecuada para reducir el riesgo de auditoría a un nivel aceptablemente bajo.” Es decir, el riesgo de que el auditor exprese una opinión inadecuada cuando los estados financieros contienen incorrecciones materiales.</w:t>
            </w:r>
          </w:p>
          <w:p w:rsidR="00DB3FE0" w:rsidRPr="00600ED9" w:rsidRDefault="00DB3FE0" w:rsidP="00DB3FE0">
            <w:pPr>
              <w:pStyle w:val="ListParagraph"/>
              <w:ind w:left="360"/>
              <w:jc w:val="both"/>
              <w:rPr>
                <w:szCs w:val="20"/>
              </w:rPr>
            </w:pPr>
          </w:p>
          <w:p w:rsidR="00CA67E2" w:rsidRPr="00600ED9" w:rsidRDefault="00CA67E2" w:rsidP="00FB1954">
            <w:pPr>
              <w:keepNext/>
              <w:keepLines/>
              <w:jc w:val="both"/>
              <w:outlineLvl w:val="6"/>
              <w:rPr>
                <w:rFonts w:eastAsiaTheme="minorEastAsia"/>
                <w:color w:val="000000"/>
                <w:sz w:val="20"/>
                <w:szCs w:val="20"/>
                <w:lang w:eastAsia="zh-TW"/>
              </w:rPr>
            </w:pPr>
            <w:r w:rsidRPr="00600ED9">
              <w:rPr>
                <w:rFonts w:eastAsiaTheme="minorEastAsia"/>
                <w:color w:val="000000"/>
                <w:sz w:val="20"/>
                <w:szCs w:val="20"/>
                <w:lang w:eastAsia="zh-TW"/>
              </w:rPr>
              <w:t>Adicionalmente, el proceso que sigue la CGRC para emiti</w:t>
            </w:r>
            <w:r w:rsidR="00CB5D2F" w:rsidRPr="00600ED9">
              <w:rPr>
                <w:rFonts w:eastAsiaTheme="minorEastAsia"/>
                <w:color w:val="000000"/>
                <w:sz w:val="20"/>
                <w:szCs w:val="20"/>
                <w:lang w:eastAsia="zh-TW"/>
              </w:rPr>
              <w:t>r la opinión de auditoría d</w:t>
            </w:r>
            <w:r w:rsidRPr="00600ED9">
              <w:rPr>
                <w:rFonts w:eastAsiaTheme="minorEastAsia"/>
                <w:color w:val="000000"/>
                <w:sz w:val="20"/>
                <w:szCs w:val="20"/>
                <w:lang w:eastAsia="zh-TW"/>
              </w:rPr>
              <w:t xml:space="preserve">el Balance </w:t>
            </w:r>
            <w:r w:rsidR="00CB5D2F" w:rsidRPr="00600ED9">
              <w:rPr>
                <w:rFonts w:eastAsiaTheme="minorEastAsia"/>
                <w:color w:val="000000"/>
                <w:sz w:val="20"/>
                <w:szCs w:val="20"/>
                <w:lang w:eastAsia="zh-TW"/>
              </w:rPr>
              <w:t xml:space="preserve">General </w:t>
            </w:r>
            <w:r w:rsidRPr="00600ED9">
              <w:rPr>
                <w:rFonts w:eastAsiaTheme="minorEastAsia"/>
                <w:color w:val="000000"/>
                <w:sz w:val="20"/>
                <w:szCs w:val="20"/>
                <w:lang w:eastAsia="zh-TW"/>
              </w:rPr>
              <w:t xml:space="preserve">de la Situación </w:t>
            </w:r>
            <w:r w:rsidR="00CB5D2F" w:rsidRPr="00600ED9">
              <w:rPr>
                <w:rFonts w:eastAsiaTheme="minorEastAsia"/>
                <w:color w:val="000000"/>
                <w:sz w:val="20"/>
                <w:szCs w:val="20"/>
                <w:lang w:eastAsia="zh-TW"/>
              </w:rPr>
              <w:t>de la</w:t>
            </w:r>
            <w:r w:rsidRPr="00600ED9">
              <w:rPr>
                <w:rFonts w:eastAsiaTheme="minorEastAsia"/>
                <w:color w:val="000000"/>
                <w:sz w:val="20"/>
                <w:szCs w:val="20"/>
                <w:lang w:eastAsia="zh-TW"/>
              </w:rPr>
              <w:t xml:space="preserve"> Nación, no cumple con todos los procedimientos establecidos en la ISSAI 200, </w:t>
            </w:r>
            <w:r w:rsidR="00CB5D2F" w:rsidRPr="00600ED9">
              <w:rPr>
                <w:rFonts w:eastAsiaTheme="minorEastAsia"/>
                <w:color w:val="000000"/>
                <w:sz w:val="20"/>
                <w:szCs w:val="20"/>
                <w:lang w:eastAsia="zh-TW"/>
              </w:rPr>
              <w:t>y en la Directriz</w:t>
            </w:r>
            <w:r w:rsidRPr="00600ED9">
              <w:rPr>
                <w:rFonts w:eastAsiaTheme="minorEastAsia"/>
                <w:color w:val="000000"/>
                <w:sz w:val="20"/>
                <w:szCs w:val="20"/>
                <w:lang w:eastAsia="zh-TW"/>
              </w:rPr>
              <w:t xml:space="preserve"> ISSAI 1600, debido a los siguientes incumplimientos:</w:t>
            </w:r>
          </w:p>
          <w:p w:rsidR="00DB3FE0" w:rsidRPr="00600ED9" w:rsidRDefault="00DB3FE0" w:rsidP="00FB1954">
            <w:pPr>
              <w:keepNext/>
              <w:keepLines/>
              <w:jc w:val="both"/>
              <w:outlineLvl w:val="6"/>
              <w:rPr>
                <w:rFonts w:eastAsiaTheme="minorEastAsia"/>
                <w:color w:val="000000"/>
                <w:sz w:val="20"/>
                <w:szCs w:val="20"/>
                <w:lang w:eastAsia="zh-TW"/>
              </w:rPr>
            </w:pPr>
          </w:p>
          <w:p w:rsidR="00CA67E2" w:rsidRPr="00600ED9" w:rsidRDefault="00CB5D2F" w:rsidP="00233205">
            <w:pPr>
              <w:pStyle w:val="ListParagraph"/>
              <w:keepNext/>
              <w:keepLines/>
              <w:numPr>
                <w:ilvl w:val="0"/>
                <w:numId w:val="35"/>
              </w:numPr>
              <w:jc w:val="both"/>
              <w:outlineLvl w:val="6"/>
              <w:rPr>
                <w:color w:val="000000"/>
                <w:sz w:val="20"/>
                <w:szCs w:val="20"/>
                <w:lang w:eastAsia="zh-TW"/>
              </w:rPr>
            </w:pPr>
            <w:r w:rsidRPr="00600ED9">
              <w:rPr>
                <w:color w:val="000000"/>
                <w:sz w:val="20"/>
                <w:szCs w:val="20"/>
                <w:lang w:eastAsia="zh-TW"/>
              </w:rPr>
              <w:t>No se</w:t>
            </w:r>
            <w:r w:rsidR="00CA67E2" w:rsidRPr="00600ED9">
              <w:rPr>
                <w:color w:val="000000"/>
                <w:sz w:val="20"/>
                <w:szCs w:val="20"/>
                <w:lang w:eastAsia="zh-TW"/>
              </w:rPr>
              <w:t xml:space="preserve"> elabora un Plan de Auditoría </w:t>
            </w:r>
            <w:r w:rsidRPr="00600ED9">
              <w:rPr>
                <w:color w:val="000000"/>
                <w:sz w:val="20"/>
                <w:szCs w:val="20"/>
                <w:lang w:eastAsia="zh-TW"/>
              </w:rPr>
              <w:t xml:space="preserve">independiente </w:t>
            </w:r>
            <w:r w:rsidR="00CA67E2" w:rsidRPr="00600ED9">
              <w:rPr>
                <w:color w:val="000000"/>
                <w:sz w:val="20"/>
                <w:szCs w:val="20"/>
                <w:lang w:eastAsia="zh-TW"/>
              </w:rPr>
              <w:t xml:space="preserve">para </w:t>
            </w:r>
            <w:r w:rsidRPr="00600ED9">
              <w:rPr>
                <w:color w:val="000000"/>
                <w:sz w:val="20"/>
                <w:szCs w:val="20"/>
                <w:lang w:eastAsia="zh-TW"/>
              </w:rPr>
              <w:t xml:space="preserve">la </w:t>
            </w:r>
            <w:r w:rsidR="00CA67E2" w:rsidRPr="00600ED9">
              <w:rPr>
                <w:color w:val="000000"/>
                <w:sz w:val="20"/>
                <w:szCs w:val="20"/>
                <w:lang w:eastAsia="zh-TW"/>
              </w:rPr>
              <w:t>auditar</w:t>
            </w:r>
            <w:r w:rsidRPr="00600ED9">
              <w:rPr>
                <w:color w:val="000000"/>
                <w:sz w:val="20"/>
                <w:szCs w:val="20"/>
                <w:lang w:eastAsia="zh-TW"/>
              </w:rPr>
              <w:t>ía</w:t>
            </w:r>
            <w:r w:rsidR="00CA67E2" w:rsidRPr="00600ED9">
              <w:rPr>
                <w:color w:val="000000"/>
                <w:sz w:val="20"/>
                <w:szCs w:val="20"/>
                <w:lang w:eastAsia="zh-TW"/>
              </w:rPr>
              <w:t xml:space="preserve"> </w:t>
            </w:r>
            <w:r w:rsidRPr="00600ED9">
              <w:rPr>
                <w:color w:val="000000"/>
                <w:sz w:val="20"/>
                <w:szCs w:val="20"/>
                <w:lang w:eastAsia="zh-TW"/>
              </w:rPr>
              <w:t>d</w:t>
            </w:r>
            <w:r w:rsidR="00CA67E2" w:rsidRPr="00600ED9">
              <w:rPr>
                <w:color w:val="000000"/>
                <w:sz w:val="20"/>
                <w:szCs w:val="20"/>
                <w:lang w:eastAsia="zh-TW"/>
              </w:rPr>
              <w:t>el Balance que incluya la estrategia, el objetivo, una sumaria de los riesgos identificados y la materialidad que será utilizada.</w:t>
            </w:r>
          </w:p>
          <w:p w:rsidR="00CA67E2" w:rsidRPr="00600ED9" w:rsidRDefault="00CA67E2" w:rsidP="00233205">
            <w:pPr>
              <w:pStyle w:val="ListParagraph"/>
              <w:keepNext/>
              <w:keepLines/>
              <w:numPr>
                <w:ilvl w:val="0"/>
                <w:numId w:val="35"/>
              </w:numPr>
              <w:jc w:val="both"/>
              <w:outlineLvl w:val="6"/>
              <w:rPr>
                <w:color w:val="000000"/>
                <w:sz w:val="20"/>
                <w:szCs w:val="20"/>
                <w:lang w:eastAsia="zh-TW"/>
              </w:rPr>
            </w:pPr>
            <w:r w:rsidRPr="00600ED9">
              <w:rPr>
                <w:color w:val="000000"/>
                <w:sz w:val="20"/>
                <w:szCs w:val="20"/>
                <w:lang w:eastAsia="zh-TW"/>
              </w:rPr>
              <w:t xml:space="preserve">La auditoría se soporta </w:t>
            </w:r>
            <w:r w:rsidR="00CB5D2F" w:rsidRPr="00600ED9">
              <w:rPr>
                <w:color w:val="000000"/>
                <w:sz w:val="20"/>
                <w:szCs w:val="20"/>
                <w:lang w:eastAsia="zh-TW"/>
              </w:rPr>
              <w:t>en</w:t>
            </w:r>
            <w:r w:rsidRPr="00600ED9">
              <w:rPr>
                <w:color w:val="000000"/>
                <w:sz w:val="20"/>
                <w:szCs w:val="20"/>
                <w:lang w:eastAsia="zh-TW"/>
              </w:rPr>
              <w:t xml:space="preserve"> las auditorías micro.  Sin embargo, no se hace un análisis del monto examinado en cada entidad en particular y su relación a las cuentas del Balance.</w:t>
            </w:r>
          </w:p>
          <w:p w:rsidR="00CA67E2" w:rsidRPr="00600ED9" w:rsidRDefault="00CA67E2" w:rsidP="00233205">
            <w:pPr>
              <w:pStyle w:val="ListParagraph"/>
              <w:keepNext/>
              <w:keepLines/>
              <w:numPr>
                <w:ilvl w:val="0"/>
                <w:numId w:val="35"/>
              </w:numPr>
              <w:jc w:val="both"/>
              <w:outlineLvl w:val="6"/>
              <w:rPr>
                <w:color w:val="000000"/>
                <w:sz w:val="20"/>
                <w:szCs w:val="20"/>
                <w:lang w:eastAsia="zh-TW"/>
              </w:rPr>
            </w:pPr>
            <w:r w:rsidRPr="00600ED9">
              <w:rPr>
                <w:color w:val="000000"/>
                <w:sz w:val="20"/>
                <w:szCs w:val="20"/>
                <w:lang w:eastAsia="zh-TW"/>
              </w:rPr>
              <w:t xml:space="preserve">No se </w:t>
            </w:r>
            <w:r w:rsidR="00CB5D2F" w:rsidRPr="00600ED9">
              <w:rPr>
                <w:color w:val="000000"/>
                <w:sz w:val="20"/>
                <w:szCs w:val="20"/>
                <w:lang w:eastAsia="zh-TW"/>
              </w:rPr>
              <w:t>realizan</w:t>
            </w:r>
            <w:r w:rsidRPr="00600ED9">
              <w:rPr>
                <w:color w:val="000000"/>
                <w:sz w:val="20"/>
                <w:szCs w:val="20"/>
                <w:lang w:eastAsia="zh-TW"/>
              </w:rPr>
              <w:t xml:space="preserve"> pruebas adicionales a partidas particulares en caso de no haber sido cubiertas en las auditorías micro.</w:t>
            </w:r>
          </w:p>
          <w:p w:rsidR="00CB5D2F" w:rsidRPr="00600ED9" w:rsidRDefault="00CA67E2" w:rsidP="00233205">
            <w:pPr>
              <w:pStyle w:val="ListParagraph"/>
              <w:keepNext/>
              <w:keepLines/>
              <w:numPr>
                <w:ilvl w:val="0"/>
                <w:numId w:val="35"/>
              </w:numPr>
              <w:jc w:val="both"/>
              <w:outlineLvl w:val="6"/>
              <w:rPr>
                <w:color w:val="000000"/>
                <w:sz w:val="20"/>
                <w:szCs w:val="20"/>
                <w:lang w:eastAsia="zh-TW"/>
              </w:rPr>
            </w:pPr>
            <w:r w:rsidRPr="00600ED9">
              <w:rPr>
                <w:color w:val="000000"/>
                <w:sz w:val="20"/>
                <w:szCs w:val="20"/>
                <w:lang w:eastAsia="zh-TW"/>
              </w:rPr>
              <w:t>Los papeles de trabajo que se dejan como evidencia son los que soportan la consolidación, no así la auditoría en su conjunto.</w:t>
            </w:r>
          </w:p>
          <w:p w:rsidR="0036169A" w:rsidRPr="00600ED9" w:rsidRDefault="0036169A" w:rsidP="00FB1954">
            <w:pPr>
              <w:keepNext/>
              <w:keepLines/>
              <w:jc w:val="both"/>
              <w:outlineLvl w:val="6"/>
              <w:rPr>
                <w:color w:val="000000"/>
                <w:sz w:val="28"/>
                <w:szCs w:val="20"/>
                <w:lang w:eastAsia="zh-TW"/>
              </w:rPr>
            </w:pPr>
          </w:p>
        </w:tc>
      </w:tr>
      <w:tr w:rsidR="00AA263D" w:rsidRPr="00600ED9" w:rsidTr="00403D7A">
        <w:tc>
          <w:tcPr>
            <w:tcW w:w="9356" w:type="dxa"/>
            <w:shd w:val="clear" w:color="auto" w:fill="D9D9D9" w:themeFill="background1" w:themeFillShade="D9"/>
          </w:tcPr>
          <w:p w:rsidR="00AA263D" w:rsidRPr="00600ED9" w:rsidRDefault="00AA263D" w:rsidP="00FB1954">
            <w:pPr>
              <w:pStyle w:val="NoSpacing"/>
              <w:rPr>
                <w:b/>
                <w:i/>
                <w:sz w:val="20"/>
                <w:szCs w:val="20"/>
                <w:lang w:val="es-ES_tradnl"/>
              </w:rPr>
            </w:pPr>
            <w:r w:rsidRPr="00600ED9">
              <w:rPr>
                <w:b/>
                <w:i/>
                <w:sz w:val="20"/>
                <w:szCs w:val="20"/>
                <w:lang w:val="es-ES_tradnl"/>
              </w:rPr>
              <w:lastRenderedPageBreak/>
              <w:t>Dimensión (iii) Evalua</w:t>
            </w:r>
            <w:r w:rsidR="00CB5D2F" w:rsidRPr="00600ED9">
              <w:rPr>
                <w:b/>
                <w:i/>
                <w:sz w:val="20"/>
                <w:szCs w:val="20"/>
                <w:lang w:val="es-ES_tradnl"/>
              </w:rPr>
              <w:t>ción de</w:t>
            </w:r>
            <w:r w:rsidRPr="00600ED9">
              <w:rPr>
                <w:b/>
                <w:i/>
                <w:sz w:val="20"/>
                <w:szCs w:val="20"/>
                <w:lang w:val="es-ES_tradnl"/>
              </w:rPr>
              <w:t xml:space="preserve"> la evidencia, conclu</w:t>
            </w:r>
            <w:r w:rsidR="00CB5D2F" w:rsidRPr="00600ED9">
              <w:rPr>
                <w:b/>
                <w:i/>
                <w:sz w:val="20"/>
                <w:szCs w:val="20"/>
                <w:lang w:val="es-ES_tradnl"/>
              </w:rPr>
              <w:t>sión</w:t>
            </w:r>
            <w:r w:rsidRPr="00600ED9">
              <w:rPr>
                <w:b/>
                <w:i/>
                <w:sz w:val="20"/>
                <w:szCs w:val="20"/>
                <w:lang w:val="es-ES_tradnl"/>
              </w:rPr>
              <w:t xml:space="preserve"> e inform</w:t>
            </w:r>
            <w:r w:rsidR="00CB5D2F" w:rsidRPr="00600ED9">
              <w:rPr>
                <w:b/>
                <w:i/>
                <w:sz w:val="20"/>
                <w:szCs w:val="20"/>
                <w:lang w:val="es-ES_tradnl"/>
              </w:rPr>
              <w:t xml:space="preserve">e </w:t>
            </w:r>
            <w:r w:rsidRPr="00600ED9">
              <w:rPr>
                <w:b/>
                <w:i/>
                <w:sz w:val="20"/>
                <w:szCs w:val="20"/>
                <w:lang w:val="es-ES_tradnl"/>
              </w:rPr>
              <w:t xml:space="preserve"> </w:t>
            </w:r>
            <w:r w:rsidR="00CB5D2F" w:rsidRPr="00600ED9">
              <w:rPr>
                <w:b/>
                <w:i/>
                <w:sz w:val="20"/>
                <w:szCs w:val="20"/>
                <w:lang w:val="es-ES_tradnl"/>
              </w:rPr>
              <w:t>de las A</w:t>
            </w:r>
            <w:r w:rsidRPr="00600ED9">
              <w:rPr>
                <w:b/>
                <w:i/>
                <w:sz w:val="20"/>
                <w:szCs w:val="20"/>
                <w:lang w:val="es-ES_tradnl"/>
              </w:rPr>
              <w:t xml:space="preserve">uditorías </w:t>
            </w:r>
            <w:r w:rsidR="00CB5D2F" w:rsidRPr="00600ED9">
              <w:rPr>
                <w:b/>
                <w:i/>
                <w:sz w:val="20"/>
                <w:szCs w:val="20"/>
                <w:lang w:val="es-ES_tradnl"/>
              </w:rPr>
              <w:t>F</w:t>
            </w:r>
            <w:r w:rsidRPr="00600ED9">
              <w:rPr>
                <w:b/>
                <w:i/>
                <w:sz w:val="20"/>
                <w:szCs w:val="20"/>
                <w:lang w:val="es-ES_tradnl"/>
              </w:rPr>
              <w:t>inancieras</w:t>
            </w:r>
          </w:p>
        </w:tc>
      </w:tr>
      <w:tr w:rsidR="00AA263D" w:rsidRPr="00600ED9" w:rsidTr="00403D7A">
        <w:tc>
          <w:tcPr>
            <w:tcW w:w="9356" w:type="dxa"/>
            <w:shd w:val="clear" w:color="auto" w:fill="D9D9D9" w:themeFill="background1" w:themeFillShade="D9"/>
          </w:tcPr>
          <w:p w:rsidR="00AA263D" w:rsidRPr="00600ED9" w:rsidRDefault="00DB1197" w:rsidP="00FB1954">
            <w:pPr>
              <w:pStyle w:val="NoSpacing"/>
              <w:rPr>
                <w:b/>
                <w:i/>
                <w:color w:val="000000"/>
                <w:sz w:val="20"/>
                <w:szCs w:val="20"/>
                <w:lang w:val="es-ES_tradnl"/>
              </w:rPr>
            </w:pPr>
            <w:r w:rsidRPr="00600ED9">
              <w:rPr>
                <w:b/>
                <w:i/>
                <w:color w:val="000000"/>
                <w:sz w:val="20"/>
                <w:szCs w:val="20"/>
                <w:lang w:val="es-ES_tradnl"/>
              </w:rPr>
              <w:t>Puntuación</w:t>
            </w:r>
            <w:r w:rsidR="00AA263D" w:rsidRPr="00600ED9">
              <w:rPr>
                <w:b/>
                <w:i/>
                <w:color w:val="000000"/>
                <w:sz w:val="20"/>
                <w:szCs w:val="20"/>
                <w:lang w:val="es-ES_tradnl"/>
              </w:rPr>
              <w:t xml:space="preserve"> </w:t>
            </w:r>
            <w:r w:rsidR="00AA263D" w:rsidRPr="00600ED9">
              <w:rPr>
                <w:b/>
                <w:bCs/>
                <w:i/>
                <w:sz w:val="20"/>
                <w:szCs w:val="20"/>
                <w:lang w:val="es-ES_tradnl"/>
              </w:rPr>
              <w:t>1</w:t>
            </w:r>
            <w:r w:rsidRPr="00600ED9">
              <w:rPr>
                <w:b/>
                <w:bCs/>
                <w:i/>
                <w:sz w:val="20"/>
                <w:szCs w:val="20"/>
                <w:lang w:val="es-ES_tradnl"/>
              </w:rPr>
              <w:t>:</w:t>
            </w:r>
            <w:r w:rsidR="00AA263D" w:rsidRPr="00600ED9">
              <w:rPr>
                <w:b/>
                <w:bCs/>
                <w:i/>
                <w:sz w:val="20"/>
                <w:szCs w:val="20"/>
                <w:lang w:val="es-ES_tradnl"/>
              </w:rPr>
              <w:t xml:space="preserve"> </w:t>
            </w:r>
            <w:r w:rsidR="00AA263D" w:rsidRPr="00600ED9">
              <w:rPr>
                <w:bCs/>
                <w:i/>
                <w:sz w:val="20"/>
                <w:szCs w:val="20"/>
                <w:lang w:val="es-ES_tradnl"/>
              </w:rPr>
              <w:t>Al menos tres de los criterios mencionados están implementados.</w:t>
            </w:r>
          </w:p>
        </w:tc>
      </w:tr>
      <w:tr w:rsidR="00AA263D" w:rsidRPr="00600ED9" w:rsidTr="00403D7A">
        <w:tc>
          <w:tcPr>
            <w:tcW w:w="9356" w:type="dxa"/>
          </w:tcPr>
          <w:p w:rsidR="00BA6BF6" w:rsidRPr="00600ED9" w:rsidRDefault="00AA263D" w:rsidP="00FB1954">
            <w:pPr>
              <w:pStyle w:val="Normaltabletext"/>
              <w:spacing w:after="0"/>
              <w:rPr>
                <w:color w:val="000000"/>
                <w:lang w:val="es-ES_tradnl"/>
              </w:rPr>
            </w:pPr>
            <w:r w:rsidRPr="00600ED9">
              <w:rPr>
                <w:color w:val="000000"/>
                <w:lang w:val="es-ES_tradnl"/>
              </w:rPr>
              <w:t xml:space="preserve">Criterios  (b), (c), (d), (g), cumplen. </w:t>
            </w:r>
            <w:proofErr w:type="spellStart"/>
            <w:r w:rsidRPr="004F42B9">
              <w:rPr>
                <w:color w:val="000000"/>
                <w:lang w:val="pt-BR"/>
              </w:rPr>
              <w:t>Criterios</w:t>
            </w:r>
            <w:proofErr w:type="spellEnd"/>
            <w:r w:rsidRPr="004F42B9">
              <w:rPr>
                <w:color w:val="000000"/>
                <w:lang w:val="pt-BR"/>
              </w:rPr>
              <w:t xml:space="preserve"> (a), (e), (f), (h), (i), (k) no </w:t>
            </w:r>
            <w:proofErr w:type="spellStart"/>
            <w:r w:rsidRPr="004F42B9">
              <w:rPr>
                <w:color w:val="000000"/>
                <w:lang w:val="pt-BR"/>
              </w:rPr>
              <w:t>cumplen</w:t>
            </w:r>
            <w:proofErr w:type="spellEnd"/>
            <w:r w:rsidRPr="004F42B9">
              <w:rPr>
                <w:color w:val="000000"/>
                <w:lang w:val="pt-BR"/>
              </w:rPr>
              <w:t xml:space="preserve">. </w:t>
            </w:r>
            <w:r w:rsidR="00CB5D2F" w:rsidRPr="00600ED9">
              <w:rPr>
                <w:color w:val="000000"/>
                <w:lang w:val="es-ES_tradnl"/>
              </w:rPr>
              <w:t>Criterio (j) no aplica</w:t>
            </w:r>
            <w:r w:rsidR="00CB5D2F" w:rsidRPr="00600ED9">
              <w:rPr>
                <w:rStyle w:val="FootnoteReference"/>
                <w:color w:val="000000"/>
                <w:lang w:val="es-ES_tradnl"/>
              </w:rPr>
              <w:footnoteReference w:id="38"/>
            </w:r>
            <w:r w:rsidR="00CB5D2F" w:rsidRPr="00600ED9">
              <w:rPr>
                <w:color w:val="000000"/>
                <w:lang w:val="es-ES_tradnl"/>
              </w:rPr>
              <w:t>.</w:t>
            </w:r>
          </w:p>
          <w:p w:rsidR="00DB3FE0" w:rsidRPr="00600ED9" w:rsidRDefault="00DB3FE0" w:rsidP="00FB1954">
            <w:pPr>
              <w:pStyle w:val="Normaltabletext"/>
              <w:spacing w:after="0"/>
              <w:rPr>
                <w:rFonts w:eastAsia="Times New Roman" w:cs="Times New Roman"/>
                <w:sz w:val="24"/>
                <w:lang w:val="es-ES_tradnl"/>
              </w:rPr>
            </w:pPr>
          </w:p>
          <w:p w:rsidR="00DB1197" w:rsidRPr="00600ED9" w:rsidRDefault="00DB1197" w:rsidP="00FB1954">
            <w:pPr>
              <w:pStyle w:val="Normaltabletext"/>
              <w:spacing w:after="0"/>
              <w:rPr>
                <w:lang w:val="es-ES_tradnl"/>
              </w:rPr>
            </w:pPr>
            <w:r w:rsidRPr="00600ED9">
              <w:rPr>
                <w:lang w:val="es-ES_tradnl"/>
              </w:rPr>
              <w:t>La Contraloría cumple con los procedimientos relacionados con  la preparación oportuna, la forma, los contenidos y el alcance de la documentación de auditoría. El equipo auditor identifica al personal clave al interior de la estructura de gobernanza de la entidad y mantiene comunicación permanente para obtener retroalimentación y comentarios a los hallazgos significativos de auditoría identificados.</w:t>
            </w:r>
          </w:p>
          <w:p w:rsidR="00DB3FE0" w:rsidRPr="00600ED9" w:rsidRDefault="00DB3FE0" w:rsidP="00FB1954">
            <w:pPr>
              <w:pStyle w:val="Normaltabletext"/>
              <w:spacing w:after="0"/>
              <w:rPr>
                <w:sz w:val="28"/>
                <w:lang w:val="es-ES_tradnl"/>
              </w:rPr>
            </w:pPr>
          </w:p>
          <w:p w:rsidR="00656B82" w:rsidRPr="00600ED9" w:rsidRDefault="00656B82" w:rsidP="00FB1954">
            <w:pPr>
              <w:keepNext/>
              <w:keepLines/>
              <w:jc w:val="both"/>
              <w:outlineLvl w:val="6"/>
              <w:rPr>
                <w:sz w:val="20"/>
                <w:szCs w:val="20"/>
              </w:rPr>
            </w:pPr>
          </w:p>
          <w:p w:rsidR="007C23C7" w:rsidRPr="00600ED9" w:rsidRDefault="00DB1197" w:rsidP="00FB1954">
            <w:pPr>
              <w:keepNext/>
              <w:keepLines/>
              <w:jc w:val="both"/>
              <w:outlineLvl w:val="6"/>
              <w:rPr>
                <w:sz w:val="20"/>
                <w:szCs w:val="20"/>
              </w:rPr>
            </w:pPr>
            <w:r w:rsidRPr="00600ED9">
              <w:rPr>
                <w:sz w:val="20"/>
                <w:szCs w:val="20"/>
              </w:rPr>
              <w:lastRenderedPageBreak/>
              <w:t xml:space="preserve">Los informes de </w:t>
            </w:r>
            <w:r w:rsidRPr="00600ED9">
              <w:rPr>
                <w:color w:val="000000"/>
                <w:sz w:val="20"/>
                <w:szCs w:val="20"/>
              </w:rPr>
              <w:t xml:space="preserve">auditoría son </w:t>
            </w:r>
            <w:r w:rsidRPr="00600ED9">
              <w:rPr>
                <w:sz w:val="20"/>
                <w:szCs w:val="20"/>
              </w:rPr>
              <w:t xml:space="preserve">presentados de forma escrita y contienen la mayoría de los elementos básicos señalados por la normativa internacional incluyendo, por ejemplo, título del informe, destinatario, responsabilidad de la dirección respecto de los estados financieros, responsabilidad del auditor, opinión de </w:t>
            </w:r>
            <w:r w:rsidR="005C54C5" w:rsidRPr="00600ED9">
              <w:rPr>
                <w:sz w:val="20"/>
                <w:szCs w:val="20"/>
              </w:rPr>
              <w:t>auditoría</w:t>
            </w:r>
            <w:r w:rsidRPr="00600ED9">
              <w:rPr>
                <w:sz w:val="20"/>
                <w:szCs w:val="20"/>
              </w:rPr>
              <w:t>, firma del auditor, fecha, ubicación, entre otros.</w:t>
            </w:r>
          </w:p>
          <w:p w:rsidR="00A66C0A" w:rsidRPr="00600ED9" w:rsidRDefault="00A66C0A" w:rsidP="00FB1954">
            <w:pPr>
              <w:keepNext/>
              <w:keepLines/>
              <w:jc w:val="both"/>
              <w:outlineLvl w:val="6"/>
              <w:rPr>
                <w:rFonts w:eastAsia="Calibri" w:cs="Arial"/>
                <w:sz w:val="20"/>
                <w:szCs w:val="20"/>
              </w:rPr>
            </w:pPr>
          </w:p>
          <w:p w:rsidR="00AA263D" w:rsidRPr="00600ED9" w:rsidRDefault="00AF2D5F" w:rsidP="00FB1954">
            <w:pPr>
              <w:jc w:val="both"/>
              <w:rPr>
                <w:rFonts w:eastAsiaTheme="minorEastAsia"/>
                <w:color w:val="000000"/>
                <w:sz w:val="20"/>
                <w:szCs w:val="20"/>
                <w:lang w:eastAsia="zh-TW"/>
              </w:rPr>
            </w:pPr>
            <w:r w:rsidRPr="00600ED9">
              <w:rPr>
                <w:rFonts w:eastAsiaTheme="minorEastAsia"/>
                <w:color w:val="000000"/>
                <w:sz w:val="20"/>
                <w:szCs w:val="20"/>
                <w:lang w:eastAsia="zh-TW"/>
              </w:rPr>
              <w:t>La</w:t>
            </w:r>
            <w:r w:rsidR="00AA263D" w:rsidRPr="00600ED9">
              <w:rPr>
                <w:rFonts w:eastAsiaTheme="minorEastAsia"/>
                <w:color w:val="000000"/>
                <w:sz w:val="20"/>
                <w:szCs w:val="20"/>
                <w:lang w:eastAsia="zh-TW"/>
              </w:rPr>
              <w:t xml:space="preserve"> revisión de los papeles de trabajo, </w:t>
            </w:r>
            <w:r w:rsidRPr="00600ED9">
              <w:rPr>
                <w:rFonts w:eastAsiaTheme="minorEastAsia"/>
                <w:color w:val="000000"/>
                <w:sz w:val="20"/>
                <w:szCs w:val="20"/>
                <w:lang w:eastAsia="zh-TW"/>
              </w:rPr>
              <w:t xml:space="preserve">permitió confirmar </w:t>
            </w:r>
            <w:r w:rsidR="00AA263D" w:rsidRPr="00600ED9">
              <w:rPr>
                <w:rFonts w:eastAsiaTheme="minorEastAsia"/>
                <w:color w:val="000000"/>
                <w:sz w:val="20"/>
                <w:szCs w:val="20"/>
                <w:lang w:eastAsia="zh-TW"/>
              </w:rPr>
              <w:t xml:space="preserve">que en todas las fases del proceso auditor, la evidencia que actualmente se deja en </w:t>
            </w:r>
            <w:r w:rsidRPr="00600ED9">
              <w:rPr>
                <w:rFonts w:eastAsiaTheme="minorEastAsia"/>
                <w:color w:val="000000"/>
                <w:sz w:val="20"/>
                <w:szCs w:val="20"/>
                <w:lang w:eastAsia="zh-TW"/>
              </w:rPr>
              <w:t>el</w:t>
            </w:r>
            <w:r w:rsidR="00AA263D" w:rsidRPr="00600ED9">
              <w:rPr>
                <w:rFonts w:eastAsiaTheme="minorEastAsia"/>
                <w:color w:val="000000"/>
                <w:sz w:val="20"/>
                <w:szCs w:val="20"/>
                <w:lang w:eastAsia="zh-TW"/>
              </w:rPr>
              <w:t xml:space="preserve"> SICA no </w:t>
            </w:r>
            <w:r w:rsidRPr="00600ED9">
              <w:rPr>
                <w:rFonts w:eastAsiaTheme="minorEastAsia"/>
                <w:color w:val="000000"/>
                <w:sz w:val="20"/>
                <w:szCs w:val="20"/>
                <w:lang w:eastAsia="zh-TW"/>
              </w:rPr>
              <w:t>es</w:t>
            </w:r>
            <w:r w:rsidR="00AA263D" w:rsidRPr="00600ED9">
              <w:rPr>
                <w:rFonts w:eastAsiaTheme="minorEastAsia"/>
                <w:color w:val="000000"/>
                <w:sz w:val="20"/>
                <w:szCs w:val="20"/>
                <w:lang w:eastAsia="zh-TW"/>
              </w:rPr>
              <w:t xml:space="preserve"> suficiente </w:t>
            </w:r>
            <w:r w:rsidRPr="00600ED9">
              <w:rPr>
                <w:rFonts w:eastAsiaTheme="minorEastAsia"/>
                <w:color w:val="000000"/>
                <w:sz w:val="20"/>
                <w:szCs w:val="20"/>
                <w:lang w:eastAsia="zh-TW"/>
              </w:rPr>
              <w:t xml:space="preserve">de manera </w:t>
            </w:r>
            <w:r w:rsidR="00AA263D" w:rsidRPr="00600ED9">
              <w:rPr>
                <w:rFonts w:eastAsiaTheme="minorEastAsia"/>
                <w:color w:val="000000"/>
                <w:sz w:val="20"/>
                <w:szCs w:val="20"/>
                <w:lang w:eastAsia="zh-TW"/>
              </w:rPr>
              <w:t>que permita que un auditor experimentado</w:t>
            </w:r>
            <w:r w:rsidRPr="00600ED9">
              <w:rPr>
                <w:rFonts w:eastAsiaTheme="minorEastAsia"/>
                <w:color w:val="000000"/>
                <w:sz w:val="20"/>
                <w:szCs w:val="20"/>
                <w:lang w:eastAsia="zh-TW"/>
              </w:rPr>
              <w:t xml:space="preserve">,  que no tenga conocimiento previo de la auditoría, </w:t>
            </w:r>
            <w:r w:rsidR="00AA263D" w:rsidRPr="00600ED9">
              <w:rPr>
                <w:rFonts w:eastAsiaTheme="minorEastAsia"/>
                <w:color w:val="000000"/>
                <w:sz w:val="20"/>
                <w:szCs w:val="20"/>
                <w:lang w:eastAsia="zh-TW"/>
              </w:rPr>
              <w:t>pueda</w:t>
            </w:r>
            <w:r w:rsidRPr="00600ED9">
              <w:rPr>
                <w:rFonts w:eastAsiaTheme="minorEastAsia"/>
                <w:color w:val="000000"/>
                <w:sz w:val="20"/>
                <w:szCs w:val="20"/>
                <w:lang w:eastAsia="zh-TW"/>
              </w:rPr>
              <w:t xml:space="preserve"> entender la naturaleza, oportunidad, alcance de los procedimientos llevados a cabo y los resultados</w:t>
            </w:r>
            <w:r w:rsidR="00AA263D" w:rsidRPr="00600ED9">
              <w:rPr>
                <w:rFonts w:eastAsiaTheme="minorEastAsia"/>
                <w:color w:val="000000"/>
                <w:sz w:val="20"/>
                <w:szCs w:val="20"/>
                <w:lang w:eastAsia="zh-TW"/>
              </w:rPr>
              <w:t>.</w:t>
            </w:r>
            <w:r w:rsidR="00311E1C" w:rsidRPr="00600ED9">
              <w:rPr>
                <w:rFonts w:eastAsiaTheme="minorEastAsia"/>
                <w:color w:val="000000"/>
                <w:sz w:val="20"/>
                <w:szCs w:val="20"/>
                <w:lang w:eastAsia="zh-TW"/>
              </w:rPr>
              <w:t xml:space="preserve"> </w:t>
            </w:r>
            <w:r w:rsidR="003A05BD" w:rsidRPr="00600ED9">
              <w:rPr>
                <w:rFonts w:eastAsiaTheme="minorEastAsia"/>
                <w:color w:val="000000"/>
                <w:sz w:val="20"/>
                <w:szCs w:val="20"/>
                <w:lang w:eastAsia="zh-TW"/>
              </w:rPr>
              <w:t xml:space="preserve"> </w:t>
            </w:r>
          </w:p>
          <w:p w:rsidR="00A66C0A" w:rsidRPr="00600ED9" w:rsidRDefault="00A66C0A" w:rsidP="00FB1954">
            <w:pPr>
              <w:jc w:val="both"/>
              <w:rPr>
                <w:rFonts w:eastAsiaTheme="minorEastAsia"/>
                <w:color w:val="000000"/>
                <w:sz w:val="20"/>
                <w:szCs w:val="20"/>
                <w:lang w:eastAsia="zh-TW"/>
              </w:rPr>
            </w:pPr>
          </w:p>
          <w:p w:rsidR="00AD71E4" w:rsidRPr="00600ED9" w:rsidRDefault="00AD71E4" w:rsidP="00FB1954">
            <w:pPr>
              <w:jc w:val="both"/>
              <w:rPr>
                <w:rFonts w:eastAsia="Calibri" w:cs="Arial"/>
                <w:sz w:val="20"/>
                <w:szCs w:val="20"/>
              </w:rPr>
            </w:pPr>
            <w:r w:rsidRPr="00600ED9">
              <w:rPr>
                <w:rFonts w:eastAsia="Calibri" w:cs="Arial"/>
                <w:sz w:val="20"/>
                <w:szCs w:val="20"/>
              </w:rPr>
              <w:t xml:space="preserve">Las opiniones emitidas en los informes de auditoría </w:t>
            </w:r>
            <w:r w:rsidR="002755C3" w:rsidRPr="00600ED9">
              <w:rPr>
                <w:rFonts w:eastAsia="Calibri" w:cs="Arial"/>
                <w:sz w:val="20"/>
                <w:szCs w:val="20"/>
              </w:rPr>
              <w:t>de</w:t>
            </w:r>
            <w:r w:rsidRPr="00600ED9">
              <w:rPr>
                <w:rFonts w:eastAsia="Calibri" w:cs="Arial"/>
                <w:sz w:val="20"/>
                <w:szCs w:val="20"/>
              </w:rPr>
              <w:t xml:space="preserve"> la CGRC, no cumplen con los requerimientos de las </w:t>
            </w:r>
            <w:proofErr w:type="spellStart"/>
            <w:r w:rsidRPr="00600ED9">
              <w:rPr>
                <w:rFonts w:eastAsia="Calibri" w:cs="Arial"/>
                <w:sz w:val="20"/>
                <w:szCs w:val="20"/>
              </w:rPr>
              <w:t>ISSAIs</w:t>
            </w:r>
            <w:proofErr w:type="spellEnd"/>
            <w:r w:rsidRPr="00600ED9">
              <w:rPr>
                <w:rFonts w:eastAsia="Calibri" w:cs="Arial"/>
                <w:sz w:val="20"/>
                <w:szCs w:val="20"/>
              </w:rPr>
              <w:t>, ya que el lenguaje que se utiliza es confuso. Por ejemplo, en algunas ocasiones en una misma opinión de auditoría se utilizan los términos “salvedades”, “inconsistencias” o “limitaciones”, y al final indican que se abstienen de opinar. De acuerdo a la normativa internacional, estos tres términos no deben formar parte de una misma opinión. Es decir,  si hay salvedades o excepciones entonces la opinión de auditoría sería con salvedad o una opinión calificada.  Por el contrario, cuando hay limitaciones, se deben explicar si se refieren a limitaciones en el alcance de auditoría o limitaciones que ha puesto el propio ente auditado y, en función de esto, se toma la decisión de emitir una opinión con salvedad o abstenerse de opinar.</w:t>
            </w:r>
          </w:p>
          <w:p w:rsidR="00A66C0A" w:rsidRPr="00600ED9" w:rsidRDefault="00A66C0A" w:rsidP="00FB1954">
            <w:pPr>
              <w:jc w:val="both"/>
              <w:rPr>
                <w:rFonts w:eastAsia="Calibri" w:cs="Arial"/>
                <w:sz w:val="20"/>
                <w:szCs w:val="20"/>
              </w:rPr>
            </w:pPr>
          </w:p>
          <w:p w:rsidR="00AD71E4" w:rsidRPr="00600ED9" w:rsidRDefault="00AD71E4" w:rsidP="00FB1954">
            <w:pPr>
              <w:jc w:val="both"/>
              <w:rPr>
                <w:rFonts w:eastAsia="Calibri" w:cs="Arial"/>
                <w:sz w:val="20"/>
                <w:szCs w:val="20"/>
              </w:rPr>
            </w:pPr>
            <w:r w:rsidRPr="00600ED9">
              <w:rPr>
                <w:rFonts w:eastAsia="Calibri" w:cs="Arial"/>
                <w:sz w:val="20"/>
                <w:szCs w:val="20"/>
              </w:rPr>
              <w:t>Un ejemplo de esta debilidad es la opinión de la auditoría al Balance General de Situación de la Nación del 2013. En esta, se emiten (incorrectamente), en dos párrafos separados, dos opiniones de auditoría. En el primero se indica que  la CGRC se abstiene de opinar porque el Balance General no se presentó con integridad. Mientras tanto, en el siguiente párrafo se menciona que está emitiendo una opinión negativa. Si bien esto no es posible según la normativa internacional, fue incluido en la opinión de auditoría emitida sobre el Balance General de Situación de la Nación.</w:t>
            </w:r>
          </w:p>
          <w:p w:rsidR="00A66C0A" w:rsidRPr="00600ED9" w:rsidRDefault="00A66C0A" w:rsidP="00FB1954">
            <w:pPr>
              <w:jc w:val="both"/>
              <w:rPr>
                <w:rFonts w:eastAsia="Calibri" w:cs="Arial"/>
                <w:sz w:val="20"/>
                <w:szCs w:val="20"/>
              </w:rPr>
            </w:pPr>
          </w:p>
          <w:p w:rsidR="00AD71E4" w:rsidRPr="00600ED9" w:rsidRDefault="00AD71E4" w:rsidP="00FB1954">
            <w:pPr>
              <w:jc w:val="both"/>
              <w:rPr>
                <w:sz w:val="20"/>
                <w:szCs w:val="20"/>
              </w:rPr>
            </w:pPr>
            <w:r w:rsidRPr="00600ED9">
              <w:rPr>
                <w:sz w:val="20"/>
                <w:szCs w:val="20"/>
              </w:rPr>
              <w:t xml:space="preserve">Dado que los informes que emite la </w:t>
            </w:r>
            <w:r w:rsidR="003B5967" w:rsidRPr="00600ED9">
              <w:rPr>
                <w:sz w:val="20"/>
                <w:szCs w:val="20"/>
              </w:rPr>
              <w:t>CGRC</w:t>
            </w:r>
            <w:r w:rsidRPr="00600ED9">
              <w:rPr>
                <w:sz w:val="20"/>
                <w:szCs w:val="20"/>
              </w:rPr>
              <w:t xml:space="preserve"> son integrales, contienen una serie de elementos e información que difiere de los requeridos por las Normas Internacionales, y por tratarse de informes extensos, no son de fácil comprensión. Adicionalmente, la mezcla de terminología es confusa para el lector y el párrafo de la opinión se emite en conjunto con el resto de resultados de la auditoría. El dictamen, aunque contiene los requerimientos de las normas, se encuentra dividido en varias partes. </w:t>
            </w:r>
          </w:p>
          <w:p w:rsidR="00A66C0A" w:rsidRPr="00600ED9" w:rsidRDefault="00A66C0A" w:rsidP="00FB1954">
            <w:pPr>
              <w:jc w:val="both"/>
              <w:rPr>
                <w:sz w:val="20"/>
                <w:szCs w:val="20"/>
              </w:rPr>
            </w:pPr>
          </w:p>
          <w:p w:rsidR="00AD71E4" w:rsidRPr="00600ED9" w:rsidRDefault="00AD71E4" w:rsidP="00FB1954">
            <w:pPr>
              <w:jc w:val="both"/>
              <w:rPr>
                <w:sz w:val="20"/>
                <w:szCs w:val="20"/>
              </w:rPr>
            </w:pPr>
            <w:r w:rsidRPr="00600ED9">
              <w:rPr>
                <w:sz w:val="20"/>
                <w:szCs w:val="20"/>
              </w:rPr>
              <w:t>Finalmente, el párrafo de la opinión veces es llamado de diferentes maneras: opinión a los estados financieros, opinión sobre los estados contables, etc.</w:t>
            </w:r>
          </w:p>
          <w:p w:rsidR="00A66C0A" w:rsidRPr="00600ED9" w:rsidRDefault="00A66C0A" w:rsidP="00FB1954">
            <w:pPr>
              <w:jc w:val="both"/>
              <w:rPr>
                <w:sz w:val="20"/>
                <w:szCs w:val="20"/>
              </w:rPr>
            </w:pPr>
          </w:p>
          <w:p w:rsidR="00AD71E4" w:rsidRPr="00600ED9" w:rsidRDefault="00AD71E4" w:rsidP="00FB1954">
            <w:pPr>
              <w:jc w:val="both"/>
              <w:rPr>
                <w:sz w:val="20"/>
                <w:szCs w:val="20"/>
              </w:rPr>
            </w:pPr>
            <w:r w:rsidRPr="00600ED9">
              <w:rPr>
                <w:sz w:val="20"/>
                <w:szCs w:val="20"/>
              </w:rPr>
              <w:t>La CGRC también práctica auditorías para propósitos especiales para las cuales no divulga las normas que está aplicando y tampoco incluye un párrafo de énfasis para que el lector pueda comprender que se trata de auditorías con propósitos diferentes o sobre bases distintas a una auditoría regular.</w:t>
            </w:r>
          </w:p>
          <w:p w:rsidR="00A66C0A" w:rsidRPr="00600ED9" w:rsidRDefault="00A66C0A" w:rsidP="00FB1954">
            <w:pPr>
              <w:jc w:val="both"/>
              <w:rPr>
                <w:sz w:val="20"/>
                <w:szCs w:val="20"/>
              </w:rPr>
            </w:pPr>
          </w:p>
          <w:p w:rsidR="006E6781" w:rsidRPr="00600ED9" w:rsidRDefault="00020244" w:rsidP="00FB1954">
            <w:pPr>
              <w:tabs>
                <w:tab w:val="left" w:pos="4005"/>
              </w:tabs>
              <w:jc w:val="both"/>
              <w:rPr>
                <w:sz w:val="20"/>
                <w:szCs w:val="20"/>
              </w:rPr>
            </w:pPr>
            <w:r w:rsidRPr="00600ED9">
              <w:rPr>
                <w:sz w:val="20"/>
                <w:szCs w:val="20"/>
              </w:rPr>
              <w:t>Estas actuaciones son acciones de vigilancia y fiscalización breves y sumarias, en las que un funcionario o equipo de trabajo aborda la investigación de un hecho o asunto que llegue al conocimiento de la CGRC, por cualquier medio de información o denuncia ciudadana, que adquiere connotación fiscal por su afectación al interés</w:t>
            </w:r>
          </w:p>
          <w:p w:rsidR="00A66C0A" w:rsidRPr="00600ED9" w:rsidRDefault="00A66C0A" w:rsidP="00FB1954">
            <w:pPr>
              <w:tabs>
                <w:tab w:val="left" w:pos="4005"/>
              </w:tabs>
              <w:jc w:val="both"/>
              <w:rPr>
                <w:szCs w:val="20"/>
              </w:rPr>
            </w:pPr>
          </w:p>
        </w:tc>
      </w:tr>
    </w:tbl>
    <w:p w:rsidR="007A2E3B" w:rsidRPr="00600ED9" w:rsidRDefault="007A2E3B" w:rsidP="00FB1954">
      <w:pPr>
        <w:spacing w:after="0" w:line="240" w:lineRule="auto"/>
        <w:ind w:left="720"/>
        <w:jc w:val="both"/>
        <w:rPr>
          <w:b/>
          <w:sz w:val="24"/>
          <w:szCs w:val="20"/>
          <w:u w:val="single"/>
        </w:rPr>
      </w:pPr>
    </w:p>
    <w:p w:rsidR="00F25A95" w:rsidRPr="00600ED9" w:rsidRDefault="00A66C0A" w:rsidP="00FB1954">
      <w:pPr>
        <w:spacing w:after="0" w:line="240" w:lineRule="auto"/>
        <w:ind w:left="720"/>
        <w:jc w:val="both"/>
        <w:rPr>
          <w:szCs w:val="20"/>
        </w:rPr>
      </w:pPr>
      <w:r w:rsidRPr="00600ED9">
        <w:rPr>
          <w:b/>
          <w:bCs/>
          <w:smallCaps/>
        </w:rPr>
        <w:t>Recomendación</w:t>
      </w:r>
      <w:r w:rsidR="003B04AB" w:rsidRPr="00600ED9">
        <w:rPr>
          <w:b/>
          <w:bCs/>
          <w:smallCaps/>
        </w:rPr>
        <w:t>:</w:t>
      </w:r>
      <w:r w:rsidRPr="00600ED9">
        <w:rPr>
          <w:b/>
          <w:bCs/>
          <w:smallCaps/>
        </w:rPr>
        <w:t xml:space="preserve"> </w:t>
      </w:r>
      <w:r w:rsidR="005120A2" w:rsidRPr="00600ED9">
        <w:rPr>
          <w:szCs w:val="20"/>
        </w:rPr>
        <w:t>Consultar el</w:t>
      </w:r>
      <w:r w:rsidR="00CA3E61" w:rsidRPr="00600ED9">
        <w:rPr>
          <w:szCs w:val="20"/>
        </w:rPr>
        <w:t xml:space="preserve"> Anexo </w:t>
      </w:r>
      <w:r w:rsidR="004F3ED3" w:rsidRPr="00600ED9">
        <w:rPr>
          <w:szCs w:val="20"/>
        </w:rPr>
        <w:t>A</w:t>
      </w:r>
      <w:r w:rsidR="00CA3E61" w:rsidRPr="00600ED9">
        <w:rPr>
          <w:szCs w:val="20"/>
        </w:rPr>
        <w:t xml:space="preserve">: Plan de Acción, </w:t>
      </w:r>
      <w:r w:rsidR="004F3ED3" w:rsidRPr="00600ED9">
        <w:rPr>
          <w:szCs w:val="20"/>
        </w:rPr>
        <w:t>recomendaci</w:t>
      </w:r>
      <w:r w:rsidR="00710AA3" w:rsidRPr="00600ED9">
        <w:rPr>
          <w:szCs w:val="20"/>
        </w:rPr>
        <w:t>ó</w:t>
      </w:r>
      <w:r w:rsidR="004F3ED3" w:rsidRPr="00600ED9">
        <w:rPr>
          <w:szCs w:val="20"/>
        </w:rPr>
        <w:t>n</w:t>
      </w:r>
      <w:r w:rsidR="00710AA3" w:rsidRPr="00600ED9">
        <w:rPr>
          <w:szCs w:val="20"/>
        </w:rPr>
        <w:t xml:space="preserve"> No. 14</w:t>
      </w:r>
      <w:r w:rsidR="00CA3E61" w:rsidRPr="00600ED9">
        <w:rPr>
          <w:szCs w:val="20"/>
        </w:rPr>
        <w:t>.</w:t>
      </w:r>
    </w:p>
    <w:p w:rsidR="006D6D34" w:rsidRPr="00600ED9" w:rsidRDefault="006D6D34" w:rsidP="00FB1954">
      <w:pPr>
        <w:pStyle w:val="NoSpacing"/>
        <w:rPr>
          <w:lang w:val="es-ES_tradnl"/>
        </w:rPr>
      </w:pPr>
    </w:p>
    <w:p w:rsidR="00A66C0A" w:rsidRPr="00600ED9" w:rsidRDefault="00A66C0A" w:rsidP="00FB1954">
      <w:pPr>
        <w:pStyle w:val="NoSpacing"/>
        <w:rPr>
          <w:lang w:val="es-ES_tradnl"/>
        </w:rPr>
      </w:pPr>
    </w:p>
    <w:p w:rsidR="00656B82" w:rsidRPr="00600ED9" w:rsidRDefault="00656B82" w:rsidP="00FB1954">
      <w:pPr>
        <w:pStyle w:val="NoSpacing"/>
        <w:rPr>
          <w:lang w:val="es-ES_tradnl"/>
        </w:rPr>
      </w:pPr>
    </w:p>
    <w:p w:rsidR="00656B82" w:rsidRPr="00600ED9" w:rsidRDefault="00656B82" w:rsidP="00FB1954">
      <w:pPr>
        <w:pStyle w:val="NoSpacing"/>
        <w:rPr>
          <w:lang w:val="es-ES_tradnl"/>
        </w:rPr>
      </w:pPr>
    </w:p>
    <w:p w:rsidR="00656B82" w:rsidRPr="00600ED9" w:rsidRDefault="00656B82" w:rsidP="00FB1954">
      <w:pPr>
        <w:pStyle w:val="NoSpacing"/>
        <w:rPr>
          <w:lang w:val="es-ES_tradnl"/>
        </w:rPr>
      </w:pPr>
    </w:p>
    <w:p w:rsidR="00720E42" w:rsidRPr="00600ED9" w:rsidRDefault="009C4870" w:rsidP="00FB1954">
      <w:pPr>
        <w:pStyle w:val="Heading2"/>
        <w:spacing w:before="0" w:line="240" w:lineRule="auto"/>
      </w:pPr>
      <w:bookmarkStart w:id="28" w:name="_Toc295932920"/>
      <w:r w:rsidRPr="00600ED9">
        <w:lastRenderedPageBreak/>
        <w:t xml:space="preserve">EFS </w:t>
      </w:r>
      <w:r w:rsidR="00720E42" w:rsidRPr="00600ED9">
        <w:t>13 – Fundamentos de la Auditoría de Cumplimiento</w:t>
      </w:r>
      <w:bookmarkEnd w:id="28"/>
    </w:p>
    <w:p w:rsidR="003B04AB" w:rsidRPr="00600ED9" w:rsidRDefault="003B04AB" w:rsidP="00FB1954">
      <w:pPr>
        <w:pStyle w:val="ListParagraph"/>
        <w:tabs>
          <w:tab w:val="right" w:leader="dot" w:pos="8640"/>
        </w:tabs>
        <w:spacing w:after="0" w:line="240" w:lineRule="auto"/>
        <w:ind w:left="1080"/>
        <w:rPr>
          <w:rFonts w:eastAsia="Calibri" w:cs="Times New Roman"/>
          <w:b/>
          <w:sz w:val="28"/>
        </w:rPr>
      </w:pPr>
    </w:p>
    <w:tbl>
      <w:tblPr>
        <w:tblW w:w="7865" w:type="dxa"/>
        <w:tblInd w:w="720" w:type="dxa"/>
        <w:tblCellMar>
          <w:left w:w="70" w:type="dxa"/>
          <w:right w:w="70" w:type="dxa"/>
        </w:tblCellMar>
        <w:tblLook w:val="04A0" w:firstRow="1" w:lastRow="0" w:firstColumn="1" w:lastColumn="0" w:noHBand="0" w:noVBand="1"/>
      </w:tblPr>
      <w:tblGrid>
        <w:gridCol w:w="1834"/>
        <w:gridCol w:w="1176"/>
        <w:gridCol w:w="1232"/>
        <w:gridCol w:w="1176"/>
        <w:gridCol w:w="1176"/>
        <w:gridCol w:w="159"/>
        <w:gridCol w:w="1112"/>
      </w:tblGrid>
      <w:tr w:rsidR="00DF46C2" w:rsidRPr="00600ED9" w:rsidTr="00E676F4">
        <w:trPr>
          <w:trHeight w:val="255"/>
        </w:trPr>
        <w:tc>
          <w:tcPr>
            <w:tcW w:w="1834" w:type="dxa"/>
            <w:tcBorders>
              <w:top w:val="nil"/>
              <w:left w:val="nil"/>
              <w:bottom w:val="nil"/>
              <w:right w:val="nil"/>
            </w:tcBorders>
            <w:shd w:val="clear" w:color="auto" w:fill="auto"/>
            <w:noWrap/>
            <w:vAlign w:val="bottom"/>
            <w:hideMark/>
          </w:tcPr>
          <w:p w:rsidR="00DF46C2" w:rsidRPr="00600ED9" w:rsidRDefault="00DF46C2" w:rsidP="00FB1954">
            <w:pPr>
              <w:pStyle w:val="NoSpacing"/>
              <w:tabs>
                <w:tab w:val="center" w:pos="4680"/>
                <w:tab w:val="right" w:pos="9360"/>
              </w:tabs>
              <w:jc w:val="center"/>
              <w:rPr>
                <w:sz w:val="20"/>
                <w:lang w:val="es-ES_tradnl"/>
              </w:rPr>
            </w:pPr>
          </w:p>
        </w:tc>
        <w:tc>
          <w:tcPr>
            <w:tcW w:w="4760" w:type="dxa"/>
            <w:gridSpan w:val="4"/>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DF46C2" w:rsidRPr="00600ED9" w:rsidRDefault="00DF46C2" w:rsidP="00FB1954">
            <w:pPr>
              <w:pStyle w:val="NoSpacing"/>
              <w:jc w:val="center"/>
              <w:rPr>
                <w:b/>
                <w:bCs/>
                <w:sz w:val="20"/>
                <w:lang w:val="es-ES_tradnl"/>
              </w:rPr>
            </w:pPr>
            <w:r w:rsidRPr="00600ED9">
              <w:rPr>
                <w:b/>
                <w:bCs/>
                <w:sz w:val="20"/>
                <w:lang w:val="es-ES_tradnl"/>
              </w:rPr>
              <w:t>Dimensiones Evaluadas</w:t>
            </w:r>
          </w:p>
        </w:tc>
        <w:tc>
          <w:tcPr>
            <w:tcW w:w="159" w:type="dxa"/>
            <w:tcBorders>
              <w:top w:val="nil"/>
              <w:left w:val="nil"/>
              <w:bottom w:val="nil"/>
              <w:right w:val="nil"/>
            </w:tcBorders>
            <w:shd w:val="clear" w:color="auto" w:fill="auto"/>
            <w:noWrap/>
            <w:vAlign w:val="bottom"/>
            <w:hideMark/>
          </w:tcPr>
          <w:p w:rsidR="00DF46C2" w:rsidRPr="00600ED9" w:rsidRDefault="00DF46C2" w:rsidP="00FB1954">
            <w:pPr>
              <w:pStyle w:val="NoSpacing"/>
              <w:tabs>
                <w:tab w:val="center" w:pos="4680"/>
                <w:tab w:val="right" w:pos="9360"/>
              </w:tabs>
              <w:jc w:val="center"/>
              <w:rPr>
                <w:sz w:val="20"/>
                <w:lang w:val="es-ES_tradnl"/>
              </w:rPr>
            </w:pPr>
          </w:p>
        </w:tc>
        <w:tc>
          <w:tcPr>
            <w:tcW w:w="1112" w:type="dxa"/>
            <w:vMerge w:val="restart"/>
            <w:tcBorders>
              <w:top w:val="single" w:sz="4" w:space="0" w:color="auto"/>
              <w:left w:val="single" w:sz="4" w:space="0" w:color="auto"/>
              <w:bottom w:val="single" w:sz="4" w:space="0" w:color="auto"/>
              <w:right w:val="single" w:sz="4" w:space="0" w:color="auto"/>
            </w:tcBorders>
            <w:shd w:val="clear" w:color="000000" w:fill="95B3D7"/>
            <w:vAlign w:val="center"/>
            <w:hideMark/>
          </w:tcPr>
          <w:p w:rsidR="00DF46C2" w:rsidRPr="00600ED9" w:rsidRDefault="00DF46C2" w:rsidP="00FB1954">
            <w:pPr>
              <w:pStyle w:val="NoSpacing"/>
              <w:jc w:val="center"/>
              <w:rPr>
                <w:b/>
                <w:bCs/>
                <w:sz w:val="20"/>
                <w:lang w:val="es-ES_tradnl"/>
              </w:rPr>
            </w:pPr>
            <w:r w:rsidRPr="00600ED9">
              <w:rPr>
                <w:b/>
                <w:bCs/>
                <w:sz w:val="20"/>
                <w:lang w:val="es-ES_tradnl"/>
              </w:rPr>
              <w:t>Puntuación General</w:t>
            </w:r>
          </w:p>
        </w:tc>
      </w:tr>
      <w:tr w:rsidR="00023B14" w:rsidRPr="00600ED9" w:rsidTr="00E676F4">
        <w:trPr>
          <w:trHeight w:val="390"/>
        </w:trPr>
        <w:tc>
          <w:tcPr>
            <w:tcW w:w="1834"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DF46C2" w:rsidRPr="00600ED9" w:rsidRDefault="00DF46C2" w:rsidP="00FB1954">
            <w:pPr>
              <w:pStyle w:val="NoSpacing"/>
              <w:jc w:val="center"/>
              <w:rPr>
                <w:b/>
                <w:bCs/>
                <w:sz w:val="20"/>
                <w:lang w:val="es-ES_tradnl"/>
              </w:rPr>
            </w:pPr>
            <w:r w:rsidRPr="00600ED9">
              <w:rPr>
                <w:b/>
                <w:bCs/>
                <w:sz w:val="20"/>
                <w:lang w:val="es-ES_tradnl"/>
              </w:rPr>
              <w:t>Indicadores</w:t>
            </w:r>
          </w:p>
        </w:tc>
        <w:tc>
          <w:tcPr>
            <w:tcW w:w="1176" w:type="dxa"/>
            <w:tcBorders>
              <w:top w:val="nil"/>
              <w:left w:val="nil"/>
              <w:bottom w:val="single" w:sz="4" w:space="0" w:color="auto"/>
              <w:right w:val="single" w:sz="4" w:space="0" w:color="auto"/>
            </w:tcBorders>
            <w:shd w:val="clear" w:color="000000" w:fill="D8D8D8"/>
            <w:noWrap/>
            <w:hideMark/>
          </w:tcPr>
          <w:p w:rsidR="00A82279" w:rsidRPr="00600ED9" w:rsidRDefault="009B5E34" w:rsidP="00FB1954">
            <w:pPr>
              <w:pStyle w:val="NoSpacing"/>
              <w:jc w:val="center"/>
              <w:rPr>
                <w:b/>
                <w:bCs/>
                <w:w w:val="90"/>
                <w:sz w:val="20"/>
                <w:lang w:val="es-ES_tradnl"/>
              </w:rPr>
            </w:pPr>
            <w:r w:rsidRPr="00600ED9">
              <w:rPr>
                <w:b/>
                <w:bCs/>
                <w:w w:val="90"/>
                <w:sz w:val="20"/>
                <w:lang w:val="es-ES_tradnl"/>
              </w:rPr>
              <w:t>(i)</w:t>
            </w:r>
          </w:p>
          <w:p w:rsidR="00DF46C2" w:rsidRPr="00600ED9" w:rsidRDefault="00DF46C2" w:rsidP="00FB1954">
            <w:pPr>
              <w:pStyle w:val="NoSpacing"/>
              <w:jc w:val="center"/>
              <w:rPr>
                <w:b/>
                <w:bCs/>
                <w:w w:val="90"/>
                <w:sz w:val="20"/>
                <w:lang w:val="es-ES_tradnl"/>
              </w:rPr>
            </w:pPr>
            <w:r w:rsidRPr="00600ED9">
              <w:rPr>
                <w:w w:val="90"/>
                <w:sz w:val="20"/>
                <w:lang w:val="es-ES_tradnl"/>
              </w:rPr>
              <w:t>Normas y Dir</w:t>
            </w:r>
            <w:r w:rsidR="00023B14" w:rsidRPr="00600ED9">
              <w:rPr>
                <w:w w:val="90"/>
                <w:sz w:val="20"/>
                <w:lang w:val="es-ES_tradnl"/>
              </w:rPr>
              <w:t>ectrices de Auditoría de Cumpli</w:t>
            </w:r>
            <w:r w:rsidRPr="00600ED9">
              <w:rPr>
                <w:w w:val="90"/>
                <w:sz w:val="20"/>
                <w:lang w:val="es-ES_tradnl"/>
              </w:rPr>
              <w:t>miento</w:t>
            </w:r>
          </w:p>
        </w:tc>
        <w:tc>
          <w:tcPr>
            <w:tcW w:w="1232" w:type="dxa"/>
            <w:tcBorders>
              <w:top w:val="nil"/>
              <w:left w:val="nil"/>
              <w:bottom w:val="single" w:sz="4" w:space="0" w:color="auto"/>
              <w:right w:val="single" w:sz="4" w:space="0" w:color="auto"/>
            </w:tcBorders>
            <w:shd w:val="clear" w:color="000000" w:fill="D8D8D8"/>
            <w:noWrap/>
            <w:hideMark/>
          </w:tcPr>
          <w:p w:rsidR="00A82279" w:rsidRPr="00600ED9" w:rsidRDefault="009B5E34" w:rsidP="00FB1954">
            <w:pPr>
              <w:pStyle w:val="NoSpacing"/>
              <w:jc w:val="center"/>
              <w:rPr>
                <w:b/>
                <w:bCs/>
                <w:w w:val="90"/>
                <w:sz w:val="20"/>
                <w:lang w:val="es-ES_tradnl"/>
              </w:rPr>
            </w:pPr>
            <w:r w:rsidRPr="00600ED9">
              <w:rPr>
                <w:b/>
                <w:bCs/>
                <w:w w:val="90"/>
                <w:sz w:val="20"/>
                <w:lang w:val="es-ES_tradnl"/>
              </w:rPr>
              <w:t>(ii)</w:t>
            </w:r>
          </w:p>
          <w:p w:rsidR="00DF46C2" w:rsidRPr="00600ED9" w:rsidRDefault="00DF46C2" w:rsidP="00FB1954">
            <w:pPr>
              <w:pStyle w:val="NoSpacing"/>
              <w:jc w:val="center"/>
              <w:rPr>
                <w:b/>
                <w:bCs/>
                <w:w w:val="90"/>
                <w:sz w:val="20"/>
                <w:lang w:val="es-ES_tradnl"/>
              </w:rPr>
            </w:pPr>
            <w:r w:rsidRPr="00600ED9">
              <w:rPr>
                <w:w w:val="90"/>
                <w:sz w:val="20"/>
                <w:lang w:val="es-ES_tradnl"/>
              </w:rPr>
              <w:t>Ética e independ</w:t>
            </w:r>
            <w:r w:rsidR="00023B14" w:rsidRPr="00600ED9">
              <w:rPr>
                <w:w w:val="90"/>
                <w:sz w:val="20"/>
                <w:lang w:val="es-ES_tradnl"/>
              </w:rPr>
              <w:t>encia en la Auditoría de Cumpli</w:t>
            </w:r>
            <w:r w:rsidRPr="00600ED9">
              <w:rPr>
                <w:w w:val="90"/>
                <w:sz w:val="20"/>
                <w:lang w:val="es-ES_tradnl"/>
              </w:rPr>
              <w:t>miento</w:t>
            </w:r>
          </w:p>
        </w:tc>
        <w:tc>
          <w:tcPr>
            <w:tcW w:w="1176" w:type="dxa"/>
            <w:tcBorders>
              <w:top w:val="nil"/>
              <w:left w:val="nil"/>
              <w:bottom w:val="single" w:sz="4" w:space="0" w:color="auto"/>
              <w:right w:val="single" w:sz="4" w:space="0" w:color="auto"/>
            </w:tcBorders>
            <w:shd w:val="clear" w:color="000000" w:fill="D8D8D8"/>
            <w:noWrap/>
            <w:hideMark/>
          </w:tcPr>
          <w:p w:rsidR="00A82279" w:rsidRPr="00600ED9" w:rsidRDefault="009B5E34" w:rsidP="00FB1954">
            <w:pPr>
              <w:pStyle w:val="NoSpacing"/>
              <w:jc w:val="center"/>
              <w:rPr>
                <w:b/>
                <w:bCs/>
                <w:w w:val="90"/>
                <w:sz w:val="20"/>
                <w:lang w:val="es-ES_tradnl"/>
              </w:rPr>
            </w:pPr>
            <w:r w:rsidRPr="00600ED9">
              <w:rPr>
                <w:b/>
                <w:bCs/>
                <w:w w:val="90"/>
                <w:sz w:val="20"/>
                <w:lang w:val="es-ES_tradnl"/>
              </w:rPr>
              <w:t>(iii)</w:t>
            </w:r>
          </w:p>
          <w:p w:rsidR="00DF46C2" w:rsidRPr="00600ED9" w:rsidRDefault="00DF46C2" w:rsidP="00FB1954">
            <w:pPr>
              <w:pStyle w:val="NoSpacing"/>
              <w:jc w:val="center"/>
              <w:rPr>
                <w:b/>
                <w:bCs/>
                <w:w w:val="90"/>
                <w:sz w:val="20"/>
                <w:lang w:val="es-ES_tradnl"/>
              </w:rPr>
            </w:pPr>
            <w:r w:rsidRPr="00600ED9">
              <w:rPr>
                <w:w w:val="90"/>
                <w:sz w:val="20"/>
                <w:lang w:val="es-ES_tradnl"/>
              </w:rPr>
              <w:t>Control de Ca</w:t>
            </w:r>
            <w:r w:rsidR="00023B14" w:rsidRPr="00600ED9">
              <w:rPr>
                <w:w w:val="90"/>
                <w:sz w:val="20"/>
                <w:lang w:val="es-ES_tradnl"/>
              </w:rPr>
              <w:t>lidad en la Auditoría de Cumpli</w:t>
            </w:r>
            <w:r w:rsidRPr="00600ED9">
              <w:rPr>
                <w:w w:val="90"/>
                <w:sz w:val="20"/>
                <w:lang w:val="es-ES_tradnl"/>
              </w:rPr>
              <w:t>miento</w:t>
            </w:r>
          </w:p>
        </w:tc>
        <w:tc>
          <w:tcPr>
            <w:tcW w:w="1176" w:type="dxa"/>
            <w:tcBorders>
              <w:top w:val="nil"/>
              <w:left w:val="nil"/>
              <w:bottom w:val="single" w:sz="4" w:space="0" w:color="auto"/>
              <w:right w:val="single" w:sz="4" w:space="0" w:color="auto"/>
            </w:tcBorders>
            <w:shd w:val="clear" w:color="000000" w:fill="D8D8D8"/>
            <w:noWrap/>
            <w:hideMark/>
          </w:tcPr>
          <w:p w:rsidR="00A82279" w:rsidRPr="00600ED9" w:rsidRDefault="009B5E34" w:rsidP="00FB1954">
            <w:pPr>
              <w:pStyle w:val="NoSpacing"/>
              <w:jc w:val="center"/>
              <w:rPr>
                <w:b/>
                <w:bCs/>
                <w:w w:val="90"/>
                <w:sz w:val="20"/>
                <w:lang w:val="es-ES_tradnl"/>
              </w:rPr>
            </w:pPr>
            <w:r w:rsidRPr="00600ED9">
              <w:rPr>
                <w:b/>
                <w:bCs/>
                <w:w w:val="90"/>
                <w:sz w:val="20"/>
                <w:lang w:val="es-ES_tradnl"/>
              </w:rPr>
              <w:t>(iv)</w:t>
            </w:r>
          </w:p>
          <w:p w:rsidR="00DF46C2" w:rsidRPr="00600ED9" w:rsidRDefault="00DF46C2" w:rsidP="00FB1954">
            <w:pPr>
              <w:pStyle w:val="NoSpacing"/>
              <w:jc w:val="center"/>
              <w:rPr>
                <w:b/>
                <w:bCs/>
                <w:w w:val="90"/>
                <w:sz w:val="20"/>
                <w:lang w:val="es-ES_tradnl"/>
              </w:rPr>
            </w:pPr>
            <w:r w:rsidRPr="00600ED9">
              <w:rPr>
                <w:w w:val="90"/>
                <w:sz w:val="20"/>
                <w:lang w:val="es-ES_tradnl"/>
              </w:rPr>
              <w:t>Dirección y habilidades del Equipo de Auditoría de Cumpli</w:t>
            </w:r>
            <w:r w:rsidR="00023B14" w:rsidRPr="00600ED9">
              <w:rPr>
                <w:w w:val="90"/>
                <w:sz w:val="20"/>
                <w:lang w:val="es-ES_tradnl"/>
              </w:rPr>
              <w:t>miento</w:t>
            </w:r>
          </w:p>
        </w:tc>
        <w:tc>
          <w:tcPr>
            <w:tcW w:w="159" w:type="dxa"/>
            <w:tcBorders>
              <w:top w:val="nil"/>
              <w:left w:val="nil"/>
              <w:bottom w:val="nil"/>
              <w:right w:val="nil"/>
            </w:tcBorders>
            <w:shd w:val="clear" w:color="auto" w:fill="auto"/>
            <w:noWrap/>
            <w:vAlign w:val="bottom"/>
            <w:hideMark/>
          </w:tcPr>
          <w:p w:rsidR="00DF46C2" w:rsidRPr="00600ED9" w:rsidRDefault="00DF46C2" w:rsidP="00FB1954">
            <w:pPr>
              <w:pStyle w:val="NoSpacing"/>
              <w:tabs>
                <w:tab w:val="center" w:pos="4680"/>
                <w:tab w:val="right" w:pos="9360"/>
              </w:tabs>
              <w:jc w:val="center"/>
              <w:rPr>
                <w:sz w:val="20"/>
                <w:lang w:val="es-ES_tradnl"/>
              </w:rPr>
            </w:pPr>
          </w:p>
        </w:tc>
        <w:tc>
          <w:tcPr>
            <w:tcW w:w="1112" w:type="dxa"/>
            <w:vMerge/>
            <w:tcBorders>
              <w:top w:val="single" w:sz="4" w:space="0" w:color="auto"/>
              <w:left w:val="single" w:sz="4" w:space="0" w:color="auto"/>
              <w:bottom w:val="single" w:sz="4" w:space="0" w:color="auto"/>
              <w:right w:val="single" w:sz="4" w:space="0" w:color="auto"/>
            </w:tcBorders>
            <w:vAlign w:val="center"/>
            <w:hideMark/>
          </w:tcPr>
          <w:p w:rsidR="00DF46C2" w:rsidRPr="00600ED9" w:rsidRDefault="00DF46C2" w:rsidP="00FB1954">
            <w:pPr>
              <w:pStyle w:val="NoSpacing"/>
              <w:tabs>
                <w:tab w:val="center" w:pos="4680"/>
                <w:tab w:val="right" w:pos="9360"/>
              </w:tabs>
              <w:jc w:val="center"/>
              <w:rPr>
                <w:b/>
                <w:bCs/>
                <w:sz w:val="20"/>
                <w:lang w:val="es-ES_tradnl"/>
              </w:rPr>
            </w:pPr>
          </w:p>
        </w:tc>
      </w:tr>
      <w:tr w:rsidR="00023B14" w:rsidRPr="00600ED9" w:rsidTr="00E676F4">
        <w:trPr>
          <w:trHeight w:val="510"/>
        </w:trPr>
        <w:tc>
          <w:tcPr>
            <w:tcW w:w="1834" w:type="dxa"/>
            <w:tcBorders>
              <w:top w:val="nil"/>
              <w:left w:val="single" w:sz="4" w:space="0" w:color="auto"/>
              <w:bottom w:val="single" w:sz="4" w:space="0" w:color="auto"/>
              <w:right w:val="single" w:sz="4" w:space="0" w:color="auto"/>
            </w:tcBorders>
            <w:shd w:val="clear" w:color="auto" w:fill="auto"/>
            <w:vAlign w:val="center"/>
            <w:hideMark/>
          </w:tcPr>
          <w:p w:rsidR="00DF46C2" w:rsidRPr="00600ED9" w:rsidRDefault="00DF46C2" w:rsidP="00FB1954">
            <w:pPr>
              <w:pStyle w:val="NoSpacing"/>
              <w:jc w:val="center"/>
              <w:rPr>
                <w:b/>
                <w:bCs/>
                <w:sz w:val="20"/>
                <w:lang w:val="es-ES_tradnl"/>
              </w:rPr>
            </w:pPr>
            <w:r w:rsidRPr="00600ED9">
              <w:rPr>
                <w:rFonts w:eastAsia="Calibri" w:cs="Times New Roman"/>
                <w:b/>
                <w:sz w:val="20"/>
                <w:lang w:val="es-ES_tradnl"/>
              </w:rPr>
              <w:t>EFS 13 – Fundamentos de la Auditoría de Cumplimiento</w:t>
            </w:r>
          </w:p>
        </w:tc>
        <w:tc>
          <w:tcPr>
            <w:tcW w:w="1176" w:type="dxa"/>
            <w:tcBorders>
              <w:top w:val="nil"/>
              <w:left w:val="nil"/>
              <w:bottom w:val="single" w:sz="4" w:space="0" w:color="auto"/>
              <w:right w:val="single" w:sz="4" w:space="0" w:color="auto"/>
            </w:tcBorders>
            <w:shd w:val="clear" w:color="auto" w:fill="auto"/>
            <w:noWrap/>
            <w:vAlign w:val="center"/>
          </w:tcPr>
          <w:p w:rsidR="00DF46C2" w:rsidRPr="00600ED9" w:rsidRDefault="00DF46C2" w:rsidP="00FB1954">
            <w:pPr>
              <w:pStyle w:val="NoSpacing"/>
              <w:jc w:val="center"/>
              <w:rPr>
                <w:b/>
                <w:bCs/>
                <w:sz w:val="20"/>
                <w:lang w:val="es-ES_tradnl"/>
              </w:rPr>
            </w:pPr>
            <w:r w:rsidRPr="00600ED9">
              <w:rPr>
                <w:b/>
                <w:bCs/>
                <w:sz w:val="20"/>
                <w:lang w:val="es-ES_tradnl"/>
              </w:rPr>
              <w:t>0</w:t>
            </w:r>
          </w:p>
        </w:tc>
        <w:tc>
          <w:tcPr>
            <w:tcW w:w="1232" w:type="dxa"/>
            <w:tcBorders>
              <w:top w:val="nil"/>
              <w:left w:val="nil"/>
              <w:bottom w:val="single" w:sz="4" w:space="0" w:color="auto"/>
              <w:right w:val="single" w:sz="4" w:space="0" w:color="auto"/>
            </w:tcBorders>
            <w:shd w:val="clear" w:color="auto" w:fill="auto"/>
            <w:noWrap/>
            <w:vAlign w:val="center"/>
          </w:tcPr>
          <w:p w:rsidR="00DF46C2" w:rsidRPr="00600ED9" w:rsidRDefault="00DF46C2" w:rsidP="00FB1954">
            <w:pPr>
              <w:pStyle w:val="NoSpacing"/>
              <w:jc w:val="center"/>
              <w:rPr>
                <w:b/>
                <w:bCs/>
                <w:sz w:val="20"/>
                <w:lang w:val="es-ES_tradnl"/>
              </w:rPr>
            </w:pPr>
            <w:r w:rsidRPr="00600ED9">
              <w:rPr>
                <w:b/>
                <w:bCs/>
                <w:sz w:val="20"/>
                <w:lang w:val="es-ES_tradnl"/>
              </w:rPr>
              <w:t>4</w:t>
            </w:r>
          </w:p>
        </w:tc>
        <w:tc>
          <w:tcPr>
            <w:tcW w:w="1176" w:type="dxa"/>
            <w:tcBorders>
              <w:top w:val="nil"/>
              <w:left w:val="nil"/>
              <w:bottom w:val="single" w:sz="4" w:space="0" w:color="auto"/>
              <w:right w:val="single" w:sz="4" w:space="0" w:color="auto"/>
            </w:tcBorders>
            <w:shd w:val="clear" w:color="auto" w:fill="auto"/>
            <w:noWrap/>
            <w:vAlign w:val="center"/>
          </w:tcPr>
          <w:p w:rsidR="00DF46C2" w:rsidRPr="00600ED9" w:rsidRDefault="00DF46C2" w:rsidP="00FB1954">
            <w:pPr>
              <w:pStyle w:val="NoSpacing"/>
              <w:jc w:val="center"/>
              <w:rPr>
                <w:b/>
                <w:bCs/>
                <w:sz w:val="20"/>
                <w:lang w:val="es-ES_tradnl"/>
              </w:rPr>
            </w:pPr>
            <w:r w:rsidRPr="00600ED9">
              <w:rPr>
                <w:b/>
                <w:bCs/>
                <w:sz w:val="20"/>
                <w:lang w:val="es-ES_tradnl"/>
              </w:rPr>
              <w:t>2</w:t>
            </w:r>
          </w:p>
        </w:tc>
        <w:tc>
          <w:tcPr>
            <w:tcW w:w="1176" w:type="dxa"/>
            <w:tcBorders>
              <w:top w:val="nil"/>
              <w:left w:val="nil"/>
              <w:bottom w:val="single" w:sz="4" w:space="0" w:color="auto"/>
              <w:right w:val="single" w:sz="4" w:space="0" w:color="auto"/>
            </w:tcBorders>
            <w:shd w:val="clear" w:color="auto" w:fill="auto"/>
            <w:noWrap/>
            <w:vAlign w:val="center"/>
          </w:tcPr>
          <w:p w:rsidR="00DF46C2" w:rsidRPr="00600ED9" w:rsidRDefault="00DF46C2" w:rsidP="00FB1954">
            <w:pPr>
              <w:pStyle w:val="NoSpacing"/>
              <w:jc w:val="center"/>
              <w:rPr>
                <w:b/>
                <w:bCs/>
                <w:sz w:val="20"/>
                <w:lang w:val="es-ES_tradnl"/>
              </w:rPr>
            </w:pPr>
            <w:r w:rsidRPr="00600ED9">
              <w:rPr>
                <w:b/>
                <w:bCs/>
                <w:sz w:val="20"/>
                <w:lang w:val="es-ES_tradnl"/>
              </w:rPr>
              <w:t>2</w:t>
            </w:r>
          </w:p>
        </w:tc>
        <w:tc>
          <w:tcPr>
            <w:tcW w:w="159" w:type="dxa"/>
            <w:tcBorders>
              <w:top w:val="nil"/>
              <w:left w:val="nil"/>
              <w:bottom w:val="nil"/>
              <w:right w:val="nil"/>
            </w:tcBorders>
            <w:shd w:val="clear" w:color="auto" w:fill="auto"/>
            <w:noWrap/>
            <w:vAlign w:val="bottom"/>
          </w:tcPr>
          <w:p w:rsidR="00DF46C2" w:rsidRPr="00600ED9" w:rsidRDefault="00DF46C2" w:rsidP="00FB1954">
            <w:pPr>
              <w:pStyle w:val="NoSpacing"/>
              <w:tabs>
                <w:tab w:val="center" w:pos="4680"/>
                <w:tab w:val="right" w:pos="9360"/>
              </w:tabs>
              <w:jc w:val="center"/>
              <w:rPr>
                <w:sz w:val="20"/>
                <w:lang w:val="es-ES_tradnl"/>
              </w:rPr>
            </w:pPr>
          </w:p>
        </w:tc>
        <w:tc>
          <w:tcPr>
            <w:tcW w:w="1112" w:type="dxa"/>
            <w:tcBorders>
              <w:top w:val="nil"/>
              <w:left w:val="single" w:sz="4" w:space="0" w:color="auto"/>
              <w:bottom w:val="single" w:sz="4" w:space="0" w:color="auto"/>
              <w:right w:val="single" w:sz="4" w:space="0" w:color="auto"/>
            </w:tcBorders>
            <w:shd w:val="clear" w:color="auto" w:fill="auto"/>
            <w:noWrap/>
            <w:vAlign w:val="center"/>
          </w:tcPr>
          <w:p w:rsidR="00DF46C2" w:rsidRPr="00600ED9" w:rsidRDefault="00DF46C2" w:rsidP="00FB1954">
            <w:pPr>
              <w:pStyle w:val="NoSpacing"/>
              <w:jc w:val="center"/>
              <w:rPr>
                <w:b/>
                <w:sz w:val="20"/>
                <w:lang w:val="es-ES_tradnl"/>
              </w:rPr>
            </w:pPr>
            <w:r w:rsidRPr="00600ED9">
              <w:rPr>
                <w:b/>
                <w:sz w:val="20"/>
                <w:lang w:val="es-ES_tradnl"/>
              </w:rPr>
              <w:t>1</w:t>
            </w:r>
          </w:p>
        </w:tc>
      </w:tr>
    </w:tbl>
    <w:p w:rsidR="00EE0DA9" w:rsidRPr="00600ED9" w:rsidRDefault="00EE0DA9" w:rsidP="00FB1954">
      <w:pPr>
        <w:spacing w:after="0" w:line="240" w:lineRule="auto"/>
        <w:rPr>
          <w:bCs/>
          <w:sz w:val="28"/>
        </w:rPr>
      </w:pPr>
    </w:p>
    <w:p w:rsidR="0053252D" w:rsidRPr="00600ED9" w:rsidRDefault="0053252D" w:rsidP="00FB1954">
      <w:pPr>
        <w:pStyle w:val="Normaltabletext"/>
        <w:spacing w:after="0"/>
        <w:ind w:left="720"/>
        <w:rPr>
          <w:sz w:val="22"/>
          <w:szCs w:val="22"/>
          <w:lang w:val="es-ES_tradnl"/>
        </w:rPr>
      </w:pPr>
      <w:r w:rsidRPr="00600ED9">
        <w:rPr>
          <w:bCs/>
          <w:sz w:val="22"/>
          <w:szCs w:val="22"/>
          <w:lang w:val="es-ES_tradnl"/>
        </w:rPr>
        <w:t>Aunque CG</w:t>
      </w:r>
      <w:r w:rsidR="00656B82" w:rsidRPr="00600ED9">
        <w:rPr>
          <w:bCs/>
          <w:sz w:val="22"/>
          <w:szCs w:val="22"/>
          <w:lang w:val="es-ES_tradnl"/>
        </w:rPr>
        <w:t xml:space="preserve"> </w:t>
      </w:r>
      <w:r w:rsidRPr="00600ED9">
        <w:rPr>
          <w:bCs/>
          <w:sz w:val="22"/>
          <w:szCs w:val="22"/>
          <w:lang w:val="es-ES_tradnl"/>
        </w:rPr>
        <w:t xml:space="preserve">RC dispone de pautas fundamentales para adelantar el Proceso Auditor formalizadas </w:t>
      </w:r>
      <w:r w:rsidRPr="00600ED9">
        <w:rPr>
          <w:rFonts w:cs="Calibri"/>
          <w:sz w:val="22"/>
          <w:szCs w:val="22"/>
          <w:lang w:val="es-ES_tradnl"/>
        </w:rPr>
        <w:t>en la Guía de Auditoría Ajustada al SICA, no están</w:t>
      </w:r>
      <w:r w:rsidRPr="00600ED9">
        <w:rPr>
          <w:b/>
          <w:sz w:val="22"/>
          <w:szCs w:val="22"/>
          <w:lang w:val="es-ES_tradnl"/>
        </w:rPr>
        <w:t xml:space="preserve"> </w:t>
      </w:r>
      <w:r w:rsidRPr="00600ED9">
        <w:rPr>
          <w:sz w:val="22"/>
          <w:szCs w:val="22"/>
          <w:lang w:val="es-ES_tradnl"/>
        </w:rPr>
        <w:t>basadas en o consistencia con los estándares internacionales para la Auditoría de Cumplimiento (</w:t>
      </w:r>
      <w:r w:rsidRPr="00600ED9">
        <w:rPr>
          <w:rFonts w:eastAsia="Times New Roman"/>
          <w:color w:val="000000"/>
          <w:sz w:val="22"/>
          <w:szCs w:val="22"/>
          <w:lang w:val="es-ES_tradnl"/>
        </w:rPr>
        <w:t>ISSAI 400</w:t>
      </w:r>
      <w:r w:rsidRPr="00600ED9">
        <w:rPr>
          <w:rStyle w:val="FootnoteReference"/>
          <w:rFonts w:eastAsia="Times New Roman"/>
          <w:color w:val="000000"/>
          <w:sz w:val="22"/>
          <w:szCs w:val="22"/>
          <w:lang w:val="es-ES_tradnl"/>
        </w:rPr>
        <w:footnoteReference w:id="39"/>
      </w:r>
      <w:r w:rsidRPr="00600ED9">
        <w:rPr>
          <w:rFonts w:eastAsia="Times New Roman"/>
          <w:color w:val="000000"/>
          <w:sz w:val="22"/>
          <w:szCs w:val="22"/>
          <w:lang w:val="es-ES_tradnl"/>
        </w:rPr>
        <w:t xml:space="preserve"> e ISSAI 4100 y 4200</w:t>
      </w:r>
      <w:r w:rsidRPr="00600ED9">
        <w:rPr>
          <w:rStyle w:val="FootnoteReference"/>
          <w:rFonts w:eastAsia="Times New Roman"/>
          <w:color w:val="000000"/>
          <w:sz w:val="22"/>
          <w:szCs w:val="22"/>
          <w:lang w:val="es-ES_tradnl"/>
        </w:rPr>
        <w:footnoteReference w:id="40"/>
      </w:r>
      <w:r w:rsidRPr="00600ED9">
        <w:rPr>
          <w:sz w:val="22"/>
          <w:szCs w:val="22"/>
          <w:lang w:val="es-ES_tradnl"/>
        </w:rPr>
        <w:t>) y el control de calidad (ISSAI 40).</w:t>
      </w:r>
    </w:p>
    <w:p w:rsidR="00656B82" w:rsidRPr="00600ED9" w:rsidRDefault="00656B82" w:rsidP="00FB1954">
      <w:pPr>
        <w:pStyle w:val="Normaltabletext"/>
        <w:spacing w:after="0"/>
        <w:ind w:left="720"/>
        <w:rPr>
          <w:sz w:val="22"/>
          <w:szCs w:val="22"/>
          <w:lang w:val="es-ES_tradnl"/>
        </w:rPr>
      </w:pPr>
    </w:p>
    <w:p w:rsidR="0053252D" w:rsidRPr="00600ED9" w:rsidRDefault="001D307C" w:rsidP="00FB1954">
      <w:pPr>
        <w:spacing w:after="0" w:line="240" w:lineRule="auto"/>
        <w:ind w:left="720"/>
        <w:jc w:val="both"/>
        <w:rPr>
          <w:bCs/>
        </w:rPr>
      </w:pPr>
      <w:r w:rsidRPr="00600ED9">
        <w:rPr>
          <w:bCs/>
        </w:rPr>
        <w:t>Los equipos de auditoría</w:t>
      </w:r>
      <w:r w:rsidR="0053252D" w:rsidRPr="00600ED9">
        <w:rPr>
          <w:bCs/>
        </w:rPr>
        <w:t xml:space="preserve">, cuenta con experiencia y conocimiento pero requieren fortalecer sus capacidades </w:t>
      </w:r>
      <w:r w:rsidRPr="00600ED9">
        <w:rPr>
          <w:bCs/>
        </w:rPr>
        <w:t>para el eje</w:t>
      </w:r>
      <w:r w:rsidR="00631571" w:rsidRPr="00600ED9">
        <w:rPr>
          <w:bCs/>
        </w:rPr>
        <w:t>r</w:t>
      </w:r>
      <w:r w:rsidRPr="00600ED9">
        <w:rPr>
          <w:bCs/>
        </w:rPr>
        <w:t>c</w:t>
      </w:r>
      <w:r w:rsidR="00631571" w:rsidRPr="00600ED9">
        <w:rPr>
          <w:bCs/>
        </w:rPr>
        <w:t>icio de la Auditoría de Cumplimiento</w:t>
      </w:r>
      <w:r w:rsidR="0053252D" w:rsidRPr="00600ED9">
        <w:rPr>
          <w:bCs/>
        </w:rPr>
        <w:t xml:space="preserve">.    </w:t>
      </w:r>
    </w:p>
    <w:p w:rsidR="00656B82" w:rsidRPr="00600ED9" w:rsidRDefault="00656B82" w:rsidP="00FB1954">
      <w:pPr>
        <w:spacing w:after="0" w:line="240" w:lineRule="auto"/>
        <w:ind w:left="720"/>
        <w:jc w:val="both"/>
        <w:rPr>
          <w:color w:val="000000"/>
        </w:rPr>
      </w:pPr>
    </w:p>
    <w:p w:rsidR="00F84D85" w:rsidRPr="00600ED9" w:rsidRDefault="00A73AC5" w:rsidP="00FB1954">
      <w:pPr>
        <w:pStyle w:val="ListParagraph"/>
        <w:spacing w:after="0" w:line="240" w:lineRule="auto"/>
        <w:jc w:val="both"/>
        <w:rPr>
          <w:bCs/>
        </w:rPr>
      </w:pPr>
      <w:r w:rsidRPr="00600ED9">
        <w:rPr>
          <w:bCs/>
        </w:rPr>
        <w:t>Las conclusiones de las d</w:t>
      </w:r>
      <w:r w:rsidR="00631571" w:rsidRPr="00600ED9">
        <w:rPr>
          <w:bCs/>
        </w:rPr>
        <w:t xml:space="preserve">imensiones y criterios evaluados en el EFS-11 Fundamentos de la Auditoría </w:t>
      </w:r>
      <w:r w:rsidR="00631571" w:rsidRPr="00600ED9">
        <w:rPr>
          <w:rFonts w:cs="Arial"/>
        </w:rPr>
        <w:t xml:space="preserve">Financiera, </w:t>
      </w:r>
      <w:r w:rsidR="00631571" w:rsidRPr="00600ED9">
        <w:rPr>
          <w:bCs/>
        </w:rPr>
        <w:t xml:space="preserve">también son aplicables a </w:t>
      </w:r>
      <w:r w:rsidR="00631571" w:rsidRPr="00600ED9">
        <w:rPr>
          <w:rFonts w:cs="Arial"/>
        </w:rPr>
        <w:t xml:space="preserve">la </w:t>
      </w:r>
      <w:r w:rsidR="00631571" w:rsidRPr="00600ED9">
        <w:rPr>
          <w:bCs/>
        </w:rPr>
        <w:t>Auditoría</w:t>
      </w:r>
      <w:r w:rsidR="00631571" w:rsidRPr="00600ED9">
        <w:t xml:space="preserve"> de Cumplimiento</w:t>
      </w:r>
      <w:r w:rsidR="00631571" w:rsidRPr="00600ED9">
        <w:rPr>
          <w:bCs/>
        </w:rPr>
        <w:t xml:space="preserve">. </w:t>
      </w:r>
    </w:p>
    <w:p w:rsidR="00AB1B3F" w:rsidRPr="00600ED9" w:rsidRDefault="00AB1B3F" w:rsidP="00FB1954">
      <w:pPr>
        <w:pStyle w:val="ListParagraph"/>
        <w:spacing w:after="0" w:line="240" w:lineRule="auto"/>
        <w:jc w:val="both"/>
        <w:rPr>
          <w:bCs/>
          <w:sz w:val="28"/>
        </w:rPr>
      </w:pPr>
    </w:p>
    <w:tbl>
      <w:tblPr>
        <w:tblStyle w:val="TableGrid"/>
        <w:tblW w:w="9356" w:type="dxa"/>
        <w:tblInd w:w="817" w:type="dxa"/>
        <w:tblLook w:val="04A0" w:firstRow="1" w:lastRow="0" w:firstColumn="1" w:lastColumn="0" w:noHBand="0" w:noVBand="1"/>
      </w:tblPr>
      <w:tblGrid>
        <w:gridCol w:w="9356"/>
      </w:tblGrid>
      <w:tr w:rsidR="005F4C06" w:rsidRPr="00600ED9" w:rsidTr="00041BE1">
        <w:trPr>
          <w:tblHeader/>
        </w:trPr>
        <w:tc>
          <w:tcPr>
            <w:tcW w:w="9356" w:type="dxa"/>
            <w:shd w:val="clear" w:color="auto" w:fill="365F91" w:themeFill="accent1" w:themeFillShade="BF"/>
          </w:tcPr>
          <w:p w:rsidR="005F4C06" w:rsidRPr="00600ED9" w:rsidRDefault="005F4C06" w:rsidP="00FB1954">
            <w:pPr>
              <w:pStyle w:val="NoSpacing"/>
              <w:rPr>
                <w:b/>
                <w:color w:val="FFFFFF" w:themeColor="background1"/>
                <w:sz w:val="20"/>
                <w:szCs w:val="20"/>
                <w:lang w:val="es-ES_tradnl"/>
              </w:rPr>
            </w:pPr>
            <w:r w:rsidRPr="00600ED9">
              <w:rPr>
                <w:b/>
                <w:color w:val="FFFFFF" w:themeColor="background1"/>
                <w:sz w:val="20"/>
                <w:szCs w:val="20"/>
                <w:lang w:val="es-ES_tradnl"/>
              </w:rPr>
              <w:t xml:space="preserve">Principales observaciones y conclusiones </w:t>
            </w:r>
          </w:p>
        </w:tc>
      </w:tr>
      <w:tr w:rsidR="005F4C06" w:rsidRPr="00600ED9" w:rsidTr="00041BE1">
        <w:tc>
          <w:tcPr>
            <w:tcW w:w="9356" w:type="dxa"/>
            <w:shd w:val="clear" w:color="auto" w:fill="D9D9D9" w:themeFill="background1" w:themeFillShade="D9"/>
          </w:tcPr>
          <w:p w:rsidR="005F4C06" w:rsidRPr="00600ED9" w:rsidRDefault="005F4C06" w:rsidP="00FB1954">
            <w:pPr>
              <w:pStyle w:val="NoSpacing"/>
              <w:rPr>
                <w:b/>
                <w:i/>
                <w:sz w:val="20"/>
                <w:szCs w:val="20"/>
                <w:lang w:val="es-ES_tradnl"/>
              </w:rPr>
            </w:pPr>
            <w:r w:rsidRPr="00600ED9">
              <w:rPr>
                <w:b/>
                <w:i/>
                <w:sz w:val="20"/>
                <w:szCs w:val="20"/>
                <w:lang w:val="es-ES_tradnl"/>
              </w:rPr>
              <w:t>Dimensión (i) Normas y directrices de la auditoría de cumplimiento</w:t>
            </w:r>
          </w:p>
        </w:tc>
      </w:tr>
      <w:tr w:rsidR="005F4C06" w:rsidRPr="00600ED9" w:rsidTr="00041BE1">
        <w:tc>
          <w:tcPr>
            <w:tcW w:w="9356" w:type="dxa"/>
            <w:shd w:val="clear" w:color="auto" w:fill="D9D9D9" w:themeFill="background1" w:themeFillShade="D9"/>
          </w:tcPr>
          <w:p w:rsidR="005F4C06" w:rsidRPr="00600ED9" w:rsidRDefault="00A73AC5" w:rsidP="00FB1954">
            <w:pPr>
              <w:pStyle w:val="NoSpacing"/>
              <w:rPr>
                <w:i/>
                <w:color w:val="000000"/>
                <w:sz w:val="20"/>
                <w:szCs w:val="20"/>
                <w:lang w:val="es-ES_tradnl"/>
              </w:rPr>
            </w:pPr>
            <w:r w:rsidRPr="00600ED9">
              <w:rPr>
                <w:b/>
                <w:bCs/>
                <w:i/>
                <w:sz w:val="20"/>
                <w:szCs w:val="20"/>
                <w:lang w:val="es-ES_tradnl"/>
              </w:rPr>
              <w:t>Puntuación</w:t>
            </w:r>
            <w:r w:rsidR="005F4C06" w:rsidRPr="00600ED9">
              <w:rPr>
                <w:b/>
                <w:bCs/>
                <w:i/>
                <w:sz w:val="20"/>
                <w:szCs w:val="20"/>
                <w:lang w:val="es-ES_tradnl"/>
              </w:rPr>
              <w:t xml:space="preserve"> 0</w:t>
            </w:r>
            <w:r w:rsidRPr="00600ED9">
              <w:rPr>
                <w:bCs/>
                <w:i/>
                <w:sz w:val="20"/>
                <w:szCs w:val="20"/>
                <w:lang w:val="es-ES_tradnl"/>
              </w:rPr>
              <w:t>:</w:t>
            </w:r>
            <w:r w:rsidR="005F4C06" w:rsidRPr="00600ED9">
              <w:rPr>
                <w:bCs/>
                <w:i/>
                <w:sz w:val="20"/>
                <w:szCs w:val="20"/>
                <w:lang w:val="es-ES_tradnl"/>
              </w:rPr>
              <w:t xml:space="preserve"> Ni el criterio (a) ni el (b) señalados están implementados.</w:t>
            </w:r>
          </w:p>
        </w:tc>
      </w:tr>
      <w:tr w:rsidR="005F4C06" w:rsidRPr="00600ED9" w:rsidTr="00041BE1">
        <w:tc>
          <w:tcPr>
            <w:tcW w:w="9356" w:type="dxa"/>
          </w:tcPr>
          <w:p w:rsidR="005F4C06" w:rsidRPr="00600ED9" w:rsidRDefault="005F4C06" w:rsidP="00FB1954">
            <w:pPr>
              <w:pStyle w:val="Normaltabletext"/>
              <w:spacing w:after="0"/>
              <w:rPr>
                <w:color w:val="000000"/>
                <w:lang w:val="es-ES_tradnl"/>
              </w:rPr>
            </w:pPr>
            <w:r w:rsidRPr="00600ED9">
              <w:rPr>
                <w:color w:val="000000"/>
                <w:lang w:val="es-ES_tradnl"/>
              </w:rPr>
              <w:t xml:space="preserve">Criterios (a), (b) y (c) no cumplen. </w:t>
            </w:r>
          </w:p>
          <w:p w:rsidR="00656B82" w:rsidRPr="00600ED9" w:rsidRDefault="00656B82" w:rsidP="00FB1954">
            <w:pPr>
              <w:pStyle w:val="Normaltabletext"/>
              <w:spacing w:after="0"/>
              <w:rPr>
                <w:color w:val="000000"/>
                <w:lang w:val="es-ES_tradnl"/>
              </w:rPr>
            </w:pPr>
          </w:p>
          <w:p w:rsidR="005F4C06" w:rsidRPr="00600ED9" w:rsidRDefault="005F4C06" w:rsidP="00FB1954">
            <w:pPr>
              <w:jc w:val="both"/>
              <w:rPr>
                <w:rFonts w:eastAsia="Times New Roman"/>
                <w:color w:val="000000"/>
                <w:sz w:val="20"/>
                <w:szCs w:val="20"/>
                <w:lang w:eastAsia="zh-TW"/>
              </w:rPr>
            </w:pPr>
            <w:r w:rsidRPr="00600ED9">
              <w:rPr>
                <w:rFonts w:eastAsia="Times New Roman"/>
                <w:color w:val="000000"/>
                <w:sz w:val="20"/>
                <w:szCs w:val="20"/>
                <w:lang w:eastAsia="zh-TW"/>
              </w:rPr>
              <w:t xml:space="preserve">A pesar que la CGRC hace referencia en su Guía de Auditoría a los procedimientos de auditoría relacionados a las auditorías de cumplimiento, en función a las ISSAI 400 </w:t>
            </w:r>
            <w:r w:rsidR="005D1E93" w:rsidRPr="00600ED9">
              <w:rPr>
                <w:rFonts w:eastAsia="Times New Roman"/>
                <w:color w:val="000000"/>
                <w:sz w:val="20"/>
                <w:szCs w:val="20"/>
                <w:lang w:eastAsia="zh-TW"/>
              </w:rPr>
              <w:t>e ISSAI 4100 y</w:t>
            </w:r>
            <w:r w:rsidRPr="00600ED9">
              <w:rPr>
                <w:rFonts w:eastAsia="Times New Roman"/>
                <w:color w:val="000000"/>
                <w:sz w:val="20"/>
                <w:szCs w:val="20"/>
                <w:lang w:eastAsia="zh-TW"/>
              </w:rPr>
              <w:t xml:space="preserve"> 4200, e</w:t>
            </w:r>
            <w:r w:rsidR="005D1E93" w:rsidRPr="00600ED9">
              <w:rPr>
                <w:rFonts w:eastAsia="Times New Roman"/>
                <w:color w:val="000000"/>
                <w:sz w:val="20"/>
                <w:szCs w:val="20"/>
                <w:lang w:eastAsia="zh-TW"/>
              </w:rPr>
              <w:t xml:space="preserve">n la práctica no se aplican los requerimientos mínimos establecidos en los estándares, que permitan confirmar la adopción consistente de las mismas.  </w:t>
            </w:r>
            <w:r w:rsidRPr="00600ED9">
              <w:rPr>
                <w:rFonts w:eastAsia="Times New Roman"/>
                <w:color w:val="000000"/>
                <w:sz w:val="20"/>
                <w:szCs w:val="20"/>
                <w:lang w:eastAsia="zh-TW"/>
              </w:rPr>
              <w:t xml:space="preserve"> </w:t>
            </w:r>
          </w:p>
          <w:p w:rsidR="00656B82" w:rsidRPr="00600ED9" w:rsidRDefault="00656B82" w:rsidP="00FB1954">
            <w:pPr>
              <w:jc w:val="both"/>
              <w:rPr>
                <w:rFonts w:eastAsia="Times New Roman"/>
                <w:color w:val="000000"/>
                <w:sz w:val="20"/>
                <w:szCs w:val="20"/>
                <w:lang w:eastAsia="zh-TW"/>
              </w:rPr>
            </w:pPr>
          </w:p>
          <w:p w:rsidR="005F4C06" w:rsidRPr="00600ED9" w:rsidRDefault="00E32CD3" w:rsidP="00FB1954">
            <w:pPr>
              <w:jc w:val="both"/>
              <w:rPr>
                <w:rFonts w:eastAsia="Times New Roman"/>
                <w:color w:val="000000"/>
                <w:sz w:val="20"/>
                <w:szCs w:val="20"/>
                <w:lang w:eastAsia="zh-TW"/>
              </w:rPr>
            </w:pPr>
            <w:r w:rsidRPr="00600ED9">
              <w:rPr>
                <w:rFonts w:eastAsia="Times New Roman"/>
                <w:color w:val="000000"/>
                <w:sz w:val="20"/>
                <w:szCs w:val="20"/>
                <w:lang w:eastAsia="zh-TW"/>
              </w:rPr>
              <w:t>L</w:t>
            </w:r>
            <w:r w:rsidR="005F4C06" w:rsidRPr="00600ED9">
              <w:rPr>
                <w:rFonts w:eastAsia="Times New Roman"/>
                <w:color w:val="000000"/>
                <w:sz w:val="20"/>
                <w:szCs w:val="20"/>
                <w:lang w:eastAsia="zh-TW"/>
              </w:rPr>
              <w:t xml:space="preserve">a CGRC </w:t>
            </w:r>
            <w:r w:rsidRPr="00600ED9">
              <w:rPr>
                <w:rFonts w:eastAsia="Times New Roman"/>
                <w:color w:val="000000"/>
                <w:sz w:val="20"/>
                <w:szCs w:val="20"/>
                <w:lang w:eastAsia="zh-TW"/>
              </w:rPr>
              <w:t xml:space="preserve">considera requerimientos </w:t>
            </w:r>
            <w:r w:rsidR="005F4C06" w:rsidRPr="00600ED9">
              <w:rPr>
                <w:rFonts w:eastAsia="Times New Roman"/>
                <w:color w:val="000000"/>
                <w:sz w:val="20"/>
                <w:szCs w:val="20"/>
                <w:lang w:eastAsia="zh-TW"/>
              </w:rPr>
              <w:t>a lo largo del todo el proceso de auditoría</w:t>
            </w:r>
            <w:r w:rsidRPr="00600ED9">
              <w:rPr>
                <w:rFonts w:eastAsia="Times New Roman"/>
                <w:color w:val="000000"/>
                <w:sz w:val="20"/>
                <w:szCs w:val="20"/>
                <w:lang w:eastAsia="zh-TW"/>
              </w:rPr>
              <w:t xml:space="preserve"> para determinar los riesgos</w:t>
            </w:r>
            <w:r w:rsidR="005F4C06" w:rsidRPr="00600ED9">
              <w:rPr>
                <w:rFonts w:eastAsia="Times New Roman"/>
                <w:color w:val="000000"/>
                <w:sz w:val="20"/>
                <w:szCs w:val="20"/>
                <w:lang w:eastAsia="zh-TW"/>
              </w:rPr>
              <w:t xml:space="preserve">, </w:t>
            </w:r>
            <w:r w:rsidRPr="00600ED9">
              <w:rPr>
                <w:rFonts w:eastAsia="Times New Roman"/>
                <w:color w:val="000000"/>
                <w:sz w:val="20"/>
                <w:szCs w:val="20"/>
                <w:lang w:eastAsia="zh-TW"/>
              </w:rPr>
              <w:t xml:space="preserve">que </w:t>
            </w:r>
            <w:r w:rsidR="005F4C06" w:rsidRPr="00600ED9">
              <w:rPr>
                <w:rFonts w:eastAsia="Times New Roman"/>
                <w:color w:val="000000"/>
                <w:sz w:val="20"/>
                <w:szCs w:val="20"/>
                <w:lang w:eastAsia="zh-TW"/>
              </w:rPr>
              <w:t>incluye</w:t>
            </w:r>
            <w:r w:rsidRPr="00600ED9">
              <w:rPr>
                <w:rFonts w:eastAsia="Times New Roman"/>
                <w:color w:val="000000"/>
                <w:sz w:val="20"/>
                <w:szCs w:val="20"/>
                <w:lang w:eastAsia="zh-TW"/>
              </w:rPr>
              <w:t>n</w:t>
            </w:r>
            <w:r w:rsidR="005F4C06" w:rsidRPr="00600ED9">
              <w:rPr>
                <w:rFonts w:eastAsia="Times New Roman"/>
                <w:color w:val="000000"/>
                <w:sz w:val="20"/>
                <w:szCs w:val="20"/>
                <w:lang w:eastAsia="zh-TW"/>
              </w:rPr>
              <w:t xml:space="preserve"> riesgos inherentes, controlables y de detección. También identifica el alcance y criterios pertinentes de la auditoría y realizan una evaluación previa durante la etapa de planificación, para comprender las regulaciones que afectan a la entidad auditada.</w:t>
            </w:r>
            <w:r w:rsidR="00E34E41" w:rsidRPr="00600ED9">
              <w:rPr>
                <w:rFonts w:eastAsia="Times New Roman"/>
                <w:color w:val="000000"/>
                <w:sz w:val="20"/>
                <w:szCs w:val="20"/>
                <w:lang w:eastAsia="zh-TW"/>
              </w:rPr>
              <w:t xml:space="preserve">  </w:t>
            </w:r>
            <w:r w:rsidRPr="00600ED9">
              <w:rPr>
                <w:rFonts w:eastAsia="Times New Roman"/>
                <w:color w:val="000000"/>
                <w:sz w:val="20"/>
                <w:szCs w:val="20"/>
                <w:lang w:eastAsia="zh-TW"/>
              </w:rPr>
              <w:t xml:space="preserve">La </w:t>
            </w:r>
            <w:r w:rsidR="005F4C06" w:rsidRPr="00600ED9">
              <w:rPr>
                <w:rFonts w:eastAsia="Times New Roman"/>
                <w:color w:val="000000"/>
                <w:sz w:val="20"/>
                <w:szCs w:val="20"/>
                <w:lang w:eastAsia="zh-TW"/>
              </w:rPr>
              <w:t xml:space="preserve">CGRC no </w:t>
            </w:r>
            <w:r w:rsidRPr="00600ED9">
              <w:rPr>
                <w:rFonts w:eastAsia="Times New Roman"/>
                <w:color w:val="000000"/>
                <w:sz w:val="20"/>
                <w:szCs w:val="20"/>
                <w:lang w:eastAsia="zh-TW"/>
              </w:rPr>
              <w:t xml:space="preserve">dispone de requerimientos que </w:t>
            </w:r>
            <w:r w:rsidR="00810566" w:rsidRPr="00600ED9">
              <w:rPr>
                <w:rFonts w:eastAsia="Times New Roman"/>
                <w:color w:val="000000"/>
                <w:sz w:val="20"/>
                <w:szCs w:val="20"/>
                <w:lang w:eastAsia="zh-TW"/>
              </w:rPr>
              <w:t>establezcan</w:t>
            </w:r>
            <w:r w:rsidRPr="00600ED9">
              <w:rPr>
                <w:rFonts w:eastAsia="Times New Roman"/>
                <w:color w:val="000000"/>
                <w:sz w:val="20"/>
                <w:szCs w:val="20"/>
                <w:lang w:eastAsia="zh-TW"/>
              </w:rPr>
              <w:t xml:space="preserve">: </w:t>
            </w:r>
          </w:p>
          <w:p w:rsidR="00656B82" w:rsidRPr="00600ED9" w:rsidRDefault="00656B82" w:rsidP="00FB1954">
            <w:pPr>
              <w:jc w:val="both"/>
              <w:rPr>
                <w:rFonts w:eastAsia="Times New Roman"/>
                <w:color w:val="000000"/>
                <w:sz w:val="20"/>
                <w:szCs w:val="20"/>
                <w:lang w:eastAsia="zh-TW"/>
              </w:rPr>
            </w:pPr>
          </w:p>
          <w:p w:rsidR="00875433" w:rsidRPr="00600ED9" w:rsidRDefault="00875433" w:rsidP="00233205">
            <w:pPr>
              <w:pStyle w:val="ListParagraph"/>
              <w:numPr>
                <w:ilvl w:val="0"/>
                <w:numId w:val="27"/>
              </w:numPr>
              <w:jc w:val="both"/>
              <w:rPr>
                <w:sz w:val="20"/>
                <w:szCs w:val="20"/>
              </w:rPr>
            </w:pPr>
            <w:r w:rsidRPr="00600ED9">
              <w:rPr>
                <w:sz w:val="20"/>
                <w:szCs w:val="20"/>
              </w:rPr>
              <w:t xml:space="preserve">La identificación de los elementos relevantes de la auditoría </w:t>
            </w:r>
          </w:p>
          <w:p w:rsidR="00810566" w:rsidRPr="00600ED9" w:rsidRDefault="00810566" w:rsidP="00233205">
            <w:pPr>
              <w:pStyle w:val="ListParagraph"/>
              <w:numPr>
                <w:ilvl w:val="0"/>
                <w:numId w:val="27"/>
              </w:numPr>
              <w:jc w:val="both"/>
              <w:rPr>
                <w:sz w:val="20"/>
                <w:szCs w:val="20"/>
              </w:rPr>
            </w:pPr>
            <w:r w:rsidRPr="00600ED9">
              <w:rPr>
                <w:sz w:val="20"/>
                <w:szCs w:val="20"/>
              </w:rPr>
              <w:t>La consideración de la materialidad (valor, naturaleza y contexto)</w:t>
            </w:r>
          </w:p>
          <w:p w:rsidR="005F4C06" w:rsidRPr="00600ED9" w:rsidRDefault="00E32CD3" w:rsidP="00233205">
            <w:pPr>
              <w:pStyle w:val="ListParagraph"/>
              <w:numPr>
                <w:ilvl w:val="0"/>
                <w:numId w:val="27"/>
              </w:numPr>
              <w:jc w:val="both"/>
              <w:rPr>
                <w:sz w:val="20"/>
                <w:szCs w:val="20"/>
              </w:rPr>
            </w:pPr>
            <w:r w:rsidRPr="00600ED9">
              <w:rPr>
                <w:sz w:val="20"/>
                <w:szCs w:val="20"/>
              </w:rPr>
              <w:t>La identificación</w:t>
            </w:r>
            <w:r w:rsidR="005F4C06" w:rsidRPr="00600ED9">
              <w:rPr>
                <w:sz w:val="20"/>
                <w:szCs w:val="20"/>
              </w:rPr>
              <w:t xml:space="preserve"> </w:t>
            </w:r>
            <w:r w:rsidR="00A73AC5" w:rsidRPr="00600ED9">
              <w:rPr>
                <w:sz w:val="20"/>
                <w:szCs w:val="20"/>
              </w:rPr>
              <w:t>de</w:t>
            </w:r>
            <w:r w:rsidR="005F4C06" w:rsidRPr="00600ED9">
              <w:rPr>
                <w:sz w:val="20"/>
                <w:szCs w:val="20"/>
              </w:rPr>
              <w:t xml:space="preserve"> riesgos  de errores significativos y temas relevantes a ser tomados en cuenta para llevar a cabo la auditoría de cumplimiento</w:t>
            </w:r>
          </w:p>
          <w:p w:rsidR="005F4C06" w:rsidRPr="00600ED9" w:rsidRDefault="00810566" w:rsidP="00233205">
            <w:pPr>
              <w:pStyle w:val="ListParagraph"/>
              <w:numPr>
                <w:ilvl w:val="0"/>
                <w:numId w:val="27"/>
              </w:numPr>
              <w:jc w:val="both"/>
              <w:rPr>
                <w:sz w:val="20"/>
                <w:szCs w:val="20"/>
              </w:rPr>
            </w:pPr>
            <w:r w:rsidRPr="00600ED9">
              <w:rPr>
                <w:sz w:val="20"/>
                <w:szCs w:val="20"/>
              </w:rPr>
              <w:t>L</w:t>
            </w:r>
            <w:r w:rsidR="005F4C06" w:rsidRPr="00600ED9">
              <w:rPr>
                <w:sz w:val="20"/>
                <w:szCs w:val="20"/>
              </w:rPr>
              <w:t xml:space="preserve">os procedimientos y la documentación mínima </w:t>
            </w:r>
            <w:r w:rsidR="0044592C" w:rsidRPr="00600ED9">
              <w:rPr>
                <w:sz w:val="20"/>
                <w:szCs w:val="20"/>
              </w:rPr>
              <w:t xml:space="preserve">requerida como </w:t>
            </w:r>
            <w:r w:rsidR="00875433" w:rsidRPr="00600ED9">
              <w:rPr>
                <w:sz w:val="20"/>
                <w:szCs w:val="20"/>
              </w:rPr>
              <w:t>respaldo de las conclusiones</w:t>
            </w:r>
          </w:p>
          <w:p w:rsidR="005F4C06" w:rsidRPr="00600ED9" w:rsidRDefault="00810566" w:rsidP="00233205">
            <w:pPr>
              <w:pStyle w:val="ListParagraph"/>
              <w:numPr>
                <w:ilvl w:val="0"/>
                <w:numId w:val="27"/>
              </w:numPr>
              <w:jc w:val="both"/>
              <w:rPr>
                <w:sz w:val="20"/>
                <w:szCs w:val="20"/>
              </w:rPr>
            </w:pPr>
            <w:r w:rsidRPr="00600ED9">
              <w:rPr>
                <w:sz w:val="20"/>
                <w:szCs w:val="20"/>
              </w:rPr>
              <w:t>Los</w:t>
            </w:r>
            <w:r w:rsidR="005F4C06" w:rsidRPr="00600ED9">
              <w:rPr>
                <w:sz w:val="20"/>
                <w:szCs w:val="20"/>
              </w:rPr>
              <w:t xml:space="preserve"> procedimientos </w:t>
            </w:r>
            <w:r w:rsidRPr="00600ED9">
              <w:rPr>
                <w:sz w:val="20"/>
                <w:szCs w:val="20"/>
              </w:rPr>
              <w:t xml:space="preserve">que </w:t>
            </w:r>
            <w:r w:rsidR="005F4C06" w:rsidRPr="00600ED9">
              <w:rPr>
                <w:sz w:val="20"/>
                <w:szCs w:val="20"/>
              </w:rPr>
              <w:t xml:space="preserve">debe llevar a cabo el auditor para comprender el entorno de control interno </w:t>
            </w:r>
          </w:p>
          <w:p w:rsidR="005F4C06" w:rsidRPr="00600ED9" w:rsidRDefault="005F4C06" w:rsidP="00233205">
            <w:pPr>
              <w:pStyle w:val="ListParagraph"/>
              <w:numPr>
                <w:ilvl w:val="0"/>
                <w:numId w:val="27"/>
              </w:numPr>
              <w:jc w:val="both"/>
              <w:rPr>
                <w:rFonts w:cstheme="majorBidi"/>
                <w:b/>
                <w:bCs/>
                <w:i/>
                <w:iCs/>
                <w:color w:val="404040" w:themeColor="text1" w:themeTint="BF"/>
                <w:sz w:val="20"/>
                <w:szCs w:val="20"/>
              </w:rPr>
            </w:pPr>
            <w:r w:rsidRPr="00600ED9">
              <w:rPr>
                <w:sz w:val="20"/>
                <w:szCs w:val="20"/>
              </w:rPr>
              <w:lastRenderedPageBreak/>
              <w:t>L</w:t>
            </w:r>
            <w:r w:rsidR="00810566" w:rsidRPr="00600ED9">
              <w:rPr>
                <w:sz w:val="20"/>
                <w:szCs w:val="20"/>
              </w:rPr>
              <w:t>a consideración d</w:t>
            </w:r>
            <w:r w:rsidRPr="00600ED9">
              <w:rPr>
                <w:sz w:val="20"/>
                <w:szCs w:val="20"/>
              </w:rPr>
              <w:t>el riesgo de fraude</w:t>
            </w:r>
          </w:p>
          <w:p w:rsidR="005F4C06" w:rsidRPr="00600ED9" w:rsidRDefault="00875433" w:rsidP="00233205">
            <w:pPr>
              <w:pStyle w:val="ListParagraph"/>
              <w:numPr>
                <w:ilvl w:val="0"/>
                <w:numId w:val="27"/>
              </w:numPr>
              <w:jc w:val="both"/>
              <w:rPr>
                <w:sz w:val="20"/>
                <w:szCs w:val="20"/>
              </w:rPr>
            </w:pPr>
            <w:r w:rsidRPr="00600ED9">
              <w:rPr>
                <w:sz w:val="20"/>
                <w:szCs w:val="20"/>
              </w:rPr>
              <w:t>El cumplimiento de</w:t>
            </w:r>
            <w:r w:rsidR="005F4C06" w:rsidRPr="00600ED9">
              <w:rPr>
                <w:sz w:val="20"/>
                <w:szCs w:val="20"/>
              </w:rPr>
              <w:t xml:space="preserve"> los principios de completitud, objetividad, oportunidad y contradicción</w:t>
            </w:r>
            <w:r w:rsidRPr="00600ED9">
              <w:rPr>
                <w:sz w:val="20"/>
                <w:szCs w:val="20"/>
              </w:rPr>
              <w:t xml:space="preserve"> de los informes</w:t>
            </w:r>
            <w:r w:rsidR="005F4C06" w:rsidRPr="00600ED9">
              <w:rPr>
                <w:sz w:val="20"/>
                <w:szCs w:val="20"/>
              </w:rPr>
              <w:t>.</w:t>
            </w:r>
          </w:p>
          <w:p w:rsidR="00656B82" w:rsidRPr="00600ED9" w:rsidRDefault="00656B82" w:rsidP="00FB1954">
            <w:pPr>
              <w:jc w:val="both"/>
              <w:rPr>
                <w:rFonts w:eastAsia="Times New Roman"/>
                <w:color w:val="000000"/>
                <w:sz w:val="20"/>
                <w:szCs w:val="20"/>
                <w:lang w:eastAsia="zh-TW"/>
              </w:rPr>
            </w:pPr>
          </w:p>
          <w:p w:rsidR="005F4C06" w:rsidRPr="00600ED9" w:rsidRDefault="005D5D32" w:rsidP="00FB1954">
            <w:pPr>
              <w:jc w:val="both"/>
              <w:rPr>
                <w:rFonts w:eastAsia="Times New Roman"/>
                <w:color w:val="000000"/>
                <w:sz w:val="20"/>
                <w:szCs w:val="20"/>
                <w:lang w:eastAsia="zh-TW"/>
              </w:rPr>
            </w:pPr>
            <w:r w:rsidRPr="00600ED9">
              <w:rPr>
                <w:rFonts w:eastAsia="Times New Roman"/>
                <w:color w:val="000000"/>
                <w:sz w:val="20"/>
                <w:szCs w:val="20"/>
                <w:lang w:eastAsia="zh-TW"/>
              </w:rPr>
              <w:t xml:space="preserve">En relación con las políticas y procedimientos que la CGRC ha elegido para implementar las  normas de auditoría de cumplimiento, </w:t>
            </w:r>
            <w:r w:rsidR="00696EDC" w:rsidRPr="00600ED9">
              <w:rPr>
                <w:rFonts w:eastAsia="Times New Roman"/>
                <w:color w:val="000000"/>
                <w:sz w:val="20"/>
                <w:szCs w:val="20"/>
                <w:lang w:eastAsia="zh-TW"/>
              </w:rPr>
              <w:t xml:space="preserve"> y el apoyo a los equipos de auditoría a través de la disponibilidad de </w:t>
            </w:r>
            <w:r w:rsidR="00E404BC" w:rsidRPr="00600ED9">
              <w:rPr>
                <w:rFonts w:eastAsia="Times New Roman"/>
                <w:color w:val="000000"/>
                <w:sz w:val="20"/>
                <w:szCs w:val="20"/>
                <w:lang w:eastAsia="zh-TW"/>
              </w:rPr>
              <w:t>guías</w:t>
            </w:r>
            <w:r w:rsidR="00696EDC" w:rsidRPr="00600ED9">
              <w:rPr>
                <w:rFonts w:eastAsia="Times New Roman"/>
                <w:color w:val="000000"/>
                <w:sz w:val="20"/>
                <w:szCs w:val="20"/>
                <w:lang w:eastAsia="zh-TW"/>
              </w:rPr>
              <w:t>,  capacitación, acceso a expertos y/o fuentes de información externa</w:t>
            </w:r>
            <w:r w:rsidR="0044592C" w:rsidRPr="00600ED9">
              <w:rPr>
                <w:rFonts w:eastAsia="Times New Roman"/>
                <w:color w:val="000000"/>
                <w:sz w:val="20"/>
                <w:szCs w:val="20"/>
                <w:lang w:eastAsia="zh-TW"/>
              </w:rPr>
              <w:t>, se identifican las siguientes debilidades</w:t>
            </w:r>
            <w:r w:rsidR="005F4C06" w:rsidRPr="00600ED9">
              <w:rPr>
                <w:rFonts w:eastAsia="Times New Roman"/>
                <w:color w:val="000000"/>
                <w:sz w:val="20"/>
                <w:szCs w:val="20"/>
                <w:lang w:eastAsia="zh-TW"/>
              </w:rPr>
              <w:t xml:space="preserve">: </w:t>
            </w:r>
          </w:p>
          <w:p w:rsidR="00656B82" w:rsidRPr="00600ED9" w:rsidRDefault="00656B82" w:rsidP="00FB1954">
            <w:pPr>
              <w:jc w:val="both"/>
              <w:rPr>
                <w:rFonts w:eastAsia="Times New Roman"/>
                <w:color w:val="000000"/>
                <w:sz w:val="20"/>
                <w:szCs w:val="20"/>
                <w:lang w:eastAsia="zh-TW"/>
              </w:rPr>
            </w:pPr>
          </w:p>
          <w:p w:rsidR="005F4C06" w:rsidRPr="00600ED9" w:rsidRDefault="0044592C" w:rsidP="00233205">
            <w:pPr>
              <w:pStyle w:val="ListParagraph"/>
              <w:numPr>
                <w:ilvl w:val="0"/>
                <w:numId w:val="28"/>
              </w:numPr>
              <w:jc w:val="both"/>
              <w:rPr>
                <w:rFonts w:eastAsia="Times New Roman"/>
                <w:color w:val="000000"/>
                <w:sz w:val="20"/>
                <w:szCs w:val="20"/>
                <w:lang w:eastAsia="zh-TW"/>
              </w:rPr>
            </w:pPr>
            <w:r w:rsidRPr="00600ED9">
              <w:rPr>
                <w:rFonts w:eastAsia="Times New Roman"/>
                <w:sz w:val="20"/>
                <w:szCs w:val="20"/>
                <w:lang w:eastAsia="es-MX"/>
              </w:rPr>
              <w:t>No se dispone de m</w:t>
            </w:r>
            <w:r w:rsidR="005F4C06" w:rsidRPr="00600ED9">
              <w:rPr>
                <w:rFonts w:eastAsia="Times New Roman"/>
                <w:sz w:val="20"/>
                <w:szCs w:val="20"/>
                <w:lang w:eastAsia="es-MX"/>
              </w:rPr>
              <w:t>étodos para la determinación de la materialidad ni su aplicación</w:t>
            </w:r>
            <w:r w:rsidR="005D5D32" w:rsidRPr="00600ED9">
              <w:rPr>
                <w:rFonts w:eastAsia="Times New Roman"/>
                <w:sz w:val="20"/>
                <w:szCs w:val="20"/>
                <w:lang w:eastAsia="es-MX"/>
              </w:rPr>
              <w:t xml:space="preserve">, la determinación de la materialidad se hace con base en el juicio profesional de cada auditor. </w:t>
            </w:r>
          </w:p>
          <w:p w:rsidR="0044592C" w:rsidRPr="00600ED9" w:rsidRDefault="0044592C" w:rsidP="00233205">
            <w:pPr>
              <w:pStyle w:val="ListParagraph"/>
              <w:numPr>
                <w:ilvl w:val="0"/>
                <w:numId w:val="28"/>
              </w:numPr>
              <w:jc w:val="both"/>
              <w:rPr>
                <w:rFonts w:eastAsia="Times New Roman"/>
                <w:color w:val="000000"/>
                <w:sz w:val="20"/>
                <w:szCs w:val="20"/>
                <w:lang w:eastAsia="zh-TW"/>
              </w:rPr>
            </w:pPr>
            <w:r w:rsidRPr="00600ED9">
              <w:rPr>
                <w:rFonts w:eastAsia="Times New Roman"/>
                <w:sz w:val="20"/>
                <w:szCs w:val="20"/>
                <w:lang w:eastAsia="es-MX"/>
              </w:rPr>
              <w:t>No existen lineamientos que establezcan l</w:t>
            </w:r>
            <w:r w:rsidR="005D5D32" w:rsidRPr="00600ED9">
              <w:rPr>
                <w:rFonts w:eastAsia="Times New Roman"/>
                <w:sz w:val="20"/>
                <w:szCs w:val="20"/>
                <w:lang w:eastAsia="es-MX"/>
              </w:rPr>
              <w:t>a</w:t>
            </w:r>
            <w:r w:rsidR="005F4C06" w:rsidRPr="00600ED9">
              <w:rPr>
                <w:rFonts w:eastAsia="Times New Roman"/>
                <w:sz w:val="20"/>
                <w:szCs w:val="20"/>
                <w:lang w:eastAsia="es-MX"/>
              </w:rPr>
              <w:t xml:space="preserve"> obligatoriedad de que los papeles sean finalizados antes de la emisión del informe final y tampoco </w:t>
            </w:r>
            <w:r w:rsidR="00A73AC5" w:rsidRPr="00600ED9">
              <w:rPr>
                <w:rFonts w:eastAsia="Times New Roman"/>
                <w:sz w:val="20"/>
                <w:szCs w:val="20"/>
                <w:lang w:eastAsia="es-MX"/>
              </w:rPr>
              <w:t xml:space="preserve">se </w:t>
            </w:r>
            <w:r w:rsidR="005F4C06" w:rsidRPr="00600ED9">
              <w:rPr>
                <w:rFonts w:eastAsia="Times New Roman"/>
                <w:sz w:val="20"/>
                <w:szCs w:val="20"/>
                <w:lang w:eastAsia="es-MX"/>
              </w:rPr>
              <w:t xml:space="preserve">indica por cuánto tiempo se deben </w:t>
            </w:r>
            <w:r w:rsidR="005D5D32" w:rsidRPr="00600ED9">
              <w:rPr>
                <w:rFonts w:eastAsia="Times New Roman"/>
                <w:sz w:val="20"/>
                <w:szCs w:val="20"/>
                <w:lang w:eastAsia="es-MX"/>
              </w:rPr>
              <w:t xml:space="preserve">conservar </w:t>
            </w:r>
            <w:r w:rsidR="005F4C06" w:rsidRPr="00600ED9">
              <w:rPr>
                <w:rFonts w:eastAsia="Times New Roman"/>
                <w:sz w:val="20"/>
                <w:szCs w:val="20"/>
                <w:lang w:eastAsia="es-MX"/>
              </w:rPr>
              <w:t>los documentos.</w:t>
            </w:r>
          </w:p>
          <w:p w:rsidR="0044592C" w:rsidRPr="00600ED9" w:rsidRDefault="0044592C" w:rsidP="00233205">
            <w:pPr>
              <w:pStyle w:val="ListParagraph"/>
              <w:numPr>
                <w:ilvl w:val="0"/>
                <w:numId w:val="28"/>
              </w:numPr>
              <w:jc w:val="both"/>
              <w:rPr>
                <w:rFonts w:eastAsia="Times New Roman"/>
                <w:color w:val="000000"/>
                <w:sz w:val="20"/>
                <w:szCs w:val="20"/>
                <w:lang w:eastAsia="zh-TW"/>
              </w:rPr>
            </w:pPr>
            <w:r w:rsidRPr="00600ED9">
              <w:rPr>
                <w:sz w:val="20"/>
                <w:szCs w:val="20"/>
              </w:rPr>
              <w:t xml:space="preserve">No se dispone de lineamientos sobre la </w:t>
            </w:r>
            <w:r w:rsidR="005F4C06" w:rsidRPr="00600ED9">
              <w:rPr>
                <w:sz w:val="20"/>
                <w:szCs w:val="20"/>
              </w:rPr>
              <w:t xml:space="preserve"> manera de “determinar la naturaleza, oportunidad y alcance de los procedimientos de auditoría a ser llevados a cabo” debido  a que dentro de la planeación de las auditorías integrales, no se identifican los riesgos de no cumplimiento y no se documenta los posibles efectos que tendrá sobre la opinión, el no cumplimiento de leyes y regulaciones.</w:t>
            </w:r>
          </w:p>
          <w:p w:rsidR="005F4C06" w:rsidRPr="00600ED9" w:rsidRDefault="005F4C06" w:rsidP="00233205">
            <w:pPr>
              <w:pStyle w:val="ListParagraph"/>
              <w:numPr>
                <w:ilvl w:val="0"/>
                <w:numId w:val="28"/>
              </w:numPr>
              <w:jc w:val="both"/>
              <w:rPr>
                <w:rFonts w:eastAsia="Times New Roman" w:cstheme="majorBidi"/>
                <w:bCs/>
                <w:iCs/>
                <w:color w:val="000000"/>
                <w:sz w:val="20"/>
                <w:szCs w:val="20"/>
                <w:lang w:eastAsia="zh-TW"/>
              </w:rPr>
            </w:pPr>
            <w:r w:rsidRPr="00600ED9">
              <w:rPr>
                <w:sz w:val="20"/>
                <w:szCs w:val="20"/>
              </w:rPr>
              <w:t>El  Plan de Capacitaci</w:t>
            </w:r>
            <w:r w:rsidR="00696EDC" w:rsidRPr="00600ED9">
              <w:rPr>
                <w:sz w:val="20"/>
                <w:szCs w:val="20"/>
              </w:rPr>
              <w:t>ón</w:t>
            </w:r>
            <w:r w:rsidRPr="00600ED9">
              <w:rPr>
                <w:sz w:val="20"/>
                <w:szCs w:val="20"/>
              </w:rPr>
              <w:t xml:space="preserve"> anual no incluyen temas específicos sobre la auditoría de cumplimiento</w:t>
            </w:r>
            <w:r w:rsidRPr="00600ED9">
              <w:rPr>
                <w:rFonts w:eastAsia="Times New Roman"/>
                <w:color w:val="000000"/>
                <w:sz w:val="20"/>
                <w:szCs w:val="20"/>
                <w:lang w:eastAsia="zh-TW"/>
              </w:rPr>
              <w:t>.</w:t>
            </w:r>
          </w:p>
          <w:p w:rsidR="005F4C06" w:rsidRPr="00600ED9" w:rsidRDefault="00696EDC" w:rsidP="00233205">
            <w:pPr>
              <w:pStyle w:val="ListParagraph"/>
              <w:numPr>
                <w:ilvl w:val="0"/>
                <w:numId w:val="28"/>
              </w:numPr>
              <w:jc w:val="both"/>
              <w:rPr>
                <w:sz w:val="20"/>
                <w:szCs w:val="20"/>
              </w:rPr>
            </w:pPr>
            <w:r w:rsidRPr="00600ED9">
              <w:rPr>
                <w:sz w:val="20"/>
                <w:szCs w:val="20"/>
              </w:rPr>
              <w:t>N</w:t>
            </w:r>
            <w:r w:rsidR="005F4C06" w:rsidRPr="00600ED9">
              <w:rPr>
                <w:sz w:val="20"/>
                <w:szCs w:val="20"/>
              </w:rPr>
              <w:t xml:space="preserve">o se </w:t>
            </w:r>
            <w:r w:rsidRPr="00600ED9">
              <w:rPr>
                <w:sz w:val="20"/>
                <w:szCs w:val="20"/>
              </w:rPr>
              <w:t>dispone de</w:t>
            </w:r>
            <w:r w:rsidR="005F4C06" w:rsidRPr="00600ED9">
              <w:rPr>
                <w:sz w:val="20"/>
                <w:szCs w:val="20"/>
              </w:rPr>
              <w:t xml:space="preserve"> procedimientos para determinar los elementos relevantes al nivel de certeza razonable o limitada.</w:t>
            </w:r>
          </w:p>
          <w:p w:rsidR="00656B82" w:rsidRPr="00600ED9" w:rsidRDefault="00656B82" w:rsidP="00656B82">
            <w:pPr>
              <w:pStyle w:val="ListParagraph"/>
              <w:ind w:left="360"/>
              <w:jc w:val="both"/>
              <w:rPr>
                <w:sz w:val="20"/>
                <w:szCs w:val="20"/>
              </w:rPr>
            </w:pPr>
          </w:p>
        </w:tc>
      </w:tr>
      <w:tr w:rsidR="005F4C06" w:rsidRPr="00600ED9" w:rsidTr="00041BE1">
        <w:tc>
          <w:tcPr>
            <w:tcW w:w="9356" w:type="dxa"/>
            <w:shd w:val="clear" w:color="auto" w:fill="D9D9D9" w:themeFill="background1" w:themeFillShade="D9"/>
          </w:tcPr>
          <w:p w:rsidR="005F4C06" w:rsidRPr="00600ED9" w:rsidRDefault="005F4C06" w:rsidP="00FB1954">
            <w:pPr>
              <w:pStyle w:val="NoSpacing"/>
              <w:rPr>
                <w:b/>
                <w:i/>
                <w:sz w:val="20"/>
                <w:lang w:val="es-ES_tradnl"/>
              </w:rPr>
            </w:pPr>
            <w:r w:rsidRPr="00600ED9">
              <w:rPr>
                <w:b/>
                <w:i/>
                <w:sz w:val="20"/>
                <w:lang w:val="es-ES_tradnl"/>
              </w:rPr>
              <w:lastRenderedPageBreak/>
              <w:t>Dimensión (ii) Ética e independencia en la auditoría de cumplimiento</w:t>
            </w:r>
          </w:p>
        </w:tc>
      </w:tr>
      <w:tr w:rsidR="005F4C06" w:rsidRPr="00600ED9" w:rsidTr="00041BE1">
        <w:tc>
          <w:tcPr>
            <w:tcW w:w="9356" w:type="dxa"/>
            <w:shd w:val="clear" w:color="auto" w:fill="D9D9D9" w:themeFill="background1" w:themeFillShade="D9"/>
          </w:tcPr>
          <w:p w:rsidR="005F4C06" w:rsidRPr="00600ED9" w:rsidRDefault="005F4C06" w:rsidP="00FB1954">
            <w:pPr>
              <w:pStyle w:val="NoSpacing"/>
              <w:rPr>
                <w:i/>
                <w:color w:val="000000"/>
                <w:sz w:val="20"/>
                <w:lang w:val="es-ES_tradnl" w:eastAsia="zh-TW"/>
              </w:rPr>
            </w:pPr>
            <w:r w:rsidRPr="00600ED9">
              <w:rPr>
                <w:b/>
                <w:bCs/>
                <w:i/>
                <w:sz w:val="20"/>
                <w:lang w:val="es-ES_tradnl"/>
              </w:rPr>
              <w:t>Puntuaci</w:t>
            </w:r>
            <w:r w:rsidR="00A73AC5" w:rsidRPr="00600ED9">
              <w:rPr>
                <w:b/>
                <w:bCs/>
                <w:i/>
                <w:sz w:val="20"/>
                <w:lang w:val="es-ES_tradnl"/>
              </w:rPr>
              <w:t>ón</w:t>
            </w:r>
            <w:r w:rsidRPr="00600ED9">
              <w:rPr>
                <w:b/>
                <w:bCs/>
                <w:i/>
                <w:sz w:val="20"/>
                <w:lang w:val="es-ES_tradnl"/>
              </w:rPr>
              <w:t xml:space="preserve"> 4</w:t>
            </w:r>
            <w:r w:rsidR="00A73AC5" w:rsidRPr="00600ED9">
              <w:rPr>
                <w:b/>
                <w:bCs/>
                <w:i/>
                <w:sz w:val="20"/>
                <w:lang w:val="es-ES_tradnl"/>
              </w:rPr>
              <w:t>:</w:t>
            </w:r>
            <w:r w:rsidRPr="00600ED9">
              <w:rPr>
                <w:bCs/>
                <w:i/>
                <w:sz w:val="20"/>
                <w:lang w:val="es-ES_tradnl"/>
              </w:rPr>
              <w:t xml:space="preserve"> Están establecidos todos los criterios señalados.</w:t>
            </w:r>
          </w:p>
        </w:tc>
      </w:tr>
      <w:tr w:rsidR="005F4C06" w:rsidRPr="00600ED9" w:rsidTr="00041BE1">
        <w:tc>
          <w:tcPr>
            <w:tcW w:w="9356" w:type="dxa"/>
          </w:tcPr>
          <w:p w:rsidR="005F4C06" w:rsidRPr="00600ED9" w:rsidRDefault="005F4C06" w:rsidP="00FB1954">
            <w:pPr>
              <w:jc w:val="both"/>
              <w:rPr>
                <w:rFonts w:eastAsiaTheme="minorEastAsia"/>
                <w:color w:val="000000"/>
                <w:sz w:val="20"/>
                <w:szCs w:val="20"/>
                <w:lang w:eastAsia="zh-TW"/>
              </w:rPr>
            </w:pPr>
            <w:r w:rsidRPr="00600ED9">
              <w:rPr>
                <w:rFonts w:eastAsiaTheme="minorEastAsia"/>
                <w:color w:val="000000"/>
                <w:sz w:val="20"/>
                <w:szCs w:val="20"/>
                <w:lang w:eastAsia="zh-TW"/>
              </w:rPr>
              <w:t xml:space="preserve">Criterios (a), (b), (c) y (d) cumplen. </w:t>
            </w:r>
          </w:p>
          <w:p w:rsidR="00656B82" w:rsidRPr="00600ED9" w:rsidRDefault="00656B82" w:rsidP="00FB1954">
            <w:pPr>
              <w:jc w:val="both"/>
              <w:rPr>
                <w:rFonts w:eastAsiaTheme="minorEastAsia"/>
                <w:color w:val="000000"/>
                <w:sz w:val="20"/>
                <w:szCs w:val="20"/>
                <w:lang w:eastAsia="zh-TW"/>
              </w:rPr>
            </w:pPr>
          </w:p>
          <w:p w:rsidR="005F4C06" w:rsidRPr="00600ED9" w:rsidRDefault="0097743B" w:rsidP="00FB1954">
            <w:pPr>
              <w:pStyle w:val="Normaltabletext"/>
              <w:spacing w:after="0"/>
              <w:rPr>
                <w:rFonts w:cs="Arial"/>
                <w:lang w:val="es-ES_tradnl"/>
              </w:rPr>
            </w:pPr>
            <w:r w:rsidRPr="00600ED9">
              <w:rPr>
                <w:rFonts w:cs="Arial"/>
                <w:lang w:val="es-ES_tradnl"/>
              </w:rPr>
              <w:t>Aplican las conclusiones y observaciones</w:t>
            </w:r>
            <w:r w:rsidR="005F4C06" w:rsidRPr="00600ED9">
              <w:rPr>
                <w:rFonts w:cs="Arial"/>
                <w:lang w:val="es-ES_tradnl"/>
              </w:rPr>
              <w:t xml:space="preserve"> incluida</w:t>
            </w:r>
            <w:r w:rsidRPr="00600ED9">
              <w:rPr>
                <w:rFonts w:cs="Arial"/>
                <w:lang w:val="es-ES_tradnl"/>
              </w:rPr>
              <w:t>s</w:t>
            </w:r>
            <w:r w:rsidR="005F4C06" w:rsidRPr="00600ED9">
              <w:rPr>
                <w:rFonts w:cs="Arial"/>
                <w:lang w:val="es-ES_tradnl"/>
              </w:rPr>
              <w:t xml:space="preserve"> en el EFS 11, dimensión (ii).</w:t>
            </w:r>
          </w:p>
          <w:p w:rsidR="00E34E41" w:rsidRPr="00600ED9" w:rsidRDefault="00E34E41" w:rsidP="00FB1954">
            <w:pPr>
              <w:pStyle w:val="Normaltabletext"/>
              <w:spacing w:after="0"/>
              <w:rPr>
                <w:lang w:val="es-ES_tradnl"/>
              </w:rPr>
            </w:pPr>
          </w:p>
        </w:tc>
      </w:tr>
      <w:tr w:rsidR="005F4C06" w:rsidRPr="00600ED9" w:rsidTr="00041BE1">
        <w:tc>
          <w:tcPr>
            <w:tcW w:w="9356" w:type="dxa"/>
            <w:shd w:val="clear" w:color="auto" w:fill="D9D9D9" w:themeFill="background1" w:themeFillShade="D9"/>
          </w:tcPr>
          <w:p w:rsidR="005F4C06" w:rsidRPr="00600ED9" w:rsidRDefault="005F4C06" w:rsidP="00FB1954">
            <w:pPr>
              <w:pStyle w:val="NoSpacing"/>
              <w:rPr>
                <w:b/>
                <w:i/>
                <w:sz w:val="20"/>
                <w:lang w:val="es-ES_tradnl"/>
              </w:rPr>
            </w:pPr>
            <w:r w:rsidRPr="00600ED9">
              <w:rPr>
                <w:b/>
                <w:i/>
                <w:sz w:val="20"/>
                <w:lang w:val="es-ES_tradnl"/>
              </w:rPr>
              <w:t>Dimensión (iii) Control de calidad en la auditoría de cumplimiento</w:t>
            </w:r>
          </w:p>
        </w:tc>
      </w:tr>
      <w:tr w:rsidR="005F4C06" w:rsidRPr="00600ED9" w:rsidTr="00041BE1">
        <w:tc>
          <w:tcPr>
            <w:tcW w:w="9356" w:type="dxa"/>
            <w:shd w:val="clear" w:color="auto" w:fill="D9D9D9" w:themeFill="background1" w:themeFillShade="D9"/>
          </w:tcPr>
          <w:p w:rsidR="005F4C06" w:rsidRPr="00600ED9" w:rsidRDefault="005F4C06" w:rsidP="00FB1954">
            <w:pPr>
              <w:pStyle w:val="NoSpacing"/>
              <w:rPr>
                <w:bCs/>
                <w:i/>
                <w:sz w:val="20"/>
                <w:lang w:val="es-ES_tradnl"/>
              </w:rPr>
            </w:pPr>
            <w:r w:rsidRPr="00600ED9">
              <w:rPr>
                <w:b/>
                <w:bCs/>
                <w:i/>
                <w:sz w:val="20"/>
                <w:lang w:val="es-ES_tradnl"/>
              </w:rPr>
              <w:t>Puntuación 2</w:t>
            </w:r>
            <w:r w:rsidRPr="00600ED9">
              <w:rPr>
                <w:bCs/>
                <w:i/>
                <w:sz w:val="20"/>
                <w:lang w:val="es-ES_tradnl"/>
              </w:rPr>
              <w:t xml:space="preserve">: Están establecidos al menos tres de los criterios señalados. </w:t>
            </w:r>
          </w:p>
        </w:tc>
      </w:tr>
      <w:tr w:rsidR="005F4C06" w:rsidRPr="00600ED9" w:rsidTr="00041BE1">
        <w:tc>
          <w:tcPr>
            <w:tcW w:w="9356" w:type="dxa"/>
          </w:tcPr>
          <w:p w:rsidR="005F4C06" w:rsidRPr="00600ED9" w:rsidRDefault="005F4C06" w:rsidP="00FB1954">
            <w:pPr>
              <w:jc w:val="both"/>
              <w:rPr>
                <w:rFonts w:eastAsiaTheme="minorEastAsia"/>
                <w:color w:val="000000"/>
                <w:sz w:val="20"/>
                <w:szCs w:val="20"/>
                <w:lang w:eastAsia="zh-TW"/>
              </w:rPr>
            </w:pPr>
            <w:r w:rsidRPr="00600ED9">
              <w:rPr>
                <w:rFonts w:eastAsiaTheme="minorEastAsia"/>
                <w:color w:val="000000"/>
                <w:sz w:val="20"/>
                <w:szCs w:val="20"/>
                <w:lang w:eastAsia="zh-TW"/>
              </w:rPr>
              <w:t xml:space="preserve">Criterios  (a), (c), (d), (f) cumplen. Criterio (b) y (e) no cumplen. </w:t>
            </w:r>
          </w:p>
          <w:p w:rsidR="00656B82" w:rsidRPr="00600ED9" w:rsidRDefault="00656B82" w:rsidP="00FB1954">
            <w:pPr>
              <w:jc w:val="both"/>
              <w:rPr>
                <w:rFonts w:eastAsiaTheme="minorEastAsia"/>
                <w:color w:val="000000"/>
                <w:sz w:val="20"/>
                <w:szCs w:val="20"/>
                <w:lang w:eastAsia="zh-TW"/>
              </w:rPr>
            </w:pPr>
          </w:p>
          <w:p w:rsidR="005F4C06" w:rsidRPr="00600ED9" w:rsidRDefault="0097743B" w:rsidP="00FB1954">
            <w:pPr>
              <w:jc w:val="both"/>
              <w:rPr>
                <w:sz w:val="20"/>
                <w:szCs w:val="20"/>
              </w:rPr>
            </w:pPr>
            <w:r w:rsidRPr="00600ED9">
              <w:rPr>
                <w:rFonts w:cs="Arial"/>
                <w:sz w:val="20"/>
                <w:szCs w:val="20"/>
              </w:rPr>
              <w:t>Aplican las conclusiones y observaciones</w:t>
            </w:r>
            <w:r w:rsidR="005F4C06" w:rsidRPr="00600ED9">
              <w:rPr>
                <w:sz w:val="20"/>
                <w:szCs w:val="20"/>
              </w:rPr>
              <w:t xml:space="preserve"> incluida</w:t>
            </w:r>
            <w:r w:rsidRPr="00600ED9">
              <w:rPr>
                <w:sz w:val="20"/>
                <w:szCs w:val="20"/>
              </w:rPr>
              <w:t>s</w:t>
            </w:r>
            <w:r w:rsidR="005F4C06" w:rsidRPr="00600ED9">
              <w:rPr>
                <w:sz w:val="20"/>
                <w:szCs w:val="20"/>
              </w:rPr>
              <w:t xml:space="preserve"> en el EFS 11, dimensión (iii). Otros aspectos específicos </w:t>
            </w:r>
            <w:r w:rsidRPr="00600ED9">
              <w:rPr>
                <w:sz w:val="20"/>
                <w:szCs w:val="20"/>
              </w:rPr>
              <w:t>para</w:t>
            </w:r>
            <w:r w:rsidR="005F4C06" w:rsidRPr="00600ED9">
              <w:rPr>
                <w:sz w:val="20"/>
                <w:szCs w:val="20"/>
              </w:rPr>
              <w:t xml:space="preserve"> las auditorías de cumplimiento incluyen:</w:t>
            </w:r>
          </w:p>
          <w:p w:rsidR="00656B82" w:rsidRPr="00600ED9" w:rsidRDefault="00656B82" w:rsidP="00FB1954">
            <w:pPr>
              <w:jc w:val="both"/>
              <w:rPr>
                <w:sz w:val="20"/>
                <w:szCs w:val="20"/>
              </w:rPr>
            </w:pPr>
          </w:p>
          <w:p w:rsidR="005F4C06" w:rsidRPr="00600ED9" w:rsidRDefault="005F4C06" w:rsidP="00FB1954">
            <w:pPr>
              <w:jc w:val="both"/>
              <w:rPr>
                <w:sz w:val="20"/>
                <w:szCs w:val="20"/>
              </w:rPr>
            </w:pPr>
            <w:r w:rsidRPr="00600ED9">
              <w:rPr>
                <w:sz w:val="20"/>
                <w:szCs w:val="20"/>
              </w:rPr>
              <w:t xml:space="preserve">Cuando se presentan controversias o diferencias de criterio de carácter técnico entre los diferentes roles e instancias del proceso auditor, el equipo auditor debate en torno a la necesidad de incluir a un experto. La mayoría de veces los expertos que utiliza la CGRC son abogados que se apoyan en la documentación de los hallazgos fiscales. Cualquier diferencia se discute y se resuelve dentro del equipo auditor antes de emitir el informe en final. </w:t>
            </w:r>
          </w:p>
          <w:p w:rsidR="00656B82" w:rsidRPr="00600ED9" w:rsidRDefault="00656B82" w:rsidP="00FB1954">
            <w:pPr>
              <w:jc w:val="both"/>
              <w:rPr>
                <w:sz w:val="20"/>
                <w:szCs w:val="20"/>
              </w:rPr>
            </w:pPr>
          </w:p>
        </w:tc>
      </w:tr>
      <w:tr w:rsidR="005F4C06" w:rsidRPr="00600ED9" w:rsidTr="00041BE1">
        <w:tc>
          <w:tcPr>
            <w:tcW w:w="9356" w:type="dxa"/>
            <w:shd w:val="clear" w:color="auto" w:fill="D9D9D9" w:themeFill="background1" w:themeFillShade="D9"/>
          </w:tcPr>
          <w:p w:rsidR="005F4C06" w:rsidRPr="00600ED9" w:rsidRDefault="005F4C06" w:rsidP="00FB1954">
            <w:pPr>
              <w:pStyle w:val="NoSpacing"/>
              <w:rPr>
                <w:b/>
                <w:i/>
                <w:sz w:val="20"/>
                <w:lang w:val="es-ES_tradnl"/>
              </w:rPr>
            </w:pPr>
            <w:r w:rsidRPr="00600ED9">
              <w:rPr>
                <w:b/>
                <w:i/>
                <w:sz w:val="20"/>
                <w:lang w:val="es-ES_tradnl"/>
              </w:rPr>
              <w:t>Dimensión (iv) Gestión y habilidades del equipo de trabajo de la auditoría de cumplimiento</w:t>
            </w:r>
          </w:p>
        </w:tc>
      </w:tr>
      <w:tr w:rsidR="005F4C06" w:rsidRPr="00600ED9" w:rsidTr="00041BE1">
        <w:tc>
          <w:tcPr>
            <w:tcW w:w="9356" w:type="dxa"/>
            <w:shd w:val="clear" w:color="auto" w:fill="D9D9D9" w:themeFill="background1" w:themeFillShade="D9"/>
          </w:tcPr>
          <w:p w:rsidR="005F4C06" w:rsidRPr="00600ED9" w:rsidRDefault="005F4C06" w:rsidP="00FB1954">
            <w:pPr>
              <w:pStyle w:val="NoSpacing"/>
              <w:rPr>
                <w:i/>
                <w:color w:val="000000"/>
                <w:sz w:val="20"/>
                <w:lang w:val="es-ES_tradnl" w:eastAsia="zh-TW"/>
              </w:rPr>
            </w:pPr>
            <w:r w:rsidRPr="00600ED9">
              <w:rPr>
                <w:b/>
                <w:bCs/>
                <w:i/>
                <w:sz w:val="20"/>
                <w:lang w:val="es-ES_tradnl"/>
              </w:rPr>
              <w:t>Puntuación 2</w:t>
            </w:r>
            <w:r w:rsidRPr="00600ED9">
              <w:rPr>
                <w:bCs/>
                <w:i/>
                <w:sz w:val="20"/>
                <w:lang w:val="es-ES_tradnl"/>
              </w:rPr>
              <w:t>: Están establecidos al menos dos de los criterios señalados.</w:t>
            </w:r>
          </w:p>
        </w:tc>
      </w:tr>
      <w:tr w:rsidR="005F4C06" w:rsidRPr="00600ED9" w:rsidTr="00041BE1">
        <w:tc>
          <w:tcPr>
            <w:tcW w:w="9356" w:type="dxa"/>
          </w:tcPr>
          <w:p w:rsidR="005F4C06" w:rsidRPr="00600ED9" w:rsidRDefault="005F4C06" w:rsidP="00FB1954">
            <w:pPr>
              <w:jc w:val="both"/>
              <w:rPr>
                <w:sz w:val="20"/>
                <w:szCs w:val="20"/>
              </w:rPr>
            </w:pPr>
            <w:r w:rsidRPr="00600ED9">
              <w:rPr>
                <w:rFonts w:eastAsiaTheme="minorEastAsia"/>
                <w:color w:val="000000"/>
                <w:sz w:val="20"/>
                <w:szCs w:val="20"/>
                <w:lang w:eastAsia="zh-TW"/>
              </w:rPr>
              <w:t>Criterios  (</w:t>
            </w:r>
            <w:r w:rsidRPr="00600ED9">
              <w:rPr>
                <w:sz w:val="20"/>
                <w:szCs w:val="20"/>
              </w:rPr>
              <w:t xml:space="preserve">a) y (c) cumple. Criterio (b) y (d) no cumple. </w:t>
            </w:r>
          </w:p>
          <w:p w:rsidR="00656B82" w:rsidRPr="00600ED9" w:rsidRDefault="00656B82" w:rsidP="00FB1954">
            <w:pPr>
              <w:jc w:val="both"/>
              <w:rPr>
                <w:sz w:val="20"/>
                <w:szCs w:val="20"/>
              </w:rPr>
            </w:pPr>
          </w:p>
          <w:p w:rsidR="001B13E9" w:rsidRPr="00600ED9" w:rsidRDefault="004109F3" w:rsidP="00FB1954">
            <w:pPr>
              <w:jc w:val="both"/>
              <w:rPr>
                <w:color w:val="000000"/>
              </w:rPr>
            </w:pPr>
            <w:r w:rsidRPr="00600ED9">
              <w:rPr>
                <w:rFonts w:cs="Arial"/>
                <w:sz w:val="20"/>
                <w:szCs w:val="20"/>
              </w:rPr>
              <w:t>Aplican las conclusiones y observaciones</w:t>
            </w:r>
            <w:r w:rsidRPr="00600ED9">
              <w:rPr>
                <w:sz w:val="20"/>
                <w:szCs w:val="20"/>
              </w:rPr>
              <w:t xml:space="preserve"> </w:t>
            </w:r>
            <w:r w:rsidR="005F4C06" w:rsidRPr="00600ED9">
              <w:rPr>
                <w:sz w:val="20"/>
                <w:szCs w:val="20"/>
              </w:rPr>
              <w:t>incluida</w:t>
            </w:r>
            <w:r w:rsidRPr="00600ED9">
              <w:rPr>
                <w:sz w:val="20"/>
                <w:szCs w:val="20"/>
              </w:rPr>
              <w:t>s</w:t>
            </w:r>
            <w:r w:rsidR="005F4C06" w:rsidRPr="00600ED9">
              <w:rPr>
                <w:sz w:val="20"/>
                <w:szCs w:val="20"/>
              </w:rPr>
              <w:t xml:space="preserve"> en el EFS 11,</w:t>
            </w:r>
            <w:r w:rsidR="001B13E9" w:rsidRPr="00600ED9">
              <w:rPr>
                <w:sz w:val="20"/>
                <w:szCs w:val="20"/>
              </w:rPr>
              <w:t xml:space="preserve"> dimensión (iv), requiriéndose específicamente </w:t>
            </w:r>
          </w:p>
          <w:p w:rsidR="005F4C06" w:rsidRPr="00600ED9" w:rsidRDefault="00E27482" w:rsidP="00FB1954">
            <w:pPr>
              <w:pStyle w:val="Normaltabletext"/>
              <w:spacing w:after="0"/>
              <w:rPr>
                <w:color w:val="000000"/>
                <w:lang w:val="es-ES_tradnl"/>
              </w:rPr>
            </w:pPr>
            <w:r w:rsidRPr="00600ED9">
              <w:rPr>
                <w:color w:val="000000"/>
                <w:lang w:val="es-ES_tradnl"/>
              </w:rPr>
              <w:t xml:space="preserve">Fortalecer </w:t>
            </w:r>
            <w:r w:rsidR="005F4C06" w:rsidRPr="00600ED9">
              <w:rPr>
                <w:color w:val="000000"/>
                <w:lang w:val="es-ES_tradnl"/>
              </w:rPr>
              <w:t>las capacidades de los auditores en torno a los procedimie</w:t>
            </w:r>
            <w:r w:rsidR="001B13E9" w:rsidRPr="00600ED9">
              <w:rPr>
                <w:color w:val="000000"/>
                <w:lang w:val="es-ES_tradnl"/>
              </w:rPr>
              <w:t>ntos y las conclusiones de las Auditorías de C</w:t>
            </w:r>
            <w:r w:rsidR="005F4C06" w:rsidRPr="00600ED9">
              <w:rPr>
                <w:color w:val="000000"/>
                <w:lang w:val="es-ES_tradnl"/>
              </w:rPr>
              <w:t>umplimiento.</w:t>
            </w:r>
          </w:p>
          <w:p w:rsidR="00656B82" w:rsidRPr="00600ED9" w:rsidRDefault="00656B82" w:rsidP="00FB1954">
            <w:pPr>
              <w:pStyle w:val="Normaltabletext"/>
              <w:spacing w:after="0"/>
              <w:rPr>
                <w:color w:val="000000"/>
                <w:lang w:val="es-ES_tradnl"/>
              </w:rPr>
            </w:pPr>
          </w:p>
        </w:tc>
      </w:tr>
    </w:tbl>
    <w:p w:rsidR="003B04AB" w:rsidRPr="00600ED9" w:rsidRDefault="003B04AB" w:rsidP="00FB1954">
      <w:pPr>
        <w:spacing w:after="0" w:line="240" w:lineRule="auto"/>
        <w:jc w:val="both"/>
        <w:rPr>
          <w:b/>
          <w:sz w:val="20"/>
          <w:szCs w:val="20"/>
        </w:rPr>
      </w:pPr>
    </w:p>
    <w:p w:rsidR="00A82279" w:rsidRPr="00600ED9" w:rsidRDefault="003B04AB" w:rsidP="00FB1954">
      <w:pPr>
        <w:pStyle w:val="NoSpacing"/>
        <w:ind w:left="720"/>
        <w:rPr>
          <w:lang w:val="es-ES_tradnl"/>
        </w:rPr>
      </w:pPr>
      <w:r w:rsidRPr="00600ED9">
        <w:rPr>
          <w:b/>
          <w:bCs/>
          <w:smallCaps/>
          <w:lang w:val="es-ES_tradnl"/>
        </w:rPr>
        <w:t>Recomendaciones:</w:t>
      </w:r>
      <w:r w:rsidR="00E27482" w:rsidRPr="00600ED9">
        <w:rPr>
          <w:b/>
          <w:bCs/>
          <w:smallCaps/>
          <w:lang w:val="es-ES_tradnl"/>
        </w:rPr>
        <w:t xml:space="preserve"> </w:t>
      </w:r>
      <w:r w:rsidR="005120A2" w:rsidRPr="00600ED9">
        <w:rPr>
          <w:lang w:val="es-ES_tradnl"/>
        </w:rPr>
        <w:t>Consultar el</w:t>
      </w:r>
      <w:r w:rsidR="00CA3E61" w:rsidRPr="00600ED9">
        <w:rPr>
          <w:lang w:val="es-ES_tradnl"/>
        </w:rPr>
        <w:t xml:space="preserve"> Anexo </w:t>
      </w:r>
      <w:r w:rsidR="003A4AB3" w:rsidRPr="00600ED9">
        <w:rPr>
          <w:lang w:val="es-ES_tradnl"/>
        </w:rPr>
        <w:t>A</w:t>
      </w:r>
      <w:r w:rsidR="00CA3E61" w:rsidRPr="00600ED9">
        <w:rPr>
          <w:lang w:val="es-ES_tradnl"/>
        </w:rPr>
        <w:t xml:space="preserve">: Plan de Acción, </w:t>
      </w:r>
      <w:r w:rsidR="003A4AB3" w:rsidRPr="00600ED9">
        <w:rPr>
          <w:lang w:val="es-ES_tradnl"/>
        </w:rPr>
        <w:t xml:space="preserve">recomendaciones </w:t>
      </w:r>
      <w:r w:rsidR="00710AA3" w:rsidRPr="00600ED9">
        <w:rPr>
          <w:lang w:val="es-ES_tradnl"/>
        </w:rPr>
        <w:t>No. 12, 13 y 15</w:t>
      </w:r>
      <w:r w:rsidR="00CA3E61" w:rsidRPr="00600ED9">
        <w:rPr>
          <w:lang w:val="es-ES_tradnl"/>
        </w:rPr>
        <w:t>.</w:t>
      </w:r>
    </w:p>
    <w:p w:rsidR="002E5F93" w:rsidRPr="00600ED9" w:rsidRDefault="002E5F93" w:rsidP="00FB1954">
      <w:pPr>
        <w:pStyle w:val="NoSpacing"/>
        <w:rPr>
          <w:sz w:val="24"/>
          <w:lang w:val="es-ES_tradnl"/>
        </w:rPr>
      </w:pPr>
    </w:p>
    <w:p w:rsidR="00656B82" w:rsidRPr="00600ED9" w:rsidRDefault="00656B82" w:rsidP="00FB1954">
      <w:pPr>
        <w:pStyle w:val="NoSpacing"/>
        <w:rPr>
          <w:sz w:val="24"/>
          <w:lang w:val="es-ES_tradnl"/>
        </w:rPr>
      </w:pPr>
    </w:p>
    <w:p w:rsidR="00720E42" w:rsidRPr="00600ED9" w:rsidRDefault="00720E42" w:rsidP="00FB1954">
      <w:pPr>
        <w:pStyle w:val="Heading2"/>
        <w:spacing w:before="0" w:line="240" w:lineRule="auto"/>
      </w:pPr>
      <w:bookmarkStart w:id="29" w:name="_Toc295932921"/>
      <w:r w:rsidRPr="00600ED9">
        <w:lastRenderedPageBreak/>
        <w:t>EFS</w:t>
      </w:r>
      <w:r w:rsidR="00AD4BFE" w:rsidRPr="00600ED9">
        <w:t xml:space="preserve"> </w:t>
      </w:r>
      <w:r w:rsidRPr="00600ED9">
        <w:t>14 – Proceso de la Auditoría de Cumplimiento</w:t>
      </w:r>
      <w:bookmarkEnd w:id="29"/>
    </w:p>
    <w:p w:rsidR="003B04AB" w:rsidRPr="00600ED9" w:rsidRDefault="003B04AB" w:rsidP="00FB1954">
      <w:pPr>
        <w:pStyle w:val="ListParagraph"/>
        <w:tabs>
          <w:tab w:val="right" w:leader="dot" w:pos="8640"/>
        </w:tabs>
        <w:spacing w:after="0" w:line="240" w:lineRule="auto"/>
        <w:ind w:left="1080"/>
        <w:rPr>
          <w:rFonts w:eastAsia="Calibri" w:cs="Times New Roman"/>
          <w:b/>
          <w:sz w:val="20"/>
        </w:rPr>
      </w:pPr>
    </w:p>
    <w:tbl>
      <w:tblPr>
        <w:tblW w:w="8800" w:type="dxa"/>
        <w:tblInd w:w="720" w:type="dxa"/>
        <w:tblCellMar>
          <w:left w:w="70" w:type="dxa"/>
          <w:right w:w="70" w:type="dxa"/>
        </w:tblCellMar>
        <w:tblLook w:val="04A0" w:firstRow="1" w:lastRow="0" w:firstColumn="1" w:lastColumn="0" w:noHBand="0" w:noVBand="1"/>
      </w:tblPr>
      <w:tblGrid>
        <w:gridCol w:w="2435"/>
        <w:gridCol w:w="1292"/>
        <w:gridCol w:w="1469"/>
        <w:gridCol w:w="2344"/>
        <w:gridCol w:w="175"/>
        <w:gridCol w:w="1085"/>
      </w:tblGrid>
      <w:tr w:rsidR="00023B14" w:rsidRPr="00600ED9" w:rsidTr="00656B82">
        <w:trPr>
          <w:trHeight w:val="255"/>
        </w:trPr>
        <w:tc>
          <w:tcPr>
            <w:tcW w:w="2435" w:type="dxa"/>
            <w:tcBorders>
              <w:top w:val="nil"/>
              <w:left w:val="nil"/>
              <w:bottom w:val="nil"/>
              <w:right w:val="nil"/>
            </w:tcBorders>
            <w:shd w:val="clear" w:color="auto" w:fill="auto"/>
            <w:noWrap/>
            <w:vAlign w:val="bottom"/>
            <w:hideMark/>
          </w:tcPr>
          <w:p w:rsidR="00023B14" w:rsidRPr="00600ED9" w:rsidRDefault="00023B14" w:rsidP="00FB1954">
            <w:pPr>
              <w:pStyle w:val="NoSpacing"/>
              <w:tabs>
                <w:tab w:val="center" w:pos="4680"/>
                <w:tab w:val="right" w:pos="9360"/>
              </w:tabs>
              <w:jc w:val="center"/>
              <w:rPr>
                <w:sz w:val="20"/>
                <w:lang w:val="es-ES_tradnl"/>
              </w:rPr>
            </w:pPr>
          </w:p>
        </w:tc>
        <w:tc>
          <w:tcPr>
            <w:tcW w:w="5105" w:type="dxa"/>
            <w:gridSpan w:val="3"/>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023B14" w:rsidRPr="00600ED9" w:rsidRDefault="00023B14" w:rsidP="00FB1954">
            <w:pPr>
              <w:pStyle w:val="NoSpacing"/>
              <w:jc w:val="center"/>
              <w:rPr>
                <w:b/>
                <w:bCs/>
                <w:sz w:val="20"/>
                <w:lang w:val="es-ES_tradnl"/>
              </w:rPr>
            </w:pPr>
            <w:r w:rsidRPr="00600ED9">
              <w:rPr>
                <w:b/>
                <w:bCs/>
                <w:sz w:val="20"/>
                <w:lang w:val="es-ES_tradnl"/>
              </w:rPr>
              <w:t>Dimensiones Evaluadas</w:t>
            </w:r>
          </w:p>
        </w:tc>
        <w:tc>
          <w:tcPr>
            <w:tcW w:w="175" w:type="dxa"/>
            <w:tcBorders>
              <w:top w:val="nil"/>
              <w:left w:val="nil"/>
              <w:bottom w:val="nil"/>
              <w:right w:val="nil"/>
            </w:tcBorders>
            <w:shd w:val="clear" w:color="auto" w:fill="auto"/>
            <w:noWrap/>
            <w:vAlign w:val="bottom"/>
            <w:hideMark/>
          </w:tcPr>
          <w:p w:rsidR="00023B14" w:rsidRPr="00600ED9" w:rsidRDefault="00023B14" w:rsidP="00FB1954">
            <w:pPr>
              <w:pStyle w:val="NoSpacing"/>
              <w:tabs>
                <w:tab w:val="center" w:pos="4680"/>
                <w:tab w:val="right" w:pos="9360"/>
              </w:tabs>
              <w:jc w:val="center"/>
              <w:rPr>
                <w:sz w:val="20"/>
                <w:lang w:val="es-ES_tradnl"/>
              </w:rPr>
            </w:pPr>
          </w:p>
        </w:tc>
        <w:tc>
          <w:tcPr>
            <w:tcW w:w="1085" w:type="dxa"/>
            <w:vMerge w:val="restart"/>
            <w:tcBorders>
              <w:top w:val="single" w:sz="4" w:space="0" w:color="auto"/>
              <w:left w:val="single" w:sz="4" w:space="0" w:color="auto"/>
              <w:right w:val="single" w:sz="4" w:space="0" w:color="auto"/>
            </w:tcBorders>
            <w:shd w:val="clear" w:color="000000" w:fill="95B3D7"/>
            <w:vAlign w:val="center"/>
            <w:hideMark/>
          </w:tcPr>
          <w:p w:rsidR="00023B14" w:rsidRPr="00600ED9" w:rsidRDefault="00023B14" w:rsidP="00FB1954">
            <w:pPr>
              <w:pStyle w:val="NoSpacing"/>
              <w:jc w:val="center"/>
              <w:rPr>
                <w:b/>
                <w:bCs/>
                <w:sz w:val="20"/>
                <w:lang w:val="es-ES_tradnl"/>
              </w:rPr>
            </w:pPr>
            <w:r w:rsidRPr="00600ED9">
              <w:rPr>
                <w:b/>
                <w:bCs/>
                <w:sz w:val="20"/>
                <w:lang w:val="es-ES_tradnl"/>
              </w:rPr>
              <w:t>Puntuación General</w:t>
            </w:r>
          </w:p>
        </w:tc>
      </w:tr>
      <w:tr w:rsidR="00023B14" w:rsidRPr="00600ED9" w:rsidTr="00656B82">
        <w:trPr>
          <w:trHeight w:val="390"/>
        </w:trPr>
        <w:tc>
          <w:tcPr>
            <w:tcW w:w="2435"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023B14" w:rsidRPr="00600ED9" w:rsidRDefault="00023B14" w:rsidP="00FB1954">
            <w:pPr>
              <w:pStyle w:val="NoSpacing"/>
              <w:jc w:val="center"/>
              <w:rPr>
                <w:b/>
                <w:bCs/>
                <w:sz w:val="20"/>
                <w:lang w:val="es-ES_tradnl"/>
              </w:rPr>
            </w:pPr>
            <w:r w:rsidRPr="00600ED9">
              <w:rPr>
                <w:b/>
                <w:bCs/>
                <w:sz w:val="20"/>
                <w:lang w:val="es-ES_tradnl"/>
              </w:rPr>
              <w:t>Indicadores</w:t>
            </w:r>
          </w:p>
        </w:tc>
        <w:tc>
          <w:tcPr>
            <w:tcW w:w="1292" w:type="dxa"/>
            <w:tcBorders>
              <w:top w:val="nil"/>
              <w:left w:val="nil"/>
              <w:bottom w:val="single" w:sz="4" w:space="0" w:color="auto"/>
              <w:right w:val="single" w:sz="4" w:space="0" w:color="auto"/>
            </w:tcBorders>
            <w:shd w:val="clear" w:color="000000" w:fill="D8D8D8"/>
            <w:noWrap/>
            <w:hideMark/>
          </w:tcPr>
          <w:p w:rsidR="00023B14" w:rsidRPr="00600ED9" w:rsidRDefault="0053252D" w:rsidP="00FB1954">
            <w:pPr>
              <w:pStyle w:val="NoSpacing"/>
              <w:jc w:val="center"/>
              <w:rPr>
                <w:b/>
                <w:bCs/>
                <w:sz w:val="20"/>
                <w:lang w:val="es-ES_tradnl"/>
              </w:rPr>
            </w:pPr>
            <w:r w:rsidRPr="00600ED9">
              <w:rPr>
                <w:b/>
                <w:bCs/>
                <w:sz w:val="20"/>
                <w:lang w:val="es-ES_tradnl"/>
              </w:rPr>
              <w:t>(i)</w:t>
            </w:r>
          </w:p>
          <w:p w:rsidR="00023B14" w:rsidRPr="00600ED9" w:rsidRDefault="00023B14" w:rsidP="00FB1954">
            <w:pPr>
              <w:pStyle w:val="NoSpacing"/>
              <w:jc w:val="center"/>
              <w:rPr>
                <w:b/>
                <w:bCs/>
                <w:sz w:val="20"/>
                <w:lang w:val="es-ES_tradnl"/>
              </w:rPr>
            </w:pPr>
            <w:r w:rsidRPr="00600ED9">
              <w:rPr>
                <w:sz w:val="20"/>
                <w:lang w:val="es-ES_tradnl"/>
              </w:rPr>
              <w:t>Planeación de las Auditorías de Cumplimiento</w:t>
            </w:r>
          </w:p>
        </w:tc>
        <w:tc>
          <w:tcPr>
            <w:tcW w:w="1469" w:type="dxa"/>
            <w:tcBorders>
              <w:top w:val="nil"/>
              <w:left w:val="nil"/>
              <w:bottom w:val="single" w:sz="4" w:space="0" w:color="auto"/>
              <w:right w:val="single" w:sz="4" w:space="0" w:color="auto"/>
            </w:tcBorders>
            <w:shd w:val="clear" w:color="000000" w:fill="D8D8D8"/>
            <w:noWrap/>
            <w:hideMark/>
          </w:tcPr>
          <w:p w:rsidR="00023B14" w:rsidRPr="00600ED9" w:rsidRDefault="0053252D" w:rsidP="00FB1954">
            <w:pPr>
              <w:pStyle w:val="NoSpacing"/>
              <w:jc w:val="center"/>
              <w:rPr>
                <w:b/>
                <w:bCs/>
                <w:sz w:val="20"/>
                <w:lang w:val="es-ES_tradnl"/>
              </w:rPr>
            </w:pPr>
            <w:r w:rsidRPr="00600ED9">
              <w:rPr>
                <w:b/>
                <w:bCs/>
                <w:sz w:val="20"/>
                <w:lang w:val="es-ES_tradnl"/>
              </w:rPr>
              <w:t>(ii)</w:t>
            </w:r>
          </w:p>
          <w:p w:rsidR="00023B14" w:rsidRPr="00600ED9" w:rsidRDefault="00023B14" w:rsidP="00FB1954">
            <w:pPr>
              <w:pStyle w:val="NoSpacing"/>
              <w:jc w:val="center"/>
              <w:rPr>
                <w:b/>
                <w:bCs/>
                <w:sz w:val="20"/>
                <w:lang w:val="es-ES_tradnl"/>
              </w:rPr>
            </w:pPr>
            <w:r w:rsidRPr="00600ED9">
              <w:rPr>
                <w:sz w:val="20"/>
                <w:lang w:val="es-ES_tradnl"/>
              </w:rPr>
              <w:t>Implementación de Auditorías de Cumplimiento</w:t>
            </w:r>
          </w:p>
        </w:tc>
        <w:tc>
          <w:tcPr>
            <w:tcW w:w="2344" w:type="dxa"/>
            <w:tcBorders>
              <w:top w:val="nil"/>
              <w:left w:val="nil"/>
              <w:bottom w:val="single" w:sz="4" w:space="0" w:color="auto"/>
              <w:right w:val="single" w:sz="4" w:space="0" w:color="auto"/>
            </w:tcBorders>
            <w:shd w:val="clear" w:color="000000" w:fill="D8D8D8"/>
            <w:noWrap/>
            <w:hideMark/>
          </w:tcPr>
          <w:p w:rsidR="00023B14" w:rsidRPr="00600ED9" w:rsidRDefault="0053252D" w:rsidP="00FB1954">
            <w:pPr>
              <w:pStyle w:val="NoSpacing"/>
              <w:jc w:val="center"/>
              <w:rPr>
                <w:b/>
                <w:bCs/>
                <w:sz w:val="20"/>
                <w:lang w:val="es-ES_tradnl"/>
              </w:rPr>
            </w:pPr>
            <w:r w:rsidRPr="00600ED9">
              <w:rPr>
                <w:b/>
                <w:bCs/>
                <w:sz w:val="20"/>
                <w:lang w:val="es-ES_tradnl"/>
              </w:rPr>
              <w:t>(iii)</w:t>
            </w:r>
          </w:p>
          <w:p w:rsidR="00023B14" w:rsidRPr="00600ED9" w:rsidRDefault="00023B14" w:rsidP="00FB1954">
            <w:pPr>
              <w:pStyle w:val="NoSpacing"/>
              <w:jc w:val="center"/>
              <w:rPr>
                <w:b/>
                <w:bCs/>
                <w:sz w:val="20"/>
                <w:lang w:val="es-ES_tradnl"/>
              </w:rPr>
            </w:pPr>
            <w:r w:rsidRPr="00600ED9">
              <w:rPr>
                <w:sz w:val="20"/>
                <w:lang w:val="es-ES_tradnl"/>
              </w:rPr>
              <w:t>Evaluación de la Evidencia de Auditoría, Conclusión e Información en las Auditorías de Cumplimiento</w:t>
            </w:r>
          </w:p>
        </w:tc>
        <w:tc>
          <w:tcPr>
            <w:tcW w:w="175" w:type="dxa"/>
            <w:tcBorders>
              <w:top w:val="nil"/>
              <w:left w:val="nil"/>
              <w:bottom w:val="nil"/>
              <w:right w:val="nil"/>
            </w:tcBorders>
            <w:shd w:val="clear" w:color="auto" w:fill="auto"/>
            <w:noWrap/>
            <w:vAlign w:val="bottom"/>
            <w:hideMark/>
          </w:tcPr>
          <w:p w:rsidR="00023B14" w:rsidRPr="00600ED9" w:rsidRDefault="00023B14" w:rsidP="00FB1954">
            <w:pPr>
              <w:pStyle w:val="NoSpacing"/>
              <w:tabs>
                <w:tab w:val="center" w:pos="4680"/>
                <w:tab w:val="right" w:pos="9360"/>
              </w:tabs>
              <w:jc w:val="center"/>
              <w:rPr>
                <w:sz w:val="20"/>
                <w:lang w:val="es-ES_tradnl"/>
              </w:rPr>
            </w:pPr>
          </w:p>
        </w:tc>
        <w:tc>
          <w:tcPr>
            <w:tcW w:w="1085" w:type="dxa"/>
            <w:vMerge/>
            <w:tcBorders>
              <w:left w:val="single" w:sz="4" w:space="0" w:color="auto"/>
              <w:bottom w:val="single" w:sz="4" w:space="0" w:color="auto"/>
              <w:right w:val="single" w:sz="4" w:space="0" w:color="auto"/>
            </w:tcBorders>
            <w:vAlign w:val="center"/>
            <w:hideMark/>
          </w:tcPr>
          <w:p w:rsidR="00023B14" w:rsidRPr="00600ED9" w:rsidRDefault="00023B14" w:rsidP="00FB1954">
            <w:pPr>
              <w:pStyle w:val="NoSpacing"/>
              <w:tabs>
                <w:tab w:val="center" w:pos="4680"/>
                <w:tab w:val="right" w:pos="9360"/>
              </w:tabs>
              <w:jc w:val="center"/>
              <w:rPr>
                <w:b/>
                <w:bCs/>
                <w:sz w:val="20"/>
                <w:lang w:val="es-ES_tradnl"/>
              </w:rPr>
            </w:pPr>
          </w:p>
        </w:tc>
      </w:tr>
      <w:tr w:rsidR="00DF46C2" w:rsidRPr="00600ED9" w:rsidTr="00656B82">
        <w:trPr>
          <w:trHeight w:val="510"/>
        </w:trPr>
        <w:tc>
          <w:tcPr>
            <w:tcW w:w="2435" w:type="dxa"/>
            <w:tcBorders>
              <w:top w:val="nil"/>
              <w:left w:val="single" w:sz="4" w:space="0" w:color="auto"/>
              <w:bottom w:val="single" w:sz="4" w:space="0" w:color="auto"/>
              <w:right w:val="single" w:sz="4" w:space="0" w:color="auto"/>
            </w:tcBorders>
            <w:shd w:val="clear" w:color="auto" w:fill="auto"/>
            <w:vAlign w:val="center"/>
            <w:hideMark/>
          </w:tcPr>
          <w:p w:rsidR="00DF46C2" w:rsidRPr="00600ED9" w:rsidRDefault="00DF46C2" w:rsidP="00FB1954">
            <w:pPr>
              <w:pStyle w:val="NoSpacing"/>
              <w:jc w:val="center"/>
              <w:rPr>
                <w:b/>
                <w:bCs/>
                <w:sz w:val="20"/>
                <w:lang w:val="es-ES_tradnl"/>
              </w:rPr>
            </w:pPr>
            <w:r w:rsidRPr="00600ED9">
              <w:rPr>
                <w:rFonts w:eastAsia="Calibri" w:cs="Times New Roman"/>
                <w:b/>
                <w:sz w:val="20"/>
                <w:lang w:val="es-ES_tradnl"/>
              </w:rPr>
              <w:t>EFS 14 – Proceso de la Auditoría de Cumplimiento</w:t>
            </w:r>
          </w:p>
        </w:tc>
        <w:tc>
          <w:tcPr>
            <w:tcW w:w="1292" w:type="dxa"/>
            <w:tcBorders>
              <w:top w:val="nil"/>
              <w:left w:val="nil"/>
              <w:bottom w:val="single" w:sz="4" w:space="0" w:color="auto"/>
              <w:right w:val="single" w:sz="4" w:space="0" w:color="auto"/>
            </w:tcBorders>
            <w:shd w:val="clear" w:color="auto" w:fill="auto"/>
            <w:noWrap/>
            <w:vAlign w:val="center"/>
          </w:tcPr>
          <w:p w:rsidR="00DF46C2" w:rsidRPr="00600ED9" w:rsidRDefault="00DF46C2" w:rsidP="00FB1954">
            <w:pPr>
              <w:pStyle w:val="NoSpacing"/>
              <w:jc w:val="center"/>
              <w:rPr>
                <w:b/>
                <w:bCs/>
                <w:sz w:val="20"/>
                <w:lang w:val="es-ES_tradnl"/>
              </w:rPr>
            </w:pPr>
            <w:r w:rsidRPr="00600ED9">
              <w:rPr>
                <w:b/>
                <w:bCs/>
                <w:sz w:val="20"/>
                <w:lang w:val="es-ES_tradnl"/>
              </w:rPr>
              <w:t>0</w:t>
            </w:r>
          </w:p>
        </w:tc>
        <w:tc>
          <w:tcPr>
            <w:tcW w:w="1469" w:type="dxa"/>
            <w:tcBorders>
              <w:top w:val="nil"/>
              <w:left w:val="nil"/>
              <w:bottom w:val="single" w:sz="4" w:space="0" w:color="auto"/>
              <w:right w:val="single" w:sz="4" w:space="0" w:color="auto"/>
            </w:tcBorders>
            <w:shd w:val="clear" w:color="auto" w:fill="auto"/>
            <w:noWrap/>
            <w:vAlign w:val="center"/>
          </w:tcPr>
          <w:p w:rsidR="00DF46C2" w:rsidRPr="00600ED9" w:rsidRDefault="00DF46C2" w:rsidP="00FB1954">
            <w:pPr>
              <w:pStyle w:val="NoSpacing"/>
              <w:jc w:val="center"/>
              <w:rPr>
                <w:b/>
                <w:bCs/>
                <w:sz w:val="20"/>
                <w:lang w:val="es-ES_tradnl"/>
              </w:rPr>
            </w:pPr>
            <w:r w:rsidRPr="00600ED9">
              <w:rPr>
                <w:b/>
                <w:bCs/>
                <w:sz w:val="20"/>
                <w:lang w:val="es-ES_tradnl"/>
              </w:rPr>
              <w:t>2</w:t>
            </w:r>
          </w:p>
        </w:tc>
        <w:tc>
          <w:tcPr>
            <w:tcW w:w="2344" w:type="dxa"/>
            <w:tcBorders>
              <w:top w:val="nil"/>
              <w:left w:val="nil"/>
              <w:bottom w:val="single" w:sz="4" w:space="0" w:color="auto"/>
              <w:right w:val="single" w:sz="4" w:space="0" w:color="auto"/>
            </w:tcBorders>
            <w:shd w:val="clear" w:color="auto" w:fill="auto"/>
            <w:noWrap/>
            <w:vAlign w:val="center"/>
          </w:tcPr>
          <w:p w:rsidR="00DF46C2" w:rsidRPr="00600ED9" w:rsidRDefault="00DF46C2" w:rsidP="00FB1954">
            <w:pPr>
              <w:pStyle w:val="NoSpacing"/>
              <w:jc w:val="center"/>
              <w:rPr>
                <w:b/>
                <w:bCs/>
                <w:sz w:val="20"/>
                <w:lang w:val="es-ES_tradnl"/>
              </w:rPr>
            </w:pPr>
            <w:r w:rsidRPr="00600ED9">
              <w:rPr>
                <w:b/>
                <w:bCs/>
                <w:sz w:val="20"/>
                <w:lang w:val="es-ES_tradnl"/>
              </w:rPr>
              <w:t>2</w:t>
            </w:r>
          </w:p>
        </w:tc>
        <w:tc>
          <w:tcPr>
            <w:tcW w:w="175" w:type="dxa"/>
            <w:tcBorders>
              <w:top w:val="nil"/>
              <w:left w:val="nil"/>
              <w:bottom w:val="nil"/>
              <w:right w:val="nil"/>
            </w:tcBorders>
            <w:shd w:val="clear" w:color="auto" w:fill="auto"/>
            <w:noWrap/>
            <w:vAlign w:val="bottom"/>
          </w:tcPr>
          <w:p w:rsidR="00DF46C2" w:rsidRPr="00600ED9" w:rsidRDefault="00DF46C2" w:rsidP="00FB1954">
            <w:pPr>
              <w:pStyle w:val="NoSpacing"/>
              <w:tabs>
                <w:tab w:val="center" w:pos="4680"/>
                <w:tab w:val="right" w:pos="9360"/>
              </w:tabs>
              <w:jc w:val="center"/>
              <w:rPr>
                <w:sz w:val="20"/>
                <w:lang w:val="es-ES_tradnl"/>
              </w:rPr>
            </w:pPr>
          </w:p>
        </w:tc>
        <w:tc>
          <w:tcPr>
            <w:tcW w:w="1085" w:type="dxa"/>
            <w:tcBorders>
              <w:top w:val="nil"/>
              <w:left w:val="single" w:sz="4" w:space="0" w:color="auto"/>
              <w:bottom w:val="single" w:sz="4" w:space="0" w:color="auto"/>
              <w:right w:val="single" w:sz="4" w:space="0" w:color="auto"/>
            </w:tcBorders>
            <w:shd w:val="clear" w:color="auto" w:fill="auto"/>
            <w:noWrap/>
            <w:vAlign w:val="center"/>
          </w:tcPr>
          <w:p w:rsidR="00DF46C2" w:rsidRPr="00600ED9" w:rsidRDefault="00DF46C2" w:rsidP="00FB1954">
            <w:pPr>
              <w:pStyle w:val="NoSpacing"/>
              <w:jc w:val="center"/>
              <w:rPr>
                <w:b/>
                <w:sz w:val="20"/>
                <w:lang w:val="es-ES_tradnl"/>
              </w:rPr>
            </w:pPr>
            <w:r w:rsidRPr="00600ED9">
              <w:rPr>
                <w:b/>
                <w:sz w:val="20"/>
                <w:lang w:val="es-ES_tradnl"/>
              </w:rPr>
              <w:t>1</w:t>
            </w:r>
          </w:p>
        </w:tc>
      </w:tr>
    </w:tbl>
    <w:p w:rsidR="00C5230F" w:rsidRPr="00600ED9" w:rsidRDefault="00C5230F" w:rsidP="00FB1954">
      <w:pPr>
        <w:pStyle w:val="NoSpacing"/>
        <w:ind w:left="720"/>
        <w:jc w:val="both"/>
        <w:rPr>
          <w:sz w:val="20"/>
          <w:lang w:val="es-ES_tradnl"/>
        </w:rPr>
      </w:pPr>
    </w:p>
    <w:p w:rsidR="000B19AA" w:rsidRPr="00600ED9" w:rsidRDefault="000B19AA" w:rsidP="00FB1954">
      <w:pPr>
        <w:pStyle w:val="NoSpacing"/>
        <w:ind w:left="720"/>
        <w:jc w:val="both"/>
        <w:rPr>
          <w:color w:val="000000"/>
          <w:lang w:val="es-ES_tradnl"/>
        </w:rPr>
      </w:pPr>
      <w:r w:rsidRPr="00600ED9">
        <w:rPr>
          <w:bCs/>
          <w:lang w:val="es-ES_tradnl"/>
        </w:rPr>
        <w:t xml:space="preserve">En la medida que la CGRC no dispone de procedimientos </w:t>
      </w:r>
      <w:r w:rsidRPr="00600ED9">
        <w:rPr>
          <w:lang w:val="es-ES_tradnl"/>
        </w:rPr>
        <w:t xml:space="preserve">consistentes con los estándares internacionales para la Auditoría de Cumplimiento, se identifican oportunidades, entre las cuales se destacan la necesidad de </w:t>
      </w:r>
      <w:r w:rsidRPr="00600ED9">
        <w:rPr>
          <w:rFonts w:eastAsia="Calibri" w:cs="Arial"/>
          <w:lang w:val="es-ES_tradnl"/>
        </w:rPr>
        <w:t xml:space="preserve">diseñar e implantar un marco normativo y </w:t>
      </w:r>
      <w:r w:rsidR="00710AA3" w:rsidRPr="00600ED9">
        <w:rPr>
          <w:rFonts w:eastAsia="Calibri" w:cs="Arial"/>
          <w:lang w:val="es-ES_tradnl"/>
        </w:rPr>
        <w:t>procedimental</w:t>
      </w:r>
      <w:r w:rsidRPr="00600ED9">
        <w:rPr>
          <w:rFonts w:eastAsia="Calibri" w:cs="Arial"/>
          <w:lang w:val="es-ES_tradnl"/>
        </w:rPr>
        <w:t xml:space="preserve"> ajustado a </w:t>
      </w:r>
      <w:r w:rsidRPr="00600ED9">
        <w:rPr>
          <w:color w:val="000000"/>
          <w:lang w:val="es-ES_tradnl"/>
        </w:rPr>
        <w:t xml:space="preserve">la </w:t>
      </w:r>
      <w:r w:rsidRPr="00600ED9">
        <w:rPr>
          <w:rFonts w:eastAsia="Times New Roman"/>
          <w:color w:val="000000"/>
          <w:lang w:val="es-ES_tradnl"/>
        </w:rPr>
        <w:t>ISSAI 400</w:t>
      </w:r>
      <w:r w:rsidR="00332E6B" w:rsidRPr="00600ED9">
        <w:rPr>
          <w:lang w:val="es-ES_tradnl"/>
        </w:rPr>
        <w:t xml:space="preserve"> </w:t>
      </w:r>
      <w:r w:rsidRPr="00600ED9">
        <w:rPr>
          <w:rFonts w:eastAsia="Times New Roman"/>
          <w:color w:val="000000"/>
          <w:lang w:val="es-ES_tradnl"/>
        </w:rPr>
        <w:t>e ISSAI 4100 y 4200</w:t>
      </w:r>
      <w:r w:rsidRPr="00600ED9">
        <w:rPr>
          <w:color w:val="000000"/>
          <w:lang w:val="es-ES_tradnl"/>
        </w:rPr>
        <w:t xml:space="preserve">. </w:t>
      </w:r>
    </w:p>
    <w:p w:rsidR="00305EA0" w:rsidRPr="00600ED9" w:rsidRDefault="00305EA0" w:rsidP="00FB1954">
      <w:pPr>
        <w:pStyle w:val="NoSpacing"/>
        <w:ind w:left="720"/>
        <w:jc w:val="both"/>
        <w:rPr>
          <w:lang w:val="es-ES_tradnl"/>
        </w:rPr>
      </w:pPr>
    </w:p>
    <w:p w:rsidR="000B19AA" w:rsidRPr="00600ED9" w:rsidRDefault="000B19AA" w:rsidP="00FB1954">
      <w:pPr>
        <w:pStyle w:val="NoSpacing"/>
        <w:ind w:left="720"/>
        <w:jc w:val="both"/>
        <w:rPr>
          <w:bCs/>
          <w:lang w:val="es-ES_tradnl"/>
        </w:rPr>
      </w:pPr>
      <w:r w:rsidRPr="00600ED9">
        <w:rPr>
          <w:bCs/>
          <w:lang w:val="es-ES_tradnl"/>
        </w:rPr>
        <w:t xml:space="preserve">Conclusiones de las dimensiones y criterios evaluados en el EFS-12 </w:t>
      </w:r>
      <w:r w:rsidR="00AD0F46" w:rsidRPr="00600ED9">
        <w:rPr>
          <w:bCs/>
          <w:lang w:val="es-ES_tradnl"/>
        </w:rPr>
        <w:t xml:space="preserve">Proceso de la Auditoría Financiera, </w:t>
      </w:r>
      <w:r w:rsidRPr="00600ED9">
        <w:rPr>
          <w:bCs/>
          <w:lang w:val="es-ES_tradnl"/>
        </w:rPr>
        <w:t xml:space="preserve">también son aplicables a </w:t>
      </w:r>
      <w:r w:rsidRPr="00600ED9">
        <w:rPr>
          <w:rFonts w:cs="Arial"/>
          <w:lang w:val="es-ES_tradnl"/>
        </w:rPr>
        <w:t xml:space="preserve">la </w:t>
      </w:r>
      <w:r w:rsidRPr="00600ED9">
        <w:rPr>
          <w:bCs/>
          <w:lang w:val="es-ES_tradnl"/>
        </w:rPr>
        <w:t>Auditoría</w:t>
      </w:r>
      <w:r w:rsidRPr="00600ED9">
        <w:rPr>
          <w:lang w:val="es-ES_tradnl"/>
        </w:rPr>
        <w:t xml:space="preserve"> de Cumplimiento</w:t>
      </w:r>
      <w:r w:rsidRPr="00600ED9">
        <w:rPr>
          <w:bCs/>
          <w:lang w:val="es-ES_tradnl"/>
        </w:rPr>
        <w:t xml:space="preserve">. </w:t>
      </w:r>
    </w:p>
    <w:p w:rsidR="000B19AA" w:rsidRPr="00600ED9" w:rsidRDefault="000B19AA" w:rsidP="00FB1954">
      <w:pPr>
        <w:pStyle w:val="NoSpacing"/>
        <w:ind w:left="720"/>
        <w:jc w:val="both"/>
        <w:rPr>
          <w:bCs/>
          <w:lang w:val="es-ES_tradnl"/>
        </w:rPr>
      </w:pPr>
    </w:p>
    <w:tbl>
      <w:tblPr>
        <w:tblStyle w:val="TableGrid"/>
        <w:tblW w:w="9356" w:type="dxa"/>
        <w:tblInd w:w="817" w:type="dxa"/>
        <w:tblLook w:val="04A0" w:firstRow="1" w:lastRow="0" w:firstColumn="1" w:lastColumn="0" w:noHBand="0" w:noVBand="1"/>
      </w:tblPr>
      <w:tblGrid>
        <w:gridCol w:w="9356"/>
      </w:tblGrid>
      <w:tr w:rsidR="00BC63E8" w:rsidRPr="00600ED9" w:rsidTr="00455D3C">
        <w:trPr>
          <w:tblHeader/>
        </w:trPr>
        <w:tc>
          <w:tcPr>
            <w:tcW w:w="9356" w:type="dxa"/>
            <w:shd w:val="clear" w:color="auto" w:fill="365F91" w:themeFill="accent1" w:themeFillShade="BF"/>
          </w:tcPr>
          <w:p w:rsidR="00BC63E8" w:rsidRPr="00600ED9" w:rsidRDefault="00455D3C" w:rsidP="00FB1954">
            <w:pPr>
              <w:pStyle w:val="NoSpacing"/>
              <w:rPr>
                <w:b/>
                <w:color w:val="FFFFFF" w:themeColor="background1"/>
                <w:sz w:val="20"/>
                <w:szCs w:val="20"/>
                <w:lang w:val="es-ES_tradnl"/>
              </w:rPr>
            </w:pPr>
            <w:r w:rsidRPr="00600ED9">
              <w:rPr>
                <w:b/>
                <w:color w:val="FFFFFF" w:themeColor="background1"/>
                <w:sz w:val="20"/>
                <w:szCs w:val="20"/>
                <w:lang w:val="es-ES_tradnl"/>
              </w:rPr>
              <w:t>P</w:t>
            </w:r>
            <w:r w:rsidR="00BC63E8" w:rsidRPr="00600ED9">
              <w:rPr>
                <w:b/>
                <w:color w:val="FFFFFF" w:themeColor="background1"/>
                <w:sz w:val="20"/>
                <w:szCs w:val="20"/>
                <w:lang w:val="es-ES_tradnl"/>
              </w:rPr>
              <w:t>rincipales observ</w:t>
            </w:r>
            <w:r w:rsidRPr="00600ED9">
              <w:rPr>
                <w:b/>
                <w:color w:val="FFFFFF" w:themeColor="background1"/>
                <w:sz w:val="20"/>
                <w:szCs w:val="20"/>
                <w:lang w:val="es-ES_tradnl"/>
              </w:rPr>
              <w:t xml:space="preserve">aciones y conclusiones </w:t>
            </w:r>
          </w:p>
        </w:tc>
      </w:tr>
      <w:tr w:rsidR="00BC63E8" w:rsidRPr="00600ED9" w:rsidTr="00455D3C">
        <w:tc>
          <w:tcPr>
            <w:tcW w:w="9356" w:type="dxa"/>
            <w:shd w:val="clear" w:color="auto" w:fill="D9D9D9" w:themeFill="background1" w:themeFillShade="D9"/>
          </w:tcPr>
          <w:p w:rsidR="00BC63E8" w:rsidRPr="00600ED9" w:rsidRDefault="00BC63E8" w:rsidP="00FB1954">
            <w:pPr>
              <w:pStyle w:val="NoSpacing"/>
              <w:rPr>
                <w:b/>
                <w:i/>
                <w:sz w:val="20"/>
                <w:szCs w:val="20"/>
                <w:lang w:val="es-ES_tradnl"/>
              </w:rPr>
            </w:pPr>
            <w:r w:rsidRPr="00600ED9">
              <w:rPr>
                <w:b/>
                <w:i/>
                <w:sz w:val="20"/>
                <w:szCs w:val="20"/>
                <w:lang w:val="es-ES_tradnl"/>
              </w:rPr>
              <w:t>Dimensión (i) Planeación de auditorías de cumplimiento</w:t>
            </w:r>
          </w:p>
        </w:tc>
      </w:tr>
      <w:tr w:rsidR="00BC63E8" w:rsidRPr="00600ED9" w:rsidTr="00455D3C">
        <w:tc>
          <w:tcPr>
            <w:tcW w:w="9356" w:type="dxa"/>
            <w:shd w:val="clear" w:color="auto" w:fill="D9D9D9" w:themeFill="background1" w:themeFillShade="D9"/>
          </w:tcPr>
          <w:p w:rsidR="00BC63E8" w:rsidRPr="00600ED9" w:rsidRDefault="00BC63E8" w:rsidP="00FB1954">
            <w:pPr>
              <w:pStyle w:val="NoSpacing"/>
              <w:rPr>
                <w:i/>
                <w:color w:val="000000"/>
                <w:sz w:val="20"/>
                <w:szCs w:val="20"/>
                <w:lang w:val="es-ES_tradnl"/>
              </w:rPr>
            </w:pPr>
            <w:r w:rsidRPr="00600ED9">
              <w:rPr>
                <w:b/>
                <w:bCs/>
                <w:i/>
                <w:sz w:val="20"/>
                <w:szCs w:val="20"/>
                <w:lang w:val="es-ES_tradnl"/>
              </w:rPr>
              <w:t>Puntuación 0</w:t>
            </w:r>
            <w:r w:rsidRPr="00600ED9">
              <w:rPr>
                <w:bCs/>
                <w:i/>
                <w:sz w:val="20"/>
                <w:szCs w:val="20"/>
                <w:lang w:val="es-ES_tradnl"/>
              </w:rPr>
              <w:t>: Ninguno de los criterios referidos están implementado.</w:t>
            </w:r>
          </w:p>
        </w:tc>
      </w:tr>
      <w:tr w:rsidR="00BC63E8" w:rsidRPr="00600ED9" w:rsidTr="00656B82">
        <w:trPr>
          <w:trHeight w:val="5112"/>
        </w:trPr>
        <w:tc>
          <w:tcPr>
            <w:tcW w:w="9356" w:type="dxa"/>
          </w:tcPr>
          <w:p w:rsidR="00BC63E8" w:rsidRPr="00600ED9" w:rsidRDefault="00BC63E8" w:rsidP="00FB1954">
            <w:pPr>
              <w:pStyle w:val="Normaltabletext"/>
              <w:spacing w:after="0"/>
              <w:rPr>
                <w:color w:val="000000"/>
                <w:lang w:val="es-ES_tradnl"/>
              </w:rPr>
            </w:pPr>
            <w:r w:rsidRPr="00600ED9">
              <w:rPr>
                <w:color w:val="000000"/>
                <w:lang w:val="es-ES_tradnl"/>
              </w:rPr>
              <w:t xml:space="preserve">Criterio (d) cumple. Criterios (a), (b), (c), (e), (f), (g), (h), (i) y (j) no cumplen. </w:t>
            </w:r>
          </w:p>
          <w:p w:rsidR="00656B82" w:rsidRPr="00600ED9" w:rsidRDefault="00656B82" w:rsidP="00FB1954">
            <w:pPr>
              <w:jc w:val="both"/>
              <w:rPr>
                <w:rFonts w:cs="Arial"/>
                <w:sz w:val="16"/>
                <w:szCs w:val="20"/>
              </w:rPr>
            </w:pPr>
          </w:p>
          <w:p w:rsidR="00BC63E8" w:rsidRPr="00600ED9" w:rsidRDefault="00F57F0F" w:rsidP="00FB1954">
            <w:pPr>
              <w:jc w:val="both"/>
              <w:rPr>
                <w:sz w:val="20"/>
                <w:szCs w:val="20"/>
              </w:rPr>
            </w:pPr>
            <w:r w:rsidRPr="00600ED9">
              <w:rPr>
                <w:rFonts w:cs="Arial"/>
                <w:sz w:val="20"/>
                <w:szCs w:val="20"/>
              </w:rPr>
              <w:t xml:space="preserve">Aplican las conclusiones y observaciones </w:t>
            </w:r>
            <w:r w:rsidR="00BC63E8" w:rsidRPr="00600ED9">
              <w:rPr>
                <w:sz w:val="20"/>
                <w:szCs w:val="20"/>
              </w:rPr>
              <w:t>incluidas en el EFS 12, dimensión (i), que son aplicables a las auditorías de cumplimiento. Las puntuaciones son distintas debido a que los criterios evaluados son similares pero no idénticos. Otros aspectos específicos a los criterios revisados en esta dimensión incluyen:</w:t>
            </w:r>
          </w:p>
          <w:p w:rsidR="00656B82" w:rsidRPr="00600ED9" w:rsidRDefault="00656B82" w:rsidP="00FB1954">
            <w:pPr>
              <w:jc w:val="both"/>
              <w:rPr>
                <w:sz w:val="16"/>
                <w:szCs w:val="20"/>
              </w:rPr>
            </w:pPr>
          </w:p>
          <w:p w:rsidR="00BC63E8" w:rsidRPr="00600ED9" w:rsidRDefault="00BC63E8" w:rsidP="00233205">
            <w:pPr>
              <w:pStyle w:val="ListParagraph"/>
              <w:numPr>
                <w:ilvl w:val="0"/>
                <w:numId w:val="36"/>
              </w:numPr>
              <w:jc w:val="both"/>
              <w:rPr>
                <w:rFonts w:cs="Arial"/>
                <w:iCs/>
                <w:color w:val="404040" w:themeColor="text1" w:themeTint="BF"/>
                <w:sz w:val="20"/>
                <w:szCs w:val="20"/>
                <w:lang w:eastAsia="en-GB"/>
              </w:rPr>
            </w:pPr>
            <w:r w:rsidRPr="00600ED9">
              <w:rPr>
                <w:rFonts w:eastAsia="Times New Roman"/>
                <w:color w:val="000000"/>
                <w:sz w:val="20"/>
                <w:szCs w:val="20"/>
                <w:lang w:eastAsia="zh-TW"/>
              </w:rPr>
              <w:t xml:space="preserve">Se elabora un sólo plan de auditoría y por lo tanto, </w:t>
            </w:r>
            <w:r w:rsidRPr="00600ED9">
              <w:rPr>
                <w:sz w:val="20"/>
                <w:szCs w:val="20"/>
                <w:lang w:eastAsia="en-GB"/>
              </w:rPr>
              <w:t xml:space="preserve">no se incluyen elementos </w:t>
            </w:r>
            <w:r w:rsidR="00F57F0F" w:rsidRPr="00600ED9">
              <w:rPr>
                <w:sz w:val="20"/>
                <w:szCs w:val="20"/>
                <w:lang w:eastAsia="en-GB"/>
              </w:rPr>
              <w:t xml:space="preserve">específicos para </w:t>
            </w:r>
            <w:r w:rsidRPr="00600ED9">
              <w:rPr>
                <w:sz w:val="20"/>
                <w:szCs w:val="20"/>
                <w:lang w:eastAsia="en-GB"/>
              </w:rPr>
              <w:t xml:space="preserve">la auditoría de cumplimiento. No existe una sección dentro del Plan de Auditoría que confirme que se han tomado en cuenta los aspectos importantes cualitativos y cuantitativos de la auditoría de cumplimiento. </w:t>
            </w:r>
            <w:r w:rsidRPr="00600ED9">
              <w:rPr>
                <w:rFonts w:cs="Arial"/>
                <w:sz w:val="20"/>
                <w:szCs w:val="20"/>
                <w:lang w:eastAsia="en-GB"/>
              </w:rPr>
              <w:t>Aunque durante la etapa de planeación, los auditores consideran los riesgos de auditoría (inherente, controlable y detección); no incluyen para el caso de las auditorías de cumplimiento la determinación de los riesgos de incumplimiento de leyes y regulaciones.</w:t>
            </w:r>
          </w:p>
          <w:p w:rsidR="008E5077" w:rsidRPr="00600ED9" w:rsidRDefault="00BC63E8" w:rsidP="00233205">
            <w:pPr>
              <w:pStyle w:val="ListParagraph"/>
              <w:numPr>
                <w:ilvl w:val="0"/>
                <w:numId w:val="36"/>
              </w:numPr>
              <w:jc w:val="both"/>
              <w:rPr>
                <w:rFonts w:cstheme="majorBidi"/>
                <w:iCs/>
                <w:color w:val="404040" w:themeColor="text1" w:themeTint="BF"/>
                <w:sz w:val="20"/>
                <w:szCs w:val="20"/>
                <w:lang w:eastAsia="en-GB"/>
              </w:rPr>
            </w:pPr>
            <w:r w:rsidRPr="00600ED9">
              <w:rPr>
                <w:rFonts w:cs="Arial"/>
                <w:sz w:val="20"/>
                <w:szCs w:val="20"/>
                <w:lang w:eastAsia="en-GB"/>
              </w:rPr>
              <w:t xml:space="preserve">En la mayoría de los casos, la </w:t>
            </w:r>
            <w:r w:rsidRPr="00600ED9">
              <w:rPr>
                <w:rFonts w:eastAsia="Times New Roman"/>
                <w:color w:val="000000"/>
                <w:sz w:val="20"/>
                <w:szCs w:val="20"/>
                <w:lang w:eastAsia="zh-TW"/>
              </w:rPr>
              <w:t xml:space="preserve">determinación de la materialidad se hace a partir de las cifras del balance financiero (por tratarse de entidades del gobierno). En el caso específico de las auditorías de cumplimiento, </w:t>
            </w:r>
            <w:r w:rsidRPr="00600ED9">
              <w:rPr>
                <w:sz w:val="20"/>
                <w:szCs w:val="20"/>
                <w:lang w:eastAsia="en-GB"/>
              </w:rPr>
              <w:t>no se documenta el efecto material que pudiera tener el no cumplimiento de leyes y regulaciones. Por lo anterior, no se pude concluir que se considere su valor, naturaleza y contexto en relación a si el incumplimiento de leyes y regulaciones pudiera tener un efecto en la opinión sobre los balances financieros.</w:t>
            </w:r>
          </w:p>
          <w:p w:rsidR="00BC63E8" w:rsidRPr="00600ED9" w:rsidRDefault="00BC63E8" w:rsidP="00233205">
            <w:pPr>
              <w:pStyle w:val="ListParagraph"/>
              <w:numPr>
                <w:ilvl w:val="0"/>
                <w:numId w:val="36"/>
              </w:numPr>
              <w:jc w:val="both"/>
              <w:rPr>
                <w:rFonts w:cstheme="majorBidi"/>
                <w:iCs/>
                <w:color w:val="404040" w:themeColor="text1" w:themeTint="BF"/>
                <w:sz w:val="20"/>
                <w:szCs w:val="20"/>
                <w:lang w:eastAsia="en-GB"/>
              </w:rPr>
            </w:pPr>
            <w:r w:rsidRPr="00600ED9">
              <w:rPr>
                <w:sz w:val="20"/>
                <w:szCs w:val="20"/>
                <w:lang w:eastAsia="en-GB"/>
              </w:rPr>
              <w:t xml:space="preserve">No se encontró </w:t>
            </w:r>
            <w:r w:rsidRPr="00600ED9">
              <w:rPr>
                <w:rFonts w:eastAsia="Times New Roman"/>
                <w:color w:val="000000"/>
                <w:sz w:val="20"/>
                <w:szCs w:val="20"/>
              </w:rPr>
              <w:t xml:space="preserve">evidencia suficiente de los procedimientos que se llevaron a cabo para la comprensión del ambiente de control interno y no se hace referencia a la </w:t>
            </w:r>
            <w:r w:rsidR="00F57F0F" w:rsidRPr="00600ED9">
              <w:rPr>
                <w:rFonts w:eastAsia="Times New Roman"/>
                <w:color w:val="000000"/>
                <w:sz w:val="20"/>
                <w:szCs w:val="20"/>
              </w:rPr>
              <w:t>evaluación del</w:t>
            </w:r>
            <w:r w:rsidRPr="00600ED9">
              <w:rPr>
                <w:rFonts w:eastAsia="Times New Roman"/>
                <w:color w:val="000000"/>
                <w:sz w:val="20"/>
                <w:szCs w:val="20"/>
              </w:rPr>
              <w:t xml:space="preserve"> ambiente de control interno </w:t>
            </w:r>
            <w:r w:rsidR="00F57F0F" w:rsidRPr="00600ED9">
              <w:rPr>
                <w:rFonts w:eastAsia="Times New Roman"/>
                <w:color w:val="000000"/>
                <w:sz w:val="20"/>
                <w:szCs w:val="20"/>
              </w:rPr>
              <w:t xml:space="preserve">con </w:t>
            </w:r>
            <w:r w:rsidRPr="00600ED9">
              <w:rPr>
                <w:rFonts w:eastAsia="Times New Roman"/>
                <w:color w:val="000000"/>
                <w:sz w:val="20"/>
                <w:szCs w:val="20"/>
              </w:rPr>
              <w:t>bas</w:t>
            </w:r>
            <w:r w:rsidR="00F57F0F" w:rsidRPr="00600ED9">
              <w:rPr>
                <w:rFonts w:eastAsia="Times New Roman"/>
                <w:color w:val="000000"/>
                <w:sz w:val="20"/>
                <w:szCs w:val="20"/>
              </w:rPr>
              <w:t>e</w:t>
            </w:r>
            <w:r w:rsidRPr="00600ED9">
              <w:rPr>
                <w:rFonts w:eastAsia="Times New Roman"/>
                <w:color w:val="000000"/>
                <w:sz w:val="20"/>
                <w:szCs w:val="20"/>
              </w:rPr>
              <w:t xml:space="preserve"> en las pruebas de cumplimiento efectuadas</w:t>
            </w:r>
            <w:r w:rsidRPr="00600ED9">
              <w:rPr>
                <w:color w:val="000000"/>
                <w:sz w:val="20"/>
                <w:szCs w:val="20"/>
              </w:rPr>
              <w:t>.</w:t>
            </w:r>
          </w:p>
        </w:tc>
      </w:tr>
      <w:tr w:rsidR="00BC63E8" w:rsidRPr="00600ED9" w:rsidTr="00455D3C">
        <w:tc>
          <w:tcPr>
            <w:tcW w:w="9356" w:type="dxa"/>
            <w:shd w:val="clear" w:color="auto" w:fill="D9D9D9" w:themeFill="background1" w:themeFillShade="D9"/>
          </w:tcPr>
          <w:p w:rsidR="00BC63E8" w:rsidRPr="00600ED9" w:rsidRDefault="00BC63E8" w:rsidP="00FB1954">
            <w:pPr>
              <w:pStyle w:val="NoSpacing"/>
              <w:rPr>
                <w:b/>
                <w:i/>
                <w:sz w:val="20"/>
                <w:lang w:val="es-ES_tradnl"/>
              </w:rPr>
            </w:pPr>
            <w:r w:rsidRPr="00600ED9">
              <w:rPr>
                <w:b/>
                <w:i/>
                <w:sz w:val="20"/>
                <w:lang w:val="es-ES_tradnl"/>
              </w:rPr>
              <w:t>Dimensión (ii) Implementación de auditorías de cumplimiento</w:t>
            </w:r>
          </w:p>
        </w:tc>
      </w:tr>
      <w:tr w:rsidR="00BC63E8" w:rsidRPr="00600ED9" w:rsidTr="007A52D4">
        <w:tc>
          <w:tcPr>
            <w:tcW w:w="9356" w:type="dxa"/>
            <w:shd w:val="clear" w:color="auto" w:fill="D9D9D9" w:themeFill="background1" w:themeFillShade="D9"/>
          </w:tcPr>
          <w:p w:rsidR="00BC63E8" w:rsidRPr="00600ED9" w:rsidRDefault="00BC63E8" w:rsidP="00FB1954">
            <w:pPr>
              <w:pStyle w:val="NoSpacing"/>
              <w:rPr>
                <w:i/>
                <w:color w:val="000000"/>
                <w:sz w:val="20"/>
                <w:szCs w:val="20"/>
                <w:lang w:val="es-ES_tradnl" w:eastAsia="zh-TW"/>
              </w:rPr>
            </w:pPr>
            <w:r w:rsidRPr="00600ED9">
              <w:rPr>
                <w:b/>
                <w:bCs/>
                <w:i/>
                <w:sz w:val="20"/>
                <w:szCs w:val="20"/>
                <w:lang w:val="es-ES_tradnl"/>
              </w:rPr>
              <w:t>Puntuación 2</w:t>
            </w:r>
            <w:r w:rsidRPr="00600ED9">
              <w:rPr>
                <w:bCs/>
                <w:i/>
                <w:sz w:val="20"/>
                <w:szCs w:val="20"/>
                <w:lang w:val="es-ES_tradnl"/>
              </w:rPr>
              <w:t>: Al menos dos de los criterios mencionados están implementados</w:t>
            </w:r>
          </w:p>
        </w:tc>
      </w:tr>
      <w:tr w:rsidR="00BC63E8" w:rsidRPr="00600ED9" w:rsidTr="00455D3C">
        <w:tc>
          <w:tcPr>
            <w:tcW w:w="9356" w:type="dxa"/>
          </w:tcPr>
          <w:p w:rsidR="00BC63E8" w:rsidRPr="00600ED9" w:rsidRDefault="00BC63E8" w:rsidP="00FB1954">
            <w:pPr>
              <w:jc w:val="both"/>
              <w:rPr>
                <w:rFonts w:eastAsiaTheme="minorEastAsia"/>
                <w:color w:val="000000"/>
                <w:sz w:val="20"/>
                <w:szCs w:val="20"/>
                <w:lang w:eastAsia="zh-TW"/>
              </w:rPr>
            </w:pPr>
            <w:r w:rsidRPr="00600ED9">
              <w:rPr>
                <w:rFonts w:eastAsiaTheme="minorEastAsia"/>
                <w:color w:val="000000"/>
                <w:sz w:val="20"/>
                <w:szCs w:val="20"/>
                <w:lang w:eastAsia="zh-TW"/>
              </w:rPr>
              <w:t xml:space="preserve">Criterios  (c) y (e) cumplen. Criterios (a), (b), (d) no cumplen. </w:t>
            </w:r>
          </w:p>
          <w:p w:rsidR="00656B82" w:rsidRPr="00600ED9" w:rsidRDefault="00656B82" w:rsidP="00FB1954">
            <w:pPr>
              <w:jc w:val="both"/>
              <w:rPr>
                <w:rFonts w:eastAsiaTheme="minorEastAsia"/>
                <w:color w:val="000000"/>
                <w:sz w:val="18"/>
                <w:szCs w:val="20"/>
                <w:lang w:eastAsia="zh-TW"/>
              </w:rPr>
            </w:pPr>
          </w:p>
          <w:p w:rsidR="00A85E18" w:rsidRPr="00600ED9" w:rsidRDefault="00A85E18" w:rsidP="00FB1954">
            <w:pPr>
              <w:jc w:val="both"/>
              <w:rPr>
                <w:rFonts w:eastAsiaTheme="minorEastAsia"/>
                <w:color w:val="000000"/>
                <w:sz w:val="20"/>
                <w:szCs w:val="20"/>
                <w:lang w:eastAsia="zh-TW"/>
              </w:rPr>
            </w:pPr>
            <w:r w:rsidRPr="00600ED9">
              <w:rPr>
                <w:rFonts w:eastAsia="Times New Roman"/>
                <w:color w:val="000000"/>
                <w:sz w:val="20"/>
                <w:szCs w:val="20"/>
                <w:lang w:eastAsia="zh-TW"/>
              </w:rPr>
              <w:t>La Guía de Auditoría Ajustada al SICA, incluye información del rol de un experto externo e interno. No se incluye un procedimiento a seguir en el caso de que se tenga que contratar a un experto externo. La mayoría de expertos que utiliza la CGRC pertenece</w:t>
            </w:r>
            <w:r w:rsidR="00A73AC5" w:rsidRPr="00600ED9">
              <w:rPr>
                <w:rFonts w:eastAsia="Times New Roman"/>
                <w:color w:val="000000"/>
                <w:sz w:val="20"/>
                <w:szCs w:val="20"/>
                <w:lang w:eastAsia="zh-TW"/>
              </w:rPr>
              <w:t>n</w:t>
            </w:r>
            <w:r w:rsidRPr="00600ED9">
              <w:rPr>
                <w:rFonts w:eastAsia="Times New Roman"/>
                <w:color w:val="000000"/>
                <w:sz w:val="20"/>
                <w:szCs w:val="20"/>
                <w:lang w:eastAsia="zh-TW"/>
              </w:rPr>
              <w:t xml:space="preserve"> al Departamento Jurídico, quienes asesoran a los auditores sobre la forma en que se deberían de presentar las evidencias de los hallazgos fiscales</w:t>
            </w:r>
            <w:r w:rsidRPr="00600ED9">
              <w:rPr>
                <w:rFonts w:eastAsiaTheme="minorEastAsia"/>
                <w:color w:val="000000"/>
                <w:sz w:val="20"/>
                <w:szCs w:val="20"/>
                <w:lang w:eastAsia="zh-TW"/>
              </w:rPr>
              <w:t>.</w:t>
            </w:r>
          </w:p>
          <w:p w:rsidR="00A85E18" w:rsidRPr="00600ED9" w:rsidRDefault="00A85E18" w:rsidP="00FB1954">
            <w:pPr>
              <w:jc w:val="both"/>
              <w:rPr>
                <w:rFonts w:eastAsiaTheme="minorEastAsia"/>
                <w:color w:val="000000"/>
                <w:sz w:val="20"/>
                <w:szCs w:val="20"/>
                <w:lang w:eastAsia="zh-TW"/>
              </w:rPr>
            </w:pPr>
            <w:r w:rsidRPr="00600ED9">
              <w:rPr>
                <w:rFonts w:eastAsiaTheme="minorEastAsia"/>
                <w:color w:val="000000"/>
                <w:sz w:val="20"/>
                <w:szCs w:val="20"/>
                <w:lang w:eastAsia="zh-TW"/>
              </w:rPr>
              <w:lastRenderedPageBreak/>
              <w:t>Si bien no se emite un dictamen separado sobre el cumplimiento de leyes y regulaciones, en el informe integral sí se incluyen</w:t>
            </w:r>
            <w:r w:rsidR="00A73AC5" w:rsidRPr="00600ED9">
              <w:rPr>
                <w:rFonts w:eastAsiaTheme="minorEastAsia"/>
                <w:color w:val="000000"/>
                <w:sz w:val="20"/>
                <w:szCs w:val="20"/>
                <w:lang w:eastAsia="zh-TW"/>
              </w:rPr>
              <w:t xml:space="preserve"> los</w:t>
            </w:r>
            <w:r w:rsidRPr="00600ED9">
              <w:rPr>
                <w:rFonts w:eastAsiaTheme="minorEastAsia"/>
                <w:color w:val="000000"/>
                <w:sz w:val="20"/>
                <w:szCs w:val="20"/>
                <w:lang w:eastAsia="zh-TW"/>
              </w:rPr>
              <w:t xml:space="preserve"> hallazgos relacionados pero no se  formulan recomendaciones.</w:t>
            </w:r>
          </w:p>
          <w:p w:rsidR="00656B82" w:rsidRPr="00600ED9" w:rsidRDefault="00656B82" w:rsidP="00FB1954">
            <w:pPr>
              <w:jc w:val="both"/>
              <w:rPr>
                <w:rFonts w:eastAsiaTheme="minorEastAsia"/>
                <w:color w:val="000000"/>
                <w:sz w:val="20"/>
                <w:szCs w:val="20"/>
                <w:lang w:eastAsia="zh-TW"/>
              </w:rPr>
            </w:pPr>
          </w:p>
          <w:p w:rsidR="008E5077" w:rsidRPr="00600ED9" w:rsidRDefault="00BC63E8" w:rsidP="00FB1954">
            <w:pPr>
              <w:jc w:val="both"/>
              <w:rPr>
                <w:rFonts w:cs="Arial"/>
                <w:sz w:val="20"/>
                <w:szCs w:val="20"/>
                <w:lang w:eastAsia="en-GB"/>
              </w:rPr>
            </w:pPr>
            <w:r w:rsidRPr="00600ED9">
              <w:rPr>
                <w:rFonts w:eastAsiaTheme="minorEastAsia"/>
                <w:color w:val="000000"/>
                <w:sz w:val="20"/>
                <w:szCs w:val="20"/>
                <w:lang w:eastAsia="zh-TW"/>
              </w:rPr>
              <w:t>Los</w:t>
            </w:r>
            <w:r w:rsidRPr="00600ED9">
              <w:rPr>
                <w:rFonts w:eastAsia="Times New Roman"/>
                <w:color w:val="000000"/>
                <w:sz w:val="20"/>
                <w:szCs w:val="20"/>
                <w:lang w:eastAsia="zh-TW"/>
              </w:rPr>
              <w:t xml:space="preserve"> equipos auditores elaboran su planeación de auditoría integral enfocados en las auditorías financieras, </w:t>
            </w:r>
            <w:r w:rsidR="00A85E18" w:rsidRPr="00600ED9">
              <w:rPr>
                <w:rFonts w:eastAsia="Times New Roman"/>
                <w:color w:val="000000"/>
                <w:sz w:val="20"/>
                <w:szCs w:val="20"/>
                <w:lang w:eastAsia="zh-TW"/>
              </w:rPr>
              <w:t>en</w:t>
            </w:r>
            <w:r w:rsidRPr="00600ED9">
              <w:rPr>
                <w:rFonts w:eastAsia="Times New Roman"/>
                <w:color w:val="000000"/>
                <w:sz w:val="20"/>
                <w:szCs w:val="20"/>
                <w:lang w:eastAsia="zh-TW"/>
              </w:rPr>
              <w:t xml:space="preserve"> las cuales identifican los posibles riesgos. Sin embargo, no cumplen con lo requerido en la ISSAI 400.54 debido a que  no identifican los riesgos de no cumplimiento y el impacto potencial sobre los</w:t>
            </w:r>
            <w:r w:rsidRPr="00600ED9">
              <w:rPr>
                <w:rFonts w:cs="Arial"/>
                <w:sz w:val="20"/>
                <w:szCs w:val="20"/>
                <w:lang w:eastAsia="en-GB"/>
              </w:rPr>
              <w:t xml:space="preserve"> procedimientos de auditoría, y por tal razón no diseñan procedimientos para  mitigar los riesgos durante todo el proceso de auditoría. No cumplen con la obtención de evidencia de auditoría apropiada y suficiente, debido a que la auditoría integral no incluye procedimientos para recopilar evidencia cuantitativa y cualitativa de la naturaleza de la auditoría.  </w:t>
            </w:r>
            <w:r w:rsidR="005D66C6" w:rsidRPr="00600ED9">
              <w:rPr>
                <w:rFonts w:cs="Arial"/>
                <w:sz w:val="20"/>
                <w:szCs w:val="20"/>
                <w:lang w:eastAsia="en-GB"/>
              </w:rPr>
              <w:t>L</w:t>
            </w:r>
            <w:r w:rsidRPr="00600ED9">
              <w:rPr>
                <w:rFonts w:cs="Arial"/>
                <w:sz w:val="20"/>
                <w:szCs w:val="20"/>
                <w:lang w:eastAsia="en-GB"/>
              </w:rPr>
              <w:t xml:space="preserve">os equipos auditores que realizan  la auditoría de cumplimiento, </w:t>
            </w:r>
            <w:r w:rsidR="005D66C6" w:rsidRPr="00600ED9">
              <w:rPr>
                <w:rFonts w:cs="Arial"/>
                <w:sz w:val="20"/>
                <w:szCs w:val="20"/>
                <w:lang w:eastAsia="en-GB"/>
              </w:rPr>
              <w:t xml:space="preserve">no </w:t>
            </w:r>
            <w:r w:rsidRPr="00600ED9">
              <w:rPr>
                <w:rFonts w:cs="Arial"/>
                <w:sz w:val="20"/>
                <w:szCs w:val="20"/>
                <w:lang w:eastAsia="en-GB"/>
              </w:rPr>
              <w:t>combinan o comparan la evidencia de diferentes fuentes para satisfacer los requerimientos de suficiencia y pertinencia.</w:t>
            </w:r>
          </w:p>
          <w:p w:rsidR="00656B82" w:rsidRPr="00600ED9" w:rsidRDefault="00656B82" w:rsidP="00FB1954">
            <w:pPr>
              <w:jc w:val="both"/>
              <w:rPr>
                <w:rFonts w:cs="Arial"/>
                <w:sz w:val="14"/>
                <w:szCs w:val="20"/>
                <w:lang w:eastAsia="en-GB"/>
              </w:rPr>
            </w:pPr>
          </w:p>
        </w:tc>
      </w:tr>
      <w:tr w:rsidR="00BC63E8" w:rsidRPr="00600ED9" w:rsidTr="00455D3C">
        <w:tc>
          <w:tcPr>
            <w:tcW w:w="9356" w:type="dxa"/>
            <w:shd w:val="clear" w:color="auto" w:fill="D9D9D9" w:themeFill="background1" w:themeFillShade="D9"/>
          </w:tcPr>
          <w:p w:rsidR="00BC63E8" w:rsidRPr="00600ED9" w:rsidRDefault="00BC63E8" w:rsidP="00FB1954">
            <w:pPr>
              <w:pStyle w:val="NoSpacing"/>
              <w:jc w:val="both"/>
              <w:rPr>
                <w:b/>
                <w:i/>
                <w:sz w:val="20"/>
                <w:lang w:val="es-ES_tradnl"/>
              </w:rPr>
            </w:pPr>
            <w:r w:rsidRPr="00600ED9">
              <w:rPr>
                <w:b/>
                <w:i/>
                <w:sz w:val="20"/>
                <w:lang w:val="es-ES_tradnl"/>
              </w:rPr>
              <w:lastRenderedPageBreak/>
              <w:t>Dimensión (iii) Evaluando la evidencia de la auditoría, concluyendo e informando en auditorías de cumplimiento</w:t>
            </w:r>
          </w:p>
        </w:tc>
      </w:tr>
      <w:tr w:rsidR="00BC63E8" w:rsidRPr="00600ED9" w:rsidTr="007A52D4">
        <w:tc>
          <w:tcPr>
            <w:tcW w:w="9356" w:type="dxa"/>
            <w:shd w:val="clear" w:color="auto" w:fill="D9D9D9" w:themeFill="background1" w:themeFillShade="D9"/>
          </w:tcPr>
          <w:p w:rsidR="00BC63E8" w:rsidRPr="00600ED9" w:rsidRDefault="00BC63E8" w:rsidP="00FB1954">
            <w:pPr>
              <w:pStyle w:val="NoSpacing"/>
              <w:rPr>
                <w:i/>
                <w:color w:val="000000"/>
                <w:sz w:val="20"/>
                <w:szCs w:val="20"/>
                <w:lang w:val="es-ES_tradnl" w:eastAsia="zh-TW"/>
              </w:rPr>
            </w:pPr>
            <w:r w:rsidRPr="00600ED9">
              <w:rPr>
                <w:b/>
                <w:bCs/>
                <w:i/>
                <w:sz w:val="20"/>
                <w:szCs w:val="20"/>
                <w:lang w:val="es-ES_tradnl"/>
              </w:rPr>
              <w:t>Puntuación 2</w:t>
            </w:r>
            <w:r w:rsidRPr="00600ED9">
              <w:rPr>
                <w:bCs/>
                <w:i/>
                <w:sz w:val="20"/>
                <w:szCs w:val="20"/>
                <w:lang w:val="es-ES_tradnl"/>
              </w:rPr>
              <w:t>: Al menos cinco de los criterios mencionados están implementados</w:t>
            </w:r>
          </w:p>
        </w:tc>
      </w:tr>
      <w:tr w:rsidR="00BC63E8" w:rsidRPr="00600ED9" w:rsidTr="00455D3C">
        <w:tc>
          <w:tcPr>
            <w:tcW w:w="9356" w:type="dxa"/>
          </w:tcPr>
          <w:p w:rsidR="00BC63E8" w:rsidRPr="00600ED9" w:rsidRDefault="00BC63E8" w:rsidP="00FB1954">
            <w:pPr>
              <w:jc w:val="both"/>
              <w:rPr>
                <w:rFonts w:eastAsiaTheme="minorEastAsia"/>
                <w:color w:val="000000"/>
                <w:sz w:val="20"/>
                <w:szCs w:val="20"/>
                <w:lang w:eastAsia="zh-TW"/>
              </w:rPr>
            </w:pPr>
            <w:r w:rsidRPr="00600ED9">
              <w:rPr>
                <w:rFonts w:eastAsiaTheme="minorEastAsia"/>
                <w:color w:val="000000"/>
                <w:sz w:val="20"/>
                <w:szCs w:val="20"/>
                <w:lang w:eastAsia="zh-TW"/>
              </w:rPr>
              <w:t xml:space="preserve">Criterios (d), (e) y (f) cumplen. </w:t>
            </w:r>
            <w:proofErr w:type="spellStart"/>
            <w:r w:rsidRPr="004F42B9">
              <w:rPr>
                <w:rFonts w:eastAsiaTheme="minorEastAsia"/>
                <w:color w:val="000000"/>
                <w:sz w:val="20"/>
                <w:szCs w:val="20"/>
                <w:lang w:val="pt-BR" w:eastAsia="zh-TW"/>
              </w:rPr>
              <w:t>Criterios</w:t>
            </w:r>
            <w:proofErr w:type="spellEnd"/>
            <w:r w:rsidRPr="004F42B9">
              <w:rPr>
                <w:rFonts w:eastAsiaTheme="minorEastAsia"/>
                <w:color w:val="000000"/>
                <w:sz w:val="20"/>
                <w:szCs w:val="20"/>
                <w:lang w:val="pt-BR" w:eastAsia="zh-TW"/>
              </w:rPr>
              <w:t xml:space="preserve"> (a), (b), (c), (h), (i) no </w:t>
            </w:r>
            <w:proofErr w:type="spellStart"/>
            <w:r w:rsidRPr="004F42B9">
              <w:rPr>
                <w:rFonts w:eastAsiaTheme="minorEastAsia"/>
                <w:color w:val="000000"/>
                <w:sz w:val="20"/>
                <w:szCs w:val="20"/>
                <w:lang w:val="pt-BR" w:eastAsia="zh-TW"/>
              </w:rPr>
              <w:t>cumplen</w:t>
            </w:r>
            <w:proofErr w:type="spellEnd"/>
            <w:r w:rsidRPr="004F42B9">
              <w:rPr>
                <w:rFonts w:eastAsiaTheme="minorEastAsia"/>
                <w:color w:val="000000"/>
                <w:sz w:val="20"/>
                <w:szCs w:val="20"/>
                <w:lang w:val="pt-BR" w:eastAsia="zh-TW"/>
              </w:rPr>
              <w:t>.</w:t>
            </w:r>
            <w:r w:rsidR="008A1CE5" w:rsidRPr="004F42B9">
              <w:rPr>
                <w:rFonts w:eastAsiaTheme="minorEastAsia"/>
                <w:color w:val="000000"/>
                <w:sz w:val="20"/>
                <w:szCs w:val="20"/>
                <w:lang w:val="pt-BR" w:eastAsia="zh-TW"/>
              </w:rPr>
              <w:t xml:space="preserve"> </w:t>
            </w:r>
            <w:r w:rsidR="008A1CE5" w:rsidRPr="00600ED9">
              <w:rPr>
                <w:rFonts w:eastAsiaTheme="minorEastAsia"/>
                <w:color w:val="000000"/>
                <w:sz w:val="20"/>
                <w:szCs w:val="20"/>
                <w:lang w:eastAsia="zh-TW"/>
              </w:rPr>
              <w:t>Criterios (g) y (j) no aplican</w:t>
            </w:r>
            <w:r w:rsidR="008A1CE5" w:rsidRPr="00600ED9">
              <w:rPr>
                <w:rStyle w:val="FootnoteReference"/>
                <w:rFonts w:eastAsiaTheme="minorEastAsia"/>
                <w:color w:val="000000"/>
                <w:sz w:val="20"/>
                <w:szCs w:val="20"/>
                <w:lang w:eastAsia="zh-TW"/>
              </w:rPr>
              <w:footnoteReference w:id="41"/>
            </w:r>
            <w:r w:rsidR="008A1CE5" w:rsidRPr="00600ED9">
              <w:rPr>
                <w:rFonts w:eastAsiaTheme="minorEastAsia"/>
                <w:color w:val="000000"/>
                <w:sz w:val="20"/>
                <w:szCs w:val="20"/>
                <w:lang w:eastAsia="zh-TW"/>
              </w:rPr>
              <w:t>.</w:t>
            </w:r>
          </w:p>
          <w:p w:rsidR="00656B82" w:rsidRPr="00600ED9" w:rsidRDefault="00656B82" w:rsidP="00FB1954">
            <w:pPr>
              <w:jc w:val="both"/>
              <w:rPr>
                <w:rFonts w:eastAsiaTheme="minorEastAsia"/>
                <w:color w:val="000000"/>
                <w:sz w:val="20"/>
                <w:szCs w:val="20"/>
                <w:lang w:eastAsia="zh-TW"/>
              </w:rPr>
            </w:pPr>
          </w:p>
          <w:p w:rsidR="00BC63E8" w:rsidRPr="00600ED9" w:rsidRDefault="008A1CE5" w:rsidP="00FB1954">
            <w:pPr>
              <w:jc w:val="both"/>
              <w:rPr>
                <w:sz w:val="20"/>
                <w:szCs w:val="20"/>
              </w:rPr>
            </w:pPr>
            <w:r w:rsidRPr="00600ED9">
              <w:rPr>
                <w:rFonts w:cs="Arial"/>
                <w:sz w:val="20"/>
                <w:szCs w:val="20"/>
              </w:rPr>
              <w:t xml:space="preserve">Aplican las conclusiones y observaciones </w:t>
            </w:r>
            <w:r w:rsidR="00BC63E8" w:rsidRPr="00600ED9">
              <w:rPr>
                <w:sz w:val="20"/>
                <w:szCs w:val="20"/>
              </w:rPr>
              <w:t>incluidas en el EFS 12 (iii) y el EFS 1</w:t>
            </w:r>
            <w:r w:rsidR="000B19AA" w:rsidRPr="00600ED9">
              <w:rPr>
                <w:sz w:val="20"/>
                <w:szCs w:val="20"/>
              </w:rPr>
              <w:t xml:space="preserve">3 </w:t>
            </w:r>
            <w:r w:rsidR="00BC63E8" w:rsidRPr="00600ED9">
              <w:rPr>
                <w:sz w:val="20"/>
                <w:szCs w:val="20"/>
              </w:rPr>
              <w:t>(i) que son aplicables a las auditorías de cumplimiento.</w:t>
            </w:r>
          </w:p>
          <w:p w:rsidR="00BC63E8" w:rsidRPr="00600ED9" w:rsidRDefault="00BC63E8" w:rsidP="00FB1954">
            <w:pPr>
              <w:jc w:val="both"/>
              <w:rPr>
                <w:rFonts w:eastAsiaTheme="minorEastAsia"/>
                <w:color w:val="000000"/>
                <w:sz w:val="16"/>
                <w:szCs w:val="20"/>
                <w:lang w:eastAsia="zh-TW"/>
              </w:rPr>
            </w:pPr>
          </w:p>
        </w:tc>
      </w:tr>
    </w:tbl>
    <w:p w:rsidR="003B04AB" w:rsidRPr="00600ED9" w:rsidRDefault="003B04AB" w:rsidP="00FB1954">
      <w:pPr>
        <w:spacing w:after="0" w:line="240" w:lineRule="auto"/>
        <w:jc w:val="both"/>
        <w:rPr>
          <w:b/>
          <w:sz w:val="20"/>
          <w:szCs w:val="20"/>
        </w:rPr>
      </w:pPr>
    </w:p>
    <w:p w:rsidR="00AB1E17" w:rsidRPr="00600ED9" w:rsidRDefault="00656B82" w:rsidP="00656B82">
      <w:pPr>
        <w:pStyle w:val="NoSpacing"/>
        <w:tabs>
          <w:tab w:val="left" w:pos="2880"/>
        </w:tabs>
        <w:ind w:left="720"/>
        <w:rPr>
          <w:lang w:val="es-ES_tradnl"/>
        </w:rPr>
      </w:pPr>
      <w:r w:rsidRPr="00600ED9">
        <w:rPr>
          <w:b/>
          <w:bCs/>
          <w:smallCaps/>
          <w:lang w:val="es-ES_tradnl"/>
        </w:rPr>
        <w:t>Recomendación</w:t>
      </w:r>
      <w:r w:rsidR="003B04AB" w:rsidRPr="00600ED9">
        <w:rPr>
          <w:lang w:val="es-ES_tradnl"/>
        </w:rPr>
        <w:t>:</w:t>
      </w:r>
      <w:r w:rsidRPr="00600ED9">
        <w:rPr>
          <w:lang w:val="es-ES_tradnl"/>
        </w:rPr>
        <w:t xml:space="preserve"> </w:t>
      </w:r>
      <w:r w:rsidR="005120A2" w:rsidRPr="00600ED9">
        <w:rPr>
          <w:lang w:val="es-ES_tradnl"/>
        </w:rPr>
        <w:t>Consultar el</w:t>
      </w:r>
      <w:r w:rsidR="00CA3E61" w:rsidRPr="00600ED9">
        <w:rPr>
          <w:lang w:val="es-ES_tradnl"/>
        </w:rPr>
        <w:t xml:space="preserve"> Anexo </w:t>
      </w:r>
      <w:r w:rsidR="00BC63E8" w:rsidRPr="00600ED9">
        <w:rPr>
          <w:lang w:val="es-ES_tradnl"/>
        </w:rPr>
        <w:t>A</w:t>
      </w:r>
      <w:r w:rsidR="00CA3E61" w:rsidRPr="00600ED9">
        <w:rPr>
          <w:lang w:val="es-ES_tradnl"/>
        </w:rPr>
        <w:t xml:space="preserve">: Plan de Acción, </w:t>
      </w:r>
      <w:r w:rsidR="008A1CE5" w:rsidRPr="00600ED9">
        <w:rPr>
          <w:lang w:val="es-ES_tradnl"/>
        </w:rPr>
        <w:t>recomendaci</w:t>
      </w:r>
      <w:r w:rsidR="00710AA3" w:rsidRPr="00600ED9">
        <w:rPr>
          <w:lang w:val="es-ES_tradnl"/>
        </w:rPr>
        <w:t>ó</w:t>
      </w:r>
      <w:r w:rsidR="008A1CE5" w:rsidRPr="00600ED9">
        <w:rPr>
          <w:lang w:val="es-ES_tradnl"/>
        </w:rPr>
        <w:t>n</w:t>
      </w:r>
      <w:r w:rsidR="00710AA3" w:rsidRPr="00600ED9">
        <w:rPr>
          <w:lang w:val="es-ES_tradnl"/>
        </w:rPr>
        <w:t xml:space="preserve"> No. 15</w:t>
      </w:r>
      <w:r w:rsidR="00CA3E61" w:rsidRPr="00600ED9">
        <w:rPr>
          <w:lang w:val="es-ES_tradnl"/>
        </w:rPr>
        <w:t>.</w:t>
      </w:r>
    </w:p>
    <w:p w:rsidR="008107FC" w:rsidRPr="00600ED9" w:rsidRDefault="008107FC" w:rsidP="00FB1954">
      <w:pPr>
        <w:pStyle w:val="NoSpacing"/>
        <w:ind w:left="720"/>
        <w:rPr>
          <w:sz w:val="18"/>
          <w:lang w:val="es-ES_tradnl"/>
        </w:rPr>
      </w:pPr>
    </w:p>
    <w:p w:rsidR="008E5077" w:rsidRPr="00600ED9" w:rsidRDefault="008E5077" w:rsidP="00FB1954">
      <w:pPr>
        <w:pStyle w:val="NoSpacing"/>
        <w:ind w:left="720"/>
        <w:rPr>
          <w:sz w:val="16"/>
          <w:lang w:val="es-ES_tradnl"/>
        </w:rPr>
      </w:pPr>
    </w:p>
    <w:p w:rsidR="003B04AB" w:rsidRPr="00600ED9" w:rsidRDefault="003A263C" w:rsidP="00FB1954">
      <w:pPr>
        <w:pStyle w:val="Heading2"/>
        <w:spacing w:before="0" w:line="240" w:lineRule="auto"/>
      </w:pPr>
      <w:bookmarkStart w:id="30" w:name="_Toc295932922"/>
      <w:r w:rsidRPr="00600ED9">
        <w:t xml:space="preserve">EFS </w:t>
      </w:r>
      <w:r w:rsidR="00720E42" w:rsidRPr="00600ED9">
        <w:t>15 – Fundamentos de la Auditoría de Desempeño</w:t>
      </w:r>
      <w:bookmarkEnd w:id="30"/>
    </w:p>
    <w:p w:rsidR="008107FC" w:rsidRPr="00600ED9" w:rsidRDefault="008107FC" w:rsidP="00FB1954">
      <w:pPr>
        <w:pStyle w:val="NoSpacing"/>
        <w:rPr>
          <w:lang w:val="es-ES_tradnl"/>
        </w:rPr>
      </w:pPr>
    </w:p>
    <w:tbl>
      <w:tblPr>
        <w:tblW w:w="8783" w:type="dxa"/>
        <w:tblInd w:w="720" w:type="dxa"/>
        <w:tblCellMar>
          <w:left w:w="70" w:type="dxa"/>
          <w:right w:w="70" w:type="dxa"/>
        </w:tblCellMar>
        <w:tblLook w:val="04A0" w:firstRow="1" w:lastRow="0" w:firstColumn="1" w:lastColumn="0" w:noHBand="0" w:noVBand="1"/>
      </w:tblPr>
      <w:tblGrid>
        <w:gridCol w:w="2560"/>
        <w:gridCol w:w="1110"/>
        <w:gridCol w:w="1225"/>
        <w:gridCol w:w="1018"/>
        <w:gridCol w:w="1539"/>
        <w:gridCol w:w="180"/>
        <w:gridCol w:w="1151"/>
      </w:tblGrid>
      <w:tr w:rsidR="00274D45" w:rsidRPr="00600ED9" w:rsidTr="005F71AD">
        <w:trPr>
          <w:trHeight w:val="255"/>
        </w:trPr>
        <w:tc>
          <w:tcPr>
            <w:tcW w:w="2560" w:type="dxa"/>
            <w:tcBorders>
              <w:top w:val="nil"/>
              <w:left w:val="nil"/>
              <w:bottom w:val="nil"/>
              <w:right w:val="nil"/>
            </w:tcBorders>
            <w:shd w:val="clear" w:color="auto" w:fill="auto"/>
            <w:noWrap/>
            <w:vAlign w:val="bottom"/>
            <w:hideMark/>
          </w:tcPr>
          <w:p w:rsidR="00274D45" w:rsidRPr="00600ED9" w:rsidRDefault="00274D45" w:rsidP="00FB1954">
            <w:pPr>
              <w:pStyle w:val="NoSpacing"/>
              <w:tabs>
                <w:tab w:val="center" w:pos="4680"/>
                <w:tab w:val="right" w:pos="9360"/>
              </w:tabs>
              <w:jc w:val="center"/>
              <w:rPr>
                <w:sz w:val="20"/>
                <w:szCs w:val="20"/>
                <w:lang w:val="es-ES_tradnl"/>
              </w:rPr>
            </w:pPr>
          </w:p>
        </w:tc>
        <w:tc>
          <w:tcPr>
            <w:tcW w:w="4892" w:type="dxa"/>
            <w:gridSpan w:val="4"/>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274D45" w:rsidRPr="00600ED9" w:rsidRDefault="00274D45" w:rsidP="00FB1954">
            <w:pPr>
              <w:pStyle w:val="NoSpacing"/>
              <w:jc w:val="center"/>
              <w:rPr>
                <w:b/>
                <w:bCs/>
                <w:sz w:val="20"/>
                <w:szCs w:val="20"/>
                <w:lang w:val="es-ES_tradnl"/>
              </w:rPr>
            </w:pPr>
            <w:r w:rsidRPr="00600ED9">
              <w:rPr>
                <w:b/>
                <w:bCs/>
                <w:sz w:val="20"/>
                <w:szCs w:val="20"/>
                <w:lang w:val="es-ES_tradnl"/>
              </w:rPr>
              <w:t>Dimensiones Evaluadas</w:t>
            </w:r>
          </w:p>
        </w:tc>
        <w:tc>
          <w:tcPr>
            <w:tcW w:w="180" w:type="dxa"/>
            <w:tcBorders>
              <w:top w:val="nil"/>
              <w:left w:val="nil"/>
              <w:bottom w:val="nil"/>
              <w:right w:val="nil"/>
            </w:tcBorders>
            <w:shd w:val="clear" w:color="auto" w:fill="auto"/>
            <w:noWrap/>
            <w:vAlign w:val="bottom"/>
            <w:hideMark/>
          </w:tcPr>
          <w:p w:rsidR="00274D45" w:rsidRPr="00600ED9" w:rsidRDefault="00274D45" w:rsidP="00FB1954">
            <w:pPr>
              <w:pStyle w:val="NoSpacing"/>
              <w:tabs>
                <w:tab w:val="center" w:pos="4680"/>
                <w:tab w:val="right" w:pos="9360"/>
              </w:tabs>
              <w:jc w:val="center"/>
              <w:rPr>
                <w:sz w:val="20"/>
                <w:szCs w:val="20"/>
                <w:lang w:val="es-ES_tradnl"/>
              </w:rPr>
            </w:pPr>
          </w:p>
        </w:tc>
        <w:tc>
          <w:tcPr>
            <w:tcW w:w="1151" w:type="dxa"/>
            <w:vMerge w:val="restart"/>
            <w:tcBorders>
              <w:top w:val="single" w:sz="4" w:space="0" w:color="auto"/>
              <w:left w:val="single" w:sz="4" w:space="0" w:color="auto"/>
              <w:bottom w:val="single" w:sz="4" w:space="0" w:color="auto"/>
              <w:right w:val="single" w:sz="4" w:space="0" w:color="auto"/>
            </w:tcBorders>
            <w:shd w:val="clear" w:color="000000" w:fill="95B3D7"/>
            <w:vAlign w:val="center"/>
            <w:hideMark/>
          </w:tcPr>
          <w:p w:rsidR="00274D45" w:rsidRPr="00600ED9" w:rsidRDefault="00274D45" w:rsidP="00FB1954">
            <w:pPr>
              <w:pStyle w:val="NoSpacing"/>
              <w:jc w:val="center"/>
              <w:rPr>
                <w:b/>
                <w:bCs/>
                <w:sz w:val="20"/>
                <w:szCs w:val="20"/>
                <w:lang w:val="es-ES_tradnl"/>
              </w:rPr>
            </w:pPr>
            <w:r w:rsidRPr="00600ED9">
              <w:rPr>
                <w:b/>
                <w:bCs/>
                <w:sz w:val="20"/>
                <w:szCs w:val="20"/>
                <w:lang w:val="es-ES_tradnl"/>
              </w:rPr>
              <w:t>Puntuación General</w:t>
            </w:r>
          </w:p>
        </w:tc>
      </w:tr>
      <w:tr w:rsidR="00274D45" w:rsidRPr="00600ED9" w:rsidTr="005F71AD">
        <w:trPr>
          <w:trHeight w:val="390"/>
        </w:trPr>
        <w:tc>
          <w:tcPr>
            <w:tcW w:w="256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274D45" w:rsidRPr="00600ED9" w:rsidRDefault="00274D45" w:rsidP="00FB1954">
            <w:pPr>
              <w:pStyle w:val="NoSpacing"/>
              <w:jc w:val="center"/>
              <w:rPr>
                <w:b/>
                <w:bCs/>
                <w:sz w:val="20"/>
                <w:szCs w:val="20"/>
                <w:lang w:val="es-ES_tradnl"/>
              </w:rPr>
            </w:pPr>
            <w:r w:rsidRPr="00600ED9">
              <w:rPr>
                <w:b/>
                <w:bCs/>
                <w:sz w:val="20"/>
                <w:szCs w:val="20"/>
                <w:lang w:val="es-ES_tradnl"/>
              </w:rPr>
              <w:t>Indicadores</w:t>
            </w:r>
          </w:p>
        </w:tc>
        <w:tc>
          <w:tcPr>
            <w:tcW w:w="1110" w:type="dxa"/>
            <w:tcBorders>
              <w:top w:val="nil"/>
              <w:left w:val="nil"/>
              <w:bottom w:val="single" w:sz="4" w:space="0" w:color="auto"/>
              <w:right w:val="single" w:sz="4" w:space="0" w:color="auto"/>
            </w:tcBorders>
            <w:shd w:val="clear" w:color="000000" w:fill="D8D8D8"/>
            <w:noWrap/>
            <w:hideMark/>
          </w:tcPr>
          <w:p w:rsidR="00A82279" w:rsidRPr="00600ED9" w:rsidRDefault="00836CE5" w:rsidP="00FB1954">
            <w:pPr>
              <w:pStyle w:val="NoSpacing"/>
              <w:jc w:val="center"/>
              <w:rPr>
                <w:w w:val="90"/>
                <w:sz w:val="20"/>
                <w:szCs w:val="20"/>
                <w:lang w:val="es-ES_tradnl"/>
              </w:rPr>
            </w:pPr>
            <w:r w:rsidRPr="00600ED9">
              <w:rPr>
                <w:b/>
                <w:bCs/>
                <w:w w:val="90"/>
                <w:sz w:val="20"/>
                <w:szCs w:val="20"/>
                <w:lang w:val="es-ES_tradnl"/>
              </w:rPr>
              <w:t>(i)</w:t>
            </w:r>
          </w:p>
          <w:p w:rsidR="00274D45" w:rsidRPr="00600ED9" w:rsidRDefault="00274D45" w:rsidP="00FB1954">
            <w:pPr>
              <w:pStyle w:val="NoSpacing"/>
              <w:jc w:val="center"/>
              <w:rPr>
                <w:b/>
                <w:bCs/>
                <w:w w:val="90"/>
                <w:sz w:val="20"/>
                <w:szCs w:val="20"/>
                <w:lang w:val="es-ES_tradnl"/>
              </w:rPr>
            </w:pPr>
            <w:r w:rsidRPr="00600ED9">
              <w:rPr>
                <w:w w:val="90"/>
                <w:sz w:val="20"/>
                <w:szCs w:val="20"/>
                <w:lang w:val="es-ES_tradnl"/>
              </w:rPr>
              <w:t>Normas y Directrices de Auditoría de Desempeño</w:t>
            </w:r>
          </w:p>
        </w:tc>
        <w:tc>
          <w:tcPr>
            <w:tcW w:w="1225" w:type="dxa"/>
            <w:tcBorders>
              <w:top w:val="nil"/>
              <w:left w:val="nil"/>
              <w:bottom w:val="single" w:sz="4" w:space="0" w:color="auto"/>
              <w:right w:val="single" w:sz="4" w:space="0" w:color="auto"/>
            </w:tcBorders>
            <w:shd w:val="clear" w:color="000000" w:fill="D8D8D8"/>
            <w:noWrap/>
            <w:hideMark/>
          </w:tcPr>
          <w:p w:rsidR="00A82279" w:rsidRPr="00600ED9" w:rsidRDefault="00836CE5" w:rsidP="00FB1954">
            <w:pPr>
              <w:pStyle w:val="NoSpacing"/>
              <w:jc w:val="center"/>
              <w:rPr>
                <w:b/>
                <w:bCs/>
                <w:w w:val="90"/>
                <w:sz w:val="20"/>
                <w:szCs w:val="20"/>
                <w:lang w:val="es-ES_tradnl"/>
              </w:rPr>
            </w:pPr>
            <w:r w:rsidRPr="00600ED9">
              <w:rPr>
                <w:b/>
                <w:bCs/>
                <w:w w:val="90"/>
                <w:sz w:val="20"/>
                <w:szCs w:val="20"/>
                <w:lang w:val="es-ES_tradnl"/>
              </w:rPr>
              <w:t>(ii)</w:t>
            </w:r>
          </w:p>
          <w:p w:rsidR="00274D45" w:rsidRPr="00600ED9" w:rsidRDefault="00274D45" w:rsidP="00FB1954">
            <w:pPr>
              <w:pStyle w:val="NoSpacing"/>
              <w:jc w:val="center"/>
              <w:rPr>
                <w:b/>
                <w:bCs/>
                <w:w w:val="90"/>
                <w:sz w:val="20"/>
                <w:szCs w:val="20"/>
                <w:lang w:val="es-ES_tradnl"/>
              </w:rPr>
            </w:pPr>
            <w:r w:rsidRPr="00600ED9">
              <w:rPr>
                <w:w w:val="90"/>
                <w:sz w:val="20"/>
                <w:szCs w:val="20"/>
                <w:lang w:val="es-ES_tradnl"/>
              </w:rPr>
              <w:t>Ética e Independencia en la Auditoría de Desempeño</w:t>
            </w:r>
          </w:p>
        </w:tc>
        <w:tc>
          <w:tcPr>
            <w:tcW w:w="1018" w:type="dxa"/>
            <w:tcBorders>
              <w:top w:val="nil"/>
              <w:left w:val="nil"/>
              <w:bottom w:val="single" w:sz="4" w:space="0" w:color="auto"/>
              <w:right w:val="single" w:sz="4" w:space="0" w:color="auto"/>
            </w:tcBorders>
            <w:shd w:val="clear" w:color="000000" w:fill="D8D8D8"/>
            <w:noWrap/>
            <w:hideMark/>
          </w:tcPr>
          <w:p w:rsidR="00A82279" w:rsidRPr="00600ED9" w:rsidRDefault="00836CE5" w:rsidP="00FB1954">
            <w:pPr>
              <w:pStyle w:val="NoSpacing"/>
              <w:jc w:val="center"/>
              <w:rPr>
                <w:b/>
                <w:bCs/>
                <w:w w:val="90"/>
                <w:sz w:val="20"/>
                <w:szCs w:val="20"/>
                <w:lang w:val="es-ES_tradnl"/>
              </w:rPr>
            </w:pPr>
            <w:r w:rsidRPr="00600ED9">
              <w:rPr>
                <w:b/>
                <w:bCs/>
                <w:w w:val="90"/>
                <w:sz w:val="20"/>
                <w:szCs w:val="20"/>
                <w:lang w:val="es-ES_tradnl"/>
              </w:rPr>
              <w:t>(iii)</w:t>
            </w:r>
          </w:p>
          <w:p w:rsidR="00274D45" w:rsidRPr="00600ED9" w:rsidRDefault="00274D45" w:rsidP="00FB1954">
            <w:pPr>
              <w:pStyle w:val="NoSpacing"/>
              <w:jc w:val="center"/>
              <w:rPr>
                <w:b/>
                <w:bCs/>
                <w:w w:val="90"/>
                <w:sz w:val="20"/>
                <w:szCs w:val="20"/>
                <w:lang w:val="es-ES_tradnl"/>
              </w:rPr>
            </w:pPr>
            <w:r w:rsidRPr="00600ED9">
              <w:rPr>
                <w:w w:val="90"/>
                <w:sz w:val="20"/>
                <w:szCs w:val="20"/>
                <w:lang w:val="es-ES_tradnl"/>
              </w:rPr>
              <w:t>Control de Calidad en la Auditoría de Desempeño</w:t>
            </w:r>
          </w:p>
        </w:tc>
        <w:tc>
          <w:tcPr>
            <w:tcW w:w="1539" w:type="dxa"/>
            <w:tcBorders>
              <w:top w:val="nil"/>
              <w:left w:val="nil"/>
              <w:bottom w:val="single" w:sz="4" w:space="0" w:color="auto"/>
              <w:right w:val="single" w:sz="4" w:space="0" w:color="auto"/>
            </w:tcBorders>
            <w:shd w:val="clear" w:color="000000" w:fill="D8D8D8"/>
            <w:noWrap/>
            <w:hideMark/>
          </w:tcPr>
          <w:p w:rsidR="00A82279" w:rsidRPr="00600ED9" w:rsidRDefault="00836CE5" w:rsidP="00FB1954">
            <w:pPr>
              <w:pStyle w:val="NoSpacing"/>
              <w:jc w:val="center"/>
              <w:rPr>
                <w:b/>
                <w:bCs/>
                <w:w w:val="90"/>
                <w:sz w:val="20"/>
                <w:szCs w:val="20"/>
                <w:lang w:val="es-ES_tradnl"/>
              </w:rPr>
            </w:pPr>
            <w:r w:rsidRPr="00600ED9">
              <w:rPr>
                <w:b/>
                <w:bCs/>
                <w:w w:val="90"/>
                <w:sz w:val="20"/>
                <w:szCs w:val="20"/>
                <w:lang w:val="es-ES_tradnl"/>
              </w:rPr>
              <w:t>(iv)</w:t>
            </w:r>
          </w:p>
          <w:p w:rsidR="00274D45" w:rsidRPr="00600ED9" w:rsidRDefault="00274D45" w:rsidP="00FB1954">
            <w:pPr>
              <w:pStyle w:val="NoSpacing"/>
              <w:jc w:val="center"/>
              <w:rPr>
                <w:b/>
                <w:bCs/>
                <w:w w:val="90"/>
                <w:sz w:val="20"/>
                <w:szCs w:val="20"/>
                <w:lang w:val="es-ES_tradnl"/>
              </w:rPr>
            </w:pPr>
            <w:r w:rsidRPr="00600ED9">
              <w:rPr>
                <w:w w:val="90"/>
                <w:sz w:val="20"/>
                <w:szCs w:val="20"/>
                <w:lang w:val="es-ES_tradnl"/>
              </w:rPr>
              <w:t>Dirección y Habilidades del Equipo de Auditoría de Desempeño</w:t>
            </w:r>
          </w:p>
        </w:tc>
        <w:tc>
          <w:tcPr>
            <w:tcW w:w="180" w:type="dxa"/>
            <w:tcBorders>
              <w:top w:val="nil"/>
              <w:left w:val="nil"/>
              <w:bottom w:val="nil"/>
              <w:right w:val="nil"/>
            </w:tcBorders>
            <w:shd w:val="clear" w:color="auto" w:fill="auto"/>
            <w:noWrap/>
            <w:vAlign w:val="bottom"/>
            <w:hideMark/>
          </w:tcPr>
          <w:p w:rsidR="00274D45" w:rsidRPr="00600ED9" w:rsidRDefault="00274D45" w:rsidP="00FB1954">
            <w:pPr>
              <w:pStyle w:val="NoSpacing"/>
              <w:tabs>
                <w:tab w:val="center" w:pos="4680"/>
                <w:tab w:val="right" w:pos="9360"/>
              </w:tabs>
              <w:jc w:val="center"/>
              <w:rPr>
                <w:sz w:val="20"/>
                <w:szCs w:val="20"/>
                <w:lang w:val="es-ES_tradnl"/>
              </w:rPr>
            </w:pPr>
          </w:p>
        </w:tc>
        <w:tc>
          <w:tcPr>
            <w:tcW w:w="1151" w:type="dxa"/>
            <w:vMerge/>
            <w:tcBorders>
              <w:top w:val="single" w:sz="4" w:space="0" w:color="auto"/>
              <w:left w:val="single" w:sz="4" w:space="0" w:color="auto"/>
              <w:bottom w:val="single" w:sz="4" w:space="0" w:color="auto"/>
              <w:right w:val="single" w:sz="4" w:space="0" w:color="auto"/>
            </w:tcBorders>
            <w:vAlign w:val="center"/>
            <w:hideMark/>
          </w:tcPr>
          <w:p w:rsidR="00274D45" w:rsidRPr="00600ED9" w:rsidRDefault="00274D45" w:rsidP="00FB1954">
            <w:pPr>
              <w:pStyle w:val="NoSpacing"/>
              <w:tabs>
                <w:tab w:val="center" w:pos="4680"/>
                <w:tab w:val="right" w:pos="9360"/>
              </w:tabs>
              <w:jc w:val="center"/>
              <w:rPr>
                <w:b/>
                <w:bCs/>
                <w:sz w:val="20"/>
                <w:szCs w:val="20"/>
                <w:lang w:val="es-ES_tradnl"/>
              </w:rPr>
            </w:pPr>
          </w:p>
        </w:tc>
      </w:tr>
      <w:tr w:rsidR="00274D45" w:rsidRPr="00600ED9" w:rsidTr="005F71AD">
        <w:trPr>
          <w:trHeight w:val="510"/>
        </w:trPr>
        <w:tc>
          <w:tcPr>
            <w:tcW w:w="2560" w:type="dxa"/>
            <w:tcBorders>
              <w:top w:val="nil"/>
              <w:left w:val="single" w:sz="4" w:space="0" w:color="auto"/>
              <w:bottom w:val="single" w:sz="4" w:space="0" w:color="auto"/>
              <w:right w:val="single" w:sz="4" w:space="0" w:color="auto"/>
            </w:tcBorders>
            <w:shd w:val="clear" w:color="auto" w:fill="auto"/>
            <w:vAlign w:val="center"/>
            <w:hideMark/>
          </w:tcPr>
          <w:p w:rsidR="00274D45" w:rsidRPr="00600ED9" w:rsidRDefault="00274D45" w:rsidP="00FB1954">
            <w:pPr>
              <w:pStyle w:val="NoSpacing"/>
              <w:jc w:val="center"/>
              <w:rPr>
                <w:b/>
                <w:bCs/>
                <w:sz w:val="20"/>
                <w:szCs w:val="20"/>
                <w:lang w:val="es-ES_tradnl"/>
              </w:rPr>
            </w:pPr>
            <w:r w:rsidRPr="00600ED9">
              <w:rPr>
                <w:rFonts w:eastAsia="Calibri" w:cs="Times New Roman"/>
                <w:b/>
                <w:sz w:val="20"/>
                <w:szCs w:val="20"/>
                <w:lang w:val="es-ES_tradnl"/>
              </w:rPr>
              <w:t>EFS 15 – Fundamentos de la Auditoría de Desempeño</w:t>
            </w:r>
          </w:p>
        </w:tc>
        <w:tc>
          <w:tcPr>
            <w:tcW w:w="1110" w:type="dxa"/>
            <w:tcBorders>
              <w:top w:val="nil"/>
              <w:left w:val="nil"/>
              <w:bottom w:val="single" w:sz="4" w:space="0" w:color="auto"/>
              <w:right w:val="single" w:sz="4" w:space="0" w:color="auto"/>
            </w:tcBorders>
            <w:shd w:val="clear" w:color="auto" w:fill="auto"/>
            <w:noWrap/>
            <w:vAlign w:val="center"/>
          </w:tcPr>
          <w:p w:rsidR="00274D45" w:rsidRPr="00600ED9" w:rsidRDefault="00274D45" w:rsidP="00FB1954">
            <w:pPr>
              <w:pStyle w:val="NoSpacing"/>
              <w:jc w:val="center"/>
              <w:rPr>
                <w:b/>
                <w:bCs/>
                <w:sz w:val="20"/>
                <w:szCs w:val="20"/>
                <w:lang w:val="es-ES_tradnl"/>
              </w:rPr>
            </w:pPr>
            <w:r w:rsidRPr="00600ED9">
              <w:rPr>
                <w:b/>
                <w:bCs/>
                <w:sz w:val="20"/>
                <w:szCs w:val="20"/>
                <w:lang w:val="es-ES_tradnl"/>
              </w:rPr>
              <w:t>1</w:t>
            </w:r>
          </w:p>
        </w:tc>
        <w:tc>
          <w:tcPr>
            <w:tcW w:w="1225" w:type="dxa"/>
            <w:tcBorders>
              <w:top w:val="nil"/>
              <w:left w:val="nil"/>
              <w:bottom w:val="single" w:sz="4" w:space="0" w:color="auto"/>
              <w:right w:val="single" w:sz="4" w:space="0" w:color="auto"/>
            </w:tcBorders>
            <w:shd w:val="clear" w:color="auto" w:fill="auto"/>
            <w:noWrap/>
            <w:vAlign w:val="center"/>
          </w:tcPr>
          <w:p w:rsidR="00274D45" w:rsidRPr="00600ED9" w:rsidRDefault="00274D45" w:rsidP="00FB1954">
            <w:pPr>
              <w:pStyle w:val="NoSpacing"/>
              <w:jc w:val="center"/>
              <w:rPr>
                <w:b/>
                <w:bCs/>
                <w:sz w:val="20"/>
                <w:szCs w:val="20"/>
                <w:lang w:val="es-ES_tradnl"/>
              </w:rPr>
            </w:pPr>
            <w:r w:rsidRPr="00600ED9">
              <w:rPr>
                <w:b/>
                <w:bCs/>
                <w:sz w:val="20"/>
                <w:szCs w:val="20"/>
                <w:lang w:val="es-ES_tradnl"/>
              </w:rPr>
              <w:t>4</w:t>
            </w:r>
          </w:p>
        </w:tc>
        <w:tc>
          <w:tcPr>
            <w:tcW w:w="1018" w:type="dxa"/>
            <w:tcBorders>
              <w:top w:val="nil"/>
              <w:left w:val="nil"/>
              <w:bottom w:val="single" w:sz="4" w:space="0" w:color="auto"/>
              <w:right w:val="single" w:sz="4" w:space="0" w:color="auto"/>
            </w:tcBorders>
            <w:shd w:val="clear" w:color="auto" w:fill="auto"/>
            <w:noWrap/>
            <w:vAlign w:val="center"/>
          </w:tcPr>
          <w:p w:rsidR="00274D45" w:rsidRPr="00600ED9" w:rsidRDefault="00274D45" w:rsidP="00FB1954">
            <w:pPr>
              <w:pStyle w:val="NoSpacing"/>
              <w:jc w:val="center"/>
              <w:rPr>
                <w:b/>
                <w:bCs/>
                <w:sz w:val="20"/>
                <w:szCs w:val="20"/>
                <w:lang w:val="es-ES_tradnl"/>
              </w:rPr>
            </w:pPr>
            <w:r w:rsidRPr="00600ED9">
              <w:rPr>
                <w:b/>
                <w:bCs/>
                <w:sz w:val="20"/>
                <w:szCs w:val="20"/>
                <w:lang w:val="es-ES_tradnl"/>
              </w:rPr>
              <w:t>3</w:t>
            </w:r>
          </w:p>
        </w:tc>
        <w:tc>
          <w:tcPr>
            <w:tcW w:w="1539" w:type="dxa"/>
            <w:tcBorders>
              <w:top w:val="nil"/>
              <w:left w:val="nil"/>
              <w:bottom w:val="single" w:sz="4" w:space="0" w:color="auto"/>
              <w:right w:val="single" w:sz="4" w:space="0" w:color="auto"/>
            </w:tcBorders>
            <w:shd w:val="clear" w:color="auto" w:fill="auto"/>
            <w:noWrap/>
            <w:vAlign w:val="center"/>
          </w:tcPr>
          <w:p w:rsidR="00274D45" w:rsidRPr="00600ED9" w:rsidRDefault="00274D45" w:rsidP="00FB1954">
            <w:pPr>
              <w:pStyle w:val="NoSpacing"/>
              <w:jc w:val="center"/>
              <w:rPr>
                <w:b/>
                <w:bCs/>
                <w:sz w:val="20"/>
                <w:szCs w:val="20"/>
                <w:lang w:val="es-ES_tradnl"/>
              </w:rPr>
            </w:pPr>
            <w:r w:rsidRPr="00600ED9">
              <w:rPr>
                <w:b/>
                <w:bCs/>
                <w:sz w:val="20"/>
                <w:szCs w:val="20"/>
                <w:lang w:val="es-ES_tradnl"/>
              </w:rPr>
              <w:t>0</w:t>
            </w:r>
          </w:p>
        </w:tc>
        <w:tc>
          <w:tcPr>
            <w:tcW w:w="180" w:type="dxa"/>
            <w:tcBorders>
              <w:top w:val="nil"/>
              <w:left w:val="nil"/>
              <w:bottom w:val="nil"/>
              <w:right w:val="nil"/>
            </w:tcBorders>
            <w:shd w:val="clear" w:color="auto" w:fill="auto"/>
            <w:noWrap/>
            <w:vAlign w:val="bottom"/>
          </w:tcPr>
          <w:p w:rsidR="00274D45" w:rsidRPr="00600ED9" w:rsidRDefault="00274D45" w:rsidP="00FB1954">
            <w:pPr>
              <w:pStyle w:val="NoSpacing"/>
              <w:tabs>
                <w:tab w:val="center" w:pos="4680"/>
                <w:tab w:val="right" w:pos="9360"/>
              </w:tabs>
              <w:jc w:val="center"/>
              <w:rPr>
                <w:sz w:val="20"/>
                <w:szCs w:val="20"/>
                <w:lang w:val="es-ES_tradnl"/>
              </w:rPr>
            </w:pPr>
          </w:p>
        </w:tc>
        <w:tc>
          <w:tcPr>
            <w:tcW w:w="1151" w:type="dxa"/>
            <w:tcBorders>
              <w:top w:val="nil"/>
              <w:left w:val="single" w:sz="4" w:space="0" w:color="auto"/>
              <w:bottom w:val="single" w:sz="4" w:space="0" w:color="auto"/>
              <w:right w:val="single" w:sz="4" w:space="0" w:color="auto"/>
            </w:tcBorders>
            <w:shd w:val="clear" w:color="auto" w:fill="auto"/>
            <w:noWrap/>
            <w:vAlign w:val="center"/>
          </w:tcPr>
          <w:p w:rsidR="00274D45" w:rsidRPr="00600ED9" w:rsidRDefault="00274D45" w:rsidP="00FB1954">
            <w:pPr>
              <w:pStyle w:val="NoSpacing"/>
              <w:jc w:val="center"/>
              <w:rPr>
                <w:b/>
                <w:sz w:val="20"/>
                <w:szCs w:val="20"/>
                <w:lang w:val="es-ES_tradnl"/>
              </w:rPr>
            </w:pPr>
            <w:r w:rsidRPr="00600ED9">
              <w:rPr>
                <w:b/>
                <w:sz w:val="20"/>
                <w:szCs w:val="20"/>
                <w:lang w:val="es-ES_tradnl"/>
              </w:rPr>
              <w:t>2</w:t>
            </w:r>
          </w:p>
        </w:tc>
      </w:tr>
    </w:tbl>
    <w:p w:rsidR="00BC0D29" w:rsidRPr="00600ED9" w:rsidRDefault="00BC0D29" w:rsidP="00FB1954">
      <w:pPr>
        <w:pStyle w:val="NoSpacing"/>
        <w:rPr>
          <w:sz w:val="16"/>
          <w:highlight w:val="yellow"/>
          <w:lang w:val="es-ES_tradnl"/>
        </w:rPr>
      </w:pPr>
    </w:p>
    <w:p w:rsidR="001D307C" w:rsidRPr="00600ED9" w:rsidRDefault="001D307C" w:rsidP="00FB1954">
      <w:pPr>
        <w:pStyle w:val="NoSpacing"/>
        <w:ind w:left="720"/>
        <w:jc w:val="both"/>
        <w:rPr>
          <w:lang w:val="es-ES_tradnl"/>
        </w:rPr>
      </w:pPr>
      <w:r w:rsidRPr="00600ED9">
        <w:rPr>
          <w:bCs/>
          <w:lang w:val="es-ES_tradnl"/>
        </w:rPr>
        <w:t xml:space="preserve">Aunque CGRC dispone de pautas fundamentales para adelantar el Proceso Auditor formalizadas </w:t>
      </w:r>
      <w:r w:rsidRPr="00600ED9">
        <w:rPr>
          <w:rFonts w:cs="Calibri"/>
          <w:lang w:val="es-ES_tradnl"/>
        </w:rPr>
        <w:t>en la Guía de Auditoría Ajustada al SICA, no están</w:t>
      </w:r>
      <w:r w:rsidRPr="00600ED9">
        <w:rPr>
          <w:b/>
          <w:lang w:val="es-ES_tradnl"/>
        </w:rPr>
        <w:t xml:space="preserve"> </w:t>
      </w:r>
      <w:r w:rsidRPr="00600ED9">
        <w:rPr>
          <w:lang w:val="es-ES_tradnl"/>
        </w:rPr>
        <w:t>basadas en o consistencia con los estándares internacionales para la Auditoría de Desempeño (</w:t>
      </w:r>
      <w:r w:rsidRPr="00600ED9">
        <w:rPr>
          <w:rFonts w:eastAsia="Times New Roman"/>
          <w:color w:val="000000"/>
          <w:lang w:val="es-ES_tradnl"/>
        </w:rPr>
        <w:t>ISSAI 300</w:t>
      </w:r>
      <w:r w:rsidRPr="00600ED9">
        <w:rPr>
          <w:rStyle w:val="FootnoteReference"/>
          <w:rFonts w:eastAsia="Times New Roman"/>
          <w:color w:val="000000"/>
          <w:lang w:val="es-ES_tradnl"/>
        </w:rPr>
        <w:footnoteReference w:id="42"/>
      </w:r>
      <w:r w:rsidR="00AD0F46" w:rsidRPr="00600ED9">
        <w:rPr>
          <w:rFonts w:eastAsia="Times New Roman"/>
          <w:color w:val="000000"/>
          <w:lang w:val="es-ES_tradnl"/>
        </w:rPr>
        <w:t xml:space="preserve"> e ISSAI 3</w:t>
      </w:r>
      <w:r w:rsidRPr="00600ED9">
        <w:rPr>
          <w:rFonts w:eastAsia="Times New Roman"/>
          <w:color w:val="000000"/>
          <w:lang w:val="es-ES_tradnl"/>
        </w:rPr>
        <w:t>100</w:t>
      </w:r>
      <w:r w:rsidRPr="00600ED9">
        <w:rPr>
          <w:rStyle w:val="FootnoteReference"/>
          <w:rFonts w:eastAsia="Times New Roman"/>
          <w:color w:val="000000"/>
          <w:lang w:val="es-ES_tradnl"/>
        </w:rPr>
        <w:footnoteReference w:id="43"/>
      </w:r>
      <w:r w:rsidRPr="00600ED9">
        <w:rPr>
          <w:lang w:val="es-ES_tradnl"/>
        </w:rPr>
        <w:t>) y el control de calidad (ISSAI 40).</w:t>
      </w:r>
    </w:p>
    <w:p w:rsidR="00D86E6E" w:rsidRPr="00600ED9" w:rsidRDefault="00D86E6E" w:rsidP="00FB1954">
      <w:pPr>
        <w:pStyle w:val="NoSpacing"/>
        <w:ind w:left="720"/>
        <w:jc w:val="both"/>
        <w:rPr>
          <w:lang w:val="es-ES_tradnl"/>
        </w:rPr>
      </w:pPr>
    </w:p>
    <w:p w:rsidR="001D307C" w:rsidRPr="00600ED9" w:rsidRDefault="001D307C" w:rsidP="00FB1954">
      <w:pPr>
        <w:pStyle w:val="NoSpacing"/>
        <w:ind w:left="720"/>
        <w:jc w:val="both"/>
        <w:rPr>
          <w:bCs/>
          <w:lang w:val="es-ES_tradnl"/>
        </w:rPr>
      </w:pPr>
      <w:r w:rsidRPr="00600ED9">
        <w:rPr>
          <w:bCs/>
          <w:lang w:val="es-ES_tradnl"/>
        </w:rPr>
        <w:t xml:space="preserve">Los equipos de auditoría, cuenta con experiencia y conocimiento pero requieren fortalecer sus capacidades para el ejercicio de la Auditoría de Desempeño.    </w:t>
      </w:r>
    </w:p>
    <w:p w:rsidR="005F71AD" w:rsidRPr="00600ED9" w:rsidRDefault="005F71AD" w:rsidP="00FB1954">
      <w:pPr>
        <w:pStyle w:val="NoSpacing"/>
        <w:ind w:left="720"/>
        <w:jc w:val="both"/>
        <w:rPr>
          <w:bCs/>
          <w:lang w:val="es-ES_tradnl"/>
        </w:rPr>
      </w:pPr>
    </w:p>
    <w:p w:rsidR="001D307C" w:rsidRPr="00600ED9" w:rsidRDefault="001D307C" w:rsidP="00FB1954">
      <w:pPr>
        <w:pStyle w:val="NoSpacing"/>
        <w:ind w:left="720"/>
        <w:jc w:val="both"/>
        <w:rPr>
          <w:bCs/>
          <w:lang w:val="es-ES_tradnl"/>
        </w:rPr>
      </w:pPr>
      <w:r w:rsidRPr="00600ED9">
        <w:rPr>
          <w:bCs/>
          <w:lang w:val="es-ES_tradnl"/>
        </w:rPr>
        <w:t xml:space="preserve">Dimensiones y criterios evaluados en los EFS-11 Fundamentos de la Auditoría </w:t>
      </w:r>
      <w:r w:rsidRPr="00600ED9">
        <w:rPr>
          <w:rFonts w:cs="Arial"/>
          <w:lang w:val="es-ES_tradnl"/>
        </w:rPr>
        <w:t xml:space="preserve">Financiera y EFS-13 Fundamentos de la Auditoría de Cumplimiento, </w:t>
      </w:r>
      <w:r w:rsidRPr="00600ED9">
        <w:rPr>
          <w:bCs/>
          <w:lang w:val="es-ES_tradnl"/>
        </w:rPr>
        <w:t xml:space="preserve">también son aplicables a </w:t>
      </w:r>
      <w:r w:rsidRPr="00600ED9">
        <w:rPr>
          <w:rFonts w:cs="Arial"/>
          <w:lang w:val="es-ES_tradnl"/>
        </w:rPr>
        <w:t xml:space="preserve">la </w:t>
      </w:r>
      <w:r w:rsidRPr="00600ED9">
        <w:rPr>
          <w:bCs/>
          <w:lang w:val="es-ES_tradnl"/>
        </w:rPr>
        <w:t>Auditoría</w:t>
      </w:r>
      <w:r w:rsidRPr="00600ED9">
        <w:rPr>
          <w:lang w:val="es-ES_tradnl"/>
        </w:rPr>
        <w:t xml:space="preserve"> de </w:t>
      </w:r>
      <w:r w:rsidR="00AD0F46" w:rsidRPr="00600ED9">
        <w:rPr>
          <w:lang w:val="es-ES_tradnl"/>
        </w:rPr>
        <w:t>Desempeño</w:t>
      </w:r>
      <w:r w:rsidRPr="00600ED9">
        <w:rPr>
          <w:bCs/>
          <w:lang w:val="es-ES_tradnl"/>
        </w:rPr>
        <w:t xml:space="preserve">. </w:t>
      </w:r>
    </w:p>
    <w:tbl>
      <w:tblPr>
        <w:tblStyle w:val="TableGrid"/>
        <w:tblW w:w="9356" w:type="dxa"/>
        <w:tblInd w:w="817" w:type="dxa"/>
        <w:tblLook w:val="04A0" w:firstRow="1" w:lastRow="0" w:firstColumn="1" w:lastColumn="0" w:noHBand="0" w:noVBand="1"/>
      </w:tblPr>
      <w:tblGrid>
        <w:gridCol w:w="9356"/>
      </w:tblGrid>
      <w:tr w:rsidR="00836CE5" w:rsidRPr="00600ED9" w:rsidTr="00935134">
        <w:trPr>
          <w:tblHeader/>
        </w:trPr>
        <w:tc>
          <w:tcPr>
            <w:tcW w:w="9356" w:type="dxa"/>
            <w:shd w:val="clear" w:color="auto" w:fill="365F91" w:themeFill="accent1" w:themeFillShade="BF"/>
          </w:tcPr>
          <w:p w:rsidR="00836CE5" w:rsidRPr="00600ED9" w:rsidRDefault="00836CE5" w:rsidP="00FB1954">
            <w:pPr>
              <w:pStyle w:val="NoSpacing"/>
              <w:rPr>
                <w:b/>
                <w:color w:val="FFFFFF" w:themeColor="background1"/>
                <w:sz w:val="20"/>
                <w:lang w:val="es-ES_tradnl"/>
              </w:rPr>
            </w:pPr>
            <w:r w:rsidRPr="00600ED9">
              <w:rPr>
                <w:b/>
                <w:color w:val="FFFFFF" w:themeColor="background1"/>
                <w:sz w:val="20"/>
                <w:lang w:val="es-ES_tradnl"/>
              </w:rPr>
              <w:lastRenderedPageBreak/>
              <w:t xml:space="preserve">Principales observaciones y conclusiones </w:t>
            </w:r>
          </w:p>
        </w:tc>
      </w:tr>
      <w:tr w:rsidR="00836CE5" w:rsidRPr="00600ED9" w:rsidTr="00935134">
        <w:tc>
          <w:tcPr>
            <w:tcW w:w="9356" w:type="dxa"/>
            <w:shd w:val="clear" w:color="auto" w:fill="D9D9D9" w:themeFill="background1" w:themeFillShade="D9"/>
          </w:tcPr>
          <w:p w:rsidR="00836CE5" w:rsidRPr="00600ED9" w:rsidRDefault="00836CE5" w:rsidP="00FB1954">
            <w:pPr>
              <w:pStyle w:val="NoSpacing"/>
              <w:rPr>
                <w:b/>
                <w:i/>
                <w:sz w:val="20"/>
                <w:lang w:val="es-ES_tradnl"/>
              </w:rPr>
            </w:pPr>
            <w:r w:rsidRPr="00600ED9">
              <w:rPr>
                <w:b/>
                <w:i/>
                <w:sz w:val="20"/>
                <w:lang w:val="es-ES_tradnl"/>
              </w:rPr>
              <w:t>Dimensión (i) Normas y directrices  de la auditoría del desempeño</w:t>
            </w:r>
          </w:p>
        </w:tc>
      </w:tr>
      <w:tr w:rsidR="00836CE5" w:rsidRPr="00600ED9" w:rsidTr="00935134">
        <w:tc>
          <w:tcPr>
            <w:tcW w:w="9356" w:type="dxa"/>
            <w:shd w:val="clear" w:color="auto" w:fill="D9D9D9" w:themeFill="background1" w:themeFillShade="D9"/>
          </w:tcPr>
          <w:p w:rsidR="00836CE5" w:rsidRPr="00600ED9" w:rsidRDefault="00836CE5" w:rsidP="00FB1954">
            <w:pPr>
              <w:pStyle w:val="NoSpacing"/>
              <w:rPr>
                <w:i/>
                <w:color w:val="000000"/>
                <w:sz w:val="20"/>
                <w:lang w:val="es-ES_tradnl"/>
              </w:rPr>
            </w:pPr>
            <w:r w:rsidRPr="00600ED9">
              <w:rPr>
                <w:b/>
                <w:bCs/>
                <w:i/>
                <w:sz w:val="20"/>
                <w:lang w:val="es-ES_tradnl"/>
              </w:rPr>
              <w:t>Puntuación 1</w:t>
            </w:r>
            <w:r w:rsidRPr="00600ED9">
              <w:rPr>
                <w:bCs/>
                <w:i/>
                <w:sz w:val="20"/>
                <w:lang w:val="es-ES_tradnl"/>
              </w:rPr>
              <w:t>: Al menos uno de los criterios mencionados está implementado, aunque posiblemente no satisfaga todos los sub-criterios.</w:t>
            </w:r>
          </w:p>
        </w:tc>
      </w:tr>
      <w:tr w:rsidR="00836CE5" w:rsidRPr="00600ED9" w:rsidTr="00935134">
        <w:tc>
          <w:tcPr>
            <w:tcW w:w="9356" w:type="dxa"/>
          </w:tcPr>
          <w:p w:rsidR="00836CE5" w:rsidRPr="00600ED9" w:rsidRDefault="00836CE5" w:rsidP="00FB1954">
            <w:pPr>
              <w:pStyle w:val="Normaltabletext"/>
              <w:spacing w:after="0"/>
              <w:rPr>
                <w:color w:val="000000"/>
                <w:lang w:val="es-ES_tradnl"/>
              </w:rPr>
            </w:pPr>
            <w:r w:rsidRPr="00600ED9">
              <w:rPr>
                <w:color w:val="000000"/>
                <w:lang w:val="es-ES_tradnl"/>
              </w:rPr>
              <w:t xml:space="preserve">Criterio (a) cumple. Criterios (b) y (c) no cumplen. </w:t>
            </w:r>
          </w:p>
          <w:p w:rsidR="005F71AD" w:rsidRPr="00600ED9" w:rsidRDefault="005F71AD" w:rsidP="00FB1954">
            <w:pPr>
              <w:pStyle w:val="Normaltabletext"/>
              <w:spacing w:after="0"/>
              <w:rPr>
                <w:rFonts w:cs="Arial"/>
                <w:lang w:val="es-ES_tradnl"/>
              </w:rPr>
            </w:pPr>
          </w:p>
          <w:p w:rsidR="00836CE5" w:rsidRPr="00600ED9" w:rsidRDefault="00836CE5" w:rsidP="00FB1954">
            <w:pPr>
              <w:pStyle w:val="Normaltabletext"/>
              <w:spacing w:after="0"/>
              <w:rPr>
                <w:bCs/>
                <w:lang w:val="es-ES_tradnl"/>
              </w:rPr>
            </w:pPr>
            <w:r w:rsidRPr="00600ED9">
              <w:rPr>
                <w:rFonts w:cs="Arial"/>
                <w:lang w:val="es-ES_tradnl"/>
              </w:rPr>
              <w:t xml:space="preserve">Aplican las conclusiones y observaciones </w:t>
            </w:r>
            <w:r w:rsidRPr="00600ED9">
              <w:rPr>
                <w:lang w:val="es-ES_tradnl"/>
              </w:rPr>
              <w:t xml:space="preserve">incluidas en el EFS 11 (i) y el EFS 13 (i) que son aplicables a las Auditorías de Desempeño. </w:t>
            </w:r>
          </w:p>
          <w:p w:rsidR="005F71AD" w:rsidRPr="00600ED9" w:rsidRDefault="005F71AD" w:rsidP="00FB1954">
            <w:pPr>
              <w:pStyle w:val="Normaltabletext"/>
              <w:spacing w:after="0"/>
              <w:rPr>
                <w:rFonts w:eastAsia="Times New Roman"/>
                <w:color w:val="000000"/>
                <w:lang w:val="es-ES_tradnl"/>
              </w:rPr>
            </w:pPr>
          </w:p>
          <w:p w:rsidR="001D307C" w:rsidRPr="00600ED9" w:rsidRDefault="00836CE5" w:rsidP="00FB1954">
            <w:pPr>
              <w:pStyle w:val="Normaltabletext"/>
              <w:spacing w:after="0"/>
              <w:rPr>
                <w:rFonts w:eastAsia="Times New Roman"/>
                <w:color w:val="000000"/>
                <w:lang w:val="es-ES_tradnl"/>
              </w:rPr>
            </w:pPr>
            <w:r w:rsidRPr="00600ED9">
              <w:rPr>
                <w:rFonts w:eastAsia="Times New Roman"/>
                <w:color w:val="000000"/>
                <w:lang w:val="es-ES_tradnl"/>
              </w:rPr>
              <w:t xml:space="preserve">A pesar de que la CGRC hace referencia en su Guía de Auditoría a los procedimientos de auditoría relacionados a las auditorías de desempeño, en función a las ISSAI 300, en la práctica no se </w:t>
            </w:r>
            <w:r w:rsidR="001D307C" w:rsidRPr="00600ED9">
              <w:rPr>
                <w:rFonts w:eastAsia="Times New Roman"/>
                <w:color w:val="000000"/>
                <w:lang w:val="es-ES_tradnl"/>
              </w:rPr>
              <w:t xml:space="preserve">aplican los requerimientos establecidos en los estándares, que permitan confirmar la adopción consistente de las mismas.   </w:t>
            </w:r>
          </w:p>
          <w:p w:rsidR="0084699A" w:rsidRPr="00600ED9" w:rsidRDefault="0084699A" w:rsidP="00FB1954">
            <w:pPr>
              <w:pStyle w:val="NoSpacing"/>
              <w:rPr>
                <w:lang w:val="es-ES_tradnl"/>
              </w:rPr>
            </w:pPr>
          </w:p>
        </w:tc>
      </w:tr>
      <w:tr w:rsidR="00836CE5" w:rsidRPr="00600ED9" w:rsidTr="00935134">
        <w:tc>
          <w:tcPr>
            <w:tcW w:w="9356" w:type="dxa"/>
            <w:shd w:val="clear" w:color="auto" w:fill="D9D9D9" w:themeFill="background1" w:themeFillShade="D9"/>
          </w:tcPr>
          <w:p w:rsidR="00836CE5" w:rsidRPr="00600ED9" w:rsidRDefault="00836CE5" w:rsidP="00FB1954">
            <w:pPr>
              <w:pStyle w:val="NoSpacing"/>
              <w:rPr>
                <w:b/>
                <w:i/>
                <w:sz w:val="20"/>
                <w:szCs w:val="20"/>
                <w:lang w:val="es-ES_tradnl"/>
              </w:rPr>
            </w:pPr>
            <w:r w:rsidRPr="00600ED9">
              <w:rPr>
                <w:b/>
                <w:i/>
                <w:sz w:val="20"/>
                <w:szCs w:val="20"/>
                <w:lang w:val="es-ES_tradnl"/>
              </w:rPr>
              <w:t>Dimensión (ii) Ética e independencia en la auditoría del desempeño</w:t>
            </w:r>
          </w:p>
        </w:tc>
      </w:tr>
      <w:tr w:rsidR="00836CE5" w:rsidRPr="00600ED9" w:rsidTr="00935134">
        <w:tc>
          <w:tcPr>
            <w:tcW w:w="9356" w:type="dxa"/>
            <w:shd w:val="clear" w:color="auto" w:fill="D9D9D9" w:themeFill="background1" w:themeFillShade="D9"/>
          </w:tcPr>
          <w:p w:rsidR="00836CE5" w:rsidRPr="00600ED9" w:rsidRDefault="00836CE5" w:rsidP="00FB1954">
            <w:pPr>
              <w:pStyle w:val="NoSpacing"/>
              <w:rPr>
                <w:i/>
                <w:color w:val="000000"/>
                <w:sz w:val="20"/>
                <w:szCs w:val="20"/>
                <w:lang w:val="es-ES_tradnl" w:eastAsia="zh-TW"/>
              </w:rPr>
            </w:pPr>
            <w:r w:rsidRPr="00600ED9">
              <w:rPr>
                <w:b/>
                <w:bCs/>
                <w:i/>
                <w:sz w:val="20"/>
                <w:szCs w:val="20"/>
                <w:lang w:val="es-ES_tradnl"/>
              </w:rPr>
              <w:t>Puntuación 4</w:t>
            </w:r>
            <w:r w:rsidRPr="00600ED9">
              <w:rPr>
                <w:bCs/>
                <w:i/>
                <w:sz w:val="20"/>
                <w:szCs w:val="20"/>
                <w:lang w:val="es-ES_tradnl"/>
              </w:rPr>
              <w:t>: Están establecidos todos los criterios señalados.</w:t>
            </w:r>
          </w:p>
        </w:tc>
      </w:tr>
      <w:tr w:rsidR="00836CE5" w:rsidRPr="00600ED9" w:rsidTr="00935134">
        <w:tc>
          <w:tcPr>
            <w:tcW w:w="9356" w:type="dxa"/>
          </w:tcPr>
          <w:p w:rsidR="00836CE5" w:rsidRPr="00600ED9" w:rsidRDefault="00836CE5" w:rsidP="00FB1954">
            <w:pPr>
              <w:jc w:val="both"/>
              <w:rPr>
                <w:rFonts w:eastAsiaTheme="minorEastAsia"/>
                <w:color w:val="000000"/>
                <w:sz w:val="20"/>
                <w:szCs w:val="20"/>
                <w:lang w:eastAsia="zh-TW"/>
              </w:rPr>
            </w:pPr>
            <w:r w:rsidRPr="00600ED9">
              <w:rPr>
                <w:rFonts w:eastAsiaTheme="minorEastAsia"/>
                <w:color w:val="000000"/>
                <w:sz w:val="20"/>
                <w:szCs w:val="20"/>
                <w:lang w:eastAsia="zh-TW"/>
              </w:rPr>
              <w:t xml:space="preserve">Criterios (a),  (b), (c) y (d) cumplen. </w:t>
            </w:r>
          </w:p>
          <w:p w:rsidR="005F71AD" w:rsidRPr="00600ED9" w:rsidRDefault="005F71AD" w:rsidP="00FB1954">
            <w:pPr>
              <w:pStyle w:val="Normaltabletext"/>
              <w:spacing w:after="0"/>
              <w:rPr>
                <w:rFonts w:cs="Arial"/>
                <w:lang w:val="es-ES_tradnl"/>
              </w:rPr>
            </w:pPr>
          </w:p>
          <w:p w:rsidR="00836CE5" w:rsidRPr="00600ED9" w:rsidRDefault="001D307C" w:rsidP="00FB1954">
            <w:pPr>
              <w:pStyle w:val="Normaltabletext"/>
              <w:spacing w:after="0"/>
              <w:rPr>
                <w:lang w:val="es-ES_tradnl"/>
              </w:rPr>
            </w:pPr>
            <w:r w:rsidRPr="00600ED9">
              <w:rPr>
                <w:rFonts w:cs="Arial"/>
                <w:lang w:val="es-ES_tradnl"/>
              </w:rPr>
              <w:t xml:space="preserve">Aplican las conclusiones y observaciones </w:t>
            </w:r>
            <w:r w:rsidR="00836CE5" w:rsidRPr="00600ED9">
              <w:rPr>
                <w:lang w:val="es-ES_tradnl"/>
              </w:rPr>
              <w:t xml:space="preserve">incluidas en el EFS 11 (ii) y el EFS 13 (ii) que son aplicables a las </w:t>
            </w:r>
            <w:r w:rsidRPr="00600ED9">
              <w:rPr>
                <w:lang w:val="es-ES_tradnl"/>
              </w:rPr>
              <w:t>A</w:t>
            </w:r>
            <w:r w:rsidR="00836CE5" w:rsidRPr="00600ED9">
              <w:rPr>
                <w:lang w:val="es-ES_tradnl"/>
              </w:rPr>
              <w:t xml:space="preserve">uditorías de </w:t>
            </w:r>
            <w:r w:rsidRPr="00600ED9">
              <w:rPr>
                <w:lang w:val="es-ES_tradnl"/>
              </w:rPr>
              <w:t>D</w:t>
            </w:r>
            <w:r w:rsidR="00836CE5" w:rsidRPr="00600ED9">
              <w:rPr>
                <w:lang w:val="es-ES_tradnl"/>
              </w:rPr>
              <w:t>esempeño.</w:t>
            </w:r>
          </w:p>
          <w:p w:rsidR="005F71AD" w:rsidRPr="00600ED9" w:rsidRDefault="005F71AD" w:rsidP="00FB1954">
            <w:pPr>
              <w:pStyle w:val="Normaltabletext"/>
              <w:spacing w:after="0"/>
              <w:rPr>
                <w:lang w:val="es-ES_tradnl"/>
              </w:rPr>
            </w:pPr>
          </w:p>
        </w:tc>
      </w:tr>
      <w:tr w:rsidR="00836CE5" w:rsidRPr="00600ED9" w:rsidTr="00935134">
        <w:tc>
          <w:tcPr>
            <w:tcW w:w="9356" w:type="dxa"/>
            <w:shd w:val="clear" w:color="auto" w:fill="D9D9D9" w:themeFill="background1" w:themeFillShade="D9"/>
          </w:tcPr>
          <w:p w:rsidR="00836CE5" w:rsidRPr="00600ED9" w:rsidRDefault="00836CE5" w:rsidP="00FB1954">
            <w:pPr>
              <w:pStyle w:val="NoSpacing"/>
              <w:rPr>
                <w:b/>
                <w:i/>
                <w:sz w:val="20"/>
                <w:szCs w:val="20"/>
                <w:lang w:val="es-ES_tradnl"/>
              </w:rPr>
            </w:pPr>
            <w:r w:rsidRPr="00600ED9">
              <w:rPr>
                <w:b/>
                <w:i/>
                <w:sz w:val="20"/>
                <w:szCs w:val="20"/>
                <w:lang w:val="es-ES_tradnl"/>
              </w:rPr>
              <w:t>Dimensión (iii) Control de calidad en la auditoría del desempeño</w:t>
            </w:r>
          </w:p>
        </w:tc>
      </w:tr>
      <w:tr w:rsidR="00332E6B" w:rsidRPr="00600ED9" w:rsidTr="00935134">
        <w:tc>
          <w:tcPr>
            <w:tcW w:w="9356" w:type="dxa"/>
            <w:shd w:val="clear" w:color="auto" w:fill="D9D9D9" w:themeFill="background1" w:themeFillShade="D9"/>
          </w:tcPr>
          <w:p w:rsidR="00332E6B" w:rsidRPr="00600ED9" w:rsidRDefault="00332E6B" w:rsidP="00FB1954">
            <w:pPr>
              <w:pStyle w:val="NoSpacing"/>
              <w:rPr>
                <w:i/>
                <w:color w:val="000000"/>
                <w:sz w:val="20"/>
                <w:szCs w:val="20"/>
                <w:lang w:val="es-ES_tradnl" w:eastAsia="zh-TW"/>
              </w:rPr>
            </w:pPr>
            <w:r w:rsidRPr="00600ED9">
              <w:rPr>
                <w:b/>
                <w:bCs/>
                <w:i/>
                <w:sz w:val="20"/>
                <w:szCs w:val="20"/>
                <w:lang w:val="es-ES_tradnl"/>
              </w:rPr>
              <w:t>Puntuación 3</w:t>
            </w:r>
            <w:r w:rsidRPr="00600ED9">
              <w:rPr>
                <w:bCs/>
                <w:i/>
                <w:sz w:val="20"/>
                <w:szCs w:val="20"/>
                <w:lang w:val="es-ES_tradnl"/>
              </w:rPr>
              <w:t>: Están establecidos al menos cuatro de los criterios señalados.</w:t>
            </w:r>
          </w:p>
        </w:tc>
      </w:tr>
      <w:tr w:rsidR="00836CE5" w:rsidRPr="00600ED9" w:rsidTr="00935134">
        <w:tc>
          <w:tcPr>
            <w:tcW w:w="9356" w:type="dxa"/>
          </w:tcPr>
          <w:p w:rsidR="00836CE5" w:rsidRPr="00600ED9" w:rsidRDefault="00836CE5" w:rsidP="00FB1954">
            <w:pPr>
              <w:jc w:val="both"/>
              <w:rPr>
                <w:rFonts w:eastAsiaTheme="minorEastAsia"/>
                <w:color w:val="000000"/>
                <w:sz w:val="20"/>
                <w:szCs w:val="20"/>
                <w:lang w:eastAsia="zh-TW"/>
              </w:rPr>
            </w:pPr>
            <w:r w:rsidRPr="00600ED9">
              <w:rPr>
                <w:rFonts w:eastAsiaTheme="minorEastAsia"/>
                <w:color w:val="000000"/>
                <w:sz w:val="20"/>
                <w:szCs w:val="20"/>
                <w:lang w:eastAsia="zh-TW"/>
              </w:rPr>
              <w:t>Criterios (a), (b), (c) y (e) cumplen</w:t>
            </w:r>
            <w:r w:rsidRPr="00600ED9">
              <w:rPr>
                <w:rFonts w:eastAsiaTheme="minorEastAsia"/>
                <w:b/>
                <w:color w:val="000000"/>
                <w:sz w:val="20"/>
                <w:szCs w:val="20"/>
                <w:lang w:eastAsia="zh-TW"/>
              </w:rPr>
              <w:t xml:space="preserve">. </w:t>
            </w:r>
            <w:r w:rsidRPr="00600ED9">
              <w:rPr>
                <w:rFonts w:eastAsiaTheme="minorEastAsia"/>
                <w:color w:val="000000"/>
                <w:sz w:val="20"/>
                <w:szCs w:val="20"/>
                <w:lang w:eastAsia="zh-TW"/>
              </w:rPr>
              <w:t>Criterio (d)</w:t>
            </w:r>
            <w:r w:rsidRPr="00600ED9">
              <w:rPr>
                <w:rFonts w:eastAsiaTheme="minorEastAsia"/>
                <w:b/>
                <w:color w:val="000000"/>
                <w:sz w:val="20"/>
                <w:szCs w:val="20"/>
                <w:lang w:eastAsia="zh-TW"/>
              </w:rPr>
              <w:t xml:space="preserve"> </w:t>
            </w:r>
            <w:r w:rsidRPr="00600ED9">
              <w:rPr>
                <w:rFonts w:eastAsiaTheme="minorEastAsia"/>
                <w:color w:val="000000"/>
                <w:sz w:val="20"/>
                <w:szCs w:val="20"/>
                <w:lang w:eastAsia="zh-TW"/>
              </w:rPr>
              <w:t xml:space="preserve">no cumple. </w:t>
            </w:r>
          </w:p>
          <w:p w:rsidR="005F71AD" w:rsidRPr="00600ED9" w:rsidRDefault="005F71AD" w:rsidP="00FB1954">
            <w:pPr>
              <w:pStyle w:val="Normaltabletext"/>
              <w:spacing w:after="0"/>
              <w:rPr>
                <w:rFonts w:cs="Arial"/>
                <w:lang w:val="es-ES_tradnl"/>
              </w:rPr>
            </w:pPr>
          </w:p>
          <w:p w:rsidR="00836CE5" w:rsidRPr="00600ED9" w:rsidRDefault="001D307C" w:rsidP="00FB1954">
            <w:pPr>
              <w:pStyle w:val="Normaltabletext"/>
              <w:spacing w:after="0"/>
              <w:rPr>
                <w:lang w:val="es-ES_tradnl"/>
              </w:rPr>
            </w:pPr>
            <w:r w:rsidRPr="00600ED9">
              <w:rPr>
                <w:rFonts w:cs="Arial"/>
                <w:lang w:val="es-ES_tradnl"/>
              </w:rPr>
              <w:t xml:space="preserve">Aplican las conclusiones y observaciones </w:t>
            </w:r>
            <w:r w:rsidR="00836CE5" w:rsidRPr="00600ED9">
              <w:rPr>
                <w:lang w:val="es-ES_tradnl"/>
              </w:rPr>
              <w:t xml:space="preserve">incluidas en el EFS 11 (iii) y el EFS 13 (iii) que son aplicables a las </w:t>
            </w:r>
            <w:r w:rsidRPr="00600ED9">
              <w:rPr>
                <w:lang w:val="es-ES_tradnl"/>
              </w:rPr>
              <w:t>A</w:t>
            </w:r>
            <w:r w:rsidR="00836CE5" w:rsidRPr="00600ED9">
              <w:rPr>
                <w:lang w:val="es-ES_tradnl"/>
              </w:rPr>
              <w:t xml:space="preserve">uditorías de </w:t>
            </w:r>
            <w:r w:rsidRPr="00600ED9">
              <w:rPr>
                <w:lang w:val="es-ES_tradnl"/>
              </w:rPr>
              <w:t>D</w:t>
            </w:r>
            <w:r w:rsidR="00836CE5" w:rsidRPr="00600ED9">
              <w:rPr>
                <w:lang w:val="es-ES_tradnl"/>
              </w:rPr>
              <w:t>esempeño.</w:t>
            </w:r>
          </w:p>
          <w:p w:rsidR="005F71AD" w:rsidRPr="00600ED9" w:rsidRDefault="005F71AD" w:rsidP="00FB1954">
            <w:pPr>
              <w:pStyle w:val="Normaltabletext"/>
              <w:spacing w:after="0"/>
              <w:rPr>
                <w:lang w:val="es-ES_tradnl"/>
              </w:rPr>
            </w:pPr>
          </w:p>
        </w:tc>
      </w:tr>
      <w:tr w:rsidR="00836CE5" w:rsidRPr="00600ED9" w:rsidTr="00935134">
        <w:tc>
          <w:tcPr>
            <w:tcW w:w="9356" w:type="dxa"/>
            <w:shd w:val="clear" w:color="auto" w:fill="D9D9D9" w:themeFill="background1" w:themeFillShade="D9"/>
          </w:tcPr>
          <w:p w:rsidR="00836CE5" w:rsidRPr="00600ED9" w:rsidRDefault="00836CE5" w:rsidP="00FB1954">
            <w:pPr>
              <w:pStyle w:val="NoSpacing"/>
              <w:rPr>
                <w:b/>
                <w:i/>
                <w:sz w:val="20"/>
                <w:lang w:val="es-ES_tradnl"/>
              </w:rPr>
            </w:pPr>
            <w:r w:rsidRPr="00600ED9">
              <w:rPr>
                <w:b/>
                <w:i/>
                <w:sz w:val="20"/>
                <w:lang w:val="es-ES_tradnl"/>
              </w:rPr>
              <w:t>Dimensión (iv) Gestión y habilidades del equipo de trabajo de la auditoría del desempeño</w:t>
            </w:r>
          </w:p>
        </w:tc>
      </w:tr>
      <w:tr w:rsidR="00836CE5" w:rsidRPr="00600ED9" w:rsidTr="00935134">
        <w:tc>
          <w:tcPr>
            <w:tcW w:w="9356" w:type="dxa"/>
          </w:tcPr>
          <w:p w:rsidR="00836CE5" w:rsidRPr="00600ED9" w:rsidRDefault="00836CE5" w:rsidP="00FB1954">
            <w:pPr>
              <w:pStyle w:val="NoSpacing"/>
              <w:rPr>
                <w:i/>
                <w:color w:val="000000"/>
                <w:sz w:val="20"/>
                <w:szCs w:val="20"/>
                <w:lang w:val="es-ES_tradnl" w:eastAsia="zh-TW"/>
              </w:rPr>
            </w:pPr>
            <w:r w:rsidRPr="00600ED9">
              <w:rPr>
                <w:b/>
                <w:bCs/>
                <w:i/>
                <w:sz w:val="20"/>
                <w:szCs w:val="20"/>
                <w:lang w:val="es-ES_tradnl"/>
              </w:rPr>
              <w:t>Puntuación 0</w:t>
            </w:r>
            <w:r w:rsidRPr="00600ED9">
              <w:rPr>
                <w:bCs/>
                <w:i/>
                <w:sz w:val="20"/>
                <w:szCs w:val="20"/>
                <w:lang w:val="es-ES_tradnl"/>
              </w:rPr>
              <w:t>: Ninguno de los criterios señalados está establecido.</w:t>
            </w:r>
          </w:p>
        </w:tc>
      </w:tr>
      <w:tr w:rsidR="00836CE5" w:rsidRPr="00600ED9" w:rsidTr="00935134">
        <w:tc>
          <w:tcPr>
            <w:tcW w:w="9356" w:type="dxa"/>
          </w:tcPr>
          <w:p w:rsidR="00836CE5" w:rsidRPr="00600ED9" w:rsidRDefault="00836CE5" w:rsidP="00FB1954">
            <w:pPr>
              <w:jc w:val="both"/>
              <w:rPr>
                <w:rFonts w:eastAsiaTheme="minorEastAsia"/>
                <w:color w:val="000000"/>
                <w:sz w:val="20"/>
                <w:szCs w:val="20"/>
                <w:lang w:eastAsia="zh-TW"/>
              </w:rPr>
            </w:pPr>
            <w:r w:rsidRPr="00600ED9">
              <w:rPr>
                <w:rFonts w:eastAsiaTheme="minorEastAsia"/>
                <w:color w:val="000000"/>
                <w:sz w:val="20"/>
                <w:szCs w:val="20"/>
                <w:lang w:eastAsia="zh-TW"/>
              </w:rPr>
              <w:t xml:space="preserve">Criterios (a), (b), (c) y (d) no cumplen. </w:t>
            </w:r>
          </w:p>
          <w:p w:rsidR="005F71AD" w:rsidRPr="00600ED9" w:rsidRDefault="005F71AD" w:rsidP="00FB1954">
            <w:pPr>
              <w:pStyle w:val="Normaltabletext"/>
              <w:spacing w:after="0"/>
              <w:rPr>
                <w:rFonts w:cs="Arial"/>
                <w:lang w:val="es-ES_tradnl"/>
              </w:rPr>
            </w:pPr>
          </w:p>
          <w:p w:rsidR="00836CE5" w:rsidRPr="00600ED9" w:rsidRDefault="001D307C" w:rsidP="00FB1954">
            <w:pPr>
              <w:pStyle w:val="Normaltabletext"/>
              <w:spacing w:after="0"/>
              <w:rPr>
                <w:bCs/>
                <w:lang w:val="es-ES_tradnl" w:eastAsia="en-GB"/>
              </w:rPr>
            </w:pPr>
            <w:r w:rsidRPr="00600ED9">
              <w:rPr>
                <w:rFonts w:cs="Arial"/>
                <w:lang w:val="es-ES_tradnl"/>
              </w:rPr>
              <w:t xml:space="preserve">Aplican las conclusiones y observaciones </w:t>
            </w:r>
            <w:r w:rsidR="00394F44" w:rsidRPr="00600ED9">
              <w:rPr>
                <w:rFonts w:cs="Arial"/>
                <w:lang w:val="es-ES_tradnl"/>
              </w:rPr>
              <w:t xml:space="preserve">incluidas </w:t>
            </w:r>
            <w:r w:rsidR="00836CE5" w:rsidRPr="00600ED9">
              <w:rPr>
                <w:lang w:val="es-ES_tradnl"/>
              </w:rPr>
              <w:t xml:space="preserve">en el EFS 11 (iv) y EFS 13 (iv) que son aplicables a las </w:t>
            </w:r>
            <w:r w:rsidRPr="00600ED9">
              <w:rPr>
                <w:lang w:val="es-ES_tradnl"/>
              </w:rPr>
              <w:t>A</w:t>
            </w:r>
            <w:r w:rsidR="00836CE5" w:rsidRPr="00600ED9">
              <w:rPr>
                <w:lang w:val="es-ES_tradnl"/>
              </w:rPr>
              <w:t xml:space="preserve">uditorías de </w:t>
            </w:r>
            <w:r w:rsidRPr="00600ED9">
              <w:rPr>
                <w:lang w:val="es-ES_tradnl"/>
              </w:rPr>
              <w:t>D</w:t>
            </w:r>
            <w:r w:rsidR="00836CE5" w:rsidRPr="00600ED9">
              <w:rPr>
                <w:lang w:val="es-ES_tradnl"/>
              </w:rPr>
              <w:t xml:space="preserve">esempeño. Las puntuaciones podrían ser distintas </w:t>
            </w:r>
            <w:r w:rsidR="00836CE5" w:rsidRPr="00600ED9">
              <w:rPr>
                <w:bCs/>
                <w:lang w:val="es-ES_tradnl" w:eastAsia="en-GB"/>
              </w:rPr>
              <w:t>debido a los criterios evaluados en cada indicador.</w:t>
            </w:r>
          </w:p>
          <w:p w:rsidR="005F71AD" w:rsidRPr="00600ED9" w:rsidRDefault="005F71AD" w:rsidP="00FB1954">
            <w:pPr>
              <w:jc w:val="both"/>
              <w:rPr>
                <w:rFonts w:eastAsiaTheme="minorEastAsia"/>
                <w:bCs/>
                <w:sz w:val="20"/>
                <w:szCs w:val="20"/>
                <w:lang w:eastAsia="en-GB"/>
              </w:rPr>
            </w:pPr>
          </w:p>
          <w:p w:rsidR="00836CE5" w:rsidRPr="00600ED9" w:rsidRDefault="00836CE5" w:rsidP="00FB1954">
            <w:pPr>
              <w:jc w:val="both"/>
              <w:rPr>
                <w:sz w:val="20"/>
                <w:szCs w:val="20"/>
              </w:rPr>
            </w:pPr>
            <w:r w:rsidRPr="00600ED9">
              <w:rPr>
                <w:rFonts w:eastAsiaTheme="minorEastAsia"/>
                <w:bCs/>
                <w:sz w:val="20"/>
                <w:szCs w:val="20"/>
                <w:lang w:eastAsia="en-GB"/>
              </w:rPr>
              <w:t>La CGRC debe incluir temas de capacitación con miras a fortalecer las capacidades de los auditores en procedimientos y conclusiones de auditorías de desempeño con base en  la ISSAI 300.</w:t>
            </w:r>
          </w:p>
        </w:tc>
      </w:tr>
    </w:tbl>
    <w:p w:rsidR="00935134" w:rsidRPr="00600ED9" w:rsidRDefault="00935134" w:rsidP="00FB1954">
      <w:pPr>
        <w:pStyle w:val="NoSpacing"/>
        <w:ind w:left="720"/>
        <w:rPr>
          <w:lang w:val="es-ES_tradnl"/>
        </w:rPr>
      </w:pPr>
    </w:p>
    <w:p w:rsidR="00AB1E17" w:rsidRPr="00600ED9" w:rsidRDefault="003A6196" w:rsidP="00FB1954">
      <w:pPr>
        <w:pStyle w:val="NoSpacing"/>
        <w:ind w:left="720"/>
        <w:rPr>
          <w:lang w:val="es-ES_tradnl"/>
        </w:rPr>
      </w:pPr>
      <w:r w:rsidRPr="00600ED9">
        <w:rPr>
          <w:b/>
          <w:iCs/>
          <w:smallCaps/>
          <w:lang w:val="es-ES_tradnl"/>
        </w:rPr>
        <w:t>Recomendaciones:</w:t>
      </w:r>
      <w:r w:rsidR="005F71AD" w:rsidRPr="00600ED9">
        <w:rPr>
          <w:b/>
          <w:iCs/>
          <w:smallCaps/>
          <w:lang w:val="es-ES_tradnl"/>
        </w:rPr>
        <w:t xml:space="preserve"> </w:t>
      </w:r>
      <w:r w:rsidR="005120A2" w:rsidRPr="00600ED9">
        <w:rPr>
          <w:lang w:val="es-ES_tradnl"/>
        </w:rPr>
        <w:t>Consultar el</w:t>
      </w:r>
      <w:r w:rsidR="00CA3E61" w:rsidRPr="00600ED9">
        <w:rPr>
          <w:lang w:val="es-ES_tradnl"/>
        </w:rPr>
        <w:t xml:space="preserve"> Anexo </w:t>
      </w:r>
      <w:r w:rsidR="001D307C" w:rsidRPr="00600ED9">
        <w:rPr>
          <w:lang w:val="es-ES_tradnl"/>
        </w:rPr>
        <w:t>A</w:t>
      </w:r>
      <w:r w:rsidR="00CA3E61" w:rsidRPr="00600ED9">
        <w:rPr>
          <w:lang w:val="es-ES_tradnl"/>
        </w:rPr>
        <w:t xml:space="preserve">: Plan de Acción, </w:t>
      </w:r>
      <w:r w:rsidR="005E7282" w:rsidRPr="00600ED9">
        <w:rPr>
          <w:lang w:val="es-ES_tradnl"/>
        </w:rPr>
        <w:t xml:space="preserve">recomendaciones </w:t>
      </w:r>
      <w:r w:rsidR="00C153F7" w:rsidRPr="00600ED9">
        <w:rPr>
          <w:lang w:val="es-ES_tradnl"/>
        </w:rPr>
        <w:t>No. 12, 13 y 15</w:t>
      </w:r>
      <w:r w:rsidR="00CA3E61" w:rsidRPr="00600ED9">
        <w:rPr>
          <w:lang w:val="es-ES_tradnl"/>
        </w:rPr>
        <w:t>.</w:t>
      </w:r>
    </w:p>
    <w:p w:rsidR="00AB1E17" w:rsidRPr="00600ED9" w:rsidRDefault="00AB1E17" w:rsidP="00FB1954">
      <w:pPr>
        <w:pStyle w:val="NoSpacing"/>
        <w:ind w:left="720"/>
        <w:rPr>
          <w:rFonts w:eastAsia="Calibri" w:cs="Times New Roman"/>
          <w:lang w:val="es-ES_tradnl"/>
        </w:rPr>
      </w:pPr>
    </w:p>
    <w:p w:rsidR="008E5077" w:rsidRPr="00600ED9" w:rsidRDefault="008E5077" w:rsidP="00FB1954">
      <w:pPr>
        <w:pStyle w:val="NoSpacing"/>
        <w:ind w:left="720"/>
        <w:rPr>
          <w:rFonts w:eastAsia="Calibri" w:cs="Times New Roman"/>
          <w:lang w:val="es-ES_tradnl"/>
        </w:rPr>
      </w:pPr>
    </w:p>
    <w:p w:rsidR="00720E42" w:rsidRPr="00600ED9" w:rsidRDefault="008454F0" w:rsidP="00FB1954">
      <w:pPr>
        <w:pStyle w:val="Heading2"/>
        <w:spacing w:before="0" w:line="240" w:lineRule="auto"/>
      </w:pPr>
      <w:bookmarkStart w:id="31" w:name="_Toc295932923"/>
      <w:r w:rsidRPr="00600ED9">
        <w:t xml:space="preserve">EFS </w:t>
      </w:r>
      <w:r w:rsidR="00720E42" w:rsidRPr="00600ED9">
        <w:t>16 – Proceso de la Auditoría de Desempeño</w:t>
      </w:r>
      <w:bookmarkEnd w:id="31"/>
    </w:p>
    <w:p w:rsidR="003B04AB" w:rsidRPr="00600ED9" w:rsidRDefault="003B04AB" w:rsidP="00FB1954">
      <w:pPr>
        <w:pStyle w:val="ListParagraph"/>
        <w:tabs>
          <w:tab w:val="right" w:leader="dot" w:pos="8640"/>
        </w:tabs>
        <w:spacing w:after="0" w:line="240" w:lineRule="auto"/>
        <w:ind w:left="1080"/>
        <w:rPr>
          <w:rFonts w:eastAsia="Calibri" w:cs="Times New Roman"/>
          <w:b/>
        </w:rPr>
      </w:pPr>
    </w:p>
    <w:tbl>
      <w:tblPr>
        <w:tblW w:w="8320" w:type="dxa"/>
        <w:tblInd w:w="720" w:type="dxa"/>
        <w:tblCellMar>
          <w:left w:w="70" w:type="dxa"/>
          <w:right w:w="70" w:type="dxa"/>
        </w:tblCellMar>
        <w:tblLook w:val="04A0" w:firstRow="1" w:lastRow="0" w:firstColumn="1" w:lastColumn="0" w:noHBand="0" w:noVBand="1"/>
      </w:tblPr>
      <w:tblGrid>
        <w:gridCol w:w="2556"/>
        <w:gridCol w:w="1499"/>
        <w:gridCol w:w="1469"/>
        <w:gridCol w:w="1530"/>
        <w:gridCol w:w="180"/>
        <w:gridCol w:w="1086"/>
      </w:tblGrid>
      <w:tr w:rsidR="00771CFC" w:rsidRPr="00600ED9" w:rsidTr="004827B1">
        <w:trPr>
          <w:trHeight w:val="255"/>
        </w:trPr>
        <w:tc>
          <w:tcPr>
            <w:tcW w:w="2556" w:type="dxa"/>
            <w:tcBorders>
              <w:top w:val="nil"/>
              <w:left w:val="nil"/>
              <w:bottom w:val="nil"/>
              <w:right w:val="nil"/>
            </w:tcBorders>
            <w:shd w:val="clear" w:color="auto" w:fill="auto"/>
            <w:noWrap/>
            <w:vAlign w:val="bottom"/>
            <w:hideMark/>
          </w:tcPr>
          <w:p w:rsidR="00771CFC" w:rsidRPr="00600ED9" w:rsidRDefault="00771CFC" w:rsidP="00FB1954">
            <w:pPr>
              <w:pStyle w:val="NoSpacing"/>
              <w:tabs>
                <w:tab w:val="center" w:pos="4680"/>
                <w:tab w:val="right" w:pos="9360"/>
              </w:tabs>
              <w:jc w:val="center"/>
              <w:rPr>
                <w:sz w:val="20"/>
                <w:lang w:val="es-ES_tradnl"/>
              </w:rPr>
            </w:pPr>
          </w:p>
        </w:tc>
        <w:tc>
          <w:tcPr>
            <w:tcW w:w="4498" w:type="dxa"/>
            <w:gridSpan w:val="3"/>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771CFC" w:rsidRPr="00600ED9" w:rsidRDefault="00771CFC" w:rsidP="00FB1954">
            <w:pPr>
              <w:pStyle w:val="NoSpacing"/>
              <w:jc w:val="center"/>
              <w:rPr>
                <w:b/>
                <w:bCs/>
                <w:sz w:val="20"/>
                <w:lang w:val="es-ES_tradnl"/>
              </w:rPr>
            </w:pPr>
            <w:r w:rsidRPr="00600ED9">
              <w:rPr>
                <w:b/>
                <w:bCs/>
                <w:sz w:val="20"/>
                <w:lang w:val="es-ES_tradnl"/>
              </w:rPr>
              <w:t>Dimensiones Evaluadas</w:t>
            </w:r>
          </w:p>
        </w:tc>
        <w:tc>
          <w:tcPr>
            <w:tcW w:w="180" w:type="dxa"/>
            <w:tcBorders>
              <w:top w:val="nil"/>
              <w:left w:val="nil"/>
              <w:bottom w:val="nil"/>
              <w:right w:val="nil"/>
            </w:tcBorders>
            <w:shd w:val="clear" w:color="auto" w:fill="auto"/>
            <w:noWrap/>
            <w:vAlign w:val="bottom"/>
            <w:hideMark/>
          </w:tcPr>
          <w:p w:rsidR="00771CFC" w:rsidRPr="00600ED9" w:rsidRDefault="00771CFC" w:rsidP="00FB1954">
            <w:pPr>
              <w:pStyle w:val="NoSpacing"/>
              <w:tabs>
                <w:tab w:val="center" w:pos="4680"/>
                <w:tab w:val="right" w:pos="9360"/>
              </w:tabs>
              <w:jc w:val="center"/>
              <w:rPr>
                <w:sz w:val="20"/>
                <w:lang w:val="es-ES_tradnl"/>
              </w:rPr>
            </w:pPr>
          </w:p>
        </w:tc>
        <w:tc>
          <w:tcPr>
            <w:tcW w:w="1086" w:type="dxa"/>
            <w:vMerge w:val="restart"/>
            <w:tcBorders>
              <w:top w:val="single" w:sz="4" w:space="0" w:color="auto"/>
              <w:left w:val="single" w:sz="4" w:space="0" w:color="auto"/>
              <w:right w:val="single" w:sz="4" w:space="0" w:color="auto"/>
            </w:tcBorders>
            <w:shd w:val="clear" w:color="000000" w:fill="95B3D7"/>
            <w:vAlign w:val="center"/>
            <w:hideMark/>
          </w:tcPr>
          <w:p w:rsidR="00771CFC" w:rsidRPr="00600ED9" w:rsidRDefault="00771CFC" w:rsidP="00FB1954">
            <w:pPr>
              <w:pStyle w:val="NoSpacing"/>
              <w:jc w:val="center"/>
              <w:rPr>
                <w:b/>
                <w:bCs/>
                <w:sz w:val="20"/>
                <w:lang w:val="es-ES_tradnl"/>
              </w:rPr>
            </w:pPr>
            <w:r w:rsidRPr="00600ED9">
              <w:rPr>
                <w:b/>
                <w:bCs/>
                <w:sz w:val="20"/>
                <w:lang w:val="es-ES_tradnl"/>
              </w:rPr>
              <w:t>Puntuación General</w:t>
            </w:r>
          </w:p>
        </w:tc>
      </w:tr>
      <w:tr w:rsidR="00771CFC" w:rsidRPr="00600ED9" w:rsidTr="004827B1">
        <w:trPr>
          <w:trHeight w:val="390"/>
        </w:trPr>
        <w:tc>
          <w:tcPr>
            <w:tcW w:w="2556"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771CFC" w:rsidRPr="00600ED9" w:rsidRDefault="00771CFC" w:rsidP="00FB1954">
            <w:pPr>
              <w:pStyle w:val="NoSpacing"/>
              <w:jc w:val="center"/>
              <w:rPr>
                <w:b/>
                <w:bCs/>
                <w:sz w:val="20"/>
                <w:lang w:val="es-ES_tradnl"/>
              </w:rPr>
            </w:pPr>
            <w:r w:rsidRPr="00600ED9">
              <w:rPr>
                <w:b/>
                <w:bCs/>
                <w:sz w:val="20"/>
                <w:lang w:val="es-ES_tradnl"/>
              </w:rPr>
              <w:t>Indicadores</w:t>
            </w:r>
          </w:p>
        </w:tc>
        <w:tc>
          <w:tcPr>
            <w:tcW w:w="1499" w:type="dxa"/>
            <w:tcBorders>
              <w:top w:val="nil"/>
              <w:left w:val="nil"/>
              <w:bottom w:val="single" w:sz="4" w:space="0" w:color="auto"/>
              <w:right w:val="single" w:sz="4" w:space="0" w:color="auto"/>
            </w:tcBorders>
            <w:shd w:val="clear" w:color="000000" w:fill="D8D8D8"/>
            <w:noWrap/>
            <w:hideMark/>
          </w:tcPr>
          <w:p w:rsidR="00771CFC" w:rsidRPr="00600ED9" w:rsidRDefault="005B707A" w:rsidP="00FB1954">
            <w:pPr>
              <w:pStyle w:val="NoSpacing"/>
              <w:jc w:val="center"/>
              <w:rPr>
                <w:b/>
                <w:bCs/>
                <w:sz w:val="20"/>
                <w:lang w:val="es-ES_tradnl"/>
              </w:rPr>
            </w:pPr>
            <w:r w:rsidRPr="00600ED9">
              <w:rPr>
                <w:b/>
                <w:bCs/>
                <w:sz w:val="20"/>
                <w:lang w:val="es-ES_tradnl"/>
              </w:rPr>
              <w:t>(i)</w:t>
            </w:r>
          </w:p>
          <w:p w:rsidR="00771CFC" w:rsidRPr="00600ED9" w:rsidRDefault="00771CFC" w:rsidP="00FB1954">
            <w:pPr>
              <w:pStyle w:val="NoSpacing"/>
              <w:jc w:val="center"/>
              <w:rPr>
                <w:b/>
                <w:bCs/>
                <w:sz w:val="20"/>
                <w:lang w:val="es-ES_tradnl"/>
              </w:rPr>
            </w:pPr>
            <w:r w:rsidRPr="00600ED9">
              <w:rPr>
                <w:sz w:val="20"/>
                <w:lang w:val="es-ES_tradnl"/>
              </w:rPr>
              <w:t>Planeación de las Auditorías de Desempeño</w:t>
            </w:r>
          </w:p>
        </w:tc>
        <w:tc>
          <w:tcPr>
            <w:tcW w:w="1469" w:type="dxa"/>
            <w:tcBorders>
              <w:top w:val="nil"/>
              <w:left w:val="nil"/>
              <w:bottom w:val="single" w:sz="4" w:space="0" w:color="auto"/>
              <w:right w:val="single" w:sz="4" w:space="0" w:color="auto"/>
            </w:tcBorders>
            <w:shd w:val="clear" w:color="000000" w:fill="D8D8D8"/>
            <w:noWrap/>
            <w:hideMark/>
          </w:tcPr>
          <w:p w:rsidR="00771CFC" w:rsidRPr="00600ED9" w:rsidRDefault="005B707A" w:rsidP="00FB1954">
            <w:pPr>
              <w:pStyle w:val="NoSpacing"/>
              <w:jc w:val="center"/>
              <w:rPr>
                <w:b/>
                <w:bCs/>
                <w:sz w:val="20"/>
                <w:lang w:val="es-ES_tradnl"/>
              </w:rPr>
            </w:pPr>
            <w:r w:rsidRPr="00600ED9">
              <w:rPr>
                <w:b/>
                <w:bCs/>
                <w:sz w:val="20"/>
                <w:lang w:val="es-ES_tradnl"/>
              </w:rPr>
              <w:t>(ii)</w:t>
            </w:r>
          </w:p>
          <w:p w:rsidR="00771CFC" w:rsidRPr="00600ED9" w:rsidRDefault="00771CFC" w:rsidP="00FB1954">
            <w:pPr>
              <w:pStyle w:val="NoSpacing"/>
              <w:jc w:val="center"/>
              <w:rPr>
                <w:b/>
                <w:bCs/>
                <w:sz w:val="20"/>
                <w:lang w:val="es-ES_tradnl"/>
              </w:rPr>
            </w:pPr>
            <w:r w:rsidRPr="00600ED9">
              <w:rPr>
                <w:sz w:val="20"/>
                <w:lang w:val="es-ES_tradnl"/>
              </w:rPr>
              <w:t>Implementación de las Auditorías de Desempeño</w:t>
            </w:r>
          </w:p>
        </w:tc>
        <w:tc>
          <w:tcPr>
            <w:tcW w:w="1530" w:type="dxa"/>
            <w:tcBorders>
              <w:top w:val="nil"/>
              <w:left w:val="nil"/>
              <w:bottom w:val="single" w:sz="4" w:space="0" w:color="auto"/>
              <w:right w:val="single" w:sz="4" w:space="0" w:color="auto"/>
            </w:tcBorders>
            <w:shd w:val="clear" w:color="000000" w:fill="D8D8D8"/>
            <w:noWrap/>
            <w:hideMark/>
          </w:tcPr>
          <w:p w:rsidR="00771CFC" w:rsidRPr="00600ED9" w:rsidRDefault="005B707A" w:rsidP="00FB1954">
            <w:pPr>
              <w:pStyle w:val="NoSpacing"/>
              <w:jc w:val="center"/>
              <w:rPr>
                <w:b/>
                <w:bCs/>
                <w:sz w:val="20"/>
                <w:lang w:val="es-ES_tradnl"/>
              </w:rPr>
            </w:pPr>
            <w:r w:rsidRPr="00600ED9">
              <w:rPr>
                <w:b/>
                <w:bCs/>
                <w:sz w:val="20"/>
                <w:lang w:val="es-ES_tradnl"/>
              </w:rPr>
              <w:t>(iii)</w:t>
            </w:r>
          </w:p>
          <w:p w:rsidR="00771CFC" w:rsidRPr="00600ED9" w:rsidRDefault="00771CFC" w:rsidP="00FB1954">
            <w:pPr>
              <w:pStyle w:val="NoSpacing"/>
              <w:jc w:val="center"/>
              <w:rPr>
                <w:b/>
                <w:bCs/>
                <w:sz w:val="20"/>
                <w:lang w:val="es-ES_tradnl"/>
              </w:rPr>
            </w:pPr>
            <w:r w:rsidRPr="00600ED9">
              <w:rPr>
                <w:sz w:val="20"/>
                <w:lang w:val="es-ES_tradnl"/>
              </w:rPr>
              <w:t>Emisión del Informe de una Auditoría de Desempeño</w:t>
            </w:r>
          </w:p>
        </w:tc>
        <w:tc>
          <w:tcPr>
            <w:tcW w:w="180" w:type="dxa"/>
            <w:tcBorders>
              <w:top w:val="nil"/>
              <w:left w:val="nil"/>
              <w:bottom w:val="nil"/>
              <w:right w:val="nil"/>
            </w:tcBorders>
            <w:shd w:val="clear" w:color="auto" w:fill="auto"/>
            <w:noWrap/>
            <w:vAlign w:val="bottom"/>
            <w:hideMark/>
          </w:tcPr>
          <w:p w:rsidR="00771CFC" w:rsidRPr="00600ED9" w:rsidRDefault="00771CFC" w:rsidP="00FB1954">
            <w:pPr>
              <w:pStyle w:val="NoSpacing"/>
              <w:tabs>
                <w:tab w:val="center" w:pos="4680"/>
                <w:tab w:val="right" w:pos="9360"/>
              </w:tabs>
              <w:jc w:val="center"/>
              <w:rPr>
                <w:sz w:val="20"/>
                <w:lang w:val="es-ES_tradnl"/>
              </w:rPr>
            </w:pPr>
          </w:p>
        </w:tc>
        <w:tc>
          <w:tcPr>
            <w:tcW w:w="1086" w:type="dxa"/>
            <w:vMerge/>
            <w:tcBorders>
              <w:left w:val="single" w:sz="4" w:space="0" w:color="auto"/>
              <w:bottom w:val="single" w:sz="4" w:space="0" w:color="auto"/>
              <w:right w:val="single" w:sz="4" w:space="0" w:color="auto"/>
            </w:tcBorders>
            <w:vAlign w:val="center"/>
            <w:hideMark/>
          </w:tcPr>
          <w:p w:rsidR="00771CFC" w:rsidRPr="00600ED9" w:rsidRDefault="00771CFC" w:rsidP="00FB1954">
            <w:pPr>
              <w:pStyle w:val="NoSpacing"/>
              <w:tabs>
                <w:tab w:val="center" w:pos="4680"/>
                <w:tab w:val="right" w:pos="9360"/>
              </w:tabs>
              <w:jc w:val="center"/>
              <w:rPr>
                <w:b/>
                <w:bCs/>
                <w:sz w:val="20"/>
                <w:lang w:val="es-ES_tradnl"/>
              </w:rPr>
            </w:pPr>
          </w:p>
        </w:tc>
      </w:tr>
      <w:tr w:rsidR="00274D45" w:rsidRPr="00600ED9" w:rsidTr="004827B1">
        <w:trPr>
          <w:trHeight w:val="510"/>
        </w:trPr>
        <w:tc>
          <w:tcPr>
            <w:tcW w:w="2556" w:type="dxa"/>
            <w:tcBorders>
              <w:top w:val="nil"/>
              <w:left w:val="single" w:sz="4" w:space="0" w:color="auto"/>
              <w:bottom w:val="single" w:sz="4" w:space="0" w:color="auto"/>
              <w:right w:val="single" w:sz="4" w:space="0" w:color="auto"/>
            </w:tcBorders>
            <w:shd w:val="clear" w:color="auto" w:fill="auto"/>
            <w:vAlign w:val="center"/>
            <w:hideMark/>
          </w:tcPr>
          <w:p w:rsidR="00274D45" w:rsidRPr="00600ED9" w:rsidRDefault="00274D45" w:rsidP="00FB1954">
            <w:pPr>
              <w:pStyle w:val="NoSpacing"/>
              <w:jc w:val="center"/>
              <w:rPr>
                <w:b/>
                <w:bCs/>
                <w:sz w:val="20"/>
                <w:lang w:val="es-ES_tradnl"/>
              </w:rPr>
            </w:pPr>
            <w:r w:rsidRPr="00600ED9">
              <w:rPr>
                <w:rFonts w:eastAsia="Calibri" w:cs="Times New Roman"/>
                <w:b/>
                <w:sz w:val="20"/>
                <w:lang w:val="es-ES_tradnl"/>
              </w:rPr>
              <w:t>EFS 16 – Proceso de la Auditoría de Desempeño</w:t>
            </w:r>
          </w:p>
        </w:tc>
        <w:tc>
          <w:tcPr>
            <w:tcW w:w="1499" w:type="dxa"/>
            <w:tcBorders>
              <w:top w:val="nil"/>
              <w:left w:val="nil"/>
              <w:bottom w:val="single" w:sz="4" w:space="0" w:color="auto"/>
              <w:right w:val="single" w:sz="4" w:space="0" w:color="auto"/>
            </w:tcBorders>
            <w:shd w:val="clear" w:color="auto" w:fill="auto"/>
            <w:noWrap/>
            <w:vAlign w:val="center"/>
          </w:tcPr>
          <w:p w:rsidR="00274D45" w:rsidRPr="00600ED9" w:rsidRDefault="00274D45" w:rsidP="00FB1954">
            <w:pPr>
              <w:pStyle w:val="NoSpacing"/>
              <w:jc w:val="center"/>
              <w:rPr>
                <w:b/>
                <w:bCs/>
                <w:sz w:val="20"/>
                <w:lang w:val="es-ES_tradnl"/>
              </w:rPr>
            </w:pPr>
            <w:r w:rsidRPr="00600ED9">
              <w:rPr>
                <w:b/>
                <w:bCs/>
                <w:sz w:val="20"/>
                <w:lang w:val="es-ES_tradnl"/>
              </w:rPr>
              <w:t>0</w:t>
            </w:r>
          </w:p>
        </w:tc>
        <w:tc>
          <w:tcPr>
            <w:tcW w:w="1469" w:type="dxa"/>
            <w:tcBorders>
              <w:top w:val="nil"/>
              <w:left w:val="nil"/>
              <w:bottom w:val="single" w:sz="4" w:space="0" w:color="auto"/>
              <w:right w:val="single" w:sz="4" w:space="0" w:color="auto"/>
            </w:tcBorders>
            <w:shd w:val="clear" w:color="auto" w:fill="auto"/>
            <w:noWrap/>
            <w:vAlign w:val="center"/>
          </w:tcPr>
          <w:p w:rsidR="00274D45" w:rsidRPr="00600ED9" w:rsidRDefault="00274D45" w:rsidP="00FB1954">
            <w:pPr>
              <w:pStyle w:val="NoSpacing"/>
              <w:jc w:val="center"/>
              <w:rPr>
                <w:b/>
                <w:bCs/>
                <w:sz w:val="20"/>
                <w:lang w:val="es-ES_tradnl"/>
              </w:rPr>
            </w:pPr>
            <w:r w:rsidRPr="00600ED9">
              <w:rPr>
                <w:b/>
                <w:bCs/>
                <w:sz w:val="20"/>
                <w:lang w:val="es-ES_tradnl"/>
              </w:rPr>
              <w:t>0</w:t>
            </w:r>
          </w:p>
        </w:tc>
        <w:tc>
          <w:tcPr>
            <w:tcW w:w="1530" w:type="dxa"/>
            <w:tcBorders>
              <w:top w:val="nil"/>
              <w:left w:val="nil"/>
              <w:bottom w:val="single" w:sz="4" w:space="0" w:color="auto"/>
              <w:right w:val="single" w:sz="4" w:space="0" w:color="auto"/>
            </w:tcBorders>
            <w:shd w:val="clear" w:color="auto" w:fill="auto"/>
            <w:noWrap/>
            <w:vAlign w:val="center"/>
          </w:tcPr>
          <w:p w:rsidR="00274D45" w:rsidRPr="00600ED9" w:rsidRDefault="00274D45" w:rsidP="00FB1954">
            <w:pPr>
              <w:pStyle w:val="NoSpacing"/>
              <w:jc w:val="center"/>
              <w:rPr>
                <w:b/>
                <w:bCs/>
                <w:sz w:val="20"/>
                <w:lang w:val="es-ES_tradnl"/>
              </w:rPr>
            </w:pPr>
            <w:r w:rsidRPr="00600ED9">
              <w:rPr>
                <w:b/>
                <w:bCs/>
                <w:sz w:val="20"/>
                <w:lang w:val="es-ES_tradnl"/>
              </w:rPr>
              <w:t>0</w:t>
            </w:r>
          </w:p>
        </w:tc>
        <w:tc>
          <w:tcPr>
            <w:tcW w:w="180" w:type="dxa"/>
            <w:tcBorders>
              <w:top w:val="nil"/>
              <w:left w:val="nil"/>
              <w:bottom w:val="nil"/>
              <w:right w:val="nil"/>
            </w:tcBorders>
            <w:shd w:val="clear" w:color="auto" w:fill="auto"/>
            <w:noWrap/>
            <w:vAlign w:val="bottom"/>
          </w:tcPr>
          <w:p w:rsidR="00274D45" w:rsidRPr="00600ED9" w:rsidRDefault="00274D45" w:rsidP="00FB1954">
            <w:pPr>
              <w:pStyle w:val="NoSpacing"/>
              <w:tabs>
                <w:tab w:val="center" w:pos="4680"/>
                <w:tab w:val="right" w:pos="9360"/>
              </w:tabs>
              <w:jc w:val="center"/>
              <w:rPr>
                <w:sz w:val="20"/>
                <w:lang w:val="es-ES_tradnl"/>
              </w:rPr>
            </w:pPr>
          </w:p>
        </w:tc>
        <w:tc>
          <w:tcPr>
            <w:tcW w:w="1086" w:type="dxa"/>
            <w:tcBorders>
              <w:top w:val="nil"/>
              <w:left w:val="single" w:sz="4" w:space="0" w:color="auto"/>
              <w:bottom w:val="single" w:sz="4" w:space="0" w:color="auto"/>
              <w:right w:val="single" w:sz="4" w:space="0" w:color="auto"/>
            </w:tcBorders>
            <w:shd w:val="clear" w:color="auto" w:fill="auto"/>
            <w:noWrap/>
            <w:vAlign w:val="center"/>
          </w:tcPr>
          <w:p w:rsidR="00274D45" w:rsidRPr="00600ED9" w:rsidRDefault="00274D45" w:rsidP="00FB1954">
            <w:pPr>
              <w:pStyle w:val="NoSpacing"/>
              <w:jc w:val="center"/>
              <w:rPr>
                <w:b/>
                <w:sz w:val="20"/>
                <w:lang w:val="es-ES_tradnl"/>
              </w:rPr>
            </w:pPr>
            <w:r w:rsidRPr="00600ED9">
              <w:rPr>
                <w:b/>
                <w:sz w:val="20"/>
                <w:lang w:val="es-ES_tradnl"/>
              </w:rPr>
              <w:t>0</w:t>
            </w:r>
          </w:p>
        </w:tc>
      </w:tr>
    </w:tbl>
    <w:p w:rsidR="00332E6B" w:rsidRPr="00600ED9" w:rsidRDefault="00332E6B" w:rsidP="00FB1954">
      <w:pPr>
        <w:pStyle w:val="Normaltabletext"/>
        <w:spacing w:after="0"/>
        <w:ind w:left="720"/>
        <w:rPr>
          <w:bCs/>
          <w:sz w:val="28"/>
          <w:szCs w:val="22"/>
          <w:lang w:val="es-ES_tradnl"/>
        </w:rPr>
      </w:pPr>
    </w:p>
    <w:p w:rsidR="008461E3" w:rsidRPr="00600ED9" w:rsidRDefault="00332E6B" w:rsidP="00FB1954">
      <w:pPr>
        <w:pStyle w:val="Normaltabletext"/>
        <w:spacing w:after="0"/>
        <w:ind w:left="720"/>
        <w:rPr>
          <w:color w:val="000000"/>
          <w:sz w:val="22"/>
          <w:szCs w:val="22"/>
          <w:lang w:val="es-ES_tradnl"/>
        </w:rPr>
      </w:pPr>
      <w:r w:rsidRPr="00600ED9">
        <w:rPr>
          <w:bCs/>
          <w:sz w:val="22"/>
          <w:szCs w:val="22"/>
          <w:lang w:val="es-ES_tradnl"/>
        </w:rPr>
        <w:t xml:space="preserve">En la medida que la CGRC no dispone de procedimientos </w:t>
      </w:r>
      <w:r w:rsidRPr="00600ED9">
        <w:rPr>
          <w:sz w:val="22"/>
          <w:szCs w:val="22"/>
          <w:lang w:val="es-ES_tradnl"/>
        </w:rPr>
        <w:t xml:space="preserve">consistentes con los estándares internacionales para la Auditoría de Desempeño, se identifican oportunidades, entre las cuales se destacan la necesidad de </w:t>
      </w:r>
      <w:r w:rsidRPr="00600ED9">
        <w:rPr>
          <w:rFonts w:eastAsia="Calibri" w:cs="Arial"/>
          <w:sz w:val="22"/>
          <w:szCs w:val="22"/>
          <w:lang w:val="es-ES_tradnl"/>
        </w:rPr>
        <w:t xml:space="preserve">diseñar e implantar un marco normativo y </w:t>
      </w:r>
      <w:r w:rsidR="00C153F7" w:rsidRPr="00600ED9">
        <w:rPr>
          <w:rFonts w:eastAsia="Calibri" w:cs="Arial"/>
          <w:sz w:val="22"/>
          <w:szCs w:val="22"/>
          <w:lang w:val="es-ES_tradnl"/>
        </w:rPr>
        <w:t>procedimental</w:t>
      </w:r>
      <w:r w:rsidRPr="00600ED9">
        <w:rPr>
          <w:rFonts w:eastAsia="Calibri" w:cs="Arial"/>
          <w:sz w:val="22"/>
          <w:szCs w:val="22"/>
          <w:lang w:val="es-ES_tradnl"/>
        </w:rPr>
        <w:t xml:space="preserve"> ajustado a </w:t>
      </w:r>
      <w:r w:rsidRPr="00600ED9">
        <w:rPr>
          <w:color w:val="000000"/>
          <w:sz w:val="22"/>
          <w:szCs w:val="22"/>
          <w:lang w:val="es-ES_tradnl"/>
        </w:rPr>
        <w:t xml:space="preserve">la </w:t>
      </w:r>
      <w:r w:rsidRPr="00600ED9">
        <w:rPr>
          <w:rFonts w:eastAsia="Times New Roman"/>
          <w:color w:val="000000"/>
          <w:sz w:val="22"/>
          <w:szCs w:val="22"/>
          <w:lang w:val="es-ES_tradnl"/>
        </w:rPr>
        <w:t>ISSAI 300 e ISSAI 3100</w:t>
      </w:r>
      <w:r w:rsidRPr="00600ED9">
        <w:rPr>
          <w:color w:val="000000"/>
          <w:sz w:val="22"/>
          <w:szCs w:val="22"/>
          <w:lang w:val="es-ES_tradnl"/>
        </w:rPr>
        <w:t xml:space="preserve">. </w:t>
      </w:r>
    </w:p>
    <w:p w:rsidR="005F71AD" w:rsidRPr="00600ED9" w:rsidRDefault="005F71AD" w:rsidP="00FB1954">
      <w:pPr>
        <w:pStyle w:val="Normaltabletext"/>
        <w:spacing w:after="0"/>
        <w:ind w:left="720"/>
        <w:rPr>
          <w:color w:val="000000"/>
          <w:sz w:val="22"/>
          <w:szCs w:val="22"/>
          <w:lang w:val="es-ES_tradnl"/>
        </w:rPr>
      </w:pPr>
    </w:p>
    <w:p w:rsidR="008461E3" w:rsidRPr="00600ED9" w:rsidRDefault="008461E3" w:rsidP="00FB1954">
      <w:pPr>
        <w:pStyle w:val="Normaltabletext"/>
        <w:spacing w:after="0"/>
        <w:ind w:left="720"/>
        <w:rPr>
          <w:sz w:val="22"/>
          <w:szCs w:val="22"/>
          <w:lang w:val="es-ES_tradnl" w:eastAsia="en-GB"/>
        </w:rPr>
      </w:pPr>
      <w:r w:rsidRPr="00600ED9">
        <w:rPr>
          <w:sz w:val="22"/>
          <w:szCs w:val="22"/>
          <w:lang w:val="es-ES_tradnl" w:eastAsia="en-GB"/>
        </w:rPr>
        <w:t>El enfoque integral que maneja la CGRC para la ejecución de la</w:t>
      </w:r>
      <w:r w:rsidR="009825CF" w:rsidRPr="00600ED9">
        <w:rPr>
          <w:sz w:val="22"/>
          <w:szCs w:val="22"/>
          <w:lang w:val="es-ES_tradnl" w:eastAsia="en-GB"/>
        </w:rPr>
        <w:t>s</w:t>
      </w:r>
      <w:r w:rsidRPr="00600ED9">
        <w:rPr>
          <w:sz w:val="22"/>
          <w:szCs w:val="22"/>
          <w:lang w:val="es-ES_tradnl" w:eastAsia="en-GB"/>
        </w:rPr>
        <w:t xml:space="preserve"> auditorías, no contempla los </w:t>
      </w:r>
      <w:r w:rsidR="009825CF" w:rsidRPr="00600ED9">
        <w:rPr>
          <w:sz w:val="22"/>
          <w:szCs w:val="22"/>
          <w:lang w:val="es-ES_tradnl" w:eastAsia="en-GB"/>
        </w:rPr>
        <w:t>criterios</w:t>
      </w:r>
      <w:r w:rsidRPr="00600ED9">
        <w:rPr>
          <w:sz w:val="22"/>
          <w:szCs w:val="22"/>
          <w:lang w:val="es-ES_tradnl" w:eastAsia="en-GB"/>
        </w:rPr>
        <w:t xml:space="preserve"> particulares requeridos para una Auditoría de Desempeño, su énfasis es en Auditoría Financiera y de Cumplimiento.   </w:t>
      </w:r>
    </w:p>
    <w:p w:rsidR="005F71AD" w:rsidRPr="00600ED9" w:rsidRDefault="005F71AD" w:rsidP="00FB1954">
      <w:pPr>
        <w:pStyle w:val="Normaltabletext"/>
        <w:spacing w:after="0"/>
        <w:ind w:left="720"/>
        <w:rPr>
          <w:sz w:val="22"/>
          <w:szCs w:val="22"/>
          <w:lang w:val="es-ES_tradnl"/>
        </w:rPr>
      </w:pPr>
    </w:p>
    <w:p w:rsidR="002E580C" w:rsidRPr="00600ED9" w:rsidRDefault="00332E6B" w:rsidP="00FB1954">
      <w:pPr>
        <w:pStyle w:val="ListParagraph"/>
        <w:spacing w:after="0" w:line="240" w:lineRule="auto"/>
        <w:jc w:val="both"/>
        <w:rPr>
          <w:bCs/>
        </w:rPr>
      </w:pPr>
      <w:r w:rsidRPr="00600ED9">
        <w:rPr>
          <w:bCs/>
        </w:rPr>
        <w:t xml:space="preserve">Conclusiones de las dimensiones y criterios evaluados en el EFS-12 Proceso de la Auditoría Financiera,  y EFS- 14 Proceso de la Auditoría de Cumplimiento, también son aplicables a </w:t>
      </w:r>
      <w:r w:rsidRPr="00600ED9">
        <w:rPr>
          <w:rFonts w:cs="Arial"/>
        </w:rPr>
        <w:t xml:space="preserve">la </w:t>
      </w:r>
      <w:r w:rsidRPr="00600ED9">
        <w:rPr>
          <w:bCs/>
        </w:rPr>
        <w:t>Auditoría</w:t>
      </w:r>
      <w:r w:rsidRPr="00600ED9">
        <w:t xml:space="preserve"> de Desempeño</w:t>
      </w:r>
      <w:r w:rsidRPr="00600ED9">
        <w:rPr>
          <w:bCs/>
        </w:rPr>
        <w:t xml:space="preserve">. </w:t>
      </w:r>
    </w:p>
    <w:p w:rsidR="0084699A" w:rsidRPr="00600ED9" w:rsidRDefault="0084699A" w:rsidP="00FB1954">
      <w:pPr>
        <w:pStyle w:val="ListParagraph"/>
        <w:spacing w:after="0" w:line="240" w:lineRule="auto"/>
        <w:jc w:val="both"/>
        <w:rPr>
          <w:bCs/>
          <w:sz w:val="28"/>
        </w:rPr>
      </w:pPr>
    </w:p>
    <w:tbl>
      <w:tblPr>
        <w:tblStyle w:val="TableGrid"/>
        <w:tblW w:w="9356" w:type="dxa"/>
        <w:tblInd w:w="817" w:type="dxa"/>
        <w:tblLook w:val="04A0" w:firstRow="1" w:lastRow="0" w:firstColumn="1" w:lastColumn="0" w:noHBand="0" w:noVBand="1"/>
      </w:tblPr>
      <w:tblGrid>
        <w:gridCol w:w="9356"/>
      </w:tblGrid>
      <w:tr w:rsidR="002B36D5" w:rsidRPr="00600ED9" w:rsidTr="00BE2EAA">
        <w:trPr>
          <w:tblHeader/>
        </w:trPr>
        <w:tc>
          <w:tcPr>
            <w:tcW w:w="9356" w:type="dxa"/>
            <w:shd w:val="clear" w:color="auto" w:fill="365F91" w:themeFill="accent1" w:themeFillShade="BF"/>
          </w:tcPr>
          <w:p w:rsidR="002B36D5" w:rsidRPr="00600ED9" w:rsidRDefault="002B36D5" w:rsidP="00FB1954">
            <w:pPr>
              <w:pStyle w:val="NoSpacing"/>
              <w:rPr>
                <w:b/>
                <w:color w:val="FFFFFF" w:themeColor="background1"/>
                <w:sz w:val="20"/>
                <w:szCs w:val="20"/>
                <w:lang w:val="es-ES_tradnl"/>
              </w:rPr>
            </w:pPr>
            <w:r w:rsidRPr="00600ED9">
              <w:rPr>
                <w:b/>
                <w:color w:val="FFFFFF" w:themeColor="background1"/>
                <w:sz w:val="20"/>
                <w:szCs w:val="20"/>
                <w:lang w:val="es-ES_tradnl"/>
              </w:rPr>
              <w:t>Principales observaciones y conclusiones</w:t>
            </w:r>
          </w:p>
        </w:tc>
      </w:tr>
      <w:tr w:rsidR="002B36D5" w:rsidRPr="00600ED9" w:rsidTr="00BE2EAA">
        <w:tc>
          <w:tcPr>
            <w:tcW w:w="9356" w:type="dxa"/>
            <w:shd w:val="clear" w:color="auto" w:fill="D9D9D9" w:themeFill="background1" w:themeFillShade="D9"/>
          </w:tcPr>
          <w:p w:rsidR="002B36D5" w:rsidRPr="00600ED9" w:rsidRDefault="002B36D5" w:rsidP="00FB1954">
            <w:pPr>
              <w:pStyle w:val="NoSpacing"/>
              <w:rPr>
                <w:b/>
                <w:i/>
                <w:sz w:val="20"/>
                <w:szCs w:val="20"/>
                <w:lang w:val="es-ES_tradnl"/>
              </w:rPr>
            </w:pPr>
            <w:r w:rsidRPr="00600ED9">
              <w:rPr>
                <w:b/>
                <w:i/>
                <w:sz w:val="20"/>
                <w:szCs w:val="20"/>
                <w:lang w:val="es-ES_tradnl"/>
              </w:rPr>
              <w:t>Dimensión (i) Planeación de auditorías del desempeño</w:t>
            </w:r>
          </w:p>
        </w:tc>
      </w:tr>
      <w:tr w:rsidR="002B36D5" w:rsidRPr="00600ED9" w:rsidTr="00BE2EAA">
        <w:tc>
          <w:tcPr>
            <w:tcW w:w="9356" w:type="dxa"/>
            <w:shd w:val="clear" w:color="auto" w:fill="D9D9D9" w:themeFill="background1" w:themeFillShade="D9"/>
          </w:tcPr>
          <w:p w:rsidR="002B36D5" w:rsidRPr="00600ED9" w:rsidRDefault="002B36D5" w:rsidP="00FB1954">
            <w:pPr>
              <w:pStyle w:val="NoSpacing"/>
              <w:rPr>
                <w:i/>
                <w:sz w:val="20"/>
                <w:szCs w:val="20"/>
                <w:lang w:val="es-ES_tradnl"/>
              </w:rPr>
            </w:pPr>
            <w:r w:rsidRPr="00600ED9">
              <w:rPr>
                <w:b/>
                <w:i/>
                <w:sz w:val="20"/>
                <w:szCs w:val="20"/>
                <w:lang w:val="es-ES_tradnl"/>
              </w:rPr>
              <w:t>Puntuación 0</w:t>
            </w:r>
            <w:r w:rsidRPr="00600ED9">
              <w:rPr>
                <w:i/>
                <w:sz w:val="20"/>
                <w:szCs w:val="20"/>
                <w:lang w:val="es-ES_tradnl"/>
              </w:rPr>
              <w:t>: Tres o menos de los criterios señalados están implementados.</w:t>
            </w:r>
          </w:p>
        </w:tc>
      </w:tr>
      <w:tr w:rsidR="002B36D5" w:rsidRPr="00600ED9" w:rsidTr="005F71AD">
        <w:trPr>
          <w:trHeight w:val="8262"/>
        </w:trPr>
        <w:tc>
          <w:tcPr>
            <w:tcW w:w="9356" w:type="dxa"/>
          </w:tcPr>
          <w:p w:rsidR="002B36D5" w:rsidRPr="00600ED9" w:rsidRDefault="002B36D5" w:rsidP="00FB1954">
            <w:pPr>
              <w:jc w:val="both"/>
              <w:rPr>
                <w:color w:val="000000"/>
                <w:sz w:val="20"/>
                <w:szCs w:val="20"/>
              </w:rPr>
            </w:pPr>
            <w:r w:rsidRPr="00600ED9">
              <w:rPr>
                <w:color w:val="000000"/>
                <w:sz w:val="20"/>
                <w:szCs w:val="20"/>
              </w:rPr>
              <w:t xml:space="preserve">Criterios (a), (b), (c), (d), (e) y (f) no cumplen. </w:t>
            </w:r>
          </w:p>
          <w:p w:rsidR="005F71AD" w:rsidRPr="00600ED9" w:rsidRDefault="005F71AD" w:rsidP="00FB1954">
            <w:pPr>
              <w:pStyle w:val="ListParagraph"/>
              <w:ind w:left="0"/>
              <w:jc w:val="both"/>
              <w:rPr>
                <w:rFonts w:cs="Arial"/>
                <w:sz w:val="20"/>
                <w:szCs w:val="20"/>
              </w:rPr>
            </w:pPr>
          </w:p>
          <w:p w:rsidR="002B36D5" w:rsidRPr="00600ED9" w:rsidRDefault="00394F44" w:rsidP="00FB1954">
            <w:pPr>
              <w:pStyle w:val="ListParagraph"/>
              <w:ind w:left="0"/>
              <w:jc w:val="both"/>
              <w:rPr>
                <w:sz w:val="20"/>
                <w:szCs w:val="20"/>
              </w:rPr>
            </w:pPr>
            <w:r w:rsidRPr="00600ED9">
              <w:rPr>
                <w:rFonts w:cs="Arial"/>
                <w:sz w:val="20"/>
                <w:szCs w:val="20"/>
              </w:rPr>
              <w:t>Aplican las conclusiones y observaciones</w:t>
            </w:r>
            <w:r w:rsidRPr="00600ED9" w:rsidDel="00394F44">
              <w:rPr>
                <w:sz w:val="20"/>
                <w:szCs w:val="20"/>
              </w:rPr>
              <w:t xml:space="preserve"> </w:t>
            </w:r>
            <w:r w:rsidR="002B36D5" w:rsidRPr="00600ED9">
              <w:rPr>
                <w:sz w:val="20"/>
                <w:szCs w:val="20"/>
              </w:rPr>
              <w:t xml:space="preserve">incluidas en el EFS 12 (i) y EFS 14 (i) que son aplicables a las </w:t>
            </w:r>
            <w:r w:rsidRPr="00600ED9">
              <w:rPr>
                <w:sz w:val="20"/>
                <w:szCs w:val="20"/>
              </w:rPr>
              <w:t>A</w:t>
            </w:r>
            <w:r w:rsidR="002B36D5" w:rsidRPr="00600ED9">
              <w:rPr>
                <w:sz w:val="20"/>
                <w:szCs w:val="20"/>
              </w:rPr>
              <w:t xml:space="preserve">uditorías de </w:t>
            </w:r>
            <w:r w:rsidRPr="00600ED9">
              <w:rPr>
                <w:sz w:val="20"/>
                <w:szCs w:val="20"/>
              </w:rPr>
              <w:t>D</w:t>
            </w:r>
            <w:r w:rsidR="002B36D5" w:rsidRPr="00600ED9">
              <w:rPr>
                <w:sz w:val="20"/>
                <w:szCs w:val="20"/>
              </w:rPr>
              <w:t xml:space="preserve">esempeño. Las puntuaciones podrían ser distintas debido a que los criterios evaluados son similares pero no idénticos. Otros aspectos específicos a los criterios revisados en esta dimensión </w:t>
            </w:r>
            <w:r w:rsidR="00A14D5E" w:rsidRPr="00600ED9">
              <w:rPr>
                <w:sz w:val="20"/>
                <w:szCs w:val="20"/>
              </w:rPr>
              <w:t>confirman las siguientes debilidades</w:t>
            </w:r>
            <w:r w:rsidR="002B36D5" w:rsidRPr="00600ED9">
              <w:rPr>
                <w:sz w:val="20"/>
                <w:szCs w:val="20"/>
              </w:rPr>
              <w:t>:</w:t>
            </w:r>
          </w:p>
          <w:p w:rsidR="002B36D5" w:rsidRPr="00600ED9" w:rsidRDefault="002B36D5" w:rsidP="00FB1954">
            <w:pPr>
              <w:pStyle w:val="ListParagraph"/>
              <w:ind w:left="0"/>
              <w:jc w:val="both"/>
              <w:rPr>
                <w:sz w:val="20"/>
                <w:szCs w:val="20"/>
                <w:lang w:eastAsia="en-GB"/>
              </w:rPr>
            </w:pPr>
          </w:p>
          <w:p w:rsidR="002B36D5" w:rsidRPr="00600ED9" w:rsidRDefault="002B36D5" w:rsidP="00FB1954">
            <w:pPr>
              <w:pStyle w:val="ListParagraph"/>
              <w:ind w:left="0"/>
              <w:jc w:val="both"/>
              <w:rPr>
                <w:sz w:val="20"/>
                <w:szCs w:val="20"/>
                <w:lang w:eastAsia="en-GB"/>
              </w:rPr>
            </w:pPr>
            <w:r w:rsidRPr="00600ED9">
              <w:rPr>
                <w:sz w:val="20"/>
                <w:szCs w:val="20"/>
                <w:lang w:eastAsia="en-GB"/>
              </w:rPr>
              <w:t xml:space="preserve">En el plan de auditoría que se elabora para cada entidad a ser auditada, </w:t>
            </w:r>
            <w:r w:rsidR="00394F44" w:rsidRPr="00600ED9">
              <w:rPr>
                <w:sz w:val="20"/>
                <w:szCs w:val="20"/>
                <w:lang w:eastAsia="en-GB"/>
              </w:rPr>
              <w:t xml:space="preserve">corresponde al enfoque integral que maneja la CGRC y </w:t>
            </w:r>
            <w:r w:rsidRPr="00600ED9">
              <w:rPr>
                <w:sz w:val="20"/>
                <w:szCs w:val="20"/>
                <w:lang w:eastAsia="en-GB"/>
              </w:rPr>
              <w:t xml:space="preserve">no se incluye elementos propios de la auditoría de desempeño. </w:t>
            </w:r>
          </w:p>
          <w:p w:rsidR="002B36D5" w:rsidRPr="00600ED9" w:rsidRDefault="002B36D5" w:rsidP="00FB1954">
            <w:pPr>
              <w:pStyle w:val="ListParagraph"/>
              <w:tabs>
                <w:tab w:val="center" w:pos="4680"/>
                <w:tab w:val="right" w:pos="9360"/>
              </w:tabs>
              <w:ind w:left="0"/>
              <w:jc w:val="both"/>
              <w:rPr>
                <w:sz w:val="20"/>
                <w:szCs w:val="20"/>
                <w:lang w:eastAsia="en-GB"/>
              </w:rPr>
            </w:pPr>
          </w:p>
          <w:p w:rsidR="002B36D5" w:rsidRPr="00600ED9" w:rsidRDefault="002B36D5" w:rsidP="00FB1954">
            <w:pPr>
              <w:pStyle w:val="ListParagraph"/>
              <w:ind w:left="0"/>
              <w:jc w:val="both"/>
              <w:rPr>
                <w:sz w:val="20"/>
                <w:szCs w:val="20"/>
                <w:lang w:eastAsia="en-GB"/>
              </w:rPr>
            </w:pPr>
            <w:r w:rsidRPr="00600ED9">
              <w:rPr>
                <w:sz w:val="20"/>
                <w:szCs w:val="20"/>
                <w:lang w:eastAsia="en-GB"/>
              </w:rPr>
              <w:t>En el plan de auditoría no hay una sección que confirme que se han tomado en cuenta los siguientes aspectos específicos para la planificación de una auditoría de desempeño:</w:t>
            </w:r>
          </w:p>
          <w:p w:rsidR="00394F44" w:rsidRPr="00600ED9" w:rsidRDefault="00394F44" w:rsidP="00FB1954">
            <w:pPr>
              <w:pStyle w:val="ListParagraph"/>
              <w:tabs>
                <w:tab w:val="center" w:pos="4680"/>
                <w:tab w:val="right" w:pos="9360"/>
              </w:tabs>
              <w:ind w:left="0"/>
              <w:jc w:val="both"/>
              <w:rPr>
                <w:sz w:val="20"/>
                <w:szCs w:val="20"/>
                <w:lang w:eastAsia="en-GB"/>
              </w:rPr>
            </w:pPr>
          </w:p>
          <w:p w:rsidR="002B36D5" w:rsidRPr="00600ED9" w:rsidRDefault="002B36D5" w:rsidP="00233205">
            <w:pPr>
              <w:pStyle w:val="ListParagraph"/>
              <w:numPr>
                <w:ilvl w:val="0"/>
                <w:numId w:val="29"/>
              </w:numPr>
              <w:jc w:val="both"/>
              <w:rPr>
                <w:sz w:val="20"/>
                <w:szCs w:val="20"/>
                <w:lang w:eastAsia="en-GB"/>
              </w:rPr>
            </w:pPr>
            <w:r w:rsidRPr="00600ED9">
              <w:rPr>
                <w:sz w:val="20"/>
                <w:szCs w:val="20"/>
                <w:lang w:eastAsia="en-GB"/>
              </w:rPr>
              <w:t>Documentación de las fuentes de evidencia posibles.</w:t>
            </w:r>
          </w:p>
          <w:p w:rsidR="002B36D5" w:rsidRPr="00600ED9" w:rsidRDefault="002B36D5" w:rsidP="00233205">
            <w:pPr>
              <w:pStyle w:val="ListParagraph"/>
              <w:numPr>
                <w:ilvl w:val="0"/>
                <w:numId w:val="29"/>
              </w:numPr>
              <w:jc w:val="both"/>
              <w:rPr>
                <w:sz w:val="20"/>
                <w:szCs w:val="20"/>
                <w:lang w:eastAsia="en-GB"/>
              </w:rPr>
            </w:pPr>
            <w:r w:rsidRPr="00600ED9">
              <w:rPr>
                <w:sz w:val="20"/>
                <w:szCs w:val="20"/>
                <w:lang w:eastAsia="en-GB"/>
              </w:rPr>
              <w:t>Objetivos, preguntas, criterios, tema y metodología de la auditoría, incluyendo las técnicas que se utilizarán para la recolección de evidencia y para la realización del análisis de la auditoría</w:t>
            </w:r>
            <w:r w:rsidRPr="00600ED9">
              <w:rPr>
                <w:sz w:val="20"/>
                <w:szCs w:val="20"/>
              </w:rPr>
              <w:t>.</w:t>
            </w:r>
          </w:p>
          <w:p w:rsidR="002B36D5" w:rsidRPr="00600ED9" w:rsidRDefault="002B36D5" w:rsidP="00233205">
            <w:pPr>
              <w:pStyle w:val="ListParagraph"/>
              <w:numPr>
                <w:ilvl w:val="0"/>
                <w:numId w:val="29"/>
              </w:numPr>
              <w:jc w:val="both"/>
              <w:rPr>
                <w:sz w:val="20"/>
                <w:szCs w:val="20"/>
                <w:lang w:eastAsia="en-GB"/>
              </w:rPr>
            </w:pPr>
            <w:r w:rsidRPr="00600ED9">
              <w:rPr>
                <w:sz w:val="20"/>
                <w:szCs w:val="20"/>
                <w:lang w:eastAsia="en-GB"/>
              </w:rPr>
              <w:t>Actividades necesarias, requisitos de personal y habilidades, costo estimado de la auditoría, plazos e hitos clave y los principales puntos de control de la auditoría.</w:t>
            </w:r>
          </w:p>
          <w:p w:rsidR="002B36D5" w:rsidRPr="00600ED9" w:rsidRDefault="002B36D5" w:rsidP="00233205">
            <w:pPr>
              <w:pStyle w:val="ListParagraph"/>
              <w:numPr>
                <w:ilvl w:val="0"/>
                <w:numId w:val="29"/>
              </w:numPr>
              <w:jc w:val="both"/>
              <w:rPr>
                <w:sz w:val="20"/>
                <w:szCs w:val="20"/>
                <w:lang w:eastAsia="en-GB"/>
              </w:rPr>
            </w:pPr>
            <w:r w:rsidRPr="00600ED9">
              <w:rPr>
                <w:sz w:val="20"/>
                <w:szCs w:val="20"/>
                <w:lang w:eastAsia="en-GB"/>
              </w:rPr>
              <w:t>Métodos de recolección de datos y técnicas de muestreo.</w:t>
            </w:r>
          </w:p>
          <w:p w:rsidR="005F71AD" w:rsidRPr="00600ED9" w:rsidRDefault="005F71AD" w:rsidP="005F71AD">
            <w:pPr>
              <w:pStyle w:val="ListParagraph"/>
              <w:ind w:left="360"/>
              <w:jc w:val="both"/>
              <w:rPr>
                <w:sz w:val="20"/>
                <w:szCs w:val="20"/>
                <w:lang w:eastAsia="en-GB"/>
              </w:rPr>
            </w:pPr>
          </w:p>
          <w:p w:rsidR="002B36D5" w:rsidRPr="00600ED9" w:rsidRDefault="002B36D5" w:rsidP="00FB1954">
            <w:pPr>
              <w:jc w:val="both"/>
              <w:rPr>
                <w:sz w:val="20"/>
                <w:szCs w:val="20"/>
                <w:lang w:eastAsia="en-GB"/>
              </w:rPr>
            </w:pPr>
            <w:r w:rsidRPr="00600ED9">
              <w:rPr>
                <w:sz w:val="20"/>
                <w:szCs w:val="20"/>
                <w:lang w:eastAsia="en-GB"/>
              </w:rPr>
              <w:t>La fase de planificación también debe incluir el trabajo de investigación dirigido a la creación de conocimiento, probando varios diseños de auditoría y verificando si los datos necesarios están disponibles.</w:t>
            </w:r>
          </w:p>
          <w:p w:rsidR="00394F44" w:rsidRPr="00600ED9" w:rsidRDefault="002B36D5" w:rsidP="00FB1954">
            <w:pPr>
              <w:jc w:val="both"/>
              <w:rPr>
                <w:rFonts w:cs="Arial"/>
                <w:sz w:val="20"/>
                <w:szCs w:val="20"/>
              </w:rPr>
            </w:pPr>
            <w:r w:rsidRPr="00600ED9">
              <w:rPr>
                <w:rFonts w:cs="Arial"/>
                <w:sz w:val="20"/>
                <w:szCs w:val="20"/>
              </w:rPr>
              <w:t>La planeación no incluye uno de los tres enfoques mínimos requeridos para la auditoría de desempeño:</w:t>
            </w:r>
          </w:p>
          <w:p w:rsidR="005F71AD" w:rsidRPr="00600ED9" w:rsidRDefault="005F71AD" w:rsidP="00FB1954">
            <w:pPr>
              <w:jc w:val="both"/>
              <w:rPr>
                <w:rFonts w:cs="Arial"/>
                <w:sz w:val="20"/>
                <w:szCs w:val="20"/>
              </w:rPr>
            </w:pPr>
          </w:p>
          <w:p w:rsidR="002B36D5" w:rsidRPr="00600ED9" w:rsidRDefault="002B36D5" w:rsidP="00233205">
            <w:pPr>
              <w:pStyle w:val="ListParagraph"/>
              <w:numPr>
                <w:ilvl w:val="0"/>
                <w:numId w:val="14"/>
              </w:numPr>
              <w:jc w:val="both"/>
              <w:rPr>
                <w:rFonts w:cs="Arial"/>
                <w:sz w:val="20"/>
                <w:szCs w:val="20"/>
              </w:rPr>
            </w:pPr>
            <w:r w:rsidRPr="00600ED9">
              <w:rPr>
                <w:rFonts w:cs="Arial"/>
                <w:b/>
                <w:sz w:val="20"/>
                <w:szCs w:val="20"/>
              </w:rPr>
              <w:t>Un enfoque orientado a sistemas:</w:t>
            </w:r>
            <w:r w:rsidRPr="00600ED9">
              <w:rPr>
                <w:rFonts w:cs="Arial"/>
                <w:sz w:val="20"/>
                <w:szCs w:val="20"/>
              </w:rPr>
              <w:t xml:space="preserve"> que examine el funcionamiento adecuado de los sistemas de gestión, tal como los sistemas de administración financiera;</w:t>
            </w:r>
          </w:p>
          <w:p w:rsidR="002B36D5" w:rsidRPr="00600ED9" w:rsidRDefault="002B36D5" w:rsidP="00233205">
            <w:pPr>
              <w:pStyle w:val="ListParagraph"/>
              <w:numPr>
                <w:ilvl w:val="0"/>
                <w:numId w:val="14"/>
              </w:numPr>
              <w:jc w:val="both"/>
              <w:rPr>
                <w:rFonts w:cs="Arial"/>
                <w:sz w:val="20"/>
                <w:szCs w:val="20"/>
              </w:rPr>
            </w:pPr>
            <w:r w:rsidRPr="00600ED9">
              <w:rPr>
                <w:rFonts w:cs="Arial"/>
                <w:b/>
                <w:sz w:val="20"/>
                <w:szCs w:val="20"/>
              </w:rPr>
              <w:t>Un enfoque orientado a resultados:</w:t>
            </w:r>
            <w:r w:rsidRPr="00600ED9">
              <w:rPr>
                <w:rFonts w:cs="Arial"/>
                <w:sz w:val="20"/>
                <w:szCs w:val="20"/>
              </w:rPr>
              <w:t xml:space="preserve"> que evalúe si los objetivos en términos de resultados o productos han sido alcanzados como se deseaba, o si los programas y servicios operan como se esperaba;</w:t>
            </w:r>
          </w:p>
          <w:p w:rsidR="002B36D5" w:rsidRPr="00600ED9" w:rsidRDefault="002B36D5" w:rsidP="00233205">
            <w:pPr>
              <w:pStyle w:val="ListParagraph"/>
              <w:numPr>
                <w:ilvl w:val="0"/>
                <w:numId w:val="14"/>
              </w:numPr>
              <w:jc w:val="both"/>
              <w:rPr>
                <w:rFonts w:cs="Arial"/>
                <w:sz w:val="20"/>
                <w:szCs w:val="20"/>
              </w:rPr>
            </w:pPr>
            <w:r w:rsidRPr="00600ED9">
              <w:rPr>
                <w:rFonts w:cs="Arial"/>
                <w:b/>
                <w:sz w:val="20"/>
                <w:szCs w:val="20"/>
              </w:rPr>
              <w:t>Un enfoque orientado a problemas:</w:t>
            </w:r>
            <w:r w:rsidRPr="00600ED9">
              <w:rPr>
                <w:rFonts w:cs="Arial"/>
                <w:sz w:val="20"/>
                <w:szCs w:val="20"/>
              </w:rPr>
              <w:t xml:space="preserve"> que examine, verifique y analice las causas de los problemas particulares o desviaciones de los criterios establecidos</w:t>
            </w:r>
          </w:p>
          <w:p w:rsidR="005F71AD" w:rsidRPr="00600ED9" w:rsidRDefault="005F71AD" w:rsidP="005F71AD">
            <w:pPr>
              <w:pStyle w:val="ListParagraph"/>
              <w:ind w:left="360"/>
              <w:jc w:val="both"/>
              <w:rPr>
                <w:rFonts w:cs="Arial"/>
                <w:sz w:val="20"/>
                <w:szCs w:val="20"/>
              </w:rPr>
            </w:pPr>
          </w:p>
          <w:p w:rsidR="002B36D5" w:rsidRPr="00600ED9" w:rsidRDefault="002B36D5" w:rsidP="00FB1954">
            <w:pPr>
              <w:tabs>
                <w:tab w:val="center" w:pos="4680"/>
                <w:tab w:val="right" w:pos="9360"/>
              </w:tabs>
              <w:jc w:val="both"/>
              <w:rPr>
                <w:sz w:val="20"/>
                <w:szCs w:val="20"/>
              </w:rPr>
            </w:pPr>
            <w:r w:rsidRPr="00600ED9">
              <w:rPr>
                <w:sz w:val="20"/>
                <w:szCs w:val="20"/>
              </w:rPr>
              <w:t xml:space="preserve">La decisión de llevar a cabo la auditoría, normalmente </w:t>
            </w:r>
            <w:r w:rsidR="00394F44" w:rsidRPr="00600ED9">
              <w:rPr>
                <w:sz w:val="20"/>
                <w:szCs w:val="20"/>
              </w:rPr>
              <w:t>surge</w:t>
            </w:r>
            <w:r w:rsidRPr="00600ED9">
              <w:rPr>
                <w:sz w:val="20"/>
                <w:szCs w:val="20"/>
              </w:rPr>
              <w:t xml:space="preserve"> de la alta dirección. </w:t>
            </w:r>
          </w:p>
          <w:p w:rsidR="005F71AD" w:rsidRPr="00600ED9" w:rsidRDefault="005F71AD" w:rsidP="00FB1954">
            <w:pPr>
              <w:tabs>
                <w:tab w:val="center" w:pos="4680"/>
                <w:tab w:val="right" w:pos="9360"/>
              </w:tabs>
              <w:jc w:val="both"/>
              <w:rPr>
                <w:bCs/>
                <w:sz w:val="20"/>
                <w:szCs w:val="20"/>
              </w:rPr>
            </w:pPr>
          </w:p>
        </w:tc>
      </w:tr>
      <w:tr w:rsidR="002B36D5" w:rsidRPr="00600ED9" w:rsidTr="00BE2EAA">
        <w:tc>
          <w:tcPr>
            <w:tcW w:w="9356" w:type="dxa"/>
            <w:shd w:val="clear" w:color="auto" w:fill="D9D9D9" w:themeFill="background1" w:themeFillShade="D9"/>
          </w:tcPr>
          <w:p w:rsidR="002B36D5" w:rsidRPr="00600ED9" w:rsidRDefault="002B36D5" w:rsidP="00FB1954">
            <w:pPr>
              <w:pStyle w:val="NoSpacing"/>
              <w:rPr>
                <w:b/>
                <w:i/>
                <w:sz w:val="20"/>
                <w:szCs w:val="20"/>
                <w:lang w:val="es-ES_tradnl"/>
              </w:rPr>
            </w:pPr>
            <w:r w:rsidRPr="00600ED9">
              <w:rPr>
                <w:b/>
                <w:i/>
                <w:sz w:val="20"/>
                <w:szCs w:val="20"/>
                <w:lang w:val="es-ES_tradnl"/>
              </w:rPr>
              <w:lastRenderedPageBreak/>
              <w:t>Dimensión (ii) Ejecución de auditorías del desempeño</w:t>
            </w:r>
          </w:p>
        </w:tc>
      </w:tr>
      <w:tr w:rsidR="002B36D5" w:rsidRPr="00600ED9" w:rsidTr="00A6772C">
        <w:tc>
          <w:tcPr>
            <w:tcW w:w="9356" w:type="dxa"/>
            <w:shd w:val="clear" w:color="auto" w:fill="D9D9D9" w:themeFill="background1" w:themeFillShade="D9"/>
          </w:tcPr>
          <w:p w:rsidR="002B36D5" w:rsidRPr="00600ED9" w:rsidRDefault="002B36D5" w:rsidP="00FB1954">
            <w:pPr>
              <w:pStyle w:val="NoSpacing"/>
              <w:rPr>
                <w:i/>
                <w:color w:val="000000"/>
                <w:sz w:val="20"/>
                <w:szCs w:val="20"/>
                <w:lang w:val="es-ES_tradnl" w:eastAsia="zh-TW"/>
              </w:rPr>
            </w:pPr>
            <w:r w:rsidRPr="00600ED9">
              <w:rPr>
                <w:b/>
                <w:bCs/>
                <w:i/>
                <w:sz w:val="20"/>
                <w:szCs w:val="20"/>
                <w:lang w:val="es-ES_tradnl"/>
              </w:rPr>
              <w:t>Puntuación 0</w:t>
            </w:r>
            <w:r w:rsidRPr="00600ED9">
              <w:rPr>
                <w:bCs/>
                <w:i/>
                <w:sz w:val="20"/>
                <w:szCs w:val="20"/>
                <w:lang w:val="es-ES_tradnl"/>
              </w:rPr>
              <w:t>: Menos de dos criterios están implementados.</w:t>
            </w:r>
          </w:p>
        </w:tc>
      </w:tr>
      <w:tr w:rsidR="002B36D5" w:rsidRPr="00600ED9" w:rsidTr="00BE2EAA">
        <w:tc>
          <w:tcPr>
            <w:tcW w:w="9356" w:type="dxa"/>
          </w:tcPr>
          <w:p w:rsidR="002B36D5" w:rsidRPr="00600ED9" w:rsidRDefault="002B36D5" w:rsidP="00FB1954">
            <w:pPr>
              <w:jc w:val="both"/>
              <w:rPr>
                <w:rFonts w:eastAsiaTheme="minorEastAsia"/>
                <w:color w:val="000000"/>
                <w:sz w:val="20"/>
                <w:szCs w:val="20"/>
                <w:lang w:eastAsia="zh-TW"/>
              </w:rPr>
            </w:pPr>
            <w:r w:rsidRPr="00600ED9">
              <w:rPr>
                <w:rFonts w:eastAsiaTheme="minorEastAsia"/>
                <w:color w:val="000000"/>
                <w:sz w:val="20"/>
                <w:szCs w:val="20"/>
                <w:lang w:eastAsia="zh-TW"/>
              </w:rPr>
              <w:t xml:space="preserve">Criterio (b) cumple.  Criterios (a), (c), (d), (e) y (f) no cumplen. </w:t>
            </w:r>
          </w:p>
          <w:p w:rsidR="005F71AD" w:rsidRPr="00600ED9" w:rsidRDefault="005F71AD" w:rsidP="00FB1954">
            <w:pPr>
              <w:jc w:val="both"/>
              <w:rPr>
                <w:rFonts w:eastAsiaTheme="minorEastAsia"/>
                <w:color w:val="000000"/>
                <w:sz w:val="20"/>
                <w:szCs w:val="20"/>
                <w:lang w:eastAsia="zh-TW"/>
              </w:rPr>
            </w:pPr>
          </w:p>
          <w:p w:rsidR="002B36D5" w:rsidRPr="00600ED9" w:rsidRDefault="006A2A1E" w:rsidP="00FB1954">
            <w:pPr>
              <w:pStyle w:val="ListParagraph"/>
              <w:ind w:left="0"/>
              <w:jc w:val="both"/>
              <w:rPr>
                <w:sz w:val="20"/>
                <w:szCs w:val="20"/>
              </w:rPr>
            </w:pPr>
            <w:r w:rsidRPr="00600ED9">
              <w:rPr>
                <w:rFonts w:cs="Arial"/>
                <w:sz w:val="20"/>
                <w:szCs w:val="20"/>
              </w:rPr>
              <w:t>Aplican las conclusiones y observaciones</w:t>
            </w:r>
            <w:r w:rsidRPr="00600ED9" w:rsidDel="00394F44">
              <w:rPr>
                <w:sz w:val="20"/>
                <w:szCs w:val="20"/>
              </w:rPr>
              <w:t xml:space="preserve"> </w:t>
            </w:r>
            <w:r w:rsidR="002B36D5" w:rsidRPr="00600ED9">
              <w:rPr>
                <w:sz w:val="20"/>
                <w:szCs w:val="20"/>
              </w:rPr>
              <w:t xml:space="preserve">incluidas en el EFS 12 (ii) y EFS 14 (ii) que son aplicables a las auditorías de desempeño. Las puntuaciones podrían ser distintas debido a que los criterios evaluados son similares pero no idénticos. Otros aspectos específicos a los criterios revisados en esta dimensión </w:t>
            </w:r>
            <w:r w:rsidR="00A14D5E" w:rsidRPr="00600ED9">
              <w:rPr>
                <w:sz w:val="20"/>
                <w:szCs w:val="20"/>
              </w:rPr>
              <w:t>confirman las siguientes debilidades</w:t>
            </w:r>
            <w:r w:rsidR="002B36D5" w:rsidRPr="00600ED9">
              <w:rPr>
                <w:sz w:val="20"/>
                <w:szCs w:val="20"/>
              </w:rPr>
              <w:t>:</w:t>
            </w:r>
          </w:p>
          <w:p w:rsidR="006A2A1E" w:rsidRPr="00600ED9" w:rsidRDefault="006A2A1E" w:rsidP="00FB1954">
            <w:pPr>
              <w:pStyle w:val="ListParagraph"/>
              <w:ind w:left="0"/>
              <w:jc w:val="both"/>
              <w:rPr>
                <w:sz w:val="20"/>
                <w:szCs w:val="20"/>
              </w:rPr>
            </w:pPr>
          </w:p>
          <w:p w:rsidR="002B36D5" w:rsidRPr="00600ED9" w:rsidRDefault="00A14D5E" w:rsidP="00233205">
            <w:pPr>
              <w:pStyle w:val="ListParagraph"/>
              <w:numPr>
                <w:ilvl w:val="0"/>
                <w:numId w:val="30"/>
              </w:numPr>
              <w:jc w:val="both"/>
              <w:rPr>
                <w:rFonts w:cs="Arial"/>
                <w:sz w:val="20"/>
                <w:szCs w:val="20"/>
              </w:rPr>
            </w:pPr>
            <w:r w:rsidRPr="00600ED9">
              <w:rPr>
                <w:rFonts w:cs="Arial"/>
                <w:sz w:val="20"/>
                <w:szCs w:val="20"/>
              </w:rPr>
              <w:t>No se</w:t>
            </w:r>
            <w:r w:rsidR="002B36D5" w:rsidRPr="00600ED9">
              <w:rPr>
                <w:rFonts w:cs="Arial"/>
                <w:sz w:val="20"/>
                <w:szCs w:val="20"/>
              </w:rPr>
              <w:t xml:space="preserve"> notifica</w:t>
            </w:r>
            <w:r w:rsidRPr="00600ED9">
              <w:rPr>
                <w:rFonts w:cs="Arial"/>
                <w:sz w:val="20"/>
                <w:szCs w:val="20"/>
              </w:rPr>
              <w:t xml:space="preserve">n al </w:t>
            </w:r>
            <w:r w:rsidR="002B36D5" w:rsidRPr="00600ED9">
              <w:rPr>
                <w:rFonts w:cs="Arial"/>
                <w:sz w:val="20"/>
                <w:szCs w:val="20"/>
              </w:rPr>
              <w:t>ente auditado</w:t>
            </w:r>
            <w:r w:rsidR="006A2A1E" w:rsidRPr="00600ED9">
              <w:rPr>
                <w:rFonts w:cs="Arial"/>
                <w:sz w:val="20"/>
                <w:szCs w:val="20"/>
              </w:rPr>
              <w:t xml:space="preserve"> </w:t>
            </w:r>
            <w:r w:rsidRPr="00600ED9">
              <w:rPr>
                <w:rFonts w:cs="Arial"/>
                <w:sz w:val="20"/>
                <w:szCs w:val="20"/>
              </w:rPr>
              <w:t xml:space="preserve"> los aspectos clave de la auditoría (</w:t>
            </w:r>
            <w:r w:rsidR="002B36D5" w:rsidRPr="00600ED9">
              <w:rPr>
                <w:rFonts w:cs="Arial"/>
                <w:sz w:val="20"/>
                <w:szCs w:val="20"/>
              </w:rPr>
              <w:t>objetivo</w:t>
            </w:r>
            <w:r w:rsidRPr="00600ED9">
              <w:rPr>
                <w:rFonts w:cs="Arial"/>
                <w:sz w:val="20"/>
                <w:szCs w:val="20"/>
              </w:rPr>
              <w:t xml:space="preserve">, alcance y </w:t>
            </w:r>
            <w:r w:rsidR="002B36D5" w:rsidRPr="00600ED9">
              <w:rPr>
                <w:rFonts w:cs="Arial"/>
                <w:sz w:val="20"/>
                <w:szCs w:val="20"/>
              </w:rPr>
              <w:t xml:space="preserve"> criterio</w:t>
            </w:r>
            <w:r w:rsidRPr="00600ED9">
              <w:rPr>
                <w:rFonts w:cs="Arial"/>
                <w:sz w:val="20"/>
                <w:szCs w:val="20"/>
              </w:rPr>
              <w:t>s</w:t>
            </w:r>
            <w:r w:rsidR="002B36D5" w:rsidRPr="00600ED9">
              <w:rPr>
                <w:rFonts w:cs="Arial"/>
                <w:sz w:val="20"/>
                <w:szCs w:val="20"/>
              </w:rPr>
              <w:t xml:space="preserve"> de auditoría</w:t>
            </w:r>
            <w:r w:rsidRPr="00600ED9">
              <w:rPr>
                <w:rFonts w:cs="Arial"/>
                <w:sz w:val="20"/>
                <w:szCs w:val="20"/>
              </w:rPr>
              <w:t>)</w:t>
            </w:r>
          </w:p>
          <w:p w:rsidR="002B36D5" w:rsidRPr="00600ED9" w:rsidRDefault="002B36D5" w:rsidP="00233205">
            <w:pPr>
              <w:pStyle w:val="ListParagraph"/>
              <w:numPr>
                <w:ilvl w:val="0"/>
                <w:numId w:val="30"/>
              </w:numPr>
              <w:jc w:val="both"/>
              <w:rPr>
                <w:rFonts w:cs="Arial"/>
                <w:bCs/>
                <w:iCs/>
                <w:color w:val="404040" w:themeColor="text1" w:themeTint="BF"/>
                <w:sz w:val="20"/>
                <w:szCs w:val="20"/>
              </w:rPr>
            </w:pPr>
            <w:r w:rsidRPr="00600ED9">
              <w:rPr>
                <w:rFonts w:cs="Arial"/>
                <w:sz w:val="20"/>
                <w:szCs w:val="20"/>
              </w:rPr>
              <w:t>Los riesgos identificados no son específicos para la auditoría de desempeño.</w:t>
            </w:r>
          </w:p>
          <w:p w:rsidR="002B36D5" w:rsidRPr="00600ED9" w:rsidRDefault="002B36D5" w:rsidP="00233205">
            <w:pPr>
              <w:pStyle w:val="ListParagraph"/>
              <w:numPr>
                <w:ilvl w:val="0"/>
                <w:numId w:val="30"/>
              </w:numPr>
              <w:jc w:val="both"/>
              <w:rPr>
                <w:rFonts w:cs="Arial"/>
                <w:bCs/>
                <w:iCs/>
                <w:color w:val="404040" w:themeColor="text1" w:themeTint="BF"/>
                <w:sz w:val="20"/>
                <w:szCs w:val="20"/>
              </w:rPr>
            </w:pPr>
            <w:r w:rsidRPr="00600ED9">
              <w:rPr>
                <w:rFonts w:cs="Arial"/>
                <w:sz w:val="20"/>
                <w:szCs w:val="20"/>
              </w:rPr>
              <w:t>La evidencia documental, testimonial, física y analítica obtenida no necesariamente es la necesaria para sustentar una auditoría de desempeño (más bien, es específica para auditorías financieras).</w:t>
            </w:r>
          </w:p>
          <w:p w:rsidR="00A14D5E" w:rsidRPr="00600ED9" w:rsidRDefault="002B36D5" w:rsidP="00233205">
            <w:pPr>
              <w:pStyle w:val="ListParagraph"/>
              <w:numPr>
                <w:ilvl w:val="0"/>
                <w:numId w:val="30"/>
              </w:numPr>
              <w:jc w:val="both"/>
              <w:rPr>
                <w:rFonts w:cs="Arial"/>
                <w:bCs/>
                <w:iCs/>
                <w:color w:val="404040" w:themeColor="text1" w:themeTint="BF"/>
                <w:sz w:val="20"/>
                <w:szCs w:val="20"/>
              </w:rPr>
            </w:pPr>
            <w:r w:rsidRPr="00600ED9">
              <w:rPr>
                <w:rFonts w:cs="Arial"/>
                <w:sz w:val="20"/>
                <w:szCs w:val="20"/>
              </w:rPr>
              <w:t>Durante el proceso de planificación no se define</w:t>
            </w:r>
            <w:r w:rsidR="00A14D5E" w:rsidRPr="00600ED9">
              <w:rPr>
                <w:rFonts w:cs="Arial"/>
                <w:sz w:val="20"/>
                <w:szCs w:val="20"/>
              </w:rPr>
              <w:t>n</w:t>
            </w:r>
            <w:r w:rsidRPr="00600ED9">
              <w:rPr>
                <w:rFonts w:cs="Arial"/>
                <w:sz w:val="20"/>
                <w:szCs w:val="20"/>
              </w:rPr>
              <w:t xml:space="preserve"> las pruebas que </w:t>
            </w:r>
            <w:r w:rsidR="00A14D5E" w:rsidRPr="00600ED9">
              <w:rPr>
                <w:rFonts w:cs="Arial"/>
                <w:sz w:val="20"/>
                <w:szCs w:val="20"/>
              </w:rPr>
              <w:t>se</w:t>
            </w:r>
            <w:r w:rsidRPr="00600ED9">
              <w:rPr>
                <w:rFonts w:cs="Arial"/>
                <w:sz w:val="20"/>
                <w:szCs w:val="20"/>
              </w:rPr>
              <w:t xml:space="preserve"> realizar</w:t>
            </w:r>
            <w:r w:rsidR="00A14D5E" w:rsidRPr="00600ED9">
              <w:rPr>
                <w:rFonts w:cs="Arial"/>
                <w:sz w:val="20"/>
                <w:szCs w:val="20"/>
              </w:rPr>
              <w:t>án</w:t>
            </w:r>
            <w:r w:rsidRPr="00600ED9">
              <w:rPr>
                <w:rFonts w:cs="Arial"/>
                <w:sz w:val="20"/>
                <w:szCs w:val="20"/>
              </w:rPr>
              <w:t xml:space="preserve"> </w:t>
            </w:r>
            <w:r w:rsidR="00A14D5E" w:rsidRPr="00600ED9">
              <w:rPr>
                <w:rFonts w:cs="Arial"/>
                <w:sz w:val="20"/>
                <w:szCs w:val="20"/>
              </w:rPr>
              <w:t xml:space="preserve">para atender los criterios establecidos en </w:t>
            </w:r>
            <w:r w:rsidRPr="00600ED9">
              <w:rPr>
                <w:rFonts w:cs="Arial"/>
                <w:sz w:val="20"/>
                <w:szCs w:val="20"/>
              </w:rPr>
              <w:t>las auditorías de desempeño y como resultado de esto, se terminan realizando pruebas enfocadas a auditoría financiera y no de desempeño.</w:t>
            </w:r>
          </w:p>
          <w:p w:rsidR="005F71AD" w:rsidRPr="00600ED9" w:rsidRDefault="005F71AD" w:rsidP="00FB1954">
            <w:pPr>
              <w:jc w:val="both"/>
              <w:rPr>
                <w:sz w:val="20"/>
                <w:szCs w:val="20"/>
              </w:rPr>
            </w:pPr>
          </w:p>
          <w:p w:rsidR="002B36D5" w:rsidRPr="00600ED9" w:rsidRDefault="002B36D5" w:rsidP="00FB1954">
            <w:pPr>
              <w:jc w:val="both"/>
              <w:rPr>
                <w:sz w:val="20"/>
                <w:szCs w:val="20"/>
              </w:rPr>
            </w:pPr>
            <w:r w:rsidRPr="00600ED9">
              <w:rPr>
                <w:sz w:val="20"/>
                <w:szCs w:val="20"/>
              </w:rPr>
              <w:t>Se constató que la CGRC implementa algunas prácticas de auditorías de gestión correctas. Sin embargo, no se encontró evidencia del cumplimiento de los siguientes sub-criterios:</w:t>
            </w:r>
          </w:p>
          <w:p w:rsidR="005F71AD" w:rsidRPr="00600ED9" w:rsidRDefault="005F71AD" w:rsidP="00FB1954">
            <w:pPr>
              <w:jc w:val="both"/>
              <w:rPr>
                <w:sz w:val="20"/>
                <w:szCs w:val="20"/>
              </w:rPr>
            </w:pPr>
          </w:p>
          <w:p w:rsidR="002B36D5" w:rsidRPr="00600ED9" w:rsidRDefault="002B36D5" w:rsidP="00233205">
            <w:pPr>
              <w:pStyle w:val="ListParagraph"/>
              <w:numPr>
                <w:ilvl w:val="0"/>
                <w:numId w:val="31"/>
              </w:numPr>
              <w:jc w:val="both"/>
              <w:rPr>
                <w:rFonts w:cs="Arial"/>
                <w:bCs/>
                <w:iCs/>
                <w:color w:val="404040" w:themeColor="text1" w:themeTint="BF"/>
                <w:sz w:val="20"/>
                <w:szCs w:val="20"/>
              </w:rPr>
            </w:pPr>
            <w:r w:rsidRPr="00600ED9">
              <w:rPr>
                <w:b/>
                <w:sz w:val="20"/>
                <w:szCs w:val="20"/>
              </w:rPr>
              <w:t>La ejecución oportuna de la auditoría en línea con el plan de trabajo</w:t>
            </w:r>
            <w:r w:rsidRPr="00600ED9">
              <w:rPr>
                <w:sz w:val="20"/>
                <w:szCs w:val="20"/>
              </w:rPr>
              <w:t xml:space="preserve">: En el Plan de Auditoría se incluyen las fechas en la que los procesos de auditoría deben ser llevados a cabo. A pesar de esto, no se documenta si hubo algún atraso y las acciones tomadas para remediarlo. Al cierre de la auditoría, no se incluye información detallada sobre las fechas y su cumplimiento, ni la documentación que indique cómo se solucionaron los problemas encontrados. </w:t>
            </w:r>
          </w:p>
          <w:p w:rsidR="002B36D5" w:rsidRPr="00600ED9" w:rsidRDefault="002B36D5" w:rsidP="00233205">
            <w:pPr>
              <w:pStyle w:val="ListParagraph"/>
              <w:numPr>
                <w:ilvl w:val="0"/>
                <w:numId w:val="31"/>
              </w:numPr>
              <w:jc w:val="both"/>
              <w:rPr>
                <w:rFonts w:cs="Arial"/>
                <w:bCs/>
                <w:iCs/>
                <w:color w:val="404040" w:themeColor="text1" w:themeTint="BF"/>
                <w:sz w:val="20"/>
                <w:szCs w:val="20"/>
              </w:rPr>
            </w:pPr>
            <w:r w:rsidRPr="00600ED9">
              <w:rPr>
                <w:b/>
                <w:sz w:val="20"/>
                <w:szCs w:val="20"/>
              </w:rPr>
              <w:t>El monitoreo regular de los avances a cargo de la dirección</w:t>
            </w:r>
            <w:r w:rsidRPr="00600ED9">
              <w:rPr>
                <w:sz w:val="20"/>
                <w:szCs w:val="20"/>
              </w:rPr>
              <w:t xml:space="preserve">: A pesar de que la Guía de Auditoría indica que se debe realizar monitoreo regular a los avances a cargo de la dirección, no se </w:t>
            </w:r>
            <w:r w:rsidR="00A14D5E" w:rsidRPr="00600ED9">
              <w:rPr>
                <w:sz w:val="20"/>
                <w:szCs w:val="20"/>
              </w:rPr>
              <w:t xml:space="preserve">deja evidencia del </w:t>
            </w:r>
            <w:r w:rsidRPr="00600ED9">
              <w:rPr>
                <w:sz w:val="20"/>
                <w:szCs w:val="20"/>
              </w:rPr>
              <w:t xml:space="preserve"> seguimiento en </w:t>
            </w:r>
            <w:r w:rsidR="00A14D5E" w:rsidRPr="00600ED9">
              <w:rPr>
                <w:sz w:val="20"/>
                <w:szCs w:val="20"/>
              </w:rPr>
              <w:t>el</w:t>
            </w:r>
            <w:r w:rsidRPr="00600ED9">
              <w:rPr>
                <w:sz w:val="20"/>
                <w:szCs w:val="20"/>
              </w:rPr>
              <w:t xml:space="preserve"> SICA.</w:t>
            </w:r>
          </w:p>
          <w:p w:rsidR="002B36D5" w:rsidRPr="00600ED9" w:rsidRDefault="002B36D5" w:rsidP="00233205">
            <w:pPr>
              <w:pStyle w:val="ListParagraph"/>
              <w:numPr>
                <w:ilvl w:val="0"/>
                <w:numId w:val="31"/>
              </w:numPr>
              <w:jc w:val="both"/>
              <w:rPr>
                <w:rFonts w:cstheme="majorBidi"/>
                <w:bCs/>
                <w:iCs/>
                <w:color w:val="404040" w:themeColor="text1" w:themeTint="BF"/>
                <w:sz w:val="20"/>
                <w:szCs w:val="20"/>
              </w:rPr>
            </w:pPr>
            <w:r w:rsidRPr="00600ED9">
              <w:rPr>
                <w:b/>
                <w:sz w:val="20"/>
                <w:szCs w:val="20"/>
              </w:rPr>
              <w:t>El seguimiento de las lecciones aprendidas a la conclusión de la auditoría</w:t>
            </w:r>
            <w:r w:rsidRPr="00600ED9">
              <w:rPr>
                <w:sz w:val="20"/>
                <w:szCs w:val="20"/>
              </w:rPr>
              <w:t>: No hay evidencia de que se haga un seguimiento a las lecciones aprendidas.</w:t>
            </w:r>
          </w:p>
          <w:p w:rsidR="002B36D5" w:rsidRPr="00600ED9" w:rsidRDefault="002B36D5" w:rsidP="00FB1954">
            <w:pPr>
              <w:pStyle w:val="ListParagraph"/>
              <w:jc w:val="both"/>
              <w:rPr>
                <w:sz w:val="20"/>
                <w:szCs w:val="20"/>
              </w:rPr>
            </w:pPr>
          </w:p>
        </w:tc>
      </w:tr>
      <w:tr w:rsidR="002B36D5" w:rsidRPr="00600ED9" w:rsidTr="00BE2EAA">
        <w:tc>
          <w:tcPr>
            <w:tcW w:w="9356" w:type="dxa"/>
            <w:shd w:val="clear" w:color="auto" w:fill="D9D9D9" w:themeFill="background1" w:themeFillShade="D9"/>
          </w:tcPr>
          <w:p w:rsidR="002B36D5" w:rsidRPr="00600ED9" w:rsidRDefault="002B36D5" w:rsidP="00FB1954">
            <w:pPr>
              <w:pStyle w:val="NoSpacing"/>
              <w:rPr>
                <w:b/>
                <w:i/>
                <w:sz w:val="20"/>
                <w:szCs w:val="20"/>
                <w:lang w:val="es-ES_tradnl"/>
              </w:rPr>
            </w:pPr>
            <w:r w:rsidRPr="00600ED9">
              <w:rPr>
                <w:b/>
                <w:i/>
                <w:sz w:val="20"/>
                <w:szCs w:val="20"/>
                <w:lang w:val="es-ES_tradnl"/>
              </w:rPr>
              <w:t>Dimensión (iii) Presentación de informes en auditorías del desempeño</w:t>
            </w:r>
          </w:p>
        </w:tc>
      </w:tr>
      <w:tr w:rsidR="002B36D5" w:rsidRPr="00600ED9" w:rsidTr="0011751D">
        <w:tc>
          <w:tcPr>
            <w:tcW w:w="9356" w:type="dxa"/>
            <w:shd w:val="clear" w:color="auto" w:fill="D9D9D9" w:themeFill="background1" w:themeFillShade="D9"/>
          </w:tcPr>
          <w:p w:rsidR="002B36D5" w:rsidRPr="00600ED9" w:rsidRDefault="002B36D5" w:rsidP="00FB1954">
            <w:pPr>
              <w:pStyle w:val="NoSpacing"/>
              <w:rPr>
                <w:i/>
                <w:color w:val="000000"/>
                <w:sz w:val="20"/>
                <w:szCs w:val="20"/>
                <w:lang w:val="es-ES_tradnl" w:eastAsia="zh-TW"/>
              </w:rPr>
            </w:pPr>
            <w:r w:rsidRPr="00600ED9">
              <w:rPr>
                <w:b/>
                <w:bCs/>
                <w:i/>
                <w:sz w:val="20"/>
                <w:szCs w:val="20"/>
                <w:lang w:val="es-ES_tradnl"/>
              </w:rPr>
              <w:t>Puntuación 0</w:t>
            </w:r>
            <w:r w:rsidRPr="00600ED9">
              <w:rPr>
                <w:bCs/>
                <w:i/>
                <w:sz w:val="20"/>
                <w:szCs w:val="20"/>
                <w:lang w:val="es-ES_tradnl"/>
              </w:rPr>
              <w:t>: Menos de cuatro de los criterios mencionados son implementados.</w:t>
            </w:r>
          </w:p>
        </w:tc>
      </w:tr>
      <w:tr w:rsidR="002B36D5" w:rsidRPr="00600ED9" w:rsidTr="00BE2EAA">
        <w:tc>
          <w:tcPr>
            <w:tcW w:w="9356" w:type="dxa"/>
          </w:tcPr>
          <w:p w:rsidR="002B36D5" w:rsidRPr="00600ED9" w:rsidRDefault="002B36D5" w:rsidP="00FB1954">
            <w:pPr>
              <w:jc w:val="both"/>
              <w:rPr>
                <w:rFonts w:eastAsiaTheme="minorEastAsia"/>
                <w:color w:val="000000"/>
                <w:sz w:val="20"/>
                <w:szCs w:val="20"/>
                <w:lang w:eastAsia="zh-TW"/>
              </w:rPr>
            </w:pPr>
            <w:r w:rsidRPr="00600ED9">
              <w:rPr>
                <w:rFonts w:eastAsiaTheme="minorEastAsia"/>
                <w:color w:val="000000"/>
                <w:sz w:val="20"/>
                <w:szCs w:val="20"/>
                <w:lang w:eastAsia="zh-TW"/>
              </w:rPr>
              <w:t xml:space="preserve">Criterios  (a) cumple.  Criterios (b), (c), (d), (e) y (f) no cumplen. </w:t>
            </w:r>
          </w:p>
          <w:p w:rsidR="005F71AD" w:rsidRPr="00600ED9" w:rsidRDefault="005F71AD" w:rsidP="00FB1954">
            <w:pPr>
              <w:jc w:val="both"/>
              <w:rPr>
                <w:rFonts w:eastAsiaTheme="minorEastAsia"/>
                <w:color w:val="000000"/>
                <w:sz w:val="20"/>
                <w:szCs w:val="20"/>
                <w:lang w:eastAsia="zh-TW"/>
              </w:rPr>
            </w:pPr>
          </w:p>
          <w:p w:rsidR="002B36D5" w:rsidRPr="00600ED9" w:rsidRDefault="00CA3605" w:rsidP="00FB1954">
            <w:pPr>
              <w:pStyle w:val="ListParagraph"/>
              <w:ind w:left="0"/>
              <w:jc w:val="both"/>
              <w:rPr>
                <w:sz w:val="20"/>
                <w:szCs w:val="20"/>
              </w:rPr>
            </w:pPr>
            <w:r w:rsidRPr="00600ED9">
              <w:rPr>
                <w:rFonts w:cs="Arial"/>
                <w:sz w:val="20"/>
                <w:szCs w:val="20"/>
              </w:rPr>
              <w:t>Aplican las conclusiones y observaciones</w:t>
            </w:r>
            <w:r w:rsidRPr="00600ED9" w:rsidDel="00394F44">
              <w:rPr>
                <w:sz w:val="20"/>
                <w:szCs w:val="20"/>
              </w:rPr>
              <w:t xml:space="preserve"> </w:t>
            </w:r>
            <w:r w:rsidR="002B36D5" w:rsidRPr="00600ED9">
              <w:rPr>
                <w:sz w:val="20"/>
                <w:szCs w:val="20"/>
              </w:rPr>
              <w:t xml:space="preserve">incluidas en el EFS 12 (iii) y EFS 14 (iii) que son aplicables a las auditorías de desempeño. Las puntuaciones podrían ser distintas debido a que los criterios evaluados son similares pero idénticos. </w:t>
            </w:r>
          </w:p>
          <w:p w:rsidR="005F71AD" w:rsidRPr="00600ED9" w:rsidRDefault="005F71AD" w:rsidP="00FB1954">
            <w:pPr>
              <w:pStyle w:val="ListParagraph"/>
              <w:ind w:left="0"/>
              <w:jc w:val="both"/>
              <w:rPr>
                <w:rFonts w:ascii="Times New Roman" w:eastAsia="Times New Roman" w:hAnsi="Times New Roman" w:cs="Times New Roman"/>
                <w:color w:val="000000"/>
                <w:sz w:val="20"/>
                <w:szCs w:val="20"/>
                <w:lang w:eastAsia="zh-TW"/>
              </w:rPr>
            </w:pPr>
          </w:p>
        </w:tc>
      </w:tr>
    </w:tbl>
    <w:p w:rsidR="003B04AB" w:rsidRPr="00600ED9" w:rsidRDefault="003B04AB" w:rsidP="00FB1954">
      <w:pPr>
        <w:spacing w:after="0" w:line="240" w:lineRule="auto"/>
        <w:jc w:val="both"/>
        <w:rPr>
          <w:b/>
          <w:sz w:val="20"/>
          <w:szCs w:val="20"/>
        </w:rPr>
      </w:pPr>
    </w:p>
    <w:p w:rsidR="00575F68" w:rsidRPr="00600ED9" w:rsidRDefault="003B04AB" w:rsidP="00FB1954">
      <w:pPr>
        <w:pStyle w:val="NoSpacing"/>
        <w:ind w:left="720"/>
        <w:rPr>
          <w:lang w:val="es-ES_tradnl"/>
        </w:rPr>
      </w:pPr>
      <w:r w:rsidRPr="00600ED9">
        <w:rPr>
          <w:b/>
          <w:bCs/>
          <w:smallCaps/>
          <w:lang w:val="es-ES_tradnl"/>
        </w:rPr>
        <w:t>Recomendaciones:</w:t>
      </w:r>
      <w:r w:rsidR="005F71AD" w:rsidRPr="00600ED9">
        <w:rPr>
          <w:b/>
          <w:bCs/>
          <w:smallCaps/>
          <w:lang w:val="es-ES_tradnl"/>
        </w:rPr>
        <w:t xml:space="preserve"> </w:t>
      </w:r>
      <w:r w:rsidR="005120A2" w:rsidRPr="00600ED9">
        <w:rPr>
          <w:lang w:val="es-ES_tradnl"/>
        </w:rPr>
        <w:t>Consultar el</w:t>
      </w:r>
      <w:r w:rsidR="00CA3E61" w:rsidRPr="00600ED9">
        <w:rPr>
          <w:lang w:val="es-ES_tradnl"/>
        </w:rPr>
        <w:t xml:space="preserve"> Anexo </w:t>
      </w:r>
      <w:r w:rsidR="00BD6F36" w:rsidRPr="00600ED9">
        <w:rPr>
          <w:lang w:val="es-ES_tradnl"/>
        </w:rPr>
        <w:t>A</w:t>
      </w:r>
      <w:r w:rsidR="00CA3E61" w:rsidRPr="00600ED9">
        <w:rPr>
          <w:lang w:val="es-ES_tradnl"/>
        </w:rPr>
        <w:t xml:space="preserve">: </w:t>
      </w:r>
      <w:r w:rsidR="00BD6F36" w:rsidRPr="00600ED9">
        <w:rPr>
          <w:lang w:val="es-ES_tradnl"/>
        </w:rPr>
        <w:t xml:space="preserve">Recomendaciones </w:t>
      </w:r>
      <w:r w:rsidR="00C153F7" w:rsidRPr="00600ED9">
        <w:rPr>
          <w:lang w:val="es-ES_tradnl"/>
        </w:rPr>
        <w:t>No. 11, 14 y 16</w:t>
      </w:r>
      <w:r w:rsidR="00CA3E61" w:rsidRPr="00600ED9">
        <w:rPr>
          <w:lang w:val="es-ES_tradnl"/>
        </w:rPr>
        <w:t>.</w:t>
      </w:r>
    </w:p>
    <w:p w:rsidR="007C6B89" w:rsidRPr="00600ED9" w:rsidRDefault="007C6B89" w:rsidP="00FB1954">
      <w:pPr>
        <w:pStyle w:val="NoSpacing"/>
        <w:ind w:left="720"/>
        <w:rPr>
          <w:lang w:val="es-ES_tradnl"/>
        </w:rPr>
      </w:pPr>
    </w:p>
    <w:p w:rsidR="00575F68" w:rsidRPr="00600ED9" w:rsidRDefault="00575F68" w:rsidP="00FB1954">
      <w:pPr>
        <w:spacing w:after="0" w:line="240" w:lineRule="auto"/>
        <w:ind w:left="720"/>
        <w:jc w:val="both"/>
        <w:rPr>
          <w:sz w:val="20"/>
          <w:szCs w:val="20"/>
        </w:rPr>
      </w:pPr>
    </w:p>
    <w:p w:rsidR="00720E42" w:rsidRPr="00600ED9" w:rsidRDefault="00720E42" w:rsidP="00FB1954">
      <w:pPr>
        <w:pStyle w:val="Heading1"/>
        <w:spacing w:line="240" w:lineRule="auto"/>
        <w:ind w:left="567" w:hanging="567"/>
        <w:rPr>
          <w:noProof w:val="0"/>
        </w:rPr>
      </w:pPr>
      <w:bookmarkStart w:id="32" w:name="_Toc295932924"/>
      <w:r w:rsidRPr="00600ED9">
        <w:rPr>
          <w:noProof w:val="0"/>
        </w:rPr>
        <w:t xml:space="preserve">Dominio E: Estructuras de </w:t>
      </w:r>
      <w:r w:rsidR="008776C1" w:rsidRPr="00600ED9">
        <w:rPr>
          <w:noProof w:val="0"/>
        </w:rPr>
        <w:t>Gestión</w:t>
      </w:r>
      <w:r w:rsidRPr="00600ED9">
        <w:rPr>
          <w:noProof w:val="0"/>
        </w:rPr>
        <w:t xml:space="preserve"> y Apoyo</w:t>
      </w:r>
      <w:bookmarkEnd w:id="32"/>
    </w:p>
    <w:p w:rsidR="00C4128A" w:rsidRPr="00600ED9" w:rsidRDefault="00C4128A" w:rsidP="00FB1954">
      <w:pPr>
        <w:pStyle w:val="NoSpacing"/>
        <w:ind w:left="567"/>
        <w:jc w:val="both"/>
        <w:rPr>
          <w:lang w:val="es-ES_tradnl"/>
        </w:rPr>
      </w:pPr>
    </w:p>
    <w:p w:rsidR="002761DF" w:rsidRPr="00600ED9" w:rsidRDefault="00C4128A" w:rsidP="00FB1954">
      <w:pPr>
        <w:pStyle w:val="NoSpacing"/>
        <w:ind w:left="567"/>
        <w:jc w:val="both"/>
        <w:rPr>
          <w:lang w:val="es-ES_tradnl"/>
        </w:rPr>
      </w:pPr>
      <w:r w:rsidRPr="00600ED9">
        <w:rPr>
          <w:rFonts w:cs="Arial"/>
          <w:szCs w:val="24"/>
          <w:lang w:val="es-ES_tradnl"/>
        </w:rPr>
        <w:t xml:space="preserve">Este dominio analiza los indicadores EFS-18 y EFS-19, </w:t>
      </w:r>
      <w:r w:rsidR="002761DF" w:rsidRPr="00600ED9">
        <w:rPr>
          <w:rFonts w:cs="Arial"/>
          <w:szCs w:val="24"/>
          <w:lang w:val="es-ES_tradnl"/>
        </w:rPr>
        <w:t xml:space="preserve">a través </w:t>
      </w:r>
      <w:r w:rsidR="00912AD8" w:rsidRPr="00600ED9">
        <w:rPr>
          <w:rFonts w:cs="Arial"/>
          <w:szCs w:val="24"/>
          <w:lang w:val="es-ES_tradnl"/>
        </w:rPr>
        <w:t>de</w:t>
      </w:r>
      <w:r w:rsidR="002761DF" w:rsidRPr="00600ED9">
        <w:rPr>
          <w:rFonts w:cs="Arial"/>
          <w:szCs w:val="24"/>
          <w:lang w:val="es-ES_tradnl"/>
        </w:rPr>
        <w:t xml:space="preserve"> los cuales se busca </w:t>
      </w:r>
      <w:r w:rsidRPr="00600ED9">
        <w:rPr>
          <w:rFonts w:cs="Arial"/>
          <w:szCs w:val="24"/>
          <w:lang w:val="es-ES_tradnl"/>
        </w:rPr>
        <w:t xml:space="preserve">establecer la </w:t>
      </w:r>
      <w:r w:rsidR="002761DF" w:rsidRPr="00600ED9">
        <w:rPr>
          <w:rFonts w:cs="Arial"/>
          <w:szCs w:val="24"/>
          <w:lang w:val="es-ES_tradnl"/>
        </w:rPr>
        <w:t xml:space="preserve">forma en que la EFS gestiona sus operaciones, en apego al cumplimiento de  los objetivos del sistema de control interno.  </w:t>
      </w:r>
    </w:p>
    <w:p w:rsidR="002761DF" w:rsidRPr="00600ED9" w:rsidRDefault="002761DF" w:rsidP="00FB1954">
      <w:pPr>
        <w:pStyle w:val="NoSpacing"/>
        <w:ind w:left="567"/>
        <w:jc w:val="both"/>
        <w:rPr>
          <w:lang w:val="es-ES_tradnl"/>
        </w:rPr>
      </w:pPr>
    </w:p>
    <w:p w:rsidR="00E20251" w:rsidRPr="00600ED9" w:rsidRDefault="00122211" w:rsidP="00233205">
      <w:pPr>
        <w:pStyle w:val="Heading2"/>
        <w:numPr>
          <w:ilvl w:val="0"/>
          <w:numId w:val="37"/>
        </w:numPr>
        <w:spacing w:before="0" w:line="240" w:lineRule="auto"/>
        <w:ind w:hanging="513"/>
      </w:pPr>
      <w:bookmarkStart w:id="33" w:name="_Toc295932925"/>
      <w:r w:rsidRPr="00600ED9">
        <w:lastRenderedPageBreak/>
        <w:t xml:space="preserve">EFS </w:t>
      </w:r>
      <w:r w:rsidR="00720E42" w:rsidRPr="00600ED9">
        <w:t>18 – Ética, Gestión y Control Interno</w:t>
      </w:r>
      <w:bookmarkEnd w:id="33"/>
    </w:p>
    <w:p w:rsidR="00291465" w:rsidRPr="00600ED9" w:rsidRDefault="00291465" w:rsidP="00FB1954">
      <w:pPr>
        <w:spacing w:after="0" w:line="240" w:lineRule="auto"/>
      </w:pPr>
    </w:p>
    <w:tbl>
      <w:tblPr>
        <w:tblW w:w="7830" w:type="dxa"/>
        <w:tblInd w:w="720" w:type="dxa"/>
        <w:tblCellMar>
          <w:left w:w="70" w:type="dxa"/>
          <w:right w:w="70" w:type="dxa"/>
        </w:tblCellMar>
        <w:tblLook w:val="04A0" w:firstRow="1" w:lastRow="0" w:firstColumn="1" w:lastColumn="0" w:noHBand="0" w:noVBand="1"/>
      </w:tblPr>
      <w:tblGrid>
        <w:gridCol w:w="2560"/>
        <w:gridCol w:w="1040"/>
        <w:gridCol w:w="900"/>
        <w:gridCol w:w="900"/>
        <w:gridCol w:w="1170"/>
        <w:gridCol w:w="175"/>
        <w:gridCol w:w="1085"/>
      </w:tblGrid>
      <w:tr w:rsidR="00E20251" w:rsidRPr="00600ED9" w:rsidTr="004827B1">
        <w:trPr>
          <w:trHeight w:val="255"/>
        </w:trPr>
        <w:tc>
          <w:tcPr>
            <w:tcW w:w="2560" w:type="dxa"/>
            <w:tcBorders>
              <w:top w:val="nil"/>
              <w:left w:val="nil"/>
              <w:bottom w:val="nil"/>
              <w:right w:val="nil"/>
            </w:tcBorders>
            <w:shd w:val="clear" w:color="auto" w:fill="auto"/>
            <w:noWrap/>
            <w:vAlign w:val="bottom"/>
            <w:hideMark/>
          </w:tcPr>
          <w:p w:rsidR="00E20251" w:rsidRPr="00600ED9" w:rsidRDefault="00E20251" w:rsidP="00FB1954">
            <w:pPr>
              <w:pStyle w:val="NoSpacing"/>
              <w:tabs>
                <w:tab w:val="center" w:pos="4680"/>
                <w:tab w:val="right" w:pos="9360"/>
              </w:tabs>
              <w:jc w:val="center"/>
              <w:rPr>
                <w:sz w:val="20"/>
                <w:lang w:val="es-ES_tradnl"/>
              </w:rPr>
            </w:pPr>
          </w:p>
        </w:tc>
        <w:tc>
          <w:tcPr>
            <w:tcW w:w="4010" w:type="dxa"/>
            <w:gridSpan w:val="4"/>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E20251" w:rsidRPr="00600ED9" w:rsidRDefault="00E20251" w:rsidP="00FB1954">
            <w:pPr>
              <w:pStyle w:val="NoSpacing"/>
              <w:jc w:val="center"/>
              <w:rPr>
                <w:b/>
                <w:bCs/>
                <w:sz w:val="20"/>
                <w:lang w:val="es-ES_tradnl"/>
              </w:rPr>
            </w:pPr>
            <w:r w:rsidRPr="00600ED9">
              <w:rPr>
                <w:b/>
                <w:bCs/>
                <w:sz w:val="20"/>
                <w:lang w:val="es-ES_tradnl"/>
              </w:rPr>
              <w:t>Dimensiones Evaluadas</w:t>
            </w:r>
          </w:p>
        </w:tc>
        <w:tc>
          <w:tcPr>
            <w:tcW w:w="175" w:type="dxa"/>
            <w:tcBorders>
              <w:top w:val="nil"/>
              <w:left w:val="nil"/>
              <w:bottom w:val="nil"/>
              <w:right w:val="nil"/>
            </w:tcBorders>
            <w:shd w:val="clear" w:color="auto" w:fill="auto"/>
            <w:noWrap/>
            <w:vAlign w:val="bottom"/>
            <w:hideMark/>
          </w:tcPr>
          <w:p w:rsidR="00E20251" w:rsidRPr="00600ED9" w:rsidRDefault="00E20251" w:rsidP="00FB1954">
            <w:pPr>
              <w:pStyle w:val="NoSpacing"/>
              <w:tabs>
                <w:tab w:val="center" w:pos="4680"/>
                <w:tab w:val="right" w:pos="9360"/>
              </w:tabs>
              <w:jc w:val="center"/>
              <w:rPr>
                <w:sz w:val="20"/>
                <w:lang w:val="es-ES_tradnl"/>
              </w:rPr>
            </w:pPr>
          </w:p>
        </w:tc>
        <w:tc>
          <w:tcPr>
            <w:tcW w:w="1085" w:type="dxa"/>
            <w:vMerge w:val="restart"/>
            <w:tcBorders>
              <w:top w:val="single" w:sz="4" w:space="0" w:color="auto"/>
              <w:left w:val="single" w:sz="4" w:space="0" w:color="auto"/>
              <w:bottom w:val="single" w:sz="4" w:space="0" w:color="auto"/>
              <w:right w:val="single" w:sz="4" w:space="0" w:color="auto"/>
            </w:tcBorders>
            <w:shd w:val="clear" w:color="000000" w:fill="95B3D7"/>
            <w:vAlign w:val="center"/>
            <w:hideMark/>
          </w:tcPr>
          <w:p w:rsidR="00E20251" w:rsidRPr="00600ED9" w:rsidRDefault="00E20251" w:rsidP="00FB1954">
            <w:pPr>
              <w:pStyle w:val="NoSpacing"/>
              <w:jc w:val="center"/>
              <w:rPr>
                <w:b/>
                <w:bCs/>
                <w:sz w:val="20"/>
                <w:lang w:val="es-ES_tradnl"/>
              </w:rPr>
            </w:pPr>
            <w:r w:rsidRPr="00600ED9">
              <w:rPr>
                <w:b/>
                <w:bCs/>
                <w:sz w:val="20"/>
                <w:lang w:val="es-ES_tradnl"/>
              </w:rPr>
              <w:t>Puntuación General</w:t>
            </w:r>
          </w:p>
        </w:tc>
      </w:tr>
      <w:tr w:rsidR="00E20251" w:rsidRPr="00600ED9" w:rsidTr="004827B1">
        <w:trPr>
          <w:trHeight w:val="390"/>
        </w:trPr>
        <w:tc>
          <w:tcPr>
            <w:tcW w:w="256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E20251" w:rsidRPr="00600ED9" w:rsidRDefault="00E20251" w:rsidP="00FB1954">
            <w:pPr>
              <w:pStyle w:val="NoSpacing"/>
              <w:jc w:val="center"/>
              <w:rPr>
                <w:b/>
                <w:bCs/>
                <w:sz w:val="20"/>
                <w:lang w:val="es-ES_tradnl"/>
              </w:rPr>
            </w:pPr>
            <w:r w:rsidRPr="00600ED9">
              <w:rPr>
                <w:b/>
                <w:bCs/>
                <w:sz w:val="20"/>
                <w:lang w:val="es-ES_tradnl"/>
              </w:rPr>
              <w:t>Indicadores</w:t>
            </w:r>
          </w:p>
        </w:tc>
        <w:tc>
          <w:tcPr>
            <w:tcW w:w="1040" w:type="dxa"/>
            <w:tcBorders>
              <w:top w:val="nil"/>
              <w:left w:val="nil"/>
              <w:bottom w:val="single" w:sz="4" w:space="0" w:color="auto"/>
              <w:right w:val="single" w:sz="4" w:space="0" w:color="auto"/>
            </w:tcBorders>
            <w:shd w:val="clear" w:color="000000" w:fill="D8D8D8"/>
            <w:noWrap/>
            <w:hideMark/>
          </w:tcPr>
          <w:p w:rsidR="00517A95" w:rsidRPr="004F42B9" w:rsidRDefault="008461E3" w:rsidP="00FB1954">
            <w:pPr>
              <w:pStyle w:val="NoSpacing"/>
              <w:jc w:val="center"/>
              <w:rPr>
                <w:b/>
                <w:bCs/>
                <w:w w:val="90"/>
                <w:sz w:val="20"/>
                <w:lang w:val="pt-BR"/>
              </w:rPr>
            </w:pPr>
            <w:r w:rsidRPr="004F42B9">
              <w:rPr>
                <w:b/>
                <w:bCs/>
                <w:w w:val="90"/>
                <w:sz w:val="20"/>
                <w:lang w:val="pt-BR"/>
              </w:rPr>
              <w:t>(i)</w:t>
            </w:r>
          </w:p>
          <w:p w:rsidR="00E20251" w:rsidRPr="004F42B9" w:rsidRDefault="00E20251" w:rsidP="00FB1954">
            <w:pPr>
              <w:pStyle w:val="NoSpacing"/>
              <w:jc w:val="center"/>
              <w:rPr>
                <w:b/>
                <w:bCs/>
                <w:w w:val="90"/>
                <w:sz w:val="20"/>
                <w:lang w:val="pt-BR"/>
              </w:rPr>
            </w:pPr>
            <w:r w:rsidRPr="004F42B9">
              <w:rPr>
                <w:rFonts w:cs="Times New Roman"/>
                <w:w w:val="90"/>
                <w:sz w:val="20"/>
                <w:lang w:val="pt-BR" w:eastAsia="en-GB"/>
              </w:rPr>
              <w:t xml:space="preserve">Código de Ética e </w:t>
            </w:r>
            <w:proofErr w:type="spellStart"/>
            <w:r w:rsidRPr="004F42B9">
              <w:rPr>
                <w:rFonts w:cs="Times New Roman"/>
                <w:w w:val="90"/>
                <w:sz w:val="20"/>
                <w:lang w:val="pt-BR" w:eastAsia="en-GB"/>
              </w:rPr>
              <w:t>Integridad</w:t>
            </w:r>
            <w:proofErr w:type="spellEnd"/>
          </w:p>
        </w:tc>
        <w:tc>
          <w:tcPr>
            <w:tcW w:w="900" w:type="dxa"/>
            <w:tcBorders>
              <w:top w:val="nil"/>
              <w:left w:val="nil"/>
              <w:bottom w:val="single" w:sz="4" w:space="0" w:color="auto"/>
              <w:right w:val="single" w:sz="4" w:space="0" w:color="auto"/>
            </w:tcBorders>
            <w:shd w:val="clear" w:color="000000" w:fill="D8D8D8"/>
            <w:noWrap/>
            <w:hideMark/>
          </w:tcPr>
          <w:p w:rsidR="00517A95" w:rsidRPr="00600ED9" w:rsidRDefault="008461E3" w:rsidP="00FB1954">
            <w:pPr>
              <w:pStyle w:val="NoSpacing"/>
              <w:jc w:val="center"/>
              <w:rPr>
                <w:b/>
                <w:bCs/>
                <w:w w:val="90"/>
                <w:sz w:val="20"/>
                <w:lang w:val="es-ES_tradnl"/>
              </w:rPr>
            </w:pPr>
            <w:r w:rsidRPr="00600ED9">
              <w:rPr>
                <w:b/>
                <w:bCs/>
                <w:w w:val="90"/>
                <w:sz w:val="20"/>
                <w:lang w:val="es-ES_tradnl"/>
              </w:rPr>
              <w:t>(ii)</w:t>
            </w:r>
          </w:p>
          <w:p w:rsidR="00E20251" w:rsidRPr="00600ED9" w:rsidRDefault="00E20251" w:rsidP="00FB1954">
            <w:pPr>
              <w:pStyle w:val="NoSpacing"/>
              <w:jc w:val="center"/>
              <w:rPr>
                <w:b/>
                <w:bCs/>
                <w:w w:val="90"/>
                <w:sz w:val="20"/>
                <w:lang w:val="es-ES_tradnl"/>
              </w:rPr>
            </w:pPr>
            <w:r w:rsidRPr="00600ED9">
              <w:rPr>
                <w:rFonts w:cs="Times New Roman"/>
                <w:w w:val="90"/>
                <w:sz w:val="20"/>
                <w:lang w:val="es-ES_tradnl" w:eastAsia="en-GB"/>
              </w:rPr>
              <w:t>Gestión del Personal</w:t>
            </w:r>
          </w:p>
        </w:tc>
        <w:tc>
          <w:tcPr>
            <w:tcW w:w="900" w:type="dxa"/>
            <w:tcBorders>
              <w:top w:val="nil"/>
              <w:left w:val="nil"/>
              <w:bottom w:val="single" w:sz="4" w:space="0" w:color="auto"/>
              <w:right w:val="single" w:sz="4" w:space="0" w:color="auto"/>
            </w:tcBorders>
            <w:shd w:val="clear" w:color="000000" w:fill="D8D8D8"/>
            <w:noWrap/>
            <w:hideMark/>
          </w:tcPr>
          <w:p w:rsidR="00517A95" w:rsidRPr="00600ED9" w:rsidRDefault="008461E3" w:rsidP="00FB1954">
            <w:pPr>
              <w:pStyle w:val="NoSpacing"/>
              <w:jc w:val="center"/>
              <w:rPr>
                <w:b/>
                <w:bCs/>
                <w:w w:val="90"/>
                <w:sz w:val="20"/>
                <w:lang w:val="es-ES_tradnl"/>
              </w:rPr>
            </w:pPr>
            <w:r w:rsidRPr="00600ED9">
              <w:rPr>
                <w:b/>
                <w:bCs/>
                <w:w w:val="90"/>
                <w:sz w:val="20"/>
                <w:lang w:val="es-ES_tradnl"/>
              </w:rPr>
              <w:t>(iii)</w:t>
            </w:r>
          </w:p>
          <w:p w:rsidR="00E20251" w:rsidRPr="00600ED9" w:rsidRDefault="00E20251" w:rsidP="00FB1954">
            <w:pPr>
              <w:pStyle w:val="NoSpacing"/>
              <w:jc w:val="center"/>
              <w:rPr>
                <w:b/>
                <w:bCs/>
                <w:w w:val="90"/>
                <w:sz w:val="20"/>
                <w:lang w:val="es-ES_tradnl"/>
              </w:rPr>
            </w:pPr>
            <w:r w:rsidRPr="00600ED9">
              <w:rPr>
                <w:rFonts w:cs="Times New Roman"/>
                <w:w w:val="90"/>
                <w:sz w:val="20"/>
                <w:lang w:val="es-ES_tradnl" w:eastAsia="en-GB"/>
              </w:rPr>
              <w:t>Gestión Financiera</w:t>
            </w:r>
          </w:p>
        </w:tc>
        <w:tc>
          <w:tcPr>
            <w:tcW w:w="1170" w:type="dxa"/>
            <w:tcBorders>
              <w:top w:val="nil"/>
              <w:left w:val="nil"/>
              <w:bottom w:val="single" w:sz="4" w:space="0" w:color="auto"/>
              <w:right w:val="single" w:sz="4" w:space="0" w:color="auto"/>
            </w:tcBorders>
            <w:shd w:val="clear" w:color="000000" w:fill="D8D8D8"/>
            <w:noWrap/>
            <w:hideMark/>
          </w:tcPr>
          <w:p w:rsidR="00517A95" w:rsidRPr="00600ED9" w:rsidRDefault="008461E3" w:rsidP="00FB1954">
            <w:pPr>
              <w:pStyle w:val="NoSpacing"/>
              <w:jc w:val="center"/>
              <w:rPr>
                <w:b/>
                <w:bCs/>
                <w:w w:val="90"/>
                <w:sz w:val="20"/>
                <w:lang w:val="es-ES_tradnl"/>
              </w:rPr>
            </w:pPr>
            <w:r w:rsidRPr="00600ED9">
              <w:rPr>
                <w:b/>
                <w:bCs/>
                <w:w w:val="90"/>
                <w:sz w:val="20"/>
                <w:lang w:val="es-ES_tradnl"/>
              </w:rPr>
              <w:t>(iv)</w:t>
            </w:r>
          </w:p>
          <w:p w:rsidR="00E20251" w:rsidRPr="00600ED9" w:rsidRDefault="00E20251" w:rsidP="00FB1954">
            <w:pPr>
              <w:pStyle w:val="NoSpacing"/>
              <w:jc w:val="center"/>
              <w:rPr>
                <w:b/>
                <w:bCs/>
                <w:w w:val="90"/>
                <w:sz w:val="20"/>
                <w:lang w:val="es-ES_tradnl"/>
              </w:rPr>
            </w:pPr>
            <w:r w:rsidRPr="00600ED9">
              <w:rPr>
                <w:w w:val="90"/>
                <w:sz w:val="20"/>
                <w:lang w:val="es-ES_tradnl"/>
              </w:rPr>
              <w:t>Entorno del Control Interno</w:t>
            </w:r>
          </w:p>
        </w:tc>
        <w:tc>
          <w:tcPr>
            <w:tcW w:w="175" w:type="dxa"/>
            <w:tcBorders>
              <w:top w:val="nil"/>
              <w:left w:val="nil"/>
              <w:bottom w:val="nil"/>
              <w:right w:val="nil"/>
            </w:tcBorders>
            <w:shd w:val="clear" w:color="auto" w:fill="auto"/>
            <w:noWrap/>
            <w:hideMark/>
          </w:tcPr>
          <w:p w:rsidR="00E20251" w:rsidRPr="00600ED9" w:rsidRDefault="00E20251" w:rsidP="00FB1954">
            <w:pPr>
              <w:pStyle w:val="NoSpacing"/>
              <w:tabs>
                <w:tab w:val="center" w:pos="4680"/>
                <w:tab w:val="right" w:pos="9360"/>
              </w:tabs>
              <w:jc w:val="center"/>
              <w:rPr>
                <w:sz w:val="20"/>
                <w:lang w:val="es-ES_tradnl"/>
              </w:rPr>
            </w:pPr>
          </w:p>
        </w:tc>
        <w:tc>
          <w:tcPr>
            <w:tcW w:w="1085" w:type="dxa"/>
            <w:vMerge/>
            <w:tcBorders>
              <w:top w:val="single" w:sz="4" w:space="0" w:color="auto"/>
              <w:left w:val="single" w:sz="4" w:space="0" w:color="auto"/>
              <w:bottom w:val="single" w:sz="4" w:space="0" w:color="auto"/>
              <w:right w:val="single" w:sz="4" w:space="0" w:color="auto"/>
            </w:tcBorders>
            <w:hideMark/>
          </w:tcPr>
          <w:p w:rsidR="00E20251" w:rsidRPr="00600ED9" w:rsidRDefault="00E20251" w:rsidP="00FB1954">
            <w:pPr>
              <w:pStyle w:val="NoSpacing"/>
              <w:tabs>
                <w:tab w:val="center" w:pos="4680"/>
                <w:tab w:val="right" w:pos="9360"/>
              </w:tabs>
              <w:jc w:val="center"/>
              <w:rPr>
                <w:b/>
                <w:bCs/>
                <w:sz w:val="20"/>
                <w:lang w:val="es-ES_tradnl"/>
              </w:rPr>
            </w:pPr>
          </w:p>
        </w:tc>
      </w:tr>
      <w:tr w:rsidR="00E20251" w:rsidRPr="00600ED9" w:rsidTr="004827B1">
        <w:trPr>
          <w:trHeight w:val="510"/>
        </w:trPr>
        <w:tc>
          <w:tcPr>
            <w:tcW w:w="2560" w:type="dxa"/>
            <w:tcBorders>
              <w:top w:val="nil"/>
              <w:left w:val="single" w:sz="4" w:space="0" w:color="auto"/>
              <w:bottom w:val="single" w:sz="4" w:space="0" w:color="auto"/>
              <w:right w:val="single" w:sz="4" w:space="0" w:color="auto"/>
            </w:tcBorders>
            <w:shd w:val="clear" w:color="auto" w:fill="auto"/>
            <w:vAlign w:val="center"/>
            <w:hideMark/>
          </w:tcPr>
          <w:p w:rsidR="00E20251" w:rsidRPr="00600ED9" w:rsidRDefault="00E20251" w:rsidP="00FB1954">
            <w:pPr>
              <w:pStyle w:val="NoSpacing"/>
              <w:jc w:val="center"/>
              <w:rPr>
                <w:b/>
                <w:bCs/>
                <w:sz w:val="20"/>
                <w:lang w:val="es-ES_tradnl"/>
              </w:rPr>
            </w:pPr>
            <w:r w:rsidRPr="00600ED9">
              <w:rPr>
                <w:rFonts w:eastAsia="Calibri" w:cs="Times New Roman"/>
                <w:b/>
                <w:sz w:val="20"/>
                <w:lang w:val="es-ES_tradnl"/>
              </w:rPr>
              <w:t>EFS 18 – Ética, Gestión y Control Interno</w:t>
            </w:r>
          </w:p>
        </w:tc>
        <w:tc>
          <w:tcPr>
            <w:tcW w:w="1040" w:type="dxa"/>
            <w:tcBorders>
              <w:top w:val="nil"/>
              <w:left w:val="nil"/>
              <w:bottom w:val="single" w:sz="4" w:space="0" w:color="auto"/>
              <w:right w:val="single" w:sz="4" w:space="0" w:color="auto"/>
            </w:tcBorders>
            <w:shd w:val="clear" w:color="auto" w:fill="auto"/>
            <w:noWrap/>
            <w:vAlign w:val="center"/>
          </w:tcPr>
          <w:p w:rsidR="00E20251" w:rsidRPr="00600ED9" w:rsidRDefault="00E20251" w:rsidP="00FB1954">
            <w:pPr>
              <w:pStyle w:val="NoSpacing"/>
              <w:jc w:val="center"/>
              <w:rPr>
                <w:b/>
                <w:bCs/>
                <w:sz w:val="20"/>
                <w:lang w:val="es-ES_tradnl"/>
              </w:rPr>
            </w:pPr>
            <w:r w:rsidRPr="00600ED9">
              <w:rPr>
                <w:b/>
                <w:bCs/>
                <w:sz w:val="20"/>
                <w:lang w:val="es-ES_tradnl"/>
              </w:rPr>
              <w:t>2</w:t>
            </w:r>
          </w:p>
        </w:tc>
        <w:tc>
          <w:tcPr>
            <w:tcW w:w="900" w:type="dxa"/>
            <w:tcBorders>
              <w:top w:val="nil"/>
              <w:left w:val="nil"/>
              <w:bottom w:val="single" w:sz="4" w:space="0" w:color="auto"/>
              <w:right w:val="single" w:sz="4" w:space="0" w:color="auto"/>
            </w:tcBorders>
            <w:shd w:val="clear" w:color="auto" w:fill="auto"/>
            <w:noWrap/>
            <w:vAlign w:val="center"/>
          </w:tcPr>
          <w:p w:rsidR="00E20251" w:rsidRPr="00600ED9" w:rsidRDefault="00E20251" w:rsidP="00FB1954">
            <w:pPr>
              <w:pStyle w:val="NoSpacing"/>
              <w:jc w:val="center"/>
              <w:rPr>
                <w:b/>
                <w:bCs/>
                <w:sz w:val="20"/>
                <w:lang w:val="es-ES_tradnl"/>
              </w:rPr>
            </w:pPr>
            <w:r w:rsidRPr="00600ED9">
              <w:rPr>
                <w:b/>
                <w:bCs/>
                <w:sz w:val="20"/>
                <w:lang w:val="es-ES_tradnl"/>
              </w:rPr>
              <w:t>2</w:t>
            </w:r>
          </w:p>
        </w:tc>
        <w:tc>
          <w:tcPr>
            <w:tcW w:w="900" w:type="dxa"/>
            <w:tcBorders>
              <w:top w:val="nil"/>
              <w:left w:val="nil"/>
              <w:bottom w:val="single" w:sz="4" w:space="0" w:color="auto"/>
              <w:right w:val="single" w:sz="4" w:space="0" w:color="auto"/>
            </w:tcBorders>
            <w:shd w:val="clear" w:color="auto" w:fill="auto"/>
            <w:noWrap/>
            <w:vAlign w:val="center"/>
          </w:tcPr>
          <w:p w:rsidR="00E20251" w:rsidRPr="00600ED9" w:rsidRDefault="00E20251" w:rsidP="00FB1954">
            <w:pPr>
              <w:pStyle w:val="NoSpacing"/>
              <w:jc w:val="center"/>
              <w:rPr>
                <w:b/>
                <w:bCs/>
                <w:sz w:val="20"/>
                <w:lang w:val="es-ES_tradnl"/>
              </w:rPr>
            </w:pPr>
            <w:r w:rsidRPr="00600ED9">
              <w:rPr>
                <w:b/>
                <w:bCs/>
                <w:sz w:val="20"/>
                <w:lang w:val="es-ES_tradnl"/>
              </w:rPr>
              <w:t>4</w:t>
            </w:r>
          </w:p>
        </w:tc>
        <w:tc>
          <w:tcPr>
            <w:tcW w:w="1170" w:type="dxa"/>
            <w:tcBorders>
              <w:top w:val="nil"/>
              <w:left w:val="nil"/>
              <w:bottom w:val="single" w:sz="4" w:space="0" w:color="auto"/>
              <w:right w:val="single" w:sz="4" w:space="0" w:color="auto"/>
            </w:tcBorders>
            <w:shd w:val="clear" w:color="auto" w:fill="auto"/>
            <w:noWrap/>
            <w:vAlign w:val="center"/>
          </w:tcPr>
          <w:p w:rsidR="00E20251" w:rsidRPr="00600ED9" w:rsidRDefault="00E20251" w:rsidP="00FB1954">
            <w:pPr>
              <w:pStyle w:val="NoSpacing"/>
              <w:jc w:val="center"/>
              <w:rPr>
                <w:b/>
                <w:bCs/>
                <w:sz w:val="20"/>
                <w:lang w:val="es-ES_tradnl"/>
              </w:rPr>
            </w:pPr>
            <w:r w:rsidRPr="00600ED9">
              <w:rPr>
                <w:b/>
                <w:bCs/>
                <w:sz w:val="20"/>
                <w:lang w:val="es-ES_tradnl"/>
              </w:rPr>
              <w:t>1</w:t>
            </w:r>
          </w:p>
        </w:tc>
        <w:tc>
          <w:tcPr>
            <w:tcW w:w="175" w:type="dxa"/>
            <w:tcBorders>
              <w:top w:val="nil"/>
              <w:left w:val="nil"/>
              <w:bottom w:val="nil"/>
              <w:right w:val="nil"/>
            </w:tcBorders>
            <w:shd w:val="clear" w:color="auto" w:fill="auto"/>
            <w:noWrap/>
            <w:vAlign w:val="bottom"/>
          </w:tcPr>
          <w:p w:rsidR="00E20251" w:rsidRPr="00600ED9" w:rsidRDefault="00E20251" w:rsidP="00FB1954">
            <w:pPr>
              <w:pStyle w:val="NoSpacing"/>
              <w:tabs>
                <w:tab w:val="center" w:pos="4680"/>
                <w:tab w:val="right" w:pos="9360"/>
              </w:tabs>
              <w:jc w:val="center"/>
              <w:rPr>
                <w:sz w:val="20"/>
                <w:lang w:val="es-ES_tradnl"/>
              </w:rPr>
            </w:pPr>
          </w:p>
        </w:tc>
        <w:tc>
          <w:tcPr>
            <w:tcW w:w="1085" w:type="dxa"/>
            <w:tcBorders>
              <w:top w:val="nil"/>
              <w:left w:val="single" w:sz="4" w:space="0" w:color="auto"/>
              <w:bottom w:val="single" w:sz="4" w:space="0" w:color="auto"/>
              <w:right w:val="single" w:sz="4" w:space="0" w:color="auto"/>
            </w:tcBorders>
            <w:shd w:val="clear" w:color="auto" w:fill="auto"/>
            <w:noWrap/>
            <w:vAlign w:val="center"/>
          </w:tcPr>
          <w:p w:rsidR="00E20251" w:rsidRPr="00600ED9" w:rsidRDefault="00E20251" w:rsidP="00FB1954">
            <w:pPr>
              <w:pStyle w:val="NoSpacing"/>
              <w:jc w:val="center"/>
              <w:rPr>
                <w:b/>
                <w:sz w:val="20"/>
                <w:lang w:val="es-ES_tradnl"/>
              </w:rPr>
            </w:pPr>
            <w:r w:rsidRPr="00600ED9">
              <w:rPr>
                <w:b/>
                <w:sz w:val="20"/>
                <w:lang w:val="es-ES_tradnl"/>
              </w:rPr>
              <w:t>2</w:t>
            </w:r>
          </w:p>
        </w:tc>
      </w:tr>
    </w:tbl>
    <w:p w:rsidR="009825CF" w:rsidRPr="00600ED9" w:rsidRDefault="009825CF" w:rsidP="00E622DF">
      <w:pPr>
        <w:pStyle w:val="NoSpacing"/>
        <w:rPr>
          <w:b/>
          <w:sz w:val="20"/>
          <w:lang w:val="es-ES_tradnl"/>
        </w:rPr>
      </w:pPr>
    </w:p>
    <w:p w:rsidR="00E20251" w:rsidRPr="00600ED9" w:rsidRDefault="00E20251" w:rsidP="00FB1954">
      <w:pPr>
        <w:pStyle w:val="NoSpacing"/>
        <w:ind w:left="720"/>
        <w:jc w:val="both"/>
        <w:rPr>
          <w:szCs w:val="20"/>
          <w:lang w:val="es-ES_tradnl"/>
        </w:rPr>
      </w:pPr>
      <w:r w:rsidRPr="00600ED9">
        <w:rPr>
          <w:szCs w:val="20"/>
          <w:lang w:val="es-ES_tradnl"/>
        </w:rPr>
        <w:t xml:space="preserve">La </w:t>
      </w:r>
      <w:r w:rsidR="00431CA4" w:rsidRPr="00600ED9">
        <w:rPr>
          <w:szCs w:val="20"/>
          <w:lang w:val="es-ES_tradnl"/>
        </w:rPr>
        <w:t>CGRC</w:t>
      </w:r>
      <w:r w:rsidRPr="00600ED9">
        <w:rPr>
          <w:szCs w:val="20"/>
          <w:lang w:val="es-ES_tradnl"/>
        </w:rPr>
        <w:t xml:space="preserve"> ha desarrollado estrategias e implementado parcialmente políticas en aspectos como la ética, y la gestión y el control interno en general.</w:t>
      </w:r>
    </w:p>
    <w:p w:rsidR="00E20251" w:rsidRPr="00600ED9" w:rsidRDefault="00E20251" w:rsidP="00FB1954">
      <w:pPr>
        <w:pStyle w:val="NoSpacing"/>
        <w:ind w:left="720"/>
        <w:jc w:val="both"/>
        <w:rPr>
          <w:szCs w:val="20"/>
          <w:lang w:val="es-ES_tradnl"/>
        </w:rPr>
      </w:pPr>
    </w:p>
    <w:p w:rsidR="00E20251" w:rsidRPr="00600ED9" w:rsidRDefault="00E20251" w:rsidP="00FB1954">
      <w:pPr>
        <w:pStyle w:val="NoSpacing"/>
        <w:ind w:left="720"/>
        <w:jc w:val="both"/>
        <w:rPr>
          <w:szCs w:val="20"/>
          <w:lang w:val="es-ES_tradnl"/>
        </w:rPr>
      </w:pPr>
      <w:r w:rsidRPr="00600ED9">
        <w:rPr>
          <w:szCs w:val="20"/>
          <w:lang w:val="es-ES_tradnl"/>
        </w:rPr>
        <w:t>La administración del Código de Ética de la Contraloría (CE-</w:t>
      </w:r>
      <w:r w:rsidR="00431CA4" w:rsidRPr="00600ED9">
        <w:rPr>
          <w:szCs w:val="20"/>
          <w:lang w:val="es-ES_tradnl"/>
        </w:rPr>
        <w:t>CGRC</w:t>
      </w:r>
      <w:r w:rsidRPr="00600ED9">
        <w:rPr>
          <w:szCs w:val="20"/>
          <w:lang w:val="es-ES_tradnl"/>
        </w:rPr>
        <w:t>) no ha incorporado requerimientos de actualización, a partir de lecciones aprendidas, las necesidades cambiantes del comportamiento del personal y las influencias del entorno institucional. Esta actualización se podría apoyar en instrumentos que monitoreen el cumplimiento anual con el CE-</w:t>
      </w:r>
      <w:r w:rsidR="00431CA4" w:rsidRPr="00600ED9">
        <w:rPr>
          <w:szCs w:val="20"/>
          <w:lang w:val="es-ES_tradnl"/>
        </w:rPr>
        <w:t>CGRC</w:t>
      </w:r>
      <w:r w:rsidRPr="00600ED9">
        <w:rPr>
          <w:szCs w:val="20"/>
          <w:lang w:val="es-ES_tradnl"/>
        </w:rPr>
        <w:t xml:space="preserve"> y que actualmente no están disponibles. Igualmente, está pendiente la implementación de actividades específicas de inducción, socialización y validación del conocimiento y entendimiento del CE-</w:t>
      </w:r>
      <w:r w:rsidR="00431CA4" w:rsidRPr="00600ED9">
        <w:rPr>
          <w:szCs w:val="20"/>
          <w:lang w:val="es-ES_tradnl"/>
        </w:rPr>
        <w:t>CGRC</w:t>
      </w:r>
      <w:r w:rsidRPr="00600ED9">
        <w:rPr>
          <w:szCs w:val="20"/>
          <w:lang w:val="es-ES_tradnl"/>
        </w:rPr>
        <w:t xml:space="preserve"> por parte de los funcionarios de la </w:t>
      </w:r>
      <w:r w:rsidR="00431CA4" w:rsidRPr="00600ED9">
        <w:rPr>
          <w:szCs w:val="20"/>
          <w:lang w:val="es-ES_tradnl"/>
        </w:rPr>
        <w:t>CGRC</w:t>
      </w:r>
      <w:r w:rsidRPr="00600ED9">
        <w:rPr>
          <w:szCs w:val="20"/>
          <w:lang w:val="es-ES_tradnl"/>
        </w:rPr>
        <w:t xml:space="preserve"> y de hacer visible públicamente tanto el Código de Ética como los resultados de su aplicación. </w:t>
      </w:r>
    </w:p>
    <w:p w:rsidR="00E20251" w:rsidRPr="00600ED9" w:rsidRDefault="00E20251" w:rsidP="00FB1954">
      <w:pPr>
        <w:pStyle w:val="NoSpacing"/>
        <w:ind w:left="720"/>
        <w:jc w:val="both"/>
        <w:rPr>
          <w:szCs w:val="20"/>
          <w:lang w:val="es-ES_tradnl"/>
        </w:rPr>
      </w:pPr>
    </w:p>
    <w:p w:rsidR="00A57342" w:rsidRPr="00600ED9" w:rsidRDefault="00E20251" w:rsidP="00FB1954">
      <w:pPr>
        <w:pStyle w:val="NoSpacing"/>
        <w:ind w:left="720"/>
        <w:jc w:val="both"/>
        <w:rPr>
          <w:szCs w:val="20"/>
          <w:lang w:val="es-ES_tradnl"/>
        </w:rPr>
      </w:pPr>
      <w:r w:rsidRPr="00600ED9">
        <w:rPr>
          <w:szCs w:val="20"/>
          <w:lang w:val="es-ES_tradnl"/>
        </w:rPr>
        <w:t xml:space="preserve">En lo que corresponde a la gestión del personal de la </w:t>
      </w:r>
      <w:r w:rsidR="00431CA4" w:rsidRPr="00600ED9">
        <w:rPr>
          <w:szCs w:val="20"/>
          <w:lang w:val="es-ES_tradnl"/>
        </w:rPr>
        <w:t>CGRC</w:t>
      </w:r>
      <w:r w:rsidRPr="00600ED9">
        <w:rPr>
          <w:szCs w:val="20"/>
          <w:lang w:val="es-ES_tradnl"/>
        </w:rPr>
        <w:t>, existen tareas pendientes, tales como: 1) establecer un sistema de rotación del personal basado en la política de prevención de conflictos de interés y promoción del personal; 2) adoptar sistemas funcionales para el registro del tiempo y de costos para facilitar la medición de la eficiencia de los recursos disponibles; y 3) actualizar el sistema de control de calidad.</w:t>
      </w:r>
    </w:p>
    <w:p w:rsidR="00A57342" w:rsidRPr="00600ED9" w:rsidRDefault="00A57342" w:rsidP="00FB1954">
      <w:pPr>
        <w:pStyle w:val="NoSpacing"/>
        <w:ind w:left="720"/>
        <w:jc w:val="both"/>
        <w:rPr>
          <w:szCs w:val="20"/>
          <w:lang w:val="es-ES_tradnl"/>
        </w:rPr>
      </w:pPr>
    </w:p>
    <w:p w:rsidR="00E20251" w:rsidRPr="00600ED9" w:rsidRDefault="00E20251" w:rsidP="00FB1954">
      <w:pPr>
        <w:pStyle w:val="NoSpacing"/>
        <w:ind w:left="720"/>
        <w:jc w:val="both"/>
        <w:rPr>
          <w:szCs w:val="20"/>
          <w:lang w:val="es-ES_tradnl"/>
        </w:rPr>
      </w:pPr>
      <w:r w:rsidRPr="00600ED9">
        <w:rPr>
          <w:szCs w:val="20"/>
          <w:lang w:val="es-ES_tradnl"/>
        </w:rPr>
        <w:t xml:space="preserve">Las políticas y </w:t>
      </w:r>
      <w:r w:rsidR="000D37A0" w:rsidRPr="00600ED9">
        <w:rPr>
          <w:szCs w:val="20"/>
          <w:lang w:val="es-ES_tradnl"/>
        </w:rPr>
        <w:t xml:space="preserve">los </w:t>
      </w:r>
      <w:r w:rsidRPr="00600ED9">
        <w:rPr>
          <w:szCs w:val="20"/>
          <w:lang w:val="es-ES_tradnl"/>
        </w:rPr>
        <w:t>procedimientos de control interno de la</w:t>
      </w:r>
      <w:r w:rsidR="008C0329" w:rsidRPr="00600ED9">
        <w:rPr>
          <w:szCs w:val="20"/>
          <w:lang w:val="es-ES_tradnl"/>
        </w:rPr>
        <w:t xml:space="preserve"> </w:t>
      </w:r>
      <w:r w:rsidR="00431CA4" w:rsidRPr="00600ED9">
        <w:rPr>
          <w:szCs w:val="20"/>
          <w:lang w:val="es-ES_tradnl"/>
        </w:rPr>
        <w:t>CGRC</w:t>
      </w:r>
      <w:r w:rsidR="008C0329" w:rsidRPr="00600ED9">
        <w:rPr>
          <w:szCs w:val="20"/>
          <w:lang w:val="es-ES_tradnl"/>
        </w:rPr>
        <w:t xml:space="preserve"> requieren ser actualizadas</w:t>
      </w:r>
      <w:r w:rsidRPr="00600ED9">
        <w:rPr>
          <w:szCs w:val="20"/>
          <w:lang w:val="es-ES_tradnl"/>
        </w:rPr>
        <w:t xml:space="preserve"> para incorporar procedimientos para la recepción y trámite de denuncias de los empleados sobre presuntas violaciones a la reglamentación, así como el seguimiento a la implementación de recomendaciones derivadas de los informes de auditoría interna. </w:t>
      </w:r>
      <w:r w:rsidR="0084699A" w:rsidRPr="00600ED9">
        <w:rPr>
          <w:szCs w:val="20"/>
          <w:lang w:val="es-ES_tradnl"/>
        </w:rPr>
        <w:t xml:space="preserve"> </w:t>
      </w:r>
      <w:r w:rsidRPr="00600ED9">
        <w:rPr>
          <w:szCs w:val="20"/>
          <w:lang w:val="es-ES_tradnl"/>
        </w:rPr>
        <w:t xml:space="preserve">Adicionalmente, es importante lograr que en el Informe </w:t>
      </w:r>
      <w:r w:rsidR="003D7091" w:rsidRPr="00600ED9">
        <w:rPr>
          <w:szCs w:val="20"/>
          <w:lang w:val="es-ES_tradnl"/>
        </w:rPr>
        <w:t>A</w:t>
      </w:r>
      <w:r w:rsidRPr="00600ED9">
        <w:rPr>
          <w:szCs w:val="20"/>
          <w:lang w:val="es-ES_tradnl"/>
        </w:rPr>
        <w:t>nual de Gestión al Congreso, se incluya información sobre el estado y funcionamiento del sistema de control interno institucional.</w:t>
      </w:r>
    </w:p>
    <w:p w:rsidR="00E20251" w:rsidRPr="00600ED9" w:rsidRDefault="00E20251" w:rsidP="00FB1954">
      <w:pPr>
        <w:pStyle w:val="NoSpacing"/>
        <w:ind w:left="720"/>
        <w:jc w:val="both"/>
        <w:rPr>
          <w:szCs w:val="20"/>
          <w:lang w:val="es-ES_tradnl"/>
        </w:rPr>
      </w:pPr>
    </w:p>
    <w:p w:rsidR="00E20251" w:rsidRPr="00600ED9" w:rsidRDefault="00E20251" w:rsidP="00FB1954">
      <w:pPr>
        <w:pStyle w:val="NoSpacing"/>
        <w:ind w:left="720"/>
        <w:jc w:val="both"/>
        <w:rPr>
          <w:szCs w:val="20"/>
          <w:lang w:val="es-ES_tradnl"/>
        </w:rPr>
      </w:pPr>
      <w:r w:rsidRPr="00600ED9">
        <w:rPr>
          <w:szCs w:val="20"/>
          <w:lang w:val="es-ES_tradnl"/>
        </w:rPr>
        <w:t xml:space="preserve">La gestión financiera exige que se atiendan sus necesidades de personal y de tecnología.  Igualmente, se deben incluir en los planes de mejoramiento, acciones para remover los factores que han ocasionado  “salvedades” a los Estados Financieros de la </w:t>
      </w:r>
      <w:r w:rsidR="00431CA4" w:rsidRPr="00600ED9">
        <w:rPr>
          <w:szCs w:val="20"/>
          <w:lang w:val="es-ES_tradnl"/>
        </w:rPr>
        <w:t>CGRC</w:t>
      </w:r>
      <w:r w:rsidRPr="00600ED9">
        <w:rPr>
          <w:szCs w:val="20"/>
          <w:lang w:val="es-ES_tradnl"/>
        </w:rPr>
        <w:t xml:space="preserve">.  </w:t>
      </w:r>
    </w:p>
    <w:p w:rsidR="00E20251" w:rsidRPr="00600ED9" w:rsidRDefault="00E20251" w:rsidP="00FB1954">
      <w:pPr>
        <w:pStyle w:val="NoSpacing"/>
        <w:ind w:left="720"/>
        <w:jc w:val="both"/>
        <w:rPr>
          <w:szCs w:val="20"/>
          <w:lang w:val="es-ES_tradnl"/>
        </w:rPr>
      </w:pPr>
    </w:p>
    <w:p w:rsidR="00E20251" w:rsidRPr="00600ED9" w:rsidRDefault="00E20251" w:rsidP="00FB1954">
      <w:pPr>
        <w:pStyle w:val="NoSpacing"/>
        <w:ind w:left="720"/>
        <w:jc w:val="both"/>
        <w:rPr>
          <w:szCs w:val="20"/>
          <w:lang w:val="es-ES_tradnl"/>
        </w:rPr>
      </w:pPr>
      <w:r w:rsidRPr="00600ED9">
        <w:rPr>
          <w:szCs w:val="20"/>
          <w:lang w:val="es-ES_tradnl"/>
        </w:rPr>
        <w:t xml:space="preserve">En cuanto a las políticas de seguridad informática, estas deben actualizarse para reconocer los cambios y nuevos riesgos. </w:t>
      </w:r>
    </w:p>
    <w:p w:rsidR="00E20251" w:rsidRPr="00600ED9" w:rsidRDefault="00E20251" w:rsidP="00FB1954">
      <w:pPr>
        <w:pStyle w:val="NoSpacing"/>
        <w:ind w:left="720"/>
        <w:jc w:val="both"/>
        <w:rPr>
          <w:szCs w:val="20"/>
          <w:lang w:val="es-ES_tradnl"/>
        </w:rPr>
      </w:pPr>
    </w:p>
    <w:p w:rsidR="00E20251" w:rsidRPr="00600ED9" w:rsidRDefault="00E20251" w:rsidP="00FB1954">
      <w:pPr>
        <w:pStyle w:val="NoSpacing"/>
        <w:ind w:left="720"/>
        <w:jc w:val="both"/>
        <w:rPr>
          <w:szCs w:val="20"/>
          <w:lang w:val="es-ES_tradnl"/>
        </w:rPr>
      </w:pPr>
      <w:r w:rsidRPr="00600ED9">
        <w:rPr>
          <w:szCs w:val="20"/>
          <w:lang w:val="es-ES_tradnl"/>
        </w:rPr>
        <w:t xml:space="preserve">Con respecto a la gestión de riesgos, está pendiente el implantar un medio a través del cual se informe periódicamente sobre los avances en este componente, de tal forma que los mapas de riesgo y los planes de gestión no se conviertan simplemente en un requisito, sino que constituyan herramientas valiosas para la </w:t>
      </w:r>
      <w:r w:rsidR="00431CA4" w:rsidRPr="00600ED9">
        <w:rPr>
          <w:szCs w:val="20"/>
          <w:lang w:val="es-ES_tradnl"/>
        </w:rPr>
        <w:t>CGRC</w:t>
      </w:r>
      <w:r w:rsidRPr="00600ED9">
        <w:rPr>
          <w:szCs w:val="20"/>
          <w:lang w:val="es-ES_tradnl"/>
        </w:rPr>
        <w:t xml:space="preserve">.   </w:t>
      </w:r>
    </w:p>
    <w:p w:rsidR="00E20251" w:rsidRPr="00600ED9" w:rsidRDefault="00E20251" w:rsidP="00FB1954">
      <w:pPr>
        <w:pStyle w:val="NoSpacing"/>
        <w:ind w:left="720"/>
        <w:jc w:val="both"/>
        <w:rPr>
          <w:szCs w:val="20"/>
          <w:lang w:val="es-ES_tradnl"/>
        </w:rPr>
      </w:pPr>
    </w:p>
    <w:p w:rsidR="00167E50" w:rsidRPr="00600ED9" w:rsidRDefault="00E20251" w:rsidP="00FB1954">
      <w:pPr>
        <w:pStyle w:val="NoSpacing"/>
        <w:ind w:left="720"/>
        <w:jc w:val="both"/>
        <w:rPr>
          <w:szCs w:val="20"/>
          <w:lang w:val="es-ES_tradnl"/>
        </w:rPr>
      </w:pPr>
      <w:r w:rsidRPr="00600ED9">
        <w:rPr>
          <w:szCs w:val="20"/>
          <w:lang w:val="es-ES_tradnl"/>
        </w:rPr>
        <w:t>Finalmente, debe implementarse la obligatoriedad de que la Oficina de Control Interno (OCI) someta sus informes al Comité de Coordinación de Control Interno, como una forma de preservar su independencia de las áreas auditadas y favorecer la agilidad en la asimilación de sus recomendaciones</w:t>
      </w:r>
      <w:r w:rsidR="007C6A73" w:rsidRPr="00600ED9">
        <w:rPr>
          <w:szCs w:val="20"/>
          <w:lang w:val="es-ES_tradnl"/>
        </w:rPr>
        <w:t>.</w:t>
      </w:r>
    </w:p>
    <w:tbl>
      <w:tblPr>
        <w:tblStyle w:val="TableGrid"/>
        <w:tblW w:w="9356" w:type="dxa"/>
        <w:tblInd w:w="817" w:type="dxa"/>
        <w:tblLook w:val="04A0" w:firstRow="1" w:lastRow="0" w:firstColumn="1" w:lastColumn="0" w:noHBand="0" w:noVBand="1"/>
      </w:tblPr>
      <w:tblGrid>
        <w:gridCol w:w="9356"/>
      </w:tblGrid>
      <w:tr w:rsidR="003E0106" w:rsidRPr="00600ED9" w:rsidTr="00A57342">
        <w:trPr>
          <w:tblHeader/>
        </w:trPr>
        <w:tc>
          <w:tcPr>
            <w:tcW w:w="9356" w:type="dxa"/>
            <w:shd w:val="clear" w:color="auto" w:fill="365F91" w:themeFill="accent1" w:themeFillShade="BF"/>
          </w:tcPr>
          <w:p w:rsidR="003E0106" w:rsidRPr="00600ED9" w:rsidRDefault="003E0106" w:rsidP="00FB1954">
            <w:pPr>
              <w:pStyle w:val="NoSpacing"/>
              <w:rPr>
                <w:b/>
                <w:color w:val="FFFFFF" w:themeColor="background1"/>
                <w:sz w:val="20"/>
                <w:szCs w:val="20"/>
                <w:lang w:val="es-ES_tradnl"/>
              </w:rPr>
            </w:pPr>
            <w:r w:rsidRPr="00600ED9">
              <w:rPr>
                <w:b/>
                <w:color w:val="FFFFFF" w:themeColor="background1"/>
                <w:sz w:val="20"/>
                <w:szCs w:val="20"/>
                <w:lang w:val="es-ES_tradnl"/>
              </w:rPr>
              <w:lastRenderedPageBreak/>
              <w:t>Principales observaciones y conclusiones</w:t>
            </w:r>
          </w:p>
        </w:tc>
      </w:tr>
      <w:tr w:rsidR="003E0106" w:rsidRPr="00233205" w:rsidTr="00A57342">
        <w:tc>
          <w:tcPr>
            <w:tcW w:w="9356" w:type="dxa"/>
            <w:shd w:val="clear" w:color="auto" w:fill="D9D9D9" w:themeFill="background1" w:themeFillShade="D9"/>
          </w:tcPr>
          <w:p w:rsidR="003E0106" w:rsidRPr="004F42B9" w:rsidRDefault="003E0106" w:rsidP="00FB1954">
            <w:pPr>
              <w:pStyle w:val="NoSpacing"/>
              <w:rPr>
                <w:b/>
                <w:i/>
                <w:sz w:val="20"/>
                <w:szCs w:val="20"/>
                <w:lang w:val="pt-BR"/>
              </w:rPr>
            </w:pPr>
            <w:proofErr w:type="spellStart"/>
            <w:r w:rsidRPr="004F42B9">
              <w:rPr>
                <w:b/>
                <w:i/>
                <w:sz w:val="20"/>
                <w:szCs w:val="20"/>
                <w:lang w:val="pt-BR"/>
              </w:rPr>
              <w:t>Dimensión</w:t>
            </w:r>
            <w:proofErr w:type="spellEnd"/>
            <w:r w:rsidRPr="004F42B9">
              <w:rPr>
                <w:b/>
                <w:i/>
                <w:sz w:val="20"/>
                <w:szCs w:val="20"/>
                <w:lang w:val="pt-BR"/>
              </w:rPr>
              <w:t xml:space="preserve"> (i) Código de ética e </w:t>
            </w:r>
            <w:proofErr w:type="spellStart"/>
            <w:r w:rsidRPr="004F42B9">
              <w:rPr>
                <w:b/>
                <w:i/>
                <w:sz w:val="20"/>
                <w:szCs w:val="20"/>
                <w:lang w:val="pt-BR"/>
              </w:rPr>
              <w:t>integridad</w:t>
            </w:r>
            <w:proofErr w:type="spellEnd"/>
          </w:p>
        </w:tc>
      </w:tr>
      <w:tr w:rsidR="003E0106" w:rsidRPr="00600ED9" w:rsidTr="00A57342">
        <w:trPr>
          <w:trHeight w:val="381"/>
        </w:trPr>
        <w:tc>
          <w:tcPr>
            <w:tcW w:w="9356" w:type="dxa"/>
            <w:shd w:val="clear" w:color="auto" w:fill="D9D9D9" w:themeFill="background1" w:themeFillShade="D9"/>
          </w:tcPr>
          <w:p w:rsidR="003E0106" w:rsidRPr="00600ED9" w:rsidRDefault="003E0106" w:rsidP="00FB1954">
            <w:pPr>
              <w:pStyle w:val="NoSpacing"/>
              <w:rPr>
                <w:i/>
                <w:sz w:val="20"/>
                <w:szCs w:val="20"/>
                <w:lang w:val="es-ES_tradnl"/>
              </w:rPr>
            </w:pPr>
            <w:r w:rsidRPr="00600ED9">
              <w:rPr>
                <w:rFonts w:cs="Calibri"/>
                <w:b/>
                <w:i/>
                <w:sz w:val="20"/>
                <w:szCs w:val="20"/>
                <w:lang w:val="es-ES_tradnl"/>
              </w:rPr>
              <w:t>Puntuación 2</w:t>
            </w:r>
            <w:r w:rsidRPr="00600ED9">
              <w:rPr>
                <w:rFonts w:cs="Calibri"/>
                <w:i/>
                <w:sz w:val="20"/>
                <w:szCs w:val="20"/>
                <w:lang w:val="es-ES_tradnl"/>
              </w:rPr>
              <w:t>: La EFS cuenta con un código de ética  y al menos 3 de los demás criterios descritos están establecidos.</w:t>
            </w:r>
          </w:p>
        </w:tc>
      </w:tr>
      <w:tr w:rsidR="003E0106" w:rsidRPr="00600ED9" w:rsidTr="00A57342">
        <w:tc>
          <w:tcPr>
            <w:tcW w:w="9356" w:type="dxa"/>
          </w:tcPr>
          <w:p w:rsidR="003E0106" w:rsidRPr="00600ED9" w:rsidRDefault="003E0106" w:rsidP="00FB1954">
            <w:pPr>
              <w:pStyle w:val="NoSpacing"/>
              <w:jc w:val="both"/>
              <w:rPr>
                <w:sz w:val="20"/>
                <w:szCs w:val="20"/>
                <w:lang w:val="es-ES_tradnl"/>
              </w:rPr>
            </w:pPr>
            <w:r w:rsidRPr="00600ED9">
              <w:rPr>
                <w:sz w:val="20"/>
                <w:szCs w:val="20"/>
                <w:lang w:val="es-ES_tradnl"/>
              </w:rPr>
              <w:t xml:space="preserve">Criterios (a), (f), (g) y (h) se cumplen.  Criterios (b), (c), (d) y (e) no se cumplen. </w:t>
            </w:r>
          </w:p>
          <w:p w:rsidR="00E622DF" w:rsidRPr="00600ED9" w:rsidRDefault="00E622DF" w:rsidP="00FB1954">
            <w:pPr>
              <w:pStyle w:val="NoSpacing"/>
              <w:jc w:val="both"/>
              <w:rPr>
                <w:sz w:val="20"/>
                <w:szCs w:val="20"/>
                <w:lang w:val="es-ES_tradnl"/>
              </w:rPr>
            </w:pPr>
          </w:p>
          <w:p w:rsidR="003E0106" w:rsidRPr="00600ED9" w:rsidRDefault="003E0106" w:rsidP="00FB1954">
            <w:pPr>
              <w:pStyle w:val="NoSpacing"/>
              <w:jc w:val="both"/>
              <w:rPr>
                <w:rFonts w:cs="Arial"/>
                <w:sz w:val="20"/>
                <w:szCs w:val="20"/>
                <w:lang w:val="es-ES_tradnl"/>
              </w:rPr>
            </w:pPr>
            <w:r w:rsidRPr="00600ED9">
              <w:rPr>
                <w:sz w:val="20"/>
                <w:szCs w:val="20"/>
                <w:lang w:val="es-ES_tradnl"/>
              </w:rPr>
              <w:t>La CGRC dispone de un CE-CGRC</w:t>
            </w:r>
            <w:r w:rsidRPr="00600ED9">
              <w:rPr>
                <w:rStyle w:val="FootnoteReference"/>
                <w:sz w:val="20"/>
                <w:szCs w:val="20"/>
                <w:lang w:val="es-ES_tradnl"/>
              </w:rPr>
              <w:footnoteReference w:id="44"/>
            </w:r>
            <w:r w:rsidRPr="00600ED9">
              <w:rPr>
                <w:sz w:val="20"/>
                <w:szCs w:val="20"/>
                <w:lang w:val="es-ES_tradnl"/>
              </w:rPr>
              <w:t xml:space="preserve">, </w:t>
            </w:r>
            <w:r w:rsidRPr="00600ED9">
              <w:rPr>
                <w:rFonts w:cs="Arial"/>
                <w:sz w:val="20"/>
                <w:szCs w:val="20"/>
                <w:lang w:val="es-ES_tradnl"/>
              </w:rPr>
              <w:t xml:space="preserve">el cual establece los principios, valores y directrices éticas, que en concordancia con el Código de Buen Gobierno observan, en el ejercicio de sus funciones, los servidores públicos de la entidad. Los valores éticos definidos en el CE-CGRC son: </w:t>
            </w:r>
            <w:r w:rsidRPr="00600ED9">
              <w:rPr>
                <w:rFonts w:cs="Times"/>
                <w:sz w:val="20"/>
                <w:szCs w:val="20"/>
                <w:lang w:val="es-ES_tradnl"/>
              </w:rPr>
              <w:t>compromiso, honestidad, imparcialidad, objetividad, profesionalismo, respeto, responsabilidad y transparencia.</w:t>
            </w:r>
          </w:p>
          <w:p w:rsidR="003E0106" w:rsidRPr="00600ED9" w:rsidRDefault="003E0106" w:rsidP="00FB1954">
            <w:pPr>
              <w:pStyle w:val="NoSpacing"/>
              <w:jc w:val="both"/>
              <w:rPr>
                <w:sz w:val="20"/>
                <w:szCs w:val="20"/>
                <w:lang w:val="es-ES_tradnl"/>
              </w:rPr>
            </w:pPr>
          </w:p>
          <w:p w:rsidR="003E0106" w:rsidRPr="00600ED9" w:rsidRDefault="003E0106" w:rsidP="00FB1954">
            <w:pPr>
              <w:pStyle w:val="NoSpacing"/>
              <w:jc w:val="both"/>
              <w:rPr>
                <w:color w:val="000000"/>
                <w:sz w:val="20"/>
                <w:szCs w:val="20"/>
                <w:lang w:val="es-ES_tradnl"/>
              </w:rPr>
            </w:pPr>
            <w:r w:rsidRPr="00600ED9">
              <w:rPr>
                <w:color w:val="000000"/>
                <w:sz w:val="20"/>
                <w:szCs w:val="20"/>
                <w:lang w:val="es-ES_tradnl"/>
              </w:rPr>
              <w:t>La Oficina de Control Disciplinario, es la dependencia encargada de adelantar la indagación preliminar, investigar y concluir en primera instancia sobre los procesos disciplinarios contra servidores públicos, asegurando su autonomía e independencia, así como el principio de segunda instancia</w:t>
            </w:r>
            <w:r w:rsidRPr="00600ED9">
              <w:rPr>
                <w:rStyle w:val="FootnoteReference"/>
                <w:color w:val="000000"/>
                <w:sz w:val="20"/>
                <w:szCs w:val="20"/>
                <w:lang w:val="es-ES_tradnl"/>
              </w:rPr>
              <w:footnoteReference w:id="45"/>
            </w:r>
            <w:r w:rsidRPr="00600ED9">
              <w:rPr>
                <w:color w:val="000000"/>
                <w:sz w:val="20"/>
                <w:szCs w:val="20"/>
                <w:lang w:val="es-ES_tradnl"/>
              </w:rPr>
              <w:t>.</w:t>
            </w:r>
          </w:p>
          <w:p w:rsidR="00E622DF" w:rsidRPr="00600ED9" w:rsidRDefault="00E622DF" w:rsidP="00FB1954">
            <w:pPr>
              <w:pStyle w:val="NoSpacing"/>
              <w:jc w:val="both"/>
              <w:rPr>
                <w:color w:val="000000"/>
                <w:sz w:val="20"/>
                <w:szCs w:val="20"/>
                <w:lang w:val="es-ES_tradnl"/>
              </w:rPr>
            </w:pPr>
          </w:p>
          <w:p w:rsidR="003E0106" w:rsidRPr="00600ED9" w:rsidRDefault="003E0106" w:rsidP="00FB1954">
            <w:pPr>
              <w:pStyle w:val="NoSpacing"/>
              <w:jc w:val="both"/>
              <w:rPr>
                <w:color w:val="000000"/>
                <w:sz w:val="20"/>
                <w:szCs w:val="20"/>
                <w:lang w:val="es-ES_tradnl"/>
              </w:rPr>
            </w:pPr>
            <w:r w:rsidRPr="00600ED9">
              <w:rPr>
                <w:rFonts w:cs="Arial"/>
                <w:sz w:val="20"/>
                <w:szCs w:val="20"/>
                <w:lang w:val="es-ES_tradnl" w:eastAsia="es-CO"/>
              </w:rPr>
              <w:t>Los estándares de integridad se encuentran establecidos en el CE-CGRC, como parte de la definición de los valores éticos y las Directrices</w:t>
            </w:r>
            <w:r w:rsidRPr="00600ED9">
              <w:rPr>
                <w:rFonts w:cs="Arial"/>
                <w:i/>
                <w:sz w:val="20"/>
                <w:szCs w:val="20"/>
                <w:lang w:val="es-ES_tradnl" w:eastAsia="es-CO"/>
              </w:rPr>
              <w:t xml:space="preserve"> </w:t>
            </w:r>
            <w:r w:rsidRPr="00600ED9">
              <w:rPr>
                <w:rFonts w:cs="Arial"/>
                <w:sz w:val="20"/>
                <w:szCs w:val="20"/>
                <w:lang w:val="es-ES_tradnl" w:eastAsia="es-CO"/>
              </w:rPr>
              <w:t xml:space="preserve">Éticas y, para los servidores públicos en general, se encuentra detallado en </w:t>
            </w:r>
            <w:r w:rsidRPr="00600ED9">
              <w:rPr>
                <w:color w:val="000000"/>
                <w:sz w:val="20"/>
                <w:szCs w:val="20"/>
                <w:lang w:val="es-ES_tradnl"/>
              </w:rPr>
              <w:t>el Código Disciplinario Único</w:t>
            </w:r>
            <w:r w:rsidRPr="00600ED9">
              <w:rPr>
                <w:rStyle w:val="FootnoteReference"/>
                <w:color w:val="000000"/>
                <w:sz w:val="20"/>
                <w:szCs w:val="20"/>
                <w:lang w:val="es-ES_tradnl"/>
              </w:rPr>
              <w:footnoteReference w:id="46"/>
            </w:r>
            <w:r w:rsidRPr="00600ED9">
              <w:rPr>
                <w:color w:val="000000"/>
                <w:sz w:val="20"/>
                <w:szCs w:val="20"/>
                <w:lang w:val="es-ES_tradnl"/>
              </w:rPr>
              <w:t xml:space="preserve">. </w:t>
            </w:r>
            <w:r w:rsidRPr="00600ED9">
              <w:rPr>
                <w:sz w:val="20"/>
                <w:szCs w:val="20"/>
                <w:lang w:val="es-ES_tradnl"/>
              </w:rPr>
              <w:t>En los aspectos relacionados con el proceso auditor, la Guía de Auditoría,</w:t>
            </w:r>
            <w:r w:rsidRPr="00600ED9">
              <w:rPr>
                <w:rStyle w:val="FootnoteReference"/>
                <w:sz w:val="20"/>
                <w:szCs w:val="20"/>
                <w:lang w:val="es-ES_tradnl"/>
              </w:rPr>
              <w:footnoteReference w:id="47"/>
            </w:r>
            <w:r w:rsidRPr="00600ED9">
              <w:rPr>
                <w:sz w:val="20"/>
                <w:szCs w:val="20"/>
                <w:lang w:val="es-ES_tradnl"/>
              </w:rPr>
              <w:t xml:space="preserve"> establece la obligatoriedad de revelar las causales de impedimentos a la independencia u objetividad relacionados con la auditoría asignada. </w:t>
            </w:r>
          </w:p>
          <w:p w:rsidR="003E0106" w:rsidRPr="00600ED9" w:rsidRDefault="003E0106" w:rsidP="00FB1954">
            <w:pPr>
              <w:pStyle w:val="NoSpacing"/>
              <w:jc w:val="both"/>
              <w:rPr>
                <w:sz w:val="20"/>
                <w:szCs w:val="20"/>
                <w:lang w:val="es-ES_tradnl"/>
              </w:rPr>
            </w:pPr>
          </w:p>
          <w:p w:rsidR="003E0106" w:rsidRPr="00600ED9" w:rsidRDefault="003E0106" w:rsidP="00FB1954">
            <w:pPr>
              <w:pStyle w:val="NoSpacing"/>
              <w:jc w:val="both"/>
              <w:rPr>
                <w:sz w:val="20"/>
                <w:szCs w:val="20"/>
                <w:lang w:val="es-ES_tradnl"/>
              </w:rPr>
            </w:pPr>
            <w:r w:rsidRPr="00600ED9">
              <w:rPr>
                <w:sz w:val="20"/>
                <w:szCs w:val="20"/>
                <w:lang w:val="es-ES_tradnl"/>
              </w:rPr>
              <w:t>Aunque el CE-CGRC, se ajusta de manera general a los lineamientos establecido en la ISSAI 30</w:t>
            </w:r>
            <w:r w:rsidRPr="00600ED9">
              <w:rPr>
                <w:rStyle w:val="FootnoteReference"/>
                <w:sz w:val="20"/>
                <w:szCs w:val="20"/>
                <w:lang w:val="es-ES_tradnl"/>
              </w:rPr>
              <w:footnoteReference w:id="48"/>
            </w:r>
            <w:r w:rsidRPr="00600ED9">
              <w:rPr>
                <w:sz w:val="20"/>
                <w:szCs w:val="20"/>
                <w:lang w:val="es-ES_tradnl"/>
              </w:rPr>
              <w:t>, no hay un cumplimiento total de la misma, pues es susceptible de mejoras, principalmente por:</w:t>
            </w:r>
          </w:p>
          <w:p w:rsidR="003E0106" w:rsidRPr="00600ED9" w:rsidRDefault="003E0106" w:rsidP="00FB1954">
            <w:pPr>
              <w:pStyle w:val="NoSpacing"/>
              <w:jc w:val="both"/>
              <w:rPr>
                <w:sz w:val="20"/>
                <w:szCs w:val="20"/>
                <w:lang w:val="es-ES_tradnl"/>
              </w:rPr>
            </w:pPr>
          </w:p>
          <w:p w:rsidR="003E0106" w:rsidRPr="00600ED9" w:rsidRDefault="003E0106" w:rsidP="00233205">
            <w:pPr>
              <w:pStyle w:val="NoSpacing"/>
              <w:numPr>
                <w:ilvl w:val="0"/>
                <w:numId w:val="7"/>
              </w:numPr>
              <w:jc w:val="both"/>
              <w:rPr>
                <w:sz w:val="20"/>
                <w:szCs w:val="20"/>
                <w:lang w:val="es-ES_tradnl"/>
              </w:rPr>
            </w:pPr>
            <w:r w:rsidRPr="00600ED9">
              <w:rPr>
                <w:sz w:val="20"/>
                <w:szCs w:val="20"/>
                <w:lang w:val="es-ES_tradnl"/>
              </w:rPr>
              <w:t>El CE-CGRC vigente no ha sido revisado desde su promulgación. El código debe actualizarse no solamente conforme a la mejor práctica, sino basado en las experiencias o lecciones aprendidas de su aplicación.</w:t>
            </w:r>
          </w:p>
          <w:p w:rsidR="003E0106" w:rsidRPr="00600ED9" w:rsidRDefault="003E0106" w:rsidP="00233205">
            <w:pPr>
              <w:pStyle w:val="NoSpacing"/>
              <w:numPr>
                <w:ilvl w:val="0"/>
                <w:numId w:val="7"/>
              </w:numPr>
              <w:jc w:val="both"/>
              <w:rPr>
                <w:sz w:val="20"/>
                <w:szCs w:val="20"/>
                <w:lang w:val="es-ES_tradnl"/>
              </w:rPr>
            </w:pPr>
            <w:r w:rsidRPr="00600ED9">
              <w:rPr>
                <w:sz w:val="20"/>
                <w:szCs w:val="20"/>
                <w:lang w:val="es-ES_tradnl"/>
              </w:rPr>
              <w:t>El CE-CGRC forma parte del proceso de inducción de los nuevos empleados y se encuentra publicado en la Intranet de la CGRC.  Sin embargo, no se incorporan actividades específicas de inducción, socialización y validación del conocimiento y entendimiento del CE-CGRC.</w:t>
            </w:r>
          </w:p>
          <w:p w:rsidR="003E0106" w:rsidRPr="00600ED9" w:rsidRDefault="003E0106" w:rsidP="00233205">
            <w:pPr>
              <w:pStyle w:val="NoSpacing"/>
              <w:numPr>
                <w:ilvl w:val="0"/>
                <w:numId w:val="7"/>
              </w:numPr>
              <w:jc w:val="both"/>
              <w:rPr>
                <w:sz w:val="20"/>
                <w:szCs w:val="20"/>
                <w:lang w:val="es-ES_tradnl"/>
              </w:rPr>
            </w:pPr>
            <w:r w:rsidRPr="00600ED9">
              <w:rPr>
                <w:sz w:val="20"/>
                <w:szCs w:val="20"/>
                <w:lang w:val="es-ES_tradnl"/>
              </w:rPr>
              <w:t>El CE-CGRC no es de libre acceso al público en general.</w:t>
            </w:r>
          </w:p>
          <w:p w:rsidR="003E0106" w:rsidRPr="00600ED9" w:rsidRDefault="003E0106" w:rsidP="00233205">
            <w:pPr>
              <w:pStyle w:val="NoSpacing"/>
              <w:numPr>
                <w:ilvl w:val="0"/>
                <w:numId w:val="7"/>
              </w:numPr>
              <w:jc w:val="both"/>
              <w:rPr>
                <w:rFonts w:cs="Times New Roman"/>
                <w:sz w:val="20"/>
                <w:szCs w:val="20"/>
                <w:lang w:val="es-ES_tradnl"/>
              </w:rPr>
            </w:pPr>
            <w:r w:rsidRPr="00600ED9">
              <w:rPr>
                <w:sz w:val="20"/>
                <w:szCs w:val="20"/>
                <w:lang w:val="es-ES_tradnl"/>
              </w:rPr>
              <w:t>No se dispone de un sistema o instrumentos para monitorear el cumplimiento anual del CE-CGRC.</w:t>
            </w:r>
          </w:p>
          <w:p w:rsidR="00E622DF" w:rsidRPr="00600ED9" w:rsidRDefault="00E622DF" w:rsidP="00E622DF">
            <w:pPr>
              <w:pStyle w:val="NoSpacing"/>
              <w:ind w:left="360"/>
              <w:jc w:val="both"/>
              <w:rPr>
                <w:rFonts w:cs="Times New Roman"/>
                <w:sz w:val="16"/>
                <w:szCs w:val="20"/>
                <w:lang w:val="es-ES_tradnl"/>
              </w:rPr>
            </w:pPr>
          </w:p>
        </w:tc>
      </w:tr>
      <w:tr w:rsidR="003E0106" w:rsidRPr="00600ED9" w:rsidTr="00A57342">
        <w:tc>
          <w:tcPr>
            <w:tcW w:w="9356" w:type="dxa"/>
            <w:shd w:val="clear" w:color="auto" w:fill="D9D9D9" w:themeFill="background1" w:themeFillShade="D9"/>
          </w:tcPr>
          <w:p w:rsidR="003E0106" w:rsidRPr="00600ED9" w:rsidRDefault="003E0106" w:rsidP="00FB1954">
            <w:pPr>
              <w:pStyle w:val="NoSpacing"/>
              <w:rPr>
                <w:b/>
                <w:i/>
                <w:sz w:val="20"/>
                <w:szCs w:val="20"/>
                <w:lang w:val="es-ES_tradnl"/>
              </w:rPr>
            </w:pPr>
            <w:r w:rsidRPr="00600ED9">
              <w:rPr>
                <w:b/>
                <w:i/>
                <w:sz w:val="20"/>
                <w:szCs w:val="20"/>
                <w:lang w:val="es-ES_tradnl"/>
              </w:rPr>
              <w:t>Dimensión (ii) Gestión del personal</w:t>
            </w:r>
          </w:p>
        </w:tc>
      </w:tr>
      <w:tr w:rsidR="003E0106" w:rsidRPr="00600ED9" w:rsidTr="00A57342">
        <w:tc>
          <w:tcPr>
            <w:tcW w:w="9356" w:type="dxa"/>
            <w:shd w:val="clear" w:color="auto" w:fill="D9D9D9" w:themeFill="background1" w:themeFillShade="D9"/>
          </w:tcPr>
          <w:p w:rsidR="003E0106" w:rsidRPr="00600ED9" w:rsidRDefault="003E0106" w:rsidP="00FB1954">
            <w:pPr>
              <w:pStyle w:val="NoSpacing"/>
              <w:rPr>
                <w:i/>
                <w:sz w:val="20"/>
                <w:szCs w:val="20"/>
                <w:lang w:val="es-ES_tradnl"/>
              </w:rPr>
            </w:pPr>
            <w:r w:rsidRPr="00600ED9">
              <w:rPr>
                <w:rFonts w:cs="Calibri"/>
                <w:b/>
                <w:i/>
                <w:sz w:val="20"/>
                <w:szCs w:val="20"/>
                <w:lang w:val="es-ES_tradnl"/>
              </w:rPr>
              <w:t>Puntuación 2:</w:t>
            </w:r>
            <w:r w:rsidRPr="00600ED9">
              <w:rPr>
                <w:rFonts w:cs="Calibri"/>
                <w:i/>
                <w:sz w:val="20"/>
                <w:szCs w:val="20"/>
                <w:lang w:val="es-ES_tradnl"/>
              </w:rPr>
              <w:t xml:space="preserve"> Al menos 4 de los criterios descritos están establecidos.</w:t>
            </w:r>
          </w:p>
        </w:tc>
      </w:tr>
      <w:tr w:rsidR="003E0106" w:rsidRPr="00600ED9" w:rsidTr="00A57342">
        <w:tc>
          <w:tcPr>
            <w:tcW w:w="9356" w:type="dxa"/>
          </w:tcPr>
          <w:p w:rsidR="003E0106" w:rsidRPr="004F42B9" w:rsidRDefault="003E0106" w:rsidP="00FB1954">
            <w:pPr>
              <w:pStyle w:val="NoSpacing"/>
              <w:jc w:val="both"/>
              <w:rPr>
                <w:sz w:val="20"/>
                <w:szCs w:val="20"/>
                <w:lang w:val="pt-BR"/>
              </w:rPr>
            </w:pPr>
            <w:r w:rsidRPr="00600ED9">
              <w:rPr>
                <w:sz w:val="20"/>
                <w:szCs w:val="20"/>
                <w:lang w:val="es-ES_tradnl"/>
              </w:rPr>
              <w:t xml:space="preserve">Criterios (a), (b), (c), (e) y (g) se cumplen.  </w:t>
            </w:r>
            <w:proofErr w:type="spellStart"/>
            <w:r w:rsidRPr="004F42B9">
              <w:rPr>
                <w:sz w:val="20"/>
                <w:szCs w:val="20"/>
                <w:lang w:val="pt-BR"/>
              </w:rPr>
              <w:t>Criterios</w:t>
            </w:r>
            <w:proofErr w:type="spellEnd"/>
            <w:r w:rsidRPr="004F42B9">
              <w:rPr>
                <w:sz w:val="20"/>
                <w:szCs w:val="20"/>
                <w:lang w:val="pt-BR"/>
              </w:rPr>
              <w:t xml:space="preserve"> (d), (f), (h) e (i) no se </w:t>
            </w:r>
            <w:proofErr w:type="spellStart"/>
            <w:r w:rsidRPr="004F42B9">
              <w:rPr>
                <w:sz w:val="20"/>
                <w:szCs w:val="20"/>
                <w:lang w:val="pt-BR"/>
              </w:rPr>
              <w:t>cumplen</w:t>
            </w:r>
            <w:proofErr w:type="spellEnd"/>
            <w:r w:rsidRPr="004F42B9">
              <w:rPr>
                <w:sz w:val="20"/>
                <w:szCs w:val="20"/>
                <w:lang w:val="pt-BR"/>
              </w:rPr>
              <w:t xml:space="preserve">. </w:t>
            </w:r>
          </w:p>
          <w:p w:rsidR="00E622DF" w:rsidRPr="004F42B9" w:rsidRDefault="00E622DF" w:rsidP="00FB1954">
            <w:pPr>
              <w:pStyle w:val="NoSpacing"/>
              <w:jc w:val="both"/>
              <w:rPr>
                <w:sz w:val="20"/>
                <w:szCs w:val="20"/>
                <w:lang w:val="pt-BR"/>
              </w:rPr>
            </w:pPr>
          </w:p>
          <w:p w:rsidR="003E0106" w:rsidRPr="00600ED9" w:rsidRDefault="003E0106" w:rsidP="00FB1954">
            <w:pPr>
              <w:pStyle w:val="NoSpacing"/>
              <w:jc w:val="both"/>
              <w:rPr>
                <w:sz w:val="20"/>
                <w:szCs w:val="20"/>
                <w:lang w:val="es-ES_tradnl"/>
              </w:rPr>
            </w:pPr>
            <w:r w:rsidRPr="00600ED9">
              <w:rPr>
                <w:sz w:val="20"/>
                <w:szCs w:val="20"/>
                <w:lang w:val="es-ES_tradnl"/>
              </w:rPr>
              <w:t>La estructura orgánica de la Contraloría, está formalizada mediante un organigrama que contiene el esquema general e integra las diferentes dependencias. Adicionalmente, a través de resoluciones</w:t>
            </w:r>
            <w:r w:rsidRPr="00600ED9">
              <w:rPr>
                <w:rStyle w:val="FootnoteReference"/>
                <w:sz w:val="20"/>
                <w:szCs w:val="20"/>
                <w:lang w:val="es-ES_tradnl"/>
              </w:rPr>
              <w:footnoteReference w:id="49"/>
            </w:r>
            <w:r w:rsidRPr="00600ED9">
              <w:rPr>
                <w:sz w:val="20"/>
                <w:szCs w:val="20"/>
                <w:lang w:val="es-ES_tradnl"/>
              </w:rPr>
              <w:t xml:space="preserve"> por dependencia, se establece la creación de áreas de trabajo, para su organización interna.</w:t>
            </w:r>
            <w:r w:rsidR="00255C25" w:rsidRPr="00600ED9">
              <w:rPr>
                <w:sz w:val="20"/>
                <w:szCs w:val="20"/>
                <w:lang w:val="es-ES_tradnl"/>
              </w:rPr>
              <w:t xml:space="preserve">  </w:t>
            </w:r>
            <w:r w:rsidRPr="00600ED9">
              <w:rPr>
                <w:sz w:val="20"/>
                <w:szCs w:val="20"/>
                <w:lang w:val="es-ES_tradnl"/>
              </w:rPr>
              <w:t>Los procesos de la CGRC están organizados por macro procesos y representados gráficamente en el mapa de procesos, donde se establece su interacción. Los nombres de los macro procesos son precisados en concordancia con el Sistema de Gestión de Calidad existente (Estratégicos, Misionales, Apoyo y Evaluación), y su conexión se presenta en doble sentido para ilustrar que los procesos estratégicos y de apoyo son transversales a la misión de la CGRC.</w:t>
            </w:r>
          </w:p>
          <w:p w:rsidR="00E622DF" w:rsidRPr="00600ED9" w:rsidRDefault="00E622DF" w:rsidP="00FB1954">
            <w:pPr>
              <w:pStyle w:val="NoSpacing"/>
              <w:jc w:val="both"/>
              <w:rPr>
                <w:sz w:val="8"/>
                <w:szCs w:val="20"/>
                <w:lang w:val="es-ES_tradnl"/>
              </w:rPr>
            </w:pPr>
          </w:p>
          <w:p w:rsidR="003E0106" w:rsidRPr="00600ED9" w:rsidRDefault="003E0106" w:rsidP="00FB1954">
            <w:pPr>
              <w:pStyle w:val="NoSpacing"/>
              <w:jc w:val="both"/>
              <w:rPr>
                <w:color w:val="000000"/>
                <w:sz w:val="20"/>
                <w:szCs w:val="20"/>
                <w:lang w:val="es-ES_tradnl"/>
              </w:rPr>
            </w:pPr>
            <w:r w:rsidRPr="00600ED9">
              <w:rPr>
                <w:sz w:val="20"/>
                <w:szCs w:val="20"/>
                <w:lang w:val="es-ES_tradnl"/>
              </w:rPr>
              <w:t>La Contraloría dispone de un Manual de Funciones, Requisitos y de Competencias Laborales</w:t>
            </w:r>
            <w:r w:rsidRPr="00600ED9">
              <w:rPr>
                <w:rStyle w:val="FootnoteReference"/>
                <w:sz w:val="20"/>
                <w:szCs w:val="20"/>
                <w:lang w:val="es-ES_tradnl"/>
              </w:rPr>
              <w:footnoteReference w:id="50"/>
            </w:r>
            <w:r w:rsidRPr="00600ED9">
              <w:rPr>
                <w:sz w:val="20"/>
                <w:szCs w:val="20"/>
                <w:lang w:val="es-ES_tradnl"/>
              </w:rPr>
              <w:t xml:space="preserve">. Este </w:t>
            </w:r>
            <w:r w:rsidRPr="00600ED9">
              <w:rPr>
                <w:color w:val="000000"/>
                <w:sz w:val="20"/>
                <w:szCs w:val="20"/>
                <w:lang w:val="es-ES_tradnl"/>
              </w:rPr>
              <w:t xml:space="preserve">manual incluye secciones en las cuales se describen las funciones esenciales para cada cargo, dentro de la CGRC y el objetivo principal del mismo.   </w:t>
            </w:r>
          </w:p>
          <w:p w:rsidR="00E622DF" w:rsidRPr="00600ED9" w:rsidRDefault="00E622DF" w:rsidP="00FB1954">
            <w:pPr>
              <w:pStyle w:val="NoSpacing"/>
              <w:jc w:val="both"/>
              <w:rPr>
                <w:sz w:val="20"/>
                <w:szCs w:val="20"/>
                <w:lang w:val="es-ES_tradnl"/>
              </w:rPr>
            </w:pPr>
          </w:p>
          <w:p w:rsidR="003E0106" w:rsidRPr="00600ED9" w:rsidRDefault="003E0106" w:rsidP="00FB1954">
            <w:pPr>
              <w:pStyle w:val="NoSpacing"/>
              <w:jc w:val="both"/>
              <w:rPr>
                <w:sz w:val="20"/>
                <w:szCs w:val="20"/>
                <w:lang w:val="es-ES_tradnl"/>
              </w:rPr>
            </w:pPr>
            <w:r w:rsidRPr="00600ED9">
              <w:rPr>
                <w:bCs/>
                <w:sz w:val="20"/>
                <w:szCs w:val="20"/>
                <w:lang w:val="es-ES_tradnl"/>
              </w:rPr>
              <w:t xml:space="preserve">La Contraloría cuenta con dos sistemas para el registro de tiempo de personal: (i) como parte de la herramienta </w:t>
            </w:r>
            <w:r w:rsidRPr="00600ED9">
              <w:rPr>
                <w:sz w:val="20"/>
                <w:szCs w:val="20"/>
                <w:lang w:val="es-ES_tradnl"/>
              </w:rPr>
              <w:t>SICA, donde el equipo auditor (control fiscal micro) diligencia Informes Mensuales de Actividad (IMAS) y (ii) a través del sistema Horas Dedicadas a las Actividades (HDA), para los demás procesos (incluido también los equipos auditores). Sin embargo, estos sistemas no son alimentados en tiempo real, no han sido sometidos a control de calidad para establecer la confiabilidad de los registros, ni pueden ser considerados de una manera funcional, como insumo, para la toma de decisiones. Adicionalmente, no permiten obtener información sobre los costos asociados a las actividades realizadas.</w:t>
            </w:r>
          </w:p>
          <w:p w:rsidR="00E622DF" w:rsidRPr="00600ED9" w:rsidRDefault="00E622DF" w:rsidP="00FB1954">
            <w:pPr>
              <w:pStyle w:val="NoSpacing"/>
              <w:jc w:val="both"/>
              <w:rPr>
                <w:bCs/>
                <w:sz w:val="20"/>
                <w:szCs w:val="20"/>
                <w:lang w:val="es-ES_tradnl"/>
              </w:rPr>
            </w:pPr>
          </w:p>
          <w:p w:rsidR="00A57342" w:rsidRPr="00600ED9" w:rsidRDefault="003E0106" w:rsidP="00FB1954">
            <w:pPr>
              <w:pStyle w:val="Normaltabletext"/>
              <w:spacing w:after="0"/>
              <w:rPr>
                <w:lang w:val="es-ES_tradnl"/>
              </w:rPr>
            </w:pPr>
            <w:r w:rsidRPr="00600ED9">
              <w:rPr>
                <w:lang w:val="es-ES_tradnl"/>
              </w:rPr>
              <w:t xml:space="preserve">La CGRC ha establecido e implementado políticas y procedimientos de control de calidad, sin embargo, no existe evidencia sobre su efectividad (revisión entre pares). El Sistema Integrado de Gestión y Control de Calidad (SIGCC) fue certificado por </w:t>
            </w:r>
            <w:r w:rsidRPr="00600ED9">
              <w:rPr>
                <w:i/>
                <w:lang w:val="es-ES_tradnl"/>
              </w:rPr>
              <w:t>Bureau Veritas</w:t>
            </w:r>
            <w:r w:rsidRPr="00600ED9">
              <w:rPr>
                <w:lang w:val="es-ES_tradnl"/>
              </w:rPr>
              <w:t xml:space="preserve"> en 2010 con vigencia hasta Julio de 2013, y desde entonces la certificación no ha sido refrendada.  Como parte de la pasada administración, varios procesos fueron modificados y los procedimientos requieren ser revisados y actualizados.</w:t>
            </w:r>
          </w:p>
          <w:p w:rsidR="00E622DF" w:rsidRPr="00600ED9" w:rsidRDefault="00E622DF" w:rsidP="00FB1954">
            <w:pPr>
              <w:pStyle w:val="Normaltabletext"/>
              <w:spacing w:after="0"/>
              <w:rPr>
                <w:lang w:val="es-ES_tradnl"/>
              </w:rPr>
            </w:pPr>
          </w:p>
          <w:p w:rsidR="003E0106" w:rsidRPr="00600ED9" w:rsidRDefault="003E0106" w:rsidP="00FB1954">
            <w:pPr>
              <w:pStyle w:val="Normaltabletext"/>
              <w:spacing w:after="0"/>
              <w:rPr>
                <w:lang w:val="es-ES_tradnl"/>
              </w:rPr>
            </w:pPr>
            <w:r w:rsidRPr="00600ED9">
              <w:rPr>
                <w:lang w:val="es-ES_tradnl"/>
              </w:rPr>
              <w:t>Finalmente, no se dispone de una política formal de rotación del personal, salvo por las acciones realizadas por los Contralores Delegados para gestionar posibles conflictos de interés.</w:t>
            </w:r>
          </w:p>
          <w:p w:rsidR="00255C25" w:rsidRPr="00600ED9" w:rsidRDefault="00255C25" w:rsidP="00FB1954">
            <w:pPr>
              <w:pStyle w:val="Normaltabletext"/>
              <w:spacing w:after="0"/>
              <w:rPr>
                <w:sz w:val="16"/>
                <w:lang w:val="es-ES_tradnl"/>
              </w:rPr>
            </w:pPr>
          </w:p>
        </w:tc>
      </w:tr>
      <w:tr w:rsidR="003E0106" w:rsidRPr="00600ED9" w:rsidTr="00A57342">
        <w:tc>
          <w:tcPr>
            <w:tcW w:w="9356" w:type="dxa"/>
            <w:shd w:val="clear" w:color="auto" w:fill="D9D9D9" w:themeFill="background1" w:themeFillShade="D9"/>
          </w:tcPr>
          <w:p w:rsidR="003E0106" w:rsidRPr="00600ED9" w:rsidRDefault="003E0106" w:rsidP="00FB1954">
            <w:pPr>
              <w:pStyle w:val="NoSpacing"/>
              <w:rPr>
                <w:b/>
                <w:i/>
                <w:sz w:val="20"/>
                <w:szCs w:val="20"/>
                <w:lang w:val="es-ES_tradnl"/>
              </w:rPr>
            </w:pPr>
            <w:r w:rsidRPr="00600ED9">
              <w:rPr>
                <w:b/>
                <w:i/>
                <w:sz w:val="20"/>
                <w:szCs w:val="20"/>
                <w:lang w:val="es-ES_tradnl"/>
              </w:rPr>
              <w:lastRenderedPageBreak/>
              <w:t>Dimensión (iii) Gestión financiera</w:t>
            </w:r>
          </w:p>
        </w:tc>
      </w:tr>
      <w:tr w:rsidR="003E0106" w:rsidRPr="00600ED9" w:rsidTr="00921958">
        <w:tc>
          <w:tcPr>
            <w:tcW w:w="9356" w:type="dxa"/>
            <w:shd w:val="clear" w:color="auto" w:fill="D9D9D9" w:themeFill="background1" w:themeFillShade="D9"/>
          </w:tcPr>
          <w:p w:rsidR="003E0106" w:rsidRPr="00600ED9" w:rsidRDefault="003E0106" w:rsidP="00FB1954">
            <w:pPr>
              <w:pStyle w:val="NoSpacing"/>
              <w:rPr>
                <w:i/>
                <w:sz w:val="20"/>
                <w:szCs w:val="20"/>
                <w:lang w:val="es-ES_tradnl"/>
              </w:rPr>
            </w:pPr>
            <w:r w:rsidRPr="00600ED9">
              <w:rPr>
                <w:rFonts w:cs="Calibri"/>
                <w:b/>
                <w:i/>
                <w:sz w:val="20"/>
                <w:szCs w:val="20"/>
                <w:lang w:val="es-ES_tradnl"/>
              </w:rPr>
              <w:t>Puntuación 4:</w:t>
            </w:r>
            <w:r w:rsidRPr="00600ED9">
              <w:rPr>
                <w:rFonts w:cs="Calibri"/>
                <w:i/>
                <w:sz w:val="20"/>
                <w:szCs w:val="20"/>
                <w:lang w:val="es-ES_tradnl"/>
              </w:rPr>
              <w:t xml:space="preserve"> Al menos 10 de los criterios descritos están establecidos.</w:t>
            </w:r>
          </w:p>
        </w:tc>
      </w:tr>
      <w:tr w:rsidR="003E0106" w:rsidRPr="00600ED9" w:rsidTr="00A57342">
        <w:tc>
          <w:tcPr>
            <w:tcW w:w="9356" w:type="dxa"/>
          </w:tcPr>
          <w:p w:rsidR="003E0106" w:rsidRPr="00600ED9" w:rsidRDefault="003E0106" w:rsidP="00FB1954">
            <w:pPr>
              <w:pStyle w:val="NoSpacing"/>
              <w:jc w:val="both"/>
              <w:rPr>
                <w:sz w:val="20"/>
                <w:szCs w:val="20"/>
                <w:lang w:val="es-ES_tradnl"/>
              </w:rPr>
            </w:pPr>
            <w:r w:rsidRPr="00600ED9">
              <w:rPr>
                <w:sz w:val="20"/>
                <w:szCs w:val="20"/>
                <w:lang w:val="es-ES_tradnl"/>
              </w:rPr>
              <w:t xml:space="preserve">Criterios (a), (b), (c), (d), (e), (f), (g), (h), (i) y (j) se cumplen.  Criterio (k) no se cumple. </w:t>
            </w:r>
          </w:p>
          <w:p w:rsidR="00E622DF" w:rsidRPr="00600ED9" w:rsidRDefault="00E622DF" w:rsidP="00FB1954">
            <w:pPr>
              <w:pStyle w:val="NoSpacing"/>
              <w:jc w:val="both"/>
              <w:rPr>
                <w:sz w:val="16"/>
                <w:szCs w:val="20"/>
                <w:lang w:val="es-ES_tradnl"/>
              </w:rPr>
            </w:pPr>
          </w:p>
          <w:p w:rsidR="003E0106" w:rsidRPr="00600ED9" w:rsidRDefault="003E0106" w:rsidP="00FB1954">
            <w:pPr>
              <w:pStyle w:val="NoSpacing"/>
              <w:jc w:val="both"/>
              <w:rPr>
                <w:sz w:val="20"/>
                <w:szCs w:val="20"/>
                <w:lang w:val="es-ES_tradnl"/>
              </w:rPr>
            </w:pPr>
            <w:r w:rsidRPr="00600ED9">
              <w:rPr>
                <w:color w:val="000000"/>
                <w:sz w:val="20"/>
                <w:szCs w:val="20"/>
                <w:lang w:val="es-ES_tradnl"/>
              </w:rPr>
              <w:t xml:space="preserve">Las funciones esenciales de la Gerencia Administrativa Financiera </w:t>
            </w:r>
            <w:r w:rsidRPr="00600ED9">
              <w:rPr>
                <w:sz w:val="20"/>
                <w:szCs w:val="20"/>
                <w:lang w:val="es-ES_tradnl"/>
              </w:rPr>
              <w:t>y las Direcciones adscritas a dicha dependencia</w:t>
            </w:r>
            <w:r w:rsidRPr="00600ED9">
              <w:rPr>
                <w:color w:val="000000"/>
                <w:sz w:val="20"/>
                <w:szCs w:val="20"/>
                <w:lang w:val="es-ES_tradnl"/>
              </w:rPr>
              <w:t xml:space="preserve">, están establecidas en </w:t>
            </w:r>
            <w:r w:rsidRPr="00600ED9">
              <w:rPr>
                <w:sz w:val="20"/>
                <w:szCs w:val="20"/>
                <w:lang w:val="es-ES_tradnl"/>
              </w:rPr>
              <w:t>las normas sobre organización y funcionamiento de la CGRC</w:t>
            </w:r>
            <w:r w:rsidRPr="00600ED9">
              <w:rPr>
                <w:rStyle w:val="FootnoteReference"/>
                <w:sz w:val="20"/>
                <w:szCs w:val="20"/>
                <w:lang w:val="es-ES_tradnl"/>
              </w:rPr>
              <w:footnoteReference w:id="51"/>
            </w:r>
            <w:r w:rsidRPr="00600ED9">
              <w:rPr>
                <w:sz w:val="20"/>
                <w:szCs w:val="20"/>
                <w:lang w:val="es-ES_tradnl"/>
              </w:rPr>
              <w:t xml:space="preserve"> y en el </w:t>
            </w:r>
            <w:r w:rsidRPr="00600ED9">
              <w:rPr>
                <w:color w:val="000000"/>
                <w:sz w:val="20"/>
                <w:szCs w:val="20"/>
                <w:lang w:val="es-ES_tradnl"/>
              </w:rPr>
              <w:t xml:space="preserve">Manual Específico de Funciones y de Competencias. Las funciones de esta Dependencia incluyen: el </w:t>
            </w:r>
            <w:r w:rsidRPr="00600ED9">
              <w:rPr>
                <w:sz w:val="20"/>
                <w:szCs w:val="20"/>
                <w:lang w:val="es-ES_tradnl"/>
              </w:rPr>
              <w:t xml:space="preserve">desarrollo de políticas, planes y programas para la provisión, utilización y control adecuado de los recursos financieros; el desarrollo, seguimiento, evaluación y control de las actividades presupuestales contables y de tesorería; la elaboración del proyecto de presupuesto; y la elaboración y presentación de los estados financieros. </w:t>
            </w:r>
          </w:p>
          <w:p w:rsidR="00E622DF" w:rsidRPr="00600ED9" w:rsidRDefault="00E622DF" w:rsidP="00FB1954">
            <w:pPr>
              <w:pStyle w:val="NoSpacing"/>
              <w:jc w:val="both"/>
              <w:rPr>
                <w:color w:val="000000"/>
                <w:sz w:val="18"/>
                <w:szCs w:val="20"/>
                <w:lang w:val="es-ES_tradnl"/>
              </w:rPr>
            </w:pPr>
          </w:p>
          <w:p w:rsidR="00167E50" w:rsidRPr="00600ED9" w:rsidRDefault="003E0106" w:rsidP="00FB1954">
            <w:pPr>
              <w:pStyle w:val="NoSpacing"/>
              <w:jc w:val="both"/>
              <w:rPr>
                <w:sz w:val="20"/>
                <w:szCs w:val="20"/>
                <w:lang w:val="es-ES_tradnl"/>
              </w:rPr>
            </w:pPr>
            <w:r w:rsidRPr="00600ED9">
              <w:rPr>
                <w:sz w:val="20"/>
                <w:szCs w:val="20"/>
                <w:lang w:val="es-ES_tradnl"/>
              </w:rPr>
              <w:t>La delegación de autoridad, en materia de contratación estatal, administración del talento humano y otras actividades administrativas; la reglamentación de la Junta de Adquisiciones y otras disposiciones en materia de contratación al interior de la CGRC, que involucren la ejecución tanto de los recursos recibidos en el Presupuesto General de la Nación como del Sistema General de Regalías, están regulados en la Resolución Organizacional 0191 de 2015.</w:t>
            </w:r>
            <w:r w:rsidR="00167E50" w:rsidRPr="00600ED9">
              <w:rPr>
                <w:sz w:val="20"/>
                <w:szCs w:val="20"/>
                <w:lang w:val="es-ES_tradnl"/>
              </w:rPr>
              <w:t xml:space="preserve"> </w:t>
            </w:r>
            <w:r w:rsidRPr="00600ED9">
              <w:rPr>
                <w:sz w:val="20"/>
                <w:szCs w:val="20"/>
                <w:lang w:val="es-ES_tradnl"/>
              </w:rPr>
              <w:t>El marco jurídico de las diferentes etapas y procesos del presupuesto público en Colombia, además de lo contemplado en la Constitución Política, se encuentra dispuesto  en el Estatuto Orgánico del Presupuesto</w:t>
            </w:r>
            <w:r w:rsidRPr="00600ED9">
              <w:rPr>
                <w:rStyle w:val="FootnoteReference"/>
                <w:sz w:val="20"/>
                <w:szCs w:val="20"/>
                <w:lang w:val="es-ES_tradnl"/>
              </w:rPr>
              <w:footnoteReference w:id="52"/>
            </w:r>
            <w:r w:rsidRPr="00600ED9">
              <w:rPr>
                <w:sz w:val="20"/>
                <w:szCs w:val="20"/>
                <w:lang w:val="es-ES_tradnl"/>
              </w:rPr>
              <w:t xml:space="preserve">, el cual regula la programación, elaboración, presentación, aprobación, modificación y ejecución del presupuesto, así como la capacidad de contratación y la definición del gasto público social. </w:t>
            </w:r>
          </w:p>
          <w:p w:rsidR="00E622DF" w:rsidRPr="00600ED9" w:rsidRDefault="00E622DF" w:rsidP="00FB1954">
            <w:pPr>
              <w:pStyle w:val="NoSpacing"/>
              <w:jc w:val="both"/>
              <w:rPr>
                <w:sz w:val="18"/>
                <w:szCs w:val="20"/>
                <w:lang w:val="es-ES_tradnl"/>
              </w:rPr>
            </w:pPr>
          </w:p>
          <w:p w:rsidR="003E0106" w:rsidRPr="00600ED9" w:rsidRDefault="003E0106" w:rsidP="00FB1954">
            <w:pPr>
              <w:pStyle w:val="NoSpacing"/>
              <w:jc w:val="both"/>
              <w:rPr>
                <w:sz w:val="20"/>
                <w:szCs w:val="20"/>
                <w:lang w:val="es-ES_tradnl"/>
              </w:rPr>
            </w:pPr>
            <w:r w:rsidRPr="00600ED9">
              <w:rPr>
                <w:sz w:val="20"/>
                <w:szCs w:val="20"/>
                <w:lang w:val="es-ES_tradnl"/>
              </w:rPr>
              <w:t xml:space="preserve">Al interior de la CGRC, la Dirección Financiera es la instancia encargada de realizar el seguimiento a los gastos y en general al presupuesto asignado a la institución. </w:t>
            </w:r>
            <w:r w:rsidRPr="00600ED9">
              <w:rPr>
                <w:sz w:val="20"/>
                <w:szCs w:val="20"/>
                <w:lang w:val="es-ES_tradnl" w:eastAsia="es-CO"/>
              </w:rPr>
              <w:t xml:space="preserve">La gestión financiera de la CGRC se soporta en el Sistema Integrado de Información Financiera (SIIF) – Nación, administrado por el </w:t>
            </w:r>
            <w:r w:rsidRPr="00600ED9">
              <w:rPr>
                <w:sz w:val="20"/>
                <w:szCs w:val="20"/>
                <w:lang w:val="es-ES_tradnl"/>
              </w:rPr>
              <w:t>Ministerio de Hacienda y Crédito Público (MHCP)</w:t>
            </w:r>
            <w:r w:rsidRPr="00600ED9">
              <w:rPr>
                <w:sz w:val="20"/>
                <w:szCs w:val="20"/>
                <w:lang w:val="es-ES_tradnl" w:eastAsia="es-CO"/>
              </w:rPr>
              <w:t xml:space="preserve">. </w:t>
            </w:r>
            <w:r w:rsidRPr="00600ED9">
              <w:rPr>
                <w:sz w:val="20"/>
                <w:szCs w:val="20"/>
                <w:lang w:val="es-ES_tradnl"/>
              </w:rPr>
              <w:t>El SIIF Nación cuenta con funcionalidades para llevar a cabo de las diferentes actividades de la administración financiera.</w:t>
            </w:r>
            <w:r w:rsidR="00921958" w:rsidRPr="00600ED9">
              <w:rPr>
                <w:sz w:val="20"/>
                <w:szCs w:val="20"/>
                <w:lang w:val="es-ES_tradnl"/>
              </w:rPr>
              <w:t xml:space="preserve">  </w:t>
            </w:r>
            <w:r w:rsidRPr="00600ED9">
              <w:rPr>
                <w:sz w:val="20"/>
                <w:szCs w:val="20"/>
                <w:lang w:val="es-ES_tradnl"/>
              </w:rPr>
              <w:t xml:space="preserve">Los aspectos relacionados con el seguimiento al desempeño de la gestión financiera se realizan a través de los </w:t>
            </w:r>
            <w:r w:rsidR="00921958" w:rsidRPr="00600ED9">
              <w:rPr>
                <w:sz w:val="20"/>
                <w:szCs w:val="20"/>
                <w:lang w:val="es-ES_tradnl"/>
              </w:rPr>
              <w:t>PAA</w:t>
            </w:r>
            <w:r w:rsidRPr="00600ED9">
              <w:rPr>
                <w:sz w:val="20"/>
                <w:szCs w:val="20"/>
                <w:lang w:val="es-ES_tradnl"/>
              </w:rPr>
              <w:t xml:space="preserve">. </w:t>
            </w:r>
          </w:p>
          <w:p w:rsidR="003E0106" w:rsidRPr="00600ED9" w:rsidRDefault="003E0106" w:rsidP="00FB1954">
            <w:pPr>
              <w:pStyle w:val="NoSpacing"/>
              <w:jc w:val="both"/>
              <w:rPr>
                <w:sz w:val="20"/>
                <w:szCs w:val="20"/>
                <w:lang w:val="es-ES_tradnl"/>
              </w:rPr>
            </w:pPr>
            <w:r w:rsidRPr="00600ED9">
              <w:rPr>
                <w:sz w:val="20"/>
                <w:szCs w:val="20"/>
                <w:lang w:val="es-ES_tradnl"/>
              </w:rPr>
              <w:lastRenderedPageBreak/>
              <w:t>La Dirección de Recursos Financieros, durante los últimos tres años realizó la gestión de los gastos de la CGRC. Se pudo verificar que solo en uno de los tres años, hubo una variación superior al 10% entre los gastos presupuestados versus los ejecutados.</w:t>
            </w:r>
          </w:p>
          <w:p w:rsidR="00E622DF" w:rsidRPr="00600ED9" w:rsidRDefault="00E622DF" w:rsidP="00FB1954">
            <w:pPr>
              <w:pStyle w:val="NoSpacing"/>
              <w:jc w:val="both"/>
              <w:rPr>
                <w:sz w:val="20"/>
                <w:szCs w:val="20"/>
                <w:lang w:val="es-ES_tradnl" w:eastAsia="es-CO"/>
              </w:rPr>
            </w:pPr>
          </w:p>
          <w:p w:rsidR="003E0106" w:rsidRPr="00600ED9" w:rsidRDefault="003E0106" w:rsidP="00FB1954">
            <w:pPr>
              <w:pStyle w:val="NoSpacing"/>
              <w:jc w:val="both"/>
              <w:rPr>
                <w:sz w:val="20"/>
                <w:szCs w:val="20"/>
                <w:lang w:val="es-ES_tradnl"/>
              </w:rPr>
            </w:pPr>
            <w:r w:rsidRPr="00600ED9">
              <w:rPr>
                <w:sz w:val="20"/>
                <w:szCs w:val="20"/>
                <w:lang w:val="es-ES_tradnl" w:eastAsia="es-CO"/>
              </w:rPr>
              <w:t>En cumplimiento a las normas y procedimientos para la contabilidad pública en Colombia, la CGRC prepara y presenta anualmente</w:t>
            </w:r>
            <w:r w:rsidRPr="00600ED9">
              <w:rPr>
                <w:sz w:val="20"/>
                <w:szCs w:val="20"/>
                <w:lang w:val="es-ES_tradnl"/>
              </w:rPr>
              <w:t xml:space="preserve"> sus Estados Financieros consolidados.  Aunque la CGRC dispone de sistemas y procedimientos para la gestión financiera se identifican las siguientes oportunidades de mejora: </w:t>
            </w:r>
          </w:p>
          <w:p w:rsidR="003E0106" w:rsidRPr="00600ED9" w:rsidRDefault="003E0106" w:rsidP="00FB1954">
            <w:pPr>
              <w:pStyle w:val="NoSpacing"/>
              <w:jc w:val="both"/>
              <w:rPr>
                <w:sz w:val="20"/>
                <w:szCs w:val="20"/>
                <w:lang w:val="es-ES_tradnl"/>
              </w:rPr>
            </w:pPr>
          </w:p>
          <w:p w:rsidR="003E0106" w:rsidRPr="00600ED9" w:rsidRDefault="003E0106" w:rsidP="00233205">
            <w:pPr>
              <w:pStyle w:val="NoSpacing"/>
              <w:numPr>
                <w:ilvl w:val="0"/>
                <w:numId w:val="8"/>
              </w:numPr>
              <w:jc w:val="both"/>
              <w:rPr>
                <w:sz w:val="20"/>
                <w:szCs w:val="20"/>
                <w:lang w:val="es-ES_tradnl"/>
              </w:rPr>
            </w:pPr>
            <w:r w:rsidRPr="00600ED9">
              <w:rPr>
                <w:sz w:val="20"/>
                <w:szCs w:val="20"/>
                <w:lang w:val="es-ES_tradnl"/>
              </w:rPr>
              <w:t>La Dirección Financiera no dispone de los recursos humanos suficientes, ni de las herramientas de soporte para la ejecución de sus responsabilidades.</w:t>
            </w:r>
          </w:p>
          <w:p w:rsidR="003E0106" w:rsidRPr="00600ED9" w:rsidRDefault="003E0106" w:rsidP="00233205">
            <w:pPr>
              <w:pStyle w:val="NoSpacing"/>
              <w:numPr>
                <w:ilvl w:val="0"/>
                <w:numId w:val="8"/>
              </w:numPr>
              <w:jc w:val="both"/>
              <w:rPr>
                <w:sz w:val="20"/>
                <w:szCs w:val="20"/>
                <w:lang w:val="es-ES_tradnl"/>
              </w:rPr>
            </w:pPr>
            <w:r w:rsidRPr="00600ED9">
              <w:rPr>
                <w:sz w:val="20"/>
                <w:szCs w:val="20"/>
                <w:lang w:val="es-ES_tradnl"/>
              </w:rPr>
              <w:t>Durante el último ejercicio auditado, la Auditoría General de la Nación (AGN)</w:t>
            </w:r>
            <w:r w:rsidRPr="00600ED9">
              <w:rPr>
                <w:rStyle w:val="FootnoteReference"/>
                <w:sz w:val="20"/>
                <w:szCs w:val="20"/>
                <w:lang w:val="es-ES_tradnl"/>
              </w:rPr>
              <w:footnoteReference w:id="53"/>
            </w:r>
            <w:r w:rsidRPr="00600ED9">
              <w:rPr>
                <w:sz w:val="20"/>
                <w:szCs w:val="20"/>
                <w:lang w:val="es-ES_tradnl"/>
              </w:rPr>
              <w:t xml:space="preserve"> emitió una opinión CON SALVEDADES a los Estados Financieros de la CGRC al 31 de Diciembre de 2013.</w:t>
            </w:r>
          </w:p>
          <w:p w:rsidR="00E622DF" w:rsidRPr="00600ED9" w:rsidRDefault="00E622DF" w:rsidP="00E622DF">
            <w:pPr>
              <w:pStyle w:val="NoSpacing"/>
              <w:ind w:left="360"/>
              <w:jc w:val="both"/>
              <w:rPr>
                <w:sz w:val="20"/>
                <w:szCs w:val="20"/>
                <w:lang w:val="es-ES_tradnl"/>
              </w:rPr>
            </w:pPr>
          </w:p>
        </w:tc>
      </w:tr>
      <w:tr w:rsidR="003E0106" w:rsidRPr="00600ED9" w:rsidTr="00A57342">
        <w:tc>
          <w:tcPr>
            <w:tcW w:w="9356" w:type="dxa"/>
            <w:shd w:val="clear" w:color="auto" w:fill="D9D9D9" w:themeFill="background1" w:themeFillShade="D9"/>
          </w:tcPr>
          <w:p w:rsidR="003E0106" w:rsidRPr="00600ED9" w:rsidRDefault="003E0106" w:rsidP="00FB1954">
            <w:pPr>
              <w:pStyle w:val="NoSpacing"/>
              <w:rPr>
                <w:b/>
                <w:i/>
                <w:sz w:val="20"/>
                <w:szCs w:val="20"/>
                <w:lang w:val="es-ES_tradnl"/>
              </w:rPr>
            </w:pPr>
            <w:r w:rsidRPr="00600ED9">
              <w:rPr>
                <w:b/>
                <w:i/>
                <w:sz w:val="20"/>
                <w:szCs w:val="20"/>
                <w:lang w:val="es-ES_tradnl"/>
              </w:rPr>
              <w:lastRenderedPageBreak/>
              <w:t>Dimensión (iv) Entorno del control interno</w:t>
            </w:r>
          </w:p>
        </w:tc>
      </w:tr>
      <w:tr w:rsidR="003E0106" w:rsidRPr="00600ED9" w:rsidTr="00921958">
        <w:tc>
          <w:tcPr>
            <w:tcW w:w="9356" w:type="dxa"/>
            <w:shd w:val="clear" w:color="auto" w:fill="D9D9D9" w:themeFill="background1" w:themeFillShade="D9"/>
          </w:tcPr>
          <w:p w:rsidR="003E0106" w:rsidRPr="00600ED9" w:rsidRDefault="003E0106" w:rsidP="00FB1954">
            <w:pPr>
              <w:pStyle w:val="NoSpacing"/>
              <w:rPr>
                <w:i/>
                <w:sz w:val="20"/>
                <w:szCs w:val="20"/>
                <w:lang w:val="es-ES_tradnl"/>
              </w:rPr>
            </w:pPr>
            <w:r w:rsidRPr="00600ED9">
              <w:rPr>
                <w:rFonts w:cs="Calibri"/>
                <w:b/>
                <w:i/>
                <w:sz w:val="20"/>
                <w:szCs w:val="20"/>
                <w:lang w:val="es-ES_tradnl"/>
              </w:rPr>
              <w:t>Puntuación 1:</w:t>
            </w:r>
            <w:r w:rsidRPr="00600ED9">
              <w:rPr>
                <w:rFonts w:cs="Calibri"/>
                <w:i/>
                <w:sz w:val="20"/>
                <w:szCs w:val="20"/>
                <w:lang w:val="es-ES_tradnl"/>
              </w:rPr>
              <w:t xml:space="preserve"> Al menos 3 de los criterios descritos están establecidos.</w:t>
            </w:r>
          </w:p>
        </w:tc>
      </w:tr>
      <w:tr w:rsidR="003E0106" w:rsidRPr="00600ED9" w:rsidTr="00A57342">
        <w:tc>
          <w:tcPr>
            <w:tcW w:w="9356" w:type="dxa"/>
          </w:tcPr>
          <w:p w:rsidR="003E0106" w:rsidRPr="00600ED9" w:rsidRDefault="003E0106" w:rsidP="00FB1954">
            <w:pPr>
              <w:pStyle w:val="NoSpacing"/>
              <w:jc w:val="both"/>
              <w:rPr>
                <w:sz w:val="20"/>
                <w:szCs w:val="20"/>
                <w:lang w:val="es-ES_tradnl"/>
              </w:rPr>
            </w:pPr>
            <w:r w:rsidRPr="00600ED9">
              <w:rPr>
                <w:sz w:val="20"/>
                <w:szCs w:val="20"/>
                <w:lang w:val="es-ES_tradnl"/>
              </w:rPr>
              <w:t xml:space="preserve">Criterios (c), (d), (f) y (h) se cumplen. Criterios (a), (b), (e), (f), (g), (i) y (j) no cumplen. </w:t>
            </w:r>
          </w:p>
          <w:p w:rsidR="00E622DF" w:rsidRPr="00600ED9" w:rsidRDefault="00E622DF" w:rsidP="00FB1954">
            <w:pPr>
              <w:pStyle w:val="NoSpacing"/>
              <w:jc w:val="both"/>
              <w:rPr>
                <w:sz w:val="20"/>
                <w:szCs w:val="20"/>
                <w:lang w:val="es-ES_tradnl"/>
              </w:rPr>
            </w:pPr>
          </w:p>
          <w:p w:rsidR="003E0106" w:rsidRPr="00600ED9" w:rsidRDefault="003E0106" w:rsidP="00FB1954">
            <w:pPr>
              <w:pStyle w:val="NoSpacing"/>
              <w:jc w:val="both"/>
              <w:rPr>
                <w:rFonts w:cs="Calibri"/>
                <w:sz w:val="20"/>
                <w:szCs w:val="20"/>
                <w:lang w:val="es-ES_tradnl"/>
              </w:rPr>
            </w:pPr>
            <w:r w:rsidRPr="00600ED9">
              <w:rPr>
                <w:rFonts w:cs="Calibri"/>
                <w:sz w:val="20"/>
                <w:szCs w:val="20"/>
                <w:lang w:val="es-ES_tradnl"/>
              </w:rPr>
              <w:t xml:space="preserve">La CGRC </w:t>
            </w:r>
            <w:r w:rsidR="002761DF" w:rsidRPr="00600ED9">
              <w:rPr>
                <w:rFonts w:cs="Calibri"/>
                <w:sz w:val="20"/>
                <w:szCs w:val="20"/>
                <w:lang w:val="es-ES_tradnl"/>
              </w:rPr>
              <w:t xml:space="preserve">dispone de </w:t>
            </w:r>
            <w:r w:rsidRPr="00600ED9">
              <w:rPr>
                <w:rFonts w:cs="Calibri"/>
                <w:sz w:val="20"/>
                <w:szCs w:val="20"/>
                <w:lang w:val="es-ES_tradnl"/>
              </w:rPr>
              <w:t>políticas y procedimientos de control interno que han sido implementados parcialmente.</w:t>
            </w:r>
          </w:p>
          <w:p w:rsidR="00E622DF" w:rsidRPr="00600ED9" w:rsidRDefault="00E622DF" w:rsidP="00FB1954">
            <w:pPr>
              <w:pStyle w:val="NoSpacing"/>
              <w:jc w:val="both"/>
              <w:rPr>
                <w:rFonts w:cs="Calibri"/>
                <w:sz w:val="20"/>
                <w:szCs w:val="20"/>
                <w:lang w:val="es-ES_tradnl"/>
              </w:rPr>
            </w:pPr>
          </w:p>
          <w:p w:rsidR="003E0106" w:rsidRPr="00600ED9" w:rsidRDefault="003E0106" w:rsidP="00FB1954">
            <w:pPr>
              <w:pStyle w:val="NoSpacing"/>
              <w:jc w:val="both"/>
              <w:rPr>
                <w:rFonts w:cs="Calibri"/>
                <w:sz w:val="20"/>
                <w:szCs w:val="20"/>
                <w:lang w:val="es-ES_tradnl"/>
              </w:rPr>
            </w:pPr>
            <w:r w:rsidRPr="00600ED9">
              <w:rPr>
                <w:rFonts w:cs="Calibri"/>
                <w:sz w:val="20"/>
                <w:szCs w:val="20"/>
                <w:lang w:val="es-ES_tradnl"/>
              </w:rPr>
              <w:t xml:space="preserve">Actualmente, la CGRC dispone de  procedimientos para la gestión de riesgos, a nivel de macro procesos. Bajo la responsabilidad de cada uno de los directivos responsables y con el liderazgo de la Oficina de Planeación, se preparan mapas de riesgos y de acuerdo con los niveles de severidad de los riesgos identificados, se proponen acciones de mitigación que son documentadas en el Plan de Manejo de Riesgos. </w:t>
            </w:r>
          </w:p>
          <w:p w:rsidR="00E622DF" w:rsidRPr="00600ED9" w:rsidRDefault="00E622DF" w:rsidP="00FB1954">
            <w:pPr>
              <w:pStyle w:val="NoSpacing"/>
              <w:jc w:val="both"/>
              <w:rPr>
                <w:rFonts w:cs="Calibri"/>
                <w:sz w:val="20"/>
                <w:szCs w:val="20"/>
                <w:lang w:val="es-ES_tradnl"/>
              </w:rPr>
            </w:pPr>
          </w:p>
          <w:p w:rsidR="003E0106" w:rsidRPr="00600ED9" w:rsidRDefault="003E0106" w:rsidP="00FB1954">
            <w:pPr>
              <w:pStyle w:val="NoSpacing"/>
              <w:jc w:val="both"/>
              <w:rPr>
                <w:rFonts w:cs="Calibri"/>
                <w:sz w:val="20"/>
                <w:szCs w:val="20"/>
                <w:lang w:val="es-ES_tradnl"/>
              </w:rPr>
            </w:pPr>
            <w:r w:rsidRPr="00600ED9">
              <w:rPr>
                <w:rFonts w:cs="Calibri"/>
                <w:sz w:val="20"/>
                <w:szCs w:val="20"/>
                <w:lang w:val="es-ES_tradnl"/>
              </w:rPr>
              <w:t xml:space="preserve">En los aspectos relacionados con la evaluación del Sistema de Control Interno Institucional, la CGRC dispone de una Oficina de Control Interno (OCI) que ejerce sus funciones, con el propósito de confirmar la existencia, funcionamiento y coherencia de los componentes y elementos que conforman el control interno de la institución. Sin embargo, la OCI no dispone de recursos humanos suficientes para el desarrollo de sus funciones. </w:t>
            </w:r>
            <w:r w:rsidRPr="00600ED9">
              <w:rPr>
                <w:sz w:val="20"/>
                <w:szCs w:val="20"/>
                <w:lang w:val="es-ES_tradnl"/>
              </w:rPr>
              <w:t>Como apoyo al fortalecimiento de la función de auditoría interna, la OCI se propone adelantar el proceso de certificación de calidad de la OCI bajo el marco internacional</w:t>
            </w:r>
            <w:r w:rsidRPr="00600ED9">
              <w:rPr>
                <w:rFonts w:cs="Calibri"/>
                <w:sz w:val="20"/>
                <w:szCs w:val="20"/>
                <w:lang w:val="es-ES_tradnl"/>
              </w:rPr>
              <w:t>.</w:t>
            </w:r>
          </w:p>
          <w:p w:rsidR="00E622DF" w:rsidRPr="00600ED9" w:rsidRDefault="00E622DF" w:rsidP="00FB1954">
            <w:pPr>
              <w:pStyle w:val="NoSpacing"/>
              <w:jc w:val="both"/>
              <w:rPr>
                <w:sz w:val="20"/>
                <w:szCs w:val="20"/>
                <w:lang w:val="es-ES_tradnl"/>
              </w:rPr>
            </w:pPr>
          </w:p>
          <w:p w:rsidR="003E0106" w:rsidRPr="00600ED9" w:rsidRDefault="003E0106" w:rsidP="00FB1954">
            <w:pPr>
              <w:pStyle w:val="NoSpacing"/>
              <w:jc w:val="both"/>
              <w:rPr>
                <w:sz w:val="20"/>
                <w:szCs w:val="20"/>
                <w:lang w:val="es-ES_tradnl"/>
              </w:rPr>
            </w:pPr>
            <w:r w:rsidRPr="00600ED9">
              <w:rPr>
                <w:sz w:val="20"/>
                <w:szCs w:val="20"/>
                <w:lang w:val="es-ES_tradnl"/>
              </w:rPr>
              <w:t>Las políticas y procedimientos de control interno requieren ser actualizadas, entre otros para incorporar lo siguiente:</w:t>
            </w:r>
          </w:p>
          <w:p w:rsidR="002761DF" w:rsidRPr="00600ED9" w:rsidRDefault="002761DF" w:rsidP="00FB1954">
            <w:pPr>
              <w:pStyle w:val="NoSpacing"/>
              <w:jc w:val="both"/>
              <w:rPr>
                <w:sz w:val="20"/>
                <w:szCs w:val="20"/>
                <w:lang w:val="es-ES_tradnl"/>
              </w:rPr>
            </w:pPr>
          </w:p>
          <w:p w:rsidR="003E0106" w:rsidRPr="00600ED9" w:rsidRDefault="003E0106" w:rsidP="00233205">
            <w:pPr>
              <w:pStyle w:val="NoSpacing"/>
              <w:numPr>
                <w:ilvl w:val="0"/>
                <w:numId w:val="9"/>
              </w:numPr>
              <w:jc w:val="both"/>
              <w:rPr>
                <w:sz w:val="20"/>
                <w:szCs w:val="20"/>
                <w:lang w:val="es-ES_tradnl"/>
              </w:rPr>
            </w:pPr>
            <w:r w:rsidRPr="00600ED9">
              <w:rPr>
                <w:sz w:val="20"/>
                <w:szCs w:val="20"/>
                <w:lang w:val="es-ES_tradnl"/>
              </w:rPr>
              <w:t>Realizar un seguimiento a la correcta implementación de los procedimientos de control interno.</w:t>
            </w:r>
          </w:p>
          <w:p w:rsidR="003E0106" w:rsidRPr="00600ED9" w:rsidRDefault="003E0106" w:rsidP="00233205">
            <w:pPr>
              <w:pStyle w:val="NoSpacing"/>
              <w:numPr>
                <w:ilvl w:val="0"/>
                <w:numId w:val="9"/>
              </w:numPr>
              <w:jc w:val="both"/>
              <w:rPr>
                <w:sz w:val="20"/>
                <w:szCs w:val="20"/>
                <w:lang w:val="es-ES_tradnl"/>
              </w:rPr>
            </w:pPr>
            <w:r w:rsidRPr="00600ED9">
              <w:rPr>
                <w:sz w:val="20"/>
                <w:szCs w:val="20"/>
                <w:lang w:val="es-ES_tradnl"/>
              </w:rPr>
              <w:t>Permitir que el Contralor General de la República, como lo establecen las mejores prácticas, emita una declaración firmada sobre el estado y funcionamiento del  control interno de la CGRC, la cual sea publicada como parte de su informe anual de gestión.</w:t>
            </w:r>
          </w:p>
          <w:p w:rsidR="003E0106" w:rsidRPr="00600ED9" w:rsidRDefault="003E0106" w:rsidP="00233205">
            <w:pPr>
              <w:pStyle w:val="NoSpacing"/>
              <w:numPr>
                <w:ilvl w:val="0"/>
                <w:numId w:val="9"/>
              </w:numPr>
              <w:jc w:val="both"/>
              <w:rPr>
                <w:sz w:val="20"/>
                <w:szCs w:val="20"/>
                <w:lang w:val="es-ES_tradnl"/>
              </w:rPr>
            </w:pPr>
            <w:r w:rsidRPr="00600ED9">
              <w:rPr>
                <w:sz w:val="20"/>
                <w:szCs w:val="20"/>
                <w:lang w:val="es-ES_tradnl"/>
              </w:rPr>
              <w:t>Implementar procedimientos para recepción y trámite de denuncias de los empleados sobre presuntas violaciones a las políticas establecidas.</w:t>
            </w:r>
          </w:p>
          <w:p w:rsidR="003E0106" w:rsidRPr="00600ED9" w:rsidRDefault="003E0106" w:rsidP="00233205">
            <w:pPr>
              <w:pStyle w:val="NoSpacing"/>
              <w:numPr>
                <w:ilvl w:val="0"/>
                <w:numId w:val="9"/>
              </w:numPr>
              <w:jc w:val="both"/>
              <w:rPr>
                <w:sz w:val="20"/>
                <w:szCs w:val="20"/>
                <w:lang w:val="es-ES_tradnl"/>
              </w:rPr>
            </w:pPr>
            <w:r w:rsidRPr="00600ED9">
              <w:rPr>
                <w:sz w:val="20"/>
                <w:szCs w:val="20"/>
                <w:lang w:val="es-ES_tradnl"/>
              </w:rPr>
              <w:t>Preparar, hacer seguimiento y actualizar periódicamente planes de contingencia por parte de la Oficina de Sistemas e Informática.</w:t>
            </w:r>
          </w:p>
          <w:p w:rsidR="003E0106" w:rsidRPr="00600ED9" w:rsidRDefault="003E0106" w:rsidP="00233205">
            <w:pPr>
              <w:pStyle w:val="NoSpacing"/>
              <w:numPr>
                <w:ilvl w:val="0"/>
                <w:numId w:val="9"/>
              </w:numPr>
              <w:jc w:val="both"/>
              <w:rPr>
                <w:sz w:val="20"/>
                <w:szCs w:val="20"/>
                <w:lang w:val="es-ES_tradnl"/>
              </w:rPr>
            </w:pPr>
            <w:r w:rsidRPr="00600ED9">
              <w:rPr>
                <w:sz w:val="20"/>
                <w:szCs w:val="20"/>
                <w:lang w:val="es-ES_tradnl"/>
              </w:rPr>
              <w:t xml:space="preserve">Realizar seguimiento a la ejecución de las actividades de monitoreo los Planes de Manejo de Riesgos.  </w:t>
            </w:r>
          </w:p>
          <w:p w:rsidR="003E0106" w:rsidRPr="00600ED9" w:rsidRDefault="003E0106" w:rsidP="00233205">
            <w:pPr>
              <w:pStyle w:val="NoSpacing"/>
              <w:numPr>
                <w:ilvl w:val="0"/>
                <w:numId w:val="9"/>
              </w:numPr>
              <w:jc w:val="both"/>
              <w:rPr>
                <w:sz w:val="20"/>
                <w:szCs w:val="20"/>
                <w:lang w:val="es-ES_tradnl"/>
              </w:rPr>
            </w:pPr>
            <w:r w:rsidRPr="00600ED9">
              <w:rPr>
                <w:sz w:val="20"/>
                <w:szCs w:val="20"/>
                <w:lang w:val="es-ES_tradnl"/>
              </w:rPr>
              <w:t>Garantizar que la OCI informe directamente al Comité de Coordinación del Sistema de Control Interno.</w:t>
            </w:r>
          </w:p>
          <w:p w:rsidR="003E0106" w:rsidRPr="00600ED9" w:rsidRDefault="003E0106" w:rsidP="00233205">
            <w:pPr>
              <w:pStyle w:val="NoSpacing"/>
              <w:numPr>
                <w:ilvl w:val="0"/>
                <w:numId w:val="9"/>
              </w:numPr>
              <w:jc w:val="both"/>
              <w:rPr>
                <w:sz w:val="20"/>
                <w:szCs w:val="20"/>
                <w:lang w:val="es-ES_tradnl"/>
              </w:rPr>
            </w:pPr>
            <w:r w:rsidRPr="00600ED9">
              <w:rPr>
                <w:sz w:val="20"/>
                <w:szCs w:val="20"/>
                <w:lang w:val="es-ES_tradnl"/>
              </w:rPr>
              <w:t>Diseñar procedimientos para el seguimiento a la implementación de las recomendaciones de los informes de auditoría interna.</w:t>
            </w:r>
          </w:p>
        </w:tc>
      </w:tr>
    </w:tbl>
    <w:p w:rsidR="00921958" w:rsidRPr="00600ED9" w:rsidRDefault="00921958" w:rsidP="00FB1954">
      <w:pPr>
        <w:pStyle w:val="NoSpacing"/>
        <w:ind w:left="720"/>
        <w:rPr>
          <w:lang w:val="es-ES_tradnl"/>
        </w:rPr>
      </w:pPr>
    </w:p>
    <w:p w:rsidR="007C6B89" w:rsidRPr="00600ED9" w:rsidRDefault="003B04AB" w:rsidP="00FB1954">
      <w:pPr>
        <w:pStyle w:val="NoSpacing"/>
        <w:ind w:left="720"/>
        <w:rPr>
          <w:lang w:val="es-ES_tradnl"/>
        </w:rPr>
      </w:pPr>
      <w:r w:rsidRPr="00600ED9">
        <w:rPr>
          <w:b/>
          <w:bCs/>
          <w:smallCaps/>
          <w:lang w:val="es-ES_tradnl"/>
        </w:rPr>
        <w:t>Recomendaciones:</w:t>
      </w:r>
      <w:r w:rsidR="00607ACE" w:rsidRPr="00600ED9">
        <w:rPr>
          <w:b/>
          <w:bCs/>
          <w:smallCaps/>
          <w:lang w:val="es-ES_tradnl"/>
        </w:rPr>
        <w:t xml:space="preserve"> </w:t>
      </w:r>
      <w:r w:rsidR="005120A2" w:rsidRPr="00600ED9">
        <w:rPr>
          <w:lang w:val="es-ES_tradnl"/>
        </w:rPr>
        <w:t>Consultar el</w:t>
      </w:r>
      <w:r w:rsidR="00CA3E61" w:rsidRPr="00600ED9">
        <w:rPr>
          <w:lang w:val="es-ES_tradnl"/>
        </w:rPr>
        <w:t xml:space="preserve"> Anexo </w:t>
      </w:r>
      <w:r w:rsidR="003E0106" w:rsidRPr="00600ED9">
        <w:rPr>
          <w:lang w:val="es-ES_tradnl"/>
        </w:rPr>
        <w:t>A</w:t>
      </w:r>
      <w:r w:rsidR="00CA3E61" w:rsidRPr="00600ED9">
        <w:rPr>
          <w:lang w:val="es-ES_tradnl"/>
        </w:rPr>
        <w:t xml:space="preserve">: Plan de Acción, </w:t>
      </w:r>
      <w:r w:rsidR="00167E50" w:rsidRPr="00600ED9">
        <w:rPr>
          <w:lang w:val="es-ES_tradnl"/>
        </w:rPr>
        <w:t>r</w:t>
      </w:r>
      <w:r w:rsidR="003E0106" w:rsidRPr="00600ED9">
        <w:rPr>
          <w:lang w:val="es-ES_tradnl"/>
        </w:rPr>
        <w:t xml:space="preserve">ecomendaciones </w:t>
      </w:r>
      <w:r w:rsidR="00C153F7" w:rsidRPr="00600ED9">
        <w:rPr>
          <w:lang w:val="es-ES_tradnl"/>
        </w:rPr>
        <w:t>17 a 20</w:t>
      </w:r>
      <w:r w:rsidR="00CA3E61" w:rsidRPr="00600ED9">
        <w:rPr>
          <w:lang w:val="es-ES_tradnl"/>
        </w:rPr>
        <w:t>.</w:t>
      </w:r>
    </w:p>
    <w:p w:rsidR="00517A95" w:rsidRPr="00600ED9" w:rsidRDefault="00B93BCD" w:rsidP="00FB1954">
      <w:pPr>
        <w:pStyle w:val="Heading2"/>
        <w:spacing w:before="0" w:line="240" w:lineRule="auto"/>
      </w:pPr>
      <w:bookmarkStart w:id="34" w:name="_Toc295932926"/>
      <w:r w:rsidRPr="00600ED9">
        <w:lastRenderedPageBreak/>
        <w:t xml:space="preserve">EFS </w:t>
      </w:r>
      <w:r w:rsidR="00720E42" w:rsidRPr="00600ED9">
        <w:t>19 – Gestión de Activos y Servicios de Apoyo</w:t>
      </w:r>
      <w:bookmarkEnd w:id="34"/>
    </w:p>
    <w:p w:rsidR="00C774CB" w:rsidRPr="00EA1355" w:rsidRDefault="00C774CB" w:rsidP="00FB1954">
      <w:pPr>
        <w:pStyle w:val="NoSpacing"/>
        <w:rPr>
          <w:sz w:val="24"/>
          <w:lang w:val="es-ES_tradnl"/>
        </w:rPr>
      </w:pPr>
    </w:p>
    <w:tbl>
      <w:tblPr>
        <w:tblW w:w="8010" w:type="dxa"/>
        <w:tblInd w:w="720" w:type="dxa"/>
        <w:tblCellMar>
          <w:left w:w="70" w:type="dxa"/>
          <w:right w:w="70" w:type="dxa"/>
        </w:tblCellMar>
        <w:tblLook w:val="04A0" w:firstRow="1" w:lastRow="0" w:firstColumn="1" w:lastColumn="0" w:noHBand="0" w:noVBand="1"/>
      </w:tblPr>
      <w:tblGrid>
        <w:gridCol w:w="2560"/>
        <w:gridCol w:w="2300"/>
        <w:gridCol w:w="1800"/>
        <w:gridCol w:w="160"/>
        <w:gridCol w:w="1190"/>
      </w:tblGrid>
      <w:tr w:rsidR="000D37A0" w:rsidRPr="00600ED9" w:rsidTr="000D37A0">
        <w:trPr>
          <w:trHeight w:val="255"/>
        </w:trPr>
        <w:tc>
          <w:tcPr>
            <w:tcW w:w="2560" w:type="dxa"/>
            <w:tcBorders>
              <w:top w:val="nil"/>
              <w:left w:val="nil"/>
              <w:bottom w:val="nil"/>
              <w:right w:val="nil"/>
            </w:tcBorders>
            <w:shd w:val="clear" w:color="auto" w:fill="auto"/>
            <w:noWrap/>
            <w:vAlign w:val="bottom"/>
            <w:hideMark/>
          </w:tcPr>
          <w:p w:rsidR="000D37A0" w:rsidRPr="00600ED9" w:rsidRDefault="000D37A0" w:rsidP="00FB1954">
            <w:pPr>
              <w:pStyle w:val="NoSpacing"/>
              <w:tabs>
                <w:tab w:val="center" w:pos="4680"/>
                <w:tab w:val="right" w:pos="9360"/>
              </w:tabs>
              <w:jc w:val="center"/>
              <w:rPr>
                <w:sz w:val="20"/>
                <w:szCs w:val="20"/>
                <w:lang w:val="es-ES_tradnl"/>
              </w:rPr>
            </w:pPr>
          </w:p>
        </w:tc>
        <w:tc>
          <w:tcPr>
            <w:tcW w:w="4100"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0D37A0" w:rsidRPr="00600ED9" w:rsidRDefault="000D37A0" w:rsidP="00FB1954">
            <w:pPr>
              <w:pStyle w:val="NoSpacing"/>
              <w:jc w:val="center"/>
              <w:rPr>
                <w:b/>
                <w:bCs/>
                <w:sz w:val="20"/>
                <w:szCs w:val="20"/>
                <w:lang w:val="es-ES_tradnl"/>
              </w:rPr>
            </w:pPr>
            <w:r w:rsidRPr="00600ED9">
              <w:rPr>
                <w:b/>
                <w:bCs/>
                <w:sz w:val="20"/>
                <w:szCs w:val="20"/>
                <w:lang w:val="es-ES_tradnl"/>
              </w:rPr>
              <w:t>Dimensiones Evaluadas</w:t>
            </w:r>
          </w:p>
        </w:tc>
        <w:tc>
          <w:tcPr>
            <w:tcW w:w="160" w:type="dxa"/>
            <w:tcBorders>
              <w:top w:val="nil"/>
              <w:left w:val="nil"/>
              <w:bottom w:val="nil"/>
              <w:right w:val="nil"/>
            </w:tcBorders>
            <w:shd w:val="clear" w:color="auto" w:fill="auto"/>
            <w:noWrap/>
            <w:vAlign w:val="bottom"/>
            <w:hideMark/>
          </w:tcPr>
          <w:p w:rsidR="000D37A0" w:rsidRPr="00600ED9" w:rsidRDefault="000D37A0" w:rsidP="00FB1954">
            <w:pPr>
              <w:pStyle w:val="NoSpacing"/>
              <w:tabs>
                <w:tab w:val="center" w:pos="4680"/>
                <w:tab w:val="right" w:pos="9360"/>
              </w:tabs>
              <w:jc w:val="center"/>
              <w:rPr>
                <w:sz w:val="20"/>
                <w:szCs w:val="20"/>
                <w:lang w:val="es-ES_tradnl"/>
              </w:rPr>
            </w:pPr>
          </w:p>
        </w:tc>
        <w:tc>
          <w:tcPr>
            <w:tcW w:w="1190" w:type="dxa"/>
            <w:vMerge w:val="restart"/>
            <w:tcBorders>
              <w:top w:val="single" w:sz="4" w:space="0" w:color="auto"/>
              <w:left w:val="single" w:sz="4" w:space="0" w:color="auto"/>
              <w:right w:val="single" w:sz="4" w:space="0" w:color="auto"/>
            </w:tcBorders>
            <w:shd w:val="clear" w:color="000000" w:fill="95B3D7"/>
            <w:vAlign w:val="center"/>
            <w:hideMark/>
          </w:tcPr>
          <w:p w:rsidR="000D37A0" w:rsidRPr="00600ED9" w:rsidRDefault="000D37A0" w:rsidP="00FB1954">
            <w:pPr>
              <w:pStyle w:val="NoSpacing"/>
              <w:jc w:val="center"/>
              <w:rPr>
                <w:b/>
                <w:bCs/>
                <w:sz w:val="20"/>
                <w:szCs w:val="20"/>
                <w:lang w:val="es-ES_tradnl"/>
              </w:rPr>
            </w:pPr>
            <w:r w:rsidRPr="00600ED9">
              <w:rPr>
                <w:b/>
                <w:bCs/>
                <w:sz w:val="20"/>
                <w:szCs w:val="20"/>
                <w:lang w:val="es-ES_tradnl"/>
              </w:rPr>
              <w:t>Puntuación General</w:t>
            </w:r>
          </w:p>
        </w:tc>
      </w:tr>
      <w:tr w:rsidR="000D37A0" w:rsidRPr="00600ED9" w:rsidTr="000D37A0">
        <w:trPr>
          <w:trHeight w:val="390"/>
        </w:trPr>
        <w:tc>
          <w:tcPr>
            <w:tcW w:w="256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0D37A0" w:rsidRPr="00600ED9" w:rsidRDefault="000D37A0" w:rsidP="00FB1954">
            <w:pPr>
              <w:pStyle w:val="NoSpacing"/>
              <w:jc w:val="center"/>
              <w:rPr>
                <w:b/>
                <w:bCs/>
                <w:sz w:val="20"/>
                <w:szCs w:val="20"/>
                <w:lang w:val="es-ES_tradnl"/>
              </w:rPr>
            </w:pPr>
            <w:r w:rsidRPr="00600ED9">
              <w:rPr>
                <w:b/>
                <w:bCs/>
                <w:sz w:val="20"/>
                <w:szCs w:val="20"/>
                <w:lang w:val="es-ES_tradnl"/>
              </w:rPr>
              <w:t>Indicadores</w:t>
            </w:r>
          </w:p>
        </w:tc>
        <w:tc>
          <w:tcPr>
            <w:tcW w:w="2300" w:type="dxa"/>
            <w:tcBorders>
              <w:top w:val="nil"/>
              <w:left w:val="nil"/>
              <w:bottom w:val="single" w:sz="4" w:space="0" w:color="auto"/>
              <w:right w:val="single" w:sz="4" w:space="0" w:color="auto"/>
            </w:tcBorders>
            <w:shd w:val="clear" w:color="000000" w:fill="D8D8D8"/>
            <w:noWrap/>
            <w:hideMark/>
          </w:tcPr>
          <w:p w:rsidR="000D37A0" w:rsidRPr="00600ED9" w:rsidRDefault="003E0106" w:rsidP="00FB1954">
            <w:pPr>
              <w:pStyle w:val="NoSpacing"/>
              <w:jc w:val="center"/>
              <w:rPr>
                <w:b/>
                <w:bCs/>
                <w:w w:val="90"/>
                <w:sz w:val="20"/>
                <w:szCs w:val="20"/>
                <w:lang w:val="es-ES_tradnl"/>
              </w:rPr>
            </w:pPr>
            <w:r w:rsidRPr="00600ED9">
              <w:rPr>
                <w:b/>
                <w:bCs/>
                <w:w w:val="90"/>
                <w:sz w:val="20"/>
                <w:szCs w:val="20"/>
                <w:lang w:val="es-ES_tradnl"/>
              </w:rPr>
              <w:t>(i)</w:t>
            </w:r>
          </w:p>
          <w:p w:rsidR="000D37A0" w:rsidRPr="00600ED9" w:rsidRDefault="000D37A0" w:rsidP="00FB1954">
            <w:pPr>
              <w:pStyle w:val="NoSpacing"/>
              <w:jc w:val="center"/>
              <w:rPr>
                <w:b/>
                <w:bCs/>
                <w:w w:val="90"/>
                <w:sz w:val="20"/>
                <w:szCs w:val="20"/>
                <w:lang w:val="es-ES_tradnl"/>
              </w:rPr>
            </w:pPr>
            <w:r w:rsidRPr="00600ED9">
              <w:rPr>
                <w:w w:val="90"/>
                <w:sz w:val="20"/>
                <w:szCs w:val="20"/>
                <w:lang w:val="es-ES_tradnl"/>
              </w:rPr>
              <w:t>Planeación y Uso Efectivo de los Activos e Infraestructura</w:t>
            </w:r>
          </w:p>
        </w:tc>
        <w:tc>
          <w:tcPr>
            <w:tcW w:w="1800" w:type="dxa"/>
            <w:tcBorders>
              <w:top w:val="nil"/>
              <w:left w:val="nil"/>
              <w:bottom w:val="single" w:sz="4" w:space="0" w:color="auto"/>
              <w:right w:val="single" w:sz="4" w:space="0" w:color="auto"/>
            </w:tcBorders>
            <w:shd w:val="clear" w:color="000000" w:fill="D8D8D8"/>
            <w:noWrap/>
            <w:hideMark/>
          </w:tcPr>
          <w:p w:rsidR="000D37A0" w:rsidRPr="00600ED9" w:rsidRDefault="003E0106" w:rsidP="00FB1954">
            <w:pPr>
              <w:pStyle w:val="NoSpacing"/>
              <w:jc w:val="center"/>
              <w:rPr>
                <w:b/>
                <w:bCs/>
                <w:w w:val="90"/>
                <w:sz w:val="20"/>
                <w:szCs w:val="20"/>
                <w:lang w:val="es-ES_tradnl"/>
              </w:rPr>
            </w:pPr>
            <w:r w:rsidRPr="00600ED9">
              <w:rPr>
                <w:b/>
                <w:bCs/>
                <w:w w:val="90"/>
                <w:sz w:val="20"/>
                <w:szCs w:val="20"/>
                <w:lang w:val="es-ES_tradnl"/>
              </w:rPr>
              <w:t>(ii)</w:t>
            </w:r>
          </w:p>
          <w:p w:rsidR="000D37A0" w:rsidRPr="00600ED9" w:rsidRDefault="000D37A0" w:rsidP="00607ACE">
            <w:pPr>
              <w:pStyle w:val="NoSpacing"/>
              <w:jc w:val="center"/>
              <w:rPr>
                <w:bCs/>
                <w:w w:val="90"/>
                <w:sz w:val="20"/>
                <w:szCs w:val="20"/>
                <w:lang w:val="es-ES_tradnl"/>
              </w:rPr>
            </w:pPr>
            <w:r w:rsidRPr="00600ED9">
              <w:rPr>
                <w:bCs/>
                <w:w w:val="90"/>
                <w:sz w:val="20"/>
                <w:szCs w:val="20"/>
                <w:lang w:val="es-ES_tradnl"/>
              </w:rPr>
              <w:t>Se</w:t>
            </w:r>
            <w:r w:rsidR="00607ACE" w:rsidRPr="00600ED9">
              <w:rPr>
                <w:bCs/>
                <w:w w:val="90"/>
                <w:sz w:val="20"/>
                <w:szCs w:val="20"/>
                <w:lang w:val="es-ES_tradnl"/>
              </w:rPr>
              <w:t>rvicios de Apoyo Administrativo</w:t>
            </w:r>
          </w:p>
        </w:tc>
        <w:tc>
          <w:tcPr>
            <w:tcW w:w="160" w:type="dxa"/>
            <w:tcBorders>
              <w:top w:val="nil"/>
              <w:left w:val="nil"/>
              <w:bottom w:val="nil"/>
              <w:right w:val="nil"/>
            </w:tcBorders>
            <w:shd w:val="clear" w:color="auto" w:fill="auto"/>
            <w:noWrap/>
            <w:hideMark/>
          </w:tcPr>
          <w:p w:rsidR="000D37A0" w:rsidRPr="00600ED9" w:rsidRDefault="000D37A0" w:rsidP="00FB1954">
            <w:pPr>
              <w:pStyle w:val="NoSpacing"/>
              <w:tabs>
                <w:tab w:val="center" w:pos="4680"/>
                <w:tab w:val="right" w:pos="9360"/>
              </w:tabs>
              <w:jc w:val="center"/>
              <w:rPr>
                <w:sz w:val="20"/>
                <w:szCs w:val="20"/>
                <w:lang w:val="es-ES_tradnl"/>
              </w:rPr>
            </w:pPr>
          </w:p>
        </w:tc>
        <w:tc>
          <w:tcPr>
            <w:tcW w:w="1190" w:type="dxa"/>
            <w:vMerge/>
            <w:tcBorders>
              <w:left w:val="single" w:sz="4" w:space="0" w:color="auto"/>
              <w:bottom w:val="single" w:sz="4" w:space="0" w:color="auto"/>
              <w:right w:val="single" w:sz="4" w:space="0" w:color="auto"/>
            </w:tcBorders>
            <w:hideMark/>
          </w:tcPr>
          <w:p w:rsidR="000D37A0" w:rsidRPr="00600ED9" w:rsidRDefault="000D37A0" w:rsidP="00FB1954">
            <w:pPr>
              <w:pStyle w:val="NoSpacing"/>
              <w:tabs>
                <w:tab w:val="center" w:pos="4680"/>
                <w:tab w:val="right" w:pos="9360"/>
              </w:tabs>
              <w:jc w:val="center"/>
              <w:rPr>
                <w:b/>
                <w:bCs/>
                <w:sz w:val="20"/>
                <w:szCs w:val="20"/>
                <w:lang w:val="es-ES_tradnl"/>
              </w:rPr>
            </w:pPr>
          </w:p>
        </w:tc>
      </w:tr>
      <w:tr w:rsidR="00071CF6" w:rsidRPr="00600ED9" w:rsidTr="000D37A0">
        <w:trPr>
          <w:trHeight w:val="510"/>
        </w:trPr>
        <w:tc>
          <w:tcPr>
            <w:tcW w:w="2560" w:type="dxa"/>
            <w:tcBorders>
              <w:top w:val="nil"/>
              <w:left w:val="single" w:sz="4" w:space="0" w:color="auto"/>
              <w:bottom w:val="single" w:sz="4" w:space="0" w:color="auto"/>
              <w:right w:val="single" w:sz="4" w:space="0" w:color="auto"/>
            </w:tcBorders>
            <w:shd w:val="clear" w:color="auto" w:fill="auto"/>
            <w:vAlign w:val="center"/>
            <w:hideMark/>
          </w:tcPr>
          <w:p w:rsidR="00071CF6" w:rsidRPr="00600ED9" w:rsidRDefault="00071CF6" w:rsidP="00FB1954">
            <w:pPr>
              <w:pStyle w:val="NoSpacing"/>
              <w:jc w:val="center"/>
              <w:rPr>
                <w:b/>
                <w:bCs/>
                <w:sz w:val="20"/>
                <w:szCs w:val="20"/>
                <w:lang w:val="es-ES_tradnl"/>
              </w:rPr>
            </w:pPr>
            <w:r w:rsidRPr="00600ED9">
              <w:rPr>
                <w:rFonts w:eastAsia="Calibri" w:cs="Times New Roman"/>
                <w:b/>
                <w:sz w:val="20"/>
                <w:szCs w:val="20"/>
                <w:lang w:val="es-ES_tradnl"/>
              </w:rPr>
              <w:t>EFS 19 – Gestión de Activos y Servicios de Apoyo</w:t>
            </w:r>
          </w:p>
        </w:tc>
        <w:tc>
          <w:tcPr>
            <w:tcW w:w="2300" w:type="dxa"/>
            <w:tcBorders>
              <w:top w:val="nil"/>
              <w:left w:val="nil"/>
              <w:bottom w:val="single" w:sz="4" w:space="0" w:color="auto"/>
              <w:right w:val="single" w:sz="4" w:space="0" w:color="auto"/>
            </w:tcBorders>
            <w:shd w:val="clear" w:color="auto" w:fill="auto"/>
            <w:noWrap/>
            <w:vAlign w:val="center"/>
          </w:tcPr>
          <w:p w:rsidR="00071CF6" w:rsidRPr="00600ED9" w:rsidRDefault="00071CF6" w:rsidP="00FB1954">
            <w:pPr>
              <w:pStyle w:val="NoSpacing"/>
              <w:jc w:val="center"/>
              <w:rPr>
                <w:b/>
                <w:bCs/>
                <w:sz w:val="20"/>
                <w:szCs w:val="20"/>
                <w:lang w:val="es-ES_tradnl"/>
              </w:rPr>
            </w:pPr>
            <w:r w:rsidRPr="00600ED9">
              <w:rPr>
                <w:b/>
                <w:bCs/>
                <w:sz w:val="20"/>
                <w:szCs w:val="20"/>
                <w:lang w:val="es-ES_tradnl"/>
              </w:rPr>
              <w:t>1</w:t>
            </w:r>
          </w:p>
        </w:tc>
        <w:tc>
          <w:tcPr>
            <w:tcW w:w="1800" w:type="dxa"/>
            <w:tcBorders>
              <w:top w:val="nil"/>
              <w:left w:val="nil"/>
              <w:bottom w:val="single" w:sz="4" w:space="0" w:color="auto"/>
              <w:right w:val="single" w:sz="4" w:space="0" w:color="auto"/>
            </w:tcBorders>
            <w:shd w:val="clear" w:color="auto" w:fill="auto"/>
            <w:noWrap/>
            <w:vAlign w:val="center"/>
          </w:tcPr>
          <w:p w:rsidR="00071CF6" w:rsidRPr="00600ED9" w:rsidRDefault="00071CF6" w:rsidP="00FB1954">
            <w:pPr>
              <w:pStyle w:val="NoSpacing"/>
              <w:jc w:val="center"/>
              <w:rPr>
                <w:b/>
                <w:bCs/>
                <w:sz w:val="20"/>
                <w:szCs w:val="20"/>
                <w:lang w:val="es-ES_tradnl"/>
              </w:rPr>
            </w:pPr>
            <w:r w:rsidRPr="00600ED9">
              <w:rPr>
                <w:b/>
                <w:bCs/>
                <w:sz w:val="20"/>
                <w:szCs w:val="20"/>
                <w:lang w:val="es-ES_tradnl"/>
              </w:rPr>
              <w:t>0</w:t>
            </w:r>
          </w:p>
        </w:tc>
        <w:tc>
          <w:tcPr>
            <w:tcW w:w="160" w:type="dxa"/>
            <w:tcBorders>
              <w:top w:val="nil"/>
              <w:left w:val="nil"/>
              <w:bottom w:val="nil"/>
              <w:right w:val="nil"/>
            </w:tcBorders>
            <w:shd w:val="clear" w:color="auto" w:fill="auto"/>
            <w:noWrap/>
            <w:vAlign w:val="bottom"/>
          </w:tcPr>
          <w:p w:rsidR="00071CF6" w:rsidRPr="00600ED9" w:rsidRDefault="00071CF6" w:rsidP="00FB1954">
            <w:pPr>
              <w:pStyle w:val="NoSpacing"/>
              <w:tabs>
                <w:tab w:val="center" w:pos="4680"/>
                <w:tab w:val="right" w:pos="9360"/>
              </w:tabs>
              <w:jc w:val="center"/>
              <w:rPr>
                <w:sz w:val="20"/>
                <w:szCs w:val="20"/>
                <w:lang w:val="es-ES_tradnl"/>
              </w:rPr>
            </w:pPr>
          </w:p>
        </w:tc>
        <w:tc>
          <w:tcPr>
            <w:tcW w:w="1190" w:type="dxa"/>
            <w:tcBorders>
              <w:top w:val="nil"/>
              <w:left w:val="single" w:sz="4" w:space="0" w:color="auto"/>
              <w:bottom w:val="single" w:sz="4" w:space="0" w:color="auto"/>
              <w:right w:val="single" w:sz="4" w:space="0" w:color="auto"/>
            </w:tcBorders>
            <w:shd w:val="clear" w:color="auto" w:fill="auto"/>
            <w:noWrap/>
            <w:vAlign w:val="center"/>
          </w:tcPr>
          <w:p w:rsidR="00071CF6" w:rsidRPr="00600ED9" w:rsidRDefault="00071CF6" w:rsidP="00FB1954">
            <w:pPr>
              <w:pStyle w:val="NoSpacing"/>
              <w:jc w:val="center"/>
              <w:rPr>
                <w:b/>
                <w:sz w:val="20"/>
                <w:szCs w:val="20"/>
                <w:lang w:val="es-ES_tradnl"/>
              </w:rPr>
            </w:pPr>
            <w:r w:rsidRPr="00600ED9">
              <w:rPr>
                <w:b/>
                <w:sz w:val="20"/>
                <w:szCs w:val="20"/>
                <w:lang w:val="es-ES_tradnl"/>
              </w:rPr>
              <w:t>0</w:t>
            </w:r>
          </w:p>
        </w:tc>
      </w:tr>
    </w:tbl>
    <w:p w:rsidR="003156B1" w:rsidRPr="00EA1355" w:rsidRDefault="003156B1" w:rsidP="00FB1954">
      <w:pPr>
        <w:pStyle w:val="NoSpacing"/>
        <w:rPr>
          <w:sz w:val="24"/>
          <w:lang w:val="es-ES_tradnl"/>
        </w:rPr>
      </w:pPr>
    </w:p>
    <w:p w:rsidR="00071CF6" w:rsidRPr="00600ED9" w:rsidRDefault="00071CF6" w:rsidP="00FB1954">
      <w:pPr>
        <w:spacing w:after="0" w:line="240" w:lineRule="auto"/>
        <w:ind w:left="720"/>
        <w:jc w:val="both"/>
        <w:rPr>
          <w:szCs w:val="20"/>
        </w:rPr>
      </w:pPr>
      <w:r w:rsidRPr="00600ED9">
        <w:rPr>
          <w:szCs w:val="20"/>
        </w:rPr>
        <w:t xml:space="preserve">La </w:t>
      </w:r>
      <w:r w:rsidR="00431CA4" w:rsidRPr="00600ED9">
        <w:rPr>
          <w:szCs w:val="20"/>
        </w:rPr>
        <w:t>CGRC</w:t>
      </w:r>
      <w:r w:rsidRPr="00600ED9">
        <w:rPr>
          <w:szCs w:val="20"/>
        </w:rPr>
        <w:t xml:space="preserve"> ha diseñado planes a largo y mediano plazo, </w:t>
      </w:r>
      <w:r w:rsidR="006467C1" w:rsidRPr="00600ED9">
        <w:rPr>
          <w:szCs w:val="20"/>
        </w:rPr>
        <w:t>con base</w:t>
      </w:r>
      <w:r w:rsidRPr="00600ED9">
        <w:rPr>
          <w:szCs w:val="20"/>
        </w:rPr>
        <w:t xml:space="preserve"> en las necesidades de infraestructura física y tecnológica. Sin embargo, los planes no se han </w:t>
      </w:r>
      <w:r w:rsidR="006467C1" w:rsidRPr="00600ED9">
        <w:rPr>
          <w:szCs w:val="20"/>
        </w:rPr>
        <w:t xml:space="preserve">soportado </w:t>
      </w:r>
      <w:r w:rsidRPr="00600ED9">
        <w:rPr>
          <w:szCs w:val="20"/>
        </w:rPr>
        <w:t>en proyectos estructurados que consulten las necesidades actuales y futuras, la capacidad instalada de infraestructura, los recursos humanos y el presupuesto necesario, entre otros</w:t>
      </w:r>
      <w:r w:rsidR="006467C1" w:rsidRPr="00600ED9">
        <w:rPr>
          <w:szCs w:val="20"/>
        </w:rPr>
        <w:t>, por lo que no han</w:t>
      </w:r>
      <w:r w:rsidRPr="00600ED9">
        <w:rPr>
          <w:szCs w:val="20"/>
        </w:rPr>
        <w:t xml:space="preserve"> aportado soluciones sostenibles para la Entidad. </w:t>
      </w:r>
    </w:p>
    <w:p w:rsidR="00607ACE" w:rsidRPr="00600ED9" w:rsidRDefault="00607ACE" w:rsidP="00FB1954">
      <w:pPr>
        <w:spacing w:after="0" w:line="240" w:lineRule="auto"/>
        <w:ind w:left="720"/>
        <w:jc w:val="both"/>
        <w:rPr>
          <w:szCs w:val="20"/>
        </w:rPr>
      </w:pPr>
    </w:p>
    <w:p w:rsidR="00071CF6" w:rsidRPr="00600ED9" w:rsidRDefault="00071CF6" w:rsidP="00FB1954">
      <w:pPr>
        <w:spacing w:after="0" w:line="240" w:lineRule="auto"/>
        <w:ind w:left="720"/>
        <w:jc w:val="both"/>
        <w:rPr>
          <w:szCs w:val="20"/>
        </w:rPr>
      </w:pPr>
      <w:r w:rsidRPr="00600ED9">
        <w:rPr>
          <w:szCs w:val="20"/>
        </w:rPr>
        <w:t xml:space="preserve">La </w:t>
      </w:r>
      <w:r w:rsidR="00431CA4" w:rsidRPr="00600ED9">
        <w:rPr>
          <w:szCs w:val="20"/>
        </w:rPr>
        <w:t>CGRC</w:t>
      </w:r>
      <w:r w:rsidRPr="00600ED9">
        <w:rPr>
          <w:szCs w:val="20"/>
        </w:rPr>
        <w:t xml:space="preserve"> no dispone actualmente de una sede física que </w:t>
      </w:r>
      <w:r w:rsidR="006467C1" w:rsidRPr="00600ED9">
        <w:rPr>
          <w:szCs w:val="20"/>
        </w:rPr>
        <w:t xml:space="preserve">atienda </w:t>
      </w:r>
      <w:r w:rsidRPr="00600ED9">
        <w:rPr>
          <w:szCs w:val="20"/>
        </w:rPr>
        <w:t>las especificaciones y capacidad requeridas para el Organismo de Control.</w:t>
      </w:r>
    </w:p>
    <w:p w:rsidR="00607ACE" w:rsidRPr="00600ED9" w:rsidRDefault="00607ACE" w:rsidP="00FB1954">
      <w:pPr>
        <w:spacing w:after="0" w:line="240" w:lineRule="auto"/>
        <w:ind w:left="720"/>
        <w:jc w:val="both"/>
        <w:rPr>
          <w:szCs w:val="20"/>
        </w:rPr>
      </w:pPr>
    </w:p>
    <w:p w:rsidR="00071CF6" w:rsidRPr="00600ED9" w:rsidRDefault="00071CF6" w:rsidP="00FB1954">
      <w:pPr>
        <w:spacing w:after="0" w:line="240" w:lineRule="auto"/>
        <w:ind w:left="720"/>
        <w:jc w:val="both"/>
        <w:rPr>
          <w:szCs w:val="20"/>
        </w:rPr>
      </w:pPr>
      <w:r w:rsidRPr="00600ED9">
        <w:rPr>
          <w:szCs w:val="20"/>
        </w:rPr>
        <w:t>En relación con las Tecnologías, Información y Comunicaciones (</w:t>
      </w:r>
      <w:proofErr w:type="spellStart"/>
      <w:r w:rsidRPr="00600ED9">
        <w:rPr>
          <w:szCs w:val="20"/>
        </w:rPr>
        <w:t>TICs</w:t>
      </w:r>
      <w:proofErr w:type="spellEnd"/>
      <w:r w:rsidRPr="00600ED9">
        <w:rPr>
          <w:szCs w:val="20"/>
        </w:rPr>
        <w:t xml:space="preserve">), los sistemas disponibles no atienden las necesidades de integración y no son suficientes para soportar las funciones y operaciones de la </w:t>
      </w:r>
      <w:r w:rsidR="00431CA4" w:rsidRPr="00600ED9">
        <w:rPr>
          <w:szCs w:val="20"/>
        </w:rPr>
        <w:t>CGRC</w:t>
      </w:r>
      <w:r w:rsidRPr="00600ED9">
        <w:rPr>
          <w:szCs w:val="20"/>
        </w:rPr>
        <w:t xml:space="preserve">. </w:t>
      </w:r>
    </w:p>
    <w:p w:rsidR="00607ACE" w:rsidRPr="00600ED9" w:rsidRDefault="00607ACE" w:rsidP="00FB1954">
      <w:pPr>
        <w:spacing w:after="0" w:line="240" w:lineRule="auto"/>
        <w:ind w:left="720"/>
        <w:jc w:val="both"/>
        <w:rPr>
          <w:szCs w:val="20"/>
        </w:rPr>
      </w:pPr>
    </w:p>
    <w:p w:rsidR="00167E50" w:rsidRPr="00600ED9" w:rsidRDefault="00071CF6" w:rsidP="00FB1954">
      <w:pPr>
        <w:spacing w:after="0" w:line="240" w:lineRule="auto"/>
        <w:ind w:left="720"/>
        <w:jc w:val="both"/>
        <w:rPr>
          <w:szCs w:val="20"/>
        </w:rPr>
      </w:pPr>
      <w:r w:rsidRPr="00600ED9">
        <w:rPr>
          <w:szCs w:val="20"/>
        </w:rPr>
        <w:t xml:space="preserve">En relación con los servicios de soporte administrativo, los recursos humanos no son suficientes, en términos de cantidad y formación </w:t>
      </w:r>
      <w:r w:rsidR="008B29FE" w:rsidRPr="00600ED9">
        <w:rPr>
          <w:szCs w:val="20"/>
        </w:rPr>
        <w:t>profesional</w:t>
      </w:r>
      <w:r w:rsidR="008B29FE" w:rsidRPr="00600ED9" w:rsidDel="00071CF6">
        <w:rPr>
          <w:szCs w:val="20"/>
        </w:rPr>
        <w:t>.</w:t>
      </w:r>
    </w:p>
    <w:p w:rsidR="00607ACE" w:rsidRPr="00600ED9" w:rsidRDefault="00607ACE" w:rsidP="00FB1954">
      <w:pPr>
        <w:spacing w:after="0" w:line="240" w:lineRule="auto"/>
        <w:ind w:left="720"/>
        <w:jc w:val="both"/>
        <w:rPr>
          <w:szCs w:val="20"/>
        </w:rPr>
      </w:pPr>
    </w:p>
    <w:tbl>
      <w:tblPr>
        <w:tblStyle w:val="TableGrid"/>
        <w:tblW w:w="9356" w:type="dxa"/>
        <w:tblInd w:w="817" w:type="dxa"/>
        <w:tblLook w:val="04A0" w:firstRow="1" w:lastRow="0" w:firstColumn="1" w:lastColumn="0" w:noHBand="0" w:noVBand="1"/>
      </w:tblPr>
      <w:tblGrid>
        <w:gridCol w:w="9356"/>
      </w:tblGrid>
      <w:tr w:rsidR="002761DF" w:rsidRPr="00600ED9" w:rsidTr="00D775B6">
        <w:trPr>
          <w:tblHeader/>
        </w:trPr>
        <w:tc>
          <w:tcPr>
            <w:tcW w:w="9356" w:type="dxa"/>
            <w:shd w:val="clear" w:color="auto" w:fill="365F91" w:themeFill="accent1" w:themeFillShade="BF"/>
          </w:tcPr>
          <w:p w:rsidR="002761DF" w:rsidRPr="00600ED9" w:rsidRDefault="002761DF" w:rsidP="00FB1954">
            <w:pPr>
              <w:pStyle w:val="NoSpacing"/>
              <w:rPr>
                <w:b/>
                <w:color w:val="FFFFFF" w:themeColor="background1"/>
                <w:sz w:val="20"/>
                <w:lang w:val="es-ES_tradnl"/>
              </w:rPr>
            </w:pPr>
            <w:r w:rsidRPr="00600ED9">
              <w:rPr>
                <w:b/>
                <w:color w:val="FFFFFF" w:themeColor="background1"/>
                <w:sz w:val="20"/>
                <w:lang w:val="es-ES_tradnl"/>
              </w:rPr>
              <w:t xml:space="preserve">Principales observaciones </w:t>
            </w:r>
          </w:p>
        </w:tc>
      </w:tr>
      <w:tr w:rsidR="002761DF" w:rsidRPr="00600ED9" w:rsidTr="00D775B6">
        <w:tc>
          <w:tcPr>
            <w:tcW w:w="9356" w:type="dxa"/>
            <w:shd w:val="clear" w:color="auto" w:fill="D9D9D9" w:themeFill="background1" w:themeFillShade="D9"/>
          </w:tcPr>
          <w:p w:rsidR="002761DF" w:rsidRPr="00600ED9" w:rsidRDefault="002761DF" w:rsidP="00FB1954">
            <w:pPr>
              <w:pStyle w:val="NoSpacing"/>
              <w:rPr>
                <w:b/>
                <w:i/>
                <w:sz w:val="20"/>
                <w:lang w:val="es-ES_tradnl"/>
              </w:rPr>
            </w:pPr>
            <w:r w:rsidRPr="00600ED9">
              <w:rPr>
                <w:b/>
                <w:i/>
                <w:sz w:val="20"/>
                <w:lang w:val="es-ES_tradnl"/>
              </w:rPr>
              <w:t>Dimensión (i) Planeación y uso efectivo de los bienes e infraestructura</w:t>
            </w:r>
          </w:p>
        </w:tc>
      </w:tr>
      <w:tr w:rsidR="002761DF" w:rsidRPr="00600ED9" w:rsidTr="00D775B6">
        <w:tc>
          <w:tcPr>
            <w:tcW w:w="9356" w:type="dxa"/>
            <w:shd w:val="clear" w:color="auto" w:fill="D9D9D9" w:themeFill="background1" w:themeFillShade="D9"/>
          </w:tcPr>
          <w:p w:rsidR="002761DF" w:rsidRPr="00600ED9" w:rsidRDefault="002761DF" w:rsidP="00FB1954">
            <w:pPr>
              <w:pStyle w:val="NoSpacing"/>
              <w:rPr>
                <w:i/>
                <w:sz w:val="20"/>
                <w:szCs w:val="20"/>
                <w:lang w:val="es-ES_tradnl"/>
              </w:rPr>
            </w:pPr>
            <w:r w:rsidRPr="00600ED9">
              <w:rPr>
                <w:rFonts w:cs="Calibri"/>
                <w:b/>
                <w:bCs/>
                <w:i/>
                <w:sz w:val="20"/>
                <w:szCs w:val="20"/>
                <w:lang w:val="es-ES_tradnl"/>
              </w:rPr>
              <w:t>Puntuación 1</w:t>
            </w:r>
            <w:r w:rsidRPr="00600ED9">
              <w:rPr>
                <w:rFonts w:cs="Calibri"/>
                <w:bCs/>
                <w:i/>
                <w:sz w:val="20"/>
                <w:szCs w:val="20"/>
                <w:lang w:val="es-ES_tradnl"/>
              </w:rPr>
              <w:t>: Al menos 1 de los criterios descritos está establecido.</w:t>
            </w:r>
          </w:p>
        </w:tc>
      </w:tr>
      <w:tr w:rsidR="002761DF" w:rsidRPr="00600ED9" w:rsidTr="00D775B6">
        <w:tc>
          <w:tcPr>
            <w:tcW w:w="9356" w:type="dxa"/>
          </w:tcPr>
          <w:p w:rsidR="002761DF" w:rsidRPr="00600ED9" w:rsidRDefault="002761DF" w:rsidP="00FB1954">
            <w:pPr>
              <w:pStyle w:val="NoSpacing"/>
              <w:jc w:val="both"/>
              <w:rPr>
                <w:sz w:val="20"/>
                <w:szCs w:val="20"/>
                <w:lang w:val="es-ES_tradnl"/>
              </w:rPr>
            </w:pPr>
            <w:r w:rsidRPr="00600ED9">
              <w:rPr>
                <w:sz w:val="20"/>
                <w:szCs w:val="20"/>
                <w:lang w:val="es-ES_tradnl"/>
              </w:rPr>
              <w:t>Criterios (b) se cumple. Criterios (a), (c), y (e) no cumplen. Criterio (d) no aplica</w:t>
            </w:r>
            <w:r w:rsidRPr="00600ED9">
              <w:rPr>
                <w:rStyle w:val="FootnoteReference"/>
                <w:sz w:val="20"/>
                <w:szCs w:val="20"/>
                <w:lang w:val="es-ES_tradnl"/>
              </w:rPr>
              <w:footnoteReference w:id="54"/>
            </w:r>
            <w:r w:rsidRPr="00600ED9">
              <w:rPr>
                <w:sz w:val="20"/>
                <w:szCs w:val="20"/>
                <w:lang w:val="es-ES_tradnl"/>
              </w:rPr>
              <w:t>.</w:t>
            </w:r>
          </w:p>
          <w:p w:rsidR="00607ACE" w:rsidRPr="00600ED9" w:rsidRDefault="00607ACE" w:rsidP="00FB1954">
            <w:pPr>
              <w:pStyle w:val="NoSpacing"/>
              <w:jc w:val="both"/>
              <w:rPr>
                <w:sz w:val="20"/>
                <w:szCs w:val="20"/>
                <w:lang w:val="es-ES_tradnl"/>
              </w:rPr>
            </w:pPr>
          </w:p>
          <w:p w:rsidR="002761DF" w:rsidRPr="00600ED9" w:rsidRDefault="002761DF" w:rsidP="00FB1954">
            <w:pPr>
              <w:pStyle w:val="NoSpacing"/>
              <w:jc w:val="both"/>
              <w:rPr>
                <w:sz w:val="20"/>
                <w:szCs w:val="20"/>
                <w:lang w:val="es-ES_tradnl"/>
              </w:rPr>
            </w:pPr>
            <w:r w:rsidRPr="00600ED9">
              <w:rPr>
                <w:sz w:val="20"/>
                <w:szCs w:val="20"/>
                <w:lang w:val="es-ES_tradnl"/>
              </w:rPr>
              <w:t xml:space="preserve">La Contraloría dispone de planes a largo y corto plazo en los cuales se contemplan aspectos relacionados con la infraestructura física, formalizados en el Plan Estratégico 2014 – 2018 y el PAA 2015.  Sin embargo, estos planes </w:t>
            </w:r>
            <w:r w:rsidRPr="00600ED9">
              <w:rPr>
                <w:i/>
                <w:sz w:val="20"/>
                <w:szCs w:val="20"/>
                <w:lang w:val="es-ES_tradnl"/>
              </w:rPr>
              <w:t>no</w:t>
            </w:r>
            <w:r w:rsidRPr="00600ED9">
              <w:rPr>
                <w:sz w:val="20"/>
                <w:szCs w:val="20"/>
                <w:lang w:val="es-ES_tradnl"/>
              </w:rPr>
              <w:t xml:space="preserve"> se sustentan en proyectos estructurados, </w:t>
            </w:r>
            <w:r w:rsidR="006467C1" w:rsidRPr="00600ED9">
              <w:rPr>
                <w:sz w:val="20"/>
                <w:szCs w:val="20"/>
                <w:lang w:val="es-ES_tradnl"/>
              </w:rPr>
              <w:t>de manera que sean</w:t>
            </w:r>
            <w:r w:rsidRPr="00600ED9">
              <w:rPr>
                <w:sz w:val="20"/>
                <w:szCs w:val="20"/>
                <w:lang w:val="es-ES_tradnl"/>
              </w:rPr>
              <w:t xml:space="preserve"> soluciones sostenibles </w:t>
            </w:r>
            <w:r w:rsidR="006467C1" w:rsidRPr="00600ED9">
              <w:rPr>
                <w:sz w:val="20"/>
                <w:szCs w:val="20"/>
                <w:lang w:val="es-ES_tradnl"/>
              </w:rPr>
              <w:t xml:space="preserve">a </w:t>
            </w:r>
            <w:r w:rsidRPr="00600ED9">
              <w:rPr>
                <w:sz w:val="20"/>
                <w:szCs w:val="20"/>
                <w:lang w:val="es-ES_tradnl"/>
              </w:rPr>
              <w:t xml:space="preserve">largo plazo. </w:t>
            </w:r>
          </w:p>
          <w:p w:rsidR="00607ACE" w:rsidRPr="00600ED9" w:rsidRDefault="00607ACE" w:rsidP="00FB1954">
            <w:pPr>
              <w:pStyle w:val="NoSpacing"/>
              <w:jc w:val="both"/>
              <w:rPr>
                <w:sz w:val="20"/>
                <w:szCs w:val="20"/>
                <w:lang w:val="es-ES_tradnl"/>
              </w:rPr>
            </w:pPr>
          </w:p>
          <w:p w:rsidR="002761DF" w:rsidRPr="00600ED9" w:rsidRDefault="002761DF" w:rsidP="00FB1954">
            <w:pPr>
              <w:pStyle w:val="NoSpacing"/>
              <w:jc w:val="both"/>
              <w:rPr>
                <w:sz w:val="20"/>
                <w:szCs w:val="20"/>
                <w:lang w:val="es-ES_tradnl"/>
              </w:rPr>
            </w:pPr>
            <w:r w:rsidRPr="00600ED9">
              <w:rPr>
                <w:sz w:val="20"/>
                <w:szCs w:val="20"/>
                <w:lang w:val="es-ES_tradnl"/>
              </w:rPr>
              <w:t xml:space="preserve">La Contraloría no dispone de una sede central con las especificaciones y capacidad requeridas, lo cual ha incidido, entre otros, en los aspectos relacionados con la conservación, acceso  y protección de la información.  En relación con las propuestas de mejora para fortalecer la infraestructura física, es necesario considerar las lecciones aprendidas </w:t>
            </w:r>
            <w:r w:rsidR="006467C1" w:rsidRPr="00600ED9">
              <w:rPr>
                <w:sz w:val="20"/>
                <w:szCs w:val="20"/>
                <w:lang w:val="es-ES_tradnl"/>
              </w:rPr>
              <w:t>para considerarlas en</w:t>
            </w:r>
            <w:r w:rsidRPr="00600ED9">
              <w:rPr>
                <w:sz w:val="20"/>
                <w:szCs w:val="20"/>
                <w:lang w:val="es-ES_tradnl"/>
              </w:rPr>
              <w:t xml:space="preserve"> los proyectos actuales. Por ejemplo, el programa actual se encuentra desfinanciado, debido a que los recursos asignados en el presupuesto para la ejecución de esta actividad, son inferiores en más de un 75%.   </w:t>
            </w:r>
          </w:p>
          <w:p w:rsidR="00607ACE" w:rsidRPr="00600ED9" w:rsidRDefault="00607ACE" w:rsidP="00FB1954">
            <w:pPr>
              <w:pStyle w:val="NoSpacing"/>
              <w:jc w:val="both"/>
              <w:rPr>
                <w:sz w:val="20"/>
                <w:szCs w:val="20"/>
                <w:lang w:val="es-ES_tradnl"/>
              </w:rPr>
            </w:pPr>
          </w:p>
          <w:p w:rsidR="002761DF" w:rsidRPr="00600ED9" w:rsidRDefault="002761DF" w:rsidP="00FB1954">
            <w:pPr>
              <w:pStyle w:val="NoSpacing"/>
              <w:jc w:val="both"/>
              <w:rPr>
                <w:sz w:val="20"/>
                <w:szCs w:val="20"/>
                <w:lang w:val="es-ES_tradnl"/>
              </w:rPr>
            </w:pPr>
            <w:r w:rsidRPr="00600ED9">
              <w:rPr>
                <w:sz w:val="20"/>
                <w:szCs w:val="20"/>
                <w:lang w:val="es-ES_tradnl"/>
              </w:rPr>
              <w:t xml:space="preserve">Debido a la importancia que tiene la infraestructura tecnológica y los sistemas de información en la ejecución de las actividades de la CGRC, las propuestas de mejora para los servicios de </w:t>
            </w:r>
            <w:proofErr w:type="spellStart"/>
            <w:r w:rsidRPr="00600ED9">
              <w:rPr>
                <w:sz w:val="20"/>
                <w:szCs w:val="20"/>
                <w:lang w:val="es-ES_tradnl"/>
              </w:rPr>
              <w:t>TICs</w:t>
            </w:r>
            <w:proofErr w:type="spellEnd"/>
            <w:r w:rsidRPr="00600ED9">
              <w:rPr>
                <w:sz w:val="20"/>
                <w:szCs w:val="20"/>
                <w:lang w:val="es-ES_tradnl"/>
              </w:rPr>
              <w:t>, requieren ser estructuradas en un proyecto específico para el fortalecimiento de esta función, que contemple la integración de la arquitectura tecnológica y que se formalice en un Plan Estratégico de Tecnología de Información o similar.</w:t>
            </w:r>
          </w:p>
          <w:p w:rsidR="00607ACE" w:rsidRPr="00600ED9" w:rsidRDefault="00607ACE" w:rsidP="00FB1954">
            <w:pPr>
              <w:pStyle w:val="NoSpacing"/>
              <w:jc w:val="both"/>
              <w:rPr>
                <w:sz w:val="20"/>
                <w:szCs w:val="20"/>
                <w:lang w:val="es-ES_tradnl"/>
              </w:rPr>
            </w:pPr>
          </w:p>
        </w:tc>
      </w:tr>
      <w:tr w:rsidR="002761DF" w:rsidRPr="00600ED9" w:rsidTr="00D775B6">
        <w:tc>
          <w:tcPr>
            <w:tcW w:w="9356" w:type="dxa"/>
            <w:shd w:val="clear" w:color="auto" w:fill="D9D9D9" w:themeFill="background1" w:themeFillShade="D9"/>
          </w:tcPr>
          <w:p w:rsidR="002761DF" w:rsidRPr="00600ED9" w:rsidRDefault="002761DF" w:rsidP="00FB1954">
            <w:pPr>
              <w:pStyle w:val="NoSpacing"/>
              <w:rPr>
                <w:b/>
                <w:i/>
                <w:sz w:val="20"/>
                <w:lang w:val="es-ES_tradnl"/>
              </w:rPr>
            </w:pPr>
            <w:r w:rsidRPr="00600ED9">
              <w:rPr>
                <w:b/>
                <w:i/>
                <w:sz w:val="20"/>
                <w:lang w:val="es-ES_tradnl"/>
              </w:rPr>
              <w:lastRenderedPageBreak/>
              <w:t>Dimensión (ii) Servicios de apoyo administrativo</w:t>
            </w:r>
          </w:p>
        </w:tc>
      </w:tr>
      <w:tr w:rsidR="002761DF" w:rsidRPr="00600ED9" w:rsidTr="00D775B6">
        <w:tc>
          <w:tcPr>
            <w:tcW w:w="9356" w:type="dxa"/>
            <w:shd w:val="clear" w:color="auto" w:fill="D9D9D9" w:themeFill="background1" w:themeFillShade="D9"/>
          </w:tcPr>
          <w:p w:rsidR="002761DF" w:rsidRPr="00600ED9" w:rsidRDefault="002761DF" w:rsidP="00FB1954">
            <w:pPr>
              <w:pStyle w:val="NoSpacing"/>
              <w:rPr>
                <w:i/>
                <w:sz w:val="20"/>
                <w:szCs w:val="20"/>
                <w:lang w:val="es-ES_tradnl"/>
              </w:rPr>
            </w:pPr>
            <w:r w:rsidRPr="00600ED9">
              <w:rPr>
                <w:rFonts w:cs="Calibri"/>
                <w:b/>
                <w:bCs/>
                <w:i/>
                <w:sz w:val="20"/>
                <w:szCs w:val="20"/>
                <w:lang w:val="es-ES_tradnl"/>
              </w:rPr>
              <w:t xml:space="preserve">Puntuación 0: </w:t>
            </w:r>
            <w:r w:rsidRPr="00600ED9">
              <w:rPr>
                <w:rFonts w:cs="Calibri"/>
                <w:bCs/>
                <w:i/>
                <w:sz w:val="20"/>
                <w:szCs w:val="20"/>
                <w:lang w:val="es-ES_tradnl"/>
              </w:rPr>
              <w:t>Ninguno de los criterios descritos está establecido</w:t>
            </w:r>
            <w:r w:rsidRPr="00600ED9">
              <w:rPr>
                <w:i/>
                <w:sz w:val="20"/>
                <w:szCs w:val="20"/>
                <w:lang w:val="es-ES_tradnl"/>
              </w:rPr>
              <w:t>.</w:t>
            </w:r>
          </w:p>
        </w:tc>
      </w:tr>
      <w:tr w:rsidR="002761DF" w:rsidRPr="00600ED9" w:rsidTr="00D775B6">
        <w:tc>
          <w:tcPr>
            <w:tcW w:w="9356" w:type="dxa"/>
          </w:tcPr>
          <w:p w:rsidR="002761DF" w:rsidRPr="00600ED9" w:rsidRDefault="002761DF" w:rsidP="00FB1954">
            <w:pPr>
              <w:pStyle w:val="NoSpacing"/>
              <w:jc w:val="both"/>
              <w:rPr>
                <w:color w:val="000000"/>
                <w:sz w:val="20"/>
                <w:szCs w:val="20"/>
                <w:lang w:val="es-ES_tradnl" w:eastAsia="zh-TW"/>
              </w:rPr>
            </w:pPr>
            <w:r w:rsidRPr="00600ED9">
              <w:rPr>
                <w:sz w:val="20"/>
                <w:szCs w:val="20"/>
                <w:lang w:val="es-ES_tradnl"/>
              </w:rPr>
              <w:t>Criterios (a), (b), (c) y (d) no cumplen.</w:t>
            </w:r>
            <w:r w:rsidRPr="00600ED9">
              <w:rPr>
                <w:color w:val="000000"/>
                <w:sz w:val="20"/>
                <w:szCs w:val="20"/>
                <w:lang w:val="es-ES_tradnl" w:eastAsia="zh-TW"/>
              </w:rPr>
              <w:t xml:space="preserve"> </w:t>
            </w:r>
          </w:p>
          <w:p w:rsidR="00607ACE" w:rsidRPr="00600ED9" w:rsidRDefault="00607ACE" w:rsidP="00FB1954">
            <w:pPr>
              <w:pStyle w:val="NoSpacing"/>
              <w:jc w:val="both"/>
              <w:rPr>
                <w:color w:val="000000"/>
                <w:sz w:val="20"/>
                <w:szCs w:val="20"/>
                <w:lang w:val="es-ES_tradnl" w:eastAsia="zh-TW"/>
              </w:rPr>
            </w:pPr>
          </w:p>
          <w:p w:rsidR="002761DF" w:rsidRPr="00600ED9" w:rsidRDefault="002761DF" w:rsidP="00FB1954">
            <w:pPr>
              <w:pStyle w:val="NoSpacing"/>
              <w:jc w:val="both"/>
              <w:rPr>
                <w:sz w:val="20"/>
                <w:szCs w:val="20"/>
                <w:lang w:val="es-ES_tradnl"/>
              </w:rPr>
            </w:pPr>
            <w:r w:rsidRPr="00600ED9">
              <w:rPr>
                <w:sz w:val="20"/>
                <w:szCs w:val="20"/>
                <w:lang w:val="es-ES_tradnl"/>
              </w:rPr>
              <w:t xml:space="preserve">La responsabilidades relacionadas con el apoyo interno en: (i) Temas de </w:t>
            </w:r>
            <w:proofErr w:type="spellStart"/>
            <w:r w:rsidRPr="00600ED9">
              <w:rPr>
                <w:sz w:val="20"/>
                <w:szCs w:val="20"/>
                <w:lang w:val="es-ES_tradnl"/>
              </w:rPr>
              <w:t>TICs</w:t>
            </w:r>
            <w:proofErr w:type="spellEnd"/>
            <w:r w:rsidRPr="00600ED9">
              <w:rPr>
                <w:sz w:val="20"/>
                <w:szCs w:val="20"/>
                <w:lang w:val="es-ES_tradnl"/>
              </w:rPr>
              <w:t xml:space="preserve">, (ii) Gestión de archivos, (iii) Gestión y administración de los planes, programas y procedimientos para la adquisición, contratación, almacenamiento, suministro, registro, y control de los bienes y servicios de la CGRC; están definidas y asignadas. Sin embargo, no se disponen de los recursos humanos suficientes para cumplir con todas las responsabilidades. </w:t>
            </w:r>
          </w:p>
          <w:p w:rsidR="002761DF" w:rsidRPr="00600ED9" w:rsidRDefault="002761DF" w:rsidP="00FB1954">
            <w:pPr>
              <w:pStyle w:val="NoSpacing"/>
              <w:jc w:val="both"/>
              <w:rPr>
                <w:sz w:val="20"/>
                <w:szCs w:val="20"/>
                <w:lang w:val="es-ES_tradnl"/>
              </w:rPr>
            </w:pPr>
          </w:p>
          <w:p w:rsidR="002761DF" w:rsidRPr="00600ED9" w:rsidRDefault="002761DF" w:rsidP="00FB1954">
            <w:pPr>
              <w:pStyle w:val="NoSpacing"/>
              <w:jc w:val="both"/>
              <w:rPr>
                <w:sz w:val="20"/>
                <w:szCs w:val="20"/>
                <w:lang w:val="es-ES_tradnl"/>
              </w:rPr>
            </w:pPr>
            <w:r w:rsidRPr="00600ED9">
              <w:rPr>
                <w:sz w:val="20"/>
                <w:szCs w:val="20"/>
                <w:lang w:val="es-ES_tradnl"/>
              </w:rPr>
              <w:t>El personal debe ser capacitado para asumir los retos actuales de la entidad, sumado</w:t>
            </w:r>
            <w:r w:rsidR="00E27482" w:rsidRPr="00600ED9">
              <w:rPr>
                <w:sz w:val="20"/>
                <w:szCs w:val="20"/>
                <w:lang w:val="es-ES_tradnl"/>
              </w:rPr>
              <w:t>s</w:t>
            </w:r>
            <w:r w:rsidRPr="00600ED9">
              <w:rPr>
                <w:sz w:val="20"/>
                <w:szCs w:val="20"/>
                <w:lang w:val="es-ES_tradnl"/>
              </w:rPr>
              <w:t xml:space="preserve"> a la necesidad de desarrollo e implementación de nuevas tecnologías. </w:t>
            </w:r>
          </w:p>
          <w:p w:rsidR="002761DF" w:rsidRPr="00600ED9" w:rsidRDefault="002761DF" w:rsidP="00FB1954">
            <w:pPr>
              <w:pStyle w:val="NoSpacing"/>
              <w:jc w:val="both"/>
              <w:rPr>
                <w:sz w:val="20"/>
                <w:szCs w:val="20"/>
                <w:lang w:val="es-ES_tradnl"/>
              </w:rPr>
            </w:pPr>
          </w:p>
          <w:p w:rsidR="002761DF" w:rsidRPr="00600ED9" w:rsidRDefault="002761DF" w:rsidP="00FB1954">
            <w:pPr>
              <w:pStyle w:val="NoSpacing"/>
              <w:jc w:val="both"/>
              <w:rPr>
                <w:sz w:val="20"/>
                <w:szCs w:val="20"/>
                <w:lang w:val="es-ES_tradnl"/>
              </w:rPr>
            </w:pPr>
            <w:r w:rsidRPr="00600ED9">
              <w:rPr>
                <w:sz w:val="20"/>
                <w:szCs w:val="20"/>
                <w:lang w:val="es-ES_tradnl"/>
              </w:rPr>
              <w:t xml:space="preserve">En los aspectos de tecnología se requiere aclarar los roles y responsabilidades de la Oficina de Sistemas e Informática, la </w:t>
            </w:r>
            <w:r w:rsidR="006467C1" w:rsidRPr="00600ED9">
              <w:rPr>
                <w:sz w:val="20"/>
                <w:szCs w:val="20"/>
                <w:lang w:val="es-ES_tradnl"/>
              </w:rPr>
              <w:t>Unidad de Seguridad y Aseguramiento Tecnológico e Informático (</w:t>
            </w:r>
            <w:r w:rsidRPr="00600ED9">
              <w:rPr>
                <w:sz w:val="20"/>
                <w:szCs w:val="20"/>
                <w:lang w:val="es-ES_tradnl"/>
              </w:rPr>
              <w:t>USATI</w:t>
            </w:r>
            <w:r w:rsidR="006467C1" w:rsidRPr="00600ED9">
              <w:rPr>
                <w:sz w:val="20"/>
                <w:szCs w:val="20"/>
                <w:lang w:val="es-ES_tradnl"/>
              </w:rPr>
              <w:t>)</w:t>
            </w:r>
            <w:r w:rsidRPr="00600ED9">
              <w:rPr>
                <w:sz w:val="20"/>
                <w:szCs w:val="20"/>
                <w:lang w:val="es-ES_tradnl"/>
              </w:rPr>
              <w:t xml:space="preserve">, y </w:t>
            </w:r>
            <w:r w:rsidR="006467C1" w:rsidRPr="00600ED9">
              <w:rPr>
                <w:sz w:val="20"/>
                <w:szCs w:val="20"/>
                <w:lang w:val="es-ES_tradnl"/>
              </w:rPr>
              <w:t xml:space="preserve">otro </w:t>
            </w:r>
            <w:r w:rsidRPr="00600ED9">
              <w:rPr>
                <w:sz w:val="20"/>
                <w:szCs w:val="20"/>
                <w:lang w:val="es-ES_tradnl"/>
              </w:rPr>
              <w:t xml:space="preserve">personal de apoyo de las diferentes dependencias debido a que los roles pueden duplicarse. </w:t>
            </w:r>
          </w:p>
          <w:p w:rsidR="00181522" w:rsidRPr="00600ED9" w:rsidRDefault="00181522" w:rsidP="00FB1954">
            <w:pPr>
              <w:pStyle w:val="NoSpacing"/>
              <w:tabs>
                <w:tab w:val="center" w:pos="4680"/>
                <w:tab w:val="right" w:pos="9360"/>
              </w:tabs>
              <w:jc w:val="both"/>
              <w:rPr>
                <w:sz w:val="20"/>
                <w:szCs w:val="20"/>
                <w:lang w:val="es-ES_tradnl"/>
              </w:rPr>
            </w:pPr>
          </w:p>
          <w:p w:rsidR="002761DF" w:rsidRPr="00600ED9" w:rsidRDefault="002761DF" w:rsidP="00FB1954">
            <w:pPr>
              <w:pStyle w:val="NoSpacing"/>
              <w:jc w:val="both"/>
              <w:rPr>
                <w:sz w:val="20"/>
                <w:szCs w:val="20"/>
                <w:lang w:val="es-ES_tradnl"/>
              </w:rPr>
            </w:pPr>
            <w:r w:rsidRPr="00600ED9">
              <w:rPr>
                <w:sz w:val="20"/>
                <w:szCs w:val="20"/>
                <w:lang w:val="es-ES_tradnl"/>
              </w:rPr>
              <w:t xml:space="preserve">Las propuestas de mejora relacionadas </w:t>
            </w:r>
            <w:r w:rsidR="006467C1" w:rsidRPr="00600ED9">
              <w:rPr>
                <w:sz w:val="20"/>
                <w:szCs w:val="20"/>
                <w:lang w:val="es-ES_tradnl"/>
              </w:rPr>
              <w:t xml:space="preserve">con </w:t>
            </w:r>
            <w:r w:rsidRPr="00600ED9">
              <w:rPr>
                <w:sz w:val="20"/>
                <w:szCs w:val="20"/>
                <w:lang w:val="es-ES_tradnl"/>
              </w:rPr>
              <w:t>las funciones de apoyo (durante los pasados cinco años) no han sido el resultado de un análisis de brechas, donde se hayan confirmado las necesidades de fortalecimiento institucional de la CGRC.</w:t>
            </w:r>
          </w:p>
        </w:tc>
      </w:tr>
    </w:tbl>
    <w:p w:rsidR="0059560D" w:rsidRPr="00600ED9" w:rsidRDefault="0059560D" w:rsidP="00FB1954">
      <w:pPr>
        <w:pStyle w:val="NoSpacing"/>
        <w:ind w:left="720"/>
        <w:rPr>
          <w:sz w:val="24"/>
          <w:lang w:val="es-ES_tradnl"/>
        </w:rPr>
      </w:pPr>
    </w:p>
    <w:p w:rsidR="00061EB0" w:rsidRPr="00600ED9" w:rsidRDefault="003B04AB" w:rsidP="00FB1954">
      <w:pPr>
        <w:pStyle w:val="NoSpacing"/>
        <w:ind w:left="720"/>
        <w:rPr>
          <w:szCs w:val="20"/>
          <w:lang w:val="es-ES_tradnl"/>
        </w:rPr>
      </w:pPr>
      <w:r w:rsidRPr="00600ED9">
        <w:rPr>
          <w:b/>
          <w:bCs/>
          <w:smallCaps/>
          <w:lang w:val="es-ES_tradnl"/>
        </w:rPr>
        <w:t>Recomendaciones:</w:t>
      </w:r>
      <w:r w:rsidR="00607ACE" w:rsidRPr="00600ED9">
        <w:rPr>
          <w:b/>
          <w:bCs/>
          <w:smallCaps/>
          <w:lang w:val="es-ES_tradnl"/>
        </w:rPr>
        <w:t xml:space="preserve"> </w:t>
      </w:r>
      <w:r w:rsidR="005120A2" w:rsidRPr="00600ED9">
        <w:rPr>
          <w:szCs w:val="20"/>
          <w:lang w:val="es-ES_tradnl"/>
        </w:rPr>
        <w:t>Consultar el</w:t>
      </w:r>
      <w:r w:rsidR="00CA3E61" w:rsidRPr="00600ED9">
        <w:rPr>
          <w:szCs w:val="20"/>
          <w:lang w:val="es-ES_tradnl"/>
        </w:rPr>
        <w:t xml:space="preserve"> Anexo </w:t>
      </w:r>
      <w:r w:rsidR="003C2EF1" w:rsidRPr="00600ED9">
        <w:rPr>
          <w:szCs w:val="20"/>
          <w:lang w:val="es-ES_tradnl"/>
        </w:rPr>
        <w:t>A</w:t>
      </w:r>
      <w:r w:rsidR="00CA3E61" w:rsidRPr="00600ED9">
        <w:rPr>
          <w:szCs w:val="20"/>
          <w:lang w:val="es-ES_tradnl"/>
        </w:rPr>
        <w:t xml:space="preserve">: Plan de Acción, </w:t>
      </w:r>
      <w:r w:rsidR="003C2EF1" w:rsidRPr="00600ED9">
        <w:rPr>
          <w:szCs w:val="20"/>
          <w:lang w:val="es-ES_tradnl"/>
        </w:rPr>
        <w:t xml:space="preserve">recomendaciones </w:t>
      </w:r>
      <w:r w:rsidR="00C153F7" w:rsidRPr="00600ED9">
        <w:rPr>
          <w:szCs w:val="20"/>
          <w:lang w:val="es-ES_tradnl"/>
        </w:rPr>
        <w:t>21 a 23</w:t>
      </w:r>
      <w:r w:rsidR="00CA3E61" w:rsidRPr="00600ED9">
        <w:rPr>
          <w:szCs w:val="20"/>
          <w:lang w:val="es-ES_tradnl"/>
        </w:rPr>
        <w:t>.</w:t>
      </w:r>
    </w:p>
    <w:p w:rsidR="007C6B89" w:rsidRPr="00600ED9" w:rsidRDefault="007C6B89" w:rsidP="00FB1954">
      <w:pPr>
        <w:pStyle w:val="NoSpacing"/>
        <w:ind w:left="720"/>
        <w:rPr>
          <w:szCs w:val="20"/>
          <w:lang w:val="es-ES_tradnl"/>
        </w:rPr>
      </w:pPr>
    </w:p>
    <w:p w:rsidR="00181522" w:rsidRPr="00600ED9" w:rsidRDefault="00181522" w:rsidP="00FB1954">
      <w:pPr>
        <w:pStyle w:val="NoSpacing"/>
        <w:ind w:left="720"/>
        <w:rPr>
          <w:szCs w:val="20"/>
          <w:lang w:val="es-ES_tradnl"/>
        </w:rPr>
      </w:pPr>
    </w:p>
    <w:p w:rsidR="00720E42" w:rsidRPr="00600ED9" w:rsidRDefault="00720E42" w:rsidP="00FB1954">
      <w:pPr>
        <w:pStyle w:val="Heading1"/>
        <w:spacing w:line="240" w:lineRule="auto"/>
        <w:ind w:left="567" w:hanging="567"/>
        <w:rPr>
          <w:noProof w:val="0"/>
        </w:rPr>
      </w:pPr>
      <w:bookmarkStart w:id="35" w:name="_Toc295932927"/>
      <w:r w:rsidRPr="00600ED9">
        <w:rPr>
          <w:noProof w:val="0"/>
        </w:rPr>
        <w:t>Dominio F: Recursos Humanos y Liderazgo</w:t>
      </w:r>
      <w:bookmarkEnd w:id="35"/>
    </w:p>
    <w:p w:rsidR="00C84C32" w:rsidRPr="00600ED9" w:rsidRDefault="00C84C32" w:rsidP="00FB1954">
      <w:pPr>
        <w:pStyle w:val="NoSpacing"/>
        <w:ind w:left="567"/>
        <w:jc w:val="both"/>
        <w:rPr>
          <w:lang w:val="es-ES_tradnl"/>
        </w:rPr>
      </w:pPr>
    </w:p>
    <w:p w:rsidR="00C84C32" w:rsidRPr="00600ED9" w:rsidRDefault="00C84C32" w:rsidP="00FB1954">
      <w:pPr>
        <w:pStyle w:val="NoSpacing"/>
        <w:ind w:left="567"/>
        <w:jc w:val="both"/>
        <w:rPr>
          <w:rFonts w:ascii="Calibri" w:hAnsi="Calibri" w:cs="Calibri"/>
          <w:lang w:val="es-ES_tradnl"/>
        </w:rPr>
      </w:pPr>
      <w:r w:rsidRPr="00600ED9">
        <w:rPr>
          <w:rFonts w:cs="Arial"/>
          <w:szCs w:val="24"/>
          <w:lang w:val="es-ES_tradnl"/>
        </w:rPr>
        <w:t xml:space="preserve">Este dominio analiza los indicadores EFS-20 y EFS-21, </w:t>
      </w:r>
      <w:r w:rsidR="00483A9A" w:rsidRPr="00600ED9">
        <w:rPr>
          <w:rFonts w:cs="Arial"/>
          <w:szCs w:val="24"/>
          <w:lang w:val="es-ES_tradnl"/>
        </w:rPr>
        <w:t>a través d</w:t>
      </w:r>
      <w:r w:rsidRPr="00600ED9">
        <w:rPr>
          <w:rFonts w:cs="Arial"/>
          <w:szCs w:val="24"/>
          <w:lang w:val="es-ES_tradnl"/>
        </w:rPr>
        <w:t xml:space="preserve">e los cuales se busca </w:t>
      </w:r>
      <w:r w:rsidR="00483A9A" w:rsidRPr="00600ED9">
        <w:rPr>
          <w:rFonts w:cs="Arial"/>
          <w:szCs w:val="24"/>
          <w:lang w:val="es-ES_tradnl"/>
        </w:rPr>
        <w:t xml:space="preserve">establecer si la </w:t>
      </w:r>
      <w:r w:rsidRPr="00600ED9">
        <w:rPr>
          <w:rFonts w:ascii="Calibri" w:hAnsi="Calibri" w:cs="Calibri"/>
          <w:lang w:val="es-ES_tradnl"/>
        </w:rPr>
        <w:t xml:space="preserve">EFS </w:t>
      </w:r>
      <w:r w:rsidR="00483A9A" w:rsidRPr="00600ED9">
        <w:rPr>
          <w:rFonts w:ascii="Calibri" w:hAnsi="Calibri" w:cs="Calibri"/>
          <w:lang w:val="es-ES_tradnl"/>
        </w:rPr>
        <w:t>dispone de</w:t>
      </w:r>
      <w:r w:rsidRPr="00600ED9">
        <w:rPr>
          <w:rFonts w:ascii="Calibri" w:hAnsi="Calibri" w:cs="Calibri"/>
          <w:lang w:val="es-ES_tradnl"/>
        </w:rPr>
        <w:t xml:space="preserve"> políticas y procedimientos </w:t>
      </w:r>
      <w:r w:rsidR="00483A9A" w:rsidRPr="00600ED9">
        <w:rPr>
          <w:rFonts w:ascii="Calibri" w:hAnsi="Calibri" w:cs="Calibri"/>
          <w:lang w:val="es-ES_tradnl"/>
        </w:rPr>
        <w:t xml:space="preserve">que promuevan el liderazgo y le permitan garantizar </w:t>
      </w:r>
      <w:r w:rsidRPr="00600ED9">
        <w:rPr>
          <w:rFonts w:ascii="Calibri" w:hAnsi="Calibri" w:cs="Calibri"/>
          <w:lang w:val="es-ES_tradnl"/>
        </w:rPr>
        <w:t>razonable</w:t>
      </w:r>
      <w:r w:rsidR="00483A9A" w:rsidRPr="00600ED9">
        <w:rPr>
          <w:rFonts w:ascii="Calibri" w:hAnsi="Calibri" w:cs="Calibri"/>
          <w:lang w:val="es-ES_tradnl"/>
        </w:rPr>
        <w:t>mente</w:t>
      </w:r>
      <w:r w:rsidRPr="00600ED9">
        <w:rPr>
          <w:rFonts w:ascii="Calibri" w:hAnsi="Calibri" w:cs="Calibri"/>
          <w:lang w:val="es-ES_tradnl"/>
        </w:rPr>
        <w:t xml:space="preserve"> que cuenta con recursos </w:t>
      </w:r>
      <w:r w:rsidR="00483A9A" w:rsidRPr="00600ED9">
        <w:rPr>
          <w:rFonts w:ascii="Calibri" w:hAnsi="Calibri" w:cs="Calibri"/>
          <w:lang w:val="es-ES_tradnl"/>
        </w:rPr>
        <w:t xml:space="preserve">humanos </w:t>
      </w:r>
      <w:r w:rsidRPr="00600ED9">
        <w:rPr>
          <w:rFonts w:ascii="Calibri" w:hAnsi="Calibri" w:cs="Calibri"/>
          <w:lang w:val="es-ES_tradnl"/>
        </w:rPr>
        <w:t xml:space="preserve">suficientes </w:t>
      </w:r>
      <w:r w:rsidR="00483A9A" w:rsidRPr="00600ED9">
        <w:rPr>
          <w:rFonts w:ascii="Calibri" w:hAnsi="Calibri" w:cs="Calibri"/>
          <w:lang w:val="es-ES_tradnl"/>
        </w:rPr>
        <w:t xml:space="preserve"> y competentes. </w:t>
      </w:r>
    </w:p>
    <w:p w:rsidR="00D775B6" w:rsidRPr="00600ED9" w:rsidRDefault="00D775B6" w:rsidP="00FB1954">
      <w:pPr>
        <w:pStyle w:val="NoSpacing"/>
        <w:ind w:left="567"/>
        <w:jc w:val="both"/>
        <w:rPr>
          <w:rFonts w:ascii="Calibri" w:hAnsi="Calibri"/>
          <w:lang w:val="es-ES_tradnl"/>
        </w:rPr>
      </w:pPr>
    </w:p>
    <w:p w:rsidR="00720E42" w:rsidRPr="00600ED9" w:rsidRDefault="004D3E4A" w:rsidP="00233205">
      <w:pPr>
        <w:pStyle w:val="Heading2"/>
        <w:numPr>
          <w:ilvl w:val="0"/>
          <w:numId w:val="38"/>
        </w:numPr>
        <w:spacing w:before="0" w:line="240" w:lineRule="auto"/>
        <w:ind w:hanging="513"/>
      </w:pPr>
      <w:bookmarkStart w:id="36" w:name="_Toc295932928"/>
      <w:r w:rsidRPr="00600ED9">
        <w:t>EFS</w:t>
      </w:r>
      <w:r w:rsidR="00B93BCD" w:rsidRPr="00600ED9">
        <w:t xml:space="preserve"> </w:t>
      </w:r>
      <w:r w:rsidRPr="00600ED9">
        <w:t>20 - Liderazgo y Función de Recursos Humanos</w:t>
      </w:r>
      <w:bookmarkEnd w:id="36"/>
    </w:p>
    <w:p w:rsidR="000D37A0" w:rsidRPr="00600ED9" w:rsidRDefault="000D37A0" w:rsidP="00FB1954">
      <w:pPr>
        <w:pStyle w:val="NoSpacing"/>
        <w:rPr>
          <w:lang w:val="es-ES_tradnl"/>
        </w:rPr>
      </w:pPr>
    </w:p>
    <w:tbl>
      <w:tblPr>
        <w:tblW w:w="7603" w:type="dxa"/>
        <w:tblInd w:w="720" w:type="dxa"/>
        <w:tblCellMar>
          <w:left w:w="70" w:type="dxa"/>
          <w:right w:w="70" w:type="dxa"/>
        </w:tblCellMar>
        <w:tblLook w:val="04A0" w:firstRow="1" w:lastRow="0" w:firstColumn="1" w:lastColumn="0" w:noHBand="0" w:noVBand="1"/>
      </w:tblPr>
      <w:tblGrid>
        <w:gridCol w:w="2500"/>
        <w:gridCol w:w="841"/>
        <w:gridCol w:w="870"/>
        <w:gridCol w:w="896"/>
        <w:gridCol w:w="1251"/>
        <w:gridCol w:w="160"/>
        <w:gridCol w:w="1085"/>
      </w:tblGrid>
      <w:tr w:rsidR="006F4A97" w:rsidRPr="00600ED9" w:rsidTr="000D37A0">
        <w:trPr>
          <w:trHeight w:val="255"/>
        </w:trPr>
        <w:tc>
          <w:tcPr>
            <w:tcW w:w="2500" w:type="dxa"/>
            <w:tcBorders>
              <w:top w:val="nil"/>
              <w:left w:val="nil"/>
              <w:bottom w:val="nil"/>
              <w:right w:val="nil"/>
            </w:tcBorders>
            <w:shd w:val="clear" w:color="auto" w:fill="auto"/>
            <w:noWrap/>
            <w:vAlign w:val="bottom"/>
            <w:hideMark/>
          </w:tcPr>
          <w:p w:rsidR="006F4A97" w:rsidRPr="00600ED9" w:rsidRDefault="006F4A97" w:rsidP="00FB1954">
            <w:pPr>
              <w:pStyle w:val="NoSpacing"/>
              <w:tabs>
                <w:tab w:val="center" w:pos="4680"/>
                <w:tab w:val="right" w:pos="9360"/>
              </w:tabs>
              <w:jc w:val="center"/>
              <w:rPr>
                <w:sz w:val="20"/>
                <w:szCs w:val="20"/>
                <w:lang w:val="es-ES_tradnl"/>
              </w:rPr>
            </w:pPr>
          </w:p>
        </w:tc>
        <w:tc>
          <w:tcPr>
            <w:tcW w:w="3858" w:type="dxa"/>
            <w:gridSpan w:val="4"/>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6F4A97" w:rsidRPr="00600ED9" w:rsidRDefault="006F4A97" w:rsidP="00FB1954">
            <w:pPr>
              <w:pStyle w:val="NoSpacing"/>
              <w:jc w:val="center"/>
              <w:rPr>
                <w:b/>
                <w:bCs/>
                <w:sz w:val="20"/>
                <w:szCs w:val="20"/>
                <w:lang w:val="es-ES_tradnl"/>
              </w:rPr>
            </w:pPr>
            <w:r w:rsidRPr="00600ED9">
              <w:rPr>
                <w:b/>
                <w:bCs/>
                <w:sz w:val="20"/>
                <w:szCs w:val="20"/>
                <w:lang w:val="es-ES_tradnl"/>
              </w:rPr>
              <w:t>Dimensiones Evaluadas</w:t>
            </w:r>
          </w:p>
        </w:tc>
        <w:tc>
          <w:tcPr>
            <w:tcW w:w="160" w:type="dxa"/>
            <w:tcBorders>
              <w:top w:val="nil"/>
              <w:left w:val="nil"/>
              <w:bottom w:val="nil"/>
              <w:right w:val="nil"/>
            </w:tcBorders>
            <w:shd w:val="clear" w:color="auto" w:fill="auto"/>
            <w:noWrap/>
            <w:vAlign w:val="bottom"/>
            <w:hideMark/>
          </w:tcPr>
          <w:p w:rsidR="006F4A97" w:rsidRPr="00600ED9" w:rsidRDefault="006F4A97" w:rsidP="00FB1954">
            <w:pPr>
              <w:pStyle w:val="NoSpacing"/>
              <w:tabs>
                <w:tab w:val="center" w:pos="4680"/>
                <w:tab w:val="right" w:pos="9360"/>
              </w:tabs>
              <w:jc w:val="center"/>
              <w:rPr>
                <w:sz w:val="20"/>
                <w:szCs w:val="20"/>
                <w:lang w:val="es-ES_tradnl"/>
              </w:rPr>
            </w:pPr>
          </w:p>
        </w:tc>
        <w:tc>
          <w:tcPr>
            <w:tcW w:w="1085" w:type="dxa"/>
            <w:vMerge w:val="restart"/>
            <w:tcBorders>
              <w:top w:val="single" w:sz="4" w:space="0" w:color="auto"/>
              <w:left w:val="single" w:sz="4" w:space="0" w:color="auto"/>
              <w:right w:val="single" w:sz="4" w:space="0" w:color="auto"/>
            </w:tcBorders>
            <w:shd w:val="clear" w:color="000000" w:fill="95B3D7"/>
            <w:vAlign w:val="center"/>
            <w:hideMark/>
          </w:tcPr>
          <w:p w:rsidR="006F4A97" w:rsidRPr="00600ED9" w:rsidRDefault="006F4A97" w:rsidP="00FB1954">
            <w:pPr>
              <w:pStyle w:val="NoSpacing"/>
              <w:jc w:val="center"/>
              <w:rPr>
                <w:b/>
                <w:bCs/>
                <w:sz w:val="20"/>
                <w:szCs w:val="20"/>
                <w:lang w:val="es-ES_tradnl"/>
              </w:rPr>
            </w:pPr>
            <w:r w:rsidRPr="00600ED9">
              <w:rPr>
                <w:b/>
                <w:bCs/>
                <w:sz w:val="20"/>
                <w:szCs w:val="20"/>
                <w:lang w:val="es-ES_tradnl"/>
              </w:rPr>
              <w:t>Puntuación General</w:t>
            </w:r>
          </w:p>
        </w:tc>
      </w:tr>
      <w:tr w:rsidR="006F4A97" w:rsidRPr="00600ED9" w:rsidTr="000D37A0">
        <w:trPr>
          <w:trHeight w:val="390"/>
        </w:trPr>
        <w:tc>
          <w:tcPr>
            <w:tcW w:w="250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6F4A97" w:rsidRPr="00600ED9" w:rsidRDefault="006F4A97" w:rsidP="00FB1954">
            <w:pPr>
              <w:pStyle w:val="NoSpacing"/>
              <w:jc w:val="center"/>
              <w:rPr>
                <w:b/>
                <w:bCs/>
                <w:sz w:val="20"/>
                <w:szCs w:val="20"/>
                <w:lang w:val="es-ES_tradnl"/>
              </w:rPr>
            </w:pPr>
            <w:r w:rsidRPr="00600ED9">
              <w:rPr>
                <w:b/>
                <w:bCs/>
                <w:sz w:val="20"/>
                <w:szCs w:val="20"/>
                <w:lang w:val="es-ES_tradnl"/>
              </w:rPr>
              <w:t>Indicadores</w:t>
            </w:r>
          </w:p>
        </w:tc>
        <w:tc>
          <w:tcPr>
            <w:tcW w:w="841" w:type="dxa"/>
            <w:tcBorders>
              <w:top w:val="nil"/>
              <w:left w:val="nil"/>
              <w:bottom w:val="single" w:sz="4" w:space="0" w:color="auto"/>
              <w:right w:val="single" w:sz="4" w:space="0" w:color="auto"/>
            </w:tcBorders>
            <w:shd w:val="clear" w:color="000000" w:fill="D8D8D8"/>
            <w:noWrap/>
            <w:hideMark/>
          </w:tcPr>
          <w:p w:rsidR="006F4A97" w:rsidRPr="004F42B9" w:rsidRDefault="000666C8" w:rsidP="00FB1954">
            <w:pPr>
              <w:pStyle w:val="NoSpacing"/>
              <w:jc w:val="center"/>
              <w:rPr>
                <w:b/>
                <w:bCs/>
                <w:w w:val="90"/>
                <w:sz w:val="20"/>
                <w:szCs w:val="20"/>
                <w:lang w:val="pt-BR"/>
              </w:rPr>
            </w:pPr>
            <w:r w:rsidRPr="004F42B9">
              <w:rPr>
                <w:b/>
                <w:bCs/>
                <w:w w:val="90"/>
                <w:sz w:val="20"/>
                <w:szCs w:val="20"/>
                <w:lang w:val="pt-BR"/>
              </w:rPr>
              <w:t>(i)</w:t>
            </w:r>
          </w:p>
          <w:p w:rsidR="006F4A97" w:rsidRPr="004F42B9" w:rsidRDefault="006F4A97" w:rsidP="00FB1954">
            <w:pPr>
              <w:pStyle w:val="NoSpacing"/>
              <w:jc w:val="center"/>
              <w:rPr>
                <w:bCs/>
                <w:w w:val="90"/>
                <w:sz w:val="20"/>
                <w:szCs w:val="20"/>
                <w:lang w:val="pt-BR"/>
              </w:rPr>
            </w:pPr>
            <w:proofErr w:type="spellStart"/>
            <w:r w:rsidRPr="004F42B9">
              <w:rPr>
                <w:w w:val="90"/>
                <w:sz w:val="20"/>
                <w:szCs w:val="20"/>
                <w:lang w:val="pt-BR"/>
              </w:rPr>
              <w:t>Liderazgo</w:t>
            </w:r>
            <w:proofErr w:type="spellEnd"/>
            <w:r w:rsidRPr="004F42B9">
              <w:rPr>
                <w:w w:val="90"/>
                <w:sz w:val="20"/>
                <w:szCs w:val="20"/>
                <w:lang w:val="pt-BR"/>
              </w:rPr>
              <w:t xml:space="preserve"> de Recursos Humanos</w:t>
            </w:r>
          </w:p>
        </w:tc>
        <w:tc>
          <w:tcPr>
            <w:tcW w:w="870" w:type="dxa"/>
            <w:tcBorders>
              <w:top w:val="nil"/>
              <w:left w:val="nil"/>
              <w:bottom w:val="single" w:sz="4" w:space="0" w:color="auto"/>
              <w:right w:val="single" w:sz="4" w:space="0" w:color="auto"/>
            </w:tcBorders>
            <w:shd w:val="clear" w:color="000000" w:fill="D8D8D8"/>
            <w:noWrap/>
            <w:hideMark/>
          </w:tcPr>
          <w:p w:rsidR="006F4A97" w:rsidRPr="00600ED9" w:rsidRDefault="000666C8" w:rsidP="00FB1954">
            <w:pPr>
              <w:pStyle w:val="NoSpacing"/>
              <w:jc w:val="center"/>
              <w:rPr>
                <w:b/>
                <w:bCs/>
                <w:w w:val="90"/>
                <w:sz w:val="20"/>
                <w:szCs w:val="20"/>
                <w:lang w:val="es-ES_tradnl"/>
              </w:rPr>
            </w:pPr>
            <w:r w:rsidRPr="00600ED9">
              <w:rPr>
                <w:b/>
                <w:bCs/>
                <w:w w:val="90"/>
                <w:sz w:val="20"/>
                <w:szCs w:val="20"/>
                <w:lang w:val="es-ES_tradnl"/>
              </w:rPr>
              <w:t>(ii)</w:t>
            </w:r>
          </w:p>
          <w:p w:rsidR="006F4A97" w:rsidRPr="00600ED9" w:rsidRDefault="006F4A97" w:rsidP="00FB1954">
            <w:pPr>
              <w:pStyle w:val="NoSpacing"/>
              <w:jc w:val="center"/>
              <w:rPr>
                <w:bCs/>
                <w:w w:val="90"/>
                <w:sz w:val="20"/>
                <w:szCs w:val="20"/>
                <w:lang w:val="es-ES_tradnl"/>
              </w:rPr>
            </w:pPr>
            <w:r w:rsidRPr="00600ED9">
              <w:rPr>
                <w:w w:val="90"/>
                <w:sz w:val="20"/>
                <w:szCs w:val="20"/>
                <w:lang w:val="es-ES_tradnl"/>
              </w:rPr>
              <w:t>Estrategia de Recursos Humanos</w:t>
            </w:r>
          </w:p>
        </w:tc>
        <w:tc>
          <w:tcPr>
            <w:tcW w:w="896" w:type="dxa"/>
            <w:tcBorders>
              <w:top w:val="nil"/>
              <w:left w:val="nil"/>
              <w:bottom w:val="single" w:sz="4" w:space="0" w:color="auto"/>
              <w:right w:val="single" w:sz="4" w:space="0" w:color="auto"/>
            </w:tcBorders>
            <w:shd w:val="clear" w:color="000000" w:fill="D8D8D8"/>
            <w:noWrap/>
            <w:hideMark/>
          </w:tcPr>
          <w:p w:rsidR="006F4A97" w:rsidRPr="00600ED9" w:rsidRDefault="000666C8" w:rsidP="00FB1954">
            <w:pPr>
              <w:pStyle w:val="NoSpacing"/>
              <w:jc w:val="center"/>
              <w:rPr>
                <w:b/>
                <w:bCs/>
                <w:w w:val="90"/>
                <w:sz w:val="20"/>
                <w:szCs w:val="20"/>
                <w:lang w:val="es-ES_tradnl"/>
              </w:rPr>
            </w:pPr>
            <w:r w:rsidRPr="00600ED9">
              <w:rPr>
                <w:b/>
                <w:bCs/>
                <w:w w:val="90"/>
                <w:sz w:val="20"/>
                <w:szCs w:val="20"/>
                <w:lang w:val="es-ES_tradnl"/>
              </w:rPr>
              <w:t>(iii)</w:t>
            </w:r>
          </w:p>
          <w:p w:rsidR="006F4A97" w:rsidRPr="00600ED9" w:rsidRDefault="006F4A97" w:rsidP="00FB1954">
            <w:pPr>
              <w:pStyle w:val="NoSpacing"/>
              <w:jc w:val="center"/>
              <w:rPr>
                <w:bCs/>
                <w:w w:val="90"/>
                <w:sz w:val="20"/>
                <w:szCs w:val="20"/>
                <w:lang w:val="es-ES_tradnl"/>
              </w:rPr>
            </w:pPr>
            <w:r w:rsidRPr="00600ED9">
              <w:rPr>
                <w:rFonts w:cs="Times New Roman"/>
                <w:w w:val="90"/>
                <w:sz w:val="20"/>
                <w:szCs w:val="20"/>
                <w:lang w:val="es-ES_tradnl" w:eastAsia="en-GB"/>
              </w:rPr>
              <w:t>Gestión Financiera</w:t>
            </w:r>
          </w:p>
        </w:tc>
        <w:tc>
          <w:tcPr>
            <w:tcW w:w="1251" w:type="dxa"/>
            <w:tcBorders>
              <w:top w:val="nil"/>
              <w:left w:val="nil"/>
              <w:bottom w:val="single" w:sz="4" w:space="0" w:color="auto"/>
              <w:right w:val="single" w:sz="4" w:space="0" w:color="auto"/>
            </w:tcBorders>
            <w:shd w:val="clear" w:color="000000" w:fill="D8D8D8"/>
            <w:noWrap/>
            <w:hideMark/>
          </w:tcPr>
          <w:p w:rsidR="006F4A97" w:rsidRPr="00600ED9" w:rsidRDefault="000666C8" w:rsidP="00FB1954">
            <w:pPr>
              <w:pStyle w:val="NoSpacing"/>
              <w:jc w:val="center"/>
              <w:rPr>
                <w:b/>
                <w:bCs/>
                <w:w w:val="90"/>
                <w:sz w:val="20"/>
                <w:szCs w:val="20"/>
                <w:lang w:val="es-ES_tradnl"/>
              </w:rPr>
            </w:pPr>
            <w:r w:rsidRPr="00600ED9">
              <w:rPr>
                <w:b/>
                <w:bCs/>
                <w:w w:val="90"/>
                <w:sz w:val="20"/>
                <w:szCs w:val="20"/>
                <w:lang w:val="es-ES_tradnl"/>
              </w:rPr>
              <w:t>(iv)</w:t>
            </w:r>
          </w:p>
          <w:p w:rsidR="006F4A97" w:rsidRPr="00600ED9" w:rsidRDefault="006F4A97" w:rsidP="00FB1954">
            <w:pPr>
              <w:pStyle w:val="NoSpacing"/>
              <w:jc w:val="center"/>
              <w:rPr>
                <w:bCs/>
                <w:w w:val="90"/>
                <w:sz w:val="20"/>
                <w:szCs w:val="20"/>
                <w:lang w:val="es-ES_tradnl"/>
              </w:rPr>
            </w:pPr>
            <w:r w:rsidRPr="00600ED9">
              <w:rPr>
                <w:w w:val="90"/>
                <w:sz w:val="20"/>
                <w:szCs w:val="20"/>
                <w:lang w:val="es-ES_tradnl"/>
              </w:rPr>
              <w:t>Remuneración, Promoción y Bienestar del Personal</w:t>
            </w:r>
          </w:p>
        </w:tc>
        <w:tc>
          <w:tcPr>
            <w:tcW w:w="160" w:type="dxa"/>
            <w:tcBorders>
              <w:top w:val="nil"/>
              <w:left w:val="nil"/>
              <w:bottom w:val="nil"/>
              <w:right w:val="nil"/>
            </w:tcBorders>
            <w:shd w:val="clear" w:color="auto" w:fill="auto"/>
            <w:noWrap/>
            <w:vAlign w:val="bottom"/>
            <w:hideMark/>
          </w:tcPr>
          <w:p w:rsidR="006F4A97" w:rsidRPr="00600ED9" w:rsidRDefault="006F4A97" w:rsidP="00FB1954">
            <w:pPr>
              <w:pStyle w:val="NoSpacing"/>
              <w:tabs>
                <w:tab w:val="center" w:pos="4680"/>
                <w:tab w:val="right" w:pos="9360"/>
              </w:tabs>
              <w:jc w:val="center"/>
              <w:rPr>
                <w:sz w:val="20"/>
                <w:szCs w:val="20"/>
                <w:lang w:val="es-ES_tradnl"/>
              </w:rPr>
            </w:pPr>
          </w:p>
        </w:tc>
        <w:tc>
          <w:tcPr>
            <w:tcW w:w="1085" w:type="dxa"/>
            <w:vMerge/>
            <w:tcBorders>
              <w:left w:val="single" w:sz="4" w:space="0" w:color="auto"/>
              <w:bottom w:val="single" w:sz="4" w:space="0" w:color="auto"/>
              <w:right w:val="single" w:sz="4" w:space="0" w:color="auto"/>
            </w:tcBorders>
            <w:vAlign w:val="center"/>
            <w:hideMark/>
          </w:tcPr>
          <w:p w:rsidR="006F4A97" w:rsidRPr="00600ED9" w:rsidRDefault="006F4A97" w:rsidP="00FB1954">
            <w:pPr>
              <w:pStyle w:val="NoSpacing"/>
              <w:tabs>
                <w:tab w:val="center" w:pos="4680"/>
                <w:tab w:val="right" w:pos="9360"/>
              </w:tabs>
              <w:jc w:val="center"/>
              <w:rPr>
                <w:b/>
                <w:bCs/>
                <w:sz w:val="20"/>
                <w:szCs w:val="20"/>
                <w:lang w:val="es-ES_tradnl"/>
              </w:rPr>
            </w:pPr>
          </w:p>
        </w:tc>
      </w:tr>
      <w:tr w:rsidR="00071CF6" w:rsidRPr="00600ED9" w:rsidTr="000D37A0">
        <w:trPr>
          <w:trHeight w:val="51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071CF6" w:rsidRPr="00600ED9" w:rsidRDefault="00071CF6" w:rsidP="00FB1954">
            <w:pPr>
              <w:pStyle w:val="NoSpacing"/>
              <w:jc w:val="center"/>
              <w:rPr>
                <w:b/>
                <w:bCs/>
                <w:sz w:val="20"/>
                <w:szCs w:val="20"/>
                <w:lang w:val="es-ES_tradnl"/>
              </w:rPr>
            </w:pPr>
            <w:r w:rsidRPr="00600ED9">
              <w:rPr>
                <w:rFonts w:eastAsia="Calibri" w:cs="Times New Roman"/>
                <w:b/>
                <w:sz w:val="20"/>
                <w:szCs w:val="20"/>
                <w:lang w:val="es-ES_tradnl"/>
              </w:rPr>
              <w:t>EFS 20 - Liderazgo y Función de Recursos Humanos</w:t>
            </w:r>
          </w:p>
        </w:tc>
        <w:tc>
          <w:tcPr>
            <w:tcW w:w="841" w:type="dxa"/>
            <w:tcBorders>
              <w:top w:val="nil"/>
              <w:left w:val="nil"/>
              <w:bottom w:val="single" w:sz="4" w:space="0" w:color="auto"/>
              <w:right w:val="single" w:sz="4" w:space="0" w:color="auto"/>
            </w:tcBorders>
            <w:shd w:val="clear" w:color="auto" w:fill="auto"/>
            <w:noWrap/>
            <w:vAlign w:val="center"/>
          </w:tcPr>
          <w:p w:rsidR="00071CF6" w:rsidRPr="00600ED9" w:rsidRDefault="00071CF6" w:rsidP="00FB1954">
            <w:pPr>
              <w:pStyle w:val="NoSpacing"/>
              <w:jc w:val="center"/>
              <w:rPr>
                <w:b/>
                <w:bCs/>
                <w:sz w:val="20"/>
                <w:szCs w:val="20"/>
                <w:lang w:val="es-ES_tradnl"/>
              </w:rPr>
            </w:pPr>
            <w:r w:rsidRPr="00600ED9">
              <w:rPr>
                <w:b/>
                <w:bCs/>
                <w:sz w:val="20"/>
                <w:szCs w:val="20"/>
                <w:lang w:val="es-ES_tradnl"/>
              </w:rPr>
              <w:t>4</w:t>
            </w:r>
          </w:p>
        </w:tc>
        <w:tc>
          <w:tcPr>
            <w:tcW w:w="870" w:type="dxa"/>
            <w:tcBorders>
              <w:top w:val="nil"/>
              <w:left w:val="nil"/>
              <w:bottom w:val="single" w:sz="4" w:space="0" w:color="auto"/>
              <w:right w:val="single" w:sz="4" w:space="0" w:color="auto"/>
            </w:tcBorders>
            <w:shd w:val="clear" w:color="auto" w:fill="auto"/>
            <w:noWrap/>
            <w:vAlign w:val="center"/>
          </w:tcPr>
          <w:p w:rsidR="00071CF6" w:rsidRPr="00600ED9" w:rsidRDefault="00071CF6" w:rsidP="00FB1954">
            <w:pPr>
              <w:pStyle w:val="NoSpacing"/>
              <w:jc w:val="center"/>
              <w:rPr>
                <w:b/>
                <w:bCs/>
                <w:sz w:val="20"/>
                <w:szCs w:val="20"/>
                <w:lang w:val="es-ES_tradnl"/>
              </w:rPr>
            </w:pPr>
            <w:r w:rsidRPr="00600ED9">
              <w:rPr>
                <w:b/>
                <w:bCs/>
                <w:sz w:val="20"/>
                <w:szCs w:val="20"/>
                <w:lang w:val="es-ES_tradnl"/>
              </w:rPr>
              <w:t>2</w:t>
            </w:r>
          </w:p>
        </w:tc>
        <w:tc>
          <w:tcPr>
            <w:tcW w:w="896" w:type="dxa"/>
            <w:tcBorders>
              <w:top w:val="nil"/>
              <w:left w:val="nil"/>
              <w:bottom w:val="single" w:sz="4" w:space="0" w:color="auto"/>
              <w:right w:val="single" w:sz="4" w:space="0" w:color="auto"/>
            </w:tcBorders>
            <w:shd w:val="clear" w:color="auto" w:fill="auto"/>
            <w:noWrap/>
            <w:vAlign w:val="center"/>
          </w:tcPr>
          <w:p w:rsidR="00071CF6" w:rsidRPr="00600ED9" w:rsidRDefault="00071CF6" w:rsidP="00FB1954">
            <w:pPr>
              <w:pStyle w:val="NoSpacing"/>
              <w:jc w:val="center"/>
              <w:rPr>
                <w:b/>
                <w:bCs/>
                <w:sz w:val="20"/>
                <w:szCs w:val="20"/>
                <w:lang w:val="es-ES_tradnl"/>
              </w:rPr>
            </w:pPr>
            <w:r w:rsidRPr="00600ED9">
              <w:rPr>
                <w:b/>
                <w:bCs/>
                <w:sz w:val="20"/>
                <w:szCs w:val="20"/>
                <w:lang w:val="es-ES_tradnl"/>
              </w:rPr>
              <w:t>4</w:t>
            </w:r>
          </w:p>
        </w:tc>
        <w:tc>
          <w:tcPr>
            <w:tcW w:w="1251" w:type="dxa"/>
            <w:tcBorders>
              <w:top w:val="nil"/>
              <w:left w:val="nil"/>
              <w:bottom w:val="single" w:sz="4" w:space="0" w:color="auto"/>
              <w:right w:val="single" w:sz="4" w:space="0" w:color="auto"/>
            </w:tcBorders>
            <w:shd w:val="clear" w:color="auto" w:fill="auto"/>
            <w:noWrap/>
            <w:vAlign w:val="center"/>
          </w:tcPr>
          <w:p w:rsidR="00071CF6" w:rsidRPr="00600ED9" w:rsidRDefault="00071CF6" w:rsidP="00FB1954">
            <w:pPr>
              <w:pStyle w:val="NoSpacing"/>
              <w:jc w:val="center"/>
              <w:rPr>
                <w:b/>
                <w:bCs/>
                <w:sz w:val="20"/>
                <w:szCs w:val="20"/>
                <w:lang w:val="es-ES_tradnl"/>
              </w:rPr>
            </w:pPr>
            <w:r w:rsidRPr="00600ED9">
              <w:rPr>
                <w:b/>
                <w:bCs/>
                <w:sz w:val="20"/>
                <w:szCs w:val="20"/>
                <w:lang w:val="es-ES_tradnl"/>
              </w:rPr>
              <w:t>NA</w:t>
            </w:r>
            <w:r w:rsidRPr="00600ED9">
              <w:rPr>
                <w:rStyle w:val="FootnoteReference"/>
                <w:b/>
                <w:bCs/>
                <w:color w:val="000000"/>
                <w:sz w:val="20"/>
                <w:szCs w:val="20"/>
                <w:lang w:val="es-ES_tradnl"/>
              </w:rPr>
              <w:footnoteReference w:id="55"/>
            </w:r>
          </w:p>
        </w:tc>
        <w:tc>
          <w:tcPr>
            <w:tcW w:w="160" w:type="dxa"/>
            <w:tcBorders>
              <w:top w:val="nil"/>
              <w:left w:val="nil"/>
              <w:bottom w:val="nil"/>
              <w:right w:val="nil"/>
            </w:tcBorders>
            <w:shd w:val="clear" w:color="auto" w:fill="auto"/>
            <w:noWrap/>
            <w:vAlign w:val="bottom"/>
          </w:tcPr>
          <w:p w:rsidR="00071CF6" w:rsidRPr="00600ED9" w:rsidRDefault="00071CF6" w:rsidP="00FB1954">
            <w:pPr>
              <w:pStyle w:val="NoSpacing"/>
              <w:tabs>
                <w:tab w:val="center" w:pos="4680"/>
                <w:tab w:val="right" w:pos="9360"/>
              </w:tabs>
              <w:jc w:val="center"/>
              <w:rPr>
                <w:sz w:val="20"/>
                <w:szCs w:val="20"/>
                <w:lang w:val="es-ES_tradnl"/>
              </w:rPr>
            </w:pPr>
          </w:p>
        </w:tc>
        <w:tc>
          <w:tcPr>
            <w:tcW w:w="1085" w:type="dxa"/>
            <w:tcBorders>
              <w:top w:val="nil"/>
              <w:left w:val="single" w:sz="4" w:space="0" w:color="auto"/>
              <w:bottom w:val="single" w:sz="4" w:space="0" w:color="auto"/>
              <w:right w:val="single" w:sz="4" w:space="0" w:color="auto"/>
            </w:tcBorders>
            <w:shd w:val="clear" w:color="auto" w:fill="auto"/>
            <w:noWrap/>
            <w:vAlign w:val="center"/>
          </w:tcPr>
          <w:p w:rsidR="00071CF6" w:rsidRPr="00600ED9" w:rsidRDefault="00071CF6" w:rsidP="00FB1954">
            <w:pPr>
              <w:pStyle w:val="NoSpacing"/>
              <w:jc w:val="center"/>
              <w:rPr>
                <w:b/>
                <w:sz w:val="20"/>
                <w:szCs w:val="20"/>
                <w:lang w:val="es-ES_tradnl"/>
              </w:rPr>
            </w:pPr>
            <w:r w:rsidRPr="00600ED9">
              <w:rPr>
                <w:b/>
                <w:sz w:val="20"/>
                <w:szCs w:val="20"/>
                <w:lang w:val="es-ES_tradnl"/>
              </w:rPr>
              <w:t>3</w:t>
            </w:r>
          </w:p>
        </w:tc>
      </w:tr>
    </w:tbl>
    <w:p w:rsidR="00483A9A" w:rsidRPr="00600ED9" w:rsidRDefault="00483A9A" w:rsidP="00FB1954">
      <w:pPr>
        <w:pStyle w:val="NoSpacing"/>
        <w:ind w:left="720"/>
        <w:jc w:val="both"/>
        <w:rPr>
          <w:lang w:val="es-ES_tradnl"/>
        </w:rPr>
      </w:pPr>
    </w:p>
    <w:p w:rsidR="00483A9A" w:rsidRPr="00600ED9" w:rsidRDefault="00483A9A" w:rsidP="00FB1954">
      <w:pPr>
        <w:pStyle w:val="NoSpacing"/>
        <w:ind w:left="720"/>
        <w:jc w:val="both"/>
        <w:rPr>
          <w:lang w:val="es-ES_tradnl"/>
        </w:rPr>
      </w:pPr>
      <w:r w:rsidRPr="00600ED9">
        <w:rPr>
          <w:lang w:val="es-ES_tradnl"/>
        </w:rPr>
        <w:t>La CGRC ha diseñado e implantado políticas que desarrollan el liderazgo. La Alta Gerencia, especialmente, mantiene un clima de compromiso, donde cada responsable hace propias las iniciativas a su cargo. Igualmente se dispone de procedimientos para la gestión de los recursos humanos que cubren aspectos como  reclutamiento, evaluación del desempeño y bienestar del personal.</w:t>
      </w:r>
    </w:p>
    <w:p w:rsidR="00483A9A" w:rsidRPr="00600ED9" w:rsidRDefault="00483A9A" w:rsidP="00FB1954">
      <w:pPr>
        <w:pStyle w:val="NoSpacing"/>
        <w:ind w:left="720"/>
        <w:jc w:val="both"/>
        <w:rPr>
          <w:lang w:val="es-ES_tradnl"/>
        </w:rPr>
      </w:pPr>
    </w:p>
    <w:p w:rsidR="00AC17CB" w:rsidRPr="00600ED9" w:rsidRDefault="00483A9A" w:rsidP="00FB1954">
      <w:pPr>
        <w:pStyle w:val="NoSpacing"/>
        <w:ind w:left="720"/>
        <w:jc w:val="both"/>
        <w:rPr>
          <w:lang w:val="es-ES_tradnl"/>
        </w:rPr>
      </w:pPr>
      <w:r w:rsidRPr="00600ED9">
        <w:rPr>
          <w:lang w:val="es-ES_tradnl"/>
        </w:rPr>
        <w:lastRenderedPageBreak/>
        <w:t xml:space="preserve">Sin embargo, la </w:t>
      </w:r>
      <w:r w:rsidR="0032698C" w:rsidRPr="00600ED9">
        <w:rPr>
          <w:lang w:val="es-ES_tradnl"/>
        </w:rPr>
        <w:t xml:space="preserve">estrategia de recursos humanos </w:t>
      </w:r>
      <w:r w:rsidRPr="00600ED9">
        <w:rPr>
          <w:lang w:val="es-ES_tradnl"/>
        </w:rPr>
        <w:t>requiere ser actualizada para: incorporar criterios</w:t>
      </w:r>
      <w:r w:rsidR="0032698C" w:rsidRPr="00600ED9">
        <w:rPr>
          <w:lang w:val="es-ES_tradnl"/>
        </w:rPr>
        <w:t xml:space="preserve"> para el desarrollo profesional, </w:t>
      </w:r>
      <w:r w:rsidRPr="00600ED9">
        <w:rPr>
          <w:lang w:val="es-ES_tradnl"/>
        </w:rPr>
        <w:t>consideraciones sobre la cantidad y competencias de personal requerido para atend</w:t>
      </w:r>
      <w:r w:rsidR="0032698C" w:rsidRPr="00600ED9">
        <w:rPr>
          <w:lang w:val="es-ES_tradnl"/>
        </w:rPr>
        <w:t>er el mandato de la Contraloría,</w:t>
      </w:r>
      <w:r w:rsidRPr="00600ED9">
        <w:rPr>
          <w:lang w:val="es-ES_tradnl"/>
        </w:rPr>
        <w:t xml:space="preserve"> la expresión de los puntos de vista de los empleados sobre el ambien</w:t>
      </w:r>
      <w:r w:rsidR="0032698C" w:rsidRPr="00600ED9">
        <w:rPr>
          <w:lang w:val="es-ES_tradnl"/>
        </w:rPr>
        <w:t xml:space="preserve">te de trabajo de manera regular, </w:t>
      </w:r>
      <w:r w:rsidRPr="00600ED9">
        <w:rPr>
          <w:lang w:val="es-ES_tradnl"/>
        </w:rPr>
        <w:t xml:space="preserve">así como el manejo de indicadores para los principales procedimientos o novedades relacionados con la gestión de los recursos humanos. </w:t>
      </w:r>
    </w:p>
    <w:p w:rsidR="00AC17CB" w:rsidRPr="00600ED9" w:rsidRDefault="00AC17CB" w:rsidP="00FB1954">
      <w:pPr>
        <w:pStyle w:val="NoSpacing"/>
        <w:ind w:left="720"/>
        <w:jc w:val="both"/>
        <w:rPr>
          <w:sz w:val="18"/>
          <w:lang w:val="es-ES_tradnl"/>
        </w:rPr>
      </w:pPr>
    </w:p>
    <w:tbl>
      <w:tblPr>
        <w:tblStyle w:val="TableGrid"/>
        <w:tblW w:w="9356" w:type="dxa"/>
        <w:tblInd w:w="817" w:type="dxa"/>
        <w:tblLook w:val="04A0" w:firstRow="1" w:lastRow="0" w:firstColumn="1" w:lastColumn="0" w:noHBand="0" w:noVBand="1"/>
      </w:tblPr>
      <w:tblGrid>
        <w:gridCol w:w="9356"/>
      </w:tblGrid>
      <w:tr w:rsidR="0032698C" w:rsidRPr="00600ED9" w:rsidTr="00BD6117">
        <w:trPr>
          <w:tblHeader/>
        </w:trPr>
        <w:tc>
          <w:tcPr>
            <w:tcW w:w="9356" w:type="dxa"/>
            <w:shd w:val="clear" w:color="auto" w:fill="365F91" w:themeFill="accent1" w:themeFillShade="BF"/>
          </w:tcPr>
          <w:p w:rsidR="0032698C" w:rsidRPr="00600ED9" w:rsidRDefault="0032698C" w:rsidP="00FB1954">
            <w:pPr>
              <w:pStyle w:val="NoSpacing"/>
              <w:rPr>
                <w:b/>
                <w:color w:val="FFFFFF" w:themeColor="background1"/>
                <w:sz w:val="20"/>
                <w:szCs w:val="20"/>
                <w:lang w:val="es-ES_tradnl"/>
              </w:rPr>
            </w:pPr>
            <w:r w:rsidRPr="00600ED9">
              <w:rPr>
                <w:b/>
                <w:color w:val="FFFFFF" w:themeColor="background1"/>
                <w:sz w:val="20"/>
                <w:szCs w:val="20"/>
                <w:lang w:val="es-ES_tradnl"/>
              </w:rPr>
              <w:t xml:space="preserve">Principales observaciones y conclusiones </w:t>
            </w:r>
          </w:p>
        </w:tc>
      </w:tr>
      <w:tr w:rsidR="0032698C" w:rsidRPr="00600ED9" w:rsidTr="00BD6117">
        <w:tc>
          <w:tcPr>
            <w:tcW w:w="9356" w:type="dxa"/>
            <w:shd w:val="clear" w:color="auto" w:fill="D9D9D9" w:themeFill="background1" w:themeFillShade="D9"/>
          </w:tcPr>
          <w:p w:rsidR="0032698C" w:rsidRPr="00600ED9" w:rsidRDefault="0032698C" w:rsidP="00FB1954">
            <w:pPr>
              <w:pStyle w:val="NoSpacing"/>
              <w:rPr>
                <w:b/>
                <w:i/>
                <w:sz w:val="20"/>
                <w:szCs w:val="20"/>
                <w:lang w:val="es-ES_tradnl"/>
              </w:rPr>
            </w:pPr>
            <w:r w:rsidRPr="00600ED9">
              <w:rPr>
                <w:b/>
                <w:i/>
                <w:sz w:val="20"/>
                <w:szCs w:val="20"/>
                <w:lang w:val="es-ES_tradnl"/>
              </w:rPr>
              <w:t>Dimensión (i) Liderazgo de los recursos humanos</w:t>
            </w:r>
          </w:p>
        </w:tc>
      </w:tr>
      <w:tr w:rsidR="0032698C" w:rsidRPr="00600ED9" w:rsidTr="00BD6117">
        <w:tc>
          <w:tcPr>
            <w:tcW w:w="9356" w:type="dxa"/>
            <w:shd w:val="clear" w:color="auto" w:fill="D9D9D9" w:themeFill="background1" w:themeFillShade="D9"/>
          </w:tcPr>
          <w:p w:rsidR="0032698C" w:rsidRPr="00600ED9" w:rsidRDefault="0032698C" w:rsidP="00FB1954">
            <w:pPr>
              <w:pStyle w:val="NoSpacing"/>
              <w:rPr>
                <w:i/>
                <w:sz w:val="20"/>
                <w:szCs w:val="20"/>
                <w:lang w:val="es-ES_tradnl"/>
              </w:rPr>
            </w:pPr>
            <w:r w:rsidRPr="00600ED9">
              <w:rPr>
                <w:rFonts w:cs="Calibri"/>
                <w:b/>
                <w:bCs/>
                <w:i/>
                <w:color w:val="000000"/>
                <w:sz w:val="20"/>
                <w:szCs w:val="20"/>
                <w:lang w:val="es-ES_tradnl"/>
              </w:rPr>
              <w:t>Puntuación 4</w:t>
            </w:r>
            <w:r w:rsidRPr="00600ED9">
              <w:rPr>
                <w:rFonts w:cs="Calibri"/>
                <w:bCs/>
                <w:i/>
                <w:color w:val="000000"/>
                <w:sz w:val="20"/>
                <w:szCs w:val="20"/>
                <w:lang w:val="es-ES_tradnl"/>
              </w:rPr>
              <w:t>: Se cumplen todos los criterios mencionados.</w:t>
            </w:r>
          </w:p>
        </w:tc>
      </w:tr>
      <w:tr w:rsidR="0032698C" w:rsidRPr="00600ED9" w:rsidTr="00BD6117">
        <w:tc>
          <w:tcPr>
            <w:tcW w:w="9356" w:type="dxa"/>
          </w:tcPr>
          <w:p w:rsidR="0032698C" w:rsidRPr="00600ED9" w:rsidRDefault="0032698C" w:rsidP="00FB1954">
            <w:pPr>
              <w:pStyle w:val="NoSpacing"/>
              <w:jc w:val="both"/>
              <w:rPr>
                <w:sz w:val="20"/>
                <w:szCs w:val="20"/>
                <w:lang w:val="es-ES_tradnl"/>
              </w:rPr>
            </w:pPr>
            <w:r w:rsidRPr="00600ED9">
              <w:rPr>
                <w:sz w:val="20"/>
                <w:szCs w:val="20"/>
                <w:lang w:val="es-ES_tradnl"/>
              </w:rPr>
              <w:t xml:space="preserve">Criterios (a), (b), (c), (d) y (e) se cumplen. </w:t>
            </w:r>
          </w:p>
          <w:p w:rsidR="00607ACE" w:rsidRPr="00600ED9" w:rsidRDefault="00607ACE" w:rsidP="00FB1954">
            <w:pPr>
              <w:pStyle w:val="NoSpacing"/>
              <w:jc w:val="both"/>
              <w:rPr>
                <w:sz w:val="20"/>
                <w:szCs w:val="20"/>
                <w:lang w:val="es-ES_tradnl"/>
              </w:rPr>
            </w:pPr>
          </w:p>
          <w:p w:rsidR="0032698C" w:rsidRPr="00600ED9" w:rsidRDefault="0032698C" w:rsidP="00FB1954">
            <w:pPr>
              <w:pStyle w:val="NoSpacing"/>
              <w:jc w:val="both"/>
              <w:rPr>
                <w:sz w:val="20"/>
                <w:szCs w:val="20"/>
                <w:lang w:val="es-ES_tradnl"/>
              </w:rPr>
            </w:pPr>
            <w:r w:rsidRPr="00600ED9">
              <w:rPr>
                <w:sz w:val="20"/>
                <w:szCs w:val="20"/>
                <w:lang w:val="es-ES_tradnl"/>
              </w:rPr>
              <w:t>El Comité Directivo es el órgano superior jerárquico de consulta, coordinación y evaluación de los asuntos generales de la administración de los recursos humanos, financieros y físicos de la Contraloría. De igual forma, el Comité Directivo participa en la definición de políticas y evaluación de asuntos generales del desarrollo de la vigilancia fiscal y las demás áreas misionales que ejerce la CGRC</w:t>
            </w:r>
            <w:r w:rsidRPr="00600ED9">
              <w:rPr>
                <w:rStyle w:val="FootnoteReference"/>
                <w:sz w:val="20"/>
                <w:szCs w:val="20"/>
                <w:lang w:val="es-ES_tradnl"/>
              </w:rPr>
              <w:footnoteReference w:id="56"/>
            </w:r>
            <w:r w:rsidRPr="00600ED9">
              <w:rPr>
                <w:sz w:val="20"/>
                <w:szCs w:val="20"/>
                <w:lang w:val="es-ES_tradnl"/>
              </w:rPr>
              <w:t xml:space="preserve">. </w:t>
            </w:r>
          </w:p>
          <w:p w:rsidR="00607ACE" w:rsidRPr="00600ED9" w:rsidRDefault="00607ACE" w:rsidP="00FB1954">
            <w:pPr>
              <w:pStyle w:val="NoSpacing"/>
              <w:jc w:val="both"/>
              <w:rPr>
                <w:sz w:val="20"/>
                <w:szCs w:val="20"/>
                <w:lang w:val="es-ES_tradnl"/>
              </w:rPr>
            </w:pPr>
          </w:p>
          <w:p w:rsidR="0032698C" w:rsidRPr="00600ED9" w:rsidRDefault="0032698C" w:rsidP="00FB1954">
            <w:pPr>
              <w:pStyle w:val="NoSpacing"/>
              <w:jc w:val="both"/>
              <w:rPr>
                <w:sz w:val="20"/>
                <w:szCs w:val="20"/>
                <w:lang w:val="es-ES_tradnl"/>
              </w:rPr>
            </w:pPr>
            <w:r w:rsidRPr="00600ED9">
              <w:rPr>
                <w:sz w:val="20"/>
                <w:szCs w:val="20"/>
                <w:lang w:val="es-ES_tradnl"/>
              </w:rPr>
              <w:t xml:space="preserve">La Oficina de Comunicaciones y Publicaciones es la instancia organizacional encargada de canalizar la información interna con el propósito de mantener una permanente y oportuna comunicación con todo el personal de la organización. </w:t>
            </w:r>
          </w:p>
          <w:p w:rsidR="00607ACE" w:rsidRPr="00600ED9" w:rsidRDefault="00607ACE" w:rsidP="00FB1954">
            <w:pPr>
              <w:pStyle w:val="NoSpacing"/>
              <w:jc w:val="both"/>
              <w:rPr>
                <w:sz w:val="20"/>
                <w:szCs w:val="20"/>
                <w:lang w:val="es-ES_tradnl"/>
              </w:rPr>
            </w:pPr>
          </w:p>
          <w:p w:rsidR="0032698C" w:rsidRPr="00600ED9" w:rsidRDefault="0032698C" w:rsidP="00FB1954">
            <w:pPr>
              <w:pStyle w:val="NoSpacing"/>
              <w:jc w:val="both"/>
              <w:rPr>
                <w:rFonts w:cs="Arial"/>
                <w:sz w:val="20"/>
                <w:szCs w:val="20"/>
                <w:lang w:val="es-ES_tradnl"/>
              </w:rPr>
            </w:pPr>
            <w:r w:rsidRPr="00600ED9">
              <w:rPr>
                <w:rFonts w:cs="Arial"/>
                <w:sz w:val="20"/>
                <w:szCs w:val="20"/>
                <w:lang w:val="es-ES_tradnl"/>
              </w:rPr>
              <w:t xml:space="preserve">El CE-CGRC hace referencia a la ética pública, es decir, a </w:t>
            </w:r>
            <w:r w:rsidRPr="00600ED9">
              <w:rPr>
                <w:rFonts w:eastAsia="Times New Roman" w:cs="Times New Roman"/>
                <w:sz w:val="20"/>
                <w:szCs w:val="20"/>
                <w:lang w:val="es-ES_tradnl" w:eastAsia="nb-NO"/>
              </w:rPr>
              <w:t>las</w:t>
            </w:r>
            <w:r w:rsidRPr="00600ED9">
              <w:rPr>
                <w:rFonts w:cs="Arial"/>
                <w:sz w:val="20"/>
                <w:szCs w:val="20"/>
                <w:lang w:val="es-ES_tradnl"/>
              </w:rPr>
              <w:t xml:space="preserve"> pautas que deben regir el accionar de quienes trabajan en la Contraloría, para cumplir con los postulados y mandatos de la Constitución y las leyes, en términos de honestidad, integridad, equidad, eficiencia, transparencia y orientación hacia el bien común. </w:t>
            </w:r>
          </w:p>
          <w:p w:rsidR="00607ACE" w:rsidRPr="00600ED9" w:rsidRDefault="00607ACE" w:rsidP="00FB1954">
            <w:pPr>
              <w:pStyle w:val="NoSpacing"/>
              <w:jc w:val="both"/>
              <w:rPr>
                <w:rFonts w:cs="Arial"/>
                <w:sz w:val="20"/>
                <w:szCs w:val="20"/>
                <w:lang w:val="es-ES_tradnl"/>
              </w:rPr>
            </w:pPr>
          </w:p>
          <w:p w:rsidR="0032698C" w:rsidRPr="00600ED9" w:rsidRDefault="0032698C" w:rsidP="00FB1954">
            <w:pPr>
              <w:pStyle w:val="NoSpacing"/>
              <w:jc w:val="both"/>
              <w:rPr>
                <w:sz w:val="20"/>
                <w:szCs w:val="20"/>
                <w:lang w:val="es-ES_tradnl"/>
              </w:rPr>
            </w:pPr>
            <w:r w:rsidRPr="00600ED9">
              <w:rPr>
                <w:sz w:val="20"/>
                <w:szCs w:val="20"/>
                <w:lang w:val="es-ES_tradnl"/>
              </w:rPr>
              <w:t>En relación con las estrategias para incentivar el desempeño, la CGRC dispone de un Programa de Estímulos, Incentivos y Reconocimiento</w:t>
            </w:r>
            <w:r w:rsidRPr="00600ED9">
              <w:rPr>
                <w:rStyle w:val="FootnoteReference"/>
                <w:sz w:val="20"/>
                <w:szCs w:val="20"/>
                <w:lang w:val="es-ES_tradnl"/>
              </w:rPr>
              <w:footnoteReference w:id="57"/>
            </w:r>
            <w:r w:rsidRPr="00600ED9">
              <w:rPr>
                <w:sz w:val="20"/>
                <w:szCs w:val="20"/>
                <w:lang w:val="es-ES_tradnl"/>
              </w:rPr>
              <w:t xml:space="preserve"> el cual comprende un conjunto de políticas, estrategias, planes y acciones orientadas a elevar la competitividad institucional, a través del incremento de los niveles de satisfacción, motivación, desarrollo y reconocimiento de los empleados de la Contraloría. </w:t>
            </w:r>
          </w:p>
          <w:p w:rsidR="00607ACE" w:rsidRPr="00600ED9" w:rsidRDefault="00607ACE" w:rsidP="00FB1954">
            <w:pPr>
              <w:pStyle w:val="NoSpacing"/>
              <w:jc w:val="both"/>
              <w:rPr>
                <w:sz w:val="20"/>
                <w:szCs w:val="20"/>
                <w:lang w:val="es-ES_tradnl"/>
              </w:rPr>
            </w:pPr>
          </w:p>
          <w:p w:rsidR="0032698C" w:rsidRPr="00600ED9" w:rsidRDefault="0032698C" w:rsidP="00FB1954">
            <w:pPr>
              <w:pStyle w:val="Normaltabletext"/>
              <w:spacing w:after="0"/>
              <w:rPr>
                <w:lang w:val="es-ES_tradnl"/>
              </w:rPr>
            </w:pPr>
            <w:r w:rsidRPr="00600ED9">
              <w:rPr>
                <w:lang w:val="es-ES_tradnl"/>
              </w:rPr>
              <w:t>A nivel de la alta dirección se percibe un clima de compromiso con los planes y programas de la nueva administración, donde cada responsable hace propias las iniciativas a su cargo.</w:t>
            </w:r>
          </w:p>
          <w:p w:rsidR="00607ACE" w:rsidRPr="00600ED9" w:rsidRDefault="00607ACE" w:rsidP="00FB1954">
            <w:pPr>
              <w:pStyle w:val="Normaltabletext"/>
              <w:spacing w:after="0"/>
              <w:rPr>
                <w:rFonts w:cs="Times New Roman"/>
                <w:lang w:val="es-ES_tradnl"/>
              </w:rPr>
            </w:pPr>
          </w:p>
        </w:tc>
      </w:tr>
      <w:tr w:rsidR="0032698C" w:rsidRPr="00600ED9" w:rsidTr="00BD6117">
        <w:tc>
          <w:tcPr>
            <w:tcW w:w="9356" w:type="dxa"/>
            <w:shd w:val="clear" w:color="auto" w:fill="D9D9D9" w:themeFill="background1" w:themeFillShade="D9"/>
          </w:tcPr>
          <w:p w:rsidR="0032698C" w:rsidRPr="00600ED9" w:rsidRDefault="0032698C" w:rsidP="00FB1954">
            <w:pPr>
              <w:pStyle w:val="NoSpacing"/>
              <w:rPr>
                <w:b/>
                <w:i/>
                <w:sz w:val="20"/>
                <w:szCs w:val="20"/>
                <w:lang w:val="es-ES_tradnl"/>
              </w:rPr>
            </w:pPr>
            <w:r w:rsidRPr="00600ED9">
              <w:rPr>
                <w:b/>
                <w:i/>
                <w:sz w:val="20"/>
                <w:szCs w:val="20"/>
                <w:lang w:val="es-ES_tradnl"/>
              </w:rPr>
              <w:t>Dimensión (ii) Estrategia de los recursos humanos</w:t>
            </w:r>
          </w:p>
        </w:tc>
      </w:tr>
      <w:tr w:rsidR="0032698C" w:rsidRPr="00600ED9" w:rsidTr="00BD6117">
        <w:tc>
          <w:tcPr>
            <w:tcW w:w="9356" w:type="dxa"/>
            <w:shd w:val="clear" w:color="auto" w:fill="D9D9D9" w:themeFill="background1" w:themeFillShade="D9"/>
          </w:tcPr>
          <w:p w:rsidR="0032698C" w:rsidRPr="00600ED9" w:rsidRDefault="0032698C" w:rsidP="00FB1954">
            <w:pPr>
              <w:pStyle w:val="NoSpacing"/>
              <w:rPr>
                <w:i/>
                <w:sz w:val="20"/>
                <w:szCs w:val="20"/>
                <w:lang w:val="es-ES_tradnl"/>
              </w:rPr>
            </w:pPr>
            <w:r w:rsidRPr="00600ED9">
              <w:rPr>
                <w:rFonts w:cs="Calibri"/>
                <w:b/>
                <w:bCs/>
                <w:i/>
                <w:color w:val="000000"/>
                <w:sz w:val="20"/>
                <w:szCs w:val="20"/>
                <w:lang w:val="es-ES_tradnl"/>
              </w:rPr>
              <w:t xml:space="preserve">Puntuación 2: </w:t>
            </w:r>
            <w:r w:rsidRPr="00600ED9">
              <w:rPr>
                <w:rFonts w:cs="Calibri"/>
                <w:bCs/>
                <w:i/>
                <w:color w:val="000000"/>
                <w:sz w:val="20"/>
                <w:szCs w:val="20"/>
                <w:lang w:val="es-ES_tradnl"/>
              </w:rPr>
              <w:t>Se cumplen por lo menos tres de los criterios mencionados</w:t>
            </w:r>
            <w:r w:rsidRPr="00600ED9">
              <w:rPr>
                <w:rFonts w:cs="Calibri"/>
                <w:i/>
                <w:color w:val="000000"/>
                <w:sz w:val="20"/>
                <w:szCs w:val="20"/>
                <w:lang w:val="es-ES_tradnl"/>
              </w:rPr>
              <w:t>.</w:t>
            </w:r>
          </w:p>
        </w:tc>
      </w:tr>
      <w:tr w:rsidR="0032698C" w:rsidRPr="00600ED9" w:rsidTr="00BD6117">
        <w:tc>
          <w:tcPr>
            <w:tcW w:w="9356" w:type="dxa"/>
          </w:tcPr>
          <w:p w:rsidR="0032698C" w:rsidRPr="00600ED9" w:rsidRDefault="0032698C" w:rsidP="00FB1954">
            <w:pPr>
              <w:pStyle w:val="NoSpacing"/>
              <w:jc w:val="both"/>
              <w:rPr>
                <w:sz w:val="20"/>
                <w:szCs w:val="20"/>
                <w:lang w:val="es-ES_tradnl"/>
              </w:rPr>
            </w:pPr>
            <w:r w:rsidRPr="00600ED9">
              <w:rPr>
                <w:sz w:val="20"/>
                <w:szCs w:val="20"/>
                <w:lang w:val="es-ES_tradnl"/>
              </w:rPr>
              <w:t xml:space="preserve">Criterios (a), (e), (f) y (g) cumplen.  Criterios (b), (c) y (d) no cumplen. </w:t>
            </w:r>
          </w:p>
          <w:p w:rsidR="00607ACE" w:rsidRPr="00EA1355" w:rsidRDefault="00607ACE" w:rsidP="00FB1954">
            <w:pPr>
              <w:pStyle w:val="NoSpacing"/>
              <w:jc w:val="both"/>
              <w:rPr>
                <w:sz w:val="18"/>
                <w:szCs w:val="20"/>
                <w:lang w:val="es-ES_tradnl"/>
              </w:rPr>
            </w:pPr>
          </w:p>
          <w:p w:rsidR="00BD6117" w:rsidRPr="00600ED9" w:rsidRDefault="0032698C" w:rsidP="00FB1954">
            <w:pPr>
              <w:pStyle w:val="NoSpacing"/>
              <w:jc w:val="both"/>
              <w:rPr>
                <w:sz w:val="20"/>
                <w:szCs w:val="20"/>
                <w:lang w:val="es-ES_tradnl"/>
              </w:rPr>
            </w:pPr>
            <w:r w:rsidRPr="00600ED9">
              <w:rPr>
                <w:sz w:val="20"/>
                <w:szCs w:val="20"/>
                <w:lang w:val="es-ES_tradnl"/>
              </w:rPr>
              <w:t xml:space="preserve">Con base en el diagnóstico estratégico realizado por la Gerencia de Talento Humano, como responsable de este macro proceso, el </w:t>
            </w:r>
            <w:r w:rsidR="005120A2" w:rsidRPr="00600ED9">
              <w:rPr>
                <w:sz w:val="20"/>
                <w:szCs w:val="20"/>
                <w:lang w:val="es-ES_tradnl"/>
              </w:rPr>
              <w:t>PEI</w:t>
            </w:r>
            <w:r w:rsidRPr="00600ED9">
              <w:rPr>
                <w:sz w:val="20"/>
                <w:szCs w:val="20"/>
                <w:lang w:val="es-ES_tradnl"/>
              </w:rPr>
              <w:t xml:space="preserve"> define las estrategias para los recursos humanos, alineadas con los objetivos corporativos y desagregados en el PAA. Las estrategia planteadas en el </w:t>
            </w:r>
            <w:r w:rsidR="005120A2" w:rsidRPr="00600ED9">
              <w:rPr>
                <w:sz w:val="20"/>
                <w:szCs w:val="20"/>
                <w:lang w:val="es-ES_tradnl"/>
              </w:rPr>
              <w:t>PEI</w:t>
            </w:r>
            <w:r w:rsidRPr="00600ED9">
              <w:rPr>
                <w:sz w:val="20"/>
                <w:szCs w:val="20"/>
                <w:lang w:val="es-ES_tradnl"/>
              </w:rPr>
              <w:t xml:space="preserve"> 2014 – 2018 son:</w:t>
            </w:r>
          </w:p>
          <w:p w:rsidR="00453701" w:rsidRPr="00600ED9" w:rsidRDefault="00453701" w:rsidP="00FB1954">
            <w:pPr>
              <w:pStyle w:val="NoSpacing"/>
              <w:rPr>
                <w:sz w:val="20"/>
                <w:szCs w:val="20"/>
                <w:lang w:val="es-ES_tradnl"/>
              </w:rPr>
            </w:pPr>
          </w:p>
          <w:p w:rsidR="0032698C" w:rsidRPr="00600ED9" w:rsidRDefault="0032698C" w:rsidP="00233205">
            <w:pPr>
              <w:pStyle w:val="NoSpacing"/>
              <w:numPr>
                <w:ilvl w:val="0"/>
                <w:numId w:val="10"/>
              </w:numPr>
              <w:jc w:val="both"/>
              <w:rPr>
                <w:sz w:val="20"/>
                <w:szCs w:val="20"/>
                <w:lang w:val="es-ES_tradnl"/>
              </w:rPr>
            </w:pPr>
            <w:r w:rsidRPr="00600ED9">
              <w:rPr>
                <w:sz w:val="20"/>
                <w:szCs w:val="20"/>
                <w:lang w:val="es-ES_tradnl"/>
              </w:rPr>
              <w:t>Gestionar los recursos necesarios para desarrollar un Programa de Fortalecimiento Institucional.</w:t>
            </w:r>
          </w:p>
          <w:p w:rsidR="0032698C" w:rsidRPr="00600ED9" w:rsidRDefault="0032698C" w:rsidP="00233205">
            <w:pPr>
              <w:pStyle w:val="NoSpacing"/>
              <w:numPr>
                <w:ilvl w:val="0"/>
                <w:numId w:val="10"/>
              </w:numPr>
              <w:jc w:val="both"/>
              <w:rPr>
                <w:sz w:val="20"/>
                <w:szCs w:val="20"/>
                <w:lang w:val="es-ES_tradnl"/>
              </w:rPr>
            </w:pPr>
            <w:r w:rsidRPr="00600ED9">
              <w:rPr>
                <w:sz w:val="20"/>
                <w:szCs w:val="20"/>
                <w:lang w:val="es-ES_tradnl"/>
              </w:rPr>
              <w:t>Gestionar la disponibilidad y optimizar la utilización de recursos humanos, físicos, financieros y tecnológicos orientados al cumplimiento de las funciones de la CGRC.</w:t>
            </w:r>
            <w:r w:rsidRPr="00600ED9">
              <w:rPr>
                <w:rFonts w:ascii="MS Gothic" w:eastAsia="MS Gothic" w:hAnsi="MS Gothic" w:cs="MS Gothic"/>
                <w:sz w:val="20"/>
                <w:szCs w:val="20"/>
                <w:lang w:val="es-ES_tradnl"/>
              </w:rPr>
              <w:t> </w:t>
            </w:r>
          </w:p>
          <w:p w:rsidR="0032698C" w:rsidRPr="00600ED9" w:rsidRDefault="0032698C" w:rsidP="00233205">
            <w:pPr>
              <w:pStyle w:val="NoSpacing"/>
              <w:numPr>
                <w:ilvl w:val="0"/>
                <w:numId w:val="10"/>
              </w:numPr>
              <w:jc w:val="both"/>
              <w:rPr>
                <w:sz w:val="20"/>
                <w:szCs w:val="20"/>
                <w:lang w:val="es-ES_tradnl"/>
              </w:rPr>
            </w:pPr>
            <w:r w:rsidRPr="00600ED9">
              <w:rPr>
                <w:sz w:val="20"/>
                <w:szCs w:val="20"/>
                <w:lang w:val="es-ES_tradnl"/>
              </w:rPr>
              <w:t xml:space="preserve">Fortalecer el proceso de Talento Humano. </w:t>
            </w:r>
            <w:r w:rsidRPr="00600ED9">
              <w:rPr>
                <w:rFonts w:ascii="MS Gothic" w:eastAsia="MS Gothic" w:hAnsi="MS Gothic" w:cs="MS Gothic"/>
                <w:sz w:val="20"/>
                <w:szCs w:val="20"/>
                <w:lang w:val="es-ES_tradnl"/>
              </w:rPr>
              <w:t> </w:t>
            </w:r>
          </w:p>
          <w:p w:rsidR="0032698C" w:rsidRPr="00600ED9" w:rsidRDefault="0032698C" w:rsidP="00233205">
            <w:pPr>
              <w:pStyle w:val="NoSpacing"/>
              <w:numPr>
                <w:ilvl w:val="0"/>
                <w:numId w:val="10"/>
              </w:numPr>
              <w:jc w:val="both"/>
              <w:rPr>
                <w:sz w:val="20"/>
                <w:szCs w:val="20"/>
                <w:lang w:val="es-ES_tradnl"/>
              </w:rPr>
            </w:pPr>
            <w:r w:rsidRPr="00600ED9">
              <w:rPr>
                <w:sz w:val="20"/>
                <w:szCs w:val="20"/>
                <w:lang w:val="es-ES_tradnl"/>
              </w:rPr>
              <w:t xml:space="preserve">Gestionar la creación del Instituto de Altos Estudios para el Control Fiscal. </w:t>
            </w:r>
            <w:r w:rsidRPr="00600ED9">
              <w:rPr>
                <w:rFonts w:ascii="MS Gothic" w:eastAsia="MS Gothic" w:hAnsi="MS Gothic" w:cs="MS Gothic"/>
                <w:sz w:val="20"/>
                <w:szCs w:val="20"/>
                <w:lang w:val="es-ES_tradnl"/>
              </w:rPr>
              <w:t> </w:t>
            </w:r>
          </w:p>
          <w:p w:rsidR="0032698C" w:rsidRPr="00600ED9" w:rsidRDefault="0032698C" w:rsidP="00233205">
            <w:pPr>
              <w:pStyle w:val="NoSpacing"/>
              <w:numPr>
                <w:ilvl w:val="0"/>
                <w:numId w:val="10"/>
              </w:numPr>
              <w:jc w:val="both"/>
              <w:rPr>
                <w:sz w:val="20"/>
                <w:szCs w:val="20"/>
                <w:lang w:val="es-ES_tradnl"/>
              </w:rPr>
            </w:pPr>
            <w:r w:rsidRPr="00600ED9">
              <w:rPr>
                <w:sz w:val="20"/>
                <w:szCs w:val="20"/>
                <w:lang w:val="es-ES_tradnl"/>
              </w:rPr>
              <w:t xml:space="preserve">Garantizar disponibilidad de recursos físicos y el acceso a una infraestructura física adecuada a nivel nacional con el fin de optimizar las condiciones laborales de los funcionarios, el clima organizacional y la función fiscal de atención y participación ciudadana. </w:t>
            </w:r>
          </w:p>
          <w:p w:rsidR="0032698C" w:rsidRPr="00600ED9" w:rsidRDefault="0032698C" w:rsidP="00233205">
            <w:pPr>
              <w:pStyle w:val="NoSpacing"/>
              <w:numPr>
                <w:ilvl w:val="0"/>
                <w:numId w:val="10"/>
              </w:numPr>
              <w:jc w:val="both"/>
              <w:rPr>
                <w:sz w:val="20"/>
                <w:szCs w:val="20"/>
                <w:lang w:val="es-ES_tradnl"/>
              </w:rPr>
            </w:pPr>
            <w:r w:rsidRPr="00600ED9">
              <w:rPr>
                <w:sz w:val="20"/>
                <w:szCs w:val="20"/>
                <w:lang w:val="es-ES_tradnl"/>
              </w:rPr>
              <w:lastRenderedPageBreak/>
              <w:t>Formar y Desarrollar integralmente el Talento Humano de la Entidad con el objetivo de fortalecer competencias para coadyuvar al cumplimiento de los objetivos institucionales y la generación de cultura de prevención.</w:t>
            </w:r>
          </w:p>
          <w:p w:rsidR="00181522" w:rsidRPr="00600ED9" w:rsidRDefault="00181522" w:rsidP="00FB1954">
            <w:pPr>
              <w:pStyle w:val="NoSpacing"/>
              <w:ind w:left="360"/>
              <w:jc w:val="both"/>
              <w:rPr>
                <w:sz w:val="20"/>
                <w:szCs w:val="20"/>
                <w:lang w:val="es-ES_tradnl"/>
              </w:rPr>
            </w:pPr>
          </w:p>
          <w:p w:rsidR="0032698C" w:rsidRPr="00600ED9" w:rsidRDefault="0032698C" w:rsidP="00FB1954">
            <w:pPr>
              <w:pStyle w:val="NoSpacing"/>
              <w:jc w:val="both"/>
              <w:rPr>
                <w:sz w:val="20"/>
                <w:szCs w:val="20"/>
                <w:lang w:val="es-ES_tradnl"/>
              </w:rPr>
            </w:pPr>
            <w:r w:rsidRPr="00600ED9">
              <w:rPr>
                <w:sz w:val="20"/>
                <w:szCs w:val="20"/>
                <w:lang w:val="es-ES_tradnl"/>
              </w:rPr>
              <w:t>Bajo la directriz del Contralor General, y con base en los procedimientos de divulgación,  las Dependencias de la CGRC socializan el Plan Estratégico con el propósito de que sea conocido por todos los funcionarios, en particular por la población objetivo responsable de su aplicación.</w:t>
            </w:r>
          </w:p>
          <w:p w:rsidR="00607ACE" w:rsidRPr="00600ED9" w:rsidRDefault="00607ACE" w:rsidP="00FB1954">
            <w:pPr>
              <w:pStyle w:val="NoSpacing"/>
              <w:jc w:val="both"/>
              <w:rPr>
                <w:sz w:val="20"/>
                <w:szCs w:val="20"/>
                <w:lang w:val="es-ES_tradnl"/>
              </w:rPr>
            </w:pPr>
          </w:p>
          <w:p w:rsidR="0032698C" w:rsidRPr="00600ED9" w:rsidRDefault="0032698C" w:rsidP="00FB1954">
            <w:pPr>
              <w:pStyle w:val="NoSpacing"/>
              <w:jc w:val="both"/>
              <w:rPr>
                <w:rFonts w:cstheme="minorHAnsi"/>
                <w:sz w:val="20"/>
                <w:szCs w:val="20"/>
                <w:lang w:val="es-ES_tradnl"/>
              </w:rPr>
            </w:pPr>
            <w:r w:rsidRPr="00600ED9">
              <w:rPr>
                <w:bCs/>
                <w:color w:val="000000"/>
                <w:sz w:val="20"/>
                <w:szCs w:val="20"/>
                <w:lang w:val="es-ES_tradnl"/>
              </w:rPr>
              <w:t xml:space="preserve">Las estrategias para el reclutamiento, remuneración y evaluación del desempeño de la  Contraloría están dispuestas en un marco integrado por normas, políticas y procedimientos, los cuales </w:t>
            </w:r>
            <w:r w:rsidRPr="00600ED9">
              <w:rPr>
                <w:bCs/>
                <w:i/>
                <w:color w:val="000000"/>
                <w:sz w:val="20"/>
                <w:szCs w:val="20"/>
                <w:lang w:val="es-ES_tradnl"/>
              </w:rPr>
              <w:t>no</w:t>
            </w:r>
            <w:r w:rsidRPr="00600ED9">
              <w:rPr>
                <w:bCs/>
                <w:color w:val="000000"/>
                <w:sz w:val="20"/>
                <w:szCs w:val="20"/>
                <w:lang w:val="es-ES_tradnl"/>
              </w:rPr>
              <w:t xml:space="preserve"> incluyen </w:t>
            </w:r>
            <w:r w:rsidRPr="00600ED9">
              <w:rPr>
                <w:rFonts w:cstheme="minorHAnsi"/>
                <w:sz w:val="20"/>
                <w:szCs w:val="20"/>
                <w:lang w:val="es-ES_tradnl"/>
              </w:rPr>
              <w:t xml:space="preserve">el desarrollo profesional, </w:t>
            </w:r>
            <w:r w:rsidRPr="00600ED9">
              <w:rPr>
                <w:rFonts w:cstheme="minorHAnsi"/>
                <w:i/>
                <w:sz w:val="20"/>
                <w:szCs w:val="20"/>
                <w:lang w:val="es-ES_tradnl"/>
              </w:rPr>
              <w:t>ni</w:t>
            </w:r>
            <w:r w:rsidRPr="00600ED9">
              <w:rPr>
                <w:rFonts w:cstheme="minorHAnsi"/>
                <w:sz w:val="20"/>
                <w:szCs w:val="20"/>
                <w:lang w:val="es-ES_tradnl"/>
              </w:rPr>
              <w:t xml:space="preserve"> consideraciones sobre la cantidad y tipo de personal requerido para el período planeado.</w:t>
            </w:r>
          </w:p>
          <w:p w:rsidR="00607ACE" w:rsidRPr="00600ED9" w:rsidRDefault="00607ACE" w:rsidP="00FB1954">
            <w:pPr>
              <w:pStyle w:val="NoSpacing"/>
              <w:jc w:val="both"/>
              <w:rPr>
                <w:rFonts w:cstheme="minorHAnsi"/>
                <w:sz w:val="20"/>
                <w:szCs w:val="20"/>
                <w:lang w:val="es-ES_tradnl"/>
              </w:rPr>
            </w:pPr>
          </w:p>
          <w:p w:rsidR="00453701" w:rsidRPr="00600ED9" w:rsidRDefault="0032698C" w:rsidP="00FB1954">
            <w:pPr>
              <w:pStyle w:val="NoSpacing"/>
              <w:jc w:val="both"/>
              <w:rPr>
                <w:sz w:val="20"/>
                <w:szCs w:val="20"/>
                <w:lang w:val="es-ES_tradnl"/>
              </w:rPr>
            </w:pPr>
            <w:r w:rsidRPr="00600ED9">
              <w:rPr>
                <w:sz w:val="20"/>
                <w:szCs w:val="20"/>
                <w:lang w:val="es-ES_tradnl"/>
              </w:rPr>
              <w:t>La planta de personal de la Contraloría fue establecida</w:t>
            </w:r>
            <w:r w:rsidRPr="00600ED9">
              <w:rPr>
                <w:rStyle w:val="FootnoteReference"/>
                <w:sz w:val="20"/>
                <w:szCs w:val="20"/>
                <w:lang w:val="es-ES_tradnl"/>
              </w:rPr>
              <w:footnoteReference w:id="58"/>
            </w:r>
            <w:r w:rsidRPr="00600ED9">
              <w:rPr>
                <w:sz w:val="20"/>
                <w:szCs w:val="20"/>
                <w:lang w:val="es-ES_tradnl"/>
              </w:rPr>
              <w:t xml:space="preserve"> como resultado de un proceso de reestructuración llevado a cabo en el año 2000, mediante el cual se determinó el personal requerido para el buen funcionamiento de la CGRC de acuerdo al número de entidades vigiladas, puntos de control y la competencia de cada uno. Posteriormente, se han adicionado otros cargos para atender nuevos desafíos.  En la actualidad la planta global de la CGRC es de 4.495 cargos, de los cuales aproximadamente el 80% son funcionarios incorporados a la Carrera Administrativa. Adicionalmente, se han aprovisionado 338 cargos temporales, como consecuencia de la implementación del Sistema General de Regalías. </w:t>
            </w:r>
          </w:p>
          <w:p w:rsidR="00607ACE" w:rsidRPr="00600ED9" w:rsidRDefault="00607ACE" w:rsidP="00FB1954">
            <w:pPr>
              <w:pStyle w:val="NoSpacing"/>
              <w:jc w:val="both"/>
              <w:rPr>
                <w:sz w:val="20"/>
                <w:szCs w:val="20"/>
                <w:lang w:val="es-ES_tradnl"/>
              </w:rPr>
            </w:pPr>
          </w:p>
          <w:p w:rsidR="0032698C" w:rsidRPr="00600ED9" w:rsidRDefault="0032698C" w:rsidP="00FB1954">
            <w:pPr>
              <w:pStyle w:val="NoSpacing"/>
              <w:jc w:val="both"/>
              <w:rPr>
                <w:sz w:val="20"/>
                <w:szCs w:val="20"/>
                <w:lang w:val="es-ES_tradnl"/>
              </w:rPr>
            </w:pPr>
            <w:r w:rsidRPr="00600ED9">
              <w:rPr>
                <w:sz w:val="20"/>
                <w:szCs w:val="20"/>
                <w:lang w:val="es-ES_tradnl"/>
              </w:rPr>
              <w:t>Sin embargo, no se dispone de diagnósticos recientes que soporten la cantidad y competencias de personal requerido para atender el mandato de la Contraloría. Una debilidad transversal manifestada por las diferentes dependencias de la CGRC es la insuficiencia de recursos humanos para el ejercicio de sus funciones.</w:t>
            </w:r>
          </w:p>
          <w:p w:rsidR="00607ACE" w:rsidRPr="00600ED9" w:rsidRDefault="00607ACE" w:rsidP="00FB1954">
            <w:pPr>
              <w:pStyle w:val="NoSpacing"/>
              <w:jc w:val="both"/>
              <w:rPr>
                <w:sz w:val="20"/>
                <w:szCs w:val="20"/>
                <w:lang w:val="es-ES_tradnl"/>
              </w:rPr>
            </w:pPr>
          </w:p>
          <w:p w:rsidR="0032698C" w:rsidRPr="00600ED9" w:rsidRDefault="0032698C" w:rsidP="00FB1954">
            <w:pPr>
              <w:pStyle w:val="NoSpacing"/>
              <w:jc w:val="both"/>
              <w:rPr>
                <w:sz w:val="20"/>
                <w:szCs w:val="20"/>
                <w:lang w:val="es-ES_tradnl"/>
              </w:rPr>
            </w:pPr>
            <w:r w:rsidRPr="00600ED9">
              <w:rPr>
                <w:sz w:val="20"/>
                <w:szCs w:val="20"/>
                <w:lang w:val="es-ES_tradnl"/>
              </w:rPr>
              <w:t xml:space="preserve">El logro de los objetivos planteados es medido periódicamente  a través del seguimiento a la implementación que se hace de los PAA. El último informe consolidado sobre los logros del Plan de Acción de 2013 y los Informes Mensuales de la Gerencia de Talento Humano demuestran una evolución en las actividades planteadas en porcentajes superiores al 80%. </w:t>
            </w:r>
          </w:p>
          <w:p w:rsidR="00607ACE" w:rsidRPr="00600ED9" w:rsidRDefault="00607ACE" w:rsidP="00FB1954">
            <w:pPr>
              <w:pStyle w:val="NoSpacing"/>
              <w:jc w:val="both"/>
              <w:rPr>
                <w:sz w:val="20"/>
                <w:szCs w:val="20"/>
                <w:lang w:val="es-ES_tradnl"/>
              </w:rPr>
            </w:pPr>
          </w:p>
          <w:p w:rsidR="0032698C" w:rsidRPr="00600ED9" w:rsidRDefault="005E5A09" w:rsidP="00FB1954">
            <w:pPr>
              <w:pStyle w:val="NoSpacing"/>
              <w:jc w:val="both"/>
              <w:rPr>
                <w:sz w:val="20"/>
                <w:szCs w:val="20"/>
                <w:lang w:val="es-ES_tradnl"/>
              </w:rPr>
            </w:pPr>
            <w:r w:rsidRPr="00600ED9">
              <w:rPr>
                <w:sz w:val="20"/>
                <w:szCs w:val="20"/>
                <w:lang w:val="es-ES_tradnl"/>
              </w:rPr>
              <w:t xml:space="preserve">Adicionalmente, la CGRC </w:t>
            </w:r>
            <w:r w:rsidRPr="00600ED9">
              <w:rPr>
                <w:bCs/>
                <w:color w:val="000000"/>
                <w:sz w:val="20"/>
                <w:szCs w:val="20"/>
                <w:lang w:val="es-ES_tradnl"/>
              </w:rPr>
              <w:t xml:space="preserve">no dispone de línea de base  e indicadores </w:t>
            </w:r>
            <w:r w:rsidRPr="00600ED9">
              <w:rPr>
                <w:sz w:val="20"/>
                <w:szCs w:val="20"/>
                <w:lang w:val="es-ES_tradnl"/>
              </w:rPr>
              <w:t xml:space="preserve">para los principales procedimientos o novedades como parte de la gestión </w:t>
            </w:r>
            <w:r w:rsidRPr="00600ED9">
              <w:rPr>
                <w:bCs/>
                <w:color w:val="000000"/>
                <w:sz w:val="20"/>
                <w:szCs w:val="20"/>
                <w:lang w:val="es-ES_tradnl"/>
              </w:rPr>
              <w:t xml:space="preserve">de los recursos humanos, </w:t>
            </w:r>
            <w:r w:rsidRPr="00600ED9">
              <w:rPr>
                <w:sz w:val="20"/>
                <w:szCs w:val="20"/>
                <w:lang w:val="es-ES_tradnl"/>
              </w:rPr>
              <w:t xml:space="preserve">salvo por los  estudios que realiza la Administradora de Riesgos Laborales de la Contraloría, mediante los cuales se analizan las principales causas de ausentismo de los funcionarios </w:t>
            </w:r>
          </w:p>
          <w:p w:rsidR="00607ACE" w:rsidRPr="00600ED9" w:rsidRDefault="00607ACE" w:rsidP="00FB1954">
            <w:pPr>
              <w:pStyle w:val="NoSpacing"/>
              <w:jc w:val="both"/>
              <w:rPr>
                <w:bCs/>
                <w:color w:val="000000"/>
                <w:sz w:val="24"/>
                <w:szCs w:val="20"/>
                <w:lang w:val="es-ES_tradnl"/>
              </w:rPr>
            </w:pPr>
          </w:p>
        </w:tc>
      </w:tr>
      <w:tr w:rsidR="0032698C" w:rsidRPr="00600ED9" w:rsidTr="00BD6117">
        <w:tc>
          <w:tcPr>
            <w:tcW w:w="9356" w:type="dxa"/>
            <w:shd w:val="clear" w:color="auto" w:fill="D9D9D9" w:themeFill="background1" w:themeFillShade="D9"/>
          </w:tcPr>
          <w:p w:rsidR="0032698C" w:rsidRPr="00600ED9" w:rsidRDefault="0032698C" w:rsidP="00FB1954">
            <w:pPr>
              <w:pStyle w:val="NoSpacing"/>
              <w:rPr>
                <w:b/>
                <w:i/>
                <w:sz w:val="20"/>
                <w:szCs w:val="20"/>
                <w:lang w:val="es-ES_tradnl"/>
              </w:rPr>
            </w:pPr>
            <w:r w:rsidRPr="00600ED9">
              <w:rPr>
                <w:b/>
                <w:i/>
                <w:sz w:val="20"/>
                <w:szCs w:val="20"/>
                <w:lang w:val="es-ES_tradnl"/>
              </w:rPr>
              <w:lastRenderedPageBreak/>
              <w:t>Dimensión (iii) Función y reclutamiento de los recursos humanos</w:t>
            </w:r>
          </w:p>
        </w:tc>
      </w:tr>
      <w:tr w:rsidR="0032698C" w:rsidRPr="00600ED9" w:rsidTr="00BD6117">
        <w:tc>
          <w:tcPr>
            <w:tcW w:w="9356" w:type="dxa"/>
            <w:shd w:val="clear" w:color="auto" w:fill="D9D9D9" w:themeFill="background1" w:themeFillShade="D9"/>
          </w:tcPr>
          <w:p w:rsidR="0032698C" w:rsidRPr="00600ED9" w:rsidRDefault="0032698C" w:rsidP="00FB1954">
            <w:pPr>
              <w:pStyle w:val="NoSpacing"/>
              <w:rPr>
                <w:i/>
                <w:sz w:val="20"/>
                <w:szCs w:val="20"/>
                <w:lang w:val="es-ES_tradnl"/>
              </w:rPr>
            </w:pPr>
            <w:r w:rsidRPr="00600ED9">
              <w:rPr>
                <w:rFonts w:cs="Calibri"/>
                <w:b/>
                <w:bCs/>
                <w:i/>
                <w:color w:val="000000"/>
                <w:sz w:val="20"/>
                <w:szCs w:val="20"/>
                <w:lang w:val="es-ES_tradnl"/>
              </w:rPr>
              <w:t xml:space="preserve">Puntuación 4: </w:t>
            </w:r>
            <w:r w:rsidRPr="00600ED9">
              <w:rPr>
                <w:rFonts w:cs="Calibri"/>
                <w:bCs/>
                <w:i/>
                <w:color w:val="000000"/>
                <w:sz w:val="20"/>
                <w:szCs w:val="20"/>
                <w:lang w:val="es-ES_tradnl"/>
              </w:rPr>
              <w:t>Se cumplen todos los criterios mencionados.</w:t>
            </w:r>
          </w:p>
        </w:tc>
      </w:tr>
      <w:tr w:rsidR="0032698C" w:rsidRPr="00600ED9" w:rsidTr="00BD6117">
        <w:tc>
          <w:tcPr>
            <w:tcW w:w="9356" w:type="dxa"/>
          </w:tcPr>
          <w:p w:rsidR="0032698C" w:rsidRPr="004F42B9" w:rsidRDefault="0032698C" w:rsidP="00FB1954">
            <w:pPr>
              <w:pStyle w:val="NoSpacing"/>
              <w:jc w:val="both"/>
              <w:rPr>
                <w:sz w:val="20"/>
                <w:szCs w:val="20"/>
                <w:lang w:val="pt-BR"/>
              </w:rPr>
            </w:pPr>
            <w:proofErr w:type="spellStart"/>
            <w:r w:rsidRPr="004F42B9">
              <w:rPr>
                <w:sz w:val="20"/>
                <w:szCs w:val="20"/>
                <w:lang w:val="pt-BR"/>
              </w:rPr>
              <w:t>Criterios</w:t>
            </w:r>
            <w:proofErr w:type="spellEnd"/>
            <w:r w:rsidRPr="004F42B9">
              <w:rPr>
                <w:sz w:val="20"/>
                <w:szCs w:val="20"/>
                <w:lang w:val="pt-BR"/>
              </w:rPr>
              <w:t xml:space="preserve"> (a), (b), (c), (d), (e), (f), (g), (h), (i) y (i) </w:t>
            </w:r>
            <w:proofErr w:type="spellStart"/>
            <w:r w:rsidRPr="004F42B9">
              <w:rPr>
                <w:sz w:val="20"/>
                <w:szCs w:val="20"/>
                <w:lang w:val="pt-BR"/>
              </w:rPr>
              <w:t>cumplen</w:t>
            </w:r>
            <w:proofErr w:type="spellEnd"/>
            <w:r w:rsidRPr="004F42B9">
              <w:rPr>
                <w:sz w:val="20"/>
                <w:szCs w:val="20"/>
                <w:lang w:val="pt-BR"/>
              </w:rPr>
              <w:t xml:space="preserve">. </w:t>
            </w:r>
          </w:p>
          <w:p w:rsidR="00607ACE" w:rsidRPr="004F42B9" w:rsidRDefault="00607ACE" w:rsidP="00FB1954">
            <w:pPr>
              <w:pStyle w:val="NoSpacing"/>
              <w:jc w:val="both"/>
              <w:rPr>
                <w:sz w:val="20"/>
                <w:szCs w:val="20"/>
                <w:lang w:val="pt-BR"/>
              </w:rPr>
            </w:pPr>
          </w:p>
          <w:p w:rsidR="0032698C" w:rsidRPr="00600ED9" w:rsidRDefault="0032698C" w:rsidP="00FB1954">
            <w:pPr>
              <w:pStyle w:val="NoSpacing"/>
              <w:jc w:val="both"/>
              <w:rPr>
                <w:sz w:val="20"/>
                <w:szCs w:val="20"/>
                <w:lang w:val="es-ES_tradnl"/>
              </w:rPr>
            </w:pPr>
            <w:r w:rsidRPr="00600ED9">
              <w:rPr>
                <w:sz w:val="20"/>
                <w:szCs w:val="20"/>
                <w:lang w:val="es-ES_tradnl"/>
              </w:rPr>
              <w:t xml:space="preserve">La Gerencia del Talento Humano es la dependencia encargada de dirigir y diseñar las políticas, planes y programas en materia de reclutamiento y desarrollo del talento humano de la CGRC. El personal a cargo del área de Recursos Humanos reúne las competencias requeridas y en general dispone de los recursos necesarios para el ejercicio de sus funciones, salvo por </w:t>
            </w:r>
            <w:r w:rsidR="005E5A09" w:rsidRPr="00600ED9">
              <w:rPr>
                <w:sz w:val="20"/>
                <w:szCs w:val="20"/>
                <w:lang w:val="es-ES_tradnl"/>
              </w:rPr>
              <w:t xml:space="preserve">las </w:t>
            </w:r>
            <w:r w:rsidRPr="00600ED9">
              <w:rPr>
                <w:sz w:val="20"/>
                <w:szCs w:val="20"/>
                <w:lang w:val="es-ES_tradnl"/>
              </w:rPr>
              <w:t>oportunidades identificadas, relacionadas con la insuficiencia de los sistemas de apoyo.</w:t>
            </w:r>
          </w:p>
          <w:p w:rsidR="00607ACE" w:rsidRPr="00600ED9" w:rsidRDefault="00607ACE" w:rsidP="00FB1954">
            <w:pPr>
              <w:pStyle w:val="NoSpacing"/>
              <w:jc w:val="both"/>
              <w:rPr>
                <w:sz w:val="20"/>
                <w:szCs w:val="20"/>
                <w:lang w:val="es-ES_tradnl"/>
              </w:rPr>
            </w:pPr>
          </w:p>
          <w:p w:rsidR="0032698C" w:rsidRPr="00600ED9" w:rsidRDefault="0032698C" w:rsidP="00FB1954">
            <w:pPr>
              <w:pStyle w:val="NoSpacing"/>
              <w:jc w:val="both"/>
              <w:rPr>
                <w:sz w:val="20"/>
                <w:szCs w:val="20"/>
                <w:lang w:val="es-ES_tradnl"/>
              </w:rPr>
            </w:pPr>
            <w:r w:rsidRPr="00600ED9">
              <w:rPr>
                <w:sz w:val="20"/>
                <w:szCs w:val="20"/>
                <w:lang w:val="es-ES_tradnl"/>
              </w:rPr>
              <w:t>La CGRC goza de un régimen especial de carrera administrativa</w:t>
            </w:r>
            <w:r w:rsidRPr="00600ED9">
              <w:rPr>
                <w:rStyle w:val="FootnoteReference"/>
                <w:sz w:val="20"/>
                <w:szCs w:val="20"/>
                <w:lang w:val="es-ES_tradnl"/>
              </w:rPr>
              <w:footnoteReference w:id="59"/>
            </w:r>
            <w:r w:rsidRPr="00600ED9">
              <w:rPr>
                <w:sz w:val="20"/>
                <w:szCs w:val="20"/>
                <w:lang w:val="es-ES_tradnl"/>
              </w:rPr>
              <w:t xml:space="preserve">. El ingreso, permanencia, ascenso y retiro de los empleados de carrera de la CGRC se realiza exclusivamente por mérito. </w:t>
            </w:r>
          </w:p>
          <w:p w:rsidR="00607ACE" w:rsidRPr="00600ED9" w:rsidRDefault="00607ACE" w:rsidP="00FB1954">
            <w:pPr>
              <w:pStyle w:val="NoSpacing"/>
              <w:jc w:val="both"/>
              <w:rPr>
                <w:sz w:val="20"/>
                <w:szCs w:val="20"/>
                <w:lang w:val="es-ES_tradnl"/>
              </w:rPr>
            </w:pPr>
          </w:p>
          <w:p w:rsidR="00607ACE" w:rsidRPr="00600ED9" w:rsidRDefault="00607ACE" w:rsidP="00FB1954">
            <w:pPr>
              <w:pStyle w:val="NoSpacing"/>
              <w:jc w:val="both"/>
              <w:rPr>
                <w:sz w:val="20"/>
                <w:szCs w:val="20"/>
                <w:lang w:val="es-ES_tradnl"/>
              </w:rPr>
            </w:pPr>
          </w:p>
          <w:p w:rsidR="00181522" w:rsidRPr="00600ED9" w:rsidRDefault="0032698C" w:rsidP="00FB1954">
            <w:pPr>
              <w:pStyle w:val="NoSpacing"/>
              <w:jc w:val="both"/>
              <w:rPr>
                <w:sz w:val="20"/>
                <w:szCs w:val="20"/>
                <w:lang w:val="es-ES_tradnl"/>
              </w:rPr>
            </w:pPr>
            <w:r w:rsidRPr="00600ED9">
              <w:rPr>
                <w:sz w:val="20"/>
                <w:szCs w:val="20"/>
                <w:lang w:val="es-ES_tradnl"/>
              </w:rPr>
              <w:lastRenderedPageBreak/>
              <w:t xml:space="preserve">El ingreso a los empleos de Carrera Administrativa se realiza por el sistema de mérito, mediante concurso. Este proceso comprende la convocatoria, el reclutamiento, la aplicación de pruebas, la conformación de lista de elegibles, el período de prueba y la inscripción en el registro de empleados de carrera. </w:t>
            </w:r>
          </w:p>
          <w:p w:rsidR="00607ACE" w:rsidRPr="00600ED9" w:rsidRDefault="00607ACE" w:rsidP="00FB1954">
            <w:pPr>
              <w:pStyle w:val="NoSpacing"/>
              <w:jc w:val="both"/>
              <w:rPr>
                <w:sz w:val="20"/>
                <w:szCs w:val="20"/>
                <w:lang w:val="es-ES_tradnl"/>
              </w:rPr>
            </w:pPr>
          </w:p>
          <w:p w:rsidR="0032698C" w:rsidRPr="00600ED9" w:rsidRDefault="0032698C" w:rsidP="00FB1954">
            <w:pPr>
              <w:pStyle w:val="NoSpacing"/>
              <w:jc w:val="both"/>
              <w:rPr>
                <w:sz w:val="20"/>
                <w:szCs w:val="20"/>
                <w:lang w:val="es-ES_tradnl"/>
              </w:rPr>
            </w:pPr>
            <w:r w:rsidRPr="00600ED9">
              <w:rPr>
                <w:sz w:val="20"/>
                <w:szCs w:val="20"/>
                <w:lang w:val="es-ES_tradnl"/>
              </w:rPr>
              <w:t xml:space="preserve">Los concursos son abiertos y pueden participar todas las personas que demuestren poseer los requisitos exigidos para el desempeño del cargo. </w:t>
            </w:r>
          </w:p>
          <w:p w:rsidR="00607ACE" w:rsidRPr="00600ED9" w:rsidRDefault="00607ACE" w:rsidP="00FB1954">
            <w:pPr>
              <w:pStyle w:val="NoSpacing"/>
              <w:jc w:val="both"/>
              <w:rPr>
                <w:sz w:val="20"/>
                <w:szCs w:val="20"/>
                <w:lang w:val="es-ES_tradnl"/>
              </w:rPr>
            </w:pPr>
          </w:p>
          <w:p w:rsidR="0032698C" w:rsidRPr="00600ED9" w:rsidRDefault="0032698C" w:rsidP="00FB1954">
            <w:pPr>
              <w:pStyle w:val="NoSpacing"/>
              <w:jc w:val="both"/>
              <w:rPr>
                <w:sz w:val="20"/>
                <w:szCs w:val="20"/>
                <w:lang w:val="es-ES_tradnl"/>
              </w:rPr>
            </w:pPr>
            <w:r w:rsidRPr="00600ED9">
              <w:rPr>
                <w:sz w:val="20"/>
                <w:szCs w:val="20"/>
                <w:lang w:val="es-ES_tradnl"/>
              </w:rPr>
              <w:t>El reglamento para el proceso de selección o concurso abierto de méritos, establece que los procesos de selección deben atender el principio de igualdad</w:t>
            </w:r>
            <w:r w:rsidRPr="00600ED9">
              <w:rPr>
                <w:rStyle w:val="FootnoteReference"/>
                <w:sz w:val="20"/>
                <w:szCs w:val="20"/>
                <w:lang w:val="es-ES_tradnl"/>
              </w:rPr>
              <w:footnoteReference w:id="60"/>
            </w:r>
            <w:r w:rsidRPr="00600ED9">
              <w:rPr>
                <w:sz w:val="20"/>
                <w:szCs w:val="20"/>
                <w:lang w:val="es-ES_tradnl"/>
              </w:rPr>
              <w:t xml:space="preserve"> en virtud del cual se garantiza a todas las personas las mismas oportunidades, sin discriminación por razones de raza, sexo, religión, opinión política, gremial o filosófica para el ingreso, la evaluación del desempeño, la participación en el programa de estímulos e incentivos y reconocimiento en los distintos comités de representación, existentes en la entidad. </w:t>
            </w:r>
          </w:p>
          <w:p w:rsidR="00607ACE" w:rsidRPr="00600ED9" w:rsidRDefault="00607ACE" w:rsidP="00FB1954">
            <w:pPr>
              <w:pStyle w:val="NoSpacing"/>
              <w:jc w:val="both"/>
              <w:rPr>
                <w:sz w:val="20"/>
                <w:szCs w:val="20"/>
                <w:lang w:val="es-ES_tradnl"/>
              </w:rPr>
            </w:pPr>
          </w:p>
          <w:p w:rsidR="0032698C" w:rsidRPr="00600ED9" w:rsidRDefault="0032698C" w:rsidP="00FB1954">
            <w:pPr>
              <w:pStyle w:val="NoSpacing"/>
              <w:jc w:val="both"/>
              <w:rPr>
                <w:sz w:val="20"/>
                <w:szCs w:val="20"/>
                <w:lang w:val="es-ES_tradnl"/>
              </w:rPr>
            </w:pPr>
            <w:r w:rsidRPr="00600ED9">
              <w:rPr>
                <w:sz w:val="20"/>
                <w:szCs w:val="20"/>
                <w:lang w:val="es-ES_tradnl"/>
              </w:rPr>
              <w:t xml:space="preserve">De conformidad con lo establecido en el marco legal, la provisión de empleos de carrera administrativa, se efectúa a partir de quien ocupe el primer puesto de la lista de elegibles y en estricto orden de méritos. Por cada convocatoria, mediante resolución, se expide la lista de elegibles, la cual tiene vigencia de un año y es utilizada para proveer vacantes definitivas. </w:t>
            </w:r>
            <w:r w:rsidR="005C201F" w:rsidRPr="00600ED9">
              <w:rPr>
                <w:sz w:val="20"/>
                <w:szCs w:val="20"/>
                <w:lang w:val="es-ES_tradnl"/>
              </w:rPr>
              <w:t xml:space="preserve"> </w:t>
            </w:r>
            <w:r w:rsidRPr="00600ED9">
              <w:rPr>
                <w:sz w:val="20"/>
                <w:szCs w:val="20"/>
                <w:lang w:val="es-ES_tradnl"/>
              </w:rPr>
              <w:t>Como parte del proceso de selección de personal, y previo a la convocatoria,  se identifica</w:t>
            </w:r>
            <w:r w:rsidR="00517E5C" w:rsidRPr="00600ED9">
              <w:rPr>
                <w:sz w:val="20"/>
                <w:szCs w:val="20"/>
                <w:lang w:val="es-ES_tradnl"/>
              </w:rPr>
              <w:t>n</w:t>
            </w:r>
            <w:r w:rsidRPr="00600ED9">
              <w:rPr>
                <w:sz w:val="20"/>
                <w:szCs w:val="20"/>
                <w:lang w:val="es-ES_tradnl"/>
              </w:rPr>
              <w:t xml:space="preserve"> las vacantes definitivas, </w:t>
            </w:r>
            <w:r w:rsidR="00517E5C" w:rsidRPr="00600ED9">
              <w:rPr>
                <w:sz w:val="20"/>
                <w:szCs w:val="20"/>
                <w:lang w:val="es-ES_tradnl"/>
              </w:rPr>
              <w:t xml:space="preserve">se </w:t>
            </w:r>
            <w:r w:rsidRPr="00600ED9">
              <w:rPr>
                <w:sz w:val="20"/>
                <w:szCs w:val="20"/>
                <w:lang w:val="es-ES_tradnl"/>
              </w:rPr>
              <w:t xml:space="preserve">hace un estudio de perfiles, </w:t>
            </w:r>
            <w:r w:rsidR="00BE4F65" w:rsidRPr="00600ED9">
              <w:rPr>
                <w:sz w:val="20"/>
                <w:szCs w:val="20"/>
                <w:lang w:val="es-ES_tradnl"/>
              </w:rPr>
              <w:t xml:space="preserve">se </w:t>
            </w:r>
            <w:r w:rsidRPr="00600ED9">
              <w:rPr>
                <w:sz w:val="20"/>
                <w:szCs w:val="20"/>
                <w:lang w:val="es-ES_tradnl"/>
              </w:rPr>
              <w:t>establece</w:t>
            </w:r>
            <w:r w:rsidR="00BE4F65" w:rsidRPr="00600ED9">
              <w:rPr>
                <w:sz w:val="20"/>
                <w:szCs w:val="20"/>
                <w:lang w:val="es-ES_tradnl"/>
              </w:rPr>
              <w:t>n</w:t>
            </w:r>
            <w:r w:rsidRPr="00600ED9">
              <w:rPr>
                <w:sz w:val="20"/>
                <w:szCs w:val="20"/>
                <w:lang w:val="es-ES_tradnl"/>
              </w:rPr>
              <w:t xml:space="preserve"> las necesidades de personal de las dependencias y </w:t>
            </w:r>
            <w:r w:rsidR="00BE4F65" w:rsidRPr="00600ED9">
              <w:rPr>
                <w:sz w:val="20"/>
                <w:szCs w:val="20"/>
                <w:lang w:val="es-ES_tradnl"/>
              </w:rPr>
              <w:t xml:space="preserve">se </w:t>
            </w:r>
            <w:r w:rsidRPr="00600ED9">
              <w:rPr>
                <w:sz w:val="20"/>
                <w:szCs w:val="20"/>
                <w:lang w:val="es-ES_tradnl"/>
              </w:rPr>
              <w:t>realiza un análisis financiero y contractual</w:t>
            </w:r>
            <w:r w:rsidRPr="00600ED9">
              <w:rPr>
                <w:rStyle w:val="FootnoteReference"/>
                <w:sz w:val="20"/>
                <w:szCs w:val="20"/>
                <w:lang w:val="es-ES_tradnl"/>
              </w:rPr>
              <w:footnoteReference w:id="61"/>
            </w:r>
            <w:r w:rsidRPr="00600ED9">
              <w:rPr>
                <w:sz w:val="20"/>
                <w:szCs w:val="20"/>
                <w:lang w:val="es-ES_tradnl"/>
              </w:rPr>
              <w:t xml:space="preserve">. </w:t>
            </w:r>
          </w:p>
          <w:p w:rsidR="00607ACE" w:rsidRPr="00600ED9" w:rsidRDefault="00607ACE" w:rsidP="00FB1954">
            <w:pPr>
              <w:pStyle w:val="NoSpacing"/>
              <w:jc w:val="both"/>
              <w:rPr>
                <w:sz w:val="20"/>
                <w:szCs w:val="20"/>
                <w:lang w:val="es-ES_tradnl"/>
              </w:rPr>
            </w:pPr>
          </w:p>
          <w:p w:rsidR="0032698C" w:rsidRPr="00600ED9" w:rsidRDefault="0032698C" w:rsidP="00FB1954">
            <w:pPr>
              <w:pStyle w:val="NoSpacing"/>
              <w:jc w:val="both"/>
              <w:rPr>
                <w:sz w:val="20"/>
                <w:szCs w:val="20"/>
                <w:lang w:val="es-ES_tradnl"/>
              </w:rPr>
            </w:pPr>
            <w:r w:rsidRPr="00600ED9">
              <w:rPr>
                <w:sz w:val="20"/>
                <w:szCs w:val="20"/>
                <w:lang w:val="es-ES_tradnl"/>
              </w:rPr>
              <w:t>El Concurso Abierto de Méritos 2015, se sustenta en un estudio técnico, con base en el cual se detalla la cantidad de vacantes a proveer, la descripción de los cargos, centro de costos, dependencia y perfil ocupacional y cumple con los procedimientos establecidos en el régimen de carrera administrativa, lo cual puede ser verificado en la página web de la Contraloría</w:t>
            </w:r>
            <w:r w:rsidRPr="00600ED9">
              <w:rPr>
                <w:rStyle w:val="FootnoteReference"/>
                <w:sz w:val="20"/>
                <w:szCs w:val="20"/>
                <w:lang w:val="es-ES_tradnl"/>
              </w:rPr>
              <w:footnoteReference w:id="62"/>
            </w:r>
            <w:r w:rsidRPr="00600ED9">
              <w:rPr>
                <w:sz w:val="20"/>
                <w:szCs w:val="20"/>
                <w:lang w:val="es-ES_tradnl"/>
              </w:rPr>
              <w:t xml:space="preserve">.   </w:t>
            </w:r>
          </w:p>
          <w:p w:rsidR="00607ACE" w:rsidRPr="00600ED9" w:rsidRDefault="00607ACE" w:rsidP="00FB1954">
            <w:pPr>
              <w:pStyle w:val="NoSpacing"/>
              <w:jc w:val="both"/>
              <w:rPr>
                <w:sz w:val="20"/>
                <w:szCs w:val="20"/>
                <w:lang w:val="es-ES_tradnl"/>
              </w:rPr>
            </w:pPr>
          </w:p>
          <w:p w:rsidR="0032698C" w:rsidRPr="00600ED9" w:rsidRDefault="0032698C" w:rsidP="00FB1954">
            <w:pPr>
              <w:pStyle w:val="NoSpacing"/>
              <w:jc w:val="both"/>
              <w:rPr>
                <w:sz w:val="20"/>
                <w:szCs w:val="20"/>
                <w:lang w:val="es-ES_tradnl"/>
              </w:rPr>
            </w:pPr>
            <w:r w:rsidRPr="00600ED9">
              <w:rPr>
                <w:bCs/>
                <w:color w:val="000000"/>
                <w:sz w:val="20"/>
                <w:szCs w:val="20"/>
                <w:lang w:val="es-ES_tradnl"/>
              </w:rPr>
              <w:t>Los recursos humanos internos se complementan con profesionales externos,  de acuerdo con necesidades sustentadas. La</w:t>
            </w:r>
            <w:r w:rsidRPr="00600ED9">
              <w:rPr>
                <w:sz w:val="20"/>
                <w:szCs w:val="20"/>
                <w:lang w:val="es-ES_tradnl"/>
              </w:rPr>
              <w:t xml:space="preserve"> supervisión y control de calidad de estos servicios, es responsabilidad de los líderes contratantes/usuarios de los servicios.</w:t>
            </w:r>
          </w:p>
          <w:p w:rsidR="00607ACE" w:rsidRPr="00600ED9" w:rsidRDefault="00607ACE" w:rsidP="00FB1954">
            <w:pPr>
              <w:pStyle w:val="NoSpacing"/>
              <w:jc w:val="both"/>
              <w:rPr>
                <w:sz w:val="20"/>
                <w:szCs w:val="20"/>
                <w:lang w:val="es-ES_tradnl"/>
              </w:rPr>
            </w:pPr>
          </w:p>
          <w:p w:rsidR="005C201F" w:rsidRPr="00600ED9" w:rsidRDefault="0032698C" w:rsidP="00FB1954">
            <w:pPr>
              <w:pStyle w:val="NoSpacing"/>
              <w:jc w:val="both"/>
              <w:rPr>
                <w:sz w:val="20"/>
                <w:szCs w:val="20"/>
                <w:lang w:val="es-ES_tradnl"/>
              </w:rPr>
            </w:pPr>
            <w:r w:rsidRPr="00600ED9">
              <w:rPr>
                <w:sz w:val="20"/>
                <w:szCs w:val="20"/>
                <w:lang w:val="es-ES_tradnl"/>
              </w:rPr>
              <w:t>Los procedimientos para el manejo de conflictos  está a cargo del Comité de Convivencia Laboral, que de acuerdo con el marco legal es la instancia encargada de recibir y dar trámite a las quejas presentadas en las que se describan conductas o circunstancias  que puedan constituir conflicto laboral.</w:t>
            </w:r>
          </w:p>
          <w:p w:rsidR="00607ACE" w:rsidRPr="00600ED9" w:rsidRDefault="00607ACE" w:rsidP="00FB1954">
            <w:pPr>
              <w:pStyle w:val="NoSpacing"/>
              <w:jc w:val="both"/>
              <w:rPr>
                <w:sz w:val="16"/>
                <w:szCs w:val="20"/>
                <w:lang w:val="es-ES_tradnl"/>
              </w:rPr>
            </w:pPr>
          </w:p>
        </w:tc>
      </w:tr>
      <w:tr w:rsidR="0032698C" w:rsidRPr="00600ED9" w:rsidTr="00BD6117">
        <w:tc>
          <w:tcPr>
            <w:tcW w:w="9356" w:type="dxa"/>
            <w:shd w:val="clear" w:color="auto" w:fill="D9D9D9" w:themeFill="background1" w:themeFillShade="D9"/>
          </w:tcPr>
          <w:p w:rsidR="0032698C" w:rsidRPr="00600ED9" w:rsidRDefault="0032698C" w:rsidP="00FB1954">
            <w:pPr>
              <w:pStyle w:val="NoSpacing"/>
              <w:rPr>
                <w:b/>
                <w:i/>
                <w:sz w:val="20"/>
                <w:szCs w:val="20"/>
                <w:lang w:val="es-ES_tradnl"/>
              </w:rPr>
            </w:pPr>
            <w:r w:rsidRPr="00600ED9">
              <w:rPr>
                <w:b/>
                <w:i/>
                <w:sz w:val="20"/>
                <w:szCs w:val="20"/>
                <w:lang w:val="es-ES_tradnl"/>
              </w:rPr>
              <w:lastRenderedPageBreak/>
              <w:t>Dimensión (iv) Remuneración, asenso y bienestar del personal</w:t>
            </w:r>
          </w:p>
        </w:tc>
      </w:tr>
      <w:tr w:rsidR="0032698C" w:rsidRPr="00600ED9" w:rsidTr="00BD6117">
        <w:tc>
          <w:tcPr>
            <w:tcW w:w="9356" w:type="dxa"/>
            <w:shd w:val="clear" w:color="auto" w:fill="D9D9D9" w:themeFill="background1" w:themeFillShade="D9"/>
          </w:tcPr>
          <w:p w:rsidR="0032698C" w:rsidRPr="00600ED9" w:rsidRDefault="0032698C" w:rsidP="00FB1954">
            <w:pPr>
              <w:pStyle w:val="NoSpacing"/>
              <w:rPr>
                <w:i/>
                <w:sz w:val="20"/>
                <w:szCs w:val="20"/>
                <w:lang w:val="es-ES_tradnl"/>
              </w:rPr>
            </w:pPr>
            <w:r w:rsidRPr="00600ED9">
              <w:rPr>
                <w:b/>
                <w:i/>
                <w:sz w:val="20"/>
                <w:szCs w:val="20"/>
                <w:lang w:val="es-ES_tradnl"/>
              </w:rPr>
              <w:t>Puntuación</w:t>
            </w:r>
            <w:r w:rsidRPr="00600ED9">
              <w:rPr>
                <w:i/>
                <w:sz w:val="20"/>
                <w:szCs w:val="20"/>
                <w:lang w:val="es-ES_tradnl"/>
              </w:rPr>
              <w:t>: No Aplica</w:t>
            </w:r>
            <w:r w:rsidRPr="00600ED9">
              <w:rPr>
                <w:rStyle w:val="FootnoteReference"/>
                <w:i/>
                <w:sz w:val="20"/>
                <w:szCs w:val="20"/>
                <w:lang w:val="es-ES_tradnl"/>
              </w:rPr>
              <w:footnoteReference w:id="63"/>
            </w:r>
          </w:p>
        </w:tc>
      </w:tr>
      <w:tr w:rsidR="0032698C" w:rsidRPr="00600ED9" w:rsidTr="00BD6117">
        <w:tc>
          <w:tcPr>
            <w:tcW w:w="9356" w:type="dxa"/>
          </w:tcPr>
          <w:p w:rsidR="0032698C" w:rsidRPr="00600ED9" w:rsidRDefault="0032698C" w:rsidP="00FB1954">
            <w:pPr>
              <w:pStyle w:val="NoSpacing"/>
              <w:jc w:val="both"/>
              <w:rPr>
                <w:sz w:val="20"/>
                <w:szCs w:val="20"/>
                <w:lang w:val="es-ES_tradnl"/>
              </w:rPr>
            </w:pPr>
            <w:r w:rsidRPr="00600ED9">
              <w:rPr>
                <w:sz w:val="20"/>
                <w:szCs w:val="20"/>
                <w:lang w:val="es-ES_tradnl"/>
              </w:rPr>
              <w:t>Criterios (a), (b), (f) y (h) se cumplen. Criterios (c), (d) y (e) No Aplica</w:t>
            </w:r>
            <w:r w:rsidR="00BE4F65" w:rsidRPr="00600ED9">
              <w:rPr>
                <w:sz w:val="20"/>
                <w:szCs w:val="20"/>
                <w:lang w:val="es-ES_tradnl"/>
              </w:rPr>
              <w:t>n</w:t>
            </w:r>
            <w:r w:rsidRPr="00600ED9">
              <w:rPr>
                <w:sz w:val="20"/>
                <w:szCs w:val="20"/>
                <w:lang w:val="es-ES_tradnl"/>
              </w:rPr>
              <w:t>. Criterio (g) no se cumple.</w:t>
            </w:r>
          </w:p>
          <w:p w:rsidR="00607ACE" w:rsidRPr="00600ED9" w:rsidRDefault="00607ACE" w:rsidP="00FB1954">
            <w:pPr>
              <w:pStyle w:val="NoSpacing"/>
              <w:jc w:val="both"/>
              <w:rPr>
                <w:sz w:val="18"/>
                <w:szCs w:val="20"/>
                <w:lang w:val="es-ES_tradnl"/>
              </w:rPr>
            </w:pPr>
          </w:p>
          <w:p w:rsidR="00BD6117" w:rsidRPr="00600ED9" w:rsidRDefault="0032698C" w:rsidP="00FB1954">
            <w:pPr>
              <w:pStyle w:val="NoSpacing"/>
              <w:jc w:val="both"/>
              <w:rPr>
                <w:sz w:val="20"/>
                <w:szCs w:val="20"/>
                <w:lang w:val="es-ES_tradnl"/>
              </w:rPr>
            </w:pPr>
            <w:r w:rsidRPr="00600ED9">
              <w:rPr>
                <w:sz w:val="20"/>
                <w:szCs w:val="20"/>
                <w:lang w:val="es-ES_tradnl"/>
              </w:rPr>
              <w:t>El Sistema Integrado de Evaluación del Desempeño (SISED)</w:t>
            </w:r>
            <w:r w:rsidRPr="00600ED9">
              <w:rPr>
                <w:rStyle w:val="FootnoteReference"/>
                <w:sz w:val="20"/>
                <w:szCs w:val="20"/>
                <w:lang w:val="es-ES_tradnl"/>
              </w:rPr>
              <w:footnoteReference w:id="64"/>
            </w:r>
            <w:r w:rsidRPr="00600ED9">
              <w:rPr>
                <w:sz w:val="20"/>
                <w:szCs w:val="20"/>
                <w:lang w:val="es-ES_tradnl"/>
              </w:rPr>
              <w:t xml:space="preserve"> es la herramienta administrativa que permite evaluar de manera integral el desempeño de los funcionarios de carrera administrativa de la CGRC. La última evaluación de desempeño evaluó el cumplimiento de los objetivos concertados los cuales están relacionados con las áreas de trabajo y las competencias de mejoramiento, identificadas en una evaluación previa.</w:t>
            </w:r>
          </w:p>
          <w:p w:rsidR="00181522" w:rsidRPr="00600ED9" w:rsidRDefault="00181522" w:rsidP="00FB1954">
            <w:pPr>
              <w:pStyle w:val="NoSpacing"/>
              <w:jc w:val="both"/>
              <w:rPr>
                <w:sz w:val="18"/>
                <w:szCs w:val="20"/>
                <w:lang w:val="es-ES_tradnl"/>
              </w:rPr>
            </w:pPr>
          </w:p>
          <w:p w:rsidR="0032698C" w:rsidRPr="00600ED9" w:rsidRDefault="0032698C" w:rsidP="00FB1954">
            <w:pPr>
              <w:pStyle w:val="NoSpacing"/>
              <w:jc w:val="both"/>
              <w:rPr>
                <w:sz w:val="20"/>
                <w:szCs w:val="20"/>
                <w:lang w:val="es-ES_tradnl"/>
              </w:rPr>
            </w:pPr>
            <w:r w:rsidRPr="00600ED9">
              <w:rPr>
                <w:sz w:val="20"/>
                <w:szCs w:val="20"/>
                <w:lang w:val="es-ES_tradnl"/>
              </w:rPr>
              <w:t xml:space="preserve">Las escalas de remuneración correspondientes a las distintas categorías de empleos de la CGRC son dictadas mediante Decreto del Departamento Administrativo de la Función Pública </w:t>
            </w:r>
            <w:r w:rsidR="00BE4F65" w:rsidRPr="00600ED9">
              <w:rPr>
                <w:sz w:val="20"/>
                <w:szCs w:val="20"/>
                <w:lang w:val="es-ES_tradnl"/>
              </w:rPr>
              <w:t>(</w:t>
            </w:r>
            <w:r w:rsidRPr="00600ED9">
              <w:rPr>
                <w:sz w:val="20"/>
                <w:szCs w:val="20"/>
                <w:lang w:val="es-ES_tradnl"/>
              </w:rPr>
              <w:t>DAFP</w:t>
            </w:r>
            <w:r w:rsidR="00BE4F65" w:rsidRPr="00600ED9">
              <w:rPr>
                <w:sz w:val="20"/>
                <w:szCs w:val="20"/>
                <w:lang w:val="es-ES_tradnl"/>
              </w:rPr>
              <w:t>)</w:t>
            </w:r>
            <w:r w:rsidRPr="00600ED9">
              <w:rPr>
                <w:sz w:val="20"/>
                <w:szCs w:val="20"/>
                <w:lang w:val="es-ES_tradnl"/>
              </w:rPr>
              <w:t xml:space="preserve">. Como parte de la estrategia </w:t>
            </w:r>
            <w:r w:rsidRPr="00600ED9">
              <w:rPr>
                <w:sz w:val="20"/>
                <w:szCs w:val="20"/>
                <w:lang w:val="es-ES_tradnl"/>
              </w:rPr>
              <w:lastRenderedPageBreak/>
              <w:t>de recursos humanos, se dispone de un Programa de Estímulos, Incentivos y Reconocimiento y de un Fondo de Bienestar Social</w:t>
            </w:r>
            <w:r w:rsidRPr="00600ED9">
              <w:rPr>
                <w:rStyle w:val="FootnoteReference"/>
                <w:sz w:val="20"/>
                <w:szCs w:val="20"/>
                <w:lang w:val="es-ES_tradnl"/>
              </w:rPr>
              <w:footnoteReference w:id="65"/>
            </w:r>
            <w:r w:rsidRPr="00600ED9">
              <w:rPr>
                <w:sz w:val="20"/>
                <w:szCs w:val="20"/>
                <w:lang w:val="es-ES_tradnl"/>
              </w:rPr>
              <w:t xml:space="preserve">, que contribuye a la solución de las necesidades básicas de salud, educación y vivienda de los empleados de la CGRC. </w:t>
            </w:r>
          </w:p>
          <w:p w:rsidR="00607ACE" w:rsidRPr="00600ED9" w:rsidRDefault="00607ACE" w:rsidP="00FB1954">
            <w:pPr>
              <w:pStyle w:val="NoSpacing"/>
              <w:jc w:val="both"/>
              <w:rPr>
                <w:sz w:val="18"/>
                <w:szCs w:val="20"/>
                <w:lang w:val="es-ES_tradnl"/>
              </w:rPr>
            </w:pPr>
          </w:p>
          <w:p w:rsidR="0032698C" w:rsidRPr="00600ED9" w:rsidRDefault="0032698C" w:rsidP="00FB1954">
            <w:pPr>
              <w:pStyle w:val="NoSpacing"/>
              <w:jc w:val="both"/>
              <w:rPr>
                <w:rFonts w:cstheme="minorHAnsi"/>
                <w:sz w:val="20"/>
                <w:szCs w:val="20"/>
                <w:lang w:val="es-ES_tradnl"/>
              </w:rPr>
            </w:pPr>
            <w:r w:rsidRPr="00600ED9">
              <w:rPr>
                <w:sz w:val="20"/>
                <w:szCs w:val="20"/>
                <w:lang w:val="es-ES_tradnl"/>
              </w:rPr>
              <w:t>El ingreso a los cargos de carrera administrativa, se realiza por el sistema de mérito, mediante concurso abierto, en el cual pueden participar empleados vinculados a la carrera que considere</w:t>
            </w:r>
            <w:r w:rsidR="00BE4F65" w:rsidRPr="00600ED9">
              <w:rPr>
                <w:sz w:val="20"/>
                <w:szCs w:val="20"/>
                <w:lang w:val="es-ES_tradnl"/>
              </w:rPr>
              <w:t>n</w:t>
            </w:r>
            <w:r w:rsidRPr="00600ED9">
              <w:rPr>
                <w:sz w:val="20"/>
                <w:szCs w:val="20"/>
                <w:lang w:val="es-ES_tradnl"/>
              </w:rPr>
              <w:t xml:space="preserve"> reúnen los requisitos de formación y experiencia establecidos en la convocatoria, lo cual puede implicar el </w:t>
            </w:r>
            <w:r w:rsidRPr="00600ED9">
              <w:rPr>
                <w:rFonts w:cstheme="minorHAnsi"/>
                <w:sz w:val="20"/>
                <w:szCs w:val="20"/>
                <w:lang w:val="es-ES_tradnl"/>
              </w:rPr>
              <w:t>ascenso dentro de la carrera administrativa</w:t>
            </w:r>
            <w:r w:rsidRPr="00600ED9">
              <w:rPr>
                <w:rStyle w:val="FootnoteReference"/>
                <w:rFonts w:cstheme="minorHAnsi"/>
                <w:sz w:val="20"/>
                <w:szCs w:val="20"/>
                <w:lang w:val="es-ES_tradnl"/>
              </w:rPr>
              <w:footnoteReference w:id="66"/>
            </w:r>
            <w:r w:rsidRPr="00600ED9">
              <w:rPr>
                <w:rFonts w:cstheme="minorHAnsi"/>
                <w:sz w:val="20"/>
                <w:szCs w:val="20"/>
                <w:lang w:val="es-ES_tradnl"/>
              </w:rPr>
              <w:t>.</w:t>
            </w:r>
          </w:p>
          <w:p w:rsidR="00607ACE" w:rsidRPr="00600ED9" w:rsidRDefault="00607ACE" w:rsidP="00FB1954">
            <w:pPr>
              <w:pStyle w:val="NoSpacing"/>
              <w:jc w:val="both"/>
              <w:rPr>
                <w:sz w:val="18"/>
                <w:szCs w:val="20"/>
                <w:lang w:val="es-ES_tradnl"/>
              </w:rPr>
            </w:pPr>
          </w:p>
          <w:p w:rsidR="0032698C" w:rsidRPr="00600ED9" w:rsidRDefault="0032698C" w:rsidP="00FB1954">
            <w:pPr>
              <w:pStyle w:val="NoSpacing"/>
              <w:jc w:val="both"/>
              <w:rPr>
                <w:sz w:val="20"/>
                <w:szCs w:val="20"/>
                <w:lang w:val="es-ES_tradnl"/>
              </w:rPr>
            </w:pPr>
            <w:r w:rsidRPr="00600ED9">
              <w:rPr>
                <w:sz w:val="20"/>
                <w:szCs w:val="20"/>
                <w:lang w:val="es-ES_tradnl"/>
              </w:rPr>
              <w:t xml:space="preserve">Los empleados han tenido la oportunidad de expresar sus puntos de vista sobre el ambiente de trabajo, solamente como parte de los estudios de clima organizacional adelantados en los cuatro últimos años. Como resultado de estos estudios, la administración ha implementado acciones de mejoramiento. </w:t>
            </w:r>
          </w:p>
          <w:p w:rsidR="00607ACE" w:rsidRPr="00600ED9" w:rsidRDefault="00607ACE" w:rsidP="00FB1954">
            <w:pPr>
              <w:pStyle w:val="NoSpacing"/>
              <w:jc w:val="both"/>
              <w:rPr>
                <w:sz w:val="14"/>
                <w:szCs w:val="20"/>
                <w:lang w:val="es-ES_tradnl"/>
              </w:rPr>
            </w:pPr>
          </w:p>
        </w:tc>
      </w:tr>
    </w:tbl>
    <w:p w:rsidR="00575F68" w:rsidRPr="00600ED9" w:rsidRDefault="00575F68" w:rsidP="00FB1954">
      <w:pPr>
        <w:pStyle w:val="NoSpacing"/>
        <w:ind w:left="720"/>
        <w:rPr>
          <w:lang w:val="es-ES_tradnl"/>
        </w:rPr>
      </w:pPr>
    </w:p>
    <w:p w:rsidR="00AC17CB" w:rsidRPr="00600ED9" w:rsidRDefault="00607ACE" w:rsidP="00607ACE">
      <w:pPr>
        <w:pStyle w:val="NoSpacing"/>
        <w:ind w:left="720"/>
        <w:rPr>
          <w:lang w:val="es-ES_tradnl"/>
        </w:rPr>
      </w:pPr>
      <w:r w:rsidRPr="00600ED9">
        <w:rPr>
          <w:b/>
          <w:bCs/>
          <w:smallCaps/>
          <w:lang w:val="es-ES_tradnl"/>
        </w:rPr>
        <w:t>Recomendación</w:t>
      </w:r>
      <w:r w:rsidRPr="00600ED9">
        <w:rPr>
          <w:lang w:val="es-ES_tradnl"/>
        </w:rPr>
        <w:t xml:space="preserve">: </w:t>
      </w:r>
      <w:r w:rsidR="005120A2" w:rsidRPr="00600ED9">
        <w:rPr>
          <w:lang w:val="es-ES_tradnl"/>
        </w:rPr>
        <w:t>Consultar el</w:t>
      </w:r>
      <w:r w:rsidR="00CA3E61" w:rsidRPr="00600ED9">
        <w:rPr>
          <w:lang w:val="es-ES_tradnl"/>
        </w:rPr>
        <w:t xml:space="preserve"> Anexo </w:t>
      </w:r>
      <w:r w:rsidR="00BE4F65" w:rsidRPr="00600ED9">
        <w:rPr>
          <w:lang w:val="es-ES_tradnl"/>
        </w:rPr>
        <w:t>A</w:t>
      </w:r>
      <w:r w:rsidR="00CA3E61" w:rsidRPr="00600ED9">
        <w:rPr>
          <w:lang w:val="es-ES_tradnl"/>
        </w:rPr>
        <w:t xml:space="preserve">: Plan de Acción, </w:t>
      </w:r>
      <w:r w:rsidR="00BE4F65" w:rsidRPr="00600ED9">
        <w:rPr>
          <w:lang w:val="es-ES_tradnl"/>
        </w:rPr>
        <w:t xml:space="preserve">recomendación </w:t>
      </w:r>
      <w:r w:rsidR="00C153F7" w:rsidRPr="00600ED9">
        <w:rPr>
          <w:lang w:val="es-ES_tradnl"/>
        </w:rPr>
        <w:t>No. 24</w:t>
      </w:r>
      <w:r w:rsidR="00CA3E61" w:rsidRPr="00600ED9">
        <w:rPr>
          <w:lang w:val="es-ES_tradnl"/>
        </w:rPr>
        <w:t>.</w:t>
      </w:r>
    </w:p>
    <w:p w:rsidR="00181522" w:rsidRPr="00600ED9" w:rsidRDefault="00181522" w:rsidP="00FB1954">
      <w:pPr>
        <w:pStyle w:val="NoSpacing"/>
        <w:ind w:left="720"/>
        <w:rPr>
          <w:sz w:val="16"/>
          <w:lang w:val="es-ES_tradnl"/>
        </w:rPr>
      </w:pPr>
    </w:p>
    <w:p w:rsidR="00AC17CB" w:rsidRPr="00600ED9" w:rsidRDefault="00AC17CB" w:rsidP="00FB1954">
      <w:pPr>
        <w:pStyle w:val="NoSpacing"/>
        <w:rPr>
          <w:sz w:val="18"/>
          <w:lang w:val="es-ES_tradnl"/>
        </w:rPr>
      </w:pPr>
    </w:p>
    <w:p w:rsidR="00720E42" w:rsidRPr="00600ED9" w:rsidRDefault="004D3E4A" w:rsidP="00FB1954">
      <w:pPr>
        <w:pStyle w:val="Heading2"/>
        <w:spacing w:before="0" w:line="240" w:lineRule="auto"/>
      </w:pPr>
      <w:bookmarkStart w:id="37" w:name="_Toc295932929"/>
      <w:r w:rsidRPr="00600ED9">
        <w:t>EFS</w:t>
      </w:r>
      <w:r w:rsidR="00B93BCD" w:rsidRPr="00600ED9">
        <w:t xml:space="preserve"> </w:t>
      </w:r>
      <w:r w:rsidRPr="00600ED9">
        <w:t>21 - Desarrollo y Capacitación Profesional</w:t>
      </w:r>
      <w:bookmarkEnd w:id="37"/>
    </w:p>
    <w:p w:rsidR="003B04AB" w:rsidRPr="00600ED9" w:rsidRDefault="003B04AB" w:rsidP="00FB1954">
      <w:pPr>
        <w:pStyle w:val="ListParagraph"/>
        <w:tabs>
          <w:tab w:val="right" w:leader="dot" w:pos="8640"/>
        </w:tabs>
        <w:spacing w:after="0" w:line="240" w:lineRule="auto"/>
        <w:ind w:left="1080"/>
        <w:rPr>
          <w:rFonts w:eastAsia="Calibri" w:cs="Times New Roman"/>
          <w:b/>
          <w:sz w:val="18"/>
        </w:rPr>
      </w:pPr>
    </w:p>
    <w:tbl>
      <w:tblPr>
        <w:tblW w:w="8200" w:type="dxa"/>
        <w:tblInd w:w="810" w:type="dxa"/>
        <w:tblCellMar>
          <w:left w:w="70" w:type="dxa"/>
          <w:right w:w="70" w:type="dxa"/>
        </w:tblCellMar>
        <w:tblLook w:val="04A0" w:firstRow="1" w:lastRow="0" w:firstColumn="1" w:lastColumn="0" w:noHBand="0" w:noVBand="1"/>
      </w:tblPr>
      <w:tblGrid>
        <w:gridCol w:w="2560"/>
        <w:gridCol w:w="2125"/>
        <w:gridCol w:w="2250"/>
        <w:gridCol w:w="175"/>
        <w:gridCol w:w="1090"/>
      </w:tblGrid>
      <w:tr w:rsidR="006F4A97" w:rsidRPr="00600ED9" w:rsidTr="004506C8">
        <w:trPr>
          <w:trHeight w:val="255"/>
        </w:trPr>
        <w:tc>
          <w:tcPr>
            <w:tcW w:w="2560" w:type="dxa"/>
            <w:tcBorders>
              <w:top w:val="nil"/>
              <w:left w:val="nil"/>
              <w:bottom w:val="nil"/>
              <w:right w:val="nil"/>
            </w:tcBorders>
            <w:shd w:val="clear" w:color="auto" w:fill="auto"/>
            <w:noWrap/>
            <w:vAlign w:val="bottom"/>
            <w:hideMark/>
          </w:tcPr>
          <w:p w:rsidR="006F4A97" w:rsidRPr="00600ED9" w:rsidRDefault="006F4A97" w:rsidP="00FB1954">
            <w:pPr>
              <w:pStyle w:val="NoSpacing"/>
              <w:tabs>
                <w:tab w:val="center" w:pos="4680"/>
                <w:tab w:val="right" w:pos="9360"/>
              </w:tabs>
              <w:jc w:val="center"/>
              <w:rPr>
                <w:sz w:val="20"/>
                <w:szCs w:val="20"/>
                <w:lang w:val="es-ES_tradnl"/>
              </w:rPr>
            </w:pPr>
          </w:p>
        </w:tc>
        <w:tc>
          <w:tcPr>
            <w:tcW w:w="4375"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6F4A97" w:rsidRPr="00600ED9" w:rsidRDefault="006F4A97" w:rsidP="00FB1954">
            <w:pPr>
              <w:pStyle w:val="NoSpacing"/>
              <w:jc w:val="center"/>
              <w:rPr>
                <w:b/>
                <w:bCs/>
                <w:sz w:val="20"/>
                <w:szCs w:val="20"/>
                <w:lang w:val="es-ES_tradnl"/>
              </w:rPr>
            </w:pPr>
            <w:r w:rsidRPr="00600ED9">
              <w:rPr>
                <w:b/>
                <w:bCs/>
                <w:sz w:val="20"/>
                <w:szCs w:val="20"/>
                <w:lang w:val="es-ES_tradnl"/>
              </w:rPr>
              <w:t>Dimensiones Evaluadas</w:t>
            </w:r>
          </w:p>
        </w:tc>
        <w:tc>
          <w:tcPr>
            <w:tcW w:w="175" w:type="dxa"/>
            <w:tcBorders>
              <w:top w:val="nil"/>
              <w:left w:val="nil"/>
              <w:bottom w:val="nil"/>
              <w:right w:val="nil"/>
            </w:tcBorders>
            <w:shd w:val="clear" w:color="auto" w:fill="auto"/>
            <w:noWrap/>
            <w:vAlign w:val="bottom"/>
            <w:hideMark/>
          </w:tcPr>
          <w:p w:rsidR="006F4A97" w:rsidRPr="00600ED9" w:rsidRDefault="006F4A97" w:rsidP="00FB1954">
            <w:pPr>
              <w:pStyle w:val="NoSpacing"/>
              <w:tabs>
                <w:tab w:val="center" w:pos="4680"/>
                <w:tab w:val="right" w:pos="9360"/>
              </w:tabs>
              <w:jc w:val="center"/>
              <w:rPr>
                <w:sz w:val="20"/>
                <w:szCs w:val="20"/>
                <w:lang w:val="es-ES_tradnl"/>
              </w:rPr>
            </w:pPr>
          </w:p>
        </w:tc>
        <w:tc>
          <w:tcPr>
            <w:tcW w:w="1090" w:type="dxa"/>
            <w:vMerge w:val="restart"/>
            <w:tcBorders>
              <w:top w:val="single" w:sz="4" w:space="0" w:color="auto"/>
              <w:left w:val="single" w:sz="4" w:space="0" w:color="auto"/>
              <w:right w:val="single" w:sz="4" w:space="0" w:color="auto"/>
            </w:tcBorders>
            <w:shd w:val="clear" w:color="000000" w:fill="95B3D7"/>
            <w:vAlign w:val="center"/>
            <w:hideMark/>
          </w:tcPr>
          <w:p w:rsidR="006F4A97" w:rsidRPr="00600ED9" w:rsidRDefault="006F4A97" w:rsidP="00FB1954">
            <w:pPr>
              <w:pStyle w:val="NoSpacing"/>
              <w:jc w:val="center"/>
              <w:rPr>
                <w:b/>
                <w:bCs/>
                <w:sz w:val="20"/>
                <w:szCs w:val="20"/>
                <w:lang w:val="es-ES_tradnl"/>
              </w:rPr>
            </w:pPr>
            <w:r w:rsidRPr="00600ED9">
              <w:rPr>
                <w:b/>
                <w:bCs/>
                <w:sz w:val="20"/>
                <w:szCs w:val="20"/>
                <w:lang w:val="es-ES_tradnl"/>
              </w:rPr>
              <w:t>Puntuación General</w:t>
            </w:r>
          </w:p>
        </w:tc>
      </w:tr>
      <w:tr w:rsidR="006F4A97" w:rsidRPr="00600ED9" w:rsidTr="004506C8">
        <w:trPr>
          <w:trHeight w:val="390"/>
        </w:trPr>
        <w:tc>
          <w:tcPr>
            <w:tcW w:w="256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6F4A97" w:rsidRPr="00600ED9" w:rsidRDefault="006F4A97" w:rsidP="00FB1954">
            <w:pPr>
              <w:pStyle w:val="NoSpacing"/>
              <w:jc w:val="center"/>
              <w:rPr>
                <w:b/>
                <w:bCs/>
                <w:sz w:val="20"/>
                <w:szCs w:val="20"/>
                <w:lang w:val="es-ES_tradnl"/>
              </w:rPr>
            </w:pPr>
            <w:r w:rsidRPr="00600ED9">
              <w:rPr>
                <w:b/>
                <w:bCs/>
                <w:sz w:val="20"/>
                <w:szCs w:val="20"/>
                <w:lang w:val="es-ES_tradnl"/>
              </w:rPr>
              <w:t>Indicadores</w:t>
            </w:r>
          </w:p>
        </w:tc>
        <w:tc>
          <w:tcPr>
            <w:tcW w:w="2125" w:type="dxa"/>
            <w:tcBorders>
              <w:top w:val="nil"/>
              <w:left w:val="nil"/>
              <w:bottom w:val="single" w:sz="4" w:space="0" w:color="auto"/>
              <w:right w:val="single" w:sz="4" w:space="0" w:color="auto"/>
            </w:tcBorders>
            <w:shd w:val="clear" w:color="000000" w:fill="D8D8D8"/>
            <w:noWrap/>
            <w:vAlign w:val="bottom"/>
            <w:hideMark/>
          </w:tcPr>
          <w:p w:rsidR="006F4A97" w:rsidRPr="00600ED9" w:rsidRDefault="00C64426" w:rsidP="00FB1954">
            <w:pPr>
              <w:pStyle w:val="NoSpacing"/>
              <w:jc w:val="center"/>
              <w:rPr>
                <w:b/>
                <w:bCs/>
                <w:w w:val="90"/>
                <w:sz w:val="20"/>
                <w:szCs w:val="20"/>
                <w:lang w:val="es-ES_tradnl"/>
              </w:rPr>
            </w:pPr>
            <w:r w:rsidRPr="00600ED9">
              <w:rPr>
                <w:b/>
                <w:bCs/>
                <w:w w:val="90"/>
                <w:sz w:val="20"/>
                <w:szCs w:val="20"/>
                <w:lang w:val="es-ES_tradnl"/>
              </w:rPr>
              <w:t>(i)</w:t>
            </w:r>
          </w:p>
          <w:p w:rsidR="006F4A97" w:rsidRPr="00600ED9" w:rsidRDefault="006F4A97" w:rsidP="00FB1954">
            <w:pPr>
              <w:pStyle w:val="NoSpacing"/>
              <w:jc w:val="center"/>
              <w:rPr>
                <w:b/>
                <w:bCs/>
                <w:w w:val="90"/>
                <w:sz w:val="20"/>
                <w:szCs w:val="20"/>
                <w:lang w:val="es-ES_tradnl"/>
              </w:rPr>
            </w:pPr>
            <w:r w:rsidRPr="00600ED9">
              <w:rPr>
                <w:w w:val="90"/>
                <w:sz w:val="20"/>
                <w:szCs w:val="20"/>
                <w:lang w:val="es-ES_tradnl"/>
              </w:rPr>
              <w:t>Planes y Procesos para el Desarrollo Profesional y Capacitación</w:t>
            </w:r>
          </w:p>
        </w:tc>
        <w:tc>
          <w:tcPr>
            <w:tcW w:w="2250" w:type="dxa"/>
            <w:tcBorders>
              <w:top w:val="nil"/>
              <w:left w:val="nil"/>
              <w:bottom w:val="single" w:sz="4" w:space="0" w:color="auto"/>
              <w:right w:val="single" w:sz="4" w:space="0" w:color="auto"/>
            </w:tcBorders>
            <w:shd w:val="clear" w:color="000000" w:fill="D8D8D8"/>
            <w:noWrap/>
            <w:vAlign w:val="bottom"/>
            <w:hideMark/>
          </w:tcPr>
          <w:p w:rsidR="006F4A97" w:rsidRPr="00600ED9" w:rsidRDefault="00C64426" w:rsidP="00FB1954">
            <w:pPr>
              <w:pStyle w:val="NoSpacing"/>
              <w:jc w:val="center"/>
              <w:rPr>
                <w:b/>
                <w:bCs/>
                <w:w w:val="90"/>
                <w:sz w:val="20"/>
                <w:szCs w:val="20"/>
                <w:lang w:val="es-ES_tradnl"/>
              </w:rPr>
            </w:pPr>
            <w:r w:rsidRPr="00600ED9">
              <w:rPr>
                <w:b/>
                <w:bCs/>
                <w:w w:val="90"/>
                <w:sz w:val="20"/>
                <w:szCs w:val="20"/>
                <w:lang w:val="es-ES_tradnl"/>
              </w:rPr>
              <w:t>(ii)</w:t>
            </w:r>
          </w:p>
          <w:p w:rsidR="006F4A97" w:rsidRPr="00600ED9" w:rsidRDefault="006F4A97" w:rsidP="00FB1954">
            <w:pPr>
              <w:pStyle w:val="NoSpacing"/>
              <w:jc w:val="center"/>
              <w:rPr>
                <w:b/>
                <w:bCs/>
                <w:w w:val="90"/>
                <w:sz w:val="20"/>
                <w:szCs w:val="20"/>
                <w:lang w:val="es-ES_tradnl"/>
              </w:rPr>
            </w:pPr>
            <w:r w:rsidRPr="00600ED9">
              <w:rPr>
                <w:w w:val="90"/>
                <w:sz w:val="20"/>
                <w:szCs w:val="20"/>
                <w:lang w:val="es-ES_tradnl"/>
              </w:rPr>
              <w:t>Desarrollo Profesional y Capacitación en Disciplinas de Auditoría Relevantes</w:t>
            </w:r>
          </w:p>
        </w:tc>
        <w:tc>
          <w:tcPr>
            <w:tcW w:w="175" w:type="dxa"/>
            <w:tcBorders>
              <w:top w:val="nil"/>
              <w:left w:val="nil"/>
              <w:bottom w:val="nil"/>
              <w:right w:val="nil"/>
            </w:tcBorders>
            <w:shd w:val="clear" w:color="auto" w:fill="auto"/>
            <w:noWrap/>
            <w:vAlign w:val="bottom"/>
            <w:hideMark/>
          </w:tcPr>
          <w:p w:rsidR="006F4A97" w:rsidRPr="00600ED9" w:rsidRDefault="006F4A97" w:rsidP="00FB1954">
            <w:pPr>
              <w:pStyle w:val="NoSpacing"/>
              <w:tabs>
                <w:tab w:val="center" w:pos="4680"/>
                <w:tab w:val="right" w:pos="9360"/>
              </w:tabs>
              <w:jc w:val="center"/>
              <w:rPr>
                <w:sz w:val="20"/>
                <w:szCs w:val="20"/>
                <w:lang w:val="es-ES_tradnl"/>
              </w:rPr>
            </w:pPr>
          </w:p>
        </w:tc>
        <w:tc>
          <w:tcPr>
            <w:tcW w:w="1090" w:type="dxa"/>
            <w:vMerge/>
            <w:tcBorders>
              <w:left w:val="single" w:sz="4" w:space="0" w:color="auto"/>
              <w:bottom w:val="single" w:sz="4" w:space="0" w:color="auto"/>
              <w:right w:val="single" w:sz="4" w:space="0" w:color="auto"/>
            </w:tcBorders>
            <w:vAlign w:val="center"/>
            <w:hideMark/>
          </w:tcPr>
          <w:p w:rsidR="006F4A97" w:rsidRPr="00600ED9" w:rsidRDefault="006F4A97" w:rsidP="00FB1954">
            <w:pPr>
              <w:pStyle w:val="NoSpacing"/>
              <w:tabs>
                <w:tab w:val="center" w:pos="4680"/>
                <w:tab w:val="right" w:pos="9360"/>
              </w:tabs>
              <w:jc w:val="center"/>
              <w:rPr>
                <w:b/>
                <w:bCs/>
                <w:sz w:val="20"/>
                <w:szCs w:val="20"/>
                <w:lang w:val="es-ES_tradnl"/>
              </w:rPr>
            </w:pPr>
          </w:p>
        </w:tc>
      </w:tr>
      <w:tr w:rsidR="00AA1BE8" w:rsidRPr="00600ED9" w:rsidTr="00453701">
        <w:trPr>
          <w:trHeight w:val="603"/>
        </w:trPr>
        <w:tc>
          <w:tcPr>
            <w:tcW w:w="2560" w:type="dxa"/>
            <w:tcBorders>
              <w:top w:val="nil"/>
              <w:left w:val="single" w:sz="4" w:space="0" w:color="auto"/>
              <w:bottom w:val="single" w:sz="4" w:space="0" w:color="auto"/>
              <w:right w:val="single" w:sz="4" w:space="0" w:color="auto"/>
            </w:tcBorders>
            <w:shd w:val="clear" w:color="auto" w:fill="auto"/>
            <w:vAlign w:val="center"/>
            <w:hideMark/>
          </w:tcPr>
          <w:p w:rsidR="00AA1BE8" w:rsidRPr="00600ED9" w:rsidRDefault="00AA1BE8" w:rsidP="00FB1954">
            <w:pPr>
              <w:pStyle w:val="NoSpacing"/>
              <w:jc w:val="center"/>
              <w:rPr>
                <w:b/>
                <w:bCs/>
                <w:sz w:val="20"/>
                <w:szCs w:val="20"/>
                <w:lang w:val="es-ES_tradnl"/>
              </w:rPr>
            </w:pPr>
            <w:r w:rsidRPr="00600ED9">
              <w:rPr>
                <w:rFonts w:eastAsia="Calibri" w:cs="Times New Roman"/>
                <w:b/>
                <w:sz w:val="20"/>
                <w:szCs w:val="20"/>
                <w:lang w:val="es-ES_tradnl"/>
              </w:rPr>
              <w:t>EFS 21 - Desarrollo y Capacitación Profesional</w:t>
            </w:r>
          </w:p>
        </w:tc>
        <w:tc>
          <w:tcPr>
            <w:tcW w:w="2125" w:type="dxa"/>
            <w:tcBorders>
              <w:top w:val="nil"/>
              <w:left w:val="nil"/>
              <w:bottom w:val="single" w:sz="4" w:space="0" w:color="auto"/>
              <w:right w:val="single" w:sz="4" w:space="0" w:color="auto"/>
            </w:tcBorders>
            <w:shd w:val="clear" w:color="auto" w:fill="auto"/>
            <w:noWrap/>
            <w:vAlign w:val="center"/>
          </w:tcPr>
          <w:p w:rsidR="00AA1BE8" w:rsidRPr="00600ED9" w:rsidRDefault="00AA1BE8" w:rsidP="00FB1954">
            <w:pPr>
              <w:pStyle w:val="NoSpacing"/>
              <w:jc w:val="center"/>
              <w:rPr>
                <w:b/>
                <w:bCs/>
                <w:sz w:val="20"/>
                <w:szCs w:val="20"/>
                <w:lang w:val="es-ES_tradnl"/>
              </w:rPr>
            </w:pPr>
            <w:r w:rsidRPr="00600ED9">
              <w:rPr>
                <w:b/>
                <w:bCs/>
                <w:sz w:val="20"/>
                <w:szCs w:val="20"/>
                <w:lang w:val="es-ES_tradnl"/>
              </w:rPr>
              <w:t>2</w:t>
            </w:r>
          </w:p>
        </w:tc>
        <w:tc>
          <w:tcPr>
            <w:tcW w:w="2250" w:type="dxa"/>
            <w:tcBorders>
              <w:top w:val="nil"/>
              <w:left w:val="nil"/>
              <w:bottom w:val="single" w:sz="4" w:space="0" w:color="auto"/>
              <w:right w:val="single" w:sz="4" w:space="0" w:color="auto"/>
            </w:tcBorders>
            <w:shd w:val="clear" w:color="auto" w:fill="auto"/>
            <w:noWrap/>
            <w:vAlign w:val="center"/>
          </w:tcPr>
          <w:p w:rsidR="00AA1BE8" w:rsidRPr="00600ED9" w:rsidRDefault="00AA1BE8" w:rsidP="00FB1954">
            <w:pPr>
              <w:pStyle w:val="NoSpacing"/>
              <w:jc w:val="center"/>
              <w:rPr>
                <w:b/>
                <w:bCs/>
                <w:sz w:val="20"/>
                <w:szCs w:val="20"/>
                <w:lang w:val="es-ES_tradnl"/>
              </w:rPr>
            </w:pPr>
            <w:r w:rsidRPr="00600ED9">
              <w:rPr>
                <w:b/>
                <w:bCs/>
                <w:sz w:val="20"/>
                <w:szCs w:val="20"/>
                <w:lang w:val="es-ES_tradnl"/>
              </w:rPr>
              <w:t>3</w:t>
            </w:r>
          </w:p>
        </w:tc>
        <w:tc>
          <w:tcPr>
            <w:tcW w:w="175" w:type="dxa"/>
            <w:tcBorders>
              <w:top w:val="nil"/>
              <w:left w:val="nil"/>
              <w:bottom w:val="nil"/>
              <w:right w:val="nil"/>
            </w:tcBorders>
            <w:shd w:val="clear" w:color="auto" w:fill="auto"/>
            <w:noWrap/>
            <w:vAlign w:val="bottom"/>
          </w:tcPr>
          <w:p w:rsidR="00AA1BE8" w:rsidRPr="00600ED9" w:rsidRDefault="00AA1BE8" w:rsidP="00FB1954">
            <w:pPr>
              <w:pStyle w:val="NoSpacing"/>
              <w:tabs>
                <w:tab w:val="center" w:pos="4680"/>
                <w:tab w:val="right" w:pos="9360"/>
              </w:tabs>
              <w:jc w:val="center"/>
              <w:rPr>
                <w:sz w:val="20"/>
                <w:szCs w:val="20"/>
                <w:lang w:val="es-ES_tradnl"/>
              </w:rPr>
            </w:pPr>
          </w:p>
        </w:tc>
        <w:tc>
          <w:tcPr>
            <w:tcW w:w="1090" w:type="dxa"/>
            <w:tcBorders>
              <w:top w:val="nil"/>
              <w:left w:val="single" w:sz="4" w:space="0" w:color="auto"/>
              <w:bottom w:val="single" w:sz="4" w:space="0" w:color="auto"/>
              <w:right w:val="single" w:sz="4" w:space="0" w:color="auto"/>
            </w:tcBorders>
            <w:shd w:val="clear" w:color="auto" w:fill="auto"/>
            <w:noWrap/>
            <w:vAlign w:val="center"/>
          </w:tcPr>
          <w:p w:rsidR="00AA1BE8" w:rsidRPr="00600ED9" w:rsidRDefault="00AA1BE8" w:rsidP="00FB1954">
            <w:pPr>
              <w:pStyle w:val="NoSpacing"/>
              <w:jc w:val="center"/>
              <w:rPr>
                <w:b/>
                <w:sz w:val="20"/>
                <w:szCs w:val="20"/>
                <w:lang w:val="es-ES_tradnl"/>
              </w:rPr>
            </w:pPr>
            <w:r w:rsidRPr="00600ED9">
              <w:rPr>
                <w:b/>
                <w:sz w:val="20"/>
                <w:szCs w:val="20"/>
                <w:lang w:val="es-ES_tradnl"/>
              </w:rPr>
              <w:t>2</w:t>
            </w:r>
          </w:p>
        </w:tc>
      </w:tr>
    </w:tbl>
    <w:p w:rsidR="00C64426" w:rsidRPr="00600ED9" w:rsidRDefault="00C64426" w:rsidP="00FB1954">
      <w:pPr>
        <w:pStyle w:val="NoSpacing"/>
        <w:ind w:left="720"/>
        <w:jc w:val="both"/>
        <w:rPr>
          <w:sz w:val="18"/>
          <w:lang w:val="es-ES_tradnl"/>
        </w:rPr>
      </w:pPr>
    </w:p>
    <w:p w:rsidR="003B04AB" w:rsidRPr="00600ED9" w:rsidRDefault="00AA1BE8" w:rsidP="00FB1954">
      <w:pPr>
        <w:pStyle w:val="NoSpacing"/>
        <w:ind w:left="720"/>
        <w:jc w:val="both"/>
        <w:rPr>
          <w:lang w:val="es-ES_tradnl"/>
        </w:rPr>
      </w:pPr>
      <w:r w:rsidRPr="00600ED9">
        <w:rPr>
          <w:lang w:val="es-ES_tradnl"/>
        </w:rPr>
        <w:t xml:space="preserve">Aunque la </w:t>
      </w:r>
      <w:r w:rsidR="00431CA4" w:rsidRPr="00600ED9">
        <w:rPr>
          <w:lang w:val="es-ES_tradnl"/>
        </w:rPr>
        <w:t>CGRC</w:t>
      </w:r>
      <w:r w:rsidRPr="00600ED9">
        <w:rPr>
          <w:lang w:val="es-ES_tradnl"/>
        </w:rPr>
        <w:t xml:space="preserve"> dispone de planes de capacitación, estos no están respaldados formalmente en los resultados de la evaluación del desempeño. De igual forma, no se han implementado programas de desarrollo profesional apropiados para cada perfil, que favorezcan la promoción del personal y contribuyan a un mejor clima </w:t>
      </w:r>
      <w:r w:rsidR="0019215E" w:rsidRPr="00600ED9">
        <w:rPr>
          <w:lang w:val="es-ES_tradnl"/>
        </w:rPr>
        <w:t>organizacional</w:t>
      </w:r>
      <w:r w:rsidR="0019215E" w:rsidRPr="00600ED9" w:rsidDel="00AA1BE8">
        <w:rPr>
          <w:lang w:val="es-ES_tradnl"/>
        </w:rPr>
        <w:t>.</w:t>
      </w:r>
    </w:p>
    <w:p w:rsidR="00607ACE" w:rsidRPr="00600ED9" w:rsidRDefault="00607ACE" w:rsidP="00FB1954">
      <w:pPr>
        <w:pStyle w:val="NoSpacing"/>
        <w:ind w:left="720"/>
        <w:jc w:val="both"/>
        <w:rPr>
          <w:sz w:val="16"/>
          <w:lang w:val="es-ES_tradnl"/>
        </w:rPr>
      </w:pPr>
    </w:p>
    <w:tbl>
      <w:tblPr>
        <w:tblStyle w:val="TableGrid"/>
        <w:tblW w:w="9356" w:type="dxa"/>
        <w:tblInd w:w="817" w:type="dxa"/>
        <w:tblLook w:val="04A0" w:firstRow="1" w:lastRow="0" w:firstColumn="1" w:lastColumn="0" w:noHBand="0" w:noVBand="1"/>
      </w:tblPr>
      <w:tblGrid>
        <w:gridCol w:w="9356"/>
      </w:tblGrid>
      <w:tr w:rsidR="000666C8" w:rsidRPr="00600ED9" w:rsidTr="005C201F">
        <w:trPr>
          <w:tblHeader/>
        </w:trPr>
        <w:tc>
          <w:tcPr>
            <w:tcW w:w="9356" w:type="dxa"/>
            <w:shd w:val="clear" w:color="auto" w:fill="365F91" w:themeFill="accent1" w:themeFillShade="BF"/>
          </w:tcPr>
          <w:p w:rsidR="000666C8" w:rsidRPr="00600ED9" w:rsidRDefault="00181522" w:rsidP="00FB1954">
            <w:pPr>
              <w:pStyle w:val="NoSpacing"/>
              <w:rPr>
                <w:b/>
                <w:color w:val="FFFFFF" w:themeColor="background1"/>
                <w:sz w:val="20"/>
                <w:lang w:val="es-ES_tradnl"/>
              </w:rPr>
            </w:pPr>
            <w:r w:rsidRPr="00600ED9">
              <w:rPr>
                <w:lang w:val="es-ES_tradnl"/>
              </w:rPr>
              <w:br w:type="page"/>
            </w:r>
            <w:r w:rsidR="000666C8" w:rsidRPr="00600ED9">
              <w:rPr>
                <w:b/>
                <w:color w:val="FFFFFF" w:themeColor="background1"/>
                <w:sz w:val="20"/>
                <w:lang w:val="es-ES_tradnl"/>
              </w:rPr>
              <w:t>Principales observaciones y conclusiones</w:t>
            </w:r>
          </w:p>
        </w:tc>
      </w:tr>
      <w:tr w:rsidR="000666C8" w:rsidRPr="00600ED9" w:rsidTr="005C201F">
        <w:tc>
          <w:tcPr>
            <w:tcW w:w="9356" w:type="dxa"/>
            <w:shd w:val="clear" w:color="auto" w:fill="D9D9D9" w:themeFill="background1" w:themeFillShade="D9"/>
          </w:tcPr>
          <w:p w:rsidR="000666C8" w:rsidRPr="00600ED9" w:rsidRDefault="000666C8" w:rsidP="00FB1954">
            <w:pPr>
              <w:pStyle w:val="NoSpacing"/>
              <w:rPr>
                <w:b/>
                <w:i/>
                <w:sz w:val="20"/>
                <w:lang w:val="es-ES_tradnl"/>
              </w:rPr>
            </w:pPr>
            <w:r w:rsidRPr="00600ED9">
              <w:rPr>
                <w:b/>
                <w:i/>
                <w:sz w:val="20"/>
                <w:lang w:val="es-ES_tradnl"/>
              </w:rPr>
              <w:t>Dimensión (i) Planes y procesos para el desarrollo y capacitación profesional</w:t>
            </w:r>
          </w:p>
        </w:tc>
      </w:tr>
      <w:tr w:rsidR="000666C8" w:rsidRPr="00600ED9" w:rsidTr="005C201F">
        <w:tc>
          <w:tcPr>
            <w:tcW w:w="9356" w:type="dxa"/>
            <w:shd w:val="clear" w:color="auto" w:fill="D9D9D9" w:themeFill="background1" w:themeFillShade="D9"/>
          </w:tcPr>
          <w:p w:rsidR="000666C8" w:rsidRPr="00600ED9" w:rsidRDefault="000666C8" w:rsidP="00FB1954">
            <w:pPr>
              <w:pStyle w:val="NoSpacing"/>
              <w:rPr>
                <w:i/>
                <w:sz w:val="20"/>
                <w:szCs w:val="20"/>
                <w:lang w:val="es-ES_tradnl"/>
              </w:rPr>
            </w:pPr>
            <w:r w:rsidRPr="00600ED9">
              <w:rPr>
                <w:rFonts w:cs="Calibri"/>
                <w:b/>
                <w:bCs/>
                <w:i/>
                <w:color w:val="000000"/>
                <w:sz w:val="20"/>
                <w:szCs w:val="20"/>
                <w:lang w:val="es-ES_tradnl"/>
              </w:rPr>
              <w:t>Puntuación 2</w:t>
            </w:r>
            <w:r w:rsidRPr="00600ED9">
              <w:rPr>
                <w:rFonts w:cs="Calibri"/>
                <w:bCs/>
                <w:i/>
                <w:color w:val="000000"/>
                <w:sz w:val="20"/>
                <w:szCs w:val="20"/>
                <w:lang w:val="es-ES_tradnl"/>
              </w:rPr>
              <w:t>: Se cumplen por lo menos dos de los criterios mencionados.</w:t>
            </w:r>
          </w:p>
        </w:tc>
      </w:tr>
      <w:tr w:rsidR="000666C8" w:rsidRPr="00600ED9" w:rsidTr="005C201F">
        <w:tc>
          <w:tcPr>
            <w:tcW w:w="9356" w:type="dxa"/>
          </w:tcPr>
          <w:p w:rsidR="000666C8" w:rsidRPr="00600ED9" w:rsidRDefault="000666C8" w:rsidP="00FB1954">
            <w:pPr>
              <w:pStyle w:val="NoSpacing"/>
              <w:jc w:val="both"/>
              <w:rPr>
                <w:sz w:val="20"/>
                <w:szCs w:val="20"/>
                <w:lang w:val="es-ES_tradnl"/>
              </w:rPr>
            </w:pPr>
            <w:r w:rsidRPr="00600ED9">
              <w:rPr>
                <w:sz w:val="20"/>
                <w:szCs w:val="20"/>
                <w:lang w:val="es-ES_tradnl"/>
              </w:rPr>
              <w:t xml:space="preserve">Criterios (c) y (e) se cumplen.  Criterios (a), (b) y (d) no cumplen. </w:t>
            </w:r>
          </w:p>
          <w:p w:rsidR="000666C8" w:rsidRPr="00600ED9" w:rsidRDefault="000666C8" w:rsidP="00FB1954">
            <w:pPr>
              <w:pStyle w:val="NoSpacing"/>
              <w:jc w:val="both"/>
              <w:rPr>
                <w:sz w:val="18"/>
                <w:szCs w:val="20"/>
                <w:lang w:val="es-ES_tradnl"/>
              </w:rPr>
            </w:pPr>
          </w:p>
          <w:p w:rsidR="000666C8" w:rsidRPr="00600ED9" w:rsidRDefault="000666C8" w:rsidP="00FB1954">
            <w:pPr>
              <w:pStyle w:val="NoSpacing"/>
              <w:jc w:val="both"/>
              <w:rPr>
                <w:rFonts w:cstheme="minorHAnsi"/>
                <w:sz w:val="20"/>
                <w:szCs w:val="20"/>
                <w:lang w:val="es-ES_tradnl"/>
              </w:rPr>
            </w:pPr>
            <w:r w:rsidRPr="00600ED9">
              <w:rPr>
                <w:rFonts w:cstheme="minorHAnsi"/>
                <w:sz w:val="20"/>
                <w:szCs w:val="20"/>
                <w:lang w:val="es-ES_tradnl"/>
              </w:rPr>
              <w:t>La Contraloría dispone de un  conjunto de instrumentos para la capacitación de su personal</w:t>
            </w:r>
            <w:r w:rsidRPr="00600ED9">
              <w:rPr>
                <w:rStyle w:val="FootnoteReference"/>
                <w:rFonts w:cstheme="minorHAnsi"/>
                <w:sz w:val="20"/>
                <w:szCs w:val="20"/>
                <w:lang w:val="es-ES_tradnl"/>
              </w:rPr>
              <w:footnoteReference w:id="67"/>
            </w:r>
            <w:r w:rsidRPr="00600ED9">
              <w:rPr>
                <w:rFonts w:cstheme="minorHAnsi"/>
                <w:sz w:val="20"/>
                <w:szCs w:val="20"/>
                <w:lang w:val="es-ES_tradnl"/>
              </w:rPr>
              <w:t xml:space="preserve">. La “Oficina de Capacitación, Producción de Tecnología y Cooperación Técnica Internacional”, es la dependencia encargada de gestionar, administrar, proyectar y desarrollar las políticas de capacitación en las áreas misionales y de gestión. </w:t>
            </w:r>
          </w:p>
          <w:p w:rsidR="000666C8" w:rsidRPr="00600ED9" w:rsidRDefault="000666C8" w:rsidP="00607ACE">
            <w:pPr>
              <w:pStyle w:val="NoSpacing"/>
              <w:jc w:val="both"/>
              <w:rPr>
                <w:rFonts w:cstheme="minorHAnsi"/>
                <w:sz w:val="18"/>
                <w:szCs w:val="20"/>
                <w:lang w:val="es-ES_tradnl"/>
              </w:rPr>
            </w:pPr>
          </w:p>
          <w:p w:rsidR="000666C8" w:rsidRPr="00600ED9" w:rsidRDefault="000666C8" w:rsidP="00FB1954">
            <w:pPr>
              <w:pStyle w:val="NoSpacing"/>
              <w:jc w:val="both"/>
              <w:rPr>
                <w:rFonts w:cstheme="minorHAnsi"/>
                <w:sz w:val="20"/>
                <w:szCs w:val="20"/>
                <w:lang w:val="es-ES_tradnl"/>
              </w:rPr>
            </w:pPr>
            <w:r w:rsidRPr="00600ED9">
              <w:rPr>
                <w:rFonts w:cstheme="minorHAnsi"/>
                <w:sz w:val="20"/>
                <w:szCs w:val="20"/>
                <w:lang w:val="es-ES_tradnl"/>
              </w:rPr>
              <w:t xml:space="preserve">La Oficina de Capacitación, prepara Programas Anuales de Capacitación (PAC) vinculados al </w:t>
            </w:r>
            <w:r w:rsidR="005120A2" w:rsidRPr="00600ED9">
              <w:rPr>
                <w:rFonts w:cstheme="minorHAnsi"/>
                <w:sz w:val="20"/>
                <w:szCs w:val="20"/>
                <w:lang w:val="es-ES_tradnl"/>
              </w:rPr>
              <w:t>PEI</w:t>
            </w:r>
            <w:r w:rsidRPr="00600ED9">
              <w:rPr>
                <w:rFonts w:cstheme="minorHAnsi"/>
                <w:sz w:val="20"/>
                <w:szCs w:val="20"/>
                <w:lang w:val="es-ES_tradnl"/>
              </w:rPr>
              <w:t xml:space="preserve">. Los PAA y las necesidades de capacitación identificadas por los directores de cada dependencia y el PAC </w:t>
            </w:r>
            <w:r w:rsidRPr="00600ED9">
              <w:rPr>
                <w:sz w:val="20"/>
                <w:szCs w:val="20"/>
                <w:lang w:val="es-ES_tradnl"/>
              </w:rPr>
              <w:t>están alineados con la política de gestión del talento humano. Las necesidades de capacitación, una vez validadas, son priorizadas con base en las estrategias señaladas por la administración.</w:t>
            </w:r>
          </w:p>
          <w:p w:rsidR="00713D64" w:rsidRPr="00600ED9" w:rsidRDefault="000666C8" w:rsidP="00FB1954">
            <w:pPr>
              <w:pStyle w:val="NoSpacing"/>
              <w:jc w:val="both"/>
              <w:rPr>
                <w:rFonts w:cstheme="minorHAnsi"/>
                <w:sz w:val="20"/>
                <w:szCs w:val="20"/>
                <w:lang w:val="es-ES_tradnl"/>
              </w:rPr>
            </w:pPr>
            <w:r w:rsidRPr="00600ED9">
              <w:rPr>
                <w:rFonts w:cstheme="minorHAnsi"/>
                <w:sz w:val="20"/>
                <w:szCs w:val="20"/>
                <w:lang w:val="es-ES_tradnl"/>
              </w:rPr>
              <w:lastRenderedPageBreak/>
              <w:t xml:space="preserve">El Estatuto de Capacitación establece el Sistema Nacional de Capacitación de la CGRC. La forma de selección de los funcionarios que aspiren a los programas de capacitación o apoyo está determinada en el Estatuto de Capacitación, </w:t>
            </w:r>
            <w:r w:rsidR="00713D64" w:rsidRPr="00600ED9">
              <w:rPr>
                <w:rFonts w:cstheme="minorHAnsi"/>
                <w:sz w:val="20"/>
                <w:szCs w:val="20"/>
                <w:lang w:val="es-ES_tradnl"/>
              </w:rPr>
              <w:t xml:space="preserve">y entre los criterios se consideran los resultados de la evaluación del desempeño, aunque no como un proceso sistémico. </w:t>
            </w:r>
          </w:p>
          <w:p w:rsidR="000666C8" w:rsidRPr="00600ED9" w:rsidRDefault="000666C8" w:rsidP="00FB1954">
            <w:pPr>
              <w:pStyle w:val="NoSpacing"/>
              <w:jc w:val="both"/>
              <w:rPr>
                <w:rFonts w:cstheme="minorHAnsi"/>
                <w:sz w:val="20"/>
                <w:szCs w:val="20"/>
                <w:lang w:val="es-ES_tradnl"/>
              </w:rPr>
            </w:pPr>
          </w:p>
          <w:p w:rsidR="00713D64" w:rsidRPr="00600ED9" w:rsidRDefault="00713D64" w:rsidP="00FB1954">
            <w:pPr>
              <w:pStyle w:val="NoSpacing"/>
              <w:jc w:val="both"/>
              <w:rPr>
                <w:rFonts w:cstheme="minorHAnsi"/>
                <w:sz w:val="20"/>
                <w:szCs w:val="20"/>
                <w:lang w:val="es-ES_tradnl"/>
              </w:rPr>
            </w:pPr>
            <w:r w:rsidRPr="00600ED9">
              <w:rPr>
                <w:rFonts w:cstheme="minorHAnsi"/>
                <w:sz w:val="20"/>
                <w:szCs w:val="20"/>
                <w:lang w:val="es-ES_tradnl"/>
              </w:rPr>
              <w:t xml:space="preserve">La evaluación de los programas, actividades académicas y eventos de capacitación es una acción permanente de la Oficina de Capacitación. Se realiza en términos del proceso, los resultados y el impacto para determinar su efectividad. Los resultados de esta acción, permiten conocer y retroalimentar los programas de capacitación y constituyen un insumo para la planeación futuros programas. </w:t>
            </w:r>
          </w:p>
          <w:p w:rsidR="00713D64" w:rsidRPr="00600ED9" w:rsidRDefault="00713D64" w:rsidP="00FB1954">
            <w:pPr>
              <w:pStyle w:val="NoSpacing"/>
              <w:jc w:val="both"/>
              <w:rPr>
                <w:sz w:val="20"/>
                <w:szCs w:val="20"/>
                <w:lang w:val="es-ES_tradnl"/>
              </w:rPr>
            </w:pPr>
          </w:p>
          <w:p w:rsidR="000666C8" w:rsidRPr="00600ED9" w:rsidRDefault="00713D64" w:rsidP="00FB1954">
            <w:pPr>
              <w:pStyle w:val="NoSpacing"/>
              <w:jc w:val="both"/>
              <w:rPr>
                <w:rFonts w:cstheme="minorHAnsi"/>
                <w:sz w:val="20"/>
                <w:szCs w:val="20"/>
                <w:lang w:val="es-ES_tradnl"/>
              </w:rPr>
            </w:pPr>
            <w:r w:rsidRPr="00600ED9">
              <w:rPr>
                <w:rFonts w:cstheme="minorHAnsi"/>
                <w:sz w:val="20"/>
                <w:szCs w:val="20"/>
                <w:lang w:val="es-ES_tradnl"/>
              </w:rPr>
              <w:t>Sin embargo ninguno de estos instrumentos se sustenta en un Plan o Programa de desarrollo profesional estructurado y articulado con los Planes de Capacitación y los resultados de las Evaluaciones del Desempeño.</w:t>
            </w:r>
          </w:p>
          <w:p w:rsidR="00E964FE" w:rsidRPr="00600ED9" w:rsidRDefault="00E964FE" w:rsidP="00FB1954">
            <w:pPr>
              <w:pStyle w:val="NoSpacing"/>
              <w:jc w:val="both"/>
              <w:rPr>
                <w:lang w:val="es-ES_tradnl"/>
              </w:rPr>
            </w:pPr>
          </w:p>
        </w:tc>
      </w:tr>
      <w:tr w:rsidR="000666C8" w:rsidRPr="00600ED9" w:rsidTr="005C201F">
        <w:tc>
          <w:tcPr>
            <w:tcW w:w="9356" w:type="dxa"/>
            <w:shd w:val="clear" w:color="auto" w:fill="D9D9D9" w:themeFill="background1" w:themeFillShade="D9"/>
          </w:tcPr>
          <w:p w:rsidR="000666C8" w:rsidRPr="00600ED9" w:rsidRDefault="000666C8" w:rsidP="00FB1954">
            <w:pPr>
              <w:pStyle w:val="NoSpacing"/>
              <w:rPr>
                <w:b/>
                <w:i/>
                <w:sz w:val="20"/>
                <w:lang w:val="es-ES_tradnl"/>
              </w:rPr>
            </w:pPr>
            <w:r w:rsidRPr="00600ED9">
              <w:rPr>
                <w:b/>
                <w:i/>
                <w:sz w:val="20"/>
                <w:lang w:val="es-ES_tradnl"/>
              </w:rPr>
              <w:lastRenderedPageBreak/>
              <w:t>Dimensión (ii) Desarrollo y capacitación profesional en disciplinas de auditoría relevantes</w:t>
            </w:r>
          </w:p>
        </w:tc>
      </w:tr>
      <w:tr w:rsidR="000666C8" w:rsidRPr="00600ED9" w:rsidTr="00E964FE">
        <w:tc>
          <w:tcPr>
            <w:tcW w:w="9356" w:type="dxa"/>
            <w:shd w:val="clear" w:color="auto" w:fill="D9D9D9" w:themeFill="background1" w:themeFillShade="D9"/>
          </w:tcPr>
          <w:p w:rsidR="000666C8" w:rsidRPr="00600ED9" w:rsidRDefault="000666C8" w:rsidP="00FB1954">
            <w:pPr>
              <w:pStyle w:val="NoSpacing"/>
              <w:rPr>
                <w:i/>
                <w:sz w:val="20"/>
                <w:szCs w:val="20"/>
                <w:lang w:val="es-ES_tradnl"/>
              </w:rPr>
            </w:pPr>
            <w:r w:rsidRPr="00600ED9">
              <w:rPr>
                <w:rFonts w:cs="Calibri"/>
                <w:b/>
                <w:bCs/>
                <w:i/>
                <w:color w:val="000000"/>
                <w:sz w:val="20"/>
                <w:szCs w:val="20"/>
                <w:lang w:val="es-ES_tradnl"/>
              </w:rPr>
              <w:t xml:space="preserve">Puntuación 3: </w:t>
            </w:r>
            <w:r w:rsidRPr="00600ED9">
              <w:rPr>
                <w:rFonts w:cs="Calibri"/>
                <w:bCs/>
                <w:i/>
                <w:color w:val="000000"/>
                <w:sz w:val="20"/>
                <w:szCs w:val="20"/>
                <w:lang w:val="es-ES_tradnl"/>
              </w:rPr>
              <w:t>Al menos tres de los criterios señalados se cumplen.</w:t>
            </w:r>
          </w:p>
        </w:tc>
      </w:tr>
      <w:tr w:rsidR="000666C8" w:rsidRPr="00600ED9" w:rsidTr="005C201F">
        <w:tc>
          <w:tcPr>
            <w:tcW w:w="9356" w:type="dxa"/>
          </w:tcPr>
          <w:p w:rsidR="000666C8" w:rsidRPr="00600ED9" w:rsidRDefault="000666C8" w:rsidP="00FB1954">
            <w:pPr>
              <w:pStyle w:val="NoSpacing"/>
              <w:jc w:val="both"/>
              <w:rPr>
                <w:sz w:val="20"/>
                <w:szCs w:val="20"/>
                <w:lang w:val="es-ES_tradnl"/>
              </w:rPr>
            </w:pPr>
            <w:r w:rsidRPr="00600ED9">
              <w:rPr>
                <w:sz w:val="20"/>
                <w:szCs w:val="20"/>
                <w:lang w:val="es-ES_tradnl"/>
              </w:rPr>
              <w:t xml:space="preserve">Criterios (a), (b) y (c) se cumplen.  Criterio (d) no se cumple. </w:t>
            </w:r>
          </w:p>
          <w:p w:rsidR="000666C8" w:rsidRPr="00600ED9" w:rsidRDefault="000666C8" w:rsidP="00FB1954">
            <w:pPr>
              <w:pStyle w:val="NoSpacing"/>
              <w:jc w:val="both"/>
              <w:rPr>
                <w:sz w:val="20"/>
                <w:szCs w:val="20"/>
                <w:lang w:val="es-ES_tradnl"/>
              </w:rPr>
            </w:pPr>
          </w:p>
          <w:p w:rsidR="000666C8" w:rsidRPr="00600ED9" w:rsidRDefault="000666C8" w:rsidP="00FB1954">
            <w:pPr>
              <w:pStyle w:val="NoSpacing"/>
              <w:jc w:val="both"/>
              <w:rPr>
                <w:color w:val="000000"/>
                <w:sz w:val="20"/>
                <w:szCs w:val="20"/>
                <w:lang w:val="es-ES_tradnl"/>
              </w:rPr>
            </w:pPr>
            <w:r w:rsidRPr="00600ED9">
              <w:rPr>
                <w:rFonts w:cs="Verdana"/>
                <w:color w:val="000000"/>
                <w:sz w:val="20"/>
                <w:szCs w:val="20"/>
                <w:lang w:val="es-ES_tradnl"/>
              </w:rPr>
              <w:t>El Manual de Funciones y de Competencias Laborales de los Empleos Públicos de la planta global de la CGRC,</w:t>
            </w:r>
            <w:r w:rsidRPr="00600ED9">
              <w:rPr>
                <w:sz w:val="20"/>
                <w:szCs w:val="20"/>
                <w:lang w:val="es-ES_tradnl"/>
              </w:rPr>
              <w:t xml:space="preserve"> </w:t>
            </w:r>
            <w:r w:rsidRPr="00600ED9">
              <w:rPr>
                <w:color w:val="000000"/>
                <w:sz w:val="20"/>
                <w:szCs w:val="20"/>
                <w:lang w:val="es-ES_tradnl"/>
              </w:rPr>
              <w:t xml:space="preserve">detalla la funciones y requisitos para cada uno de los puestos, teniendo en cuenta la naturaleza de las dependencias, los procesos y los procedimientos que deben ejecutarse para el cumplimiento eficiente, eficaz y efectivo de la misión, y los objetivos de la Contraloría. </w:t>
            </w:r>
          </w:p>
          <w:p w:rsidR="000666C8" w:rsidRPr="00600ED9" w:rsidRDefault="000666C8" w:rsidP="00FB1954">
            <w:pPr>
              <w:pStyle w:val="NoSpacing"/>
              <w:jc w:val="both"/>
              <w:rPr>
                <w:color w:val="000000"/>
                <w:sz w:val="20"/>
                <w:szCs w:val="20"/>
                <w:lang w:val="es-ES_tradnl"/>
              </w:rPr>
            </w:pPr>
          </w:p>
          <w:p w:rsidR="000666C8" w:rsidRPr="00600ED9" w:rsidRDefault="000666C8" w:rsidP="00FB1954">
            <w:pPr>
              <w:pStyle w:val="NoSpacing"/>
              <w:jc w:val="both"/>
              <w:rPr>
                <w:color w:val="000000"/>
                <w:sz w:val="20"/>
                <w:szCs w:val="20"/>
                <w:lang w:val="es-ES_tradnl"/>
              </w:rPr>
            </w:pPr>
            <w:r w:rsidRPr="00600ED9">
              <w:rPr>
                <w:rFonts w:cs="Verdana"/>
                <w:color w:val="000000"/>
                <w:sz w:val="20"/>
                <w:szCs w:val="20"/>
                <w:lang w:val="es-ES_tradnl"/>
              </w:rPr>
              <w:t>La Gerencia de Talento Humano es la dependencia responsable de liderar el ajuste o actualización del Manual de Funciones y Competencias Laborales de la CGRC</w:t>
            </w:r>
            <w:r w:rsidRPr="00600ED9">
              <w:rPr>
                <w:rStyle w:val="FootnoteReference"/>
                <w:rFonts w:cs="Verdana"/>
                <w:color w:val="000000"/>
                <w:sz w:val="20"/>
                <w:szCs w:val="20"/>
                <w:lang w:val="es-ES_tradnl"/>
              </w:rPr>
              <w:footnoteReference w:id="68"/>
            </w:r>
            <w:r w:rsidRPr="00600ED9">
              <w:rPr>
                <w:rFonts w:cs="Verdana"/>
                <w:color w:val="000000"/>
                <w:sz w:val="20"/>
                <w:szCs w:val="20"/>
                <w:lang w:val="es-ES_tradnl"/>
              </w:rPr>
              <w:t xml:space="preserve">. </w:t>
            </w:r>
          </w:p>
          <w:p w:rsidR="000666C8" w:rsidRPr="00600ED9" w:rsidRDefault="000666C8" w:rsidP="00FB1954">
            <w:pPr>
              <w:pStyle w:val="NoSpacing"/>
              <w:jc w:val="both"/>
              <w:rPr>
                <w:rFonts w:cs="Verdana"/>
                <w:color w:val="000000"/>
                <w:sz w:val="20"/>
                <w:szCs w:val="20"/>
                <w:lang w:val="es-ES_tradnl"/>
              </w:rPr>
            </w:pPr>
          </w:p>
          <w:p w:rsidR="000666C8" w:rsidRPr="00600ED9" w:rsidRDefault="000666C8" w:rsidP="00FB1954">
            <w:pPr>
              <w:pStyle w:val="NoSpacing"/>
              <w:jc w:val="both"/>
              <w:rPr>
                <w:rFonts w:cs="Verdana"/>
                <w:color w:val="000000"/>
                <w:sz w:val="20"/>
                <w:szCs w:val="20"/>
                <w:lang w:val="es-ES_tradnl"/>
              </w:rPr>
            </w:pPr>
            <w:r w:rsidRPr="00600ED9">
              <w:rPr>
                <w:rFonts w:cs="Verdana"/>
                <w:color w:val="000000"/>
                <w:sz w:val="20"/>
                <w:szCs w:val="20"/>
                <w:lang w:val="es-ES_tradnl"/>
              </w:rPr>
              <w:t xml:space="preserve">Las competencias generales, institucionales y de comportamiento requeridas para los distintos Niveles Jerárquicos de la CGRC (de acuerdo a su mandato: Directivo, Asesor, Ejecutivo, Profesional, Técnico y Asistencial), </w:t>
            </w:r>
            <w:r w:rsidR="00713D64" w:rsidRPr="00600ED9">
              <w:rPr>
                <w:rFonts w:cs="Verdana"/>
                <w:color w:val="000000"/>
                <w:sz w:val="20"/>
                <w:szCs w:val="20"/>
                <w:lang w:val="es-ES_tradnl"/>
              </w:rPr>
              <w:t xml:space="preserve">entre las cuales se encuentran las disciplinas de auditoría relevantes, </w:t>
            </w:r>
            <w:r w:rsidRPr="00600ED9">
              <w:rPr>
                <w:rFonts w:cs="Verdana"/>
                <w:color w:val="000000"/>
                <w:sz w:val="20"/>
                <w:szCs w:val="20"/>
                <w:lang w:val="es-ES_tradnl"/>
              </w:rPr>
              <w:t xml:space="preserve">están formalizados en la Resolución Reglamentaria 0067 de 2008. </w:t>
            </w:r>
          </w:p>
          <w:p w:rsidR="00181522" w:rsidRPr="00600ED9" w:rsidRDefault="00181522" w:rsidP="00FB1954">
            <w:pPr>
              <w:pStyle w:val="NoSpacing"/>
              <w:jc w:val="both"/>
              <w:rPr>
                <w:rFonts w:cs="Verdana"/>
                <w:color w:val="000000"/>
                <w:sz w:val="20"/>
                <w:szCs w:val="20"/>
                <w:lang w:val="es-ES_tradnl"/>
              </w:rPr>
            </w:pPr>
          </w:p>
          <w:p w:rsidR="000666C8" w:rsidRPr="00600ED9" w:rsidRDefault="00713D64" w:rsidP="00FB1954">
            <w:pPr>
              <w:pStyle w:val="Normaltabletext"/>
              <w:spacing w:after="0"/>
              <w:rPr>
                <w:lang w:val="es-ES_tradnl"/>
              </w:rPr>
            </w:pPr>
            <w:r w:rsidRPr="00600ED9">
              <w:rPr>
                <w:rFonts w:cstheme="minorHAnsi"/>
                <w:lang w:val="es-ES_tradnl"/>
              </w:rPr>
              <w:t>L</w:t>
            </w:r>
            <w:r w:rsidR="000666C8" w:rsidRPr="00600ED9">
              <w:rPr>
                <w:rFonts w:cstheme="minorHAnsi"/>
                <w:lang w:val="es-ES_tradnl"/>
              </w:rPr>
              <w:t>a Contraloría no ha desarrollado e implementado un Plan o Programa de desarrollo profesional para cada cargo, a partir de  los resultados de las Evaluaciones del Desempeño, entre otros</w:t>
            </w:r>
            <w:r w:rsidR="000666C8" w:rsidRPr="00600ED9">
              <w:rPr>
                <w:lang w:val="es-ES_tradnl"/>
              </w:rPr>
              <w:t>.</w:t>
            </w:r>
          </w:p>
          <w:p w:rsidR="00B02C0F" w:rsidRPr="00600ED9" w:rsidRDefault="00B02C0F" w:rsidP="00FB1954">
            <w:pPr>
              <w:pStyle w:val="Normaltabletext"/>
              <w:spacing w:after="0"/>
              <w:rPr>
                <w:lang w:val="es-ES_tradnl"/>
              </w:rPr>
            </w:pPr>
          </w:p>
        </w:tc>
      </w:tr>
    </w:tbl>
    <w:p w:rsidR="003B04AB" w:rsidRPr="00600ED9" w:rsidRDefault="003B04AB" w:rsidP="00FB1954">
      <w:pPr>
        <w:pStyle w:val="NoSpacing"/>
        <w:ind w:left="720"/>
        <w:rPr>
          <w:lang w:val="es-ES_tradnl"/>
        </w:rPr>
      </w:pPr>
    </w:p>
    <w:p w:rsidR="00AC17CB" w:rsidRPr="00600ED9" w:rsidRDefault="00B02C0F" w:rsidP="00FB1954">
      <w:pPr>
        <w:pStyle w:val="NoSpacing"/>
        <w:ind w:left="720"/>
        <w:rPr>
          <w:lang w:val="es-ES_tradnl"/>
        </w:rPr>
      </w:pPr>
      <w:r w:rsidRPr="00600ED9">
        <w:rPr>
          <w:b/>
          <w:bCs/>
          <w:smallCaps/>
          <w:lang w:val="es-ES_tradnl"/>
        </w:rPr>
        <w:t>Recomendación</w:t>
      </w:r>
      <w:r w:rsidR="003B04AB" w:rsidRPr="00600ED9">
        <w:rPr>
          <w:b/>
          <w:bCs/>
          <w:smallCaps/>
          <w:lang w:val="es-ES_tradnl"/>
        </w:rPr>
        <w:t>:</w:t>
      </w:r>
      <w:r w:rsidRPr="00600ED9">
        <w:rPr>
          <w:b/>
          <w:bCs/>
          <w:smallCaps/>
          <w:lang w:val="es-ES_tradnl"/>
        </w:rPr>
        <w:t xml:space="preserve"> </w:t>
      </w:r>
      <w:r w:rsidR="005120A2" w:rsidRPr="00600ED9">
        <w:rPr>
          <w:lang w:val="es-ES_tradnl"/>
        </w:rPr>
        <w:t>Consultar el</w:t>
      </w:r>
      <w:r w:rsidR="00CA3E61" w:rsidRPr="00600ED9">
        <w:rPr>
          <w:lang w:val="es-ES_tradnl"/>
        </w:rPr>
        <w:t xml:space="preserve"> Anexo </w:t>
      </w:r>
      <w:r w:rsidR="00850557" w:rsidRPr="00600ED9">
        <w:rPr>
          <w:lang w:val="es-ES_tradnl"/>
        </w:rPr>
        <w:t>A</w:t>
      </w:r>
      <w:r w:rsidR="00CA3E61" w:rsidRPr="00600ED9">
        <w:rPr>
          <w:lang w:val="es-ES_tradnl"/>
        </w:rPr>
        <w:t xml:space="preserve">: Plan de Acción, </w:t>
      </w:r>
      <w:r w:rsidR="00850557" w:rsidRPr="00600ED9">
        <w:rPr>
          <w:lang w:val="es-ES_tradnl"/>
        </w:rPr>
        <w:t xml:space="preserve">recomendación </w:t>
      </w:r>
      <w:r w:rsidR="00C153F7" w:rsidRPr="00600ED9">
        <w:rPr>
          <w:lang w:val="es-ES_tradnl"/>
        </w:rPr>
        <w:t>No. 25</w:t>
      </w:r>
      <w:r w:rsidR="00CA3E61" w:rsidRPr="00600ED9">
        <w:rPr>
          <w:lang w:val="es-ES_tradnl"/>
        </w:rPr>
        <w:t>.</w:t>
      </w:r>
    </w:p>
    <w:p w:rsidR="00AC17CB" w:rsidRPr="00600ED9" w:rsidRDefault="00AC17CB" w:rsidP="00FB1954">
      <w:pPr>
        <w:pStyle w:val="NoSpacing"/>
        <w:ind w:left="720"/>
        <w:rPr>
          <w:lang w:val="es-ES_tradnl"/>
        </w:rPr>
      </w:pPr>
    </w:p>
    <w:p w:rsidR="00181522" w:rsidRPr="00600ED9" w:rsidRDefault="00181522" w:rsidP="00FB1954">
      <w:pPr>
        <w:pStyle w:val="NoSpacing"/>
        <w:ind w:left="720"/>
        <w:rPr>
          <w:lang w:val="es-ES_tradnl"/>
        </w:rPr>
      </w:pPr>
    </w:p>
    <w:p w:rsidR="00720E42" w:rsidRPr="00600ED9" w:rsidRDefault="00720E42" w:rsidP="00FB1954">
      <w:pPr>
        <w:pStyle w:val="Heading1"/>
        <w:spacing w:line="240" w:lineRule="auto"/>
        <w:ind w:left="567" w:hanging="567"/>
        <w:rPr>
          <w:noProof w:val="0"/>
        </w:rPr>
      </w:pPr>
      <w:bookmarkStart w:id="38" w:name="_Toc295932930"/>
      <w:r w:rsidRPr="00600ED9">
        <w:rPr>
          <w:noProof w:val="0"/>
        </w:rPr>
        <w:t xml:space="preserve">Dominio G: Comunicación y </w:t>
      </w:r>
      <w:r w:rsidR="008776C1" w:rsidRPr="00600ED9">
        <w:rPr>
          <w:noProof w:val="0"/>
        </w:rPr>
        <w:t>Gestión</w:t>
      </w:r>
      <w:r w:rsidRPr="00600ED9">
        <w:rPr>
          <w:noProof w:val="0"/>
        </w:rPr>
        <w:t xml:space="preserve"> de las Partes Interesadas</w:t>
      </w:r>
      <w:bookmarkEnd w:id="38"/>
    </w:p>
    <w:p w:rsidR="007C59D2" w:rsidRPr="00600ED9" w:rsidRDefault="007C59D2" w:rsidP="00FB1954">
      <w:pPr>
        <w:pStyle w:val="NoSpacing"/>
        <w:ind w:left="567"/>
        <w:jc w:val="both"/>
        <w:rPr>
          <w:lang w:val="es-ES_tradnl"/>
        </w:rPr>
      </w:pPr>
    </w:p>
    <w:p w:rsidR="0039150A" w:rsidRPr="00600ED9" w:rsidRDefault="007C59D2" w:rsidP="00FB1954">
      <w:pPr>
        <w:pStyle w:val="NoSpacing"/>
        <w:ind w:left="567"/>
        <w:jc w:val="both"/>
        <w:rPr>
          <w:rFonts w:ascii="Calibri" w:hAnsi="Calibri" w:cs="Calibri"/>
          <w:color w:val="000000"/>
          <w:lang w:val="es-ES_tradnl"/>
        </w:rPr>
      </w:pPr>
      <w:r w:rsidRPr="00600ED9">
        <w:rPr>
          <w:lang w:val="es-ES_tradnl"/>
        </w:rPr>
        <w:t xml:space="preserve">Este dominio analiza los indicadores EFS-22, EFS-23 y EFS-24, que buscan establecer las prácticas </w:t>
      </w:r>
      <w:r w:rsidR="00730B11" w:rsidRPr="00600ED9">
        <w:rPr>
          <w:lang w:val="es-ES_tradnl"/>
        </w:rPr>
        <w:t>dispuestas por</w:t>
      </w:r>
      <w:r w:rsidRPr="00600ED9">
        <w:rPr>
          <w:lang w:val="es-ES_tradnl"/>
        </w:rPr>
        <w:t xml:space="preserve"> la </w:t>
      </w:r>
      <w:r w:rsidRPr="00600ED9">
        <w:rPr>
          <w:rFonts w:ascii="Calibri" w:hAnsi="Calibri" w:cs="Calibri"/>
          <w:lang w:val="es-ES_tradnl"/>
        </w:rPr>
        <w:t xml:space="preserve">EFS para comunicarse, al interior de la organización y con sus grupos de interés  externos, en particular los Poderes del Estado, los Ciudadanos, la Sociedad Civil y los Medios,  para </w:t>
      </w:r>
      <w:r w:rsidR="0039150A" w:rsidRPr="00600ED9">
        <w:rPr>
          <w:rFonts w:ascii="Calibri" w:hAnsi="Calibri" w:cs="Calibri"/>
          <w:color w:val="000000"/>
          <w:lang w:val="es-ES_tradnl"/>
        </w:rPr>
        <w:t xml:space="preserve"> </w:t>
      </w:r>
      <w:r w:rsidRPr="00600ED9">
        <w:rPr>
          <w:rFonts w:ascii="Calibri" w:hAnsi="Calibri" w:cs="Calibri"/>
          <w:color w:val="000000"/>
          <w:lang w:val="es-ES_tradnl"/>
        </w:rPr>
        <w:t>promover</w:t>
      </w:r>
      <w:r w:rsidR="0039150A" w:rsidRPr="00600ED9">
        <w:rPr>
          <w:rFonts w:ascii="Calibri" w:hAnsi="Calibri" w:cs="Calibri"/>
          <w:color w:val="000000"/>
          <w:lang w:val="es-ES_tradnl"/>
        </w:rPr>
        <w:t xml:space="preserve"> su valor y beneficios. </w:t>
      </w:r>
    </w:p>
    <w:p w:rsidR="00730B11" w:rsidRPr="00600ED9" w:rsidRDefault="00730B11" w:rsidP="00FB1954">
      <w:pPr>
        <w:spacing w:after="0" w:line="240" w:lineRule="auto"/>
        <w:jc w:val="both"/>
        <w:rPr>
          <w:rFonts w:ascii="Calibri" w:hAnsi="Calibri" w:cs="Calibri"/>
          <w:color w:val="000000"/>
        </w:rPr>
      </w:pPr>
    </w:p>
    <w:p w:rsidR="00B02C0F" w:rsidRPr="00600ED9" w:rsidRDefault="00B02C0F" w:rsidP="00FB1954">
      <w:pPr>
        <w:spacing w:after="0" w:line="240" w:lineRule="auto"/>
        <w:jc w:val="both"/>
        <w:rPr>
          <w:rFonts w:ascii="Calibri" w:hAnsi="Calibri" w:cs="Calibri"/>
          <w:color w:val="000000"/>
        </w:rPr>
      </w:pPr>
    </w:p>
    <w:p w:rsidR="00B02C0F" w:rsidRPr="00600ED9" w:rsidRDefault="00B02C0F" w:rsidP="00FB1954">
      <w:pPr>
        <w:spacing w:after="0" w:line="240" w:lineRule="auto"/>
        <w:jc w:val="both"/>
        <w:rPr>
          <w:rFonts w:ascii="Calibri" w:hAnsi="Calibri" w:cs="Calibri"/>
          <w:color w:val="000000"/>
        </w:rPr>
      </w:pPr>
    </w:p>
    <w:p w:rsidR="006F4A97" w:rsidRPr="00600ED9" w:rsidRDefault="00720E42" w:rsidP="00233205">
      <w:pPr>
        <w:pStyle w:val="Heading2"/>
        <w:numPr>
          <w:ilvl w:val="0"/>
          <w:numId w:val="39"/>
        </w:numPr>
        <w:spacing w:before="0" w:line="240" w:lineRule="auto"/>
        <w:ind w:hanging="513"/>
      </w:pPr>
      <w:bookmarkStart w:id="39" w:name="_Toc295932931"/>
      <w:r w:rsidRPr="00600ED9">
        <w:lastRenderedPageBreak/>
        <w:t>EFS</w:t>
      </w:r>
      <w:r w:rsidR="00B93BCD" w:rsidRPr="00600ED9">
        <w:t xml:space="preserve"> </w:t>
      </w:r>
      <w:r w:rsidRPr="00600ED9">
        <w:t>22 - Estrategia de Comunicación y Comunicación Interna</w:t>
      </w:r>
      <w:bookmarkEnd w:id="39"/>
    </w:p>
    <w:p w:rsidR="00514257" w:rsidRPr="00600ED9" w:rsidRDefault="00514257" w:rsidP="00FB1954">
      <w:pPr>
        <w:pStyle w:val="NoSpacing"/>
        <w:rPr>
          <w:lang w:val="es-ES_tradnl"/>
        </w:rPr>
      </w:pPr>
    </w:p>
    <w:tbl>
      <w:tblPr>
        <w:tblW w:w="8200" w:type="dxa"/>
        <w:tblInd w:w="720" w:type="dxa"/>
        <w:tblCellMar>
          <w:left w:w="70" w:type="dxa"/>
          <w:right w:w="70" w:type="dxa"/>
        </w:tblCellMar>
        <w:tblLook w:val="04A0" w:firstRow="1" w:lastRow="0" w:firstColumn="1" w:lastColumn="0" w:noHBand="0" w:noVBand="1"/>
      </w:tblPr>
      <w:tblGrid>
        <w:gridCol w:w="2560"/>
        <w:gridCol w:w="2305"/>
        <w:gridCol w:w="2070"/>
        <w:gridCol w:w="175"/>
        <w:gridCol w:w="1090"/>
      </w:tblGrid>
      <w:tr w:rsidR="006F4A97" w:rsidRPr="00600ED9" w:rsidTr="004506C8">
        <w:trPr>
          <w:trHeight w:val="255"/>
        </w:trPr>
        <w:tc>
          <w:tcPr>
            <w:tcW w:w="2560" w:type="dxa"/>
            <w:tcBorders>
              <w:top w:val="nil"/>
              <w:left w:val="nil"/>
              <w:bottom w:val="nil"/>
              <w:right w:val="nil"/>
            </w:tcBorders>
            <w:shd w:val="clear" w:color="auto" w:fill="auto"/>
            <w:noWrap/>
            <w:vAlign w:val="bottom"/>
            <w:hideMark/>
          </w:tcPr>
          <w:p w:rsidR="006F4A97" w:rsidRPr="00600ED9" w:rsidRDefault="006F4A97" w:rsidP="00FB1954">
            <w:pPr>
              <w:pStyle w:val="NoSpacing"/>
              <w:tabs>
                <w:tab w:val="center" w:pos="4680"/>
                <w:tab w:val="right" w:pos="9360"/>
              </w:tabs>
              <w:jc w:val="center"/>
              <w:rPr>
                <w:sz w:val="20"/>
                <w:lang w:val="es-ES_tradnl"/>
              </w:rPr>
            </w:pPr>
          </w:p>
        </w:tc>
        <w:tc>
          <w:tcPr>
            <w:tcW w:w="4375"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6F4A97" w:rsidRPr="00600ED9" w:rsidRDefault="006F4A97" w:rsidP="00FB1954">
            <w:pPr>
              <w:pStyle w:val="NoSpacing"/>
              <w:jc w:val="center"/>
              <w:rPr>
                <w:b/>
                <w:bCs/>
                <w:sz w:val="20"/>
                <w:lang w:val="es-ES_tradnl"/>
              </w:rPr>
            </w:pPr>
            <w:r w:rsidRPr="00600ED9">
              <w:rPr>
                <w:b/>
                <w:bCs/>
                <w:sz w:val="20"/>
                <w:lang w:val="es-ES_tradnl"/>
              </w:rPr>
              <w:t>Dimensiones Evaluadas</w:t>
            </w:r>
          </w:p>
        </w:tc>
        <w:tc>
          <w:tcPr>
            <w:tcW w:w="175" w:type="dxa"/>
            <w:tcBorders>
              <w:top w:val="nil"/>
              <w:left w:val="nil"/>
              <w:bottom w:val="nil"/>
              <w:right w:val="nil"/>
            </w:tcBorders>
            <w:shd w:val="clear" w:color="auto" w:fill="auto"/>
            <w:noWrap/>
            <w:vAlign w:val="bottom"/>
            <w:hideMark/>
          </w:tcPr>
          <w:p w:rsidR="006F4A97" w:rsidRPr="00600ED9" w:rsidRDefault="006F4A97" w:rsidP="00FB1954">
            <w:pPr>
              <w:pStyle w:val="NoSpacing"/>
              <w:tabs>
                <w:tab w:val="center" w:pos="4680"/>
                <w:tab w:val="right" w:pos="9360"/>
              </w:tabs>
              <w:jc w:val="center"/>
              <w:rPr>
                <w:sz w:val="20"/>
                <w:lang w:val="es-ES_tradnl"/>
              </w:rPr>
            </w:pPr>
          </w:p>
        </w:tc>
        <w:tc>
          <w:tcPr>
            <w:tcW w:w="1090" w:type="dxa"/>
            <w:vMerge w:val="restart"/>
            <w:tcBorders>
              <w:top w:val="single" w:sz="4" w:space="0" w:color="auto"/>
              <w:left w:val="single" w:sz="4" w:space="0" w:color="auto"/>
              <w:right w:val="single" w:sz="4" w:space="0" w:color="auto"/>
            </w:tcBorders>
            <w:shd w:val="clear" w:color="000000" w:fill="95B3D7"/>
            <w:vAlign w:val="center"/>
            <w:hideMark/>
          </w:tcPr>
          <w:p w:rsidR="006F4A97" w:rsidRPr="00600ED9" w:rsidRDefault="006F4A97" w:rsidP="00FB1954">
            <w:pPr>
              <w:pStyle w:val="NoSpacing"/>
              <w:jc w:val="center"/>
              <w:rPr>
                <w:b/>
                <w:bCs/>
                <w:sz w:val="20"/>
                <w:lang w:val="es-ES_tradnl"/>
              </w:rPr>
            </w:pPr>
            <w:r w:rsidRPr="00600ED9">
              <w:rPr>
                <w:b/>
                <w:bCs/>
                <w:sz w:val="20"/>
                <w:lang w:val="es-ES_tradnl"/>
              </w:rPr>
              <w:t>Puntuación General</w:t>
            </w:r>
          </w:p>
        </w:tc>
      </w:tr>
      <w:tr w:rsidR="006F4A97" w:rsidRPr="00600ED9" w:rsidTr="004506C8">
        <w:trPr>
          <w:trHeight w:val="390"/>
        </w:trPr>
        <w:tc>
          <w:tcPr>
            <w:tcW w:w="256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6F4A97" w:rsidRPr="00600ED9" w:rsidRDefault="006F4A97" w:rsidP="00FB1954">
            <w:pPr>
              <w:pStyle w:val="NoSpacing"/>
              <w:jc w:val="center"/>
              <w:rPr>
                <w:b/>
                <w:bCs/>
                <w:sz w:val="20"/>
                <w:lang w:val="es-ES_tradnl"/>
              </w:rPr>
            </w:pPr>
            <w:r w:rsidRPr="00600ED9">
              <w:rPr>
                <w:b/>
                <w:bCs/>
                <w:sz w:val="20"/>
                <w:lang w:val="es-ES_tradnl"/>
              </w:rPr>
              <w:t>Indicadores</w:t>
            </w:r>
          </w:p>
        </w:tc>
        <w:tc>
          <w:tcPr>
            <w:tcW w:w="2305" w:type="dxa"/>
            <w:tcBorders>
              <w:top w:val="nil"/>
              <w:left w:val="nil"/>
              <w:bottom w:val="single" w:sz="4" w:space="0" w:color="auto"/>
              <w:right w:val="single" w:sz="4" w:space="0" w:color="auto"/>
            </w:tcBorders>
            <w:shd w:val="clear" w:color="000000" w:fill="D8D8D8"/>
            <w:noWrap/>
            <w:vAlign w:val="bottom"/>
            <w:hideMark/>
          </w:tcPr>
          <w:p w:rsidR="006F4A97" w:rsidRPr="00600ED9" w:rsidRDefault="002046D0" w:rsidP="00FB1954">
            <w:pPr>
              <w:pStyle w:val="NoSpacing"/>
              <w:jc w:val="center"/>
              <w:rPr>
                <w:b/>
                <w:bCs/>
                <w:w w:val="90"/>
                <w:sz w:val="20"/>
                <w:lang w:val="es-ES_tradnl"/>
              </w:rPr>
            </w:pPr>
            <w:r w:rsidRPr="00600ED9">
              <w:rPr>
                <w:b/>
                <w:bCs/>
                <w:w w:val="90"/>
                <w:sz w:val="20"/>
                <w:lang w:val="es-ES_tradnl"/>
              </w:rPr>
              <w:t>(i)</w:t>
            </w:r>
          </w:p>
          <w:p w:rsidR="006F4A97" w:rsidRPr="00600ED9" w:rsidRDefault="006F4A97" w:rsidP="00FB1954">
            <w:pPr>
              <w:pStyle w:val="NoSpacing"/>
              <w:jc w:val="center"/>
              <w:rPr>
                <w:b/>
                <w:bCs/>
                <w:w w:val="90"/>
                <w:sz w:val="20"/>
                <w:lang w:val="es-ES_tradnl"/>
              </w:rPr>
            </w:pPr>
            <w:r w:rsidRPr="00600ED9">
              <w:rPr>
                <w:w w:val="90"/>
                <w:sz w:val="20"/>
                <w:lang w:val="es-ES_tradnl"/>
              </w:rPr>
              <w:t>Desarrollo Profesional y Capacitación en Disciplinas de Auditoría Relevantes</w:t>
            </w:r>
          </w:p>
        </w:tc>
        <w:tc>
          <w:tcPr>
            <w:tcW w:w="2070" w:type="dxa"/>
            <w:tcBorders>
              <w:top w:val="nil"/>
              <w:left w:val="nil"/>
              <w:bottom w:val="single" w:sz="4" w:space="0" w:color="auto"/>
              <w:right w:val="single" w:sz="4" w:space="0" w:color="auto"/>
            </w:tcBorders>
            <w:shd w:val="clear" w:color="000000" w:fill="D8D8D8"/>
            <w:noWrap/>
            <w:vAlign w:val="bottom"/>
            <w:hideMark/>
          </w:tcPr>
          <w:p w:rsidR="006F4A97" w:rsidRPr="00600ED9" w:rsidRDefault="002046D0" w:rsidP="00FB1954">
            <w:pPr>
              <w:pStyle w:val="NoSpacing"/>
              <w:jc w:val="center"/>
              <w:rPr>
                <w:b/>
                <w:bCs/>
                <w:w w:val="90"/>
                <w:sz w:val="20"/>
                <w:lang w:val="es-ES_tradnl"/>
              </w:rPr>
            </w:pPr>
            <w:r w:rsidRPr="00600ED9">
              <w:rPr>
                <w:b/>
                <w:bCs/>
                <w:w w:val="90"/>
                <w:sz w:val="20"/>
                <w:lang w:val="es-ES_tradnl"/>
              </w:rPr>
              <w:t>(ii)</w:t>
            </w:r>
          </w:p>
          <w:p w:rsidR="006F4A97" w:rsidRPr="00600ED9" w:rsidRDefault="006F4A97" w:rsidP="00FB1954">
            <w:pPr>
              <w:pStyle w:val="NoSpacing"/>
              <w:jc w:val="center"/>
              <w:rPr>
                <w:b/>
                <w:bCs/>
                <w:w w:val="90"/>
                <w:sz w:val="20"/>
                <w:lang w:val="es-ES_tradnl"/>
              </w:rPr>
            </w:pPr>
            <w:r w:rsidRPr="00600ED9">
              <w:rPr>
                <w:w w:val="90"/>
                <w:sz w:val="20"/>
                <w:lang w:val="es-ES_tradnl"/>
              </w:rPr>
              <w:t>Las mejores prácticas referentes a la comunicación interna</w:t>
            </w:r>
          </w:p>
        </w:tc>
        <w:tc>
          <w:tcPr>
            <w:tcW w:w="175" w:type="dxa"/>
            <w:tcBorders>
              <w:top w:val="nil"/>
              <w:left w:val="nil"/>
              <w:bottom w:val="nil"/>
              <w:right w:val="nil"/>
            </w:tcBorders>
            <w:shd w:val="clear" w:color="auto" w:fill="auto"/>
            <w:noWrap/>
            <w:vAlign w:val="bottom"/>
            <w:hideMark/>
          </w:tcPr>
          <w:p w:rsidR="006F4A97" w:rsidRPr="00600ED9" w:rsidRDefault="006F4A97" w:rsidP="00FB1954">
            <w:pPr>
              <w:pStyle w:val="NoSpacing"/>
              <w:tabs>
                <w:tab w:val="center" w:pos="4680"/>
                <w:tab w:val="right" w:pos="9360"/>
              </w:tabs>
              <w:jc w:val="center"/>
              <w:rPr>
                <w:sz w:val="20"/>
                <w:lang w:val="es-ES_tradnl"/>
              </w:rPr>
            </w:pPr>
          </w:p>
        </w:tc>
        <w:tc>
          <w:tcPr>
            <w:tcW w:w="1090" w:type="dxa"/>
            <w:vMerge/>
            <w:tcBorders>
              <w:left w:val="single" w:sz="4" w:space="0" w:color="auto"/>
              <w:bottom w:val="single" w:sz="4" w:space="0" w:color="auto"/>
              <w:right w:val="single" w:sz="4" w:space="0" w:color="auto"/>
            </w:tcBorders>
            <w:shd w:val="clear" w:color="000000" w:fill="95B3D7"/>
            <w:vAlign w:val="center"/>
            <w:hideMark/>
          </w:tcPr>
          <w:p w:rsidR="006F4A97" w:rsidRPr="00600ED9" w:rsidRDefault="006F4A97" w:rsidP="00FB1954">
            <w:pPr>
              <w:pStyle w:val="NoSpacing"/>
              <w:tabs>
                <w:tab w:val="center" w:pos="4680"/>
                <w:tab w:val="right" w:pos="9360"/>
              </w:tabs>
              <w:jc w:val="center"/>
              <w:rPr>
                <w:b/>
                <w:bCs/>
                <w:sz w:val="20"/>
                <w:lang w:val="es-ES_tradnl"/>
              </w:rPr>
            </w:pPr>
          </w:p>
        </w:tc>
      </w:tr>
      <w:tr w:rsidR="00AA1BE8" w:rsidRPr="00600ED9" w:rsidTr="004506C8">
        <w:trPr>
          <w:trHeight w:val="917"/>
        </w:trPr>
        <w:tc>
          <w:tcPr>
            <w:tcW w:w="2560" w:type="dxa"/>
            <w:tcBorders>
              <w:top w:val="nil"/>
              <w:left w:val="single" w:sz="4" w:space="0" w:color="auto"/>
              <w:bottom w:val="single" w:sz="4" w:space="0" w:color="auto"/>
              <w:right w:val="single" w:sz="4" w:space="0" w:color="auto"/>
            </w:tcBorders>
            <w:shd w:val="clear" w:color="auto" w:fill="auto"/>
            <w:vAlign w:val="center"/>
            <w:hideMark/>
          </w:tcPr>
          <w:p w:rsidR="00AA1BE8" w:rsidRPr="00600ED9" w:rsidRDefault="00AA1BE8" w:rsidP="00FB1954">
            <w:pPr>
              <w:pStyle w:val="NoSpacing"/>
              <w:jc w:val="center"/>
              <w:rPr>
                <w:b/>
                <w:bCs/>
                <w:sz w:val="20"/>
                <w:lang w:val="es-ES_tradnl"/>
              </w:rPr>
            </w:pPr>
            <w:r w:rsidRPr="00600ED9">
              <w:rPr>
                <w:rFonts w:eastAsia="Calibri" w:cs="Times New Roman"/>
                <w:b/>
                <w:sz w:val="20"/>
                <w:lang w:val="es-ES_tradnl"/>
              </w:rPr>
              <w:t>EFS 22 - Estrategia de Comunicación y Comunicación Interna</w:t>
            </w:r>
          </w:p>
        </w:tc>
        <w:tc>
          <w:tcPr>
            <w:tcW w:w="2305" w:type="dxa"/>
            <w:tcBorders>
              <w:top w:val="nil"/>
              <w:left w:val="nil"/>
              <w:bottom w:val="single" w:sz="4" w:space="0" w:color="auto"/>
              <w:right w:val="single" w:sz="4" w:space="0" w:color="auto"/>
            </w:tcBorders>
            <w:shd w:val="clear" w:color="auto" w:fill="auto"/>
            <w:noWrap/>
            <w:vAlign w:val="center"/>
          </w:tcPr>
          <w:p w:rsidR="00AA1BE8" w:rsidRPr="00600ED9" w:rsidRDefault="00AA1BE8" w:rsidP="00FB1954">
            <w:pPr>
              <w:pStyle w:val="NoSpacing"/>
              <w:jc w:val="center"/>
              <w:rPr>
                <w:b/>
                <w:bCs/>
                <w:sz w:val="20"/>
                <w:lang w:val="es-ES_tradnl"/>
              </w:rPr>
            </w:pPr>
            <w:r w:rsidRPr="00600ED9">
              <w:rPr>
                <w:b/>
                <w:bCs/>
                <w:sz w:val="20"/>
                <w:lang w:val="es-ES_tradnl"/>
              </w:rPr>
              <w:t>0</w:t>
            </w:r>
          </w:p>
        </w:tc>
        <w:tc>
          <w:tcPr>
            <w:tcW w:w="2070" w:type="dxa"/>
            <w:tcBorders>
              <w:top w:val="nil"/>
              <w:left w:val="nil"/>
              <w:bottom w:val="single" w:sz="4" w:space="0" w:color="auto"/>
              <w:right w:val="single" w:sz="4" w:space="0" w:color="auto"/>
            </w:tcBorders>
            <w:shd w:val="clear" w:color="auto" w:fill="auto"/>
            <w:noWrap/>
            <w:vAlign w:val="center"/>
          </w:tcPr>
          <w:p w:rsidR="00AA1BE8" w:rsidRPr="00600ED9" w:rsidRDefault="00AA1BE8" w:rsidP="00FB1954">
            <w:pPr>
              <w:pStyle w:val="NoSpacing"/>
              <w:jc w:val="center"/>
              <w:rPr>
                <w:b/>
                <w:bCs/>
                <w:sz w:val="20"/>
                <w:lang w:val="es-ES_tradnl"/>
              </w:rPr>
            </w:pPr>
            <w:r w:rsidRPr="00600ED9">
              <w:rPr>
                <w:b/>
                <w:bCs/>
                <w:sz w:val="20"/>
                <w:lang w:val="es-ES_tradnl"/>
              </w:rPr>
              <w:t>1</w:t>
            </w:r>
          </w:p>
        </w:tc>
        <w:tc>
          <w:tcPr>
            <w:tcW w:w="175" w:type="dxa"/>
            <w:tcBorders>
              <w:top w:val="nil"/>
              <w:left w:val="nil"/>
              <w:bottom w:val="nil"/>
              <w:right w:val="nil"/>
            </w:tcBorders>
            <w:shd w:val="clear" w:color="auto" w:fill="auto"/>
            <w:noWrap/>
            <w:vAlign w:val="bottom"/>
          </w:tcPr>
          <w:p w:rsidR="00AA1BE8" w:rsidRPr="00600ED9" w:rsidRDefault="00AA1BE8" w:rsidP="00FB1954">
            <w:pPr>
              <w:pStyle w:val="NoSpacing"/>
              <w:tabs>
                <w:tab w:val="center" w:pos="4680"/>
                <w:tab w:val="right" w:pos="9360"/>
              </w:tabs>
              <w:jc w:val="center"/>
              <w:rPr>
                <w:sz w:val="20"/>
                <w:lang w:val="es-ES_tradnl"/>
              </w:rPr>
            </w:pPr>
          </w:p>
        </w:tc>
        <w:tc>
          <w:tcPr>
            <w:tcW w:w="1090" w:type="dxa"/>
            <w:tcBorders>
              <w:top w:val="nil"/>
              <w:left w:val="single" w:sz="4" w:space="0" w:color="auto"/>
              <w:bottom w:val="single" w:sz="4" w:space="0" w:color="auto"/>
              <w:right w:val="single" w:sz="4" w:space="0" w:color="auto"/>
            </w:tcBorders>
            <w:shd w:val="clear" w:color="auto" w:fill="auto"/>
            <w:noWrap/>
            <w:vAlign w:val="center"/>
          </w:tcPr>
          <w:p w:rsidR="00AA1BE8" w:rsidRPr="00600ED9" w:rsidRDefault="00AA1BE8" w:rsidP="00FB1954">
            <w:pPr>
              <w:pStyle w:val="NoSpacing"/>
              <w:jc w:val="center"/>
              <w:rPr>
                <w:sz w:val="20"/>
                <w:lang w:val="es-ES_tradnl"/>
              </w:rPr>
            </w:pPr>
            <w:r w:rsidRPr="00600ED9">
              <w:rPr>
                <w:sz w:val="20"/>
                <w:lang w:val="es-ES_tradnl"/>
              </w:rPr>
              <w:t>0</w:t>
            </w:r>
          </w:p>
        </w:tc>
      </w:tr>
    </w:tbl>
    <w:p w:rsidR="007C59D2" w:rsidRPr="00600ED9" w:rsidRDefault="007C59D2" w:rsidP="00FB1954">
      <w:pPr>
        <w:pStyle w:val="NoSpacing"/>
        <w:ind w:left="720"/>
        <w:jc w:val="both"/>
        <w:rPr>
          <w:lang w:val="es-ES_tradnl"/>
        </w:rPr>
      </w:pPr>
    </w:p>
    <w:p w:rsidR="00353998" w:rsidRPr="00600ED9" w:rsidRDefault="00353998" w:rsidP="00FB1954">
      <w:pPr>
        <w:pStyle w:val="NoSpacing"/>
        <w:ind w:left="720"/>
        <w:jc w:val="both"/>
        <w:rPr>
          <w:lang w:val="es-ES_tradnl"/>
        </w:rPr>
      </w:pPr>
      <w:r w:rsidRPr="00600ED9">
        <w:rPr>
          <w:lang w:val="es-ES_tradnl"/>
        </w:rPr>
        <w:t>La CGR</w:t>
      </w:r>
      <w:r w:rsidR="004F42B9">
        <w:rPr>
          <w:lang w:val="es-ES_tradnl"/>
        </w:rPr>
        <w:t>C</w:t>
      </w:r>
      <w:r w:rsidRPr="00600ED9">
        <w:rPr>
          <w:lang w:val="es-ES_tradnl"/>
        </w:rPr>
        <w:t xml:space="preserve"> desarrolla un conjunto de actividades para promover la comunicación tanto interna como externa. Sin embargo las iniciativas adelantadas no están asociadas a una estrategia formalizada en un Plan de Comunicación basado en las necesidades de sus grupos de interés y en la medición de su desempeño. Por lo anterior, no se dispone de bases para concluir sobre su eficacia. </w:t>
      </w:r>
    </w:p>
    <w:p w:rsidR="00575F68" w:rsidRPr="00600ED9" w:rsidRDefault="00575F68" w:rsidP="00FB1954">
      <w:pPr>
        <w:pStyle w:val="NoSpacing"/>
        <w:ind w:left="720"/>
        <w:jc w:val="both"/>
        <w:rPr>
          <w:lang w:val="es-ES_tradnl"/>
        </w:rPr>
      </w:pPr>
    </w:p>
    <w:tbl>
      <w:tblPr>
        <w:tblStyle w:val="TableGrid"/>
        <w:tblW w:w="9356" w:type="dxa"/>
        <w:tblInd w:w="817" w:type="dxa"/>
        <w:tblLook w:val="04A0" w:firstRow="1" w:lastRow="0" w:firstColumn="1" w:lastColumn="0" w:noHBand="0" w:noVBand="1"/>
      </w:tblPr>
      <w:tblGrid>
        <w:gridCol w:w="9356"/>
      </w:tblGrid>
      <w:tr w:rsidR="002046D0" w:rsidRPr="00600ED9" w:rsidTr="00514257">
        <w:trPr>
          <w:tblHeader/>
        </w:trPr>
        <w:tc>
          <w:tcPr>
            <w:tcW w:w="9356" w:type="dxa"/>
            <w:shd w:val="clear" w:color="auto" w:fill="365F91" w:themeFill="accent1" w:themeFillShade="BF"/>
          </w:tcPr>
          <w:p w:rsidR="002046D0" w:rsidRPr="00600ED9" w:rsidRDefault="002046D0" w:rsidP="00FB1954">
            <w:pPr>
              <w:pStyle w:val="NoSpacing"/>
              <w:rPr>
                <w:b/>
                <w:color w:val="FFFFFF" w:themeColor="background1"/>
                <w:sz w:val="20"/>
                <w:lang w:val="es-ES_tradnl"/>
              </w:rPr>
            </w:pPr>
            <w:r w:rsidRPr="00600ED9">
              <w:rPr>
                <w:b/>
                <w:color w:val="FFFFFF" w:themeColor="background1"/>
                <w:sz w:val="20"/>
                <w:lang w:val="es-ES_tradnl"/>
              </w:rPr>
              <w:t xml:space="preserve">Principales observaciones </w:t>
            </w:r>
            <w:r w:rsidR="00514257" w:rsidRPr="00600ED9">
              <w:rPr>
                <w:b/>
                <w:color w:val="FFFFFF" w:themeColor="background1"/>
                <w:sz w:val="20"/>
                <w:lang w:val="es-ES_tradnl"/>
              </w:rPr>
              <w:t>y conclusiones</w:t>
            </w:r>
          </w:p>
        </w:tc>
      </w:tr>
      <w:tr w:rsidR="002046D0" w:rsidRPr="00600ED9" w:rsidTr="00514257">
        <w:tc>
          <w:tcPr>
            <w:tcW w:w="9356" w:type="dxa"/>
            <w:shd w:val="clear" w:color="auto" w:fill="D9D9D9" w:themeFill="background1" w:themeFillShade="D9"/>
          </w:tcPr>
          <w:p w:rsidR="002046D0" w:rsidRPr="00600ED9" w:rsidRDefault="002046D0" w:rsidP="00FB1954">
            <w:pPr>
              <w:pStyle w:val="NoSpacing"/>
              <w:rPr>
                <w:b/>
                <w:i/>
                <w:sz w:val="20"/>
                <w:lang w:val="es-ES_tradnl"/>
              </w:rPr>
            </w:pPr>
            <w:r w:rsidRPr="00600ED9">
              <w:rPr>
                <w:b/>
                <w:i/>
                <w:sz w:val="20"/>
                <w:lang w:val="es-ES_tradnl"/>
              </w:rPr>
              <w:t>Dimensión (i) Estrategia de comunicaciones</w:t>
            </w:r>
          </w:p>
        </w:tc>
      </w:tr>
      <w:tr w:rsidR="002046D0" w:rsidRPr="00600ED9" w:rsidTr="00514257">
        <w:tc>
          <w:tcPr>
            <w:tcW w:w="9356" w:type="dxa"/>
            <w:shd w:val="clear" w:color="auto" w:fill="D9D9D9" w:themeFill="background1" w:themeFillShade="D9"/>
          </w:tcPr>
          <w:p w:rsidR="002046D0" w:rsidRPr="00600ED9" w:rsidDel="002046D0" w:rsidRDefault="002046D0" w:rsidP="00FB1954">
            <w:pPr>
              <w:pStyle w:val="NoSpacing"/>
              <w:rPr>
                <w:i/>
                <w:sz w:val="20"/>
                <w:lang w:val="es-ES_tradnl"/>
              </w:rPr>
            </w:pPr>
            <w:r w:rsidRPr="00600ED9">
              <w:rPr>
                <w:b/>
                <w:bCs/>
                <w:i/>
                <w:color w:val="000000"/>
                <w:sz w:val="20"/>
                <w:lang w:val="es-ES_tradnl"/>
              </w:rPr>
              <w:t>Puntuación 0</w:t>
            </w:r>
            <w:r w:rsidRPr="00600ED9">
              <w:rPr>
                <w:bCs/>
                <w:i/>
                <w:color w:val="000000"/>
                <w:sz w:val="20"/>
                <w:lang w:val="es-ES_tradnl"/>
              </w:rPr>
              <w:t xml:space="preserve">: </w:t>
            </w:r>
            <w:r w:rsidRPr="00600ED9">
              <w:rPr>
                <w:i/>
                <w:color w:val="000000"/>
                <w:sz w:val="20"/>
                <w:lang w:val="es-ES_tradnl"/>
              </w:rPr>
              <w:t>La EFS no ha establecido una estrategia de comunicaciones.</w:t>
            </w:r>
          </w:p>
        </w:tc>
      </w:tr>
      <w:tr w:rsidR="002046D0" w:rsidRPr="00600ED9" w:rsidTr="00B02C0F">
        <w:trPr>
          <w:trHeight w:val="1548"/>
        </w:trPr>
        <w:tc>
          <w:tcPr>
            <w:tcW w:w="9356" w:type="dxa"/>
          </w:tcPr>
          <w:p w:rsidR="002046D0" w:rsidRPr="00600ED9" w:rsidRDefault="002046D0" w:rsidP="00FB1954">
            <w:pPr>
              <w:pStyle w:val="Normaltabletext"/>
              <w:spacing w:after="0"/>
              <w:rPr>
                <w:lang w:val="es-ES_tradnl"/>
              </w:rPr>
            </w:pPr>
            <w:r w:rsidRPr="00600ED9">
              <w:rPr>
                <w:lang w:val="es-ES_tradnl"/>
              </w:rPr>
              <w:t xml:space="preserve">La Contraloría no dispone de una estrategia de comunicaciones formal, alineada con el </w:t>
            </w:r>
            <w:r w:rsidR="005120A2" w:rsidRPr="00600ED9">
              <w:rPr>
                <w:lang w:val="es-ES_tradnl"/>
              </w:rPr>
              <w:t>PEI</w:t>
            </w:r>
            <w:r w:rsidRPr="00600ED9">
              <w:rPr>
                <w:lang w:val="es-ES_tradnl"/>
              </w:rPr>
              <w:t>, la cual contemple: (i) la identificación de los grupos de interés y la audiencia con la cual necesita comunicarse para lograr sus objetivos y cumplir su mandato, (ii) la definición de los mensajes clave que desea comunicar y los recursos y herramientas que requiere para hacerlo, y (iii) los mecanismos para su monitoreo mediante el uso de indicadores de desempeño, con el fin de evaluar su eficacia y tomar acciones correctivas en caso de ser necesario.</w:t>
            </w:r>
          </w:p>
        </w:tc>
      </w:tr>
      <w:tr w:rsidR="002046D0" w:rsidRPr="00600ED9" w:rsidTr="00514257">
        <w:tc>
          <w:tcPr>
            <w:tcW w:w="9356" w:type="dxa"/>
            <w:shd w:val="clear" w:color="auto" w:fill="D9D9D9" w:themeFill="background1" w:themeFillShade="D9"/>
          </w:tcPr>
          <w:p w:rsidR="002046D0" w:rsidRPr="00600ED9" w:rsidRDefault="002046D0" w:rsidP="00FB1954">
            <w:pPr>
              <w:pStyle w:val="NoSpacing"/>
              <w:rPr>
                <w:b/>
                <w:i/>
                <w:sz w:val="20"/>
                <w:lang w:val="es-ES_tradnl"/>
              </w:rPr>
            </w:pPr>
            <w:r w:rsidRPr="00600ED9">
              <w:rPr>
                <w:b/>
                <w:i/>
                <w:sz w:val="20"/>
                <w:lang w:val="es-ES_tradnl"/>
              </w:rPr>
              <w:t>Dimensión (ii) Buenas prácticas referentes a la comunicación interna</w:t>
            </w:r>
          </w:p>
        </w:tc>
      </w:tr>
      <w:tr w:rsidR="002046D0" w:rsidRPr="00600ED9" w:rsidTr="00514257">
        <w:tc>
          <w:tcPr>
            <w:tcW w:w="9356" w:type="dxa"/>
            <w:shd w:val="clear" w:color="auto" w:fill="D9D9D9" w:themeFill="background1" w:themeFillShade="D9"/>
          </w:tcPr>
          <w:p w:rsidR="002046D0" w:rsidRPr="00600ED9" w:rsidRDefault="002046D0" w:rsidP="00FB1954">
            <w:pPr>
              <w:pStyle w:val="NoSpacing"/>
              <w:rPr>
                <w:i/>
                <w:sz w:val="20"/>
                <w:szCs w:val="20"/>
                <w:lang w:val="es-ES_tradnl"/>
              </w:rPr>
            </w:pPr>
            <w:r w:rsidRPr="00600ED9">
              <w:rPr>
                <w:rFonts w:cs="Calibri"/>
                <w:b/>
                <w:bCs/>
                <w:i/>
                <w:color w:val="000000"/>
                <w:sz w:val="20"/>
                <w:szCs w:val="20"/>
                <w:lang w:val="es-ES_tradnl"/>
              </w:rPr>
              <w:t xml:space="preserve">Puntuación 1: </w:t>
            </w:r>
            <w:r w:rsidRPr="00600ED9">
              <w:rPr>
                <w:rFonts w:cs="Calibri"/>
                <w:i/>
                <w:color w:val="000000"/>
                <w:sz w:val="20"/>
                <w:szCs w:val="20"/>
                <w:lang w:val="es-ES_tradnl"/>
              </w:rPr>
              <w:t>Se cumple con al menos uno de los criterios enumerados.</w:t>
            </w:r>
          </w:p>
        </w:tc>
      </w:tr>
      <w:tr w:rsidR="002046D0" w:rsidRPr="00600ED9" w:rsidTr="00453701">
        <w:trPr>
          <w:trHeight w:val="3506"/>
        </w:trPr>
        <w:tc>
          <w:tcPr>
            <w:tcW w:w="9356" w:type="dxa"/>
          </w:tcPr>
          <w:p w:rsidR="002046D0" w:rsidRPr="00600ED9" w:rsidRDefault="002046D0" w:rsidP="00FB1954">
            <w:pPr>
              <w:pStyle w:val="NoSpacing"/>
              <w:jc w:val="both"/>
              <w:rPr>
                <w:sz w:val="20"/>
                <w:szCs w:val="20"/>
                <w:lang w:val="es-ES_tradnl"/>
              </w:rPr>
            </w:pPr>
            <w:r w:rsidRPr="00600ED9">
              <w:rPr>
                <w:sz w:val="20"/>
                <w:szCs w:val="20"/>
                <w:lang w:val="es-ES_tradnl"/>
              </w:rPr>
              <w:t xml:space="preserve">Criterios (a) y (e) se cumplen.  Criterios (b), (c) y (d) no se cumplen. </w:t>
            </w:r>
          </w:p>
          <w:p w:rsidR="00B02C0F" w:rsidRPr="00600ED9" w:rsidRDefault="00B02C0F" w:rsidP="00FB1954">
            <w:pPr>
              <w:pStyle w:val="NoSpacing"/>
              <w:jc w:val="both"/>
              <w:rPr>
                <w:sz w:val="20"/>
                <w:szCs w:val="20"/>
                <w:lang w:val="es-ES_tradnl"/>
              </w:rPr>
            </w:pPr>
          </w:p>
          <w:p w:rsidR="002046D0" w:rsidRPr="00600ED9" w:rsidRDefault="002046D0" w:rsidP="00FB1954">
            <w:pPr>
              <w:pStyle w:val="NoSpacing"/>
              <w:jc w:val="both"/>
              <w:rPr>
                <w:sz w:val="20"/>
                <w:szCs w:val="20"/>
                <w:lang w:val="es-ES_tradnl"/>
              </w:rPr>
            </w:pPr>
            <w:r w:rsidRPr="00600ED9">
              <w:rPr>
                <w:rFonts w:cs="Calibri"/>
                <w:color w:val="000000"/>
                <w:sz w:val="20"/>
                <w:szCs w:val="20"/>
                <w:lang w:val="es-ES_tradnl"/>
              </w:rPr>
              <w:t xml:space="preserve">El Contralor General de la República a nivel central, y los Directores a nivel descentralizado, con base en su directriz, difunden al personal de la CGRC la misión, visión y estrategias planteadas en el </w:t>
            </w:r>
            <w:r w:rsidRPr="00600ED9">
              <w:rPr>
                <w:sz w:val="20"/>
                <w:szCs w:val="20"/>
                <w:lang w:val="es-ES_tradnl"/>
              </w:rPr>
              <w:t>Plan Estratégico 2014 – 2018</w:t>
            </w:r>
            <w:r w:rsidRPr="00600ED9">
              <w:rPr>
                <w:rFonts w:cs="Calibri"/>
                <w:color w:val="000000"/>
                <w:sz w:val="20"/>
                <w:szCs w:val="20"/>
                <w:lang w:val="es-ES_tradnl"/>
              </w:rPr>
              <w:t>. E</w:t>
            </w:r>
            <w:r w:rsidRPr="00600ED9">
              <w:rPr>
                <w:sz w:val="20"/>
                <w:szCs w:val="20"/>
                <w:lang w:val="es-ES_tradnl"/>
              </w:rPr>
              <w:t>l Plan Estratégico es de acceso público a través de la web de la Contraloría</w:t>
            </w:r>
            <w:r w:rsidRPr="00600ED9">
              <w:rPr>
                <w:rStyle w:val="FootnoteReference"/>
                <w:sz w:val="20"/>
                <w:szCs w:val="20"/>
                <w:lang w:val="es-ES_tradnl"/>
              </w:rPr>
              <w:footnoteReference w:id="69"/>
            </w:r>
            <w:r w:rsidRPr="00600ED9">
              <w:rPr>
                <w:sz w:val="20"/>
                <w:szCs w:val="20"/>
                <w:lang w:val="es-ES_tradnl"/>
              </w:rPr>
              <w:t xml:space="preserve">. </w:t>
            </w:r>
          </w:p>
          <w:p w:rsidR="00B02C0F" w:rsidRPr="00600ED9" w:rsidRDefault="00B02C0F" w:rsidP="00FB1954">
            <w:pPr>
              <w:pStyle w:val="NoSpacing"/>
              <w:jc w:val="both"/>
              <w:rPr>
                <w:rFonts w:cs="Calibri"/>
                <w:color w:val="000000"/>
                <w:sz w:val="20"/>
                <w:szCs w:val="20"/>
                <w:lang w:val="es-ES_tradnl"/>
              </w:rPr>
            </w:pPr>
          </w:p>
          <w:p w:rsidR="002046D0" w:rsidRPr="00600ED9" w:rsidRDefault="002046D0" w:rsidP="00FB1954">
            <w:pPr>
              <w:pStyle w:val="NoSpacing"/>
              <w:jc w:val="both"/>
              <w:rPr>
                <w:rFonts w:cs="Calibri"/>
                <w:color w:val="000000"/>
                <w:sz w:val="20"/>
                <w:szCs w:val="20"/>
                <w:lang w:val="es-ES_tradnl"/>
              </w:rPr>
            </w:pPr>
            <w:r w:rsidRPr="00600ED9">
              <w:rPr>
                <w:rFonts w:cs="Calibri"/>
                <w:color w:val="000000"/>
                <w:sz w:val="20"/>
                <w:szCs w:val="20"/>
                <w:lang w:val="es-ES_tradnl"/>
              </w:rPr>
              <w:t xml:space="preserve">No hay evidencia de la existencia de comunicaciones eficaces de doble vía (bidireccional) en todas las áreas de la organización, así como de procesos de comunicación interna que permitan mantener interrelacionada e integrada la organización.  </w:t>
            </w:r>
          </w:p>
          <w:p w:rsidR="00B02C0F" w:rsidRPr="00600ED9" w:rsidRDefault="00B02C0F" w:rsidP="00FB1954">
            <w:pPr>
              <w:pStyle w:val="NoSpacing"/>
              <w:jc w:val="both"/>
              <w:rPr>
                <w:rFonts w:cs="Calibri"/>
                <w:color w:val="000000"/>
                <w:sz w:val="20"/>
                <w:szCs w:val="20"/>
                <w:lang w:val="es-ES_tradnl"/>
              </w:rPr>
            </w:pPr>
          </w:p>
          <w:p w:rsidR="002046D0" w:rsidRPr="00600ED9" w:rsidRDefault="002046D0" w:rsidP="00FB1954">
            <w:pPr>
              <w:pStyle w:val="NoSpacing"/>
              <w:jc w:val="both"/>
              <w:rPr>
                <w:sz w:val="20"/>
                <w:szCs w:val="20"/>
                <w:lang w:val="es-ES_tradnl"/>
              </w:rPr>
            </w:pPr>
            <w:r w:rsidRPr="00600ED9">
              <w:rPr>
                <w:rFonts w:cs="Calibri"/>
                <w:color w:val="000000"/>
                <w:sz w:val="20"/>
                <w:szCs w:val="20"/>
                <w:lang w:val="es-ES_tradnl"/>
              </w:rPr>
              <w:t xml:space="preserve">La Oficina de Comunicaciones y Publicaciones, de acuerdo con su Plan de Acción, ejecuta un conjunto de actividades para promover la comunicación interna, a través del uso de diferentes herramientas, tales como el </w:t>
            </w:r>
            <w:r w:rsidRPr="00600ED9">
              <w:rPr>
                <w:sz w:val="20"/>
                <w:szCs w:val="20"/>
                <w:lang w:val="es-ES_tradnl"/>
              </w:rPr>
              <w:t>correo electrónico</w:t>
            </w:r>
            <w:r w:rsidRPr="00600ED9">
              <w:rPr>
                <w:rFonts w:cs="Calibri"/>
                <w:color w:val="000000"/>
                <w:sz w:val="20"/>
                <w:szCs w:val="20"/>
                <w:lang w:val="es-ES_tradnl"/>
              </w:rPr>
              <w:t xml:space="preserve">, la Intranet y las carteleras digitales, entre otras.  Sin embargo, en la medida que dichas actividades </w:t>
            </w:r>
            <w:r w:rsidRPr="00600ED9">
              <w:rPr>
                <w:sz w:val="20"/>
                <w:szCs w:val="20"/>
                <w:lang w:val="es-ES_tradnl"/>
              </w:rPr>
              <w:t>no están asociadas a un plan o programa, como parte del desarrollo de una estrategia formal de comunicaciones, no es posible establecer su efectividad.</w:t>
            </w:r>
          </w:p>
          <w:p w:rsidR="00B02C0F" w:rsidRPr="00600ED9" w:rsidRDefault="00B02C0F" w:rsidP="00FB1954">
            <w:pPr>
              <w:pStyle w:val="NoSpacing"/>
              <w:jc w:val="both"/>
              <w:rPr>
                <w:rFonts w:cs="Calibri"/>
                <w:color w:val="000000"/>
                <w:sz w:val="20"/>
                <w:szCs w:val="20"/>
                <w:lang w:val="es-ES_tradnl"/>
              </w:rPr>
            </w:pPr>
          </w:p>
        </w:tc>
      </w:tr>
    </w:tbl>
    <w:p w:rsidR="003B04AB" w:rsidRPr="00600ED9" w:rsidRDefault="003B04AB" w:rsidP="00FB1954">
      <w:pPr>
        <w:pStyle w:val="NoSpacing"/>
        <w:ind w:left="720"/>
        <w:rPr>
          <w:sz w:val="24"/>
          <w:lang w:val="es-ES_tradnl"/>
        </w:rPr>
      </w:pPr>
    </w:p>
    <w:p w:rsidR="00575F68" w:rsidRPr="00600ED9" w:rsidRDefault="003B04AB" w:rsidP="00FB1954">
      <w:pPr>
        <w:pStyle w:val="NoSpacing"/>
        <w:ind w:left="720"/>
        <w:rPr>
          <w:szCs w:val="20"/>
          <w:lang w:val="es-ES_tradnl"/>
        </w:rPr>
      </w:pPr>
      <w:r w:rsidRPr="00600ED9">
        <w:rPr>
          <w:b/>
          <w:bCs/>
          <w:smallCaps/>
          <w:lang w:val="es-ES_tradnl"/>
        </w:rPr>
        <w:t>Recomendaciones:</w:t>
      </w:r>
      <w:r w:rsidR="00B02C0F" w:rsidRPr="00600ED9">
        <w:rPr>
          <w:b/>
          <w:bCs/>
          <w:smallCaps/>
          <w:lang w:val="es-ES_tradnl"/>
        </w:rPr>
        <w:t xml:space="preserve"> </w:t>
      </w:r>
      <w:r w:rsidR="005120A2" w:rsidRPr="00600ED9">
        <w:rPr>
          <w:szCs w:val="20"/>
          <w:lang w:val="es-ES_tradnl"/>
        </w:rPr>
        <w:t>Consultar el</w:t>
      </w:r>
      <w:r w:rsidR="00CA3E61" w:rsidRPr="00600ED9">
        <w:rPr>
          <w:szCs w:val="20"/>
          <w:lang w:val="es-ES_tradnl"/>
        </w:rPr>
        <w:t xml:space="preserve"> Anexo </w:t>
      </w:r>
      <w:r w:rsidR="002046D0" w:rsidRPr="00600ED9">
        <w:rPr>
          <w:szCs w:val="20"/>
          <w:lang w:val="es-ES_tradnl"/>
        </w:rPr>
        <w:t>A</w:t>
      </w:r>
      <w:r w:rsidR="00CA3E61" w:rsidRPr="00600ED9">
        <w:rPr>
          <w:szCs w:val="20"/>
          <w:lang w:val="es-ES_tradnl"/>
        </w:rPr>
        <w:t xml:space="preserve">: Plan de Acción, </w:t>
      </w:r>
      <w:r w:rsidR="00F866E5" w:rsidRPr="00600ED9">
        <w:rPr>
          <w:szCs w:val="20"/>
          <w:lang w:val="es-ES_tradnl"/>
        </w:rPr>
        <w:t xml:space="preserve">recomendaciones </w:t>
      </w:r>
      <w:r w:rsidR="00C153F7" w:rsidRPr="00600ED9">
        <w:rPr>
          <w:szCs w:val="20"/>
          <w:lang w:val="es-ES_tradnl"/>
        </w:rPr>
        <w:t>No. 26 y 27</w:t>
      </w:r>
      <w:r w:rsidR="00CA3E61" w:rsidRPr="00600ED9">
        <w:rPr>
          <w:szCs w:val="20"/>
          <w:lang w:val="es-ES_tradnl"/>
        </w:rPr>
        <w:t>.</w:t>
      </w:r>
    </w:p>
    <w:p w:rsidR="00181522" w:rsidRPr="00600ED9" w:rsidRDefault="00181522" w:rsidP="00FB1954">
      <w:pPr>
        <w:pStyle w:val="NoSpacing"/>
        <w:ind w:left="720"/>
        <w:rPr>
          <w:szCs w:val="20"/>
          <w:lang w:val="es-ES_tradnl"/>
        </w:rPr>
      </w:pPr>
    </w:p>
    <w:p w:rsidR="003B04AB" w:rsidRPr="00600ED9" w:rsidRDefault="00720E42" w:rsidP="00FB1954">
      <w:pPr>
        <w:pStyle w:val="Heading2"/>
        <w:spacing w:before="0" w:line="240" w:lineRule="auto"/>
      </w:pPr>
      <w:bookmarkStart w:id="40" w:name="_Toc295932932"/>
      <w:r w:rsidRPr="00600ED9">
        <w:lastRenderedPageBreak/>
        <w:t>EFS23 - Comunicación con el Poder Legislativo, Ejecutivo y Judicial</w:t>
      </w:r>
      <w:bookmarkEnd w:id="40"/>
    </w:p>
    <w:p w:rsidR="00F866E5" w:rsidRPr="00600ED9" w:rsidRDefault="00F866E5" w:rsidP="00FB1954">
      <w:pPr>
        <w:pStyle w:val="NoSpacing"/>
        <w:rPr>
          <w:lang w:val="es-ES_tradnl"/>
        </w:rPr>
      </w:pPr>
    </w:p>
    <w:tbl>
      <w:tblPr>
        <w:tblW w:w="8195" w:type="dxa"/>
        <w:tblInd w:w="720" w:type="dxa"/>
        <w:tblCellMar>
          <w:left w:w="70" w:type="dxa"/>
          <w:right w:w="70" w:type="dxa"/>
        </w:tblCellMar>
        <w:tblLook w:val="04A0" w:firstRow="1" w:lastRow="0" w:firstColumn="1" w:lastColumn="0" w:noHBand="0" w:noVBand="1"/>
      </w:tblPr>
      <w:tblGrid>
        <w:gridCol w:w="2408"/>
        <w:gridCol w:w="1287"/>
        <w:gridCol w:w="1980"/>
        <w:gridCol w:w="1260"/>
        <w:gridCol w:w="175"/>
        <w:gridCol w:w="1085"/>
      </w:tblGrid>
      <w:tr w:rsidR="006F4A97" w:rsidRPr="00600ED9" w:rsidTr="00962C03">
        <w:trPr>
          <w:trHeight w:val="255"/>
        </w:trPr>
        <w:tc>
          <w:tcPr>
            <w:tcW w:w="2408" w:type="dxa"/>
            <w:tcBorders>
              <w:top w:val="nil"/>
              <w:left w:val="nil"/>
              <w:bottom w:val="nil"/>
              <w:right w:val="nil"/>
            </w:tcBorders>
            <w:shd w:val="clear" w:color="auto" w:fill="auto"/>
            <w:noWrap/>
            <w:vAlign w:val="bottom"/>
            <w:hideMark/>
          </w:tcPr>
          <w:p w:rsidR="006F4A97" w:rsidRPr="00600ED9" w:rsidRDefault="006F4A97" w:rsidP="00FB1954">
            <w:pPr>
              <w:pStyle w:val="NoSpacing"/>
              <w:tabs>
                <w:tab w:val="center" w:pos="4680"/>
                <w:tab w:val="right" w:pos="9360"/>
              </w:tabs>
              <w:jc w:val="center"/>
              <w:rPr>
                <w:sz w:val="20"/>
                <w:lang w:val="es-ES_tradnl"/>
              </w:rPr>
            </w:pPr>
          </w:p>
        </w:tc>
        <w:tc>
          <w:tcPr>
            <w:tcW w:w="4527" w:type="dxa"/>
            <w:gridSpan w:val="3"/>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6F4A97" w:rsidRPr="00600ED9" w:rsidRDefault="006F4A97" w:rsidP="00FB1954">
            <w:pPr>
              <w:pStyle w:val="NoSpacing"/>
              <w:jc w:val="center"/>
              <w:rPr>
                <w:b/>
                <w:bCs/>
                <w:sz w:val="20"/>
                <w:lang w:val="es-ES_tradnl"/>
              </w:rPr>
            </w:pPr>
            <w:r w:rsidRPr="00600ED9">
              <w:rPr>
                <w:b/>
                <w:bCs/>
                <w:sz w:val="20"/>
                <w:lang w:val="es-ES_tradnl"/>
              </w:rPr>
              <w:t>Dimensiones Evaluadas</w:t>
            </w:r>
          </w:p>
        </w:tc>
        <w:tc>
          <w:tcPr>
            <w:tcW w:w="175" w:type="dxa"/>
            <w:tcBorders>
              <w:top w:val="nil"/>
              <w:left w:val="nil"/>
              <w:bottom w:val="nil"/>
              <w:right w:val="nil"/>
            </w:tcBorders>
            <w:shd w:val="clear" w:color="auto" w:fill="auto"/>
            <w:noWrap/>
            <w:vAlign w:val="bottom"/>
            <w:hideMark/>
          </w:tcPr>
          <w:p w:rsidR="006F4A97" w:rsidRPr="00600ED9" w:rsidRDefault="006F4A97" w:rsidP="00FB1954">
            <w:pPr>
              <w:pStyle w:val="NoSpacing"/>
              <w:tabs>
                <w:tab w:val="center" w:pos="4680"/>
                <w:tab w:val="right" w:pos="9360"/>
              </w:tabs>
              <w:jc w:val="center"/>
              <w:rPr>
                <w:sz w:val="20"/>
                <w:lang w:val="es-ES_tradnl"/>
              </w:rPr>
            </w:pPr>
          </w:p>
        </w:tc>
        <w:tc>
          <w:tcPr>
            <w:tcW w:w="1085" w:type="dxa"/>
            <w:vMerge w:val="restart"/>
            <w:tcBorders>
              <w:top w:val="single" w:sz="4" w:space="0" w:color="auto"/>
              <w:left w:val="single" w:sz="4" w:space="0" w:color="auto"/>
              <w:right w:val="single" w:sz="4" w:space="0" w:color="auto"/>
            </w:tcBorders>
            <w:shd w:val="clear" w:color="000000" w:fill="95B3D7"/>
            <w:vAlign w:val="center"/>
            <w:hideMark/>
          </w:tcPr>
          <w:p w:rsidR="006F4A97" w:rsidRPr="00600ED9" w:rsidRDefault="006F4A97" w:rsidP="00FB1954">
            <w:pPr>
              <w:pStyle w:val="NoSpacing"/>
              <w:jc w:val="center"/>
              <w:rPr>
                <w:b/>
                <w:bCs/>
                <w:sz w:val="20"/>
                <w:lang w:val="es-ES_tradnl"/>
              </w:rPr>
            </w:pPr>
            <w:r w:rsidRPr="00600ED9">
              <w:rPr>
                <w:b/>
                <w:bCs/>
                <w:sz w:val="20"/>
                <w:lang w:val="es-ES_tradnl"/>
              </w:rPr>
              <w:t>Puntuación General</w:t>
            </w:r>
          </w:p>
        </w:tc>
      </w:tr>
      <w:tr w:rsidR="006F4A97" w:rsidRPr="00600ED9" w:rsidTr="00962C03">
        <w:trPr>
          <w:trHeight w:val="390"/>
        </w:trPr>
        <w:tc>
          <w:tcPr>
            <w:tcW w:w="2408"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6F4A97" w:rsidRPr="00600ED9" w:rsidRDefault="006F4A97" w:rsidP="00FB1954">
            <w:pPr>
              <w:pStyle w:val="NoSpacing"/>
              <w:jc w:val="center"/>
              <w:rPr>
                <w:b/>
                <w:bCs/>
                <w:sz w:val="20"/>
                <w:lang w:val="es-ES_tradnl"/>
              </w:rPr>
            </w:pPr>
            <w:r w:rsidRPr="00600ED9">
              <w:rPr>
                <w:b/>
                <w:bCs/>
                <w:sz w:val="20"/>
                <w:lang w:val="es-ES_tradnl"/>
              </w:rPr>
              <w:t>Indicadores</w:t>
            </w:r>
          </w:p>
        </w:tc>
        <w:tc>
          <w:tcPr>
            <w:tcW w:w="1287" w:type="dxa"/>
            <w:tcBorders>
              <w:top w:val="nil"/>
              <w:left w:val="nil"/>
              <w:bottom w:val="single" w:sz="4" w:space="0" w:color="auto"/>
              <w:right w:val="single" w:sz="4" w:space="0" w:color="auto"/>
            </w:tcBorders>
            <w:shd w:val="clear" w:color="000000" w:fill="D8D8D8"/>
            <w:noWrap/>
            <w:hideMark/>
          </w:tcPr>
          <w:p w:rsidR="006F4A97" w:rsidRPr="00600ED9" w:rsidRDefault="00D91E93" w:rsidP="00FB1954">
            <w:pPr>
              <w:pStyle w:val="NoSpacing"/>
              <w:jc w:val="center"/>
              <w:rPr>
                <w:b/>
                <w:bCs/>
                <w:w w:val="90"/>
                <w:sz w:val="20"/>
                <w:lang w:val="es-ES_tradnl"/>
              </w:rPr>
            </w:pPr>
            <w:r w:rsidRPr="00600ED9">
              <w:rPr>
                <w:b/>
                <w:bCs/>
                <w:w w:val="90"/>
                <w:sz w:val="20"/>
                <w:lang w:val="es-ES_tradnl"/>
              </w:rPr>
              <w:t>(i)</w:t>
            </w:r>
          </w:p>
          <w:p w:rsidR="006F4A97" w:rsidRPr="00600ED9" w:rsidRDefault="006F4A97" w:rsidP="00FB1954">
            <w:pPr>
              <w:pStyle w:val="NoSpacing"/>
              <w:jc w:val="center"/>
              <w:rPr>
                <w:b/>
                <w:bCs/>
                <w:w w:val="90"/>
                <w:sz w:val="20"/>
                <w:lang w:val="es-ES_tradnl"/>
              </w:rPr>
            </w:pPr>
            <w:r w:rsidRPr="00600ED9">
              <w:rPr>
                <w:w w:val="90"/>
                <w:sz w:val="20"/>
                <w:lang w:val="es-ES_tradnl"/>
              </w:rPr>
              <w:t>Buenas prácticas con relación a la comunicación con el órgano Legislativo</w:t>
            </w:r>
          </w:p>
        </w:tc>
        <w:tc>
          <w:tcPr>
            <w:tcW w:w="1980" w:type="dxa"/>
            <w:tcBorders>
              <w:top w:val="nil"/>
              <w:left w:val="nil"/>
              <w:bottom w:val="single" w:sz="4" w:space="0" w:color="auto"/>
              <w:right w:val="single" w:sz="4" w:space="0" w:color="auto"/>
            </w:tcBorders>
            <w:shd w:val="clear" w:color="000000" w:fill="D8D8D8"/>
            <w:noWrap/>
            <w:hideMark/>
          </w:tcPr>
          <w:p w:rsidR="006F4A97" w:rsidRPr="00600ED9" w:rsidRDefault="00D91E93" w:rsidP="00FB1954">
            <w:pPr>
              <w:pStyle w:val="NoSpacing"/>
              <w:jc w:val="center"/>
              <w:rPr>
                <w:b/>
                <w:bCs/>
                <w:w w:val="90"/>
                <w:sz w:val="20"/>
                <w:lang w:val="es-ES_tradnl"/>
              </w:rPr>
            </w:pPr>
            <w:r w:rsidRPr="00600ED9">
              <w:rPr>
                <w:b/>
                <w:bCs/>
                <w:w w:val="90"/>
                <w:sz w:val="20"/>
                <w:lang w:val="es-ES_tradnl"/>
              </w:rPr>
              <w:t>(ii)</w:t>
            </w:r>
          </w:p>
          <w:p w:rsidR="006F4A97" w:rsidRPr="00600ED9" w:rsidRDefault="006F4A97" w:rsidP="00FB1954">
            <w:pPr>
              <w:pStyle w:val="NoSpacing"/>
              <w:jc w:val="center"/>
              <w:rPr>
                <w:b/>
                <w:bCs/>
                <w:w w:val="90"/>
                <w:sz w:val="20"/>
                <w:lang w:val="es-ES_tradnl"/>
              </w:rPr>
            </w:pPr>
            <w:r w:rsidRPr="00600ED9">
              <w:rPr>
                <w:w w:val="90"/>
                <w:sz w:val="20"/>
                <w:lang w:val="es-ES_tradnl"/>
              </w:rPr>
              <w:t>Buenas prácticas con relación a la comunicación con el Órgano Judicial, agencias de investigación y procuradurías/fiscalías</w:t>
            </w:r>
          </w:p>
        </w:tc>
        <w:tc>
          <w:tcPr>
            <w:tcW w:w="1260" w:type="dxa"/>
            <w:tcBorders>
              <w:top w:val="nil"/>
              <w:left w:val="nil"/>
              <w:bottom w:val="single" w:sz="4" w:space="0" w:color="auto"/>
              <w:right w:val="single" w:sz="4" w:space="0" w:color="auto"/>
            </w:tcBorders>
            <w:shd w:val="clear" w:color="000000" w:fill="D8D8D8"/>
            <w:noWrap/>
            <w:hideMark/>
          </w:tcPr>
          <w:p w:rsidR="006F4A97" w:rsidRPr="00600ED9" w:rsidRDefault="00D91E93" w:rsidP="00FB1954">
            <w:pPr>
              <w:pStyle w:val="NoSpacing"/>
              <w:jc w:val="center"/>
              <w:rPr>
                <w:b/>
                <w:bCs/>
                <w:w w:val="90"/>
                <w:sz w:val="20"/>
                <w:lang w:val="es-ES_tradnl"/>
              </w:rPr>
            </w:pPr>
            <w:r w:rsidRPr="00600ED9">
              <w:rPr>
                <w:b/>
                <w:bCs/>
                <w:w w:val="90"/>
                <w:sz w:val="20"/>
                <w:lang w:val="es-ES_tradnl"/>
              </w:rPr>
              <w:t>(iii)</w:t>
            </w:r>
          </w:p>
          <w:p w:rsidR="006F4A97" w:rsidRPr="00600ED9" w:rsidRDefault="006F4A97" w:rsidP="00FB1954">
            <w:pPr>
              <w:pStyle w:val="NoSpacing"/>
              <w:jc w:val="center"/>
              <w:rPr>
                <w:b/>
                <w:bCs/>
                <w:w w:val="90"/>
                <w:sz w:val="20"/>
                <w:lang w:val="es-ES_tradnl"/>
              </w:rPr>
            </w:pPr>
            <w:r w:rsidRPr="00600ED9">
              <w:rPr>
                <w:w w:val="90"/>
                <w:sz w:val="20"/>
                <w:lang w:val="es-ES_tradnl"/>
              </w:rPr>
              <w:t>Buenas prácticas con relación a la comunicación con el Ejecutivo</w:t>
            </w:r>
          </w:p>
        </w:tc>
        <w:tc>
          <w:tcPr>
            <w:tcW w:w="175" w:type="dxa"/>
            <w:tcBorders>
              <w:top w:val="nil"/>
              <w:left w:val="nil"/>
              <w:bottom w:val="nil"/>
              <w:right w:val="nil"/>
            </w:tcBorders>
            <w:shd w:val="clear" w:color="auto" w:fill="auto"/>
            <w:noWrap/>
            <w:hideMark/>
          </w:tcPr>
          <w:p w:rsidR="006F4A97" w:rsidRPr="00600ED9" w:rsidRDefault="006F4A97" w:rsidP="00FB1954">
            <w:pPr>
              <w:pStyle w:val="NoSpacing"/>
              <w:tabs>
                <w:tab w:val="center" w:pos="4680"/>
                <w:tab w:val="right" w:pos="9360"/>
              </w:tabs>
              <w:jc w:val="center"/>
              <w:rPr>
                <w:sz w:val="20"/>
                <w:lang w:val="es-ES_tradnl"/>
              </w:rPr>
            </w:pPr>
          </w:p>
        </w:tc>
        <w:tc>
          <w:tcPr>
            <w:tcW w:w="1085" w:type="dxa"/>
            <w:vMerge/>
            <w:tcBorders>
              <w:left w:val="single" w:sz="4" w:space="0" w:color="auto"/>
              <w:bottom w:val="single" w:sz="4" w:space="0" w:color="auto"/>
              <w:right w:val="single" w:sz="4" w:space="0" w:color="auto"/>
            </w:tcBorders>
            <w:shd w:val="clear" w:color="000000" w:fill="95B3D7"/>
            <w:hideMark/>
          </w:tcPr>
          <w:p w:rsidR="006F4A97" w:rsidRPr="00600ED9" w:rsidRDefault="006F4A97" w:rsidP="00FB1954">
            <w:pPr>
              <w:pStyle w:val="NoSpacing"/>
              <w:tabs>
                <w:tab w:val="center" w:pos="4680"/>
                <w:tab w:val="right" w:pos="9360"/>
              </w:tabs>
              <w:jc w:val="center"/>
              <w:rPr>
                <w:b/>
                <w:bCs/>
                <w:sz w:val="20"/>
                <w:lang w:val="es-ES_tradnl"/>
              </w:rPr>
            </w:pPr>
          </w:p>
        </w:tc>
      </w:tr>
      <w:tr w:rsidR="00AA1BE8" w:rsidRPr="00600ED9" w:rsidTr="00962C03">
        <w:trPr>
          <w:trHeight w:val="510"/>
        </w:trPr>
        <w:tc>
          <w:tcPr>
            <w:tcW w:w="2408" w:type="dxa"/>
            <w:tcBorders>
              <w:top w:val="nil"/>
              <w:left w:val="single" w:sz="4" w:space="0" w:color="auto"/>
              <w:bottom w:val="single" w:sz="4" w:space="0" w:color="auto"/>
              <w:right w:val="single" w:sz="4" w:space="0" w:color="auto"/>
            </w:tcBorders>
            <w:shd w:val="clear" w:color="auto" w:fill="auto"/>
            <w:vAlign w:val="center"/>
            <w:hideMark/>
          </w:tcPr>
          <w:p w:rsidR="00AA1BE8" w:rsidRPr="00600ED9" w:rsidRDefault="00AA1BE8" w:rsidP="00FB1954">
            <w:pPr>
              <w:pStyle w:val="NoSpacing"/>
              <w:jc w:val="center"/>
              <w:rPr>
                <w:b/>
                <w:bCs/>
                <w:sz w:val="20"/>
                <w:lang w:val="es-ES_tradnl"/>
              </w:rPr>
            </w:pPr>
            <w:r w:rsidRPr="00600ED9">
              <w:rPr>
                <w:rFonts w:eastAsia="Calibri" w:cs="Times New Roman"/>
                <w:b/>
                <w:sz w:val="20"/>
                <w:lang w:val="es-ES_tradnl"/>
              </w:rPr>
              <w:t>EFS23 - Comunicación con el Poder Legislativo, Ejecutivo y Judicial</w:t>
            </w:r>
          </w:p>
        </w:tc>
        <w:tc>
          <w:tcPr>
            <w:tcW w:w="1287" w:type="dxa"/>
            <w:tcBorders>
              <w:top w:val="nil"/>
              <w:left w:val="nil"/>
              <w:bottom w:val="single" w:sz="4" w:space="0" w:color="auto"/>
              <w:right w:val="single" w:sz="4" w:space="0" w:color="auto"/>
            </w:tcBorders>
            <w:shd w:val="clear" w:color="auto" w:fill="auto"/>
            <w:noWrap/>
            <w:vAlign w:val="center"/>
          </w:tcPr>
          <w:p w:rsidR="00AA1BE8" w:rsidRPr="00600ED9" w:rsidRDefault="00AA1BE8" w:rsidP="00FB1954">
            <w:pPr>
              <w:pStyle w:val="NoSpacing"/>
              <w:jc w:val="center"/>
              <w:rPr>
                <w:b/>
                <w:bCs/>
                <w:sz w:val="20"/>
                <w:lang w:val="es-ES_tradnl"/>
              </w:rPr>
            </w:pPr>
            <w:r w:rsidRPr="00600ED9">
              <w:rPr>
                <w:b/>
                <w:bCs/>
                <w:sz w:val="20"/>
                <w:lang w:val="es-ES_tradnl"/>
              </w:rPr>
              <w:t>3</w:t>
            </w:r>
          </w:p>
        </w:tc>
        <w:tc>
          <w:tcPr>
            <w:tcW w:w="1980" w:type="dxa"/>
            <w:tcBorders>
              <w:top w:val="nil"/>
              <w:left w:val="nil"/>
              <w:bottom w:val="single" w:sz="4" w:space="0" w:color="auto"/>
              <w:right w:val="single" w:sz="4" w:space="0" w:color="auto"/>
            </w:tcBorders>
            <w:shd w:val="clear" w:color="auto" w:fill="auto"/>
            <w:noWrap/>
            <w:vAlign w:val="center"/>
          </w:tcPr>
          <w:p w:rsidR="00AA1BE8" w:rsidRPr="00600ED9" w:rsidRDefault="00AA1BE8" w:rsidP="00FB1954">
            <w:pPr>
              <w:pStyle w:val="NoSpacing"/>
              <w:jc w:val="center"/>
              <w:rPr>
                <w:b/>
                <w:bCs/>
                <w:sz w:val="20"/>
                <w:lang w:val="es-ES_tradnl"/>
              </w:rPr>
            </w:pPr>
            <w:r w:rsidRPr="00600ED9">
              <w:rPr>
                <w:b/>
                <w:bCs/>
                <w:sz w:val="20"/>
                <w:lang w:val="es-ES_tradnl"/>
              </w:rPr>
              <w:t>1</w:t>
            </w:r>
          </w:p>
        </w:tc>
        <w:tc>
          <w:tcPr>
            <w:tcW w:w="1260" w:type="dxa"/>
            <w:tcBorders>
              <w:top w:val="nil"/>
              <w:left w:val="nil"/>
              <w:bottom w:val="single" w:sz="4" w:space="0" w:color="auto"/>
              <w:right w:val="single" w:sz="4" w:space="0" w:color="auto"/>
            </w:tcBorders>
            <w:shd w:val="clear" w:color="auto" w:fill="auto"/>
            <w:noWrap/>
            <w:vAlign w:val="center"/>
          </w:tcPr>
          <w:p w:rsidR="00AA1BE8" w:rsidRPr="00600ED9" w:rsidRDefault="00AA1BE8" w:rsidP="00FB1954">
            <w:pPr>
              <w:pStyle w:val="NoSpacing"/>
              <w:jc w:val="center"/>
              <w:rPr>
                <w:b/>
                <w:bCs/>
                <w:sz w:val="20"/>
                <w:lang w:val="es-ES_tradnl"/>
              </w:rPr>
            </w:pPr>
            <w:r w:rsidRPr="00600ED9">
              <w:rPr>
                <w:b/>
                <w:bCs/>
                <w:sz w:val="20"/>
                <w:lang w:val="es-ES_tradnl"/>
              </w:rPr>
              <w:t>3</w:t>
            </w:r>
          </w:p>
        </w:tc>
        <w:tc>
          <w:tcPr>
            <w:tcW w:w="175" w:type="dxa"/>
            <w:tcBorders>
              <w:top w:val="nil"/>
              <w:left w:val="nil"/>
              <w:bottom w:val="nil"/>
              <w:right w:val="nil"/>
            </w:tcBorders>
            <w:shd w:val="clear" w:color="auto" w:fill="auto"/>
            <w:noWrap/>
            <w:vAlign w:val="bottom"/>
          </w:tcPr>
          <w:p w:rsidR="00AA1BE8" w:rsidRPr="00600ED9" w:rsidRDefault="00AA1BE8" w:rsidP="00FB1954">
            <w:pPr>
              <w:pStyle w:val="NoSpacing"/>
              <w:tabs>
                <w:tab w:val="center" w:pos="4680"/>
                <w:tab w:val="right" w:pos="9360"/>
              </w:tabs>
              <w:jc w:val="center"/>
              <w:rPr>
                <w:sz w:val="20"/>
                <w:lang w:val="es-ES_tradnl"/>
              </w:rPr>
            </w:pPr>
          </w:p>
        </w:tc>
        <w:tc>
          <w:tcPr>
            <w:tcW w:w="1085" w:type="dxa"/>
            <w:tcBorders>
              <w:top w:val="nil"/>
              <w:left w:val="single" w:sz="4" w:space="0" w:color="auto"/>
              <w:bottom w:val="single" w:sz="4" w:space="0" w:color="auto"/>
              <w:right w:val="single" w:sz="4" w:space="0" w:color="auto"/>
            </w:tcBorders>
            <w:shd w:val="clear" w:color="auto" w:fill="auto"/>
            <w:noWrap/>
            <w:vAlign w:val="center"/>
          </w:tcPr>
          <w:p w:rsidR="00AA1BE8" w:rsidRPr="00600ED9" w:rsidRDefault="00AA1BE8" w:rsidP="00FB1954">
            <w:pPr>
              <w:pStyle w:val="NoSpacing"/>
              <w:jc w:val="center"/>
              <w:rPr>
                <w:b/>
                <w:sz w:val="20"/>
                <w:lang w:val="es-ES_tradnl"/>
              </w:rPr>
            </w:pPr>
            <w:r w:rsidRPr="00600ED9">
              <w:rPr>
                <w:b/>
                <w:sz w:val="20"/>
                <w:lang w:val="es-ES_tradnl"/>
              </w:rPr>
              <w:t>2</w:t>
            </w:r>
          </w:p>
        </w:tc>
      </w:tr>
    </w:tbl>
    <w:p w:rsidR="007C59D2" w:rsidRPr="00600ED9" w:rsidRDefault="007C59D2" w:rsidP="00FB1954">
      <w:pPr>
        <w:pStyle w:val="NoSpacing"/>
        <w:ind w:left="720"/>
        <w:jc w:val="both"/>
        <w:rPr>
          <w:lang w:val="es-ES_tradnl"/>
        </w:rPr>
      </w:pPr>
    </w:p>
    <w:p w:rsidR="006F4A97" w:rsidRPr="00600ED9" w:rsidRDefault="00AA1BE8" w:rsidP="00FB1954">
      <w:pPr>
        <w:pStyle w:val="NoSpacing"/>
        <w:ind w:left="720"/>
        <w:jc w:val="both"/>
        <w:rPr>
          <w:rFonts w:cs="Calibri"/>
          <w:color w:val="000000"/>
          <w:szCs w:val="20"/>
          <w:lang w:val="es-ES_tradnl"/>
        </w:rPr>
      </w:pPr>
      <w:r w:rsidRPr="00600ED9">
        <w:rPr>
          <w:rFonts w:cs="Calibri"/>
          <w:color w:val="000000"/>
          <w:szCs w:val="20"/>
          <w:lang w:val="es-ES_tradnl"/>
        </w:rPr>
        <w:t xml:space="preserve">La Contraloría es consciente de la importancia de la comunicación con los diferentes </w:t>
      </w:r>
      <w:r w:rsidR="00D91E93" w:rsidRPr="00600ED9">
        <w:rPr>
          <w:rFonts w:cs="Calibri"/>
          <w:color w:val="000000"/>
          <w:szCs w:val="20"/>
          <w:lang w:val="es-ES_tradnl"/>
        </w:rPr>
        <w:t>P</w:t>
      </w:r>
      <w:r w:rsidRPr="00600ED9">
        <w:rPr>
          <w:rFonts w:cs="Calibri"/>
          <w:color w:val="000000"/>
          <w:szCs w:val="20"/>
          <w:lang w:val="es-ES_tradnl"/>
        </w:rPr>
        <w:t xml:space="preserve">oderes del </w:t>
      </w:r>
      <w:r w:rsidR="00D91E93" w:rsidRPr="00600ED9">
        <w:rPr>
          <w:rFonts w:cs="Calibri"/>
          <w:color w:val="000000"/>
          <w:szCs w:val="20"/>
          <w:lang w:val="es-ES_tradnl"/>
        </w:rPr>
        <w:t>E</w:t>
      </w:r>
      <w:r w:rsidRPr="00600ED9">
        <w:rPr>
          <w:rFonts w:cs="Calibri"/>
          <w:color w:val="000000"/>
          <w:szCs w:val="20"/>
          <w:lang w:val="es-ES_tradnl"/>
        </w:rPr>
        <w:t>stado y ha implementado acciones para man</w:t>
      </w:r>
      <w:r w:rsidR="00B02C0F" w:rsidRPr="00600ED9">
        <w:rPr>
          <w:rFonts w:cs="Calibri"/>
          <w:color w:val="000000"/>
          <w:szCs w:val="20"/>
          <w:lang w:val="es-ES_tradnl"/>
        </w:rPr>
        <w:t xml:space="preserve">tener una comunicación fluida. </w:t>
      </w:r>
      <w:r w:rsidRPr="00600ED9">
        <w:rPr>
          <w:rFonts w:cs="Calibri"/>
          <w:color w:val="000000"/>
          <w:szCs w:val="20"/>
          <w:lang w:val="es-ES_tradnl"/>
        </w:rPr>
        <w:t xml:space="preserve">Sin embargo, salvo en lo referente a la comunicación con el </w:t>
      </w:r>
      <w:r w:rsidR="00D91E93" w:rsidRPr="00600ED9">
        <w:rPr>
          <w:rFonts w:cs="Calibri"/>
          <w:color w:val="000000"/>
          <w:szCs w:val="20"/>
          <w:lang w:val="es-ES_tradnl"/>
        </w:rPr>
        <w:t>P</w:t>
      </w:r>
      <w:r w:rsidRPr="00600ED9">
        <w:rPr>
          <w:rFonts w:cs="Calibri"/>
          <w:color w:val="000000"/>
          <w:szCs w:val="20"/>
          <w:lang w:val="es-ES_tradnl"/>
        </w:rPr>
        <w:t xml:space="preserve">oder </w:t>
      </w:r>
      <w:r w:rsidR="00D91E93" w:rsidRPr="00600ED9">
        <w:rPr>
          <w:rFonts w:cs="Calibri"/>
          <w:color w:val="000000"/>
          <w:szCs w:val="20"/>
          <w:lang w:val="es-ES_tradnl"/>
        </w:rPr>
        <w:t>L</w:t>
      </w:r>
      <w:r w:rsidRPr="00600ED9">
        <w:rPr>
          <w:rFonts w:cs="Calibri"/>
          <w:color w:val="000000"/>
          <w:szCs w:val="20"/>
          <w:lang w:val="es-ES_tradnl"/>
        </w:rPr>
        <w:t xml:space="preserve">egislativo, </w:t>
      </w:r>
      <w:r w:rsidRPr="00600ED9">
        <w:rPr>
          <w:rFonts w:cs="Calibri"/>
          <w:i/>
          <w:color w:val="000000"/>
          <w:szCs w:val="20"/>
          <w:lang w:val="es-ES_tradnl"/>
        </w:rPr>
        <w:t>no</w:t>
      </w:r>
      <w:r w:rsidRPr="00600ED9">
        <w:rPr>
          <w:rFonts w:cs="Calibri"/>
          <w:color w:val="000000"/>
          <w:szCs w:val="20"/>
          <w:lang w:val="es-ES_tradnl"/>
        </w:rPr>
        <w:t xml:space="preserve"> dispone de políticas y procedimientos formales para la comunicación con los </w:t>
      </w:r>
      <w:r w:rsidR="00D91E93" w:rsidRPr="00600ED9">
        <w:rPr>
          <w:rFonts w:cs="Calibri"/>
          <w:color w:val="000000"/>
          <w:szCs w:val="20"/>
          <w:lang w:val="es-ES_tradnl"/>
        </w:rPr>
        <w:t>otros P</w:t>
      </w:r>
      <w:r w:rsidRPr="00600ED9">
        <w:rPr>
          <w:rFonts w:cs="Calibri"/>
          <w:color w:val="000000"/>
          <w:szCs w:val="20"/>
          <w:lang w:val="es-ES_tradnl"/>
        </w:rPr>
        <w:t>oderes, entre las cuales se considere: i) la socialización del rol y alcance de su mandato, ii) la retroalimentación sobre su desempeño y iii) la confirmación sobre el entendimiento de sus productos y la atención de las expectativas de las partes, entre otros.</w:t>
      </w:r>
    </w:p>
    <w:p w:rsidR="006F4A97" w:rsidRPr="00600ED9" w:rsidRDefault="006F4A97" w:rsidP="00FB1954">
      <w:pPr>
        <w:pStyle w:val="NoSpacing"/>
        <w:ind w:left="720"/>
        <w:jc w:val="both"/>
        <w:rPr>
          <w:rFonts w:cs="Calibri"/>
          <w:color w:val="000000"/>
          <w:szCs w:val="20"/>
          <w:lang w:val="es-ES_tradnl"/>
        </w:rPr>
      </w:pPr>
    </w:p>
    <w:p w:rsidR="00962C03" w:rsidRPr="00600ED9" w:rsidRDefault="00AA1BE8" w:rsidP="00FB1954">
      <w:pPr>
        <w:pStyle w:val="NoSpacing"/>
        <w:ind w:left="720"/>
        <w:jc w:val="both"/>
        <w:rPr>
          <w:szCs w:val="20"/>
          <w:lang w:val="es-ES_tradnl"/>
        </w:rPr>
      </w:pPr>
      <w:r w:rsidRPr="00600ED9">
        <w:rPr>
          <w:rFonts w:cs="Calibri"/>
          <w:color w:val="000000"/>
          <w:szCs w:val="20"/>
          <w:lang w:val="es-ES_tradnl"/>
        </w:rPr>
        <w:t xml:space="preserve">Las acciones de comunicación se enfocan en el </w:t>
      </w:r>
      <w:r w:rsidR="00D91E93" w:rsidRPr="00600ED9">
        <w:rPr>
          <w:rFonts w:cs="Calibri"/>
          <w:color w:val="000000"/>
          <w:szCs w:val="20"/>
          <w:lang w:val="es-ES_tradnl"/>
        </w:rPr>
        <w:t>P</w:t>
      </w:r>
      <w:r w:rsidRPr="00600ED9">
        <w:rPr>
          <w:rFonts w:cs="Calibri"/>
          <w:color w:val="000000"/>
          <w:szCs w:val="20"/>
          <w:lang w:val="es-ES_tradnl"/>
        </w:rPr>
        <w:t xml:space="preserve">oder </w:t>
      </w:r>
      <w:r w:rsidR="00D91E93" w:rsidRPr="00600ED9">
        <w:rPr>
          <w:rFonts w:cs="Calibri"/>
          <w:color w:val="000000"/>
          <w:szCs w:val="20"/>
          <w:lang w:val="es-ES_tradnl"/>
        </w:rPr>
        <w:t>L</w:t>
      </w:r>
      <w:r w:rsidRPr="00600ED9">
        <w:rPr>
          <w:rFonts w:cs="Calibri"/>
          <w:color w:val="000000"/>
          <w:szCs w:val="20"/>
          <w:lang w:val="es-ES_tradnl"/>
        </w:rPr>
        <w:t xml:space="preserve">egislativo, por ser el organismo al que reporta y principal usuario de sus servicios. Sin embargo, el </w:t>
      </w:r>
      <w:r w:rsidR="00D91E93" w:rsidRPr="00600ED9">
        <w:rPr>
          <w:rFonts w:cs="Calibri"/>
          <w:color w:val="000000"/>
          <w:szCs w:val="20"/>
          <w:lang w:val="es-ES_tradnl"/>
        </w:rPr>
        <w:t>P</w:t>
      </w:r>
      <w:r w:rsidRPr="00600ED9">
        <w:rPr>
          <w:rFonts w:cs="Calibri"/>
          <w:color w:val="000000"/>
          <w:szCs w:val="20"/>
          <w:lang w:val="es-ES_tradnl"/>
        </w:rPr>
        <w:t xml:space="preserve">oder </w:t>
      </w:r>
      <w:r w:rsidR="00D91E93" w:rsidRPr="00600ED9">
        <w:rPr>
          <w:rFonts w:cs="Calibri"/>
          <w:color w:val="000000"/>
          <w:szCs w:val="20"/>
          <w:lang w:val="es-ES_tradnl"/>
        </w:rPr>
        <w:t>J</w:t>
      </w:r>
      <w:r w:rsidRPr="00600ED9">
        <w:rPr>
          <w:rFonts w:cs="Calibri"/>
          <w:color w:val="000000"/>
          <w:szCs w:val="20"/>
          <w:lang w:val="es-ES_tradnl"/>
        </w:rPr>
        <w:t xml:space="preserve">udicial, la Fiscalía General de la Nación y la Procuraduría General de la República son actores claves también, debido a que son receptores de asuntos referentes a sus propias jurisdicciones, pero que puedan originarse en la gestión de la </w:t>
      </w:r>
      <w:r w:rsidR="00431CA4" w:rsidRPr="00600ED9">
        <w:rPr>
          <w:rFonts w:cs="Calibri"/>
          <w:color w:val="000000"/>
          <w:szCs w:val="20"/>
          <w:lang w:val="es-ES_tradnl"/>
        </w:rPr>
        <w:t>CGRC</w:t>
      </w:r>
      <w:r w:rsidRPr="00600ED9">
        <w:rPr>
          <w:rFonts w:cs="Calibri"/>
          <w:color w:val="000000"/>
          <w:szCs w:val="20"/>
          <w:lang w:val="es-ES_tradnl"/>
        </w:rPr>
        <w:t>. Un cabal entendimiento entre dichas partes, por ejemplo, mediante protocolos de comunicación sobre expedientes y otros asuntos de interés mutuo, optimizarán el rol de tales instituciones y contribuirá a mejorar los resultados de las mismas</w:t>
      </w:r>
      <w:r w:rsidR="003B04AB" w:rsidRPr="00600ED9">
        <w:rPr>
          <w:szCs w:val="20"/>
          <w:lang w:val="es-ES_tradnl"/>
        </w:rPr>
        <w:t>.</w:t>
      </w:r>
    </w:p>
    <w:p w:rsidR="00CB7119" w:rsidRPr="00600ED9" w:rsidRDefault="00CB7119" w:rsidP="00FB1954">
      <w:pPr>
        <w:pStyle w:val="NoSpacing"/>
        <w:ind w:left="720"/>
        <w:jc w:val="both"/>
        <w:rPr>
          <w:sz w:val="18"/>
          <w:lang w:val="es-ES_tradnl"/>
        </w:rPr>
      </w:pPr>
    </w:p>
    <w:tbl>
      <w:tblPr>
        <w:tblStyle w:val="TableGrid"/>
        <w:tblW w:w="9356" w:type="dxa"/>
        <w:tblInd w:w="817" w:type="dxa"/>
        <w:tblLook w:val="04A0" w:firstRow="1" w:lastRow="0" w:firstColumn="1" w:lastColumn="0" w:noHBand="0" w:noVBand="1"/>
      </w:tblPr>
      <w:tblGrid>
        <w:gridCol w:w="9356"/>
      </w:tblGrid>
      <w:tr w:rsidR="004F7D01" w:rsidRPr="00600ED9" w:rsidTr="00CB7119">
        <w:trPr>
          <w:tblHeader/>
        </w:trPr>
        <w:tc>
          <w:tcPr>
            <w:tcW w:w="9356" w:type="dxa"/>
            <w:shd w:val="clear" w:color="auto" w:fill="365F91" w:themeFill="accent1" w:themeFillShade="BF"/>
          </w:tcPr>
          <w:p w:rsidR="004F7D01" w:rsidRPr="00600ED9" w:rsidRDefault="004F7D01" w:rsidP="00FB1954">
            <w:pPr>
              <w:pStyle w:val="NoSpacing"/>
              <w:rPr>
                <w:b/>
                <w:color w:val="FFFFFF" w:themeColor="background1"/>
                <w:sz w:val="20"/>
                <w:szCs w:val="20"/>
                <w:lang w:val="es-ES_tradnl"/>
              </w:rPr>
            </w:pPr>
            <w:r w:rsidRPr="00600ED9">
              <w:rPr>
                <w:b/>
                <w:color w:val="FFFFFF" w:themeColor="background1"/>
                <w:sz w:val="20"/>
                <w:szCs w:val="20"/>
                <w:lang w:val="es-ES_tradnl"/>
              </w:rPr>
              <w:t xml:space="preserve">Principales observaciones y conclusiones </w:t>
            </w:r>
          </w:p>
        </w:tc>
      </w:tr>
      <w:tr w:rsidR="004F7D01" w:rsidRPr="00600ED9" w:rsidTr="00CB7119">
        <w:tc>
          <w:tcPr>
            <w:tcW w:w="9356" w:type="dxa"/>
            <w:shd w:val="clear" w:color="auto" w:fill="D9D9D9" w:themeFill="background1" w:themeFillShade="D9"/>
          </w:tcPr>
          <w:p w:rsidR="004F7D01" w:rsidRPr="00600ED9" w:rsidRDefault="004F7D01" w:rsidP="00FB1954">
            <w:pPr>
              <w:pStyle w:val="NoSpacing"/>
              <w:rPr>
                <w:b/>
                <w:i/>
                <w:sz w:val="20"/>
                <w:szCs w:val="20"/>
                <w:lang w:val="es-ES_tradnl"/>
              </w:rPr>
            </w:pPr>
            <w:r w:rsidRPr="00600ED9">
              <w:rPr>
                <w:b/>
                <w:i/>
                <w:sz w:val="20"/>
                <w:szCs w:val="20"/>
                <w:lang w:val="es-ES_tradnl"/>
              </w:rPr>
              <w:t>Dimensión (i) Buenas prácticas referentes a la comunicación con el Poder Legislativo</w:t>
            </w:r>
          </w:p>
        </w:tc>
      </w:tr>
      <w:tr w:rsidR="004F7D01" w:rsidRPr="00600ED9" w:rsidTr="00CB7119">
        <w:tc>
          <w:tcPr>
            <w:tcW w:w="9356" w:type="dxa"/>
            <w:shd w:val="clear" w:color="auto" w:fill="D9D9D9" w:themeFill="background1" w:themeFillShade="D9"/>
          </w:tcPr>
          <w:p w:rsidR="004F7D01" w:rsidRPr="00600ED9" w:rsidRDefault="004F7D01" w:rsidP="00FB1954">
            <w:pPr>
              <w:pStyle w:val="NoSpacing"/>
              <w:rPr>
                <w:i/>
                <w:sz w:val="20"/>
                <w:szCs w:val="20"/>
                <w:lang w:val="es-ES_tradnl"/>
              </w:rPr>
            </w:pPr>
            <w:r w:rsidRPr="00600ED9">
              <w:rPr>
                <w:rFonts w:cs="Calibri"/>
                <w:b/>
                <w:bCs/>
                <w:i/>
                <w:color w:val="000000"/>
                <w:sz w:val="20"/>
                <w:szCs w:val="20"/>
                <w:lang w:val="es-ES_tradnl"/>
              </w:rPr>
              <w:t>Puntuación 3</w:t>
            </w:r>
            <w:r w:rsidRPr="00600ED9">
              <w:rPr>
                <w:rFonts w:cs="Calibri"/>
                <w:bCs/>
                <w:i/>
                <w:color w:val="000000"/>
                <w:sz w:val="20"/>
                <w:szCs w:val="20"/>
                <w:lang w:val="es-ES_tradnl"/>
              </w:rPr>
              <w:t>: Se cumplen al menos cinco de los criterios enumerados.</w:t>
            </w:r>
          </w:p>
        </w:tc>
      </w:tr>
      <w:tr w:rsidR="00B02C0F" w:rsidRPr="00600ED9" w:rsidTr="00B02C0F">
        <w:tc>
          <w:tcPr>
            <w:tcW w:w="9356" w:type="dxa"/>
            <w:shd w:val="clear" w:color="auto" w:fill="auto"/>
          </w:tcPr>
          <w:p w:rsidR="00B02C0F" w:rsidRPr="00600ED9" w:rsidRDefault="00B02C0F" w:rsidP="00B02C0F">
            <w:pPr>
              <w:pStyle w:val="NoSpacing"/>
              <w:jc w:val="both"/>
              <w:rPr>
                <w:sz w:val="20"/>
                <w:szCs w:val="20"/>
                <w:lang w:val="es-ES_tradnl"/>
              </w:rPr>
            </w:pPr>
            <w:r w:rsidRPr="00600ED9">
              <w:rPr>
                <w:sz w:val="20"/>
                <w:szCs w:val="20"/>
                <w:lang w:val="es-ES_tradnl"/>
              </w:rPr>
              <w:t xml:space="preserve">Criterios (b), (c), (d), (e), (f) y (h) se cumplen.  Criterios (a) y (g) no se cumplen. </w:t>
            </w:r>
          </w:p>
          <w:p w:rsidR="00B02C0F" w:rsidRPr="00600ED9" w:rsidRDefault="00B02C0F" w:rsidP="00B02C0F">
            <w:pPr>
              <w:pStyle w:val="NoSpacing"/>
              <w:jc w:val="both"/>
              <w:rPr>
                <w:sz w:val="20"/>
                <w:szCs w:val="20"/>
                <w:lang w:val="es-ES_tradnl"/>
              </w:rPr>
            </w:pPr>
          </w:p>
          <w:p w:rsidR="00B02C0F" w:rsidRPr="00600ED9" w:rsidRDefault="00B02C0F" w:rsidP="00B02C0F">
            <w:pPr>
              <w:pStyle w:val="NoSpacing"/>
              <w:jc w:val="both"/>
              <w:rPr>
                <w:rFonts w:cs="Calibri"/>
                <w:color w:val="000000"/>
                <w:sz w:val="20"/>
                <w:szCs w:val="20"/>
                <w:lang w:val="es-ES_tradnl"/>
              </w:rPr>
            </w:pPr>
            <w:r w:rsidRPr="00600ED9">
              <w:rPr>
                <w:rFonts w:cs="Calibri"/>
                <w:color w:val="000000"/>
                <w:sz w:val="20"/>
                <w:szCs w:val="20"/>
                <w:lang w:val="es-ES_tradnl"/>
              </w:rPr>
              <w:t>No existe evidencia en el Plan de Auditorías, sobre la consideración de los resultados o riesgos provenientes de debates adelantados en el legislativo, los cuales merezcan la atención del control externo para corroborar o ampliar auditorías o investigaciones, como un servicio al legislativo y a los ciudadanos en general.</w:t>
            </w:r>
          </w:p>
          <w:p w:rsidR="00B02C0F" w:rsidRPr="00600ED9" w:rsidRDefault="00B02C0F" w:rsidP="00B02C0F">
            <w:pPr>
              <w:pStyle w:val="NoSpacing"/>
              <w:jc w:val="both"/>
              <w:rPr>
                <w:rFonts w:cs="Calibri"/>
                <w:color w:val="000000"/>
                <w:sz w:val="20"/>
                <w:szCs w:val="20"/>
                <w:lang w:val="es-ES_tradnl"/>
              </w:rPr>
            </w:pPr>
          </w:p>
          <w:p w:rsidR="00B02C0F" w:rsidRPr="00600ED9" w:rsidRDefault="00B02C0F" w:rsidP="00B02C0F">
            <w:pPr>
              <w:pStyle w:val="NoSpacing"/>
              <w:jc w:val="both"/>
              <w:rPr>
                <w:rFonts w:cs="MS Gothic"/>
                <w:color w:val="000000"/>
                <w:sz w:val="20"/>
                <w:szCs w:val="20"/>
                <w:lang w:val="es-ES_tradnl"/>
              </w:rPr>
            </w:pPr>
            <w:r w:rsidRPr="00600ED9">
              <w:rPr>
                <w:rFonts w:cs="Calibri"/>
                <w:color w:val="000000"/>
                <w:sz w:val="20"/>
                <w:szCs w:val="20"/>
                <w:lang w:val="es-ES_tradnl"/>
              </w:rPr>
              <w:t xml:space="preserve">La Contraloría, dentro de su estructura organizacional, cuenta con la Unidad de Apoyo Técnico al Congreso (UATC), encargada de coordinar las relaciones técnicas con el Congreso de la República. Esta dependencia, orienta sus esfuerzos a robustecer la imagen institucional de la CGRC ante el organismo legislativo y contribuye a la atención oportuna y efectiva de sus requerimientos. La presencia permanente de funcionarios de la UATC en las diferentes plenarias, debates y comisiones, hace que la Contraloría pueda de manera inmediata conocer las iniciativas legislativas y pronunciarse oportunamente, de ser necesario. </w:t>
            </w:r>
            <w:r w:rsidRPr="00600ED9">
              <w:rPr>
                <w:rFonts w:ascii="MS Gothic" w:eastAsia="MS Gothic" w:hAnsi="MS Gothic" w:cs="MS Gothic"/>
                <w:color w:val="000000"/>
                <w:sz w:val="20"/>
                <w:szCs w:val="20"/>
                <w:lang w:val="es-ES_tradnl"/>
              </w:rPr>
              <w:t> </w:t>
            </w:r>
          </w:p>
          <w:p w:rsidR="00B02C0F" w:rsidRPr="00600ED9" w:rsidRDefault="00B02C0F" w:rsidP="00B02C0F">
            <w:pPr>
              <w:pStyle w:val="NoSpacing"/>
              <w:jc w:val="both"/>
              <w:rPr>
                <w:rFonts w:cs="Calibri"/>
                <w:color w:val="000000"/>
                <w:sz w:val="20"/>
                <w:szCs w:val="20"/>
                <w:lang w:val="es-ES_tradnl"/>
              </w:rPr>
            </w:pPr>
          </w:p>
          <w:p w:rsidR="00B02C0F" w:rsidRPr="00600ED9" w:rsidRDefault="00B02C0F" w:rsidP="00B02C0F">
            <w:pPr>
              <w:pStyle w:val="NoSpacing"/>
              <w:jc w:val="both"/>
              <w:rPr>
                <w:rFonts w:cs="Calibri"/>
                <w:color w:val="000000"/>
                <w:sz w:val="20"/>
                <w:szCs w:val="20"/>
                <w:lang w:val="es-ES_tradnl"/>
              </w:rPr>
            </w:pPr>
            <w:r w:rsidRPr="00600ED9">
              <w:rPr>
                <w:rFonts w:cs="Calibri"/>
                <w:color w:val="000000"/>
                <w:sz w:val="20"/>
                <w:szCs w:val="20"/>
                <w:lang w:val="es-ES_tradnl"/>
              </w:rPr>
              <w:t xml:space="preserve">En ejercicio de sus funciones, la UATC recopila los proyectos de ley radicados tanto en Cámara como en Senado, con el fin de evaluar su impacto, efectos fiscales y presupuestales y presentar recomendaciones al Congreso de la República, las cuales sirven como insumo para la presentación de iniciativas legislativas o bien para adelantar debates de control político. </w:t>
            </w:r>
            <w:r w:rsidRPr="00600ED9">
              <w:rPr>
                <w:rFonts w:ascii="MS Gothic" w:eastAsia="MS Gothic" w:hAnsi="MS Gothic" w:cs="MS Gothic"/>
                <w:color w:val="000000"/>
                <w:sz w:val="20"/>
                <w:szCs w:val="20"/>
                <w:lang w:val="es-ES_tradnl"/>
              </w:rPr>
              <w:t> </w:t>
            </w:r>
          </w:p>
          <w:p w:rsidR="00B02C0F" w:rsidRPr="00600ED9" w:rsidRDefault="00B02C0F" w:rsidP="00FB1954">
            <w:pPr>
              <w:pStyle w:val="NoSpacing"/>
              <w:rPr>
                <w:rFonts w:cs="Calibri"/>
                <w:b/>
                <w:bCs/>
                <w:i/>
                <w:color w:val="000000"/>
                <w:sz w:val="20"/>
                <w:szCs w:val="20"/>
                <w:lang w:val="es-ES_tradnl"/>
              </w:rPr>
            </w:pPr>
          </w:p>
        </w:tc>
      </w:tr>
      <w:tr w:rsidR="004F7D01" w:rsidRPr="00600ED9" w:rsidTr="00B02C0F">
        <w:trPr>
          <w:trHeight w:val="4167"/>
        </w:trPr>
        <w:tc>
          <w:tcPr>
            <w:tcW w:w="9356" w:type="dxa"/>
          </w:tcPr>
          <w:p w:rsidR="004F7D01" w:rsidRPr="00600ED9" w:rsidRDefault="004F7D01" w:rsidP="00FB1954">
            <w:pPr>
              <w:pStyle w:val="NoSpacing"/>
              <w:jc w:val="both"/>
              <w:rPr>
                <w:rFonts w:cs="Calibri"/>
                <w:color w:val="000000"/>
                <w:sz w:val="20"/>
                <w:szCs w:val="20"/>
                <w:lang w:val="es-ES_tradnl"/>
              </w:rPr>
            </w:pPr>
            <w:r w:rsidRPr="00600ED9">
              <w:rPr>
                <w:rFonts w:cs="Calibri"/>
                <w:color w:val="000000"/>
                <w:sz w:val="20"/>
                <w:szCs w:val="20"/>
                <w:lang w:val="es-ES_tradnl"/>
              </w:rPr>
              <w:lastRenderedPageBreak/>
              <w:t xml:space="preserve">La Contraloría atiende oportunamente las solicitudes hechas por el </w:t>
            </w:r>
            <w:r w:rsidR="00DF67BB" w:rsidRPr="00600ED9">
              <w:rPr>
                <w:rFonts w:cs="Calibri"/>
                <w:color w:val="000000"/>
                <w:sz w:val="20"/>
                <w:szCs w:val="20"/>
                <w:lang w:val="es-ES_tradnl"/>
              </w:rPr>
              <w:t>P</w:t>
            </w:r>
            <w:r w:rsidRPr="00600ED9">
              <w:rPr>
                <w:rFonts w:cs="Calibri"/>
                <w:color w:val="000000"/>
                <w:sz w:val="20"/>
                <w:szCs w:val="20"/>
                <w:lang w:val="es-ES_tradnl"/>
              </w:rPr>
              <w:t xml:space="preserve">oder </w:t>
            </w:r>
            <w:r w:rsidR="00DF67BB" w:rsidRPr="00600ED9">
              <w:rPr>
                <w:rFonts w:cs="Calibri"/>
                <w:color w:val="000000"/>
                <w:sz w:val="20"/>
                <w:szCs w:val="20"/>
                <w:lang w:val="es-ES_tradnl"/>
              </w:rPr>
              <w:t>L</w:t>
            </w:r>
            <w:r w:rsidRPr="00600ED9">
              <w:rPr>
                <w:rFonts w:cs="Calibri"/>
                <w:color w:val="000000"/>
                <w:sz w:val="20"/>
                <w:szCs w:val="20"/>
                <w:lang w:val="es-ES_tradnl"/>
              </w:rPr>
              <w:t>egislativo relacionadas con el alcance sus funciones. Durante el período 2010 – 2014, dio respuesta a 647 solicitudes o requerimientos presentados por el Congreso. Complementariamente, en la plataforma CONTROLNET</w:t>
            </w:r>
            <w:r w:rsidRPr="00600ED9">
              <w:rPr>
                <w:rStyle w:val="FootnoteReference"/>
                <w:rFonts w:cs="Calibri"/>
                <w:color w:val="000000"/>
                <w:sz w:val="20"/>
                <w:szCs w:val="20"/>
                <w:lang w:val="es-ES_tradnl"/>
              </w:rPr>
              <w:footnoteReference w:id="70"/>
            </w:r>
            <w:r w:rsidRPr="00600ED9">
              <w:rPr>
                <w:rFonts w:cs="Calibri"/>
                <w:color w:val="000000"/>
                <w:sz w:val="20"/>
                <w:szCs w:val="20"/>
                <w:lang w:val="es-ES_tradnl"/>
              </w:rPr>
              <w:t xml:space="preserve"> se encuentra toda la información de interés para el uso exclusivo del </w:t>
            </w:r>
            <w:r w:rsidR="00DF67BB" w:rsidRPr="00600ED9">
              <w:rPr>
                <w:rFonts w:cs="Calibri"/>
                <w:color w:val="000000"/>
                <w:sz w:val="20"/>
                <w:szCs w:val="20"/>
                <w:lang w:val="es-ES_tradnl"/>
              </w:rPr>
              <w:t>P</w:t>
            </w:r>
            <w:r w:rsidRPr="00600ED9">
              <w:rPr>
                <w:rFonts w:cs="Calibri"/>
                <w:color w:val="000000"/>
                <w:sz w:val="20"/>
                <w:szCs w:val="20"/>
                <w:lang w:val="es-ES_tradnl"/>
              </w:rPr>
              <w:t xml:space="preserve">oder </w:t>
            </w:r>
            <w:r w:rsidR="00DF67BB" w:rsidRPr="00600ED9">
              <w:rPr>
                <w:rFonts w:cs="Calibri"/>
                <w:color w:val="000000"/>
                <w:sz w:val="20"/>
                <w:szCs w:val="20"/>
                <w:lang w:val="es-ES_tradnl"/>
              </w:rPr>
              <w:t>L</w:t>
            </w:r>
            <w:r w:rsidRPr="00600ED9">
              <w:rPr>
                <w:rFonts w:cs="Calibri"/>
                <w:color w:val="000000"/>
                <w:sz w:val="20"/>
                <w:szCs w:val="20"/>
                <w:lang w:val="es-ES_tradnl"/>
              </w:rPr>
              <w:t>egislativo.</w:t>
            </w:r>
          </w:p>
          <w:p w:rsidR="00B02C0F" w:rsidRPr="00600ED9" w:rsidRDefault="00B02C0F" w:rsidP="00FB1954">
            <w:pPr>
              <w:pStyle w:val="NoSpacing"/>
              <w:jc w:val="both"/>
              <w:rPr>
                <w:rFonts w:cs="Calibri"/>
                <w:color w:val="000000"/>
                <w:sz w:val="20"/>
                <w:szCs w:val="20"/>
                <w:lang w:val="es-ES_tradnl"/>
              </w:rPr>
            </w:pPr>
          </w:p>
          <w:p w:rsidR="004F7D01" w:rsidRPr="00600ED9" w:rsidRDefault="004F7D01" w:rsidP="00FB1954">
            <w:pPr>
              <w:pStyle w:val="NoSpacing"/>
              <w:jc w:val="both"/>
              <w:rPr>
                <w:rFonts w:cs="Calibri"/>
                <w:color w:val="000000"/>
                <w:sz w:val="20"/>
                <w:szCs w:val="20"/>
                <w:lang w:val="es-ES_tradnl"/>
              </w:rPr>
            </w:pPr>
            <w:r w:rsidRPr="00600ED9">
              <w:rPr>
                <w:rFonts w:cs="Calibri"/>
                <w:color w:val="000000"/>
                <w:sz w:val="20"/>
                <w:szCs w:val="20"/>
                <w:lang w:val="es-ES_tradnl"/>
              </w:rPr>
              <w:t xml:space="preserve">La Contraloría recibe retroalimentación acerca de su desempeño, por parte de los miembros del </w:t>
            </w:r>
            <w:r w:rsidR="00DF67BB" w:rsidRPr="00600ED9">
              <w:rPr>
                <w:rFonts w:cs="Calibri"/>
                <w:color w:val="000000"/>
                <w:sz w:val="20"/>
                <w:szCs w:val="20"/>
                <w:lang w:val="es-ES_tradnl"/>
              </w:rPr>
              <w:t>P</w:t>
            </w:r>
            <w:r w:rsidRPr="00600ED9">
              <w:rPr>
                <w:rFonts w:cs="Calibri"/>
                <w:color w:val="000000"/>
                <w:sz w:val="20"/>
                <w:szCs w:val="20"/>
                <w:lang w:val="es-ES_tradnl"/>
              </w:rPr>
              <w:t xml:space="preserve">oder </w:t>
            </w:r>
            <w:r w:rsidR="00DF67BB" w:rsidRPr="00600ED9">
              <w:rPr>
                <w:rFonts w:cs="Calibri"/>
                <w:color w:val="000000"/>
                <w:sz w:val="20"/>
                <w:szCs w:val="20"/>
                <w:lang w:val="es-ES_tradnl"/>
              </w:rPr>
              <w:t>L</w:t>
            </w:r>
            <w:r w:rsidRPr="00600ED9">
              <w:rPr>
                <w:rFonts w:cs="Calibri"/>
                <w:color w:val="000000"/>
                <w:sz w:val="20"/>
                <w:szCs w:val="20"/>
                <w:lang w:val="es-ES_tradnl"/>
              </w:rPr>
              <w:t xml:space="preserve">egislativo y de los comités relevantes, a través de la aplicación de encuestas anuales. Estas encuestas buscan identificar la percepción y el grado de satisfacción que tiene el Congreso General de la República sobre los productos y servicios que recibe de la Contraloría. </w:t>
            </w:r>
          </w:p>
          <w:p w:rsidR="00B02C0F" w:rsidRPr="00600ED9" w:rsidRDefault="00B02C0F" w:rsidP="00FB1954">
            <w:pPr>
              <w:pStyle w:val="NoSpacing"/>
              <w:jc w:val="both"/>
              <w:rPr>
                <w:rFonts w:cs="Calibri"/>
                <w:color w:val="000000"/>
                <w:sz w:val="20"/>
                <w:szCs w:val="20"/>
                <w:lang w:val="es-ES_tradnl"/>
              </w:rPr>
            </w:pPr>
          </w:p>
          <w:p w:rsidR="004F7D01" w:rsidRPr="00600ED9" w:rsidRDefault="004F7D01" w:rsidP="00FB1954">
            <w:pPr>
              <w:pStyle w:val="NoSpacing"/>
              <w:jc w:val="both"/>
              <w:rPr>
                <w:rFonts w:cs="Calibri"/>
                <w:color w:val="000000"/>
                <w:sz w:val="20"/>
                <w:szCs w:val="20"/>
                <w:lang w:val="es-ES_tradnl"/>
              </w:rPr>
            </w:pPr>
            <w:r w:rsidRPr="00600ED9">
              <w:rPr>
                <w:rFonts w:cs="Calibri"/>
                <w:color w:val="000000"/>
                <w:sz w:val="20"/>
                <w:szCs w:val="20"/>
                <w:lang w:val="es-ES_tradnl"/>
              </w:rPr>
              <w:t xml:space="preserve">La Contraloría, a través de la UATC, presta asistencia técnica a las </w:t>
            </w:r>
            <w:r w:rsidR="00DF67BB" w:rsidRPr="00600ED9">
              <w:rPr>
                <w:rFonts w:cs="Calibri"/>
                <w:color w:val="000000"/>
                <w:sz w:val="20"/>
                <w:szCs w:val="20"/>
                <w:lang w:val="es-ES_tradnl"/>
              </w:rPr>
              <w:t>P</w:t>
            </w:r>
            <w:r w:rsidRPr="00600ED9">
              <w:rPr>
                <w:rFonts w:cs="Calibri"/>
                <w:color w:val="000000"/>
                <w:sz w:val="20"/>
                <w:szCs w:val="20"/>
                <w:lang w:val="es-ES_tradnl"/>
              </w:rPr>
              <w:t xml:space="preserve">lenarias, </w:t>
            </w:r>
            <w:r w:rsidR="00DF67BB" w:rsidRPr="00600ED9">
              <w:rPr>
                <w:rFonts w:cs="Calibri"/>
                <w:color w:val="000000"/>
                <w:sz w:val="20"/>
                <w:szCs w:val="20"/>
                <w:lang w:val="es-ES_tradnl"/>
              </w:rPr>
              <w:t>C</w:t>
            </w:r>
            <w:r w:rsidRPr="00600ED9">
              <w:rPr>
                <w:rFonts w:cs="Calibri"/>
                <w:color w:val="000000"/>
                <w:sz w:val="20"/>
                <w:szCs w:val="20"/>
                <w:lang w:val="es-ES_tradnl"/>
              </w:rPr>
              <w:t xml:space="preserve">omisiones </w:t>
            </w:r>
            <w:r w:rsidR="00DF67BB" w:rsidRPr="00600ED9">
              <w:rPr>
                <w:rFonts w:cs="Calibri"/>
                <w:color w:val="000000"/>
                <w:sz w:val="20"/>
                <w:szCs w:val="20"/>
                <w:lang w:val="es-ES_tradnl"/>
              </w:rPr>
              <w:t>C</w:t>
            </w:r>
            <w:r w:rsidRPr="00600ED9">
              <w:rPr>
                <w:rFonts w:cs="Calibri"/>
                <w:color w:val="000000"/>
                <w:sz w:val="20"/>
                <w:szCs w:val="20"/>
                <w:lang w:val="es-ES_tradnl"/>
              </w:rPr>
              <w:t xml:space="preserve">onstitucionales y </w:t>
            </w:r>
            <w:r w:rsidR="00DF67BB" w:rsidRPr="00600ED9">
              <w:rPr>
                <w:rFonts w:cs="Calibri"/>
                <w:color w:val="000000"/>
                <w:sz w:val="20"/>
                <w:szCs w:val="20"/>
                <w:lang w:val="es-ES_tradnl"/>
              </w:rPr>
              <w:t>L</w:t>
            </w:r>
            <w:r w:rsidRPr="00600ED9">
              <w:rPr>
                <w:rFonts w:cs="Calibri"/>
                <w:color w:val="000000"/>
                <w:sz w:val="20"/>
                <w:szCs w:val="20"/>
                <w:lang w:val="es-ES_tradnl"/>
              </w:rPr>
              <w:t xml:space="preserve">egales, </w:t>
            </w:r>
            <w:r w:rsidR="00DF67BB" w:rsidRPr="00600ED9">
              <w:rPr>
                <w:rFonts w:cs="Calibri"/>
                <w:color w:val="000000"/>
                <w:sz w:val="20"/>
                <w:szCs w:val="20"/>
                <w:lang w:val="es-ES_tradnl"/>
              </w:rPr>
              <w:t>B</w:t>
            </w:r>
            <w:r w:rsidRPr="00600ED9">
              <w:rPr>
                <w:rFonts w:cs="Calibri"/>
                <w:color w:val="000000"/>
                <w:sz w:val="20"/>
                <w:szCs w:val="20"/>
                <w:lang w:val="es-ES_tradnl"/>
              </w:rPr>
              <w:t xml:space="preserve">ancadas </w:t>
            </w:r>
            <w:r w:rsidR="00DF67BB" w:rsidRPr="00600ED9">
              <w:rPr>
                <w:rFonts w:cs="Calibri"/>
                <w:color w:val="000000"/>
                <w:sz w:val="20"/>
                <w:szCs w:val="20"/>
                <w:lang w:val="es-ES_tradnl"/>
              </w:rPr>
              <w:t>P</w:t>
            </w:r>
            <w:r w:rsidRPr="00600ED9">
              <w:rPr>
                <w:rFonts w:cs="Calibri"/>
                <w:color w:val="000000"/>
                <w:sz w:val="20"/>
                <w:szCs w:val="20"/>
                <w:lang w:val="es-ES_tradnl"/>
              </w:rPr>
              <w:t xml:space="preserve">arlamentarias, </w:t>
            </w:r>
            <w:r w:rsidR="00DF67BB" w:rsidRPr="00600ED9">
              <w:rPr>
                <w:rFonts w:cs="Calibri"/>
                <w:color w:val="000000"/>
                <w:sz w:val="20"/>
                <w:szCs w:val="20"/>
                <w:lang w:val="es-ES_tradnl"/>
              </w:rPr>
              <w:t>S</w:t>
            </w:r>
            <w:r w:rsidRPr="00600ED9">
              <w:rPr>
                <w:rFonts w:cs="Calibri"/>
                <w:color w:val="000000"/>
                <w:sz w:val="20"/>
                <w:szCs w:val="20"/>
                <w:lang w:val="es-ES_tradnl"/>
              </w:rPr>
              <w:t xml:space="preserve">enadores y </w:t>
            </w:r>
            <w:r w:rsidR="00DF67BB" w:rsidRPr="00600ED9">
              <w:rPr>
                <w:rFonts w:cs="Calibri"/>
                <w:color w:val="000000"/>
                <w:sz w:val="20"/>
                <w:szCs w:val="20"/>
                <w:lang w:val="es-ES_tradnl"/>
              </w:rPr>
              <w:t>R</w:t>
            </w:r>
            <w:r w:rsidRPr="00600ED9">
              <w:rPr>
                <w:rFonts w:cs="Calibri"/>
                <w:color w:val="000000"/>
                <w:sz w:val="20"/>
                <w:szCs w:val="20"/>
                <w:lang w:val="es-ES_tradnl"/>
              </w:rPr>
              <w:t xml:space="preserve">epresentantes a la </w:t>
            </w:r>
            <w:r w:rsidR="00DF67BB" w:rsidRPr="00600ED9">
              <w:rPr>
                <w:rFonts w:cs="Calibri"/>
                <w:color w:val="000000"/>
                <w:sz w:val="20"/>
                <w:szCs w:val="20"/>
                <w:lang w:val="es-ES_tradnl"/>
              </w:rPr>
              <w:t>C</w:t>
            </w:r>
            <w:r w:rsidRPr="00600ED9">
              <w:rPr>
                <w:rFonts w:cs="Calibri"/>
                <w:color w:val="000000"/>
                <w:sz w:val="20"/>
                <w:szCs w:val="20"/>
                <w:lang w:val="es-ES_tradnl"/>
              </w:rPr>
              <w:t xml:space="preserve">ámara para el ejercicio de sus funciones legislativa y de control político y coordina al interior de la organización con las instancias adecuadas, la oportuna respuesta a sus solicitudes de información y/o de control excepcional, asistencia a debates, seguimiento y análisis de iniciativas legislativas. Sin embargo, no existe evidencia documentada acerca de presentaciones de la Contraloría ante las </w:t>
            </w:r>
            <w:r w:rsidR="00DF67BB" w:rsidRPr="00600ED9">
              <w:rPr>
                <w:rFonts w:cs="Calibri"/>
                <w:color w:val="000000"/>
                <w:sz w:val="20"/>
                <w:szCs w:val="20"/>
                <w:lang w:val="es-ES_tradnl"/>
              </w:rPr>
              <w:t>C</w:t>
            </w:r>
            <w:r w:rsidRPr="00600ED9">
              <w:rPr>
                <w:rFonts w:cs="Calibri"/>
                <w:color w:val="000000"/>
                <w:sz w:val="20"/>
                <w:szCs w:val="20"/>
                <w:lang w:val="es-ES_tradnl"/>
              </w:rPr>
              <w:t xml:space="preserve">omisiones o el </w:t>
            </w:r>
            <w:r w:rsidR="00DF67BB" w:rsidRPr="00600ED9">
              <w:rPr>
                <w:rFonts w:cs="Calibri"/>
                <w:color w:val="000000"/>
                <w:sz w:val="20"/>
                <w:szCs w:val="20"/>
                <w:lang w:val="es-ES_tradnl"/>
              </w:rPr>
              <w:t>P</w:t>
            </w:r>
            <w:r w:rsidRPr="00600ED9">
              <w:rPr>
                <w:rFonts w:cs="Calibri"/>
                <w:color w:val="000000"/>
                <w:sz w:val="20"/>
                <w:szCs w:val="20"/>
                <w:lang w:val="es-ES_tradnl"/>
              </w:rPr>
              <w:t xml:space="preserve">leno para explicar la naturaleza y alcance de su trabajo y la forma de coordinarse con el </w:t>
            </w:r>
            <w:r w:rsidR="00DF67BB" w:rsidRPr="00600ED9">
              <w:rPr>
                <w:rFonts w:cs="Calibri"/>
                <w:color w:val="000000"/>
                <w:sz w:val="20"/>
                <w:szCs w:val="20"/>
                <w:lang w:val="es-ES_tradnl"/>
              </w:rPr>
              <w:t>P</w:t>
            </w:r>
            <w:r w:rsidRPr="00600ED9">
              <w:rPr>
                <w:rFonts w:cs="Calibri"/>
                <w:color w:val="000000"/>
                <w:sz w:val="20"/>
                <w:szCs w:val="20"/>
                <w:lang w:val="es-ES_tradnl"/>
              </w:rPr>
              <w:t xml:space="preserve">oder </w:t>
            </w:r>
            <w:r w:rsidR="00DF67BB" w:rsidRPr="00600ED9">
              <w:rPr>
                <w:rFonts w:cs="Calibri"/>
                <w:color w:val="000000"/>
                <w:sz w:val="20"/>
                <w:szCs w:val="20"/>
                <w:lang w:val="es-ES_tradnl"/>
              </w:rPr>
              <w:t>L</w:t>
            </w:r>
            <w:r w:rsidRPr="00600ED9">
              <w:rPr>
                <w:rFonts w:cs="Calibri"/>
                <w:color w:val="000000"/>
                <w:sz w:val="20"/>
                <w:szCs w:val="20"/>
                <w:lang w:val="es-ES_tradnl"/>
              </w:rPr>
              <w:t>egislativo, salvo por la presentación que hace de su informe de gestión anual.</w:t>
            </w:r>
          </w:p>
          <w:p w:rsidR="00B02C0F" w:rsidRPr="00600ED9" w:rsidRDefault="00B02C0F" w:rsidP="00FB1954">
            <w:pPr>
              <w:pStyle w:val="NoSpacing"/>
              <w:jc w:val="both"/>
              <w:rPr>
                <w:rFonts w:cstheme="majorBidi"/>
                <w:b/>
                <w:bCs/>
                <w:i/>
                <w:iCs/>
                <w:color w:val="4F81BD" w:themeColor="accent1"/>
                <w:sz w:val="20"/>
                <w:szCs w:val="20"/>
                <w:lang w:val="es-ES_tradnl"/>
              </w:rPr>
            </w:pPr>
          </w:p>
        </w:tc>
      </w:tr>
      <w:tr w:rsidR="004F7D01" w:rsidRPr="00600ED9" w:rsidTr="00CB7119">
        <w:tc>
          <w:tcPr>
            <w:tcW w:w="9356" w:type="dxa"/>
            <w:shd w:val="clear" w:color="auto" w:fill="D9D9D9" w:themeFill="background1" w:themeFillShade="D9"/>
          </w:tcPr>
          <w:p w:rsidR="004F7D01" w:rsidRPr="00600ED9" w:rsidRDefault="004F7D01" w:rsidP="00FB1954">
            <w:pPr>
              <w:pStyle w:val="NoSpacing"/>
              <w:jc w:val="both"/>
              <w:rPr>
                <w:b/>
                <w:i/>
                <w:sz w:val="20"/>
                <w:szCs w:val="20"/>
                <w:lang w:val="es-ES_tradnl"/>
              </w:rPr>
            </w:pPr>
            <w:r w:rsidRPr="00600ED9">
              <w:rPr>
                <w:b/>
                <w:i/>
                <w:sz w:val="20"/>
                <w:szCs w:val="20"/>
                <w:lang w:val="es-ES_tradnl"/>
              </w:rPr>
              <w:t>Dimensión (ii) Buenas prácticas referentes a la comunicación con el Poder Judicial, agencias de investigación y prosecución</w:t>
            </w:r>
          </w:p>
        </w:tc>
      </w:tr>
      <w:tr w:rsidR="004F7D01" w:rsidRPr="00600ED9" w:rsidTr="00CB7119">
        <w:tc>
          <w:tcPr>
            <w:tcW w:w="9356" w:type="dxa"/>
            <w:shd w:val="clear" w:color="auto" w:fill="D9D9D9" w:themeFill="background1" w:themeFillShade="D9"/>
          </w:tcPr>
          <w:p w:rsidR="004F7D01" w:rsidRPr="00600ED9" w:rsidRDefault="004F7D01" w:rsidP="00FB1954">
            <w:pPr>
              <w:pStyle w:val="NoSpacing"/>
              <w:rPr>
                <w:i/>
                <w:sz w:val="20"/>
                <w:szCs w:val="20"/>
                <w:lang w:val="es-ES_tradnl"/>
              </w:rPr>
            </w:pPr>
            <w:r w:rsidRPr="00600ED9">
              <w:rPr>
                <w:rFonts w:cs="Calibri"/>
                <w:b/>
                <w:bCs/>
                <w:i/>
                <w:color w:val="000000"/>
                <w:sz w:val="20"/>
                <w:szCs w:val="20"/>
                <w:lang w:val="es-ES_tradnl"/>
              </w:rPr>
              <w:t xml:space="preserve">Puntuación 1: </w:t>
            </w:r>
            <w:r w:rsidRPr="00600ED9">
              <w:rPr>
                <w:rFonts w:cs="Calibri"/>
                <w:bCs/>
                <w:i/>
                <w:color w:val="000000"/>
                <w:sz w:val="20"/>
                <w:szCs w:val="20"/>
                <w:lang w:val="es-ES_tradnl"/>
              </w:rPr>
              <w:t>Se cumplen al menos dos de los criterios enumerados.</w:t>
            </w:r>
          </w:p>
        </w:tc>
      </w:tr>
      <w:tr w:rsidR="004F7D01" w:rsidRPr="00600ED9" w:rsidTr="00CB7119">
        <w:tc>
          <w:tcPr>
            <w:tcW w:w="9356" w:type="dxa"/>
          </w:tcPr>
          <w:p w:rsidR="004F7D01" w:rsidRPr="00600ED9" w:rsidRDefault="004F7D01" w:rsidP="00FB1954">
            <w:pPr>
              <w:pStyle w:val="NoSpacing"/>
              <w:jc w:val="both"/>
              <w:rPr>
                <w:sz w:val="20"/>
                <w:szCs w:val="20"/>
                <w:lang w:val="es-ES_tradnl"/>
              </w:rPr>
            </w:pPr>
            <w:r w:rsidRPr="00600ED9">
              <w:rPr>
                <w:sz w:val="20"/>
                <w:szCs w:val="20"/>
                <w:lang w:val="es-ES_tradnl"/>
              </w:rPr>
              <w:t xml:space="preserve">Criterios (a) y (b) se cumplen.  Criterios (c), (d), y (e) no se cumplen. </w:t>
            </w:r>
          </w:p>
          <w:p w:rsidR="00B02C0F" w:rsidRPr="00600ED9" w:rsidRDefault="00B02C0F" w:rsidP="00FB1954">
            <w:pPr>
              <w:pStyle w:val="NoSpacing"/>
              <w:jc w:val="both"/>
              <w:rPr>
                <w:sz w:val="20"/>
                <w:szCs w:val="20"/>
                <w:lang w:val="es-ES_tradnl"/>
              </w:rPr>
            </w:pPr>
          </w:p>
          <w:p w:rsidR="004F7D01" w:rsidRPr="00600ED9" w:rsidRDefault="004F7D01" w:rsidP="00FB1954">
            <w:pPr>
              <w:pStyle w:val="NoSpacing"/>
              <w:jc w:val="both"/>
              <w:rPr>
                <w:bCs/>
                <w:color w:val="000000"/>
                <w:sz w:val="20"/>
                <w:szCs w:val="20"/>
                <w:lang w:val="es-ES_tradnl"/>
              </w:rPr>
            </w:pPr>
            <w:r w:rsidRPr="00600ED9">
              <w:rPr>
                <w:bCs/>
                <w:color w:val="000000"/>
                <w:sz w:val="20"/>
                <w:szCs w:val="20"/>
                <w:lang w:val="es-ES_tradnl"/>
              </w:rPr>
              <w:t xml:space="preserve">La Contraloría tiene la facultad de solicitar información sobre archivos o expedientes en proceso tanto al </w:t>
            </w:r>
            <w:r w:rsidR="00DF67BB" w:rsidRPr="00600ED9">
              <w:rPr>
                <w:bCs/>
                <w:color w:val="000000"/>
                <w:sz w:val="20"/>
                <w:szCs w:val="20"/>
                <w:lang w:val="es-ES_tradnl"/>
              </w:rPr>
              <w:t>P</w:t>
            </w:r>
            <w:r w:rsidRPr="00600ED9">
              <w:rPr>
                <w:bCs/>
                <w:color w:val="000000"/>
                <w:sz w:val="20"/>
                <w:szCs w:val="20"/>
                <w:lang w:val="es-ES_tradnl"/>
              </w:rPr>
              <w:t xml:space="preserve">oder </w:t>
            </w:r>
            <w:r w:rsidR="00DF67BB" w:rsidRPr="00600ED9">
              <w:rPr>
                <w:bCs/>
                <w:color w:val="000000"/>
                <w:sz w:val="20"/>
                <w:szCs w:val="20"/>
                <w:lang w:val="es-ES_tradnl"/>
              </w:rPr>
              <w:t>J</w:t>
            </w:r>
            <w:r w:rsidRPr="00600ED9">
              <w:rPr>
                <w:bCs/>
                <w:color w:val="000000"/>
                <w:sz w:val="20"/>
                <w:szCs w:val="20"/>
                <w:lang w:val="es-ES_tradnl"/>
              </w:rPr>
              <w:t xml:space="preserve">udicial, como a agencias de investigación y a </w:t>
            </w:r>
            <w:r w:rsidR="00DF67BB" w:rsidRPr="00600ED9">
              <w:rPr>
                <w:bCs/>
                <w:color w:val="000000"/>
                <w:sz w:val="20"/>
                <w:szCs w:val="20"/>
                <w:lang w:val="es-ES_tradnl"/>
              </w:rPr>
              <w:t>P</w:t>
            </w:r>
            <w:r w:rsidRPr="00600ED9">
              <w:rPr>
                <w:bCs/>
                <w:color w:val="000000"/>
                <w:sz w:val="20"/>
                <w:szCs w:val="20"/>
                <w:lang w:val="es-ES_tradnl"/>
              </w:rPr>
              <w:t>rocuradurías/</w:t>
            </w:r>
            <w:r w:rsidR="00DF67BB" w:rsidRPr="00600ED9">
              <w:rPr>
                <w:bCs/>
                <w:color w:val="000000"/>
                <w:sz w:val="20"/>
                <w:szCs w:val="20"/>
                <w:lang w:val="es-ES_tradnl"/>
              </w:rPr>
              <w:t>F</w:t>
            </w:r>
            <w:r w:rsidRPr="00600ED9">
              <w:rPr>
                <w:bCs/>
                <w:color w:val="000000"/>
                <w:sz w:val="20"/>
                <w:szCs w:val="20"/>
                <w:lang w:val="es-ES_tradnl"/>
              </w:rPr>
              <w:t>iscalías, en relación con las finanzas públicas y otros asuntos dentro de su mandato. Como parte del proceso de responsabilidad fiscal o para las indagaciones o investigaciones en trámite u otros casos en los que se considere necesario, la CGRC  coordina y constituye grupos de trabajo conjuntos.</w:t>
            </w:r>
          </w:p>
          <w:p w:rsidR="00B02C0F" w:rsidRPr="00600ED9" w:rsidRDefault="00B02C0F" w:rsidP="00FB1954">
            <w:pPr>
              <w:pStyle w:val="NoSpacing"/>
              <w:jc w:val="both"/>
              <w:rPr>
                <w:bCs/>
                <w:color w:val="000000"/>
                <w:sz w:val="20"/>
                <w:szCs w:val="20"/>
                <w:lang w:val="es-ES_tradnl"/>
              </w:rPr>
            </w:pPr>
          </w:p>
          <w:p w:rsidR="007C23C7" w:rsidRPr="00600ED9" w:rsidRDefault="004F7D01" w:rsidP="00FB1954">
            <w:pPr>
              <w:pStyle w:val="NoSpacing"/>
              <w:jc w:val="both"/>
              <w:rPr>
                <w:bCs/>
                <w:color w:val="000000"/>
                <w:sz w:val="20"/>
                <w:szCs w:val="20"/>
                <w:lang w:val="es-ES_tradnl"/>
              </w:rPr>
            </w:pPr>
            <w:r w:rsidRPr="00600ED9">
              <w:rPr>
                <w:bCs/>
                <w:color w:val="000000"/>
                <w:sz w:val="20"/>
                <w:szCs w:val="20"/>
                <w:lang w:val="es-ES_tradnl"/>
              </w:rPr>
              <w:t xml:space="preserve">La Contraloría no </w:t>
            </w:r>
            <w:r w:rsidR="00DF67BB" w:rsidRPr="00600ED9">
              <w:rPr>
                <w:bCs/>
                <w:color w:val="000000"/>
                <w:sz w:val="20"/>
                <w:szCs w:val="20"/>
                <w:lang w:val="es-ES_tradnl"/>
              </w:rPr>
              <w:t xml:space="preserve">tiene </w:t>
            </w:r>
            <w:r w:rsidRPr="00600ED9">
              <w:rPr>
                <w:bCs/>
                <w:color w:val="000000"/>
                <w:sz w:val="20"/>
                <w:szCs w:val="20"/>
                <w:lang w:val="es-ES_tradnl"/>
              </w:rPr>
              <w:t>dentro de sus prácticas con el Poder Judicial, Agencias de Investigación y Procuradurías/Fiscalías:</w:t>
            </w:r>
          </w:p>
          <w:p w:rsidR="00CB7119" w:rsidRPr="00600ED9" w:rsidRDefault="00CB7119" w:rsidP="00FB1954">
            <w:pPr>
              <w:pStyle w:val="NoSpacing"/>
              <w:jc w:val="both"/>
              <w:rPr>
                <w:bCs/>
                <w:color w:val="000000"/>
                <w:sz w:val="20"/>
                <w:szCs w:val="20"/>
                <w:lang w:val="es-ES_tradnl"/>
              </w:rPr>
            </w:pPr>
          </w:p>
          <w:p w:rsidR="004F7D01" w:rsidRPr="00600ED9" w:rsidRDefault="004F7D01" w:rsidP="00233205">
            <w:pPr>
              <w:pStyle w:val="NoSpacing"/>
              <w:numPr>
                <w:ilvl w:val="0"/>
                <w:numId w:val="11"/>
              </w:numPr>
              <w:jc w:val="both"/>
              <w:rPr>
                <w:bCs/>
                <w:color w:val="000000"/>
                <w:sz w:val="20"/>
                <w:szCs w:val="20"/>
                <w:lang w:val="es-ES_tradnl"/>
              </w:rPr>
            </w:pPr>
            <w:r w:rsidRPr="00600ED9">
              <w:rPr>
                <w:bCs/>
                <w:color w:val="000000"/>
                <w:sz w:val="20"/>
                <w:szCs w:val="20"/>
                <w:lang w:val="es-ES_tradnl"/>
              </w:rPr>
              <w:t>Buscar retroalimentación sobre su desempeño.</w:t>
            </w:r>
          </w:p>
          <w:p w:rsidR="004F7D01" w:rsidRPr="00600ED9" w:rsidRDefault="004F7D01" w:rsidP="00233205">
            <w:pPr>
              <w:pStyle w:val="NoSpacing"/>
              <w:numPr>
                <w:ilvl w:val="0"/>
                <w:numId w:val="11"/>
              </w:numPr>
              <w:jc w:val="both"/>
              <w:rPr>
                <w:sz w:val="20"/>
                <w:szCs w:val="20"/>
                <w:lang w:val="es-ES_tradnl"/>
              </w:rPr>
            </w:pPr>
            <w:r w:rsidRPr="00600ED9">
              <w:rPr>
                <w:bCs/>
                <w:color w:val="000000"/>
                <w:sz w:val="20"/>
                <w:szCs w:val="20"/>
                <w:lang w:val="es-ES_tradnl"/>
              </w:rPr>
              <w:t>Crear los espacios de manera proactiva, para mejorar sus habilidades en relación con la lectura y uso eficaz de sus informes.</w:t>
            </w:r>
          </w:p>
          <w:p w:rsidR="004F7D01" w:rsidRPr="00600ED9" w:rsidRDefault="004F7D01" w:rsidP="00233205">
            <w:pPr>
              <w:pStyle w:val="NoSpacing"/>
              <w:numPr>
                <w:ilvl w:val="0"/>
                <w:numId w:val="11"/>
              </w:numPr>
              <w:jc w:val="both"/>
              <w:rPr>
                <w:sz w:val="20"/>
                <w:szCs w:val="20"/>
                <w:lang w:val="es-ES_tradnl"/>
              </w:rPr>
            </w:pPr>
            <w:r w:rsidRPr="00600ED9">
              <w:rPr>
                <w:bCs/>
                <w:color w:val="000000"/>
                <w:sz w:val="20"/>
                <w:szCs w:val="20"/>
                <w:lang w:val="es-ES_tradnl"/>
              </w:rPr>
              <w:t xml:space="preserve">Realizar actividades de concientización sobre </w:t>
            </w:r>
            <w:r w:rsidR="00DF67BB" w:rsidRPr="00600ED9">
              <w:rPr>
                <w:bCs/>
                <w:color w:val="000000"/>
                <w:sz w:val="20"/>
                <w:szCs w:val="20"/>
                <w:lang w:val="es-ES_tradnl"/>
              </w:rPr>
              <w:t xml:space="preserve">su </w:t>
            </w:r>
            <w:r w:rsidRPr="00600ED9">
              <w:rPr>
                <w:bCs/>
                <w:color w:val="000000"/>
                <w:sz w:val="20"/>
                <w:szCs w:val="20"/>
                <w:lang w:val="es-ES_tradnl"/>
              </w:rPr>
              <w:t>papel y mandato</w:t>
            </w:r>
            <w:r w:rsidRPr="00600ED9">
              <w:rPr>
                <w:sz w:val="20"/>
                <w:szCs w:val="20"/>
                <w:lang w:val="es-ES_tradnl"/>
              </w:rPr>
              <w:t>.</w:t>
            </w:r>
          </w:p>
          <w:p w:rsidR="00B02C0F" w:rsidRPr="00600ED9" w:rsidRDefault="00B02C0F" w:rsidP="00B02C0F">
            <w:pPr>
              <w:pStyle w:val="NoSpacing"/>
              <w:ind w:left="380"/>
              <w:jc w:val="both"/>
              <w:rPr>
                <w:szCs w:val="20"/>
                <w:lang w:val="es-ES_tradnl"/>
              </w:rPr>
            </w:pPr>
          </w:p>
        </w:tc>
      </w:tr>
      <w:tr w:rsidR="004F7D01" w:rsidRPr="00600ED9" w:rsidTr="00CB7119">
        <w:tc>
          <w:tcPr>
            <w:tcW w:w="9356" w:type="dxa"/>
            <w:shd w:val="clear" w:color="auto" w:fill="D9D9D9" w:themeFill="background1" w:themeFillShade="D9"/>
          </w:tcPr>
          <w:p w:rsidR="004F7D01" w:rsidRPr="00600ED9" w:rsidRDefault="004F7D01" w:rsidP="00FB1954">
            <w:pPr>
              <w:pStyle w:val="NoSpacing"/>
              <w:rPr>
                <w:b/>
                <w:i/>
                <w:sz w:val="20"/>
                <w:szCs w:val="20"/>
                <w:lang w:val="es-ES_tradnl"/>
              </w:rPr>
            </w:pPr>
            <w:r w:rsidRPr="00600ED9">
              <w:rPr>
                <w:b/>
                <w:i/>
                <w:sz w:val="20"/>
                <w:szCs w:val="20"/>
                <w:lang w:val="es-ES_tradnl"/>
              </w:rPr>
              <w:t>Dimensión (iii) Buenas prácticas referentes a la comunicación con el Poder Ejecutivo</w:t>
            </w:r>
          </w:p>
        </w:tc>
      </w:tr>
      <w:tr w:rsidR="004F7D01" w:rsidRPr="00600ED9" w:rsidTr="00CB7119">
        <w:tc>
          <w:tcPr>
            <w:tcW w:w="9356" w:type="dxa"/>
            <w:shd w:val="clear" w:color="auto" w:fill="D9D9D9" w:themeFill="background1" w:themeFillShade="D9"/>
          </w:tcPr>
          <w:p w:rsidR="004F7D01" w:rsidRPr="00600ED9" w:rsidRDefault="004F7D01" w:rsidP="00FB1954">
            <w:pPr>
              <w:pStyle w:val="NoSpacing"/>
              <w:rPr>
                <w:i/>
                <w:sz w:val="20"/>
                <w:szCs w:val="20"/>
                <w:lang w:val="es-ES_tradnl"/>
              </w:rPr>
            </w:pPr>
            <w:r w:rsidRPr="00600ED9">
              <w:rPr>
                <w:rFonts w:cs="Calibri"/>
                <w:b/>
                <w:bCs/>
                <w:i/>
                <w:color w:val="000000"/>
                <w:sz w:val="20"/>
                <w:szCs w:val="20"/>
                <w:lang w:val="es-ES_tradnl"/>
              </w:rPr>
              <w:t xml:space="preserve">Puntuación 3: </w:t>
            </w:r>
            <w:r w:rsidRPr="00600ED9">
              <w:rPr>
                <w:rFonts w:cs="Calibri"/>
                <w:bCs/>
                <w:i/>
                <w:color w:val="000000"/>
                <w:sz w:val="20"/>
                <w:szCs w:val="20"/>
                <w:lang w:val="es-ES_tradnl"/>
              </w:rPr>
              <w:t>Se cumplen al menos tres de los criterios enumerados.</w:t>
            </w:r>
          </w:p>
        </w:tc>
      </w:tr>
      <w:tr w:rsidR="004F7D01" w:rsidRPr="00600ED9" w:rsidTr="00CB7119">
        <w:tc>
          <w:tcPr>
            <w:tcW w:w="9356" w:type="dxa"/>
          </w:tcPr>
          <w:p w:rsidR="004F7D01" w:rsidRPr="00600ED9" w:rsidRDefault="004F7D01" w:rsidP="00FB1954">
            <w:pPr>
              <w:pStyle w:val="NoSpacing"/>
              <w:jc w:val="both"/>
              <w:rPr>
                <w:sz w:val="20"/>
                <w:szCs w:val="20"/>
                <w:lang w:val="es-ES_tradnl"/>
              </w:rPr>
            </w:pPr>
            <w:r w:rsidRPr="00600ED9">
              <w:rPr>
                <w:sz w:val="20"/>
                <w:szCs w:val="20"/>
                <w:lang w:val="es-ES_tradnl"/>
              </w:rPr>
              <w:t xml:space="preserve">Criterios (a), (b) y  (c) cumple.  Criterio (d) no se cumple. </w:t>
            </w:r>
          </w:p>
          <w:p w:rsidR="00B02C0F" w:rsidRPr="00600ED9" w:rsidRDefault="00B02C0F" w:rsidP="00FB1954">
            <w:pPr>
              <w:pStyle w:val="NoSpacing"/>
              <w:jc w:val="both"/>
              <w:rPr>
                <w:sz w:val="20"/>
                <w:szCs w:val="20"/>
                <w:lang w:val="es-ES_tradnl"/>
              </w:rPr>
            </w:pPr>
          </w:p>
          <w:p w:rsidR="004F7D01" w:rsidRPr="00600ED9" w:rsidRDefault="004F7D01" w:rsidP="00FB1954">
            <w:pPr>
              <w:pStyle w:val="NoSpacing"/>
              <w:jc w:val="both"/>
              <w:rPr>
                <w:sz w:val="20"/>
                <w:szCs w:val="20"/>
                <w:lang w:val="es-ES_tradnl"/>
              </w:rPr>
            </w:pPr>
            <w:r w:rsidRPr="00600ED9">
              <w:rPr>
                <w:color w:val="000000"/>
                <w:sz w:val="20"/>
                <w:szCs w:val="20"/>
                <w:lang w:val="es-ES_tradnl"/>
              </w:rPr>
              <w:t>La CGRC es independiente de las organizaciones que audita.</w:t>
            </w:r>
            <w:r w:rsidRPr="00600ED9">
              <w:rPr>
                <w:sz w:val="20"/>
                <w:szCs w:val="20"/>
                <w:lang w:val="es-ES_tradnl"/>
              </w:rPr>
              <w:t xml:space="preserve"> No tiene funciones administrativas distintas de las inherentes a su propia organización</w:t>
            </w:r>
            <w:r w:rsidRPr="00600ED9">
              <w:rPr>
                <w:rStyle w:val="FootnoteReference"/>
                <w:sz w:val="20"/>
                <w:szCs w:val="20"/>
                <w:lang w:val="es-ES_tradnl"/>
              </w:rPr>
              <w:footnoteReference w:id="71"/>
            </w:r>
            <w:r w:rsidRPr="00600ED9">
              <w:rPr>
                <w:sz w:val="20"/>
                <w:szCs w:val="20"/>
                <w:lang w:val="es-ES_tradnl"/>
              </w:rPr>
              <w:t>.</w:t>
            </w:r>
          </w:p>
          <w:p w:rsidR="00B02C0F" w:rsidRPr="00600ED9" w:rsidRDefault="00B02C0F" w:rsidP="00FB1954">
            <w:pPr>
              <w:pStyle w:val="NoSpacing"/>
              <w:jc w:val="both"/>
              <w:rPr>
                <w:sz w:val="20"/>
                <w:szCs w:val="20"/>
                <w:lang w:val="es-ES_tradnl"/>
              </w:rPr>
            </w:pPr>
          </w:p>
          <w:p w:rsidR="004F7D01" w:rsidRPr="00600ED9" w:rsidRDefault="004F7D01" w:rsidP="00FB1954">
            <w:pPr>
              <w:pStyle w:val="NoSpacing"/>
              <w:jc w:val="both"/>
              <w:rPr>
                <w:sz w:val="20"/>
                <w:szCs w:val="20"/>
                <w:lang w:val="es-ES_tradnl"/>
              </w:rPr>
            </w:pPr>
            <w:r w:rsidRPr="00600ED9">
              <w:rPr>
                <w:sz w:val="20"/>
                <w:szCs w:val="20"/>
                <w:lang w:val="es-ES_tradnl"/>
              </w:rPr>
              <w:t>La CGRC informa sobre el inicio del proceso auditor y el alcance de su trabajo, en una reunión previa al inicio de la auditoría con el Representante Legal de la entidad a auditar, o su delegado.</w:t>
            </w:r>
          </w:p>
          <w:p w:rsidR="00B02C0F" w:rsidRPr="00600ED9" w:rsidRDefault="00B02C0F" w:rsidP="00FB1954">
            <w:pPr>
              <w:pStyle w:val="NoSpacing"/>
              <w:jc w:val="both"/>
              <w:rPr>
                <w:sz w:val="20"/>
                <w:szCs w:val="20"/>
                <w:lang w:val="es-ES_tradnl"/>
              </w:rPr>
            </w:pPr>
          </w:p>
          <w:p w:rsidR="00B02C0F" w:rsidRPr="00600ED9" w:rsidRDefault="00B02C0F" w:rsidP="00FB1954">
            <w:pPr>
              <w:pStyle w:val="Normaltabletext"/>
              <w:spacing w:after="0"/>
              <w:rPr>
                <w:color w:val="000000"/>
                <w:lang w:val="es-ES_tradnl"/>
              </w:rPr>
            </w:pPr>
          </w:p>
          <w:p w:rsidR="004F7D01" w:rsidRPr="00600ED9" w:rsidRDefault="004F7D01" w:rsidP="00FB1954">
            <w:pPr>
              <w:pStyle w:val="Normaltabletext"/>
              <w:spacing w:after="0"/>
              <w:rPr>
                <w:lang w:val="es-ES_tradnl"/>
              </w:rPr>
            </w:pPr>
            <w:r w:rsidRPr="00600ED9">
              <w:rPr>
                <w:color w:val="000000"/>
                <w:lang w:val="es-ES_tradnl"/>
              </w:rPr>
              <w:lastRenderedPageBreak/>
              <w:t xml:space="preserve">El Contralor General de la República, o sus delegados, de acuerdo con sus lineamientos, sostienen reuniones informales con altos funcionarios del </w:t>
            </w:r>
            <w:r w:rsidR="00DF67BB" w:rsidRPr="00600ED9">
              <w:rPr>
                <w:color w:val="000000"/>
                <w:lang w:val="es-ES_tradnl"/>
              </w:rPr>
              <w:t>E</w:t>
            </w:r>
            <w:r w:rsidRPr="00600ED9">
              <w:rPr>
                <w:color w:val="000000"/>
                <w:lang w:val="es-ES_tradnl"/>
              </w:rPr>
              <w:t xml:space="preserve">jecutivo para discutir aspectos de interés relacionados tanto con la Contraloría como con el </w:t>
            </w:r>
            <w:r w:rsidR="00DF67BB" w:rsidRPr="00600ED9">
              <w:rPr>
                <w:color w:val="000000"/>
                <w:lang w:val="es-ES_tradnl"/>
              </w:rPr>
              <w:t>E</w:t>
            </w:r>
            <w:r w:rsidRPr="00600ED9">
              <w:rPr>
                <w:color w:val="000000"/>
                <w:lang w:val="es-ES_tradnl"/>
              </w:rPr>
              <w:t xml:space="preserve">jecutivo. Sin embargo, </w:t>
            </w:r>
            <w:r w:rsidRPr="00600ED9">
              <w:rPr>
                <w:bCs/>
                <w:color w:val="000000"/>
                <w:lang w:val="es-ES_tradnl"/>
              </w:rPr>
              <w:t xml:space="preserve">no acostumbra consultar al </w:t>
            </w:r>
            <w:r w:rsidR="00DF67BB" w:rsidRPr="00600ED9">
              <w:rPr>
                <w:bCs/>
                <w:color w:val="000000"/>
                <w:lang w:val="es-ES_tradnl"/>
              </w:rPr>
              <w:t>E</w:t>
            </w:r>
            <w:r w:rsidRPr="00600ED9">
              <w:rPr>
                <w:bCs/>
                <w:color w:val="000000"/>
                <w:lang w:val="es-ES_tradnl"/>
              </w:rPr>
              <w:t>jecutivo sobre los aspectos del proceso de auditoría y su gestión</w:t>
            </w:r>
            <w:r w:rsidRPr="00600ED9">
              <w:rPr>
                <w:lang w:val="es-ES_tradnl"/>
              </w:rPr>
              <w:t>.</w:t>
            </w:r>
          </w:p>
          <w:p w:rsidR="00B02C0F" w:rsidRPr="00600ED9" w:rsidRDefault="00B02C0F" w:rsidP="00FB1954">
            <w:pPr>
              <w:pStyle w:val="Normaltabletext"/>
              <w:spacing w:after="0"/>
              <w:rPr>
                <w:lang w:val="es-ES_tradnl"/>
              </w:rPr>
            </w:pPr>
          </w:p>
        </w:tc>
      </w:tr>
    </w:tbl>
    <w:p w:rsidR="003B04AB" w:rsidRPr="00600ED9" w:rsidRDefault="003B04AB" w:rsidP="00FB1954">
      <w:pPr>
        <w:pStyle w:val="NoSpacing"/>
        <w:ind w:left="720"/>
        <w:rPr>
          <w:lang w:val="es-ES_tradnl"/>
        </w:rPr>
      </w:pPr>
    </w:p>
    <w:p w:rsidR="00F25A95" w:rsidRPr="00600ED9" w:rsidRDefault="003B04AB" w:rsidP="00FB1954">
      <w:pPr>
        <w:pStyle w:val="NoSpacing"/>
        <w:ind w:left="720"/>
        <w:rPr>
          <w:lang w:val="es-ES_tradnl"/>
        </w:rPr>
      </w:pPr>
      <w:r w:rsidRPr="00600ED9">
        <w:rPr>
          <w:b/>
          <w:bCs/>
          <w:smallCaps/>
          <w:lang w:val="es-ES_tradnl"/>
        </w:rPr>
        <w:t>Recomendaciones</w:t>
      </w:r>
      <w:r w:rsidR="00600ED9" w:rsidRPr="00600ED9">
        <w:rPr>
          <w:b/>
          <w:bCs/>
          <w:smallCaps/>
          <w:lang w:val="es-ES_tradnl"/>
        </w:rPr>
        <w:t>: Consultar</w:t>
      </w:r>
      <w:r w:rsidR="005120A2" w:rsidRPr="00600ED9">
        <w:rPr>
          <w:lang w:val="es-ES_tradnl"/>
        </w:rPr>
        <w:t xml:space="preserve"> el</w:t>
      </w:r>
      <w:r w:rsidR="00CA3E61" w:rsidRPr="00600ED9">
        <w:rPr>
          <w:lang w:val="es-ES_tradnl"/>
        </w:rPr>
        <w:t xml:space="preserve"> Anexo </w:t>
      </w:r>
      <w:r w:rsidR="00DF67BB" w:rsidRPr="00600ED9">
        <w:rPr>
          <w:lang w:val="es-ES_tradnl"/>
        </w:rPr>
        <w:t>A</w:t>
      </w:r>
      <w:r w:rsidR="00CA3E61" w:rsidRPr="00600ED9">
        <w:rPr>
          <w:lang w:val="es-ES_tradnl"/>
        </w:rPr>
        <w:t xml:space="preserve">: Plan de Acción, </w:t>
      </w:r>
      <w:r w:rsidR="00DF67BB" w:rsidRPr="00600ED9">
        <w:rPr>
          <w:lang w:val="es-ES_tradnl"/>
        </w:rPr>
        <w:t xml:space="preserve">recomendaciones </w:t>
      </w:r>
      <w:r w:rsidR="009A13C7" w:rsidRPr="00600ED9">
        <w:rPr>
          <w:lang w:val="es-ES_tradnl"/>
        </w:rPr>
        <w:t>No. 28 a 30</w:t>
      </w:r>
      <w:r w:rsidR="00CA3E61" w:rsidRPr="00600ED9">
        <w:rPr>
          <w:lang w:val="es-ES_tradnl"/>
        </w:rPr>
        <w:t>.</w:t>
      </w:r>
    </w:p>
    <w:p w:rsidR="00181522" w:rsidRPr="00600ED9" w:rsidRDefault="00181522" w:rsidP="00FB1954">
      <w:pPr>
        <w:spacing w:after="0" w:line="240" w:lineRule="auto"/>
        <w:rPr>
          <w:rFonts w:eastAsiaTheme="minorEastAsia"/>
          <w:sz w:val="18"/>
        </w:rPr>
      </w:pPr>
    </w:p>
    <w:p w:rsidR="00AC17CB" w:rsidRPr="00600ED9" w:rsidRDefault="00AC17CB" w:rsidP="00FB1954">
      <w:pPr>
        <w:pStyle w:val="NoSpacing"/>
        <w:rPr>
          <w:sz w:val="18"/>
          <w:lang w:val="es-ES_tradnl"/>
        </w:rPr>
      </w:pPr>
    </w:p>
    <w:p w:rsidR="00DF67BB" w:rsidRPr="00600ED9" w:rsidRDefault="00720E42" w:rsidP="00FB1954">
      <w:pPr>
        <w:pStyle w:val="Heading2"/>
        <w:spacing w:before="0" w:line="240" w:lineRule="auto"/>
        <w:rPr>
          <w:rFonts w:eastAsia="Calibri" w:cs="Times New Roman"/>
          <w:sz w:val="22"/>
        </w:rPr>
      </w:pPr>
      <w:bookmarkStart w:id="41" w:name="_Toc295932933"/>
      <w:r w:rsidRPr="00600ED9">
        <w:rPr>
          <w:rFonts w:eastAsia="Calibri" w:cs="Times New Roman"/>
          <w:sz w:val="22"/>
        </w:rPr>
        <w:t>EFS24 - Comunicación los Medios, los Ciudadanos y la Sociedad Civil</w:t>
      </w:r>
      <w:bookmarkEnd w:id="41"/>
    </w:p>
    <w:p w:rsidR="00CB7119" w:rsidRPr="00600ED9" w:rsidRDefault="00CB7119" w:rsidP="00FB1954">
      <w:pPr>
        <w:pStyle w:val="NoSpacing"/>
        <w:rPr>
          <w:sz w:val="20"/>
          <w:lang w:val="es-ES_tradnl"/>
        </w:rPr>
      </w:pPr>
    </w:p>
    <w:tbl>
      <w:tblPr>
        <w:tblW w:w="8195" w:type="dxa"/>
        <w:tblInd w:w="720" w:type="dxa"/>
        <w:tblCellMar>
          <w:left w:w="70" w:type="dxa"/>
          <w:right w:w="70" w:type="dxa"/>
        </w:tblCellMar>
        <w:tblLook w:val="04A0" w:firstRow="1" w:lastRow="0" w:firstColumn="1" w:lastColumn="0" w:noHBand="0" w:noVBand="1"/>
      </w:tblPr>
      <w:tblGrid>
        <w:gridCol w:w="2560"/>
        <w:gridCol w:w="1945"/>
        <w:gridCol w:w="2430"/>
        <w:gridCol w:w="175"/>
        <w:gridCol w:w="1085"/>
      </w:tblGrid>
      <w:tr w:rsidR="006F4A97" w:rsidRPr="00600ED9" w:rsidTr="004506C8">
        <w:trPr>
          <w:trHeight w:val="255"/>
        </w:trPr>
        <w:tc>
          <w:tcPr>
            <w:tcW w:w="2560" w:type="dxa"/>
            <w:tcBorders>
              <w:top w:val="nil"/>
              <w:left w:val="nil"/>
              <w:bottom w:val="nil"/>
              <w:right w:val="nil"/>
            </w:tcBorders>
            <w:shd w:val="clear" w:color="auto" w:fill="auto"/>
            <w:noWrap/>
            <w:vAlign w:val="bottom"/>
            <w:hideMark/>
          </w:tcPr>
          <w:p w:rsidR="006F4A97" w:rsidRPr="00600ED9" w:rsidRDefault="006F4A97" w:rsidP="00FB1954">
            <w:pPr>
              <w:pStyle w:val="NoSpacing"/>
              <w:tabs>
                <w:tab w:val="center" w:pos="4680"/>
                <w:tab w:val="right" w:pos="9360"/>
              </w:tabs>
              <w:jc w:val="center"/>
              <w:rPr>
                <w:sz w:val="20"/>
                <w:lang w:val="es-ES_tradnl"/>
              </w:rPr>
            </w:pPr>
          </w:p>
        </w:tc>
        <w:tc>
          <w:tcPr>
            <w:tcW w:w="4375"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6F4A97" w:rsidRPr="00600ED9" w:rsidRDefault="006F4A97" w:rsidP="00FB1954">
            <w:pPr>
              <w:pStyle w:val="NoSpacing"/>
              <w:jc w:val="center"/>
              <w:rPr>
                <w:b/>
                <w:bCs/>
                <w:sz w:val="20"/>
                <w:lang w:val="es-ES_tradnl"/>
              </w:rPr>
            </w:pPr>
            <w:r w:rsidRPr="00600ED9">
              <w:rPr>
                <w:b/>
                <w:bCs/>
                <w:sz w:val="20"/>
                <w:lang w:val="es-ES_tradnl"/>
              </w:rPr>
              <w:t>Dimensiones Evaluadas</w:t>
            </w:r>
          </w:p>
        </w:tc>
        <w:tc>
          <w:tcPr>
            <w:tcW w:w="175" w:type="dxa"/>
            <w:tcBorders>
              <w:top w:val="nil"/>
              <w:left w:val="nil"/>
              <w:bottom w:val="nil"/>
              <w:right w:val="nil"/>
            </w:tcBorders>
            <w:shd w:val="clear" w:color="auto" w:fill="auto"/>
            <w:noWrap/>
            <w:vAlign w:val="bottom"/>
            <w:hideMark/>
          </w:tcPr>
          <w:p w:rsidR="006F4A97" w:rsidRPr="00600ED9" w:rsidRDefault="006F4A97" w:rsidP="00FB1954">
            <w:pPr>
              <w:pStyle w:val="NoSpacing"/>
              <w:tabs>
                <w:tab w:val="center" w:pos="4680"/>
                <w:tab w:val="right" w:pos="9360"/>
              </w:tabs>
              <w:jc w:val="center"/>
              <w:rPr>
                <w:sz w:val="20"/>
                <w:lang w:val="es-ES_tradnl"/>
              </w:rPr>
            </w:pPr>
          </w:p>
        </w:tc>
        <w:tc>
          <w:tcPr>
            <w:tcW w:w="1085" w:type="dxa"/>
            <w:vMerge w:val="restart"/>
            <w:tcBorders>
              <w:top w:val="single" w:sz="4" w:space="0" w:color="auto"/>
              <w:left w:val="single" w:sz="4" w:space="0" w:color="auto"/>
              <w:right w:val="single" w:sz="4" w:space="0" w:color="auto"/>
            </w:tcBorders>
            <w:shd w:val="clear" w:color="000000" w:fill="95B3D7"/>
            <w:vAlign w:val="center"/>
            <w:hideMark/>
          </w:tcPr>
          <w:p w:rsidR="006F4A97" w:rsidRPr="00600ED9" w:rsidRDefault="006F4A97" w:rsidP="00FB1954">
            <w:pPr>
              <w:pStyle w:val="NoSpacing"/>
              <w:jc w:val="center"/>
              <w:rPr>
                <w:b/>
                <w:bCs/>
                <w:sz w:val="20"/>
                <w:lang w:val="es-ES_tradnl"/>
              </w:rPr>
            </w:pPr>
            <w:r w:rsidRPr="00600ED9">
              <w:rPr>
                <w:b/>
                <w:bCs/>
                <w:sz w:val="20"/>
                <w:lang w:val="es-ES_tradnl"/>
              </w:rPr>
              <w:t>Puntuación General</w:t>
            </w:r>
          </w:p>
        </w:tc>
      </w:tr>
      <w:tr w:rsidR="006F4A97" w:rsidRPr="00600ED9" w:rsidTr="004506C8">
        <w:trPr>
          <w:trHeight w:val="390"/>
        </w:trPr>
        <w:tc>
          <w:tcPr>
            <w:tcW w:w="2560" w:type="dxa"/>
            <w:tcBorders>
              <w:top w:val="single" w:sz="4" w:space="0" w:color="auto"/>
              <w:left w:val="single" w:sz="4" w:space="0" w:color="auto"/>
              <w:bottom w:val="single" w:sz="4" w:space="0" w:color="auto"/>
              <w:right w:val="single" w:sz="4" w:space="0" w:color="auto"/>
            </w:tcBorders>
            <w:shd w:val="clear" w:color="000000" w:fill="BFBFBF"/>
            <w:noWrap/>
            <w:hideMark/>
          </w:tcPr>
          <w:p w:rsidR="006F4A97" w:rsidRPr="00600ED9" w:rsidRDefault="006F4A97" w:rsidP="00FB1954">
            <w:pPr>
              <w:pStyle w:val="NoSpacing"/>
              <w:jc w:val="center"/>
              <w:rPr>
                <w:b/>
                <w:bCs/>
                <w:sz w:val="20"/>
                <w:lang w:val="es-ES_tradnl"/>
              </w:rPr>
            </w:pPr>
            <w:r w:rsidRPr="00600ED9">
              <w:rPr>
                <w:b/>
                <w:bCs/>
                <w:sz w:val="20"/>
                <w:lang w:val="es-ES_tradnl"/>
              </w:rPr>
              <w:t>Indicadores</w:t>
            </w:r>
          </w:p>
        </w:tc>
        <w:tc>
          <w:tcPr>
            <w:tcW w:w="1945" w:type="dxa"/>
            <w:tcBorders>
              <w:top w:val="nil"/>
              <w:left w:val="nil"/>
              <w:bottom w:val="single" w:sz="4" w:space="0" w:color="auto"/>
              <w:right w:val="single" w:sz="4" w:space="0" w:color="auto"/>
            </w:tcBorders>
            <w:shd w:val="clear" w:color="000000" w:fill="D8D8D8"/>
            <w:noWrap/>
            <w:hideMark/>
          </w:tcPr>
          <w:p w:rsidR="006F4A97" w:rsidRPr="00600ED9" w:rsidRDefault="00DF67BB" w:rsidP="00FB1954">
            <w:pPr>
              <w:pStyle w:val="NoSpacing"/>
              <w:jc w:val="center"/>
              <w:rPr>
                <w:b/>
                <w:bCs/>
                <w:sz w:val="20"/>
                <w:lang w:val="es-ES_tradnl"/>
              </w:rPr>
            </w:pPr>
            <w:r w:rsidRPr="00600ED9">
              <w:rPr>
                <w:b/>
                <w:bCs/>
                <w:sz w:val="20"/>
                <w:lang w:val="es-ES_tradnl"/>
              </w:rPr>
              <w:t>(i)</w:t>
            </w:r>
          </w:p>
          <w:p w:rsidR="006F4A97" w:rsidRPr="00600ED9" w:rsidRDefault="006F4A97" w:rsidP="00FB1954">
            <w:pPr>
              <w:pStyle w:val="NoSpacing"/>
              <w:jc w:val="center"/>
              <w:rPr>
                <w:b/>
                <w:bCs/>
                <w:sz w:val="20"/>
                <w:lang w:val="es-ES_tradnl"/>
              </w:rPr>
            </w:pPr>
            <w:r w:rsidRPr="00600ED9">
              <w:rPr>
                <w:sz w:val="20"/>
                <w:lang w:val="es-ES_tradnl"/>
              </w:rPr>
              <w:t>Buenas prácticas en lo que respecta a la comunicación con los medios</w:t>
            </w:r>
          </w:p>
        </w:tc>
        <w:tc>
          <w:tcPr>
            <w:tcW w:w="2430" w:type="dxa"/>
            <w:tcBorders>
              <w:top w:val="nil"/>
              <w:left w:val="nil"/>
              <w:bottom w:val="single" w:sz="4" w:space="0" w:color="auto"/>
              <w:right w:val="single" w:sz="4" w:space="0" w:color="auto"/>
            </w:tcBorders>
            <w:shd w:val="clear" w:color="000000" w:fill="D8D8D8"/>
            <w:noWrap/>
            <w:hideMark/>
          </w:tcPr>
          <w:p w:rsidR="006F4A97" w:rsidRPr="00600ED9" w:rsidRDefault="00DF67BB" w:rsidP="00FB1954">
            <w:pPr>
              <w:pStyle w:val="NoSpacing"/>
              <w:jc w:val="center"/>
              <w:rPr>
                <w:b/>
                <w:bCs/>
                <w:sz w:val="20"/>
                <w:lang w:val="es-ES_tradnl"/>
              </w:rPr>
            </w:pPr>
            <w:r w:rsidRPr="00600ED9">
              <w:rPr>
                <w:b/>
                <w:bCs/>
                <w:sz w:val="20"/>
                <w:lang w:val="es-ES_tradnl"/>
              </w:rPr>
              <w:t>(ii)</w:t>
            </w:r>
          </w:p>
          <w:p w:rsidR="006F4A97" w:rsidRPr="00600ED9" w:rsidRDefault="006F4A97" w:rsidP="00FB1954">
            <w:pPr>
              <w:pStyle w:val="NoSpacing"/>
              <w:jc w:val="center"/>
              <w:rPr>
                <w:bCs/>
                <w:sz w:val="20"/>
                <w:lang w:val="es-ES_tradnl"/>
              </w:rPr>
            </w:pPr>
            <w:r w:rsidRPr="00600ED9">
              <w:rPr>
                <w:bCs/>
                <w:sz w:val="20"/>
                <w:lang w:val="es-ES_tradnl"/>
              </w:rPr>
              <w:t>Buenas prácticas en lo referente a la comunicación con los ciudadanos y con las organizaciones de la sociedad civil.</w:t>
            </w:r>
          </w:p>
        </w:tc>
        <w:tc>
          <w:tcPr>
            <w:tcW w:w="175" w:type="dxa"/>
            <w:tcBorders>
              <w:top w:val="nil"/>
              <w:left w:val="nil"/>
              <w:bottom w:val="nil"/>
              <w:right w:val="nil"/>
            </w:tcBorders>
            <w:shd w:val="clear" w:color="auto" w:fill="auto"/>
            <w:noWrap/>
            <w:hideMark/>
          </w:tcPr>
          <w:p w:rsidR="006F4A97" w:rsidRPr="00600ED9" w:rsidRDefault="006F4A97" w:rsidP="00FB1954">
            <w:pPr>
              <w:pStyle w:val="NoSpacing"/>
              <w:tabs>
                <w:tab w:val="center" w:pos="4680"/>
                <w:tab w:val="right" w:pos="9360"/>
              </w:tabs>
              <w:jc w:val="center"/>
              <w:rPr>
                <w:sz w:val="20"/>
                <w:lang w:val="es-ES_tradnl"/>
              </w:rPr>
            </w:pPr>
          </w:p>
        </w:tc>
        <w:tc>
          <w:tcPr>
            <w:tcW w:w="1085" w:type="dxa"/>
            <w:vMerge/>
            <w:tcBorders>
              <w:left w:val="single" w:sz="4" w:space="0" w:color="auto"/>
              <w:bottom w:val="single" w:sz="4" w:space="0" w:color="auto"/>
              <w:right w:val="single" w:sz="4" w:space="0" w:color="auto"/>
            </w:tcBorders>
            <w:shd w:val="clear" w:color="000000" w:fill="95B3D7"/>
            <w:hideMark/>
          </w:tcPr>
          <w:p w:rsidR="006F4A97" w:rsidRPr="00600ED9" w:rsidRDefault="006F4A97" w:rsidP="00FB1954">
            <w:pPr>
              <w:pStyle w:val="NoSpacing"/>
              <w:tabs>
                <w:tab w:val="center" w:pos="4680"/>
                <w:tab w:val="right" w:pos="9360"/>
              </w:tabs>
              <w:jc w:val="center"/>
              <w:rPr>
                <w:b/>
                <w:bCs/>
                <w:sz w:val="20"/>
                <w:lang w:val="es-ES_tradnl"/>
              </w:rPr>
            </w:pPr>
          </w:p>
        </w:tc>
      </w:tr>
      <w:tr w:rsidR="00773F61" w:rsidRPr="00600ED9" w:rsidTr="004506C8">
        <w:trPr>
          <w:trHeight w:val="510"/>
        </w:trPr>
        <w:tc>
          <w:tcPr>
            <w:tcW w:w="2560" w:type="dxa"/>
            <w:tcBorders>
              <w:top w:val="nil"/>
              <w:left w:val="single" w:sz="4" w:space="0" w:color="auto"/>
              <w:bottom w:val="single" w:sz="4" w:space="0" w:color="auto"/>
              <w:right w:val="single" w:sz="4" w:space="0" w:color="auto"/>
            </w:tcBorders>
            <w:shd w:val="clear" w:color="auto" w:fill="auto"/>
            <w:vAlign w:val="center"/>
            <w:hideMark/>
          </w:tcPr>
          <w:p w:rsidR="00773F61" w:rsidRPr="00600ED9" w:rsidRDefault="00773F61" w:rsidP="00FB1954">
            <w:pPr>
              <w:pStyle w:val="NoSpacing"/>
              <w:jc w:val="center"/>
              <w:rPr>
                <w:b/>
                <w:bCs/>
                <w:sz w:val="20"/>
                <w:lang w:val="es-ES_tradnl"/>
              </w:rPr>
            </w:pPr>
            <w:r w:rsidRPr="00600ED9">
              <w:rPr>
                <w:rFonts w:eastAsia="Calibri" w:cs="Times New Roman"/>
                <w:b/>
                <w:sz w:val="20"/>
                <w:lang w:val="es-ES_tradnl"/>
              </w:rPr>
              <w:t>EFS24 - Comunicación los Medios, los Ciudadanos y la Sociedad Civil</w:t>
            </w:r>
          </w:p>
        </w:tc>
        <w:tc>
          <w:tcPr>
            <w:tcW w:w="1945" w:type="dxa"/>
            <w:tcBorders>
              <w:top w:val="nil"/>
              <w:left w:val="nil"/>
              <w:bottom w:val="single" w:sz="4" w:space="0" w:color="auto"/>
              <w:right w:val="single" w:sz="4" w:space="0" w:color="auto"/>
            </w:tcBorders>
            <w:shd w:val="clear" w:color="auto" w:fill="auto"/>
            <w:noWrap/>
            <w:vAlign w:val="center"/>
          </w:tcPr>
          <w:p w:rsidR="00773F61" w:rsidRPr="00600ED9" w:rsidRDefault="00773F61" w:rsidP="00FB1954">
            <w:pPr>
              <w:pStyle w:val="NoSpacing"/>
              <w:jc w:val="center"/>
              <w:rPr>
                <w:b/>
                <w:bCs/>
                <w:sz w:val="20"/>
                <w:lang w:val="es-ES_tradnl"/>
              </w:rPr>
            </w:pPr>
            <w:r w:rsidRPr="00600ED9">
              <w:rPr>
                <w:b/>
                <w:bCs/>
                <w:sz w:val="20"/>
                <w:lang w:val="es-ES_tradnl"/>
              </w:rPr>
              <w:t>2</w:t>
            </w:r>
          </w:p>
        </w:tc>
        <w:tc>
          <w:tcPr>
            <w:tcW w:w="2430" w:type="dxa"/>
            <w:tcBorders>
              <w:top w:val="nil"/>
              <w:left w:val="nil"/>
              <w:bottom w:val="single" w:sz="4" w:space="0" w:color="auto"/>
              <w:right w:val="single" w:sz="4" w:space="0" w:color="auto"/>
            </w:tcBorders>
            <w:shd w:val="clear" w:color="auto" w:fill="auto"/>
            <w:noWrap/>
            <w:vAlign w:val="center"/>
          </w:tcPr>
          <w:p w:rsidR="00773F61" w:rsidRPr="00600ED9" w:rsidRDefault="00773F61" w:rsidP="00FB1954">
            <w:pPr>
              <w:pStyle w:val="NoSpacing"/>
              <w:jc w:val="center"/>
              <w:rPr>
                <w:b/>
                <w:bCs/>
                <w:sz w:val="20"/>
                <w:lang w:val="es-ES_tradnl"/>
              </w:rPr>
            </w:pPr>
            <w:r w:rsidRPr="00600ED9">
              <w:rPr>
                <w:b/>
                <w:bCs/>
                <w:sz w:val="20"/>
                <w:lang w:val="es-ES_tradnl"/>
              </w:rPr>
              <w:t>3</w:t>
            </w:r>
          </w:p>
        </w:tc>
        <w:tc>
          <w:tcPr>
            <w:tcW w:w="175" w:type="dxa"/>
            <w:tcBorders>
              <w:top w:val="nil"/>
              <w:left w:val="nil"/>
              <w:bottom w:val="nil"/>
              <w:right w:val="nil"/>
            </w:tcBorders>
            <w:shd w:val="clear" w:color="auto" w:fill="auto"/>
            <w:noWrap/>
            <w:vAlign w:val="bottom"/>
          </w:tcPr>
          <w:p w:rsidR="00773F61" w:rsidRPr="00600ED9" w:rsidRDefault="00773F61" w:rsidP="00FB1954">
            <w:pPr>
              <w:pStyle w:val="NoSpacing"/>
              <w:tabs>
                <w:tab w:val="center" w:pos="4680"/>
                <w:tab w:val="right" w:pos="9360"/>
              </w:tabs>
              <w:jc w:val="center"/>
              <w:rPr>
                <w:sz w:val="20"/>
                <w:lang w:val="es-ES_tradnl"/>
              </w:rPr>
            </w:pPr>
          </w:p>
        </w:tc>
        <w:tc>
          <w:tcPr>
            <w:tcW w:w="1085" w:type="dxa"/>
            <w:tcBorders>
              <w:top w:val="nil"/>
              <w:left w:val="single" w:sz="4" w:space="0" w:color="auto"/>
              <w:bottom w:val="single" w:sz="4" w:space="0" w:color="auto"/>
              <w:right w:val="single" w:sz="4" w:space="0" w:color="auto"/>
            </w:tcBorders>
            <w:shd w:val="clear" w:color="auto" w:fill="auto"/>
            <w:noWrap/>
            <w:vAlign w:val="center"/>
          </w:tcPr>
          <w:p w:rsidR="00773F61" w:rsidRPr="00600ED9" w:rsidRDefault="00773F61" w:rsidP="00FB1954">
            <w:pPr>
              <w:pStyle w:val="NoSpacing"/>
              <w:jc w:val="center"/>
              <w:rPr>
                <w:b/>
                <w:sz w:val="20"/>
                <w:lang w:val="es-ES_tradnl"/>
              </w:rPr>
            </w:pPr>
            <w:r w:rsidRPr="00600ED9">
              <w:rPr>
                <w:b/>
                <w:sz w:val="20"/>
                <w:lang w:val="es-ES_tradnl"/>
              </w:rPr>
              <w:t>2</w:t>
            </w:r>
          </w:p>
        </w:tc>
      </w:tr>
    </w:tbl>
    <w:p w:rsidR="00DF67BB" w:rsidRPr="00600ED9" w:rsidRDefault="00DF67BB" w:rsidP="00FB1954">
      <w:pPr>
        <w:pStyle w:val="NoSpacing"/>
        <w:ind w:left="720"/>
        <w:jc w:val="both"/>
        <w:rPr>
          <w:lang w:val="es-ES_tradnl"/>
        </w:rPr>
      </w:pPr>
    </w:p>
    <w:p w:rsidR="00F26902" w:rsidRPr="00600ED9" w:rsidRDefault="00F26902" w:rsidP="00FB1954">
      <w:pPr>
        <w:pStyle w:val="NoSpacing"/>
        <w:ind w:left="720"/>
        <w:jc w:val="both"/>
        <w:rPr>
          <w:rFonts w:ascii="Calibri" w:hAnsi="Calibri" w:cs="Calibri"/>
          <w:color w:val="000000"/>
          <w:lang w:val="es-ES_tradnl"/>
        </w:rPr>
      </w:pPr>
      <w:r w:rsidRPr="00600ED9">
        <w:rPr>
          <w:rFonts w:ascii="Calibri" w:hAnsi="Calibri" w:cs="Calibri"/>
          <w:color w:val="000000"/>
          <w:lang w:val="es-ES_tradnl"/>
        </w:rPr>
        <w:t>Aunque la CGR</w:t>
      </w:r>
      <w:r w:rsidR="004F42B9">
        <w:rPr>
          <w:rFonts w:ascii="Calibri" w:hAnsi="Calibri" w:cs="Calibri"/>
          <w:color w:val="000000"/>
          <w:lang w:val="es-ES_tradnl"/>
        </w:rPr>
        <w:t>C</w:t>
      </w:r>
      <w:r w:rsidRPr="00600ED9">
        <w:rPr>
          <w:rFonts w:ascii="Calibri" w:hAnsi="Calibri" w:cs="Calibri"/>
          <w:color w:val="000000"/>
          <w:lang w:val="es-ES_tradnl"/>
        </w:rPr>
        <w:t xml:space="preserve"> ha desarrollado e implementado mecanismos para la comunicación con los Medios, los Ciudadanos y las organizaciones de la Sociedad Civil.  </w:t>
      </w:r>
      <w:r w:rsidR="00912AD8" w:rsidRPr="00600ED9">
        <w:rPr>
          <w:rFonts w:ascii="Calibri" w:hAnsi="Calibri" w:cs="Calibri"/>
          <w:color w:val="000000"/>
          <w:lang w:val="es-ES_tradnl"/>
        </w:rPr>
        <w:t>Está</w:t>
      </w:r>
      <w:r w:rsidRPr="00600ED9">
        <w:rPr>
          <w:rFonts w:ascii="Calibri" w:hAnsi="Calibri" w:cs="Calibri"/>
          <w:color w:val="000000"/>
          <w:lang w:val="es-ES_tradnl"/>
        </w:rPr>
        <w:t xml:space="preserve"> pendiente que  diseñe e implemente herramientas que le permitan medir la efectividad  de los diferentes instrumentos utilizados, así como el contenido y relevancia de los resultados de dicha comunicación. </w:t>
      </w:r>
    </w:p>
    <w:p w:rsidR="00F26902" w:rsidRPr="00600ED9" w:rsidRDefault="00F26902" w:rsidP="00FB1954">
      <w:pPr>
        <w:pStyle w:val="NoSpacing"/>
        <w:ind w:left="720"/>
        <w:jc w:val="both"/>
        <w:rPr>
          <w:rFonts w:ascii="Calibri" w:hAnsi="Calibri" w:cs="Calibri"/>
          <w:color w:val="000000"/>
          <w:lang w:val="es-ES_tradnl"/>
        </w:rPr>
      </w:pPr>
    </w:p>
    <w:p w:rsidR="00F26902" w:rsidRPr="00600ED9" w:rsidRDefault="00F26902" w:rsidP="00FB1954">
      <w:pPr>
        <w:pStyle w:val="NoSpacing"/>
        <w:ind w:left="720"/>
        <w:jc w:val="both"/>
        <w:rPr>
          <w:rFonts w:ascii="Calibri" w:hAnsi="Calibri" w:cs="Calibri"/>
          <w:color w:val="000000"/>
          <w:lang w:val="es-ES_tradnl"/>
        </w:rPr>
      </w:pPr>
      <w:r w:rsidRPr="00600ED9">
        <w:rPr>
          <w:rFonts w:ascii="Calibri" w:hAnsi="Calibri" w:cs="Calibri"/>
          <w:color w:val="000000"/>
          <w:lang w:val="es-ES_tradnl"/>
        </w:rPr>
        <w:t xml:space="preserve">Igualmente, podría fortalecer la efectividad en la comunicación con  los ciudadanos y otros interesados presentando en forma resumida y periódicamente dentro de cada año,  los resultados del control externo, de acuerdo con los diferentes ámbitos de interés. </w:t>
      </w:r>
    </w:p>
    <w:p w:rsidR="00F26902" w:rsidRPr="00600ED9" w:rsidRDefault="00F26902" w:rsidP="00FB1954">
      <w:pPr>
        <w:pStyle w:val="NoSpacing"/>
        <w:ind w:left="720"/>
        <w:jc w:val="both"/>
        <w:rPr>
          <w:rFonts w:ascii="Calibri" w:hAnsi="Calibri" w:cs="Calibri"/>
          <w:color w:val="000000"/>
          <w:lang w:val="es-ES_tradnl"/>
        </w:rPr>
      </w:pPr>
    </w:p>
    <w:p w:rsidR="00AC17CB" w:rsidRPr="00600ED9" w:rsidRDefault="00F26902" w:rsidP="00FB1954">
      <w:pPr>
        <w:pStyle w:val="NoSpacing"/>
        <w:ind w:left="720"/>
        <w:jc w:val="both"/>
        <w:rPr>
          <w:rFonts w:ascii="Calibri" w:hAnsi="Calibri" w:cs="Calibri"/>
          <w:color w:val="000000"/>
          <w:lang w:val="es-ES_tradnl"/>
        </w:rPr>
      </w:pPr>
      <w:r w:rsidRPr="00600ED9">
        <w:rPr>
          <w:rFonts w:ascii="Calibri" w:hAnsi="Calibri" w:cs="Calibri"/>
          <w:color w:val="000000"/>
          <w:lang w:val="es-ES_tradnl"/>
        </w:rPr>
        <w:t>Evidentemente el Contralor es el vocero oficial de la CGR</w:t>
      </w:r>
      <w:r w:rsidR="004F42B9">
        <w:rPr>
          <w:rFonts w:ascii="Calibri" w:hAnsi="Calibri" w:cs="Calibri"/>
          <w:color w:val="000000"/>
          <w:lang w:val="es-ES_tradnl"/>
        </w:rPr>
        <w:t>C</w:t>
      </w:r>
      <w:r w:rsidRPr="00600ED9">
        <w:rPr>
          <w:rFonts w:ascii="Calibri" w:hAnsi="Calibri" w:cs="Calibri"/>
          <w:color w:val="000000"/>
          <w:lang w:val="es-ES_tradnl"/>
        </w:rPr>
        <w:t xml:space="preserve">, pero como medida preventiva y basada en lecciones aprendidas, se recomienda que exista una instrucción formal, según la cual únicamente el Contralor General de República pueda dar declaraciones o a quien esta autoridad designe expresamente. </w:t>
      </w:r>
    </w:p>
    <w:p w:rsidR="00F567BA" w:rsidRPr="00600ED9" w:rsidRDefault="00F567BA" w:rsidP="00FB1954">
      <w:pPr>
        <w:pStyle w:val="NoSpacing"/>
        <w:ind w:left="720"/>
        <w:jc w:val="both"/>
        <w:rPr>
          <w:rFonts w:ascii="Calibri" w:hAnsi="Calibri" w:cs="Calibri"/>
          <w:color w:val="000000"/>
          <w:lang w:val="es-ES_tradnl"/>
        </w:rPr>
      </w:pPr>
    </w:p>
    <w:tbl>
      <w:tblPr>
        <w:tblStyle w:val="TableGrid"/>
        <w:tblW w:w="9356" w:type="dxa"/>
        <w:tblInd w:w="817" w:type="dxa"/>
        <w:tblLook w:val="04A0" w:firstRow="1" w:lastRow="0" w:firstColumn="1" w:lastColumn="0" w:noHBand="0" w:noVBand="1"/>
      </w:tblPr>
      <w:tblGrid>
        <w:gridCol w:w="9356"/>
      </w:tblGrid>
      <w:tr w:rsidR="00315E40" w:rsidRPr="00600ED9" w:rsidTr="00F567BA">
        <w:trPr>
          <w:tblHeader/>
        </w:trPr>
        <w:tc>
          <w:tcPr>
            <w:tcW w:w="9356" w:type="dxa"/>
            <w:shd w:val="clear" w:color="auto" w:fill="365F91" w:themeFill="accent1" w:themeFillShade="BF"/>
          </w:tcPr>
          <w:p w:rsidR="00315E40" w:rsidRPr="00600ED9" w:rsidRDefault="00315E40" w:rsidP="00FB1954">
            <w:pPr>
              <w:pStyle w:val="NoSpacing"/>
              <w:rPr>
                <w:b/>
                <w:color w:val="FFFFFF" w:themeColor="background1"/>
                <w:sz w:val="20"/>
                <w:szCs w:val="20"/>
                <w:lang w:val="es-ES_tradnl"/>
              </w:rPr>
            </w:pPr>
            <w:r w:rsidRPr="00600ED9">
              <w:rPr>
                <w:b/>
                <w:color w:val="FFFFFF" w:themeColor="background1"/>
                <w:sz w:val="20"/>
                <w:szCs w:val="20"/>
                <w:lang w:val="es-ES_tradnl"/>
              </w:rPr>
              <w:t>Principales observaciones y conclusiones</w:t>
            </w:r>
          </w:p>
        </w:tc>
      </w:tr>
      <w:tr w:rsidR="00315E40" w:rsidRPr="00600ED9" w:rsidTr="00F567BA">
        <w:tc>
          <w:tcPr>
            <w:tcW w:w="9356" w:type="dxa"/>
            <w:shd w:val="clear" w:color="auto" w:fill="D9D9D9" w:themeFill="background1" w:themeFillShade="D9"/>
          </w:tcPr>
          <w:p w:rsidR="00315E40" w:rsidRPr="00600ED9" w:rsidRDefault="00315E40" w:rsidP="00FB1954">
            <w:pPr>
              <w:pStyle w:val="NoSpacing"/>
              <w:rPr>
                <w:b/>
                <w:i/>
                <w:sz w:val="20"/>
                <w:szCs w:val="20"/>
                <w:lang w:val="es-ES_tradnl"/>
              </w:rPr>
            </w:pPr>
            <w:r w:rsidRPr="00600ED9">
              <w:rPr>
                <w:b/>
                <w:i/>
                <w:sz w:val="20"/>
                <w:szCs w:val="20"/>
                <w:lang w:val="es-ES_tradnl"/>
              </w:rPr>
              <w:t>Dimensión (i) Buenas prácticas referentes a la comunicación con los medios</w:t>
            </w:r>
          </w:p>
        </w:tc>
      </w:tr>
      <w:tr w:rsidR="00315E40" w:rsidRPr="00600ED9" w:rsidTr="00F567BA">
        <w:tc>
          <w:tcPr>
            <w:tcW w:w="9356" w:type="dxa"/>
            <w:shd w:val="clear" w:color="auto" w:fill="D9D9D9" w:themeFill="background1" w:themeFillShade="D9"/>
          </w:tcPr>
          <w:p w:rsidR="00315E40" w:rsidRPr="00600ED9" w:rsidRDefault="00315E40" w:rsidP="00FB1954">
            <w:pPr>
              <w:pStyle w:val="NoSpacing"/>
              <w:rPr>
                <w:i/>
                <w:sz w:val="20"/>
                <w:szCs w:val="20"/>
                <w:lang w:val="es-ES_tradnl"/>
              </w:rPr>
            </w:pPr>
            <w:r w:rsidRPr="00600ED9">
              <w:rPr>
                <w:rFonts w:cs="Calibri"/>
                <w:b/>
                <w:bCs/>
                <w:i/>
                <w:color w:val="000000"/>
                <w:sz w:val="20"/>
                <w:szCs w:val="20"/>
                <w:lang w:val="es-ES_tradnl"/>
              </w:rPr>
              <w:t>Puntuación</w:t>
            </w:r>
            <w:r w:rsidRPr="00600ED9">
              <w:rPr>
                <w:rFonts w:cs="Calibri"/>
                <w:bCs/>
                <w:i/>
                <w:color w:val="000000"/>
                <w:sz w:val="20"/>
                <w:szCs w:val="20"/>
                <w:lang w:val="es-ES_tradnl"/>
              </w:rPr>
              <w:t xml:space="preserve"> 2: Se cumplen al menos dos de los criterios enumerados.</w:t>
            </w:r>
          </w:p>
        </w:tc>
      </w:tr>
      <w:tr w:rsidR="00315E40" w:rsidRPr="00600ED9" w:rsidTr="00F567BA">
        <w:tc>
          <w:tcPr>
            <w:tcW w:w="9356" w:type="dxa"/>
          </w:tcPr>
          <w:p w:rsidR="00315E40" w:rsidRPr="00600ED9" w:rsidRDefault="00315E40" w:rsidP="00FB1954">
            <w:pPr>
              <w:pStyle w:val="NoSpacing"/>
              <w:jc w:val="both"/>
              <w:rPr>
                <w:sz w:val="20"/>
                <w:szCs w:val="20"/>
                <w:lang w:val="es-ES_tradnl"/>
              </w:rPr>
            </w:pPr>
            <w:r w:rsidRPr="00600ED9">
              <w:rPr>
                <w:sz w:val="20"/>
                <w:szCs w:val="20"/>
                <w:lang w:val="es-ES_tradnl"/>
              </w:rPr>
              <w:t xml:space="preserve">Criterios (a) y (b) se cumplen.  Criterios (c), (d), (e) y (f) no se cumplen. </w:t>
            </w:r>
          </w:p>
          <w:p w:rsidR="00315E40" w:rsidRPr="00600ED9" w:rsidRDefault="00315E40" w:rsidP="00FB1954">
            <w:pPr>
              <w:pStyle w:val="NoSpacing"/>
              <w:jc w:val="both"/>
              <w:rPr>
                <w:sz w:val="20"/>
                <w:szCs w:val="20"/>
                <w:lang w:val="es-ES_tradnl"/>
              </w:rPr>
            </w:pPr>
          </w:p>
          <w:p w:rsidR="00315E40" w:rsidRPr="00600ED9" w:rsidRDefault="00315E40" w:rsidP="00FB1954">
            <w:pPr>
              <w:pStyle w:val="NoSpacing"/>
              <w:jc w:val="both"/>
              <w:rPr>
                <w:sz w:val="20"/>
                <w:szCs w:val="20"/>
                <w:lang w:val="es-ES_tradnl"/>
              </w:rPr>
            </w:pPr>
            <w:r w:rsidRPr="00600ED9">
              <w:rPr>
                <w:rFonts w:cs="Calibri"/>
                <w:color w:val="000000"/>
                <w:sz w:val="20"/>
                <w:szCs w:val="20"/>
                <w:lang w:val="es-ES_tradnl"/>
              </w:rPr>
              <w:t xml:space="preserve">La Contraloría tiene como práctica realizar conferencias de prensa para presentar  su informe anual y otros informes  de importancia, así como emitir boletines de prensa.  </w:t>
            </w:r>
            <w:r w:rsidRPr="00600ED9">
              <w:rPr>
                <w:sz w:val="20"/>
                <w:szCs w:val="20"/>
                <w:lang w:val="es-ES_tradnl"/>
              </w:rPr>
              <w:t xml:space="preserve">En la página web institucional, se accede a la red </w:t>
            </w:r>
            <w:r w:rsidRPr="00600ED9">
              <w:rPr>
                <w:i/>
                <w:sz w:val="20"/>
                <w:szCs w:val="20"/>
                <w:lang w:val="es-ES_tradnl"/>
              </w:rPr>
              <w:t>YouTube</w:t>
            </w:r>
            <w:r w:rsidRPr="00600ED9">
              <w:rPr>
                <w:rStyle w:val="FootnoteReference"/>
                <w:sz w:val="20"/>
                <w:szCs w:val="20"/>
                <w:lang w:val="es-ES_tradnl"/>
              </w:rPr>
              <w:footnoteReference w:id="72"/>
            </w:r>
            <w:r w:rsidRPr="00600ED9">
              <w:rPr>
                <w:sz w:val="20"/>
                <w:szCs w:val="20"/>
                <w:lang w:val="es-ES_tradnl"/>
              </w:rPr>
              <w:t xml:space="preserve"> donde se encuentran videos sobre rendición de cuentas y otra información de interés. Bajo el link “Destacados</w:t>
            </w:r>
            <w:r w:rsidRPr="00600ED9">
              <w:rPr>
                <w:rFonts w:cs="Calibri"/>
                <w:color w:val="000000"/>
                <w:sz w:val="20"/>
                <w:szCs w:val="20"/>
                <w:lang w:val="es-ES_tradnl"/>
              </w:rPr>
              <w:t xml:space="preserve"> de Prensa”</w:t>
            </w:r>
            <w:r w:rsidRPr="00600ED9">
              <w:rPr>
                <w:rStyle w:val="FootnoteReference"/>
                <w:rFonts w:cs="Calibri"/>
                <w:color w:val="000000"/>
                <w:sz w:val="20"/>
                <w:szCs w:val="20"/>
                <w:lang w:val="es-ES_tradnl"/>
              </w:rPr>
              <w:footnoteReference w:id="73"/>
            </w:r>
            <w:r w:rsidRPr="00600ED9">
              <w:rPr>
                <w:sz w:val="20"/>
                <w:szCs w:val="20"/>
                <w:lang w:val="es-ES_tradnl"/>
              </w:rPr>
              <w:t xml:space="preserve">, se da visibilidad a los contenidos de índole noticiosa que registran la gestión la entidad.  </w:t>
            </w:r>
          </w:p>
          <w:p w:rsidR="00FA61A9" w:rsidRPr="00600ED9" w:rsidRDefault="00315E40" w:rsidP="00FA61A9">
            <w:pPr>
              <w:jc w:val="both"/>
              <w:rPr>
                <w:rFonts w:cs="Calibri"/>
                <w:color w:val="000000"/>
                <w:sz w:val="20"/>
                <w:szCs w:val="20"/>
              </w:rPr>
            </w:pPr>
            <w:r w:rsidRPr="00600ED9">
              <w:rPr>
                <w:sz w:val="20"/>
                <w:szCs w:val="20"/>
              </w:rPr>
              <w:lastRenderedPageBreak/>
              <w:t xml:space="preserve">En cumplimiento de la normativa sobre el Plan Anticorrupción y de Atención al Ciudadano, con el apoyo de la Oficina de Comunicaciones y Publicaciones, la CGRC ha implementado mecanismos de rendición de cuentas como un proceso continuo y permanente, desarrollado a través de tres componentes: información, diálogo e incentivos.  Como parte de este proceso, </w:t>
            </w:r>
            <w:r w:rsidRPr="00600ED9">
              <w:rPr>
                <w:rFonts w:cs="Calibri"/>
                <w:color w:val="000000"/>
                <w:sz w:val="20"/>
                <w:szCs w:val="20"/>
              </w:rPr>
              <w:t>la Contraloría ha utilizado medios apropiados para difundir los informes de auditoría</w:t>
            </w:r>
            <w:r w:rsidRPr="00600ED9">
              <w:rPr>
                <w:rStyle w:val="FootnoteReference"/>
                <w:rFonts w:cs="Calibri"/>
                <w:color w:val="000000"/>
                <w:sz w:val="20"/>
                <w:szCs w:val="20"/>
              </w:rPr>
              <w:footnoteReference w:id="74"/>
            </w:r>
            <w:r w:rsidRPr="00600ED9">
              <w:rPr>
                <w:rFonts w:cs="Calibri"/>
                <w:color w:val="000000"/>
                <w:sz w:val="20"/>
                <w:szCs w:val="20"/>
              </w:rPr>
              <w:t xml:space="preserve"> y otra información de interés ciudadano.</w:t>
            </w:r>
          </w:p>
          <w:p w:rsidR="00FA61A9" w:rsidRPr="00600ED9" w:rsidRDefault="00FA61A9" w:rsidP="00FA61A9">
            <w:pPr>
              <w:jc w:val="both"/>
              <w:rPr>
                <w:rFonts w:cs="Calibri"/>
                <w:color w:val="000000"/>
                <w:sz w:val="20"/>
                <w:szCs w:val="20"/>
              </w:rPr>
            </w:pPr>
          </w:p>
          <w:p w:rsidR="00E60CFB" w:rsidRPr="00600ED9" w:rsidRDefault="00E60CFB" w:rsidP="00FA61A9">
            <w:pPr>
              <w:jc w:val="both"/>
              <w:rPr>
                <w:rFonts w:ascii="Calibri" w:hAnsi="Calibri" w:cs="Calibri"/>
                <w:color w:val="000000"/>
                <w:sz w:val="20"/>
                <w:szCs w:val="20"/>
              </w:rPr>
            </w:pPr>
            <w:r w:rsidRPr="00600ED9">
              <w:rPr>
                <w:rFonts w:ascii="Calibri" w:hAnsi="Calibri" w:cs="Calibri"/>
                <w:color w:val="000000"/>
                <w:sz w:val="20"/>
                <w:szCs w:val="20"/>
              </w:rPr>
              <w:t>Aunque la Contraloría utiliza una variedad de herramientas para comunicarse con sus usuarios,  no prepara síntesis de sus informes, para facilitar su comprensión por el público en general, ni realiza evaluaciones independientes del contenido, sencillez, claridad y relevancia de sus productos para determinar cómo es representado por los medios de comunicación, tampoco dispone de un plan de comunicación con los medios, que sea supervisado y evaluado periódicamente a través del uso de indicadores de desempeño.</w:t>
            </w:r>
          </w:p>
          <w:p w:rsidR="00E60CFB" w:rsidRPr="00600ED9" w:rsidRDefault="00E60CFB" w:rsidP="00FB1954">
            <w:pPr>
              <w:pStyle w:val="NoSpacing"/>
              <w:ind w:left="360"/>
              <w:jc w:val="both"/>
              <w:rPr>
                <w:sz w:val="20"/>
                <w:szCs w:val="20"/>
                <w:lang w:val="es-ES_tradnl"/>
              </w:rPr>
            </w:pPr>
          </w:p>
          <w:p w:rsidR="00E60CFB" w:rsidRPr="00600ED9" w:rsidRDefault="00E60CFB" w:rsidP="00FB1954">
            <w:pPr>
              <w:pStyle w:val="NoSpacing"/>
              <w:jc w:val="both"/>
              <w:rPr>
                <w:rFonts w:ascii="Calibri" w:hAnsi="Calibri" w:cs="Calibri"/>
                <w:color w:val="000000"/>
                <w:sz w:val="20"/>
                <w:szCs w:val="20"/>
                <w:lang w:val="es-ES_tradnl"/>
              </w:rPr>
            </w:pPr>
            <w:r w:rsidRPr="00600ED9">
              <w:rPr>
                <w:rFonts w:ascii="Calibri" w:hAnsi="Calibri" w:cs="Calibri"/>
                <w:color w:val="000000"/>
                <w:sz w:val="20"/>
                <w:szCs w:val="20"/>
                <w:lang w:val="es-ES_tradnl"/>
              </w:rPr>
              <w:t xml:space="preserve">Adicionalmente, no existe una instrucción formal en una política o similar, según la cual únicamente el Contralor General de República pueda dar declaraciones. </w:t>
            </w:r>
          </w:p>
          <w:p w:rsidR="00315E40" w:rsidRPr="00600ED9" w:rsidRDefault="00315E40" w:rsidP="00FB1954">
            <w:pPr>
              <w:pStyle w:val="Normaltabletext"/>
              <w:spacing w:after="0"/>
              <w:rPr>
                <w:lang w:val="es-ES_tradnl"/>
              </w:rPr>
            </w:pPr>
          </w:p>
        </w:tc>
      </w:tr>
      <w:tr w:rsidR="00315E40" w:rsidRPr="00600ED9" w:rsidTr="00F567BA">
        <w:tc>
          <w:tcPr>
            <w:tcW w:w="9356" w:type="dxa"/>
            <w:shd w:val="clear" w:color="auto" w:fill="D9D9D9" w:themeFill="background1" w:themeFillShade="D9"/>
          </w:tcPr>
          <w:p w:rsidR="00315E40" w:rsidRPr="00600ED9" w:rsidRDefault="00315E40" w:rsidP="00FB1954">
            <w:pPr>
              <w:pStyle w:val="NoSpacing"/>
              <w:rPr>
                <w:b/>
                <w:i/>
                <w:sz w:val="20"/>
                <w:lang w:val="es-ES_tradnl"/>
              </w:rPr>
            </w:pPr>
            <w:r w:rsidRPr="00600ED9">
              <w:rPr>
                <w:b/>
                <w:i/>
                <w:sz w:val="20"/>
                <w:lang w:val="es-ES_tradnl"/>
              </w:rPr>
              <w:lastRenderedPageBreak/>
              <w:t>Dimensión (ii) Buenas prácticas referentes a la comunicación con los ciudadanos y las organizaciones de la sociedad civil</w:t>
            </w:r>
          </w:p>
        </w:tc>
      </w:tr>
      <w:tr w:rsidR="00315E40" w:rsidRPr="00600ED9" w:rsidTr="004F797B">
        <w:tc>
          <w:tcPr>
            <w:tcW w:w="9356" w:type="dxa"/>
            <w:shd w:val="clear" w:color="auto" w:fill="D9D9D9" w:themeFill="background1" w:themeFillShade="D9"/>
          </w:tcPr>
          <w:p w:rsidR="00315E40" w:rsidRPr="00600ED9" w:rsidRDefault="00315E40" w:rsidP="00FB1954">
            <w:pPr>
              <w:pStyle w:val="NoSpacing"/>
              <w:rPr>
                <w:i/>
                <w:sz w:val="20"/>
                <w:szCs w:val="20"/>
                <w:lang w:val="es-ES_tradnl"/>
              </w:rPr>
            </w:pPr>
            <w:r w:rsidRPr="00600ED9">
              <w:rPr>
                <w:rFonts w:cs="Calibri"/>
                <w:b/>
                <w:bCs/>
                <w:i/>
                <w:color w:val="000000"/>
                <w:sz w:val="20"/>
                <w:szCs w:val="20"/>
                <w:lang w:val="es-ES_tradnl"/>
              </w:rPr>
              <w:t xml:space="preserve">Puntuación 3: </w:t>
            </w:r>
            <w:r w:rsidRPr="00600ED9">
              <w:rPr>
                <w:rFonts w:cs="Calibri"/>
                <w:bCs/>
                <w:i/>
                <w:color w:val="000000"/>
                <w:sz w:val="20"/>
                <w:szCs w:val="20"/>
                <w:lang w:val="es-ES_tradnl"/>
              </w:rPr>
              <w:t>Se cumplen al menos cinco de los criterios enumerados.</w:t>
            </w:r>
          </w:p>
        </w:tc>
      </w:tr>
      <w:tr w:rsidR="00315E40" w:rsidRPr="00600ED9" w:rsidTr="00F567BA">
        <w:tc>
          <w:tcPr>
            <w:tcW w:w="9356" w:type="dxa"/>
          </w:tcPr>
          <w:p w:rsidR="00315E40" w:rsidRPr="00600ED9" w:rsidRDefault="00315E40" w:rsidP="00FB1954">
            <w:pPr>
              <w:pStyle w:val="NoSpacing"/>
              <w:jc w:val="both"/>
              <w:rPr>
                <w:sz w:val="20"/>
                <w:szCs w:val="20"/>
                <w:lang w:val="es-ES_tradnl"/>
              </w:rPr>
            </w:pPr>
            <w:r w:rsidRPr="00600ED9">
              <w:rPr>
                <w:sz w:val="20"/>
                <w:szCs w:val="20"/>
                <w:lang w:val="es-ES_tradnl"/>
              </w:rPr>
              <w:t>Criterios (a), (b), (c), (d), (e) y (h) se cumplen. Criterios (f) y (g) no se cumplen.</w:t>
            </w:r>
          </w:p>
          <w:p w:rsidR="00315E40" w:rsidRPr="00600ED9" w:rsidRDefault="00315E40" w:rsidP="00FB1954">
            <w:pPr>
              <w:pStyle w:val="NoSpacing"/>
              <w:jc w:val="both"/>
              <w:rPr>
                <w:sz w:val="20"/>
                <w:szCs w:val="20"/>
                <w:lang w:val="es-ES_tradnl"/>
              </w:rPr>
            </w:pPr>
          </w:p>
          <w:p w:rsidR="00E60CFB" w:rsidRPr="00600ED9" w:rsidRDefault="00E60CFB" w:rsidP="00FB1954">
            <w:pPr>
              <w:pStyle w:val="NoSpacing"/>
              <w:jc w:val="both"/>
              <w:rPr>
                <w:rFonts w:ascii="Calibri" w:hAnsi="Calibri" w:cs="Calibri"/>
                <w:color w:val="000000"/>
                <w:sz w:val="20"/>
                <w:szCs w:val="20"/>
                <w:lang w:val="es-ES_tradnl"/>
              </w:rPr>
            </w:pPr>
            <w:r w:rsidRPr="00600ED9">
              <w:rPr>
                <w:rFonts w:ascii="Calibri" w:hAnsi="Calibri" w:cs="Calibri"/>
                <w:color w:val="000000"/>
                <w:sz w:val="20"/>
                <w:szCs w:val="20"/>
                <w:lang w:val="es-ES_tradnl"/>
              </w:rPr>
              <w:t>La CGR</w:t>
            </w:r>
            <w:r w:rsidR="004F42B9">
              <w:rPr>
                <w:rFonts w:ascii="Calibri" w:hAnsi="Calibri" w:cs="Calibri"/>
                <w:color w:val="000000"/>
                <w:sz w:val="20"/>
                <w:szCs w:val="20"/>
                <w:lang w:val="es-ES_tradnl"/>
              </w:rPr>
              <w:t>C</w:t>
            </w:r>
            <w:r w:rsidRPr="00600ED9">
              <w:rPr>
                <w:rFonts w:ascii="Calibri" w:hAnsi="Calibri" w:cs="Calibri"/>
                <w:color w:val="000000"/>
                <w:sz w:val="20"/>
                <w:szCs w:val="20"/>
                <w:lang w:val="es-ES_tradnl"/>
              </w:rPr>
              <w:t xml:space="preserve"> cuenta dentro de su estructura orgánica con una Contraloría Delegada para la Participación Ciudadana</w:t>
            </w:r>
            <w:r w:rsidRPr="00600ED9">
              <w:rPr>
                <w:rStyle w:val="FootnoteReference"/>
                <w:rFonts w:ascii="Calibri" w:hAnsi="Calibri" w:cs="Calibri"/>
                <w:color w:val="000000"/>
                <w:sz w:val="20"/>
                <w:szCs w:val="20"/>
                <w:lang w:val="es-ES_tradnl"/>
              </w:rPr>
              <w:footnoteReference w:id="75"/>
            </w:r>
            <w:r w:rsidRPr="00600ED9">
              <w:rPr>
                <w:rFonts w:ascii="Calibri" w:hAnsi="Calibri" w:cs="Calibri"/>
                <w:color w:val="000000"/>
                <w:sz w:val="20"/>
                <w:szCs w:val="20"/>
                <w:lang w:val="es-ES_tradnl"/>
              </w:rPr>
              <w:t>, con el objetivo fundamental de afianzar la participación ciudadana en el control y vigilancia fiscal. La CGR</w:t>
            </w:r>
            <w:r w:rsidR="004F42B9">
              <w:rPr>
                <w:rFonts w:ascii="Calibri" w:hAnsi="Calibri" w:cs="Calibri"/>
                <w:color w:val="000000"/>
                <w:sz w:val="20"/>
                <w:szCs w:val="20"/>
                <w:lang w:val="es-ES_tradnl"/>
              </w:rPr>
              <w:t>C</w:t>
            </w:r>
            <w:r w:rsidRPr="00600ED9">
              <w:rPr>
                <w:rFonts w:ascii="Calibri" w:hAnsi="Calibri" w:cs="Calibri"/>
                <w:color w:val="000000"/>
                <w:sz w:val="20"/>
                <w:szCs w:val="20"/>
                <w:lang w:val="es-ES_tradnl"/>
              </w:rPr>
              <w:t xml:space="preserve"> privilegia la participación ciudadana en el control fiscal como una estrategia decisiva para el buen uso de los recursos públicos y considera a los ciudadanos aliados fundamentales para enfrentar la corrupción. Las estrategias del control fiscal participativo</w:t>
            </w:r>
            <w:r w:rsidRPr="00600ED9">
              <w:rPr>
                <w:rStyle w:val="FootnoteReference"/>
                <w:rFonts w:ascii="Calibri" w:hAnsi="Calibri" w:cs="Calibri"/>
                <w:color w:val="000000"/>
                <w:sz w:val="20"/>
                <w:szCs w:val="20"/>
                <w:lang w:val="es-ES_tradnl"/>
              </w:rPr>
              <w:footnoteReference w:id="76"/>
            </w:r>
            <w:r w:rsidRPr="00600ED9">
              <w:rPr>
                <w:rFonts w:ascii="Calibri" w:hAnsi="Calibri" w:cs="Calibri"/>
                <w:color w:val="000000"/>
                <w:sz w:val="20"/>
                <w:szCs w:val="20"/>
                <w:lang w:val="es-ES_tradnl"/>
              </w:rPr>
              <w:t xml:space="preserve"> están orientadas a lograr una ciudadanía informada, formada y organizada con base en la Constitución y la Ley, que faculta a los organismos de control fiscal para vincular a la comunidad a su gestión. </w:t>
            </w:r>
          </w:p>
          <w:p w:rsidR="00E60CFB" w:rsidRPr="00600ED9" w:rsidRDefault="00E60CFB" w:rsidP="00FB1954">
            <w:pPr>
              <w:pStyle w:val="NoSpacing"/>
              <w:jc w:val="both"/>
              <w:rPr>
                <w:sz w:val="20"/>
                <w:szCs w:val="20"/>
                <w:lang w:val="es-ES_tradnl"/>
              </w:rPr>
            </w:pPr>
          </w:p>
          <w:p w:rsidR="00E60CFB" w:rsidRPr="00600ED9" w:rsidRDefault="00E60CFB" w:rsidP="00FB1954">
            <w:pPr>
              <w:pStyle w:val="NoSpacing"/>
              <w:jc w:val="both"/>
              <w:rPr>
                <w:rFonts w:ascii="Calibri" w:hAnsi="Calibri" w:cs="Calibri"/>
                <w:color w:val="000000"/>
                <w:sz w:val="20"/>
                <w:szCs w:val="20"/>
                <w:lang w:val="es-ES_tradnl"/>
              </w:rPr>
            </w:pPr>
            <w:r w:rsidRPr="00600ED9">
              <w:rPr>
                <w:rFonts w:ascii="Calibri" w:hAnsi="Calibri" w:cs="Calibri"/>
                <w:color w:val="000000"/>
                <w:sz w:val="20"/>
                <w:szCs w:val="20"/>
                <w:lang w:val="es-ES_tradnl"/>
              </w:rPr>
              <w:t>La Contraloría complementariamente a estos instr</w:t>
            </w:r>
            <w:r w:rsidR="00FA61A9" w:rsidRPr="00600ED9">
              <w:rPr>
                <w:rFonts w:ascii="Calibri" w:hAnsi="Calibri" w:cs="Calibri"/>
                <w:color w:val="000000"/>
                <w:sz w:val="20"/>
                <w:szCs w:val="20"/>
                <w:lang w:val="es-ES_tradnl"/>
              </w:rPr>
              <w:t>umentos, herramientas y métodos</w:t>
            </w:r>
            <w:r w:rsidRPr="00600ED9">
              <w:rPr>
                <w:rFonts w:ascii="Calibri" w:hAnsi="Calibri" w:cs="Calibri"/>
                <w:color w:val="000000"/>
                <w:sz w:val="20"/>
                <w:szCs w:val="20"/>
                <w:lang w:val="es-ES_tradnl"/>
              </w:rPr>
              <w:t xml:space="preserve"> que utiliza para comunicarse con sus usuarios, hace uso adecuado de los medios de comunicación en línea, entre los cuales se encuentran la Web Institucional, las Redes sociales y un Programa Institucional. Además participa en las Plenarias, Debates y Comisiones sobre temas de interés público y se reúne frecuentemente con representantes de la academia y/o grupos profesionales con la finalidad de debatir sobre su papel y mandato.</w:t>
            </w:r>
          </w:p>
          <w:p w:rsidR="00E60CFB" w:rsidRPr="00600ED9" w:rsidRDefault="00E60CFB" w:rsidP="00FB1954">
            <w:pPr>
              <w:pStyle w:val="NoSpacing"/>
              <w:jc w:val="both"/>
              <w:rPr>
                <w:rFonts w:ascii="Calibri" w:hAnsi="Calibri" w:cs="Calibri"/>
                <w:color w:val="000000"/>
                <w:sz w:val="20"/>
                <w:szCs w:val="20"/>
                <w:lang w:val="es-ES_tradnl"/>
              </w:rPr>
            </w:pPr>
          </w:p>
          <w:p w:rsidR="00E60CFB" w:rsidRPr="00600ED9" w:rsidRDefault="00E60CFB" w:rsidP="00FB1954">
            <w:pPr>
              <w:pStyle w:val="NoSpacing"/>
              <w:jc w:val="both"/>
              <w:rPr>
                <w:rFonts w:ascii="Calibri" w:hAnsi="Calibri" w:cs="Calibri"/>
                <w:color w:val="000000"/>
                <w:sz w:val="20"/>
                <w:szCs w:val="20"/>
                <w:lang w:val="es-ES_tradnl"/>
              </w:rPr>
            </w:pPr>
            <w:r w:rsidRPr="00600ED9">
              <w:rPr>
                <w:rFonts w:ascii="Calibri" w:hAnsi="Calibri" w:cs="Calibri"/>
                <w:color w:val="000000"/>
                <w:sz w:val="20"/>
                <w:szCs w:val="20"/>
                <w:lang w:val="es-ES_tradnl"/>
              </w:rPr>
              <w:t>Durante la vigencia 2010 – 2014, la Oficina de Comunicaciones adelantó actividades de divulgación con el fin de visibilizar la gestión de la entidad ante la ciudadanía, a través de diferentes publicaciones, algunas de las cuales son de libre acceso a través de la web institucional</w:t>
            </w:r>
            <w:r w:rsidRPr="00600ED9">
              <w:rPr>
                <w:rStyle w:val="FootnoteReference"/>
                <w:rFonts w:ascii="Calibri" w:hAnsi="Calibri" w:cs="Calibri"/>
                <w:color w:val="000000"/>
                <w:sz w:val="20"/>
                <w:szCs w:val="20"/>
                <w:lang w:val="es-ES_tradnl"/>
              </w:rPr>
              <w:footnoteReference w:id="77"/>
            </w:r>
          </w:p>
          <w:p w:rsidR="00E60CFB" w:rsidRPr="00600ED9" w:rsidRDefault="00E60CFB" w:rsidP="00FB1954">
            <w:pPr>
              <w:pStyle w:val="NoSpacing"/>
              <w:jc w:val="both"/>
              <w:rPr>
                <w:rFonts w:ascii="Calibri" w:hAnsi="Calibri" w:cs="Calibri"/>
                <w:color w:val="000000"/>
                <w:sz w:val="20"/>
                <w:szCs w:val="20"/>
                <w:lang w:val="es-ES_tradnl"/>
              </w:rPr>
            </w:pPr>
          </w:p>
          <w:p w:rsidR="00E60CFB" w:rsidRPr="00600ED9" w:rsidRDefault="00E60CFB" w:rsidP="00FB1954">
            <w:pPr>
              <w:pStyle w:val="NoSpacing"/>
              <w:jc w:val="both"/>
              <w:rPr>
                <w:rFonts w:ascii="Calibri" w:hAnsi="Calibri" w:cs="Calibri"/>
                <w:color w:val="000000"/>
                <w:sz w:val="20"/>
                <w:szCs w:val="20"/>
                <w:lang w:val="es-ES_tradnl"/>
              </w:rPr>
            </w:pPr>
            <w:r w:rsidRPr="00600ED9">
              <w:rPr>
                <w:rFonts w:ascii="Calibri" w:hAnsi="Calibri" w:cs="Calibri"/>
                <w:color w:val="000000"/>
                <w:sz w:val="20"/>
                <w:szCs w:val="20"/>
                <w:lang w:val="es-ES_tradnl"/>
              </w:rPr>
              <w:t>La Contraloría no pu</w:t>
            </w:r>
            <w:r w:rsidR="00FA61A9" w:rsidRPr="00600ED9">
              <w:rPr>
                <w:rFonts w:ascii="Calibri" w:hAnsi="Calibri" w:cs="Calibri"/>
                <w:color w:val="000000"/>
                <w:sz w:val="20"/>
                <w:szCs w:val="20"/>
                <w:lang w:val="es-ES_tradnl"/>
              </w:rPr>
              <w:t xml:space="preserve">blica síntesis de sus informes </w:t>
            </w:r>
            <w:r w:rsidRPr="00600ED9">
              <w:rPr>
                <w:rFonts w:ascii="Calibri" w:hAnsi="Calibri" w:cs="Calibri"/>
                <w:color w:val="000000"/>
                <w:sz w:val="20"/>
                <w:szCs w:val="20"/>
                <w:lang w:val="es-ES_tradnl"/>
              </w:rPr>
              <w:t xml:space="preserve">de auditoría, por escrito o de otra manera, con el fin de facilitar a los ciudadanos la comprensión de los principales hallazgos de auditoría, ni realiza evaluaciones independientes para confirmar que son claros, comprensibles, cumplen con criterios de calidad y oportunidad y con base en dichas evaluaciones, plantear acciones de mejora en caso de requerirse.  </w:t>
            </w:r>
          </w:p>
          <w:p w:rsidR="00315E40" w:rsidRPr="00600ED9" w:rsidRDefault="00315E40" w:rsidP="00FB1954">
            <w:pPr>
              <w:pStyle w:val="Normaltabletext"/>
              <w:spacing w:after="0"/>
              <w:rPr>
                <w:lang w:val="es-ES_tradnl"/>
              </w:rPr>
            </w:pPr>
          </w:p>
        </w:tc>
      </w:tr>
    </w:tbl>
    <w:p w:rsidR="004F797B" w:rsidRPr="00600ED9" w:rsidRDefault="004F797B" w:rsidP="00FB1954">
      <w:pPr>
        <w:pStyle w:val="NoSpacing"/>
        <w:ind w:left="720"/>
        <w:rPr>
          <w:lang w:val="es-ES_tradnl"/>
        </w:rPr>
      </w:pPr>
    </w:p>
    <w:p w:rsidR="00F25A95" w:rsidRPr="00600ED9" w:rsidRDefault="00FA61A9" w:rsidP="00FB1954">
      <w:pPr>
        <w:pStyle w:val="NoSpacing"/>
        <w:ind w:left="720"/>
        <w:rPr>
          <w:lang w:val="es-ES_tradnl"/>
        </w:rPr>
      </w:pPr>
      <w:r w:rsidRPr="00600ED9">
        <w:rPr>
          <w:b/>
          <w:bCs/>
          <w:smallCaps/>
          <w:lang w:val="es-ES_tradnl"/>
        </w:rPr>
        <w:t>Recomendación</w:t>
      </w:r>
      <w:r w:rsidR="00600ED9" w:rsidRPr="00600ED9">
        <w:rPr>
          <w:b/>
          <w:bCs/>
          <w:smallCaps/>
          <w:lang w:val="es-ES_tradnl"/>
        </w:rPr>
        <w:t>: Consultar</w:t>
      </w:r>
      <w:r w:rsidR="005120A2" w:rsidRPr="00600ED9">
        <w:rPr>
          <w:lang w:val="es-ES_tradnl"/>
        </w:rPr>
        <w:t xml:space="preserve"> el</w:t>
      </w:r>
      <w:r w:rsidR="00CA3E61" w:rsidRPr="00600ED9">
        <w:rPr>
          <w:lang w:val="es-ES_tradnl"/>
        </w:rPr>
        <w:t xml:space="preserve"> Anexo </w:t>
      </w:r>
      <w:r w:rsidR="00E60CFB" w:rsidRPr="00600ED9">
        <w:rPr>
          <w:lang w:val="es-ES_tradnl"/>
        </w:rPr>
        <w:t>A</w:t>
      </w:r>
      <w:r w:rsidR="00CA3E61" w:rsidRPr="00600ED9">
        <w:rPr>
          <w:lang w:val="es-ES_tradnl"/>
        </w:rPr>
        <w:t xml:space="preserve">: Plan de Acción, </w:t>
      </w:r>
      <w:r w:rsidR="00E60CFB" w:rsidRPr="00600ED9">
        <w:rPr>
          <w:lang w:val="es-ES_tradnl"/>
        </w:rPr>
        <w:t xml:space="preserve">recomendación </w:t>
      </w:r>
      <w:r w:rsidR="009A13C7" w:rsidRPr="00600ED9">
        <w:rPr>
          <w:lang w:val="es-ES_tradnl"/>
        </w:rPr>
        <w:t>No. 31</w:t>
      </w:r>
      <w:r w:rsidR="00CA3E61" w:rsidRPr="00600ED9">
        <w:rPr>
          <w:lang w:val="es-ES_tradnl"/>
        </w:rPr>
        <w:t>.</w:t>
      </w:r>
    </w:p>
    <w:p w:rsidR="00575F68" w:rsidRPr="00600ED9" w:rsidRDefault="00575F68" w:rsidP="00FB1954">
      <w:pPr>
        <w:pStyle w:val="NoSpacing"/>
        <w:ind w:left="720"/>
        <w:rPr>
          <w:lang w:val="es-ES_tradnl"/>
        </w:rPr>
      </w:pPr>
    </w:p>
    <w:p w:rsidR="00575F68" w:rsidRPr="00600ED9" w:rsidRDefault="00575F68" w:rsidP="00FB1954">
      <w:pPr>
        <w:pStyle w:val="NoSpacing"/>
        <w:ind w:left="720"/>
        <w:rPr>
          <w:lang w:val="es-ES_tradnl"/>
        </w:rPr>
      </w:pPr>
    </w:p>
    <w:p w:rsidR="005E2E2C" w:rsidRPr="00600ED9" w:rsidRDefault="00447D78" w:rsidP="00FB1954">
      <w:pPr>
        <w:pStyle w:val="Title"/>
        <w:tabs>
          <w:tab w:val="clear" w:pos="360"/>
          <w:tab w:val="num" w:pos="709"/>
        </w:tabs>
        <w:spacing w:after="0"/>
        <w:ind w:left="709" w:hanging="709"/>
        <w:jc w:val="both"/>
        <w:rPr>
          <w:lang w:val="es-ES_tradnl"/>
        </w:rPr>
      </w:pPr>
      <w:bookmarkStart w:id="42" w:name="_Toc295932934"/>
      <w:r w:rsidRPr="00600ED9">
        <w:rPr>
          <w:lang w:val="es-ES_tradnl"/>
        </w:rPr>
        <w:t xml:space="preserve">Otras </w:t>
      </w:r>
      <w:r w:rsidR="00BC2BD7" w:rsidRPr="00600ED9">
        <w:rPr>
          <w:lang w:val="es-ES_tradnl"/>
        </w:rPr>
        <w:t>F</w:t>
      </w:r>
      <w:r w:rsidR="005E2E2C" w:rsidRPr="00600ED9">
        <w:rPr>
          <w:lang w:val="es-ES_tradnl"/>
        </w:rPr>
        <w:t xml:space="preserve">unciones </w:t>
      </w:r>
      <w:r w:rsidR="00902782" w:rsidRPr="00600ED9">
        <w:rPr>
          <w:lang w:val="es-ES_tradnl"/>
        </w:rPr>
        <w:t xml:space="preserve">que impactan el </w:t>
      </w:r>
      <w:r w:rsidR="00F25A95" w:rsidRPr="00600ED9">
        <w:rPr>
          <w:lang w:val="es-ES_tradnl"/>
        </w:rPr>
        <w:t xml:space="preserve">desempeño de la </w:t>
      </w:r>
      <w:r w:rsidR="000047A3" w:rsidRPr="00600ED9">
        <w:rPr>
          <w:lang w:val="es-ES_tradnl"/>
        </w:rPr>
        <w:t>Contraloría</w:t>
      </w:r>
      <w:bookmarkEnd w:id="42"/>
    </w:p>
    <w:p w:rsidR="00FA61A9" w:rsidRPr="00600ED9" w:rsidRDefault="00FA61A9" w:rsidP="00FA61A9">
      <w:pPr>
        <w:pStyle w:val="Heading1"/>
        <w:numPr>
          <w:ilvl w:val="0"/>
          <w:numId w:val="0"/>
        </w:numPr>
        <w:spacing w:line="240" w:lineRule="auto"/>
        <w:ind w:left="567"/>
        <w:rPr>
          <w:noProof w:val="0"/>
        </w:rPr>
      </w:pPr>
      <w:bookmarkStart w:id="43" w:name="_Toc295932935"/>
    </w:p>
    <w:p w:rsidR="005429A6" w:rsidRPr="00600ED9" w:rsidRDefault="005429A6" w:rsidP="00233205">
      <w:pPr>
        <w:pStyle w:val="Heading1"/>
        <w:numPr>
          <w:ilvl w:val="1"/>
          <w:numId w:val="41"/>
        </w:numPr>
        <w:spacing w:line="240" w:lineRule="auto"/>
        <w:ind w:left="567" w:hanging="567"/>
        <w:rPr>
          <w:noProof w:val="0"/>
        </w:rPr>
      </w:pPr>
      <w:r w:rsidRPr="00600ED9">
        <w:rPr>
          <w:noProof w:val="0"/>
        </w:rPr>
        <w:t>Control Macro</w:t>
      </w:r>
      <w:bookmarkEnd w:id="43"/>
    </w:p>
    <w:p w:rsidR="00447D78" w:rsidRPr="00600ED9" w:rsidRDefault="00447D78" w:rsidP="00FB1954">
      <w:pPr>
        <w:spacing w:after="0" w:line="240" w:lineRule="auto"/>
        <w:jc w:val="both"/>
        <w:rPr>
          <w:sz w:val="20"/>
          <w:szCs w:val="20"/>
        </w:rPr>
      </w:pPr>
    </w:p>
    <w:p w:rsidR="00052A1A" w:rsidRPr="00600ED9" w:rsidRDefault="00052A1A" w:rsidP="00FB1954">
      <w:pPr>
        <w:spacing w:after="0" w:line="240" w:lineRule="auto"/>
        <w:jc w:val="both"/>
      </w:pPr>
      <w:r w:rsidRPr="00600ED9">
        <w:t>Una de las funciones de la Contraloría, a través de su Delegada para Economía y Finanzas Públicas, es evaluar, en el nivel agregado, el comportamiento de las finanzas del Estado y el grado de cumplimiento de los objetivos macroeconómicos expresados por el Gobierno.</w:t>
      </w:r>
    </w:p>
    <w:p w:rsidR="00052A1A" w:rsidRPr="00600ED9" w:rsidRDefault="00052A1A" w:rsidP="00FB1954">
      <w:pPr>
        <w:spacing w:after="0" w:line="240" w:lineRule="auto"/>
        <w:jc w:val="both"/>
      </w:pPr>
    </w:p>
    <w:p w:rsidR="00052A1A" w:rsidRPr="00600ED9" w:rsidRDefault="00052A1A" w:rsidP="00FB1954">
      <w:pPr>
        <w:spacing w:after="0" w:line="240" w:lineRule="auto"/>
        <w:jc w:val="both"/>
      </w:pPr>
      <w:r w:rsidRPr="00600ED9">
        <w:t>La base del control macro son las estadísticas acopiadas y procesadas por la CGRC, a partir de las cuales se determina el resultado fiscal de la Nación y se analiza la consistencia de la política fiscal con las demás políticas macroeconómicas (monetaria, cambiaria, etc.).</w:t>
      </w:r>
    </w:p>
    <w:p w:rsidR="00052A1A" w:rsidRPr="00600ED9" w:rsidRDefault="00052A1A" w:rsidP="00FB1954">
      <w:pPr>
        <w:spacing w:after="0" w:line="240" w:lineRule="auto"/>
        <w:jc w:val="both"/>
      </w:pPr>
    </w:p>
    <w:p w:rsidR="00052A1A" w:rsidRPr="00600ED9" w:rsidRDefault="00052A1A" w:rsidP="00FB1954">
      <w:pPr>
        <w:spacing w:after="0" w:line="240" w:lineRule="auto"/>
        <w:jc w:val="both"/>
      </w:pPr>
      <w:r w:rsidRPr="00600ED9">
        <w:t>Igualmente, el control fiscal macro evalúa el impacto de las políticas económicas sobre el crecimiento económico, la distribución del ingreso, el bienestar general y la posición fiscal del sector público.</w:t>
      </w:r>
    </w:p>
    <w:p w:rsidR="00FA61A9" w:rsidRPr="00600ED9" w:rsidRDefault="00FA61A9" w:rsidP="00FB1954">
      <w:pPr>
        <w:spacing w:after="0" w:line="240" w:lineRule="auto"/>
        <w:jc w:val="both"/>
      </w:pPr>
    </w:p>
    <w:p w:rsidR="005429A6" w:rsidRPr="00600ED9" w:rsidRDefault="005429A6" w:rsidP="00FB1954">
      <w:pPr>
        <w:spacing w:after="0" w:line="240" w:lineRule="auto"/>
        <w:jc w:val="both"/>
      </w:pPr>
      <w:r w:rsidRPr="00600ED9">
        <w:t>Hacen parte de este control la certificación de las finanzas del Estado, la cual se consigna en el informe que presenta el Contralor General ante el Congreso de la República, al Presidente de la República y la opinión pública</w:t>
      </w:r>
      <w:r w:rsidR="00052A1A" w:rsidRPr="00600ED9">
        <w:t>,</w:t>
      </w:r>
      <w:r w:rsidRPr="00600ED9">
        <w:t xml:space="preserve"> de acuerdo con lo dispuesto en el artículo 268 de la Constitución. De igual manera, se ejerce a través de la Auditoría al Balance General de la Nación, la presentación de la Cuenta General del presupuesto y el Tesoro, el informe sobre el Estado de la Deuda Pública y el Informe sobre Estado del Medio Ambiente y los Recursos Naturales.</w:t>
      </w:r>
    </w:p>
    <w:p w:rsidR="00FA61A9" w:rsidRPr="00600ED9" w:rsidRDefault="00FA61A9" w:rsidP="00FB1954">
      <w:pPr>
        <w:spacing w:after="0" w:line="240" w:lineRule="auto"/>
        <w:jc w:val="both"/>
      </w:pPr>
    </w:p>
    <w:p w:rsidR="005429A6" w:rsidRPr="00600ED9" w:rsidRDefault="00666DAA" w:rsidP="00FB1954">
      <w:pPr>
        <w:spacing w:after="0" w:line="240" w:lineRule="auto"/>
        <w:jc w:val="both"/>
      </w:pPr>
      <w:r w:rsidRPr="00600ED9">
        <w:t>C</w:t>
      </w:r>
      <w:r w:rsidR="005429A6" w:rsidRPr="00600ED9">
        <w:t>om</w:t>
      </w:r>
      <w:r w:rsidRPr="00600ED9">
        <w:t xml:space="preserve">o parte </w:t>
      </w:r>
      <w:r w:rsidR="005429A6" w:rsidRPr="00600ED9">
        <w:t>del control macroeconómico</w:t>
      </w:r>
      <w:r w:rsidRPr="00600ED9">
        <w:t xml:space="preserve">, la Contraloría realiza </w:t>
      </w:r>
      <w:r w:rsidR="005429A6" w:rsidRPr="00600ED9">
        <w:t>análisis macro-sectorial</w:t>
      </w:r>
      <w:r w:rsidRPr="00600ED9">
        <w:t xml:space="preserve">es con el propósito de </w:t>
      </w:r>
      <w:r w:rsidR="00E404BC" w:rsidRPr="00600ED9">
        <w:t>evaluar</w:t>
      </w:r>
      <w:r w:rsidR="005429A6" w:rsidRPr="00600ED9">
        <w:t xml:space="preserve"> el comportamiento de las finanzas públicas, y grado de cumplimiento de los objetivos gubernamentales, enfoc</w:t>
      </w:r>
      <w:r w:rsidR="004A7B30" w:rsidRPr="00600ED9">
        <w:t>á</w:t>
      </w:r>
      <w:r w:rsidR="005429A6" w:rsidRPr="00600ED9">
        <w:t>ndo</w:t>
      </w:r>
      <w:r w:rsidR="004A7B30" w:rsidRPr="00600ED9">
        <w:t>se en</w:t>
      </w:r>
      <w:r w:rsidR="005429A6" w:rsidRPr="00600ED9">
        <w:t xml:space="preserve"> sectores económicos específicos.</w:t>
      </w:r>
      <w:r w:rsidR="004506C8" w:rsidRPr="00600ED9">
        <w:t xml:space="preserve"> </w:t>
      </w:r>
      <w:r w:rsidR="005429A6" w:rsidRPr="00600ED9">
        <w:t xml:space="preserve">Para tales efectos, la Contraloría cuenta con siete direcciones de estudios sectoriales en cada una de la Contralorías Delegadas. De esta manera, realiza estudios macroeconómicos y sectoriales </w:t>
      </w:r>
      <w:r w:rsidR="004A7B30" w:rsidRPr="00600ED9">
        <w:t xml:space="preserve">y </w:t>
      </w:r>
      <w:r w:rsidR="005429A6" w:rsidRPr="00600ED9">
        <w:t>genera informes de políticas públicas, artículos de coyuntura y boletines especializados.</w:t>
      </w:r>
    </w:p>
    <w:p w:rsidR="00FA61A9" w:rsidRPr="00600ED9" w:rsidRDefault="00FA61A9" w:rsidP="00FB1954">
      <w:pPr>
        <w:spacing w:after="0" w:line="240" w:lineRule="auto"/>
        <w:jc w:val="both"/>
      </w:pPr>
    </w:p>
    <w:p w:rsidR="005429A6" w:rsidRPr="00600ED9" w:rsidRDefault="005429A6" w:rsidP="00FB1954">
      <w:pPr>
        <w:spacing w:after="0" w:line="240" w:lineRule="auto"/>
        <w:jc w:val="both"/>
      </w:pPr>
      <w:r w:rsidRPr="00600ED9">
        <w:t xml:space="preserve">La especialización sectorial, junto con la capacidad de analizar los agregados macroeconómicos, hace de la Contraloría una de las mejores fuentes de información y análisis </w:t>
      </w:r>
      <w:r w:rsidR="009D5E2C" w:rsidRPr="00600ED9">
        <w:t>de</w:t>
      </w:r>
      <w:r w:rsidRPr="00600ED9">
        <w:t xml:space="preserve"> la gestión estatal. Los estudios macro, contextualizan el trabajo y los resultados de las auditorías efectuadas a las entidades públicas (control micro).  El control fiscal macro se hace sobre las políticas que el gobierno emprende en los diferentes sectores de la vida nacional, pero va más allá, porque también eval</w:t>
      </w:r>
      <w:r w:rsidR="009D5E2C" w:rsidRPr="00600ED9">
        <w:t xml:space="preserve">úa </w:t>
      </w:r>
      <w:r w:rsidRPr="00600ED9">
        <w:t xml:space="preserve"> los aspectos financieros y de la macroeconomía del Estado, y de ese ejercicio de control fiscal macro, le presenta informes al Congreso de la República para que pueda ejercer el control político que corresponde</w:t>
      </w:r>
      <w:r w:rsidR="009D5E2C" w:rsidRPr="00600ED9">
        <w:t xml:space="preserve">, los cuales </w:t>
      </w:r>
      <w:r w:rsidRPr="00600ED9">
        <w:t xml:space="preserve">también </w:t>
      </w:r>
      <w:r w:rsidR="009D5E2C" w:rsidRPr="00600ED9">
        <w:t xml:space="preserve">pone </w:t>
      </w:r>
      <w:r w:rsidRPr="00600ED9">
        <w:t>a disposición de la ciudadanía para que ejerza el control social o ciudadano.</w:t>
      </w:r>
    </w:p>
    <w:p w:rsidR="00A2167F" w:rsidRPr="00600ED9" w:rsidRDefault="00A2167F" w:rsidP="00FB1954">
      <w:pPr>
        <w:spacing w:after="0" w:line="240" w:lineRule="auto"/>
      </w:pPr>
      <w:r w:rsidRPr="00600ED9">
        <w:br w:type="page"/>
      </w:r>
    </w:p>
    <w:p w:rsidR="00046767" w:rsidRPr="00600ED9" w:rsidRDefault="00046767" w:rsidP="00FB1954">
      <w:pPr>
        <w:spacing w:after="0" w:line="240" w:lineRule="auto"/>
        <w:jc w:val="both"/>
      </w:pPr>
    </w:p>
    <w:p w:rsidR="00046767" w:rsidRPr="00600ED9" w:rsidRDefault="00046767" w:rsidP="00233205">
      <w:pPr>
        <w:pStyle w:val="Heading1"/>
        <w:numPr>
          <w:ilvl w:val="1"/>
          <w:numId w:val="41"/>
        </w:numPr>
        <w:spacing w:line="240" w:lineRule="auto"/>
        <w:ind w:left="567" w:hanging="567"/>
        <w:rPr>
          <w:noProof w:val="0"/>
        </w:rPr>
      </w:pPr>
      <w:bookmarkStart w:id="44" w:name="_Toc295932936"/>
      <w:r w:rsidRPr="00600ED9">
        <w:rPr>
          <w:noProof w:val="0"/>
        </w:rPr>
        <w:t>Responsabilidad Fiscal</w:t>
      </w:r>
      <w:bookmarkEnd w:id="44"/>
    </w:p>
    <w:p w:rsidR="00046767" w:rsidRPr="00600ED9" w:rsidRDefault="00046767" w:rsidP="00FB1954">
      <w:pPr>
        <w:spacing w:after="0" w:line="240" w:lineRule="auto"/>
        <w:jc w:val="both"/>
        <w:rPr>
          <w:sz w:val="20"/>
          <w:szCs w:val="20"/>
        </w:rPr>
      </w:pPr>
    </w:p>
    <w:p w:rsidR="00046767" w:rsidRPr="00600ED9" w:rsidRDefault="00046767" w:rsidP="00FB1954">
      <w:pPr>
        <w:spacing w:after="0" w:line="240" w:lineRule="auto"/>
        <w:jc w:val="both"/>
      </w:pPr>
      <w:r w:rsidRPr="00600ED9">
        <w:t xml:space="preserve">El principal objetivo de </w:t>
      </w:r>
      <w:r w:rsidR="006A3AB5" w:rsidRPr="00600ED9">
        <w:t>esta función</w:t>
      </w:r>
      <w:r w:rsidRPr="00600ED9">
        <w:t xml:space="preserve"> es la determinación de la responsabilidad fiscal, con el fin de recuperar el dinero sustraído al erario y, en general, buscar el resarcimiento de los daños al patrimonio público. </w:t>
      </w:r>
    </w:p>
    <w:p w:rsidR="00FA61A9" w:rsidRPr="00600ED9" w:rsidRDefault="00FA61A9" w:rsidP="00FB1954">
      <w:pPr>
        <w:spacing w:after="0" w:line="240" w:lineRule="auto"/>
        <w:jc w:val="both"/>
      </w:pPr>
    </w:p>
    <w:p w:rsidR="00046767" w:rsidRPr="00600ED9" w:rsidRDefault="006A3AB5" w:rsidP="00FB1954">
      <w:pPr>
        <w:spacing w:after="0" w:line="240" w:lineRule="auto"/>
        <w:jc w:val="both"/>
      </w:pPr>
      <w:r w:rsidRPr="00600ED9">
        <w:t>L</w:t>
      </w:r>
      <w:r w:rsidR="00046767" w:rsidRPr="00600ED9">
        <w:t>a Contraloría Delegada para Investigaciones, Juicios Fiscales y Jurisdicción Coactiva</w:t>
      </w:r>
      <w:r w:rsidRPr="00600ED9">
        <w:t xml:space="preserve"> de la Contraloría </w:t>
      </w:r>
      <w:r w:rsidR="00046767" w:rsidRPr="00600ED9">
        <w:t>dirig</w:t>
      </w:r>
      <w:r w:rsidRPr="00600ED9">
        <w:t xml:space="preserve">e </w:t>
      </w:r>
      <w:r w:rsidR="00046767" w:rsidRPr="00600ED9">
        <w:t>los procesos de responsabilidad fiscal y jurisdicción coactiva que existan como producto del ejercicio de la vigilancia fiscal y de las denuncias presentadas, así como de los informes de otras entidades de control y vigilancia.</w:t>
      </w:r>
    </w:p>
    <w:p w:rsidR="00046767" w:rsidRPr="00600ED9" w:rsidRDefault="00046767" w:rsidP="00FB1954">
      <w:pPr>
        <w:spacing w:after="0" w:line="240" w:lineRule="auto"/>
        <w:jc w:val="both"/>
      </w:pPr>
    </w:p>
    <w:p w:rsidR="00046767" w:rsidRPr="00600ED9" w:rsidRDefault="00046767" w:rsidP="00FB1954">
      <w:pPr>
        <w:spacing w:after="0" w:line="240" w:lineRule="auto"/>
        <w:jc w:val="both"/>
      </w:pPr>
      <w:r w:rsidRPr="00600ED9">
        <w:t>Los procesos de responsabilidad fiscal buscan resarcir al Estado el detrimento al patrimonio público provocado por la acción u omisión de los funcionarios y particulares que administren, manejen, custodien, enajenen, inviertan, etc., los fondos o bienes del Estado en ejercicio de la gestión fiscal o con ocasión a ésta.   La responsabilidad se puede entender como una obligación de responder, en el caso del control fiscal, de reparar un daño o de satisfacer el mal causado como consecuencia de una conducta o comportamiento que contraviene la ley o la moral; así, el responsable es la persona obligada a responder.</w:t>
      </w:r>
    </w:p>
    <w:p w:rsidR="00FA61A9" w:rsidRPr="00600ED9" w:rsidRDefault="00FA61A9" w:rsidP="00FB1954">
      <w:pPr>
        <w:spacing w:after="0" w:line="240" w:lineRule="auto"/>
        <w:jc w:val="both"/>
      </w:pPr>
    </w:p>
    <w:p w:rsidR="00046767" w:rsidRPr="00600ED9" w:rsidRDefault="00046767" w:rsidP="00FB1954">
      <w:pPr>
        <w:spacing w:after="0" w:line="240" w:lineRule="auto"/>
        <w:jc w:val="both"/>
      </w:pPr>
      <w:r w:rsidRPr="00600ED9">
        <w:t>La responsabilidad que se declara a través de dicho proceso es patrimonial, no tiene el carácter de sancionatoria y además debe cumplir con las garantías sustanciales y procesales del debido proceso. Es patrimonial porque, como consecuencia de su declaración, el imputado debe resarcir el daño causado por la gestión fiscal irregular, mediante el pago de una indemnización pecuniaria que compense el perjuicio sufrido por la respectiva entidad. No tiene carácter sancionatorio, pues su finalidad es resarcitoria. Es por tanto una responsabilidad independiente y autónoma, distinta de la disciplinaria o de la penal que pueda corresponder por la comisión de los mismos hechos.</w:t>
      </w:r>
    </w:p>
    <w:p w:rsidR="00FA61A9" w:rsidRPr="00600ED9" w:rsidRDefault="00FA61A9" w:rsidP="00FB1954">
      <w:pPr>
        <w:spacing w:after="0" w:line="240" w:lineRule="auto"/>
        <w:jc w:val="both"/>
      </w:pPr>
    </w:p>
    <w:p w:rsidR="00046767" w:rsidRPr="00600ED9" w:rsidRDefault="00046767" w:rsidP="00FB1954">
      <w:pPr>
        <w:spacing w:after="0" w:line="240" w:lineRule="auto"/>
        <w:jc w:val="both"/>
      </w:pPr>
      <w:r w:rsidRPr="00600ED9">
        <w:t>La acción fiscal caduc</w:t>
      </w:r>
      <w:r w:rsidR="006A3AB5" w:rsidRPr="00600ED9">
        <w:t>a</w:t>
      </w:r>
      <w:r w:rsidRPr="00600ED9">
        <w:t xml:space="preserve"> si transcurridos cinco (5) años desde la ocurrencia del hecho generador del daño al patrimonio público, no se ha proferido auto de apertura del proceso de responsabilidad fiscal</w:t>
      </w:r>
      <w:r w:rsidR="006A3AB5" w:rsidRPr="00600ED9">
        <w:t xml:space="preserve">, y </w:t>
      </w:r>
      <w:r w:rsidRPr="00600ED9">
        <w:t>prescrib</w:t>
      </w:r>
      <w:r w:rsidR="006A3AB5" w:rsidRPr="00600ED9">
        <w:t xml:space="preserve">e </w:t>
      </w:r>
      <w:r w:rsidRPr="00600ED9">
        <w:t>en cinco (5) años, contados a partir del auto de apertura del proceso de responsabilidad fiscal, si dentro de dicho término no se ha dictado providencia en firme que la declare.</w:t>
      </w:r>
    </w:p>
    <w:p w:rsidR="00FA61A9" w:rsidRPr="00600ED9" w:rsidRDefault="00FA61A9" w:rsidP="00FB1954">
      <w:pPr>
        <w:spacing w:after="0" w:line="240" w:lineRule="auto"/>
        <w:jc w:val="both"/>
      </w:pPr>
    </w:p>
    <w:p w:rsidR="00046767" w:rsidRPr="00600ED9" w:rsidRDefault="00046767" w:rsidP="00FB1954">
      <w:pPr>
        <w:spacing w:after="0" w:line="240" w:lineRule="auto"/>
        <w:jc w:val="both"/>
      </w:pPr>
      <w:r w:rsidRPr="00600ED9">
        <w:t xml:space="preserve">Dentro de los procedimientos establecidos en </w:t>
      </w:r>
      <w:r w:rsidR="006A3AB5" w:rsidRPr="00600ED9">
        <w:t>el MMD-EFS</w:t>
      </w:r>
      <w:r w:rsidRPr="00600ED9">
        <w:t>, se sostuvieron reuniones  con los encargados de las siguientes áreas: Unidad de Investigaciones Especiales contra la Corrupción,  Unidad de Cooperación Nacional e Internacional para la Prevención, Investigación e Incautación de Bienes, y la Contraloría Delegada para Investigaciones, Juicios Fiscales y Jurisdicción Coactiva. A continuación se muestra un resumen de las conclusiones expresadas por los encargados de dichas unidades para una mejor comprensión de las oportunidades de mejora que tiene la CGR</w:t>
      </w:r>
      <w:r w:rsidR="004F42B9">
        <w:t>C</w:t>
      </w:r>
      <w:r w:rsidRPr="00600ED9">
        <w:t>:</w:t>
      </w:r>
    </w:p>
    <w:p w:rsidR="00046767" w:rsidRPr="00600ED9" w:rsidRDefault="00046767" w:rsidP="00FB1954">
      <w:pPr>
        <w:spacing w:after="0" w:line="240" w:lineRule="auto"/>
        <w:jc w:val="both"/>
      </w:pPr>
    </w:p>
    <w:p w:rsidR="00046767" w:rsidRPr="00600ED9" w:rsidRDefault="00046767" w:rsidP="00233205">
      <w:pPr>
        <w:pStyle w:val="ListParagraph"/>
        <w:numPr>
          <w:ilvl w:val="0"/>
          <w:numId w:val="42"/>
        </w:numPr>
        <w:spacing w:after="0" w:line="240" w:lineRule="auto"/>
        <w:jc w:val="both"/>
      </w:pPr>
      <w:r w:rsidRPr="00600ED9">
        <w:t xml:space="preserve">Existe descoordinación o desconocimiento por parte de los funcionarios encargados de realizar las auditorías y </w:t>
      </w:r>
      <w:r w:rsidR="00331F1A" w:rsidRPr="00600ED9">
        <w:t>las</w:t>
      </w:r>
      <w:r w:rsidRPr="00600ED9">
        <w:t xml:space="preserve"> </w:t>
      </w:r>
      <w:r w:rsidR="00331F1A" w:rsidRPr="00600ED9">
        <w:t>i</w:t>
      </w:r>
      <w:r w:rsidRPr="00600ED9">
        <w:t xml:space="preserve">nvestigaciones </w:t>
      </w:r>
      <w:r w:rsidR="00331F1A" w:rsidRPr="00600ED9">
        <w:t>e</w:t>
      </w:r>
      <w:r w:rsidRPr="00600ED9">
        <w:t xml:space="preserve">speciales en lo que respecta a la obtención de </w:t>
      </w:r>
      <w:r w:rsidR="00331F1A" w:rsidRPr="00600ED9">
        <w:t>evidencia suficiente y competente</w:t>
      </w:r>
      <w:r w:rsidRPr="00600ED9">
        <w:t>.</w:t>
      </w:r>
    </w:p>
    <w:p w:rsidR="00046767" w:rsidRPr="00600ED9" w:rsidRDefault="00046767" w:rsidP="00233205">
      <w:pPr>
        <w:pStyle w:val="ListParagraph"/>
        <w:numPr>
          <w:ilvl w:val="0"/>
          <w:numId w:val="42"/>
        </w:numPr>
        <w:spacing w:after="0" w:line="240" w:lineRule="auto"/>
        <w:jc w:val="both"/>
      </w:pPr>
      <w:r w:rsidRPr="00600ED9">
        <w:t xml:space="preserve">Los auditores no proporcionan las pruebas suficientes al área de responsabilidad fiscal y solamente el 30% de la información recibida </w:t>
      </w:r>
      <w:r w:rsidR="00331F1A" w:rsidRPr="00600ED9">
        <w:t>satisface los requerimientos necesarios para los procesos</w:t>
      </w:r>
      <w:r w:rsidRPr="00600ED9">
        <w:t>.</w:t>
      </w:r>
    </w:p>
    <w:p w:rsidR="00046767" w:rsidRPr="00600ED9" w:rsidRDefault="00046767" w:rsidP="00233205">
      <w:pPr>
        <w:pStyle w:val="ListParagraph"/>
        <w:numPr>
          <w:ilvl w:val="0"/>
          <w:numId w:val="42"/>
        </w:numPr>
        <w:spacing w:after="0" w:line="240" w:lineRule="auto"/>
        <w:jc w:val="both"/>
      </w:pPr>
      <w:r w:rsidRPr="00600ED9">
        <w:t>Falta continuidad en los procesos internos de la CGR</w:t>
      </w:r>
      <w:r w:rsidR="00331F1A" w:rsidRPr="00600ED9">
        <w:t>C</w:t>
      </w:r>
      <w:r w:rsidRPr="00600ED9">
        <w:t>.</w:t>
      </w:r>
    </w:p>
    <w:p w:rsidR="00046767" w:rsidRPr="00600ED9" w:rsidRDefault="00046767" w:rsidP="00233205">
      <w:pPr>
        <w:pStyle w:val="ListParagraph"/>
        <w:numPr>
          <w:ilvl w:val="0"/>
          <w:numId w:val="42"/>
        </w:numPr>
        <w:spacing w:after="0" w:line="240" w:lineRule="auto"/>
        <w:jc w:val="both"/>
      </w:pPr>
      <w:r w:rsidRPr="00600ED9">
        <w:t>L</w:t>
      </w:r>
      <w:r w:rsidR="00331F1A" w:rsidRPr="00600ED9">
        <w:t>a carencia de evidencia suficiente y competente incide en que l</w:t>
      </w:r>
      <w:r w:rsidRPr="00600ED9">
        <w:t xml:space="preserve">os procesos de investigación fiscal no </w:t>
      </w:r>
      <w:r w:rsidR="00331F1A" w:rsidRPr="00600ED9">
        <w:t>puedan ser</w:t>
      </w:r>
      <w:r w:rsidRPr="00600ED9">
        <w:t xml:space="preserve"> completados.</w:t>
      </w:r>
    </w:p>
    <w:p w:rsidR="00046767" w:rsidRPr="00600ED9" w:rsidRDefault="00331F1A" w:rsidP="00233205">
      <w:pPr>
        <w:pStyle w:val="ListParagraph"/>
        <w:numPr>
          <w:ilvl w:val="0"/>
          <w:numId w:val="42"/>
        </w:numPr>
        <w:spacing w:after="0" w:line="240" w:lineRule="auto"/>
        <w:jc w:val="both"/>
      </w:pPr>
      <w:r w:rsidRPr="00600ED9">
        <w:t>Aunque s</w:t>
      </w:r>
      <w:r w:rsidR="00046767" w:rsidRPr="00600ED9">
        <w:t xml:space="preserve">e </w:t>
      </w:r>
      <w:r w:rsidRPr="00600ED9">
        <w:t>constituyó</w:t>
      </w:r>
      <w:r w:rsidR="00046767" w:rsidRPr="00600ED9">
        <w:t xml:space="preserve"> un grupo de enlace con los equipos auditores</w:t>
      </w:r>
      <w:r w:rsidRPr="00600ED9">
        <w:t>,</w:t>
      </w:r>
      <w:r w:rsidR="00046767" w:rsidRPr="00600ED9">
        <w:t xml:space="preserve"> esta iniciativa no fue exitosa.</w:t>
      </w:r>
    </w:p>
    <w:p w:rsidR="00046767" w:rsidRPr="00600ED9" w:rsidRDefault="00331F1A" w:rsidP="00233205">
      <w:pPr>
        <w:pStyle w:val="ListParagraph"/>
        <w:numPr>
          <w:ilvl w:val="0"/>
          <w:numId w:val="42"/>
        </w:numPr>
        <w:spacing w:after="0" w:line="240" w:lineRule="auto"/>
        <w:jc w:val="both"/>
      </w:pPr>
      <w:r w:rsidRPr="00600ED9">
        <w:lastRenderedPageBreak/>
        <w:t>Se requiere</w:t>
      </w:r>
      <w:r w:rsidR="00046767" w:rsidRPr="00600ED9">
        <w:t xml:space="preserve"> capacita</w:t>
      </w:r>
      <w:r w:rsidRPr="00600ED9">
        <w:t xml:space="preserve">r </w:t>
      </w:r>
      <w:r w:rsidR="00046767" w:rsidRPr="00600ED9">
        <w:t xml:space="preserve"> </w:t>
      </w:r>
      <w:r w:rsidRPr="00600ED9">
        <w:t>a</w:t>
      </w:r>
      <w:r w:rsidR="00046767" w:rsidRPr="00600ED9">
        <w:t xml:space="preserve"> los funcionarios de auditoría </w:t>
      </w:r>
      <w:r w:rsidRPr="00600ED9">
        <w:t>e</w:t>
      </w:r>
      <w:r w:rsidR="00046767" w:rsidRPr="00600ED9">
        <w:t xml:space="preserve"> investigaciones especiales</w:t>
      </w:r>
      <w:r w:rsidRPr="00600ED9">
        <w:t>, para que reconozcan la importancia de ejecutar un trabajo profesional bajo estándares, de manera que sirva de insumo a otras instancias de la CGRC, en los casos aplicables.</w:t>
      </w:r>
    </w:p>
    <w:p w:rsidR="00046767" w:rsidRPr="00600ED9" w:rsidRDefault="009A2A93" w:rsidP="00233205">
      <w:pPr>
        <w:pStyle w:val="ListParagraph"/>
        <w:numPr>
          <w:ilvl w:val="0"/>
          <w:numId w:val="42"/>
        </w:numPr>
        <w:spacing w:after="0" w:line="240" w:lineRule="auto"/>
        <w:jc w:val="both"/>
      </w:pPr>
      <w:r w:rsidRPr="00600ED9">
        <w:t xml:space="preserve">Dentro </w:t>
      </w:r>
      <w:r w:rsidR="00046767" w:rsidRPr="00600ED9">
        <w:t xml:space="preserve">de las razones que </w:t>
      </w:r>
      <w:r w:rsidRPr="00600ED9">
        <w:t xml:space="preserve">consideran influyen en las debilidades expuestas, son la </w:t>
      </w:r>
      <w:r w:rsidR="00046767" w:rsidRPr="00600ED9">
        <w:t>falta de incentivos, de</w:t>
      </w:r>
      <w:r w:rsidRPr="00600ED9">
        <w:t>s</w:t>
      </w:r>
      <w:r w:rsidR="00046767" w:rsidRPr="00600ED9">
        <w:t>motivación, estancamiento laboral (funcionarios en el mismo cargo por varios años) y falta de cultura organizacional.</w:t>
      </w:r>
    </w:p>
    <w:p w:rsidR="00046767" w:rsidRPr="00600ED9" w:rsidRDefault="00046767" w:rsidP="00233205">
      <w:pPr>
        <w:pStyle w:val="ListParagraph"/>
        <w:numPr>
          <w:ilvl w:val="0"/>
          <w:numId w:val="42"/>
        </w:numPr>
        <w:spacing w:after="0" w:line="240" w:lineRule="auto"/>
        <w:jc w:val="both"/>
      </w:pPr>
      <w:r w:rsidRPr="00600ED9">
        <w:t>Es necesario implementar relatorías de consulta a nivel nacional para que los funcionarios puedan realizar consultas en temas específicos</w:t>
      </w:r>
      <w:r w:rsidR="009A2A93" w:rsidRPr="00600ED9">
        <w:t xml:space="preserve">, como </w:t>
      </w:r>
      <w:r w:rsidRPr="00600ED9">
        <w:t>repositorio del conocimiento (Instituto Fiscal de Capacitación).</w:t>
      </w:r>
    </w:p>
    <w:p w:rsidR="00046767" w:rsidRPr="00600ED9" w:rsidRDefault="00046767" w:rsidP="00233205">
      <w:pPr>
        <w:pStyle w:val="ListParagraph"/>
        <w:numPr>
          <w:ilvl w:val="0"/>
          <w:numId w:val="42"/>
        </w:numPr>
        <w:spacing w:after="0" w:line="240" w:lineRule="auto"/>
        <w:jc w:val="both"/>
      </w:pPr>
      <w:r w:rsidRPr="00600ED9">
        <w:t>Es deseable obtener retroalimentación con base en  experiencias prácticas, que pueda ser usada a través del tiempo.</w:t>
      </w:r>
    </w:p>
    <w:p w:rsidR="00046767" w:rsidRPr="00600ED9" w:rsidRDefault="00046767" w:rsidP="00233205">
      <w:pPr>
        <w:pStyle w:val="ListParagraph"/>
        <w:numPr>
          <w:ilvl w:val="0"/>
          <w:numId w:val="42"/>
        </w:numPr>
        <w:spacing w:after="0" w:line="240" w:lineRule="auto"/>
        <w:jc w:val="both"/>
      </w:pPr>
      <w:r w:rsidRPr="00600ED9">
        <w:t xml:space="preserve">La Unidad de Cooperación Nacional e Internacional para Prevención, Investigación e Incautación de Bienes, no actúa a nivel “nacional” sino solo a nivel internacional. Se </w:t>
      </w:r>
      <w:r w:rsidR="009A2A93" w:rsidRPr="00600ED9">
        <w:t>requiere</w:t>
      </w:r>
      <w:r w:rsidRPr="00600ED9">
        <w:t xml:space="preserve"> revis</w:t>
      </w:r>
      <w:r w:rsidR="009A2A93" w:rsidRPr="00600ED9">
        <w:t>ar</w:t>
      </w:r>
      <w:r w:rsidRPr="00600ED9">
        <w:t xml:space="preserve"> al alcance legal de su mandato y la posible creación de una Unidad de “Asuntos Internacionales”.</w:t>
      </w:r>
    </w:p>
    <w:p w:rsidR="00046767" w:rsidRPr="00600ED9" w:rsidRDefault="00046767" w:rsidP="00233205">
      <w:pPr>
        <w:pStyle w:val="ListParagraph"/>
        <w:numPr>
          <w:ilvl w:val="0"/>
          <w:numId w:val="42"/>
        </w:numPr>
        <w:spacing w:after="0" w:line="240" w:lineRule="auto"/>
        <w:jc w:val="both"/>
      </w:pPr>
      <w:r w:rsidRPr="00600ED9">
        <w:t xml:space="preserve">La Unidad de Cooperación Nacional e Internacional para Prevención, Investigación e Incautación de Bienes no cuenta con el personal suficiente para </w:t>
      </w:r>
      <w:r w:rsidR="009A2A93" w:rsidRPr="00600ED9">
        <w:t>realizar</w:t>
      </w:r>
      <w:r w:rsidRPr="00600ED9">
        <w:t xml:space="preserve"> seguimiento a los distintos acuerdos internacionales que tiene la CGR</w:t>
      </w:r>
      <w:r w:rsidR="009A2A93" w:rsidRPr="00600ED9">
        <w:t>C</w:t>
      </w:r>
      <w:r w:rsidRPr="00600ED9">
        <w:t>.</w:t>
      </w:r>
    </w:p>
    <w:p w:rsidR="00046767" w:rsidRPr="00600ED9" w:rsidRDefault="00046767" w:rsidP="00FB1954">
      <w:pPr>
        <w:spacing w:after="0" w:line="240" w:lineRule="auto"/>
        <w:jc w:val="both"/>
      </w:pPr>
    </w:p>
    <w:p w:rsidR="00FA61A9" w:rsidRPr="00600ED9" w:rsidRDefault="00FA61A9" w:rsidP="00FB1954">
      <w:pPr>
        <w:spacing w:after="0" w:line="240" w:lineRule="auto"/>
        <w:jc w:val="both"/>
      </w:pPr>
    </w:p>
    <w:p w:rsidR="005429A6" w:rsidRPr="00600ED9" w:rsidRDefault="005429A6" w:rsidP="00233205">
      <w:pPr>
        <w:pStyle w:val="Heading1"/>
        <w:numPr>
          <w:ilvl w:val="1"/>
          <w:numId w:val="44"/>
        </w:numPr>
        <w:spacing w:line="240" w:lineRule="auto"/>
        <w:ind w:left="709" w:hanging="709"/>
        <w:rPr>
          <w:noProof w:val="0"/>
        </w:rPr>
      </w:pPr>
      <w:bookmarkStart w:id="45" w:name="_Toc295932937"/>
      <w:r w:rsidRPr="00600ED9">
        <w:rPr>
          <w:noProof w:val="0"/>
        </w:rPr>
        <w:t>Responsabilidad Patrimonial del Estado</w:t>
      </w:r>
      <w:bookmarkEnd w:id="45"/>
    </w:p>
    <w:p w:rsidR="00E34B98" w:rsidRPr="00600ED9" w:rsidRDefault="00E34B98" w:rsidP="00FB1954">
      <w:pPr>
        <w:spacing w:after="0" w:line="240" w:lineRule="auto"/>
        <w:jc w:val="both"/>
      </w:pPr>
    </w:p>
    <w:p w:rsidR="005429A6" w:rsidRPr="00600ED9" w:rsidRDefault="005429A6" w:rsidP="00FB1954">
      <w:pPr>
        <w:spacing w:after="0" w:line="240" w:lineRule="auto"/>
        <w:jc w:val="both"/>
      </w:pPr>
      <w:r w:rsidRPr="00600ED9">
        <w:t>Con la expedición de la Ley 1474 de 2011 se produjo un cambio sustancial en el control fiscal, específicamente en el ámbito de la acción fiscal, con la creación y organización de una serie de instrumentos orientados al fortalecimiento de los mecanismos de prevención, investigación y sanción de actos de corrupción, buscando una mayor efectividad sobre la gestión pública.</w:t>
      </w:r>
    </w:p>
    <w:p w:rsidR="00FA61A9" w:rsidRPr="00600ED9" w:rsidRDefault="00FA61A9" w:rsidP="00FB1954">
      <w:pPr>
        <w:spacing w:after="0" w:line="240" w:lineRule="auto"/>
        <w:jc w:val="both"/>
      </w:pPr>
    </w:p>
    <w:p w:rsidR="005429A6" w:rsidRPr="00600ED9" w:rsidRDefault="005429A6" w:rsidP="00FB1954">
      <w:pPr>
        <w:spacing w:after="0" w:line="240" w:lineRule="auto"/>
        <w:jc w:val="both"/>
      </w:pPr>
      <w:r w:rsidRPr="00600ED9">
        <w:t>La Ley 610 de 2000, establecía como único procedimiento para el trámite de responsabilidad fiscal el escrito, hoy denominado “ordinario”; con la entrada en vigencia de la Ley 1474 de 2011, se introdujo el “Procedimiento verbal de responsabilidad fiscal”, que le imprime mayor celeridad y se traduce en una herramienta efectiva para afrontar con éxito la lucha contra la corrupción, modificando la regulación de la acción fiscal y del proceso de responsabilidad fiscal bajo dos criterios esenciales:</w:t>
      </w:r>
    </w:p>
    <w:p w:rsidR="00FA61A9" w:rsidRPr="00600ED9" w:rsidRDefault="00FA61A9" w:rsidP="00FB1954">
      <w:pPr>
        <w:spacing w:after="0" w:line="240" w:lineRule="auto"/>
        <w:jc w:val="both"/>
      </w:pPr>
    </w:p>
    <w:p w:rsidR="005429A6" w:rsidRPr="00600ED9" w:rsidRDefault="005429A6" w:rsidP="00233205">
      <w:pPr>
        <w:pStyle w:val="ListParagraph"/>
        <w:numPr>
          <w:ilvl w:val="0"/>
          <w:numId w:val="15"/>
        </w:numPr>
        <w:spacing w:after="0" w:line="240" w:lineRule="auto"/>
        <w:jc w:val="both"/>
      </w:pPr>
      <w:r w:rsidRPr="00600ED9">
        <w:t>Precisar y mejorar la regulación de dicho proceso, adecuándola a la realidad y procurando una mayor eficacia y oportunidad en el establecimiento de la responsabilidad por lesiones al patrimonio público, creando el proceso de responsabilidad fiscal verbal. A su vez, la norma contempló procesos de responsabilidad fiscal de única instancia atendiendo la cuantía del daño causado. De lo anterior, surgió el esquema procesal con dos modalidades: i) el proceso ordinario; y ii) el verbal, dentro de los cuales puede haber procesos de única o de doble instancia.</w:t>
      </w:r>
    </w:p>
    <w:p w:rsidR="005429A6" w:rsidRPr="00600ED9" w:rsidRDefault="005429A6" w:rsidP="00233205">
      <w:pPr>
        <w:pStyle w:val="ListParagraph"/>
        <w:numPr>
          <w:ilvl w:val="0"/>
          <w:numId w:val="15"/>
        </w:numPr>
        <w:spacing w:after="0" w:line="240" w:lineRule="auto"/>
        <w:jc w:val="both"/>
      </w:pPr>
      <w:r w:rsidRPr="00600ED9">
        <w:t xml:space="preserve">Consolidar  el control fiscal </w:t>
      </w:r>
      <w:r w:rsidR="00BA30EE" w:rsidRPr="00600ED9">
        <w:t>(</w:t>
      </w:r>
      <w:r w:rsidRPr="00600ED9">
        <w:t>fortalecimiento institucional</w:t>
      </w:r>
      <w:r w:rsidR="00BA30EE" w:rsidRPr="00600ED9">
        <w:t>)</w:t>
      </w:r>
      <w:r w:rsidRPr="00600ED9">
        <w:t xml:space="preserve">, tanto en el nivel central de la entidad como en el nivel desconcentrado. Tal criterio dio lugar a la creación de una nueva estructura de la </w:t>
      </w:r>
      <w:r w:rsidR="00431CA4" w:rsidRPr="00600ED9">
        <w:t>CGRC</w:t>
      </w:r>
      <w:r w:rsidRPr="00600ED9">
        <w:t xml:space="preserve"> más especializada, con la implementación de la Unidad de Investigaciones Especiales contra </w:t>
      </w:r>
      <w:r w:rsidR="00A2167F" w:rsidRPr="00600ED9">
        <w:t>la Corrupción (UIECC) y de las Gerencias Departamentales y Distritales C</w:t>
      </w:r>
      <w:r w:rsidRPr="00600ED9">
        <w:t>olegiadas (GDC).</w:t>
      </w:r>
    </w:p>
    <w:p w:rsidR="00A2167F" w:rsidRPr="00600ED9" w:rsidRDefault="00A2167F" w:rsidP="00FB1954">
      <w:pPr>
        <w:spacing w:after="0" w:line="240" w:lineRule="auto"/>
        <w:jc w:val="both"/>
      </w:pPr>
    </w:p>
    <w:p w:rsidR="005429A6" w:rsidRPr="00600ED9" w:rsidRDefault="005429A6" w:rsidP="00FB1954">
      <w:pPr>
        <w:widowControl/>
        <w:autoSpaceDE w:val="0"/>
        <w:autoSpaceDN w:val="0"/>
        <w:adjustRightInd w:val="0"/>
        <w:spacing w:after="0" w:line="240" w:lineRule="auto"/>
        <w:jc w:val="both"/>
      </w:pPr>
      <w:r w:rsidRPr="00600ED9">
        <w:t>En desarrollo del acto legislativo 05 de 2011 y de la Ley 1530 de 2012, normas por medio de las cuales se creó un nuevo Sistema General de Regalías (SGR), se fortaleció la competencia de la Contraloría General de la República para la aplicación intensiva y permanente de los distintos sistemas de vigilancia y control fiscal sobre la inversión de estos recursos desde la fase de presentación de los proyectos, hasta la puesta en funcionamiento de los mismos, tal como lo detalla el artículo 152 de la Ley 1530 del 2012 que estableció: “…</w:t>
      </w:r>
      <w:r w:rsidRPr="00600ED9">
        <w:rPr>
          <w:b/>
          <w:i/>
        </w:rPr>
        <w:t>Vigilancia y control fiscales</w:t>
      </w:r>
      <w:r w:rsidRPr="00600ED9">
        <w:rPr>
          <w:i/>
        </w:rPr>
        <w:t xml:space="preserve">. En desarrollo de sus funciones constitucionales, la Contraloría General de la </w:t>
      </w:r>
      <w:r w:rsidRPr="00600ED9">
        <w:rPr>
          <w:i/>
        </w:rPr>
        <w:lastRenderedPageBreak/>
        <w:t>República ejercerá la vigilancia y el control fiscales sobre los recursos del Sistema General de Regalías. Con el fin de alcanzar una mayor eficacia de esta función, el Sistema de Monitoreo, Seguimiento, Control y Evaluación incorporará las metodologías y procedimientos que se requieran para proveer información pertinente a la Contraloría General de la República, en los términos que señale el reglamento”.</w:t>
      </w:r>
    </w:p>
    <w:p w:rsidR="00A2167F" w:rsidRPr="00600ED9" w:rsidRDefault="00A2167F" w:rsidP="00FB1954">
      <w:pPr>
        <w:pStyle w:val="NoSpacing"/>
        <w:jc w:val="both"/>
        <w:rPr>
          <w:lang w:val="es-ES_tradnl"/>
        </w:rPr>
      </w:pPr>
    </w:p>
    <w:p w:rsidR="005429A6" w:rsidRPr="00600ED9" w:rsidRDefault="005429A6" w:rsidP="00FB1954">
      <w:pPr>
        <w:pStyle w:val="NoSpacing"/>
        <w:jc w:val="both"/>
        <w:rPr>
          <w:lang w:val="es-ES_tradnl"/>
        </w:rPr>
      </w:pPr>
      <w:r w:rsidRPr="00600ED9">
        <w:rPr>
          <w:lang w:val="es-ES_tradnl"/>
        </w:rPr>
        <w:t xml:space="preserve">Adicionalmente, con la </w:t>
      </w:r>
      <w:r w:rsidR="00D65BF3" w:rsidRPr="00600ED9">
        <w:rPr>
          <w:lang w:val="es-ES_tradnl"/>
        </w:rPr>
        <w:t xml:space="preserve">promulgación </w:t>
      </w:r>
      <w:r w:rsidRPr="00600ED9">
        <w:rPr>
          <w:lang w:val="es-ES_tradnl"/>
        </w:rPr>
        <w:t>de la Ley 1474 de 2011 se organizó el funcionamiento de nuevas unidades creadas por esta ley, las cuales se detalla a continuación:</w:t>
      </w:r>
    </w:p>
    <w:p w:rsidR="00A2167F" w:rsidRPr="00600ED9" w:rsidRDefault="00A2167F" w:rsidP="00FB1954">
      <w:pPr>
        <w:pStyle w:val="NoSpacing"/>
        <w:jc w:val="both"/>
        <w:rPr>
          <w:lang w:val="es-ES_tradnl"/>
        </w:rPr>
      </w:pPr>
    </w:p>
    <w:p w:rsidR="005429A6" w:rsidRPr="00600ED9" w:rsidRDefault="005429A6" w:rsidP="00FB1954">
      <w:pPr>
        <w:pStyle w:val="NoSpacing"/>
        <w:jc w:val="both"/>
        <w:rPr>
          <w:rFonts w:eastAsia="Calibri" w:cs="Times New Roman"/>
          <w:b/>
          <w:lang w:val="es-ES_tradnl"/>
        </w:rPr>
      </w:pPr>
      <w:r w:rsidRPr="00600ED9">
        <w:rPr>
          <w:rFonts w:eastAsia="Calibri" w:cs="Times New Roman"/>
          <w:b/>
          <w:lang w:val="es-ES_tradnl"/>
        </w:rPr>
        <w:t>Unidad de Investigaciones Especiales contra la Corrupción (UIECC)</w:t>
      </w:r>
    </w:p>
    <w:p w:rsidR="00D65BF3" w:rsidRPr="00600ED9" w:rsidRDefault="00D65BF3" w:rsidP="00FB1954">
      <w:pPr>
        <w:pStyle w:val="NoSpacing"/>
        <w:jc w:val="both"/>
        <w:rPr>
          <w:lang w:val="es-ES_tradnl"/>
        </w:rPr>
      </w:pPr>
    </w:p>
    <w:p w:rsidR="005429A6" w:rsidRPr="00600ED9" w:rsidRDefault="005429A6" w:rsidP="00FB1954">
      <w:pPr>
        <w:pStyle w:val="NoSpacing"/>
        <w:jc w:val="both"/>
        <w:rPr>
          <w:lang w:val="es-ES_tradnl"/>
        </w:rPr>
      </w:pPr>
      <w:r w:rsidRPr="00600ED9">
        <w:rPr>
          <w:lang w:val="es-ES_tradnl"/>
        </w:rPr>
        <w:t>La UIECC cuenta con 11 contralores intersectoriales y varios grupos en el despacho para adelantar su labor, lo que ha permitido que las tareas asignadas se realicen de manera oportuna y eficaz por parte de funcionarios que, acorde con lo previsto en la Ley 1474 de 2011, conocen de los asuntos declarados de impacto nacional y para facilitar esta tarea se han especializado por sectores.</w:t>
      </w:r>
    </w:p>
    <w:p w:rsidR="00A2167F" w:rsidRPr="00600ED9" w:rsidRDefault="00A2167F" w:rsidP="00FB1954">
      <w:pPr>
        <w:pStyle w:val="NoSpacing"/>
        <w:jc w:val="both"/>
        <w:rPr>
          <w:lang w:val="es-ES_tradnl"/>
        </w:rPr>
      </w:pPr>
    </w:p>
    <w:p w:rsidR="005429A6" w:rsidRPr="00600ED9" w:rsidRDefault="005429A6" w:rsidP="00FB1954">
      <w:pPr>
        <w:pStyle w:val="NoSpacing"/>
        <w:jc w:val="both"/>
        <w:rPr>
          <w:rFonts w:eastAsia="Calibri" w:cs="Times New Roman"/>
          <w:b/>
          <w:lang w:val="es-ES_tradnl"/>
        </w:rPr>
      </w:pPr>
      <w:r w:rsidRPr="00600ED9">
        <w:rPr>
          <w:rFonts w:eastAsia="Calibri" w:cs="Times New Roman"/>
          <w:b/>
          <w:lang w:val="es-ES_tradnl"/>
        </w:rPr>
        <w:t>Unidad de Cooperación Nacional e Internacional para la Prevención, Investigación e Incautación de Bienes</w:t>
      </w:r>
    </w:p>
    <w:p w:rsidR="00A2167F" w:rsidRPr="00600ED9" w:rsidRDefault="00A2167F" w:rsidP="00FB1954">
      <w:pPr>
        <w:pStyle w:val="NoSpacing"/>
        <w:jc w:val="both"/>
        <w:rPr>
          <w:rFonts w:eastAsia="Calibri" w:cs="Times New Roman"/>
          <w:b/>
          <w:lang w:val="es-ES_tradnl"/>
        </w:rPr>
      </w:pPr>
    </w:p>
    <w:p w:rsidR="005429A6" w:rsidRPr="00600ED9" w:rsidRDefault="005429A6" w:rsidP="00FB1954">
      <w:pPr>
        <w:pStyle w:val="NoSpacing"/>
        <w:jc w:val="both"/>
        <w:rPr>
          <w:lang w:val="es-ES_tradnl"/>
        </w:rPr>
      </w:pPr>
      <w:r w:rsidRPr="00600ED9">
        <w:rPr>
          <w:lang w:val="es-ES_tradnl"/>
        </w:rPr>
        <w:t>Con su creación, a través del artículo 128 de la Ley 1474 de 2011, la contraloría solicitó y obtuvo del gobierno nacional la nominación como una de las autoridades centrales en la Convención Interamericana contra la Corrupción y en la Convención de Naciones Unidas contra la Corrupción (UNCAC), lo que le permite acudir a las autoridades centrales de otros Estados para solicitar la práctica de pruebas, efectuar notificaciones, buscar bienes, solicitar su embargo y lograr su restitución.</w:t>
      </w:r>
    </w:p>
    <w:p w:rsidR="00A2167F" w:rsidRPr="00600ED9" w:rsidRDefault="00A2167F" w:rsidP="00FB1954">
      <w:pPr>
        <w:pStyle w:val="NoSpacing"/>
        <w:jc w:val="both"/>
        <w:rPr>
          <w:lang w:val="es-ES_tradnl"/>
        </w:rPr>
      </w:pPr>
    </w:p>
    <w:p w:rsidR="005429A6" w:rsidRPr="00600ED9" w:rsidRDefault="005429A6" w:rsidP="00FB1954">
      <w:pPr>
        <w:pStyle w:val="NoSpacing"/>
        <w:jc w:val="both"/>
        <w:rPr>
          <w:lang w:val="es-ES_tradnl"/>
        </w:rPr>
      </w:pPr>
      <w:r w:rsidRPr="00600ED9">
        <w:rPr>
          <w:lang w:val="es-ES_tradnl"/>
        </w:rPr>
        <w:t>Igualmente, fue designada el 2 de noviembre del 2011 Autoridad Central de la Convención Interamericana contra la Corrupción de la Organización de Estados Americanos (OEA), lo que le permite la búsqueda, el embargo y recuperación de bienes producto de la corrupción a nivel internacional.</w:t>
      </w:r>
    </w:p>
    <w:p w:rsidR="00A2167F" w:rsidRPr="00600ED9" w:rsidRDefault="00A2167F" w:rsidP="00FB1954">
      <w:pPr>
        <w:pStyle w:val="NoSpacing"/>
        <w:jc w:val="both"/>
        <w:rPr>
          <w:lang w:val="es-ES_tradnl"/>
        </w:rPr>
      </w:pPr>
    </w:p>
    <w:p w:rsidR="005429A6" w:rsidRPr="00600ED9" w:rsidRDefault="005429A6" w:rsidP="00FB1954">
      <w:pPr>
        <w:pStyle w:val="NoSpacing"/>
        <w:jc w:val="both"/>
        <w:rPr>
          <w:lang w:val="es-ES_tradnl"/>
        </w:rPr>
      </w:pPr>
      <w:r w:rsidRPr="00600ED9">
        <w:rPr>
          <w:lang w:val="es-ES_tradnl"/>
        </w:rPr>
        <w:t>Esta convención contiene en su Capítulo V una serie de medidas para la recuperación de los activos robados a los Estados, adicionales a la esfera penal, como la posibilidad de cooperación en casos de decomiso sin condena (como la acción de extinción de dominio que conocemos en Colombia) y la recuperación directa como una acción in rem que pueda ser sometida a los estándares probatorios y a los principios que rigen los procedimientos civiles y administrativos.</w:t>
      </w:r>
    </w:p>
    <w:p w:rsidR="00A2167F" w:rsidRPr="00600ED9" w:rsidRDefault="00A2167F" w:rsidP="00FB1954">
      <w:pPr>
        <w:pStyle w:val="NoSpacing"/>
        <w:jc w:val="both"/>
        <w:rPr>
          <w:lang w:val="es-ES_tradnl"/>
        </w:rPr>
      </w:pPr>
    </w:p>
    <w:p w:rsidR="005429A6" w:rsidRPr="00600ED9" w:rsidRDefault="005429A6" w:rsidP="00FB1954">
      <w:pPr>
        <w:pStyle w:val="NoSpacing"/>
        <w:jc w:val="both"/>
        <w:rPr>
          <w:rFonts w:eastAsia="Calibri" w:cs="Times New Roman"/>
          <w:b/>
          <w:lang w:val="es-ES_tradnl"/>
        </w:rPr>
      </w:pPr>
      <w:r w:rsidRPr="00600ED9">
        <w:rPr>
          <w:rFonts w:eastAsia="Calibri" w:cs="Times New Roman"/>
          <w:b/>
          <w:lang w:val="es-ES_tradnl"/>
        </w:rPr>
        <w:t>Unidad de Apoyo Técnico al Congreso</w:t>
      </w:r>
    </w:p>
    <w:p w:rsidR="00D65BF3" w:rsidRPr="00600ED9" w:rsidRDefault="00D65BF3" w:rsidP="00FB1954">
      <w:pPr>
        <w:pStyle w:val="NoSpacing"/>
        <w:jc w:val="both"/>
        <w:rPr>
          <w:lang w:val="es-ES_tradnl"/>
        </w:rPr>
      </w:pPr>
    </w:p>
    <w:p w:rsidR="005429A6" w:rsidRPr="00600ED9" w:rsidRDefault="005429A6" w:rsidP="00FB1954">
      <w:pPr>
        <w:pStyle w:val="NoSpacing"/>
        <w:jc w:val="both"/>
        <w:rPr>
          <w:lang w:val="es-ES_tradnl"/>
        </w:rPr>
      </w:pPr>
      <w:r w:rsidRPr="00600ED9">
        <w:rPr>
          <w:lang w:val="es-ES_tradnl"/>
        </w:rPr>
        <w:t xml:space="preserve">El artículo 128 de la Ley 1474 de 2011, instituyó para la </w:t>
      </w:r>
      <w:r w:rsidR="00D65BF3" w:rsidRPr="00600ED9">
        <w:rPr>
          <w:lang w:val="es-ES_tradnl"/>
        </w:rPr>
        <w:t>C</w:t>
      </w:r>
      <w:r w:rsidRPr="00600ED9">
        <w:rPr>
          <w:lang w:val="es-ES_tradnl"/>
        </w:rPr>
        <w:t xml:space="preserve">ontraloría las bases conceptuales del apoyo técnico al Congreso de la República, que se refleja en el suministro de información sin carácter reservado, el acompañamiento en el análisis, evaluación y elaboración de proyectos e informes, especialmente relacionados con su impacto y efectos fiscales y presupuestales y la canalización de las denuncias o quejas de origen parlamentario. Su implantación significó un importante avance en el cumplimiento del objetivo corporativo No. 2 del </w:t>
      </w:r>
      <w:r w:rsidR="00D65BF3" w:rsidRPr="00600ED9">
        <w:rPr>
          <w:lang w:val="es-ES_tradnl"/>
        </w:rPr>
        <w:t>P</w:t>
      </w:r>
      <w:r w:rsidRPr="00600ED9">
        <w:rPr>
          <w:lang w:val="es-ES_tradnl"/>
        </w:rPr>
        <w:t xml:space="preserve">lan </w:t>
      </w:r>
      <w:r w:rsidR="00D65BF3" w:rsidRPr="00600ED9">
        <w:rPr>
          <w:lang w:val="es-ES_tradnl"/>
        </w:rPr>
        <w:t>E</w:t>
      </w:r>
      <w:r w:rsidRPr="00600ED9">
        <w:rPr>
          <w:lang w:val="es-ES_tradnl"/>
        </w:rPr>
        <w:t>stratégico fijado por la actual administración.</w:t>
      </w:r>
    </w:p>
    <w:p w:rsidR="00A2167F" w:rsidRPr="00600ED9" w:rsidRDefault="00A2167F" w:rsidP="00FB1954">
      <w:pPr>
        <w:pStyle w:val="NoSpacing"/>
        <w:jc w:val="both"/>
        <w:rPr>
          <w:lang w:val="es-ES_tradnl"/>
        </w:rPr>
      </w:pPr>
    </w:p>
    <w:p w:rsidR="005429A6" w:rsidRPr="00600ED9" w:rsidRDefault="005429A6" w:rsidP="00FB1954">
      <w:pPr>
        <w:pStyle w:val="NoSpacing"/>
        <w:jc w:val="both"/>
        <w:rPr>
          <w:rFonts w:eastAsia="Calibri" w:cs="Times New Roman"/>
          <w:b/>
          <w:lang w:val="es-ES_tradnl"/>
        </w:rPr>
      </w:pPr>
      <w:r w:rsidRPr="00600ED9">
        <w:rPr>
          <w:rFonts w:eastAsia="Calibri" w:cs="Times New Roman"/>
          <w:b/>
          <w:lang w:val="es-ES_tradnl"/>
        </w:rPr>
        <w:t>Unidad de Seguridad, Aseguramiento Tecnológico e Informático (USATI)</w:t>
      </w:r>
    </w:p>
    <w:p w:rsidR="00D65BF3" w:rsidRPr="00600ED9" w:rsidRDefault="00D65BF3" w:rsidP="00FB1954">
      <w:pPr>
        <w:pStyle w:val="NoSpacing"/>
        <w:jc w:val="both"/>
        <w:rPr>
          <w:lang w:val="es-ES_tradnl"/>
        </w:rPr>
      </w:pPr>
    </w:p>
    <w:p w:rsidR="005429A6" w:rsidRPr="00600ED9" w:rsidRDefault="005429A6" w:rsidP="00FB1954">
      <w:pPr>
        <w:pStyle w:val="NoSpacing"/>
        <w:jc w:val="both"/>
        <w:rPr>
          <w:lang w:val="es-ES_tradnl"/>
        </w:rPr>
      </w:pPr>
      <w:r w:rsidRPr="00600ED9">
        <w:rPr>
          <w:lang w:val="es-ES_tradnl"/>
        </w:rPr>
        <w:t>Su funcionamiento se formalizó con la expedición de la Resolución Reglamentaria No. 205 de 2012</w:t>
      </w:r>
      <w:r w:rsidR="00D65BF3" w:rsidRPr="00600ED9">
        <w:rPr>
          <w:lang w:val="es-ES_tradnl"/>
        </w:rPr>
        <w:t xml:space="preserve">, </w:t>
      </w:r>
      <w:r w:rsidRPr="00600ED9">
        <w:rPr>
          <w:lang w:val="es-ES_tradnl"/>
        </w:rPr>
        <w:t>su gestión durante el per</w:t>
      </w:r>
      <w:r w:rsidR="00D65BF3" w:rsidRPr="00600ED9">
        <w:rPr>
          <w:lang w:val="es-ES_tradnl"/>
        </w:rPr>
        <w:t>í</w:t>
      </w:r>
      <w:r w:rsidRPr="00600ED9">
        <w:rPr>
          <w:lang w:val="es-ES_tradnl"/>
        </w:rPr>
        <w:t xml:space="preserve">odo </w:t>
      </w:r>
      <w:r w:rsidR="00D65BF3" w:rsidRPr="00600ED9">
        <w:rPr>
          <w:lang w:val="es-ES_tradnl"/>
        </w:rPr>
        <w:t>J</w:t>
      </w:r>
      <w:r w:rsidRPr="00600ED9">
        <w:rPr>
          <w:lang w:val="es-ES_tradnl"/>
        </w:rPr>
        <w:t xml:space="preserve">unio de 2012 a la fecha, se ha focalizado </w:t>
      </w:r>
      <w:r w:rsidR="00D65BF3" w:rsidRPr="00600ED9">
        <w:rPr>
          <w:lang w:val="es-ES_tradnl"/>
        </w:rPr>
        <w:t xml:space="preserve">en </w:t>
      </w:r>
      <w:r w:rsidRPr="00600ED9">
        <w:rPr>
          <w:lang w:val="es-ES_tradnl"/>
        </w:rPr>
        <w:t xml:space="preserve">el fortalecimiento de la seguridad informática y </w:t>
      </w:r>
      <w:r w:rsidR="00D65BF3" w:rsidRPr="00600ED9">
        <w:rPr>
          <w:lang w:val="es-ES_tradnl"/>
        </w:rPr>
        <w:t xml:space="preserve">en </w:t>
      </w:r>
      <w:r w:rsidRPr="00600ED9">
        <w:rPr>
          <w:lang w:val="es-ES_tradnl"/>
        </w:rPr>
        <w:t>brindar, a través del Laboratorio de Informática Forense, el apoyo necesario para adelantar acciones oportunas en las actuaciones que así lo requieren.</w:t>
      </w:r>
    </w:p>
    <w:p w:rsidR="000047A3" w:rsidRPr="00600ED9" w:rsidRDefault="000047A3" w:rsidP="00233205">
      <w:pPr>
        <w:pStyle w:val="Title"/>
        <w:numPr>
          <w:ilvl w:val="0"/>
          <w:numId w:val="6"/>
        </w:numPr>
        <w:spacing w:after="0"/>
        <w:jc w:val="both"/>
        <w:rPr>
          <w:lang w:val="es-ES_tradnl"/>
        </w:rPr>
      </w:pPr>
      <w:bookmarkStart w:id="46" w:name="_Toc295932938"/>
      <w:r w:rsidRPr="00600ED9">
        <w:rPr>
          <w:lang w:val="es-ES_tradnl"/>
        </w:rPr>
        <w:lastRenderedPageBreak/>
        <w:t xml:space="preserve">Anexo A </w:t>
      </w:r>
      <w:r w:rsidR="00CA380D" w:rsidRPr="00600ED9">
        <w:rPr>
          <w:lang w:val="es-ES_tradnl"/>
        </w:rPr>
        <w:t>–</w:t>
      </w:r>
      <w:r w:rsidRPr="00600ED9">
        <w:rPr>
          <w:lang w:val="es-ES_tradnl"/>
        </w:rPr>
        <w:t xml:space="preserve"> </w:t>
      </w:r>
      <w:r w:rsidR="00CA380D" w:rsidRPr="00600ED9">
        <w:rPr>
          <w:lang w:val="es-ES_tradnl"/>
        </w:rPr>
        <w:t>P</w:t>
      </w:r>
      <w:r w:rsidRPr="00600ED9">
        <w:rPr>
          <w:lang w:val="es-ES_tradnl"/>
        </w:rPr>
        <w:t>lan de Acción</w:t>
      </w:r>
      <w:bookmarkEnd w:id="46"/>
    </w:p>
    <w:p w:rsidR="00FA61A9" w:rsidRPr="00600ED9" w:rsidRDefault="00FA61A9" w:rsidP="00FB1954">
      <w:pPr>
        <w:spacing w:after="0" w:line="240" w:lineRule="auto"/>
        <w:jc w:val="both"/>
        <w:rPr>
          <w:szCs w:val="20"/>
        </w:rPr>
      </w:pPr>
    </w:p>
    <w:p w:rsidR="000047A3" w:rsidRPr="00600ED9" w:rsidRDefault="000047A3" w:rsidP="00D94E25">
      <w:pPr>
        <w:spacing w:after="0" w:line="240" w:lineRule="auto"/>
        <w:ind w:left="360"/>
        <w:jc w:val="both"/>
        <w:rPr>
          <w:szCs w:val="20"/>
          <w:lang w:eastAsia="es-MX"/>
        </w:rPr>
      </w:pPr>
      <w:r w:rsidRPr="00600ED9">
        <w:rPr>
          <w:szCs w:val="20"/>
        </w:rPr>
        <w:t xml:space="preserve">En documento independiente se incluye el Plan de Acción sugerido para atender las oportunidades de mejora identificadas. </w:t>
      </w:r>
    </w:p>
    <w:p w:rsidR="00962C03" w:rsidRPr="00600ED9" w:rsidRDefault="00962C03" w:rsidP="00FB1954">
      <w:pPr>
        <w:spacing w:after="0" w:line="240" w:lineRule="auto"/>
        <w:rPr>
          <w:rFonts w:eastAsia="Calibri"/>
        </w:rPr>
      </w:pPr>
    </w:p>
    <w:p w:rsidR="00CA380D" w:rsidRPr="00600ED9" w:rsidRDefault="00CA380D" w:rsidP="00FB1954">
      <w:pPr>
        <w:spacing w:after="0" w:line="240" w:lineRule="auto"/>
        <w:rPr>
          <w:rFonts w:eastAsia="Calibri"/>
        </w:rPr>
      </w:pPr>
    </w:p>
    <w:p w:rsidR="00CA380D" w:rsidRPr="00600ED9" w:rsidRDefault="00CA380D" w:rsidP="00233205">
      <w:pPr>
        <w:pStyle w:val="Title"/>
        <w:numPr>
          <w:ilvl w:val="0"/>
          <w:numId w:val="6"/>
        </w:numPr>
        <w:spacing w:after="0"/>
        <w:jc w:val="both"/>
        <w:rPr>
          <w:lang w:val="es-ES_tradnl"/>
        </w:rPr>
      </w:pPr>
      <w:bookmarkStart w:id="47" w:name="_Toc295932939"/>
      <w:r w:rsidRPr="00600ED9">
        <w:rPr>
          <w:lang w:val="es-ES_tradnl"/>
        </w:rPr>
        <w:t>Anexo B – Fuentes de Información</w:t>
      </w:r>
      <w:bookmarkEnd w:id="47"/>
    </w:p>
    <w:p w:rsidR="00FA61A9" w:rsidRPr="00600ED9" w:rsidRDefault="00FA61A9" w:rsidP="00FB1954">
      <w:pPr>
        <w:spacing w:after="0" w:line="240" w:lineRule="auto"/>
        <w:jc w:val="both"/>
      </w:pPr>
    </w:p>
    <w:p w:rsidR="00EF565E" w:rsidRPr="00600ED9" w:rsidRDefault="00C707CA" w:rsidP="00D94E25">
      <w:pPr>
        <w:spacing w:after="0" w:line="240" w:lineRule="auto"/>
        <w:ind w:left="360"/>
        <w:jc w:val="both"/>
        <w:rPr>
          <w:lang w:eastAsia="es-MX"/>
        </w:rPr>
      </w:pPr>
      <w:r w:rsidRPr="00600ED9">
        <w:t xml:space="preserve">En documento independiente se incluye </w:t>
      </w:r>
      <w:r w:rsidR="004B1B25" w:rsidRPr="00600ED9">
        <w:t xml:space="preserve">el detalle de las </w:t>
      </w:r>
      <w:r w:rsidRPr="00600ED9">
        <w:t>f</w:t>
      </w:r>
      <w:r w:rsidR="004B1B25" w:rsidRPr="00600ED9">
        <w:t xml:space="preserve">uentes de </w:t>
      </w:r>
      <w:r w:rsidRPr="00600ED9">
        <w:t>i</w:t>
      </w:r>
      <w:r w:rsidR="0074210C" w:rsidRPr="00600ED9">
        <w:t>nformación</w:t>
      </w:r>
      <w:r w:rsidR="004B1B25" w:rsidRPr="00600ED9">
        <w:t xml:space="preserve"> y </w:t>
      </w:r>
      <w:r w:rsidRPr="00600ED9">
        <w:t>e</w:t>
      </w:r>
      <w:r w:rsidR="004B1B25" w:rsidRPr="00600ED9">
        <w:t xml:space="preserve">videncia que soportan la puntuación de </w:t>
      </w:r>
      <w:r w:rsidRPr="00600ED9">
        <w:t>los indicadores</w:t>
      </w:r>
      <w:r w:rsidR="004B1B25" w:rsidRPr="00600ED9">
        <w:t>.</w:t>
      </w:r>
      <w:bookmarkStart w:id="48" w:name="_Toc339967207"/>
      <w:bookmarkStart w:id="49" w:name="_Toc339967209"/>
      <w:bookmarkStart w:id="50" w:name="_Toc335391263"/>
      <w:bookmarkStart w:id="51" w:name="_Toc335391265"/>
      <w:bookmarkStart w:id="52" w:name="_Toc374685136"/>
      <w:bookmarkStart w:id="53" w:name="_Toc374685144"/>
      <w:bookmarkStart w:id="54" w:name="_Toc335391276"/>
      <w:bookmarkEnd w:id="48"/>
      <w:bookmarkEnd w:id="49"/>
      <w:bookmarkEnd w:id="50"/>
      <w:bookmarkEnd w:id="51"/>
      <w:bookmarkEnd w:id="52"/>
      <w:bookmarkEnd w:id="53"/>
      <w:bookmarkEnd w:id="54"/>
    </w:p>
    <w:p w:rsidR="00BA0FB9" w:rsidRPr="00600ED9" w:rsidRDefault="00BA0FB9" w:rsidP="00FB1954">
      <w:pPr>
        <w:spacing w:after="0" w:line="240" w:lineRule="auto"/>
        <w:jc w:val="both"/>
        <w:rPr>
          <w:lang w:eastAsia="es-MX"/>
        </w:rPr>
      </w:pPr>
    </w:p>
    <w:p w:rsidR="00BA0FB9" w:rsidRDefault="00BA0FB9" w:rsidP="00FB1954">
      <w:pPr>
        <w:spacing w:after="0" w:line="240" w:lineRule="auto"/>
        <w:jc w:val="both"/>
        <w:rPr>
          <w:lang w:eastAsia="es-MX"/>
        </w:rPr>
      </w:pPr>
    </w:p>
    <w:p w:rsidR="00233205" w:rsidRDefault="00233205" w:rsidP="00FB1954">
      <w:pPr>
        <w:spacing w:after="0" w:line="240" w:lineRule="auto"/>
        <w:jc w:val="both"/>
        <w:rPr>
          <w:lang w:eastAsia="es-MX"/>
        </w:rPr>
      </w:pPr>
    </w:p>
    <w:p w:rsidR="00233205" w:rsidRDefault="00233205" w:rsidP="00FB1954">
      <w:pPr>
        <w:spacing w:after="0" w:line="240" w:lineRule="auto"/>
        <w:jc w:val="both"/>
        <w:rPr>
          <w:lang w:eastAsia="es-MX"/>
        </w:rPr>
      </w:pPr>
    </w:p>
    <w:p w:rsidR="00233205" w:rsidRDefault="00233205" w:rsidP="00FB1954">
      <w:pPr>
        <w:spacing w:after="0" w:line="240" w:lineRule="auto"/>
        <w:jc w:val="both"/>
        <w:rPr>
          <w:lang w:eastAsia="es-MX"/>
        </w:rPr>
      </w:pPr>
    </w:p>
    <w:p w:rsidR="00233205" w:rsidRDefault="00233205" w:rsidP="00FB1954">
      <w:pPr>
        <w:spacing w:after="0" w:line="240" w:lineRule="auto"/>
        <w:jc w:val="both"/>
        <w:rPr>
          <w:lang w:eastAsia="es-MX"/>
        </w:rPr>
      </w:pPr>
    </w:p>
    <w:p w:rsidR="00233205" w:rsidRDefault="00233205" w:rsidP="00FB1954">
      <w:pPr>
        <w:spacing w:after="0" w:line="240" w:lineRule="auto"/>
        <w:jc w:val="both"/>
        <w:rPr>
          <w:lang w:eastAsia="es-MX"/>
        </w:rPr>
      </w:pPr>
    </w:p>
    <w:p w:rsidR="00233205" w:rsidRDefault="00233205" w:rsidP="00FB1954">
      <w:pPr>
        <w:spacing w:after="0" w:line="240" w:lineRule="auto"/>
        <w:jc w:val="both"/>
        <w:rPr>
          <w:lang w:eastAsia="es-MX"/>
        </w:rPr>
      </w:pPr>
    </w:p>
    <w:p w:rsidR="00233205" w:rsidRDefault="00233205" w:rsidP="00FB1954">
      <w:pPr>
        <w:spacing w:after="0" w:line="240" w:lineRule="auto"/>
        <w:jc w:val="both"/>
        <w:rPr>
          <w:lang w:eastAsia="es-MX"/>
        </w:rPr>
      </w:pPr>
    </w:p>
    <w:p w:rsidR="00233205" w:rsidRDefault="00233205" w:rsidP="00FB1954">
      <w:pPr>
        <w:spacing w:after="0" w:line="240" w:lineRule="auto"/>
        <w:jc w:val="both"/>
        <w:rPr>
          <w:lang w:eastAsia="es-MX"/>
        </w:rPr>
      </w:pPr>
    </w:p>
    <w:p w:rsidR="00233205" w:rsidRDefault="00233205" w:rsidP="00FB1954">
      <w:pPr>
        <w:spacing w:after="0" w:line="240" w:lineRule="auto"/>
        <w:jc w:val="both"/>
        <w:rPr>
          <w:lang w:eastAsia="es-MX"/>
        </w:rPr>
      </w:pPr>
    </w:p>
    <w:p w:rsidR="00233205" w:rsidRDefault="00233205" w:rsidP="00FB1954">
      <w:pPr>
        <w:spacing w:after="0" w:line="240" w:lineRule="auto"/>
        <w:jc w:val="both"/>
        <w:rPr>
          <w:lang w:eastAsia="es-MX"/>
        </w:rPr>
      </w:pPr>
    </w:p>
    <w:p w:rsidR="00233205" w:rsidRDefault="00233205" w:rsidP="00FB1954">
      <w:pPr>
        <w:spacing w:after="0" w:line="240" w:lineRule="auto"/>
        <w:jc w:val="both"/>
        <w:rPr>
          <w:lang w:eastAsia="es-MX"/>
        </w:rPr>
      </w:pPr>
    </w:p>
    <w:p w:rsidR="00233205" w:rsidRDefault="00233205" w:rsidP="00FB1954">
      <w:pPr>
        <w:spacing w:after="0" w:line="240" w:lineRule="auto"/>
        <w:jc w:val="both"/>
        <w:rPr>
          <w:lang w:eastAsia="es-MX"/>
        </w:rPr>
      </w:pPr>
    </w:p>
    <w:p w:rsidR="00233205" w:rsidRDefault="00233205" w:rsidP="00FB1954">
      <w:pPr>
        <w:spacing w:after="0" w:line="240" w:lineRule="auto"/>
        <w:jc w:val="both"/>
        <w:rPr>
          <w:lang w:eastAsia="es-MX"/>
        </w:rPr>
      </w:pPr>
    </w:p>
    <w:p w:rsidR="00233205" w:rsidRDefault="00233205" w:rsidP="00FB1954">
      <w:pPr>
        <w:spacing w:after="0" w:line="240" w:lineRule="auto"/>
        <w:jc w:val="both"/>
        <w:rPr>
          <w:lang w:eastAsia="es-MX"/>
        </w:rPr>
      </w:pPr>
    </w:p>
    <w:p w:rsidR="00233205" w:rsidRDefault="00233205" w:rsidP="00FB1954">
      <w:pPr>
        <w:spacing w:after="0" w:line="240" w:lineRule="auto"/>
        <w:jc w:val="both"/>
        <w:rPr>
          <w:lang w:eastAsia="es-MX"/>
        </w:rPr>
      </w:pPr>
    </w:p>
    <w:p w:rsidR="00233205" w:rsidRDefault="00233205" w:rsidP="00FB1954">
      <w:pPr>
        <w:spacing w:after="0" w:line="240" w:lineRule="auto"/>
        <w:jc w:val="both"/>
        <w:rPr>
          <w:lang w:eastAsia="es-MX"/>
        </w:rPr>
      </w:pPr>
    </w:p>
    <w:p w:rsidR="00233205" w:rsidRDefault="00233205" w:rsidP="00FB1954">
      <w:pPr>
        <w:spacing w:after="0" w:line="240" w:lineRule="auto"/>
        <w:jc w:val="both"/>
        <w:rPr>
          <w:lang w:eastAsia="es-MX"/>
        </w:rPr>
      </w:pPr>
    </w:p>
    <w:p w:rsidR="00233205" w:rsidRDefault="00233205" w:rsidP="00FB1954">
      <w:pPr>
        <w:spacing w:after="0" w:line="240" w:lineRule="auto"/>
        <w:jc w:val="both"/>
        <w:rPr>
          <w:lang w:eastAsia="es-MX"/>
        </w:rPr>
      </w:pPr>
    </w:p>
    <w:p w:rsidR="00233205" w:rsidRDefault="00233205" w:rsidP="00FB1954">
      <w:pPr>
        <w:spacing w:after="0" w:line="240" w:lineRule="auto"/>
        <w:jc w:val="both"/>
        <w:rPr>
          <w:lang w:eastAsia="es-MX"/>
        </w:rPr>
      </w:pPr>
    </w:p>
    <w:p w:rsidR="00233205" w:rsidRDefault="00233205" w:rsidP="00FB1954">
      <w:pPr>
        <w:spacing w:after="0" w:line="240" w:lineRule="auto"/>
        <w:jc w:val="both"/>
        <w:rPr>
          <w:lang w:eastAsia="es-MX"/>
        </w:rPr>
      </w:pPr>
    </w:p>
    <w:p w:rsidR="00233205" w:rsidRDefault="00233205" w:rsidP="00FB1954">
      <w:pPr>
        <w:spacing w:after="0" w:line="240" w:lineRule="auto"/>
        <w:jc w:val="both"/>
        <w:rPr>
          <w:lang w:eastAsia="es-MX"/>
        </w:rPr>
      </w:pPr>
    </w:p>
    <w:p w:rsidR="00233205" w:rsidRDefault="00233205" w:rsidP="00FB1954">
      <w:pPr>
        <w:spacing w:after="0" w:line="240" w:lineRule="auto"/>
        <w:jc w:val="both"/>
        <w:rPr>
          <w:lang w:eastAsia="es-MX"/>
        </w:rPr>
        <w:sectPr w:rsidR="00233205" w:rsidSect="001852A9">
          <w:headerReference w:type="default" r:id="rId12"/>
          <w:footerReference w:type="even" r:id="rId13"/>
          <w:footerReference w:type="default" r:id="rId14"/>
          <w:type w:val="continuous"/>
          <w:pgSz w:w="12242" w:h="15842"/>
          <w:pgMar w:top="1304" w:right="1134" w:bottom="1134" w:left="1134" w:header="567" w:footer="567" w:gutter="0"/>
          <w:pgBorders w:display="firstPage">
            <w:top w:val="single" w:sz="4" w:space="1" w:color="244061" w:themeColor="accent1" w:themeShade="80" w:shadow="1"/>
            <w:left w:val="single" w:sz="4" w:space="4" w:color="244061" w:themeColor="accent1" w:themeShade="80" w:shadow="1"/>
            <w:bottom w:val="single" w:sz="4" w:space="1" w:color="244061" w:themeColor="accent1" w:themeShade="80" w:shadow="1"/>
            <w:right w:val="single" w:sz="4" w:space="4" w:color="244061" w:themeColor="accent1" w:themeShade="80" w:shadow="1"/>
          </w:pgBorders>
          <w:pgNumType w:start="1"/>
          <w:cols w:space="720"/>
          <w:titlePg/>
          <w:docGrid w:linePitch="299"/>
        </w:sectPr>
      </w:pPr>
    </w:p>
    <w:p w:rsidR="00233205" w:rsidRDefault="00233205" w:rsidP="00FB1954">
      <w:pPr>
        <w:spacing w:after="0" w:line="240" w:lineRule="auto"/>
        <w:jc w:val="both"/>
        <w:rPr>
          <w:lang w:eastAsia="es-MX"/>
        </w:rPr>
      </w:pPr>
    </w:p>
    <w:p w:rsidR="00233205" w:rsidRDefault="00233205" w:rsidP="00FB1954">
      <w:pPr>
        <w:spacing w:after="0" w:line="240" w:lineRule="auto"/>
        <w:jc w:val="both"/>
        <w:rPr>
          <w:lang w:eastAsia="es-MX"/>
        </w:rPr>
      </w:pPr>
    </w:p>
    <w:p w:rsidR="00233205" w:rsidRDefault="00233205" w:rsidP="00FB1954">
      <w:pPr>
        <w:spacing w:after="0" w:line="240" w:lineRule="auto"/>
        <w:jc w:val="both"/>
        <w:rPr>
          <w:lang w:eastAsia="es-MX"/>
        </w:rPr>
      </w:pPr>
    </w:p>
    <w:p w:rsidR="00233205" w:rsidRDefault="00233205" w:rsidP="00FB1954">
      <w:pPr>
        <w:spacing w:after="0" w:line="240" w:lineRule="auto"/>
        <w:jc w:val="both"/>
        <w:rPr>
          <w:lang w:eastAsia="es-MX"/>
        </w:rPr>
      </w:pPr>
    </w:p>
    <w:p w:rsidR="00233205" w:rsidRDefault="00233205" w:rsidP="00FB1954">
      <w:pPr>
        <w:spacing w:after="0" w:line="240" w:lineRule="auto"/>
        <w:jc w:val="both"/>
        <w:rPr>
          <w:lang w:eastAsia="es-MX"/>
        </w:rPr>
      </w:pPr>
    </w:p>
    <w:p w:rsidR="00233205" w:rsidRDefault="00233205" w:rsidP="00FB1954">
      <w:pPr>
        <w:spacing w:after="0" w:line="240" w:lineRule="auto"/>
        <w:jc w:val="both"/>
        <w:rPr>
          <w:lang w:eastAsia="es-MX"/>
        </w:rPr>
      </w:pPr>
    </w:p>
    <w:p w:rsidR="00233205" w:rsidRDefault="00233205" w:rsidP="00FB1954">
      <w:pPr>
        <w:spacing w:after="0" w:line="240" w:lineRule="auto"/>
        <w:jc w:val="both"/>
        <w:rPr>
          <w:lang w:eastAsia="es-MX"/>
        </w:rPr>
      </w:pPr>
    </w:p>
    <w:p w:rsidR="00233205" w:rsidRDefault="00233205" w:rsidP="00FB1954">
      <w:pPr>
        <w:spacing w:after="0" w:line="240" w:lineRule="auto"/>
        <w:jc w:val="both"/>
        <w:rPr>
          <w:lang w:eastAsia="es-MX"/>
        </w:rPr>
      </w:pPr>
    </w:p>
    <w:p w:rsidR="00233205" w:rsidRDefault="00233205" w:rsidP="00FB1954">
      <w:pPr>
        <w:spacing w:after="0" w:line="240" w:lineRule="auto"/>
        <w:jc w:val="both"/>
        <w:rPr>
          <w:lang w:eastAsia="es-MX"/>
        </w:rPr>
      </w:pPr>
    </w:p>
    <w:p w:rsidR="00233205" w:rsidRDefault="00233205" w:rsidP="00FB1954">
      <w:pPr>
        <w:spacing w:after="0" w:line="240" w:lineRule="auto"/>
        <w:jc w:val="both"/>
        <w:rPr>
          <w:lang w:eastAsia="es-MX"/>
        </w:rPr>
      </w:pPr>
    </w:p>
    <w:p w:rsidR="00233205" w:rsidRDefault="00233205" w:rsidP="00FB1954">
      <w:pPr>
        <w:spacing w:after="0" w:line="240" w:lineRule="auto"/>
        <w:jc w:val="both"/>
        <w:rPr>
          <w:lang w:eastAsia="es-MX"/>
        </w:rPr>
        <w:sectPr w:rsidR="00233205" w:rsidSect="001852A9">
          <w:type w:val="continuous"/>
          <w:pgSz w:w="12242" w:h="15842"/>
          <w:pgMar w:top="1304" w:right="1134" w:bottom="1134" w:left="1134" w:header="567" w:footer="567" w:gutter="0"/>
          <w:pgBorders w:display="firstPage">
            <w:top w:val="single" w:sz="4" w:space="1" w:color="244061" w:themeColor="accent1" w:themeShade="80" w:shadow="1"/>
            <w:left w:val="single" w:sz="4" w:space="4" w:color="244061" w:themeColor="accent1" w:themeShade="80" w:shadow="1"/>
            <w:bottom w:val="single" w:sz="4" w:space="1" w:color="244061" w:themeColor="accent1" w:themeShade="80" w:shadow="1"/>
            <w:right w:val="single" w:sz="4" w:space="4" w:color="244061" w:themeColor="accent1" w:themeShade="80" w:shadow="1"/>
          </w:pgBorders>
          <w:pgNumType w:start="1"/>
          <w:cols w:space="720"/>
          <w:titlePg/>
          <w:docGrid w:linePitch="299"/>
        </w:sectPr>
      </w:pPr>
    </w:p>
    <w:p w:rsidR="00233205" w:rsidRPr="00B36377" w:rsidRDefault="00233205" w:rsidP="00233205">
      <w:pPr>
        <w:pStyle w:val="NoSpacing"/>
        <w:jc w:val="center"/>
        <w:rPr>
          <w:color w:val="365F91" w:themeColor="accent1" w:themeShade="BF"/>
          <w:sz w:val="52"/>
          <w:szCs w:val="52"/>
          <w:lang w:val="es-ES_tradnl"/>
        </w:rPr>
      </w:pPr>
      <w:r w:rsidRPr="00B36377">
        <w:rPr>
          <w:color w:val="365F91" w:themeColor="accent1" w:themeShade="BF"/>
          <w:sz w:val="52"/>
          <w:szCs w:val="52"/>
          <w:lang w:val="es-ES_tradnl"/>
        </w:rPr>
        <w:lastRenderedPageBreak/>
        <w:t>Anexo A</w:t>
      </w:r>
    </w:p>
    <w:p w:rsidR="00233205" w:rsidRPr="00B36377" w:rsidRDefault="00233205" w:rsidP="00233205">
      <w:pPr>
        <w:pStyle w:val="NoSpacing"/>
        <w:jc w:val="center"/>
        <w:rPr>
          <w:color w:val="365F91" w:themeColor="accent1" w:themeShade="BF"/>
          <w:sz w:val="52"/>
          <w:szCs w:val="52"/>
          <w:lang w:val="es-ES_tradnl"/>
        </w:rPr>
      </w:pPr>
      <w:r w:rsidRPr="00B36377">
        <w:rPr>
          <w:color w:val="365F91" w:themeColor="accent1" w:themeShade="BF"/>
          <w:sz w:val="52"/>
          <w:szCs w:val="52"/>
          <w:lang w:val="es-ES_tradnl"/>
        </w:rPr>
        <w:t>Plan de Acción</w:t>
      </w:r>
    </w:p>
    <w:p w:rsidR="00233205" w:rsidRPr="00B36377" w:rsidRDefault="00233205" w:rsidP="00233205">
      <w:pPr>
        <w:spacing w:after="0" w:line="240" w:lineRule="auto"/>
        <w:jc w:val="both"/>
        <w:rPr>
          <w:szCs w:val="20"/>
        </w:rPr>
      </w:pPr>
    </w:p>
    <w:p w:rsidR="00233205" w:rsidRPr="00B36377" w:rsidRDefault="00233205" w:rsidP="00233205">
      <w:pPr>
        <w:spacing w:after="0" w:line="240" w:lineRule="auto"/>
        <w:jc w:val="both"/>
        <w:rPr>
          <w:szCs w:val="20"/>
        </w:rPr>
      </w:pPr>
    </w:p>
    <w:p w:rsidR="00233205" w:rsidRPr="00B36377" w:rsidRDefault="00233205" w:rsidP="00233205">
      <w:pPr>
        <w:spacing w:after="0" w:line="240" w:lineRule="auto"/>
        <w:jc w:val="both"/>
        <w:rPr>
          <w:szCs w:val="20"/>
        </w:rPr>
      </w:pPr>
      <w:r w:rsidRPr="00B36377">
        <w:rPr>
          <w:szCs w:val="20"/>
        </w:rPr>
        <w:t xml:space="preserve">En este anexo se describen las oportunidades de mejora identificadas a partir del diagnóstico realizado. En la primera parte, se presenta un resumen de las principales acciones recomendadas que buscan incidir en el corto plazo sobre el desempeño de la CGRC. En la segunda parte, se presenta el Plan de Acción detallado, que contiene los resultados que soportan las acciones sugeridas, los resultados esperados, responsables, el plazo de tiempo para su implementación y los medios de verificación recomendados. </w:t>
      </w:r>
    </w:p>
    <w:p w:rsidR="00233205" w:rsidRPr="00B36377" w:rsidRDefault="00233205" w:rsidP="00233205">
      <w:pPr>
        <w:spacing w:after="0" w:line="240" w:lineRule="auto"/>
        <w:jc w:val="both"/>
        <w:rPr>
          <w:szCs w:val="20"/>
        </w:rPr>
      </w:pPr>
    </w:p>
    <w:p w:rsidR="00233205" w:rsidRPr="00B36377" w:rsidRDefault="00233205" w:rsidP="00233205">
      <w:pPr>
        <w:spacing w:after="0" w:line="240" w:lineRule="auto"/>
        <w:jc w:val="both"/>
        <w:rPr>
          <w:szCs w:val="20"/>
        </w:rPr>
      </w:pPr>
    </w:p>
    <w:p w:rsidR="00233205" w:rsidRPr="00B36377" w:rsidRDefault="00233205" w:rsidP="00233205">
      <w:pPr>
        <w:pStyle w:val="ListParagraph"/>
        <w:numPr>
          <w:ilvl w:val="0"/>
          <w:numId w:val="100"/>
        </w:numPr>
        <w:spacing w:after="0" w:line="240" w:lineRule="auto"/>
        <w:jc w:val="both"/>
        <w:rPr>
          <w:b/>
          <w:bCs/>
          <w:smallCaps/>
          <w:color w:val="365F91" w:themeColor="accent1" w:themeShade="BF"/>
          <w:sz w:val="24"/>
          <w:szCs w:val="20"/>
        </w:rPr>
      </w:pPr>
      <w:r w:rsidRPr="00B36377">
        <w:rPr>
          <w:b/>
          <w:bCs/>
          <w:smallCaps/>
          <w:color w:val="365F91" w:themeColor="accent1" w:themeShade="BF"/>
          <w:sz w:val="24"/>
          <w:szCs w:val="20"/>
        </w:rPr>
        <w:t>Resumen de las principales Acciones Recomendadas</w:t>
      </w:r>
    </w:p>
    <w:p w:rsidR="00233205" w:rsidRPr="00B36377" w:rsidRDefault="00233205" w:rsidP="00233205">
      <w:pPr>
        <w:pStyle w:val="ListParagraph"/>
        <w:spacing w:after="0" w:line="240" w:lineRule="auto"/>
        <w:ind w:left="360"/>
        <w:jc w:val="both"/>
        <w:rPr>
          <w:b/>
          <w:bCs/>
          <w:smallCaps/>
          <w:color w:val="365F91" w:themeColor="accent1" w:themeShade="BF"/>
          <w:sz w:val="24"/>
          <w:szCs w:val="20"/>
        </w:rPr>
      </w:pPr>
    </w:p>
    <w:p w:rsidR="00233205" w:rsidRPr="00B36377" w:rsidRDefault="00233205" w:rsidP="00233205">
      <w:pPr>
        <w:pStyle w:val="ListParagraph"/>
        <w:numPr>
          <w:ilvl w:val="0"/>
          <w:numId w:val="99"/>
        </w:numPr>
        <w:spacing w:after="0"/>
        <w:jc w:val="both"/>
        <w:rPr>
          <w:szCs w:val="20"/>
        </w:rPr>
      </w:pPr>
      <w:r w:rsidRPr="00B36377">
        <w:rPr>
          <w:b/>
          <w:szCs w:val="20"/>
        </w:rPr>
        <w:t xml:space="preserve">Marco Técnico ajustado a los estándares internacionales. </w:t>
      </w:r>
      <w:r w:rsidRPr="00B36377">
        <w:rPr>
          <w:szCs w:val="20"/>
        </w:rPr>
        <w:t>Por las debilidades identificadas en el Marco Técnico, especialmente la necesidad de ajustarlo a los estándares internacionales y mejores prácticas para que sirva de medio para asegurar un desempeño apropiado a las necesidades de los grupos de interés, en general se sugiere diseñar e implantar Marco Rector del Control Externo (MRCE), o Sistema de Auditoria Gubernamental de Colombia, (SAGCO) el cual estaría compuesto por:</w:t>
      </w:r>
    </w:p>
    <w:p w:rsidR="00233205" w:rsidRPr="00B36377" w:rsidRDefault="00233205" w:rsidP="00233205">
      <w:pPr>
        <w:pStyle w:val="ListParagraph"/>
        <w:spacing w:after="0"/>
        <w:ind w:left="360"/>
        <w:jc w:val="both"/>
        <w:rPr>
          <w:szCs w:val="20"/>
        </w:rPr>
      </w:pPr>
    </w:p>
    <w:p w:rsidR="00233205" w:rsidRPr="00B36377" w:rsidRDefault="00233205" w:rsidP="00233205">
      <w:pPr>
        <w:pStyle w:val="ListParagraph"/>
        <w:numPr>
          <w:ilvl w:val="0"/>
          <w:numId w:val="98"/>
        </w:numPr>
        <w:spacing w:after="0"/>
        <w:jc w:val="both"/>
        <w:rPr>
          <w:szCs w:val="20"/>
        </w:rPr>
      </w:pPr>
      <w:r w:rsidRPr="00B36377">
        <w:rPr>
          <w:szCs w:val="20"/>
        </w:rPr>
        <w:t xml:space="preserve">Un Módulo relacionado con el </w:t>
      </w:r>
      <w:r w:rsidRPr="00B36377">
        <w:rPr>
          <w:b/>
          <w:szCs w:val="20"/>
        </w:rPr>
        <w:t>Marco Legal</w:t>
      </w:r>
      <w:r w:rsidRPr="00B36377">
        <w:rPr>
          <w:szCs w:val="20"/>
        </w:rPr>
        <w:t xml:space="preserve"> del cual provienen todos los demás instrumentos de gestión de la CGRC. Este módulo contemplaría los aspectos principales requeridos por el nivel 1 y 2 de las ISSAI.</w:t>
      </w:r>
    </w:p>
    <w:p w:rsidR="00233205" w:rsidRPr="00B36377" w:rsidRDefault="00233205" w:rsidP="00233205">
      <w:pPr>
        <w:pStyle w:val="ListParagraph"/>
        <w:numPr>
          <w:ilvl w:val="0"/>
          <w:numId w:val="98"/>
        </w:numPr>
        <w:spacing w:after="0"/>
        <w:jc w:val="both"/>
        <w:rPr>
          <w:szCs w:val="20"/>
        </w:rPr>
      </w:pPr>
      <w:r w:rsidRPr="00B36377">
        <w:rPr>
          <w:szCs w:val="20"/>
        </w:rPr>
        <w:t xml:space="preserve">Un Módulo denominado </w:t>
      </w:r>
      <w:r w:rsidRPr="00B36377">
        <w:rPr>
          <w:b/>
          <w:szCs w:val="20"/>
        </w:rPr>
        <w:t>Manual de Auditoria Gubernamental</w:t>
      </w:r>
      <w:r w:rsidRPr="00B36377">
        <w:rPr>
          <w:szCs w:val="20"/>
        </w:rPr>
        <w:t xml:space="preserve"> (MAG), que contenga los aspectos técnicos transversales a cualquier tipo de intervención de Auditoria Gubernamental (mencionado por la ISSAI 100 del nivel 3).</w:t>
      </w:r>
    </w:p>
    <w:p w:rsidR="00233205" w:rsidRPr="00B36377" w:rsidRDefault="00233205" w:rsidP="00233205">
      <w:pPr>
        <w:pStyle w:val="ListParagraph"/>
        <w:numPr>
          <w:ilvl w:val="0"/>
          <w:numId w:val="98"/>
        </w:numPr>
        <w:spacing w:after="0"/>
        <w:jc w:val="both"/>
        <w:rPr>
          <w:szCs w:val="20"/>
        </w:rPr>
      </w:pPr>
      <w:r w:rsidRPr="00B36377">
        <w:rPr>
          <w:szCs w:val="20"/>
        </w:rPr>
        <w:t xml:space="preserve">Un Módulo denominado </w:t>
      </w:r>
      <w:r w:rsidRPr="00B36377">
        <w:rPr>
          <w:b/>
          <w:szCs w:val="20"/>
        </w:rPr>
        <w:t>Guía de Auditoria Financiera</w:t>
      </w:r>
      <w:r w:rsidRPr="00B36377">
        <w:rPr>
          <w:szCs w:val="20"/>
        </w:rPr>
        <w:t xml:space="preserve"> (GAF)  el cual,  como su nombre lo indica,  se ocuparía de los temas relacionados a la metodología para practicar Auditorías Financieras (requeridos por ISSAI 200 del nivel 3 y los lineamientos técnicos de la serie ISSAI 2000).</w:t>
      </w:r>
    </w:p>
    <w:p w:rsidR="00233205" w:rsidRPr="00B36377" w:rsidRDefault="00233205" w:rsidP="00233205">
      <w:pPr>
        <w:pStyle w:val="ListParagraph"/>
        <w:numPr>
          <w:ilvl w:val="0"/>
          <w:numId w:val="98"/>
        </w:numPr>
        <w:spacing w:after="0"/>
        <w:jc w:val="both"/>
        <w:rPr>
          <w:szCs w:val="20"/>
        </w:rPr>
      </w:pPr>
      <w:r w:rsidRPr="00B36377">
        <w:rPr>
          <w:szCs w:val="20"/>
        </w:rPr>
        <w:t xml:space="preserve">Un Módulo denominado </w:t>
      </w:r>
      <w:r w:rsidRPr="00B36377">
        <w:rPr>
          <w:b/>
          <w:szCs w:val="20"/>
        </w:rPr>
        <w:t>Guía de Auditoría de Desempeño</w:t>
      </w:r>
      <w:r w:rsidRPr="00B36377">
        <w:rPr>
          <w:szCs w:val="20"/>
        </w:rPr>
        <w:t xml:space="preserve"> (GAD) incorporando lo relacionado a la metodología para practicar Auditorías de Desempeño (citado por ISSAI 300 del nivel 3 y los lineamientos  técnicos de la serie ISSAI 3000).</w:t>
      </w:r>
    </w:p>
    <w:p w:rsidR="00233205" w:rsidRPr="00B36377" w:rsidRDefault="00233205" w:rsidP="00233205">
      <w:pPr>
        <w:pStyle w:val="ListParagraph"/>
        <w:numPr>
          <w:ilvl w:val="0"/>
          <w:numId w:val="98"/>
        </w:numPr>
        <w:spacing w:after="0"/>
        <w:jc w:val="both"/>
        <w:rPr>
          <w:szCs w:val="20"/>
        </w:rPr>
      </w:pPr>
      <w:r w:rsidRPr="00B36377">
        <w:rPr>
          <w:szCs w:val="20"/>
        </w:rPr>
        <w:t xml:space="preserve">Un Módulo denominado </w:t>
      </w:r>
      <w:r w:rsidRPr="00B36377">
        <w:rPr>
          <w:b/>
          <w:szCs w:val="20"/>
        </w:rPr>
        <w:t>Guía de Auditoría de Cumplimiento</w:t>
      </w:r>
      <w:r w:rsidRPr="00B36377">
        <w:rPr>
          <w:szCs w:val="20"/>
        </w:rPr>
        <w:t xml:space="preserve"> (GAC), comprende lo relacionado a la metodología para practicar Auditorías de Cumplimiento (establecido por ISSAI 400 del nivel 3 y los lineamientos técnicos de la serie ISSAI 4000).</w:t>
      </w:r>
    </w:p>
    <w:p w:rsidR="00233205" w:rsidRPr="00B36377" w:rsidRDefault="00233205" w:rsidP="00233205">
      <w:pPr>
        <w:pStyle w:val="ListParagraph"/>
        <w:numPr>
          <w:ilvl w:val="0"/>
          <w:numId w:val="98"/>
        </w:numPr>
        <w:spacing w:after="0"/>
        <w:jc w:val="both"/>
        <w:rPr>
          <w:szCs w:val="20"/>
        </w:rPr>
      </w:pPr>
      <w:r w:rsidRPr="00B36377">
        <w:rPr>
          <w:szCs w:val="20"/>
        </w:rPr>
        <w:t xml:space="preserve">Un Módulo denominado </w:t>
      </w:r>
      <w:r w:rsidRPr="00B36377">
        <w:rPr>
          <w:b/>
          <w:szCs w:val="20"/>
        </w:rPr>
        <w:t>Guía para Investigación Forense</w:t>
      </w:r>
      <w:r w:rsidRPr="00B36377">
        <w:rPr>
          <w:szCs w:val="20"/>
        </w:rPr>
        <w:t xml:space="preserve"> (GIF) el cual, se ocuparía de los aspectos relacionados con las investigaciones sobre presuntas conductas irregulares, que genéricamente también se conocen como presuntos fraudes y actos corruptos (Aspectos técnicos recomendados en las mejores prácticas, entre otros, la Asociación de Examinadores Certificados de Fraude de los Estados Unidos).</w:t>
      </w:r>
    </w:p>
    <w:p w:rsidR="00233205" w:rsidRPr="00B36377" w:rsidRDefault="00233205" w:rsidP="00233205">
      <w:pPr>
        <w:pStyle w:val="ListParagraph"/>
        <w:spacing w:after="0"/>
        <w:jc w:val="both"/>
        <w:rPr>
          <w:szCs w:val="20"/>
        </w:rPr>
      </w:pPr>
    </w:p>
    <w:p w:rsidR="00233205" w:rsidRPr="00B36377" w:rsidRDefault="00233205" w:rsidP="00233205">
      <w:pPr>
        <w:pStyle w:val="ListParagraph"/>
        <w:numPr>
          <w:ilvl w:val="0"/>
          <w:numId w:val="98"/>
        </w:numPr>
        <w:spacing w:after="0"/>
        <w:jc w:val="both"/>
        <w:rPr>
          <w:szCs w:val="20"/>
        </w:rPr>
      </w:pPr>
      <w:r w:rsidRPr="00B36377">
        <w:rPr>
          <w:szCs w:val="20"/>
        </w:rPr>
        <w:lastRenderedPageBreak/>
        <w:t xml:space="preserve">Un Módulo denominado </w:t>
      </w:r>
      <w:r w:rsidRPr="00B36377">
        <w:rPr>
          <w:b/>
          <w:szCs w:val="20"/>
        </w:rPr>
        <w:t>Guía para Análisis Macroeconómico</w:t>
      </w:r>
      <w:r w:rsidRPr="00B36377">
        <w:rPr>
          <w:szCs w:val="20"/>
        </w:rPr>
        <w:t xml:space="preserve"> y otros análisis (GAM), el cual se ocuparía de las actuales actividades del Control Macro y se expandiría a otras necesidades de exámenes de la gestión financiera pública colombiana, en un nivel macro económico más allá del alcance de la Auditoría Financiera.  Este módulo se basaría en mejores prácticas de análisis macro-económico y financiero, proveniente de fuentes como OCDE, FMI, etc.</w:t>
      </w:r>
    </w:p>
    <w:p w:rsidR="00233205" w:rsidRPr="00B36377" w:rsidRDefault="00233205" w:rsidP="00233205">
      <w:pPr>
        <w:pStyle w:val="ListParagraph"/>
        <w:spacing w:after="0"/>
        <w:jc w:val="both"/>
        <w:rPr>
          <w:sz w:val="24"/>
        </w:rPr>
      </w:pPr>
    </w:p>
    <w:p w:rsidR="00233205" w:rsidRPr="00B36377" w:rsidRDefault="00233205" w:rsidP="00233205">
      <w:pPr>
        <w:pStyle w:val="ListParagraph"/>
        <w:numPr>
          <w:ilvl w:val="0"/>
          <w:numId w:val="99"/>
        </w:numPr>
        <w:spacing w:after="0"/>
        <w:jc w:val="both"/>
        <w:rPr>
          <w:szCs w:val="20"/>
        </w:rPr>
      </w:pPr>
      <w:r w:rsidRPr="00B36377">
        <w:rPr>
          <w:b/>
          <w:szCs w:val="20"/>
        </w:rPr>
        <w:t xml:space="preserve">Actualización Sistema de Capacitación. </w:t>
      </w:r>
      <w:r w:rsidRPr="00B36377">
        <w:rPr>
          <w:szCs w:val="20"/>
        </w:rPr>
        <w:t xml:space="preserve">Capacitación sobre las </w:t>
      </w:r>
      <w:proofErr w:type="spellStart"/>
      <w:r w:rsidRPr="00B36377">
        <w:rPr>
          <w:szCs w:val="20"/>
        </w:rPr>
        <w:t>ISSAIs</w:t>
      </w:r>
      <w:proofErr w:type="spellEnd"/>
      <w:r w:rsidRPr="00B36377">
        <w:rPr>
          <w:szCs w:val="20"/>
        </w:rPr>
        <w:t xml:space="preserve"> y otras mejores prácticas, para proporcionar a los auditores los conocimientos prácticos y teóricos acerca del proceso auditor durante las etapas de planificación, ejecución, y finalización, así como su relación con cada una de las Normas Internacionales de Auditoria aplicables. Así mismo, este proceso de revisión y actualización sería útil para brindar a los auditores la información y capacitación necesaria en torno a los tipos de resultado  que pueden alcanzarse  en una auditoría gubernamental. La implementación de esta acción contribuirá a tener personal capacitado y con la pericia necesaria para llevar a cabo los distintos tipos de auditorías, desarrollar los procedimientos establecidos en las Normas internacionales y reducir el tiempo invertido en el proceso auditor.</w:t>
      </w:r>
    </w:p>
    <w:p w:rsidR="00233205" w:rsidRPr="00B36377" w:rsidRDefault="00233205" w:rsidP="00233205">
      <w:pPr>
        <w:pStyle w:val="ListParagraph"/>
        <w:spacing w:after="0"/>
        <w:ind w:left="360"/>
        <w:jc w:val="both"/>
        <w:rPr>
          <w:b/>
          <w:szCs w:val="20"/>
          <w:u w:val="single"/>
        </w:rPr>
      </w:pPr>
    </w:p>
    <w:p w:rsidR="00233205" w:rsidRPr="00B36377" w:rsidRDefault="00233205" w:rsidP="00233205">
      <w:pPr>
        <w:pStyle w:val="ListParagraph"/>
        <w:numPr>
          <w:ilvl w:val="0"/>
          <w:numId w:val="99"/>
        </w:numPr>
        <w:spacing w:after="0"/>
        <w:jc w:val="both"/>
        <w:rPr>
          <w:szCs w:val="20"/>
        </w:rPr>
      </w:pPr>
      <w:r w:rsidRPr="00B36377">
        <w:rPr>
          <w:b/>
          <w:szCs w:val="20"/>
        </w:rPr>
        <w:t xml:space="preserve">Sistema de Calidad Técnica. </w:t>
      </w:r>
      <w:r w:rsidRPr="00B36377">
        <w:rPr>
          <w:szCs w:val="20"/>
        </w:rPr>
        <w:t>Implementar procesos de revisión de calidad internos y externos a las auditorias realizada por la CGRC. Actualmente la CGRC no cuenta con un Sistema de Control de Calidad independiente a través del cual por lo menos una vez al año, se les asigne a auditores experimentados una muestra de auditorías cerradas (en las cuales no hayan participado) para que realicen un proceso de control de calidad independiente. La Guía de Auditoría no establece procedimientos para el aseguramiento de calidad, ya sea por medio de revisiones externas, entre pares (otras Contralorías) o llevadas a cabo por directores de las Contralorías Delegadas, solamente incluye una sección que hace énfasis en la importancia de que los equipos de auditores se aseguren de cumplir con los estándares de calidad ISO que requiere la CGRC. La falta de revisión de la calidad de las auditorías,  incrementa el riesgo de que se incumplan las Normas de Auditoría Internacionales y de que los procedimientos realizados por los equipos auditores no tengan la evidencia suficiente para sustentar los resultados de las intervenciones de la CGRC. Esta acción además de contribuir a elevar la calidad efectiva y demostrable de la CGRC, se ajustaría a lo previsto en las ISSAI.</w:t>
      </w:r>
    </w:p>
    <w:p w:rsidR="00233205" w:rsidRPr="00B36377" w:rsidRDefault="00233205" w:rsidP="00233205">
      <w:pPr>
        <w:pStyle w:val="ListParagraph"/>
        <w:spacing w:after="0"/>
        <w:ind w:left="360"/>
        <w:jc w:val="both"/>
        <w:rPr>
          <w:szCs w:val="20"/>
        </w:rPr>
      </w:pPr>
    </w:p>
    <w:p w:rsidR="00233205" w:rsidRPr="00B36377" w:rsidRDefault="00233205" w:rsidP="00233205">
      <w:pPr>
        <w:pStyle w:val="ListParagraph"/>
        <w:numPr>
          <w:ilvl w:val="0"/>
          <w:numId w:val="99"/>
        </w:numPr>
        <w:spacing w:after="0"/>
        <w:jc w:val="both"/>
        <w:rPr>
          <w:szCs w:val="20"/>
        </w:rPr>
      </w:pPr>
      <w:r w:rsidRPr="00B36377">
        <w:rPr>
          <w:b/>
          <w:szCs w:val="20"/>
        </w:rPr>
        <w:t xml:space="preserve">Administración de los trabajos de Auditoría Gubernamental. </w:t>
      </w:r>
      <w:r w:rsidRPr="00B36377">
        <w:rPr>
          <w:szCs w:val="20"/>
        </w:rPr>
        <w:t>Fortalecer el Plan de Vigilancia y Control Fiscal para incluir diversos aspectos, tales como un presupuesto que incluya las horas de trabajo y los costos estimados, así como un cronograma que proyecte el recurso humano o financiero necesario para cumplir con lo planificado, las acciones a ser tomadas en caso de retrasos en las auditorías planificadas y una programación más específica de la estrategia de auditoría, para llevar a cabo las auditorías micro y macro. La implementación de esta acción permitirá un proceso de planificación más coordinado que permita alcanzar los objetivos establecidos. También promoverá el involucramiento oportuno de los equipos auditores para que estén enterados de sus asignaciones y de los recursos necesarios para llevar a cabo su trabajo, así como una mejor coordinación entre la Delegada de Economía y Finanzas y los equipos auditores al definir con mayor detalle su involucramiento en las auditorías macro. Esta acción se podrá nutrir del Sistema de Auditoría Gubernamental propuesto en el literal A, anterior.</w:t>
      </w:r>
    </w:p>
    <w:p w:rsidR="00233205" w:rsidRPr="00B36377" w:rsidRDefault="00233205" w:rsidP="00233205">
      <w:pPr>
        <w:pStyle w:val="ListParagraph"/>
        <w:numPr>
          <w:ilvl w:val="0"/>
          <w:numId w:val="99"/>
        </w:numPr>
        <w:spacing w:after="0"/>
        <w:jc w:val="both"/>
        <w:rPr>
          <w:szCs w:val="20"/>
        </w:rPr>
      </w:pPr>
      <w:r w:rsidRPr="00B36377">
        <w:rPr>
          <w:b/>
          <w:szCs w:val="20"/>
        </w:rPr>
        <w:lastRenderedPageBreak/>
        <w:t xml:space="preserve">Planeación Estratégica. </w:t>
      </w:r>
      <w:r w:rsidRPr="00B36377">
        <w:rPr>
          <w:szCs w:val="20"/>
        </w:rPr>
        <w:t>Revisar y actualizar el Procedimiento de Planeación Estratégica y plurianual, para incluir aspectos de las mejores prácticas que en la actualidad no son considerados, tales como el análisis de brechas, la evaluación de los sistemas de gobernanza, la matriz de implementación, la estimación de los recursos tanto a nivel de aportes internos como presupuestales y la identificación de los riesgos, entre otros. La implementación de esta acción contribuirá al logro de los objetivos propuestos, la toma oportuna de decisiones, la apropiación interna de los procesos de planeación estratégica y por ende,  a la madurez del control externo y el mejoramiento del posicionamiento de la CGRC.</w:t>
      </w:r>
    </w:p>
    <w:p w:rsidR="00233205" w:rsidRPr="00B36377" w:rsidRDefault="00233205" w:rsidP="00233205">
      <w:pPr>
        <w:pStyle w:val="ListParagraph"/>
        <w:spacing w:after="0"/>
        <w:ind w:left="360"/>
        <w:jc w:val="both"/>
        <w:rPr>
          <w:b/>
          <w:szCs w:val="20"/>
        </w:rPr>
      </w:pPr>
    </w:p>
    <w:p w:rsidR="00233205" w:rsidRPr="00B36377" w:rsidRDefault="00233205" w:rsidP="00233205">
      <w:pPr>
        <w:pStyle w:val="ListParagraph"/>
        <w:numPr>
          <w:ilvl w:val="0"/>
          <w:numId w:val="99"/>
        </w:numPr>
        <w:spacing w:after="0"/>
        <w:jc w:val="both"/>
        <w:rPr>
          <w:szCs w:val="20"/>
        </w:rPr>
      </w:pPr>
      <w:r w:rsidRPr="00B36377">
        <w:rPr>
          <w:b/>
          <w:szCs w:val="20"/>
        </w:rPr>
        <w:t xml:space="preserve">Actualizar la Política de Ética e Integridad.  </w:t>
      </w:r>
      <w:r w:rsidRPr="00B36377">
        <w:rPr>
          <w:szCs w:val="20"/>
        </w:rPr>
        <w:t xml:space="preserve">Se trata de incorporar los estándares previstos en las </w:t>
      </w:r>
      <w:proofErr w:type="spellStart"/>
      <w:r w:rsidRPr="00B36377">
        <w:rPr>
          <w:szCs w:val="20"/>
        </w:rPr>
        <w:t>ISSAIs</w:t>
      </w:r>
      <w:proofErr w:type="spellEnd"/>
      <w:r w:rsidRPr="00B36377">
        <w:rPr>
          <w:szCs w:val="20"/>
        </w:rPr>
        <w:t>, tales como la responsabilidad de su administración, la formulación de declaraciones anuales, la preparación de informes periódicos e indicadores de la evolución o avance de la política, entre otros.  Esto contribuirá a la creación de un ambiente de ética e integridad eficaz, previniendo o detectando oportunamente posibles infracciones y fortaleciendo la imagen de la Contraloría.</w:t>
      </w:r>
    </w:p>
    <w:p w:rsidR="00233205" w:rsidRPr="00B36377" w:rsidRDefault="00233205" w:rsidP="00233205">
      <w:pPr>
        <w:pStyle w:val="ListParagraph"/>
        <w:spacing w:after="0"/>
        <w:ind w:left="360"/>
        <w:jc w:val="both"/>
        <w:rPr>
          <w:b/>
          <w:szCs w:val="20"/>
        </w:rPr>
      </w:pPr>
    </w:p>
    <w:p w:rsidR="00233205" w:rsidRPr="00B36377" w:rsidRDefault="00233205" w:rsidP="00233205">
      <w:pPr>
        <w:pStyle w:val="ListParagraph"/>
        <w:numPr>
          <w:ilvl w:val="0"/>
          <w:numId w:val="99"/>
        </w:numPr>
        <w:spacing w:after="0"/>
        <w:jc w:val="both"/>
        <w:rPr>
          <w:szCs w:val="20"/>
        </w:rPr>
      </w:pPr>
      <w:r w:rsidRPr="00B36377">
        <w:rPr>
          <w:b/>
          <w:szCs w:val="20"/>
        </w:rPr>
        <w:t xml:space="preserve">Formalizar proyectos específicos para el fortalecimiento de la infraestructura física y las </w:t>
      </w:r>
      <w:proofErr w:type="spellStart"/>
      <w:r w:rsidRPr="00B36377">
        <w:rPr>
          <w:b/>
          <w:szCs w:val="20"/>
        </w:rPr>
        <w:t>TICs</w:t>
      </w:r>
      <w:proofErr w:type="spellEnd"/>
      <w:r w:rsidRPr="00B36377">
        <w:rPr>
          <w:b/>
          <w:szCs w:val="20"/>
        </w:rPr>
        <w:t xml:space="preserve"> de la Contraloría. </w:t>
      </w:r>
      <w:r w:rsidRPr="00B36377">
        <w:rPr>
          <w:szCs w:val="20"/>
        </w:rPr>
        <w:t>Esta acción consideraría  el entorno en el que opera la CGRC (ámbito, personal, tamaño, etc.), las necesidades identificadas, la integración de la arquitectura tecnológica, la seguridad de la información, los resultados esperados y los recursos necesarios, así como las lecciones aprendidas, entre otros aspectos. Esto contribuirá a mejorar los niveles de eficiencia del personal, la calidad en los procesos y la gestión institucional.</w:t>
      </w:r>
    </w:p>
    <w:p w:rsidR="00233205" w:rsidRPr="00B36377" w:rsidRDefault="00233205" w:rsidP="00233205">
      <w:pPr>
        <w:pStyle w:val="ListParagraph"/>
        <w:spacing w:after="0"/>
        <w:ind w:left="360"/>
        <w:jc w:val="both"/>
        <w:rPr>
          <w:b/>
          <w:szCs w:val="20"/>
        </w:rPr>
      </w:pPr>
    </w:p>
    <w:p w:rsidR="00233205" w:rsidRPr="00B36377" w:rsidRDefault="00233205" w:rsidP="00233205">
      <w:pPr>
        <w:pStyle w:val="ListParagraph"/>
        <w:numPr>
          <w:ilvl w:val="0"/>
          <w:numId w:val="99"/>
        </w:numPr>
        <w:spacing w:after="0"/>
        <w:jc w:val="both"/>
        <w:rPr>
          <w:szCs w:val="20"/>
        </w:rPr>
      </w:pPr>
      <w:r w:rsidRPr="00B36377">
        <w:rPr>
          <w:b/>
          <w:szCs w:val="20"/>
        </w:rPr>
        <w:t xml:space="preserve">Estudio  técnico de necesidades de recursos humanos.  </w:t>
      </w:r>
      <w:r w:rsidRPr="00B36377">
        <w:rPr>
          <w:szCs w:val="20"/>
        </w:rPr>
        <w:t>Esta acción suministraría  un soporte para establecer y validar la cantidad y las competencias de personal requerido. Contribuiría  a una asignación más eficiente de los recursos, disminuyendo el posible desperdicio del talento humano y fortaleciendo la calidad de los procesos.</w:t>
      </w:r>
    </w:p>
    <w:p w:rsidR="00233205" w:rsidRPr="00B36377" w:rsidRDefault="00233205" w:rsidP="00233205">
      <w:pPr>
        <w:pStyle w:val="ListParagraph"/>
        <w:spacing w:after="0"/>
        <w:ind w:left="360"/>
        <w:jc w:val="both"/>
        <w:rPr>
          <w:b/>
          <w:szCs w:val="20"/>
        </w:rPr>
      </w:pPr>
    </w:p>
    <w:p w:rsidR="00233205" w:rsidRPr="00B36377" w:rsidRDefault="00233205" w:rsidP="00233205">
      <w:pPr>
        <w:pStyle w:val="ListParagraph"/>
        <w:numPr>
          <w:ilvl w:val="0"/>
          <w:numId w:val="99"/>
        </w:numPr>
        <w:spacing w:after="0"/>
        <w:jc w:val="both"/>
        <w:rPr>
          <w:szCs w:val="20"/>
        </w:rPr>
      </w:pPr>
      <w:r w:rsidRPr="00B36377">
        <w:rPr>
          <w:b/>
          <w:szCs w:val="20"/>
        </w:rPr>
        <w:t xml:space="preserve">Diseñar e implementar una estrategia para la comunicación institucional. </w:t>
      </w:r>
      <w:r w:rsidRPr="00B36377">
        <w:rPr>
          <w:szCs w:val="20"/>
        </w:rPr>
        <w:t xml:space="preserve">La estrategia estaría  alineada con el Plan Estratégico e identificaría las partes interesadas y la audiencia objetivo, los mensajes clave, las herramientas, los recursos requeridos y los mecanismos de monitoreo, entre otros. La estrategia fortalecería el clima organizacional y fomentaría el uso eficiente de los recursos,  el mejoramiento del posicionamiento y la percepción de la CGRC por parte de los ciudadanos y otros grupos de interés. </w:t>
      </w:r>
    </w:p>
    <w:p w:rsidR="00233205" w:rsidRPr="00B36377" w:rsidRDefault="00233205" w:rsidP="00233205">
      <w:pPr>
        <w:pStyle w:val="ListParagraph"/>
        <w:spacing w:after="0" w:line="240" w:lineRule="auto"/>
        <w:jc w:val="both"/>
        <w:rPr>
          <w:szCs w:val="20"/>
        </w:rPr>
      </w:pPr>
    </w:p>
    <w:p w:rsidR="00233205" w:rsidRPr="00B36377" w:rsidRDefault="00233205" w:rsidP="00233205">
      <w:pPr>
        <w:pStyle w:val="ListParagraph"/>
        <w:numPr>
          <w:ilvl w:val="0"/>
          <w:numId w:val="100"/>
        </w:numPr>
        <w:spacing w:after="0" w:line="240" w:lineRule="auto"/>
        <w:jc w:val="both"/>
        <w:rPr>
          <w:b/>
          <w:bCs/>
          <w:smallCaps/>
          <w:color w:val="365F91" w:themeColor="accent1" w:themeShade="BF"/>
          <w:sz w:val="24"/>
          <w:szCs w:val="20"/>
        </w:rPr>
      </w:pPr>
      <w:r w:rsidRPr="00B36377">
        <w:rPr>
          <w:b/>
          <w:bCs/>
          <w:smallCaps/>
          <w:color w:val="365F91" w:themeColor="accent1" w:themeShade="BF"/>
          <w:sz w:val="24"/>
          <w:szCs w:val="20"/>
        </w:rPr>
        <w:t>Plan de Acción Detallado</w:t>
      </w:r>
    </w:p>
    <w:p w:rsidR="00233205" w:rsidRPr="00B36377" w:rsidRDefault="00233205" w:rsidP="00233205">
      <w:pPr>
        <w:spacing w:after="0" w:line="240" w:lineRule="auto"/>
        <w:jc w:val="both"/>
        <w:rPr>
          <w:szCs w:val="20"/>
        </w:rPr>
      </w:pPr>
    </w:p>
    <w:p w:rsidR="00233205" w:rsidRPr="00B36377" w:rsidRDefault="00233205" w:rsidP="00233205">
      <w:pPr>
        <w:spacing w:after="0" w:line="240" w:lineRule="auto"/>
        <w:jc w:val="both"/>
        <w:rPr>
          <w:szCs w:val="20"/>
        </w:rPr>
      </w:pPr>
      <w:r w:rsidRPr="00B36377">
        <w:rPr>
          <w:szCs w:val="20"/>
        </w:rPr>
        <w:t>La implementación del Plan de Acción que se propone a continuación, es fundamental para que la gestión de la CGRC sea plenamente coherente con las ISSAI y otras buenas prácticas internacionales. Así mismo, este Plan de Acción establece una ruta que conducirá a mitigar los riesgos y avanzar en el fortalecimiento de la CGRC en el ejercicio de su rol como máximo órgano de control fiscal de la Nación.</w:t>
      </w:r>
    </w:p>
    <w:p w:rsidR="00233205" w:rsidRPr="00B36377" w:rsidRDefault="00233205" w:rsidP="00233205">
      <w:pPr>
        <w:spacing w:after="0" w:line="240" w:lineRule="auto"/>
        <w:jc w:val="both"/>
        <w:rPr>
          <w:szCs w:val="20"/>
        </w:rPr>
        <w:sectPr w:rsidR="00233205" w:rsidRPr="00B36377" w:rsidSect="00D76A11">
          <w:headerReference w:type="default" r:id="rId15"/>
          <w:footerReference w:type="even" r:id="rId16"/>
          <w:footerReference w:type="default" r:id="rId17"/>
          <w:pgSz w:w="12240" w:h="15840"/>
          <w:pgMar w:top="1138" w:right="1138" w:bottom="1138" w:left="1138" w:header="677" w:footer="677" w:gutter="0"/>
          <w:cols w:space="708"/>
          <w:docGrid w:linePitch="360"/>
        </w:sectPr>
      </w:pPr>
    </w:p>
    <w:tbl>
      <w:tblPr>
        <w:tblStyle w:val="TableGrid"/>
        <w:tblW w:w="4965" w:type="pct"/>
        <w:jc w:val="center"/>
        <w:tblInd w:w="-1712" w:type="dxa"/>
        <w:tblLayout w:type="fixed"/>
        <w:tblLook w:val="04A0" w:firstRow="1" w:lastRow="0" w:firstColumn="1" w:lastColumn="0" w:noHBand="0" w:noVBand="1"/>
      </w:tblPr>
      <w:tblGrid>
        <w:gridCol w:w="484"/>
        <w:gridCol w:w="991"/>
        <w:gridCol w:w="2128"/>
        <w:gridCol w:w="3686"/>
        <w:gridCol w:w="2128"/>
        <w:gridCol w:w="1416"/>
        <w:gridCol w:w="1273"/>
        <w:gridCol w:w="1585"/>
      </w:tblGrid>
      <w:tr w:rsidR="00233205" w:rsidRPr="00B36377" w:rsidTr="00E30BEC">
        <w:trPr>
          <w:tblHeader/>
          <w:jc w:val="center"/>
        </w:trPr>
        <w:tc>
          <w:tcPr>
            <w:tcW w:w="177" w:type="pct"/>
            <w:shd w:val="clear" w:color="auto" w:fill="365F91" w:themeFill="accent1" w:themeFillShade="BF"/>
            <w:vAlign w:val="center"/>
          </w:tcPr>
          <w:p w:rsidR="00233205" w:rsidRPr="00B36377" w:rsidRDefault="00233205" w:rsidP="00E30BEC">
            <w:pPr>
              <w:pStyle w:val="NoSpacing"/>
              <w:jc w:val="center"/>
              <w:rPr>
                <w:b/>
                <w:color w:val="FFFFFF" w:themeColor="background1"/>
                <w:sz w:val="18"/>
                <w:szCs w:val="18"/>
                <w:lang w:val="es-ES_tradnl"/>
              </w:rPr>
            </w:pPr>
            <w:r w:rsidRPr="00B36377">
              <w:rPr>
                <w:b/>
                <w:color w:val="FFFFFF" w:themeColor="background1"/>
                <w:sz w:val="18"/>
                <w:szCs w:val="18"/>
                <w:lang w:val="es-ES_tradnl"/>
              </w:rPr>
              <w:lastRenderedPageBreak/>
              <w:t>No.</w:t>
            </w:r>
          </w:p>
        </w:tc>
        <w:tc>
          <w:tcPr>
            <w:tcW w:w="362" w:type="pct"/>
            <w:shd w:val="clear" w:color="auto" w:fill="365F91" w:themeFill="accent1" w:themeFillShade="BF"/>
            <w:vAlign w:val="center"/>
          </w:tcPr>
          <w:p w:rsidR="00233205" w:rsidRPr="00B36377" w:rsidRDefault="00233205" w:rsidP="00E30BEC">
            <w:pPr>
              <w:pStyle w:val="NoSpacing"/>
              <w:jc w:val="center"/>
              <w:rPr>
                <w:b/>
                <w:color w:val="FFFFFF" w:themeColor="background1"/>
                <w:sz w:val="18"/>
                <w:szCs w:val="18"/>
                <w:lang w:val="es-ES_tradnl"/>
              </w:rPr>
            </w:pPr>
            <w:r w:rsidRPr="00B36377">
              <w:rPr>
                <w:b/>
                <w:color w:val="FFFFFF" w:themeColor="background1"/>
                <w:sz w:val="18"/>
                <w:szCs w:val="18"/>
                <w:lang w:val="es-ES_tradnl"/>
              </w:rPr>
              <w:t>Indicador</w:t>
            </w:r>
          </w:p>
        </w:tc>
        <w:tc>
          <w:tcPr>
            <w:tcW w:w="777" w:type="pct"/>
            <w:shd w:val="clear" w:color="auto" w:fill="365F91" w:themeFill="accent1" w:themeFillShade="BF"/>
            <w:vAlign w:val="center"/>
          </w:tcPr>
          <w:p w:rsidR="00233205" w:rsidRPr="00B36377" w:rsidRDefault="00233205" w:rsidP="00E30BEC">
            <w:pPr>
              <w:pStyle w:val="NoSpacing"/>
              <w:jc w:val="center"/>
              <w:rPr>
                <w:b/>
                <w:color w:val="FFFFFF" w:themeColor="background1"/>
                <w:sz w:val="18"/>
                <w:szCs w:val="18"/>
                <w:lang w:val="es-ES_tradnl"/>
              </w:rPr>
            </w:pPr>
            <w:r w:rsidRPr="00B36377">
              <w:rPr>
                <w:b/>
                <w:color w:val="FFFFFF" w:themeColor="background1"/>
                <w:sz w:val="18"/>
                <w:szCs w:val="18"/>
                <w:lang w:val="es-ES_tradnl"/>
              </w:rPr>
              <w:t>Oportunidad de Mejora o Fortalecimiento</w:t>
            </w:r>
          </w:p>
        </w:tc>
        <w:tc>
          <w:tcPr>
            <w:tcW w:w="1346" w:type="pct"/>
            <w:shd w:val="clear" w:color="auto" w:fill="365F91" w:themeFill="accent1" w:themeFillShade="BF"/>
            <w:vAlign w:val="center"/>
          </w:tcPr>
          <w:p w:rsidR="00233205" w:rsidRPr="00B36377" w:rsidRDefault="00233205" w:rsidP="00E30BEC">
            <w:pPr>
              <w:pStyle w:val="NoSpacing"/>
              <w:jc w:val="center"/>
              <w:rPr>
                <w:b/>
                <w:color w:val="FFFFFF" w:themeColor="background1"/>
                <w:sz w:val="18"/>
                <w:szCs w:val="18"/>
                <w:lang w:val="es-ES_tradnl"/>
              </w:rPr>
            </w:pPr>
            <w:r w:rsidRPr="00B36377">
              <w:rPr>
                <w:b/>
                <w:color w:val="FFFFFF" w:themeColor="background1"/>
                <w:sz w:val="18"/>
                <w:szCs w:val="18"/>
                <w:lang w:val="es-ES_tradnl"/>
              </w:rPr>
              <w:t>Acciones</w:t>
            </w:r>
          </w:p>
          <w:p w:rsidR="00233205" w:rsidRPr="00B36377" w:rsidRDefault="00233205" w:rsidP="00E30BEC">
            <w:pPr>
              <w:pStyle w:val="NoSpacing"/>
              <w:jc w:val="center"/>
              <w:rPr>
                <w:b/>
                <w:color w:val="FFFFFF" w:themeColor="background1"/>
                <w:sz w:val="18"/>
                <w:szCs w:val="18"/>
                <w:lang w:val="es-ES_tradnl"/>
              </w:rPr>
            </w:pPr>
            <w:r w:rsidRPr="00B36377">
              <w:rPr>
                <w:b/>
                <w:color w:val="FFFFFF" w:themeColor="background1"/>
                <w:sz w:val="18"/>
                <w:szCs w:val="18"/>
                <w:lang w:val="es-ES_tradnl"/>
              </w:rPr>
              <w:t>Sugeridas</w:t>
            </w:r>
          </w:p>
        </w:tc>
        <w:tc>
          <w:tcPr>
            <w:tcW w:w="777" w:type="pct"/>
            <w:shd w:val="clear" w:color="auto" w:fill="365F91" w:themeFill="accent1" w:themeFillShade="BF"/>
            <w:vAlign w:val="center"/>
          </w:tcPr>
          <w:p w:rsidR="00233205" w:rsidRPr="00B36377" w:rsidRDefault="00233205" w:rsidP="00E30BEC">
            <w:pPr>
              <w:pStyle w:val="NoSpacing"/>
              <w:jc w:val="center"/>
              <w:rPr>
                <w:b/>
                <w:color w:val="FFFFFF" w:themeColor="background1"/>
                <w:sz w:val="18"/>
                <w:szCs w:val="18"/>
                <w:lang w:val="es-ES_tradnl"/>
              </w:rPr>
            </w:pPr>
            <w:r w:rsidRPr="00B36377">
              <w:rPr>
                <w:b/>
                <w:color w:val="FFFFFF" w:themeColor="background1"/>
                <w:sz w:val="18"/>
                <w:szCs w:val="18"/>
                <w:lang w:val="es-ES_tradnl"/>
              </w:rPr>
              <w:t>Beneficio o Resultado Esperado de la Acción</w:t>
            </w:r>
          </w:p>
        </w:tc>
        <w:tc>
          <w:tcPr>
            <w:tcW w:w="517" w:type="pct"/>
            <w:shd w:val="clear" w:color="auto" w:fill="365F91" w:themeFill="accent1" w:themeFillShade="BF"/>
            <w:vAlign w:val="center"/>
          </w:tcPr>
          <w:p w:rsidR="00233205" w:rsidRPr="00B36377" w:rsidRDefault="00233205" w:rsidP="00E30BEC">
            <w:pPr>
              <w:pStyle w:val="NoSpacing"/>
              <w:jc w:val="center"/>
              <w:rPr>
                <w:b/>
                <w:color w:val="FFFFFF" w:themeColor="background1"/>
                <w:sz w:val="18"/>
                <w:szCs w:val="18"/>
                <w:lang w:val="es-ES_tradnl"/>
              </w:rPr>
            </w:pPr>
            <w:r w:rsidRPr="00B36377">
              <w:rPr>
                <w:b/>
                <w:color w:val="FFFFFF" w:themeColor="background1"/>
                <w:sz w:val="18"/>
                <w:szCs w:val="18"/>
                <w:lang w:val="es-ES_tradnl"/>
              </w:rPr>
              <w:t xml:space="preserve">Responsable </w:t>
            </w:r>
          </w:p>
        </w:tc>
        <w:tc>
          <w:tcPr>
            <w:tcW w:w="465" w:type="pct"/>
            <w:shd w:val="clear" w:color="auto" w:fill="365F91" w:themeFill="accent1" w:themeFillShade="BF"/>
            <w:vAlign w:val="center"/>
          </w:tcPr>
          <w:p w:rsidR="00233205" w:rsidRPr="00B36377" w:rsidRDefault="00233205" w:rsidP="00E30BEC">
            <w:pPr>
              <w:pStyle w:val="NoSpacing"/>
              <w:jc w:val="center"/>
              <w:rPr>
                <w:b/>
                <w:color w:val="FFFFFF" w:themeColor="background1"/>
                <w:sz w:val="18"/>
                <w:szCs w:val="18"/>
                <w:lang w:val="es-ES_tradnl"/>
              </w:rPr>
            </w:pPr>
            <w:r w:rsidRPr="00B36377">
              <w:rPr>
                <w:b/>
                <w:color w:val="FFFFFF" w:themeColor="background1"/>
                <w:sz w:val="18"/>
                <w:szCs w:val="18"/>
                <w:lang w:val="es-ES_tradnl"/>
              </w:rPr>
              <w:t>Fecha Resultado</w:t>
            </w:r>
          </w:p>
        </w:tc>
        <w:tc>
          <w:tcPr>
            <w:tcW w:w="579" w:type="pct"/>
            <w:shd w:val="clear" w:color="auto" w:fill="365F91" w:themeFill="accent1" w:themeFillShade="BF"/>
            <w:vAlign w:val="center"/>
          </w:tcPr>
          <w:p w:rsidR="00233205" w:rsidRPr="00B36377" w:rsidRDefault="00233205" w:rsidP="00E30BEC">
            <w:pPr>
              <w:pStyle w:val="NoSpacing"/>
              <w:jc w:val="center"/>
              <w:rPr>
                <w:b/>
                <w:color w:val="FFFFFF" w:themeColor="background1"/>
                <w:sz w:val="18"/>
                <w:szCs w:val="18"/>
                <w:lang w:val="es-ES_tradnl"/>
              </w:rPr>
            </w:pPr>
            <w:r w:rsidRPr="00B36377">
              <w:rPr>
                <w:b/>
                <w:color w:val="FFFFFF" w:themeColor="background1"/>
                <w:sz w:val="18"/>
                <w:szCs w:val="18"/>
                <w:lang w:val="es-ES_tradnl"/>
              </w:rPr>
              <w:t>Medio de verificación</w:t>
            </w:r>
          </w:p>
        </w:tc>
      </w:tr>
      <w:tr w:rsidR="00233205" w:rsidRPr="00B36377" w:rsidTr="00E30BEC">
        <w:trPr>
          <w:trHeight w:val="234"/>
          <w:jc w:val="center"/>
        </w:trPr>
        <w:tc>
          <w:tcPr>
            <w:tcW w:w="5000" w:type="pct"/>
            <w:gridSpan w:val="8"/>
            <w:shd w:val="clear" w:color="auto" w:fill="D9D9D9" w:themeFill="background1" w:themeFillShade="D9"/>
          </w:tcPr>
          <w:p w:rsidR="00233205" w:rsidRPr="00B36377" w:rsidRDefault="00233205" w:rsidP="00E30BEC">
            <w:pPr>
              <w:pStyle w:val="NoSpacing"/>
              <w:jc w:val="center"/>
              <w:rPr>
                <w:b/>
                <w:sz w:val="18"/>
                <w:szCs w:val="18"/>
                <w:lang w:val="es-ES_tradnl"/>
              </w:rPr>
            </w:pPr>
            <w:r w:rsidRPr="00B36377">
              <w:rPr>
                <w:b/>
                <w:sz w:val="18"/>
                <w:szCs w:val="18"/>
                <w:lang w:val="es-ES_tradnl"/>
              </w:rPr>
              <w:t>Dominio A – Elaboración de Informes de la EFS</w:t>
            </w:r>
          </w:p>
        </w:tc>
      </w:tr>
      <w:tr w:rsidR="00233205" w:rsidRPr="00B36377" w:rsidTr="00E30BEC">
        <w:trPr>
          <w:trHeight w:val="3055"/>
          <w:jc w:val="center"/>
        </w:trPr>
        <w:tc>
          <w:tcPr>
            <w:tcW w:w="177" w:type="pct"/>
          </w:tcPr>
          <w:p w:rsidR="00233205" w:rsidRPr="00B36377" w:rsidRDefault="00233205" w:rsidP="00E30BEC">
            <w:pPr>
              <w:pStyle w:val="NoSpacing"/>
              <w:jc w:val="center"/>
              <w:rPr>
                <w:sz w:val="18"/>
                <w:szCs w:val="18"/>
                <w:lang w:val="es-ES_tradnl"/>
              </w:rPr>
            </w:pPr>
            <w:r w:rsidRPr="00B36377">
              <w:rPr>
                <w:sz w:val="18"/>
                <w:szCs w:val="18"/>
                <w:lang w:val="es-ES_tradnl"/>
              </w:rPr>
              <w:t>1</w:t>
            </w:r>
          </w:p>
        </w:tc>
        <w:tc>
          <w:tcPr>
            <w:tcW w:w="362" w:type="pct"/>
          </w:tcPr>
          <w:p w:rsidR="00233205" w:rsidRPr="00B36377" w:rsidRDefault="00233205" w:rsidP="00E30BEC">
            <w:pPr>
              <w:pStyle w:val="NoSpacing"/>
              <w:jc w:val="center"/>
              <w:rPr>
                <w:sz w:val="18"/>
                <w:szCs w:val="18"/>
                <w:lang w:val="es-ES_tradnl"/>
              </w:rPr>
            </w:pPr>
            <w:r w:rsidRPr="00B36377">
              <w:rPr>
                <w:sz w:val="18"/>
                <w:szCs w:val="18"/>
                <w:lang w:val="es-ES_tradnl"/>
              </w:rPr>
              <w:t>EFS-1 (i)</w:t>
            </w:r>
          </w:p>
        </w:tc>
        <w:tc>
          <w:tcPr>
            <w:tcW w:w="777" w:type="pct"/>
          </w:tcPr>
          <w:p w:rsidR="00233205" w:rsidRPr="00B36377" w:rsidRDefault="00233205" w:rsidP="00E30BEC">
            <w:pPr>
              <w:pStyle w:val="NoSpacing"/>
              <w:rPr>
                <w:sz w:val="18"/>
                <w:szCs w:val="18"/>
                <w:lang w:val="es-ES_tradnl"/>
              </w:rPr>
            </w:pPr>
            <w:r w:rsidRPr="00B36377">
              <w:rPr>
                <w:sz w:val="18"/>
                <w:szCs w:val="18"/>
                <w:lang w:val="es-ES_tradnl"/>
              </w:rPr>
              <w:t>La CGRC no audita el 100% de los estados financieros recibidos de los “Entes Principales”.</w:t>
            </w:r>
          </w:p>
        </w:tc>
        <w:tc>
          <w:tcPr>
            <w:tcW w:w="1346" w:type="pct"/>
          </w:tcPr>
          <w:p w:rsidR="00233205" w:rsidRPr="00B36377" w:rsidRDefault="00233205" w:rsidP="00E30BEC">
            <w:pPr>
              <w:pStyle w:val="NoSpacing"/>
              <w:rPr>
                <w:sz w:val="18"/>
                <w:szCs w:val="18"/>
                <w:lang w:val="es-ES_tradnl"/>
              </w:rPr>
            </w:pPr>
            <w:r w:rsidRPr="00B36377">
              <w:rPr>
                <w:sz w:val="18"/>
                <w:szCs w:val="18"/>
                <w:lang w:val="es-ES_tradnl"/>
              </w:rPr>
              <w:t>Incluir como parte de los criterios para la selección de los entes a auditar en el PVCF, el último período de examen,  de manera  que por lo menos cada dos años se auditen el 100% de las Entidades Principales.</w:t>
            </w:r>
          </w:p>
          <w:p w:rsidR="00233205" w:rsidRPr="00B36377" w:rsidRDefault="00233205" w:rsidP="00E30BEC">
            <w:pPr>
              <w:pStyle w:val="NoSpacing"/>
              <w:rPr>
                <w:sz w:val="18"/>
                <w:szCs w:val="18"/>
                <w:lang w:val="es-ES_tradnl"/>
              </w:rPr>
            </w:pPr>
          </w:p>
          <w:p w:rsidR="00233205" w:rsidRPr="00B36377" w:rsidRDefault="00233205" w:rsidP="00E30BEC">
            <w:pPr>
              <w:pStyle w:val="NoSpacing"/>
              <w:rPr>
                <w:sz w:val="18"/>
                <w:szCs w:val="18"/>
                <w:lang w:val="es-ES_tradnl"/>
              </w:rPr>
            </w:pPr>
            <w:r w:rsidRPr="00B36377">
              <w:rPr>
                <w:sz w:val="18"/>
                <w:szCs w:val="18"/>
                <w:lang w:val="es-ES_tradnl"/>
              </w:rPr>
              <w:t>El diseño e implantación del nuevo Marco Técnico permitiría tener una visión de conjunto de la gestión pública y hacer decisiones sobre planes anuales o plurianuales basado en análisis de riesgo, solicitudes específicas del Poder Legislativo, otros Poderes  y  otras fuentes, de conformidad con la  disponibilidad de recursos.</w:t>
            </w:r>
          </w:p>
          <w:p w:rsidR="00233205" w:rsidRPr="00B36377" w:rsidRDefault="00233205" w:rsidP="00E30BEC">
            <w:pPr>
              <w:pStyle w:val="NoSpacing"/>
              <w:rPr>
                <w:sz w:val="18"/>
                <w:szCs w:val="18"/>
                <w:lang w:val="es-ES_tradnl"/>
              </w:rPr>
            </w:pPr>
          </w:p>
        </w:tc>
        <w:tc>
          <w:tcPr>
            <w:tcW w:w="777" w:type="pct"/>
          </w:tcPr>
          <w:p w:rsidR="00233205" w:rsidRPr="00B36377" w:rsidRDefault="00233205" w:rsidP="00233205">
            <w:pPr>
              <w:pStyle w:val="NoSpacing"/>
              <w:numPr>
                <w:ilvl w:val="0"/>
                <w:numId w:val="49"/>
              </w:numPr>
              <w:ind w:left="223" w:hanging="223"/>
              <w:rPr>
                <w:sz w:val="18"/>
                <w:szCs w:val="18"/>
                <w:lang w:val="es-ES_tradnl"/>
              </w:rPr>
            </w:pPr>
            <w:r w:rsidRPr="00B36377">
              <w:rPr>
                <w:sz w:val="18"/>
                <w:szCs w:val="18"/>
                <w:lang w:val="es-ES_tradnl"/>
              </w:rPr>
              <w:t>Se amplía el alcance de las auditorías que realiza la CGRC y la oportunidad de servicio a los grupos de interés.</w:t>
            </w:r>
          </w:p>
          <w:p w:rsidR="00233205" w:rsidRPr="00B36377" w:rsidRDefault="00233205" w:rsidP="00233205">
            <w:pPr>
              <w:pStyle w:val="NoSpacing"/>
              <w:numPr>
                <w:ilvl w:val="0"/>
                <w:numId w:val="49"/>
              </w:numPr>
              <w:ind w:left="223" w:hanging="223"/>
              <w:rPr>
                <w:sz w:val="18"/>
                <w:szCs w:val="18"/>
                <w:lang w:val="es-ES_tradnl"/>
              </w:rPr>
            </w:pPr>
            <w:r w:rsidRPr="00B36377">
              <w:rPr>
                <w:sz w:val="18"/>
                <w:szCs w:val="18"/>
                <w:lang w:val="es-ES_tradnl"/>
              </w:rPr>
              <w:t>Aumentaría el cubrimiento del control externo al menos al 75% anual del gasto público, de conformidad con las mejores prácticas.</w:t>
            </w:r>
          </w:p>
        </w:tc>
        <w:tc>
          <w:tcPr>
            <w:tcW w:w="517" w:type="pct"/>
          </w:tcPr>
          <w:p w:rsidR="00233205" w:rsidRPr="00B36377" w:rsidRDefault="00233205" w:rsidP="00E30BEC">
            <w:pPr>
              <w:pStyle w:val="NoSpacing"/>
              <w:rPr>
                <w:rFonts w:cstheme="majorBidi"/>
                <w:b/>
                <w:bCs/>
                <w:i/>
                <w:iCs/>
                <w:color w:val="404040" w:themeColor="text1" w:themeTint="BF"/>
                <w:sz w:val="18"/>
                <w:szCs w:val="18"/>
                <w:lang w:val="es-ES_tradnl"/>
              </w:rPr>
            </w:pPr>
            <w:r w:rsidRPr="00B36377">
              <w:rPr>
                <w:sz w:val="18"/>
                <w:szCs w:val="18"/>
                <w:lang w:val="es-ES_tradnl"/>
              </w:rPr>
              <w:t>Oficina de Planeación, Delegadas Sectoriales</w:t>
            </w:r>
          </w:p>
        </w:tc>
        <w:tc>
          <w:tcPr>
            <w:tcW w:w="465" w:type="pct"/>
          </w:tcPr>
          <w:p w:rsidR="00233205" w:rsidRPr="00B36377" w:rsidRDefault="00233205" w:rsidP="00E30BEC">
            <w:pPr>
              <w:pStyle w:val="NoSpacing"/>
              <w:rPr>
                <w:rFonts w:cstheme="majorBidi"/>
                <w:b/>
                <w:bCs/>
                <w:i/>
                <w:iCs/>
                <w:color w:val="404040" w:themeColor="text1" w:themeTint="BF"/>
                <w:sz w:val="18"/>
                <w:szCs w:val="18"/>
                <w:lang w:val="es-ES_tradnl"/>
              </w:rPr>
            </w:pPr>
            <w:r w:rsidRPr="00B36377">
              <w:rPr>
                <w:sz w:val="18"/>
                <w:szCs w:val="18"/>
                <w:lang w:val="es-ES_tradnl"/>
              </w:rPr>
              <w:t>Primer Semestre 2016</w:t>
            </w:r>
          </w:p>
        </w:tc>
        <w:tc>
          <w:tcPr>
            <w:tcW w:w="579" w:type="pct"/>
          </w:tcPr>
          <w:p w:rsidR="00233205" w:rsidRPr="00B36377" w:rsidRDefault="00233205" w:rsidP="00E30BEC">
            <w:pPr>
              <w:pStyle w:val="NoSpacing"/>
              <w:rPr>
                <w:sz w:val="18"/>
                <w:szCs w:val="18"/>
                <w:lang w:val="es-ES_tradnl"/>
              </w:rPr>
            </w:pPr>
            <w:r w:rsidRPr="00B36377">
              <w:rPr>
                <w:sz w:val="18"/>
                <w:szCs w:val="18"/>
                <w:lang w:val="es-ES_tradnl"/>
              </w:rPr>
              <w:t xml:space="preserve">Marco Rector del Control Externo actualizado </w:t>
            </w:r>
            <w:r w:rsidRPr="00B36377">
              <w:rPr>
                <w:rFonts w:eastAsia="Calibri" w:cs="Arial"/>
                <w:sz w:val="18"/>
                <w:szCs w:val="18"/>
                <w:lang w:val="es-ES_tradnl"/>
              </w:rPr>
              <w:t>verificable por</w:t>
            </w:r>
            <w:r w:rsidRPr="00B36377">
              <w:rPr>
                <w:sz w:val="18"/>
                <w:szCs w:val="18"/>
                <w:lang w:val="es-ES_tradnl"/>
              </w:rPr>
              <w:t xml:space="preserve"> evaluación MMD-EFS</w:t>
            </w:r>
          </w:p>
          <w:p w:rsidR="00233205" w:rsidRPr="00B36377" w:rsidRDefault="00233205" w:rsidP="00E30BEC">
            <w:pPr>
              <w:pStyle w:val="NoSpacing"/>
              <w:rPr>
                <w:sz w:val="18"/>
                <w:szCs w:val="18"/>
                <w:lang w:val="es-ES_tradnl"/>
              </w:rPr>
            </w:pPr>
          </w:p>
          <w:p w:rsidR="00233205" w:rsidRPr="00B36377" w:rsidRDefault="00233205" w:rsidP="00E30BEC">
            <w:pPr>
              <w:pStyle w:val="NoSpacing"/>
              <w:rPr>
                <w:sz w:val="18"/>
                <w:szCs w:val="18"/>
                <w:lang w:val="es-ES_tradnl"/>
              </w:rPr>
            </w:pPr>
            <w:r w:rsidRPr="00B36377">
              <w:rPr>
                <w:sz w:val="18"/>
                <w:szCs w:val="18"/>
                <w:lang w:val="es-ES_tradnl"/>
              </w:rPr>
              <w:t>Plan de Vigilancia y Control Fiscal de la próxima vigencia fiscal.</w:t>
            </w:r>
          </w:p>
        </w:tc>
      </w:tr>
      <w:tr w:rsidR="00233205" w:rsidRPr="00B36377" w:rsidTr="00E30BEC">
        <w:trPr>
          <w:trHeight w:val="2303"/>
          <w:jc w:val="center"/>
        </w:trPr>
        <w:tc>
          <w:tcPr>
            <w:tcW w:w="177" w:type="pct"/>
          </w:tcPr>
          <w:p w:rsidR="00233205" w:rsidRPr="00B36377" w:rsidRDefault="00233205" w:rsidP="00E30BEC">
            <w:pPr>
              <w:pStyle w:val="NoSpacing"/>
              <w:jc w:val="center"/>
              <w:rPr>
                <w:sz w:val="18"/>
                <w:szCs w:val="18"/>
                <w:lang w:val="es-ES_tradnl"/>
              </w:rPr>
            </w:pPr>
            <w:r w:rsidRPr="00B36377">
              <w:rPr>
                <w:sz w:val="18"/>
                <w:szCs w:val="18"/>
                <w:lang w:val="es-ES_tradnl"/>
              </w:rPr>
              <w:t>2</w:t>
            </w:r>
          </w:p>
        </w:tc>
        <w:tc>
          <w:tcPr>
            <w:tcW w:w="362" w:type="pct"/>
          </w:tcPr>
          <w:p w:rsidR="00233205" w:rsidRPr="00B36377" w:rsidRDefault="00233205" w:rsidP="00E30BEC">
            <w:pPr>
              <w:pStyle w:val="NoSpacing"/>
              <w:jc w:val="center"/>
              <w:rPr>
                <w:rFonts w:cstheme="majorBidi"/>
                <w:b/>
                <w:bCs/>
                <w:i/>
                <w:iCs/>
                <w:color w:val="404040" w:themeColor="text1" w:themeTint="BF"/>
                <w:sz w:val="18"/>
                <w:szCs w:val="18"/>
                <w:lang w:val="es-ES_tradnl"/>
              </w:rPr>
            </w:pPr>
            <w:r w:rsidRPr="00B36377">
              <w:rPr>
                <w:sz w:val="18"/>
                <w:szCs w:val="18"/>
                <w:lang w:val="es-ES_tradnl"/>
              </w:rPr>
              <w:t>EFS-1 (ii), (iii)</w:t>
            </w:r>
          </w:p>
          <w:p w:rsidR="00233205" w:rsidRPr="00B36377" w:rsidRDefault="00233205" w:rsidP="00E30BEC">
            <w:pPr>
              <w:pStyle w:val="NoSpacing"/>
              <w:jc w:val="center"/>
              <w:rPr>
                <w:sz w:val="18"/>
                <w:szCs w:val="18"/>
                <w:lang w:val="es-ES_tradnl"/>
              </w:rPr>
            </w:pPr>
          </w:p>
          <w:p w:rsidR="00233205" w:rsidRPr="00B36377" w:rsidRDefault="00233205" w:rsidP="00E30BEC">
            <w:pPr>
              <w:pStyle w:val="NoSpacing"/>
              <w:jc w:val="center"/>
              <w:rPr>
                <w:rFonts w:cstheme="majorBidi"/>
                <w:b/>
                <w:bCs/>
                <w:i/>
                <w:iCs/>
                <w:color w:val="404040" w:themeColor="text1" w:themeTint="BF"/>
                <w:sz w:val="18"/>
                <w:szCs w:val="18"/>
                <w:lang w:val="es-ES_tradnl"/>
              </w:rPr>
            </w:pPr>
            <w:r w:rsidRPr="00B36377">
              <w:rPr>
                <w:sz w:val="18"/>
                <w:szCs w:val="18"/>
                <w:lang w:val="es-ES_tradnl"/>
              </w:rPr>
              <w:t>EFS-2 (ii), (iii)</w:t>
            </w:r>
          </w:p>
          <w:p w:rsidR="00233205" w:rsidRPr="00B36377" w:rsidRDefault="00233205" w:rsidP="00E30BEC">
            <w:pPr>
              <w:pStyle w:val="NoSpacing"/>
              <w:jc w:val="center"/>
              <w:rPr>
                <w:sz w:val="18"/>
                <w:szCs w:val="18"/>
                <w:lang w:val="es-ES_tradnl"/>
              </w:rPr>
            </w:pPr>
          </w:p>
          <w:p w:rsidR="00233205" w:rsidRPr="00B36377" w:rsidRDefault="00233205" w:rsidP="00E30BEC">
            <w:pPr>
              <w:pStyle w:val="NoSpacing"/>
              <w:jc w:val="center"/>
              <w:rPr>
                <w:rFonts w:cstheme="majorBidi"/>
                <w:b/>
                <w:bCs/>
                <w:i/>
                <w:iCs/>
                <w:color w:val="404040" w:themeColor="text1" w:themeTint="BF"/>
                <w:sz w:val="18"/>
                <w:szCs w:val="18"/>
                <w:lang w:val="es-ES_tradnl"/>
              </w:rPr>
            </w:pPr>
            <w:r w:rsidRPr="00B36377">
              <w:rPr>
                <w:sz w:val="18"/>
                <w:szCs w:val="18"/>
                <w:lang w:val="es-ES_tradnl"/>
              </w:rPr>
              <w:t>EFS-3 (ii) a), c)</w:t>
            </w:r>
          </w:p>
        </w:tc>
        <w:tc>
          <w:tcPr>
            <w:tcW w:w="777" w:type="pct"/>
          </w:tcPr>
          <w:p w:rsidR="00233205" w:rsidRPr="00B36377" w:rsidRDefault="00233205" w:rsidP="00E30BEC">
            <w:pPr>
              <w:pStyle w:val="NoSpacing"/>
              <w:rPr>
                <w:sz w:val="18"/>
                <w:szCs w:val="18"/>
                <w:lang w:val="es-ES_tradnl"/>
              </w:rPr>
            </w:pPr>
            <w:r w:rsidRPr="00B36377">
              <w:rPr>
                <w:sz w:val="18"/>
                <w:szCs w:val="18"/>
                <w:lang w:val="es-ES_tradnl"/>
              </w:rPr>
              <w:t>No se dispone de evidencia de la entrega de los informes de auditoría y su publicación, dentro de los plazos establecidos.</w:t>
            </w:r>
          </w:p>
        </w:tc>
        <w:tc>
          <w:tcPr>
            <w:tcW w:w="1346" w:type="pct"/>
          </w:tcPr>
          <w:p w:rsidR="00233205" w:rsidRPr="00B36377" w:rsidRDefault="00233205" w:rsidP="00E30BEC">
            <w:pPr>
              <w:pStyle w:val="NoSpacing"/>
              <w:rPr>
                <w:sz w:val="18"/>
                <w:szCs w:val="18"/>
                <w:lang w:val="es-ES_tradnl"/>
              </w:rPr>
            </w:pPr>
            <w:r w:rsidRPr="00B36377">
              <w:rPr>
                <w:sz w:val="18"/>
                <w:szCs w:val="18"/>
                <w:lang w:val="es-ES_tradnl"/>
              </w:rPr>
              <w:t>Formalizar procedimiento de registro de la entrega y publicación de los informes en la Manual de Auditoría Gubernamental (MAG).</w:t>
            </w:r>
          </w:p>
          <w:p w:rsidR="00233205" w:rsidRPr="00B36377" w:rsidRDefault="00233205" w:rsidP="00E30BEC">
            <w:pPr>
              <w:pStyle w:val="NoSpacing"/>
              <w:rPr>
                <w:sz w:val="18"/>
                <w:szCs w:val="18"/>
                <w:lang w:val="es-ES_tradnl"/>
              </w:rPr>
            </w:pPr>
          </w:p>
        </w:tc>
        <w:tc>
          <w:tcPr>
            <w:tcW w:w="777" w:type="pct"/>
          </w:tcPr>
          <w:p w:rsidR="00233205" w:rsidRPr="00B36377" w:rsidRDefault="00233205" w:rsidP="00233205">
            <w:pPr>
              <w:pStyle w:val="NoSpacing"/>
              <w:numPr>
                <w:ilvl w:val="0"/>
                <w:numId w:val="48"/>
              </w:numPr>
              <w:ind w:left="223" w:hanging="223"/>
              <w:rPr>
                <w:sz w:val="18"/>
                <w:szCs w:val="18"/>
                <w:lang w:val="es-ES_tradnl"/>
              </w:rPr>
            </w:pPr>
            <w:r w:rsidRPr="00B36377">
              <w:rPr>
                <w:sz w:val="18"/>
                <w:szCs w:val="18"/>
                <w:lang w:val="es-ES_tradnl"/>
              </w:rPr>
              <w:t>Implementación oportuna de los Planes de Mejora</w:t>
            </w:r>
          </w:p>
          <w:p w:rsidR="00233205" w:rsidRPr="00B36377" w:rsidRDefault="00233205" w:rsidP="00233205">
            <w:pPr>
              <w:pStyle w:val="NoSpacing"/>
              <w:numPr>
                <w:ilvl w:val="0"/>
                <w:numId w:val="48"/>
              </w:numPr>
              <w:ind w:left="223" w:hanging="223"/>
              <w:rPr>
                <w:sz w:val="18"/>
                <w:szCs w:val="18"/>
                <w:lang w:val="es-ES_tradnl"/>
              </w:rPr>
            </w:pPr>
            <w:r w:rsidRPr="00B36377">
              <w:rPr>
                <w:sz w:val="18"/>
                <w:szCs w:val="18"/>
                <w:lang w:val="es-ES_tradnl"/>
              </w:rPr>
              <w:t>Revelación apropiada de cuentas</w:t>
            </w:r>
          </w:p>
          <w:p w:rsidR="00233205" w:rsidRPr="00B36377" w:rsidRDefault="00233205" w:rsidP="00233205">
            <w:pPr>
              <w:pStyle w:val="NoSpacing"/>
              <w:numPr>
                <w:ilvl w:val="0"/>
                <w:numId w:val="48"/>
              </w:numPr>
              <w:ind w:left="223" w:hanging="223"/>
              <w:rPr>
                <w:sz w:val="18"/>
                <w:szCs w:val="18"/>
                <w:lang w:val="es-ES_tradnl"/>
              </w:rPr>
            </w:pPr>
            <w:r w:rsidRPr="00B36377">
              <w:rPr>
                <w:sz w:val="18"/>
                <w:szCs w:val="18"/>
                <w:lang w:val="es-ES_tradnl"/>
              </w:rPr>
              <w:t>Se promueve la participación ciudadana</w:t>
            </w:r>
          </w:p>
        </w:tc>
        <w:tc>
          <w:tcPr>
            <w:tcW w:w="517" w:type="pct"/>
          </w:tcPr>
          <w:p w:rsidR="00233205" w:rsidRPr="00B36377" w:rsidRDefault="00233205" w:rsidP="00E30BEC">
            <w:pPr>
              <w:pStyle w:val="NoSpacing"/>
              <w:rPr>
                <w:rFonts w:cstheme="majorBidi"/>
                <w:b/>
                <w:bCs/>
                <w:i/>
                <w:iCs/>
                <w:color w:val="404040" w:themeColor="text1" w:themeTint="BF"/>
                <w:sz w:val="18"/>
                <w:szCs w:val="18"/>
                <w:lang w:val="es-ES_tradnl"/>
              </w:rPr>
            </w:pPr>
            <w:r w:rsidRPr="00B36377">
              <w:rPr>
                <w:sz w:val="18"/>
                <w:szCs w:val="18"/>
                <w:lang w:val="es-ES_tradnl"/>
              </w:rPr>
              <w:t>Delegadas de la Contraloría, Equipos Auditores</w:t>
            </w:r>
          </w:p>
        </w:tc>
        <w:tc>
          <w:tcPr>
            <w:tcW w:w="465" w:type="pct"/>
          </w:tcPr>
          <w:p w:rsidR="00233205" w:rsidRPr="00B36377" w:rsidRDefault="00233205" w:rsidP="00E30BEC">
            <w:pPr>
              <w:pStyle w:val="NoSpacing"/>
              <w:rPr>
                <w:rFonts w:cstheme="majorBidi"/>
                <w:b/>
                <w:bCs/>
                <w:i/>
                <w:iCs/>
                <w:color w:val="404040" w:themeColor="text1" w:themeTint="BF"/>
                <w:sz w:val="18"/>
                <w:szCs w:val="18"/>
                <w:lang w:val="es-ES_tradnl"/>
              </w:rPr>
            </w:pPr>
            <w:r w:rsidRPr="00B36377">
              <w:rPr>
                <w:sz w:val="18"/>
                <w:szCs w:val="18"/>
                <w:lang w:val="es-ES_tradnl"/>
              </w:rPr>
              <w:t xml:space="preserve">Informes con corte a Junio de 2016 </w:t>
            </w:r>
          </w:p>
          <w:p w:rsidR="00233205" w:rsidRPr="00B36377" w:rsidRDefault="00233205" w:rsidP="00E30BEC">
            <w:pPr>
              <w:pStyle w:val="NoSpacing"/>
              <w:rPr>
                <w:sz w:val="18"/>
                <w:szCs w:val="18"/>
                <w:lang w:val="es-ES_tradnl"/>
              </w:rPr>
            </w:pPr>
          </w:p>
          <w:p w:rsidR="00233205" w:rsidRPr="00B36377" w:rsidRDefault="00233205" w:rsidP="00E30BEC">
            <w:pPr>
              <w:pStyle w:val="NoSpacing"/>
              <w:rPr>
                <w:sz w:val="18"/>
                <w:szCs w:val="18"/>
                <w:lang w:val="es-ES_tradnl"/>
              </w:rPr>
            </w:pPr>
          </w:p>
        </w:tc>
        <w:tc>
          <w:tcPr>
            <w:tcW w:w="579" w:type="pct"/>
          </w:tcPr>
          <w:p w:rsidR="00233205" w:rsidRPr="00B36377" w:rsidRDefault="00233205" w:rsidP="00E30BEC">
            <w:pPr>
              <w:pStyle w:val="NoSpacing"/>
              <w:rPr>
                <w:sz w:val="18"/>
                <w:szCs w:val="18"/>
                <w:lang w:val="es-ES_tradnl"/>
              </w:rPr>
            </w:pPr>
            <w:r w:rsidRPr="00B36377">
              <w:rPr>
                <w:sz w:val="18"/>
                <w:szCs w:val="18"/>
                <w:lang w:val="es-ES_tradnl"/>
              </w:rPr>
              <w:t xml:space="preserve">Marco Rector del Control Externo actualizado </w:t>
            </w:r>
            <w:r w:rsidRPr="00B36377">
              <w:rPr>
                <w:rFonts w:eastAsia="Calibri" w:cs="Arial"/>
                <w:sz w:val="18"/>
                <w:szCs w:val="18"/>
                <w:lang w:val="es-ES_tradnl"/>
              </w:rPr>
              <w:t>verificable por</w:t>
            </w:r>
            <w:r w:rsidRPr="00B36377">
              <w:rPr>
                <w:sz w:val="18"/>
                <w:szCs w:val="18"/>
                <w:lang w:val="es-ES_tradnl"/>
              </w:rPr>
              <w:t xml:space="preserve"> evaluación MMD-EFS </w:t>
            </w:r>
          </w:p>
          <w:p w:rsidR="00233205" w:rsidRPr="00B36377" w:rsidRDefault="00233205" w:rsidP="00E30BEC">
            <w:pPr>
              <w:pStyle w:val="NoSpacing"/>
              <w:rPr>
                <w:sz w:val="18"/>
                <w:szCs w:val="18"/>
                <w:lang w:val="es-ES_tradnl"/>
              </w:rPr>
            </w:pPr>
          </w:p>
          <w:p w:rsidR="00233205" w:rsidRPr="00B36377" w:rsidRDefault="00233205" w:rsidP="00E30BEC">
            <w:pPr>
              <w:pStyle w:val="NoSpacing"/>
              <w:rPr>
                <w:rFonts w:cstheme="majorBidi"/>
                <w:b/>
                <w:bCs/>
                <w:i/>
                <w:iCs/>
                <w:color w:val="404040" w:themeColor="text1" w:themeTint="BF"/>
                <w:sz w:val="18"/>
                <w:szCs w:val="18"/>
                <w:lang w:val="es-ES_tradnl"/>
              </w:rPr>
            </w:pPr>
            <w:r w:rsidRPr="00B36377">
              <w:rPr>
                <w:sz w:val="18"/>
                <w:szCs w:val="18"/>
                <w:lang w:val="es-ES_tradnl"/>
              </w:rPr>
              <w:t>Informes publicados en la Web de la CGRC</w:t>
            </w:r>
          </w:p>
        </w:tc>
      </w:tr>
      <w:tr w:rsidR="00233205" w:rsidRPr="00B36377" w:rsidTr="00E30BEC">
        <w:trPr>
          <w:jc w:val="center"/>
        </w:trPr>
        <w:tc>
          <w:tcPr>
            <w:tcW w:w="177" w:type="pct"/>
          </w:tcPr>
          <w:p w:rsidR="00233205" w:rsidRPr="00B36377" w:rsidRDefault="00233205" w:rsidP="00E30BEC">
            <w:pPr>
              <w:pStyle w:val="NoSpacing"/>
              <w:jc w:val="center"/>
              <w:rPr>
                <w:sz w:val="18"/>
                <w:szCs w:val="18"/>
                <w:lang w:val="es-ES_tradnl"/>
              </w:rPr>
            </w:pPr>
            <w:r w:rsidRPr="00B36377">
              <w:rPr>
                <w:sz w:val="18"/>
                <w:szCs w:val="18"/>
                <w:lang w:val="es-ES_tradnl"/>
              </w:rPr>
              <w:t>3</w:t>
            </w:r>
          </w:p>
        </w:tc>
        <w:tc>
          <w:tcPr>
            <w:tcW w:w="362" w:type="pct"/>
          </w:tcPr>
          <w:p w:rsidR="00233205" w:rsidRPr="00B825AF" w:rsidRDefault="00233205" w:rsidP="00E30BEC">
            <w:pPr>
              <w:pStyle w:val="NoSpacing"/>
              <w:jc w:val="center"/>
              <w:rPr>
                <w:rFonts w:cstheme="majorBidi"/>
                <w:b/>
                <w:bCs/>
                <w:i/>
                <w:iCs/>
                <w:color w:val="404040" w:themeColor="text1" w:themeTint="BF"/>
                <w:sz w:val="18"/>
                <w:szCs w:val="18"/>
              </w:rPr>
            </w:pPr>
            <w:r w:rsidRPr="00B825AF">
              <w:rPr>
                <w:sz w:val="18"/>
                <w:szCs w:val="18"/>
              </w:rPr>
              <w:t>EFS-1 (iv)</w:t>
            </w:r>
          </w:p>
          <w:p w:rsidR="00233205" w:rsidRPr="00B825AF" w:rsidRDefault="00233205" w:rsidP="00E30BEC">
            <w:pPr>
              <w:pStyle w:val="NoSpacing"/>
              <w:jc w:val="center"/>
              <w:rPr>
                <w:sz w:val="18"/>
                <w:szCs w:val="18"/>
              </w:rPr>
            </w:pPr>
          </w:p>
          <w:p w:rsidR="00233205" w:rsidRPr="00B825AF" w:rsidRDefault="00233205" w:rsidP="00E30BEC">
            <w:pPr>
              <w:pStyle w:val="NoSpacing"/>
              <w:jc w:val="center"/>
              <w:rPr>
                <w:rFonts w:cstheme="majorBidi"/>
                <w:b/>
                <w:bCs/>
                <w:i/>
                <w:iCs/>
                <w:color w:val="404040" w:themeColor="text1" w:themeTint="BF"/>
                <w:sz w:val="18"/>
                <w:szCs w:val="18"/>
              </w:rPr>
            </w:pPr>
            <w:r w:rsidRPr="00B825AF">
              <w:rPr>
                <w:sz w:val="18"/>
                <w:szCs w:val="18"/>
              </w:rPr>
              <w:t>EFS-2 (iv)</w:t>
            </w:r>
          </w:p>
          <w:p w:rsidR="00233205" w:rsidRPr="00B825AF" w:rsidRDefault="00233205" w:rsidP="00E30BEC">
            <w:pPr>
              <w:pStyle w:val="NoSpacing"/>
              <w:jc w:val="center"/>
              <w:rPr>
                <w:sz w:val="18"/>
                <w:szCs w:val="18"/>
              </w:rPr>
            </w:pPr>
          </w:p>
          <w:p w:rsidR="00233205" w:rsidRPr="00B825AF" w:rsidRDefault="00233205" w:rsidP="00E30BEC">
            <w:pPr>
              <w:pStyle w:val="NoSpacing"/>
              <w:jc w:val="center"/>
              <w:rPr>
                <w:rFonts w:cstheme="majorBidi"/>
                <w:b/>
                <w:bCs/>
                <w:i/>
                <w:iCs/>
                <w:color w:val="404040" w:themeColor="text1" w:themeTint="BF"/>
                <w:sz w:val="18"/>
                <w:szCs w:val="18"/>
              </w:rPr>
            </w:pPr>
            <w:r w:rsidRPr="00B825AF">
              <w:rPr>
                <w:sz w:val="18"/>
                <w:szCs w:val="18"/>
              </w:rPr>
              <w:t>EFS-3 (iii) a)-d)</w:t>
            </w:r>
          </w:p>
          <w:p w:rsidR="00233205" w:rsidRPr="00B825AF" w:rsidRDefault="00233205" w:rsidP="00E30BEC">
            <w:pPr>
              <w:pStyle w:val="NoSpacing"/>
              <w:jc w:val="center"/>
              <w:rPr>
                <w:sz w:val="18"/>
                <w:szCs w:val="18"/>
              </w:rPr>
            </w:pPr>
          </w:p>
          <w:p w:rsidR="00233205" w:rsidRPr="00B825AF" w:rsidRDefault="00233205" w:rsidP="00E30BEC">
            <w:pPr>
              <w:pStyle w:val="NoSpacing"/>
              <w:jc w:val="center"/>
              <w:rPr>
                <w:rFonts w:cstheme="majorBidi"/>
                <w:b/>
                <w:bCs/>
                <w:i/>
                <w:iCs/>
                <w:color w:val="404040" w:themeColor="text1" w:themeTint="BF"/>
                <w:sz w:val="18"/>
                <w:szCs w:val="18"/>
              </w:rPr>
            </w:pPr>
            <w:r w:rsidRPr="00B825AF">
              <w:rPr>
                <w:sz w:val="18"/>
                <w:szCs w:val="18"/>
              </w:rPr>
              <w:t>EFS-7 (iv) a)</w:t>
            </w:r>
          </w:p>
        </w:tc>
        <w:tc>
          <w:tcPr>
            <w:tcW w:w="777" w:type="pct"/>
          </w:tcPr>
          <w:p w:rsidR="00233205" w:rsidRPr="00B36377" w:rsidRDefault="00233205" w:rsidP="00E30BEC">
            <w:pPr>
              <w:pStyle w:val="NoSpacing"/>
              <w:rPr>
                <w:sz w:val="18"/>
                <w:szCs w:val="18"/>
                <w:lang w:val="es-ES_tradnl"/>
              </w:rPr>
            </w:pPr>
            <w:r w:rsidRPr="00B36377">
              <w:rPr>
                <w:sz w:val="18"/>
                <w:szCs w:val="18"/>
                <w:lang w:val="es-ES_tradnl"/>
              </w:rPr>
              <w:t>Aunque la  CGRC ha diseñado e implantado un Sistema de Rendición de Cuentas  e Informes (</w:t>
            </w:r>
            <w:r w:rsidRPr="00B36377">
              <w:rPr>
                <w:rFonts w:eastAsiaTheme="minorHAnsi"/>
                <w:sz w:val="18"/>
                <w:szCs w:val="18"/>
                <w:lang w:val="es-ES_tradnl"/>
              </w:rPr>
              <w:t xml:space="preserve">SIRECI), </w:t>
            </w:r>
            <w:r w:rsidRPr="00B36377">
              <w:rPr>
                <w:sz w:val="18"/>
                <w:szCs w:val="18"/>
                <w:lang w:val="es-ES_tradnl"/>
              </w:rPr>
              <w:t>no realiza seguimiento periódico a la adopción de las recomendaciones de los informes de auditoría, ni prepara informes sobre los resultados del seguimiento.</w:t>
            </w:r>
          </w:p>
        </w:tc>
        <w:tc>
          <w:tcPr>
            <w:tcW w:w="1346" w:type="pct"/>
          </w:tcPr>
          <w:p w:rsidR="00233205" w:rsidRPr="00B36377" w:rsidRDefault="00233205" w:rsidP="00E30BEC">
            <w:pPr>
              <w:pStyle w:val="NoSpacing"/>
              <w:rPr>
                <w:rFonts w:eastAsiaTheme="minorHAnsi"/>
                <w:sz w:val="18"/>
                <w:szCs w:val="18"/>
                <w:lang w:val="es-ES_tradnl"/>
              </w:rPr>
            </w:pPr>
            <w:r w:rsidRPr="00B36377">
              <w:rPr>
                <w:rFonts w:eastAsiaTheme="minorHAnsi"/>
                <w:sz w:val="18"/>
                <w:szCs w:val="18"/>
                <w:lang w:val="es-ES_tradnl"/>
              </w:rPr>
              <w:t>Implementar procedimientos para el seguimiento periódico a la implementación de los planes de mejoras y la revelación  de los resultados, con base en la información reportada en el SIRECI</w:t>
            </w:r>
          </w:p>
          <w:p w:rsidR="00233205" w:rsidRPr="00B36377" w:rsidRDefault="00233205" w:rsidP="00E30BEC">
            <w:pPr>
              <w:pStyle w:val="NoSpacing"/>
              <w:rPr>
                <w:rFonts w:eastAsiaTheme="minorHAnsi"/>
                <w:sz w:val="18"/>
                <w:szCs w:val="18"/>
                <w:lang w:val="es-ES_tradnl"/>
              </w:rPr>
            </w:pPr>
          </w:p>
          <w:p w:rsidR="00233205" w:rsidRPr="00B36377" w:rsidRDefault="00233205" w:rsidP="00E30BEC">
            <w:pPr>
              <w:pStyle w:val="NoSpacing"/>
              <w:rPr>
                <w:sz w:val="18"/>
                <w:szCs w:val="18"/>
                <w:lang w:val="es-ES_tradnl"/>
              </w:rPr>
            </w:pPr>
            <w:r w:rsidRPr="00B36377">
              <w:rPr>
                <w:rFonts w:eastAsiaTheme="minorHAnsi"/>
                <w:sz w:val="18"/>
                <w:szCs w:val="18"/>
                <w:lang w:val="es-ES_tradnl"/>
              </w:rPr>
              <w:t>Implementar procedimiento de validación y reporte de las Oficinas de Control Interno (OCI) de los avances en los planes de mejora.</w:t>
            </w:r>
          </w:p>
        </w:tc>
        <w:tc>
          <w:tcPr>
            <w:tcW w:w="777" w:type="pct"/>
          </w:tcPr>
          <w:p w:rsidR="00233205" w:rsidRPr="00B36377" w:rsidRDefault="00233205" w:rsidP="00233205">
            <w:pPr>
              <w:pStyle w:val="NoSpacing"/>
              <w:numPr>
                <w:ilvl w:val="0"/>
                <w:numId w:val="50"/>
              </w:numPr>
              <w:ind w:left="223" w:hanging="223"/>
              <w:rPr>
                <w:sz w:val="18"/>
                <w:szCs w:val="18"/>
                <w:lang w:val="es-ES_tradnl"/>
              </w:rPr>
            </w:pPr>
            <w:r w:rsidRPr="00B36377">
              <w:rPr>
                <w:sz w:val="18"/>
                <w:szCs w:val="18"/>
                <w:lang w:val="es-ES_tradnl"/>
              </w:rPr>
              <w:t>Se optimiza el uso del SIRECI</w:t>
            </w:r>
          </w:p>
          <w:p w:rsidR="00233205" w:rsidRPr="00B36377" w:rsidRDefault="00233205" w:rsidP="00233205">
            <w:pPr>
              <w:pStyle w:val="NoSpacing"/>
              <w:numPr>
                <w:ilvl w:val="0"/>
                <w:numId w:val="50"/>
              </w:numPr>
              <w:ind w:left="223" w:hanging="223"/>
              <w:rPr>
                <w:sz w:val="18"/>
                <w:szCs w:val="18"/>
                <w:lang w:val="es-ES_tradnl"/>
              </w:rPr>
            </w:pPr>
            <w:r w:rsidRPr="00B36377">
              <w:rPr>
                <w:sz w:val="18"/>
                <w:szCs w:val="18"/>
                <w:lang w:val="es-ES_tradnl"/>
              </w:rPr>
              <w:t>Se remueven oportunamente las causas de los hallazgos</w:t>
            </w:r>
          </w:p>
          <w:p w:rsidR="00233205" w:rsidRPr="00B36377" w:rsidRDefault="00233205" w:rsidP="00233205">
            <w:pPr>
              <w:pStyle w:val="NoSpacing"/>
              <w:numPr>
                <w:ilvl w:val="0"/>
                <w:numId w:val="50"/>
              </w:numPr>
              <w:ind w:left="223" w:hanging="223"/>
              <w:rPr>
                <w:sz w:val="18"/>
                <w:szCs w:val="18"/>
                <w:lang w:val="es-ES_tradnl"/>
              </w:rPr>
            </w:pPr>
            <w:r w:rsidRPr="00B36377">
              <w:rPr>
                <w:sz w:val="18"/>
                <w:szCs w:val="18"/>
                <w:lang w:val="es-ES_tradnl"/>
              </w:rPr>
              <w:t>Mejoran los resultados del control externo</w:t>
            </w:r>
          </w:p>
        </w:tc>
        <w:tc>
          <w:tcPr>
            <w:tcW w:w="517" w:type="pct"/>
          </w:tcPr>
          <w:p w:rsidR="00233205" w:rsidRPr="00B36377" w:rsidRDefault="00233205" w:rsidP="00E30BEC">
            <w:pPr>
              <w:pStyle w:val="NoSpacing"/>
              <w:rPr>
                <w:rFonts w:cstheme="majorBidi"/>
                <w:b/>
                <w:bCs/>
                <w:i/>
                <w:iCs/>
                <w:color w:val="404040" w:themeColor="text1" w:themeTint="BF"/>
                <w:sz w:val="18"/>
                <w:szCs w:val="18"/>
                <w:lang w:val="es-ES_tradnl"/>
              </w:rPr>
            </w:pPr>
            <w:r w:rsidRPr="00B36377">
              <w:rPr>
                <w:rFonts w:eastAsiaTheme="minorHAnsi"/>
                <w:sz w:val="18"/>
                <w:szCs w:val="18"/>
                <w:lang w:val="es-ES_tradnl"/>
              </w:rPr>
              <w:t>Oficina de Planeación y  Delegadas de la Contraloría</w:t>
            </w:r>
          </w:p>
        </w:tc>
        <w:tc>
          <w:tcPr>
            <w:tcW w:w="465" w:type="pct"/>
          </w:tcPr>
          <w:p w:rsidR="00233205" w:rsidRPr="00B36377" w:rsidRDefault="00233205" w:rsidP="00E30BEC">
            <w:pPr>
              <w:pStyle w:val="NoSpacing"/>
              <w:rPr>
                <w:sz w:val="18"/>
                <w:szCs w:val="18"/>
                <w:lang w:val="es-ES_tradnl"/>
              </w:rPr>
            </w:pPr>
            <w:r w:rsidRPr="00B36377">
              <w:rPr>
                <w:rFonts w:eastAsiaTheme="minorHAnsi"/>
                <w:sz w:val="18"/>
                <w:szCs w:val="18"/>
                <w:lang w:val="es-ES_tradnl"/>
              </w:rPr>
              <w:t>Primer  Semestre del 2016</w:t>
            </w:r>
          </w:p>
        </w:tc>
        <w:tc>
          <w:tcPr>
            <w:tcW w:w="579" w:type="pct"/>
          </w:tcPr>
          <w:p w:rsidR="00233205" w:rsidRPr="00B36377" w:rsidRDefault="00233205" w:rsidP="00E30BEC">
            <w:pPr>
              <w:pStyle w:val="NoSpacing"/>
              <w:rPr>
                <w:sz w:val="18"/>
                <w:szCs w:val="18"/>
                <w:lang w:val="es-ES_tradnl"/>
              </w:rPr>
            </w:pPr>
            <w:r w:rsidRPr="00B36377">
              <w:rPr>
                <w:sz w:val="18"/>
                <w:szCs w:val="18"/>
                <w:lang w:val="es-ES_tradnl"/>
              </w:rPr>
              <w:t xml:space="preserve">Marco Rector del Control Externo actualizado </w:t>
            </w:r>
            <w:r w:rsidRPr="00B36377">
              <w:rPr>
                <w:rFonts w:eastAsia="Calibri" w:cs="Arial"/>
                <w:sz w:val="18"/>
                <w:szCs w:val="18"/>
                <w:lang w:val="es-ES_tradnl"/>
              </w:rPr>
              <w:t>verificable por</w:t>
            </w:r>
            <w:r w:rsidRPr="00B36377">
              <w:rPr>
                <w:sz w:val="18"/>
                <w:szCs w:val="18"/>
                <w:lang w:val="es-ES_tradnl"/>
              </w:rPr>
              <w:t xml:space="preserve"> evaluación MMD-EFS</w:t>
            </w:r>
          </w:p>
          <w:p w:rsidR="00233205" w:rsidRPr="00B36377" w:rsidRDefault="00233205" w:rsidP="00E30BEC">
            <w:pPr>
              <w:pStyle w:val="NoSpacing"/>
              <w:rPr>
                <w:sz w:val="18"/>
                <w:szCs w:val="18"/>
                <w:lang w:val="es-ES_tradnl"/>
              </w:rPr>
            </w:pPr>
            <w:r w:rsidRPr="00B36377">
              <w:rPr>
                <w:sz w:val="18"/>
                <w:szCs w:val="18"/>
                <w:lang w:val="es-ES_tradnl"/>
              </w:rPr>
              <w:t>Procedimientos de seguimiento formalizados en MAG y el ,SIRECI</w:t>
            </w:r>
          </w:p>
        </w:tc>
      </w:tr>
      <w:tr w:rsidR="00233205" w:rsidRPr="00B36377" w:rsidTr="00E30BEC">
        <w:trPr>
          <w:trHeight w:val="1079"/>
          <w:jc w:val="center"/>
        </w:trPr>
        <w:tc>
          <w:tcPr>
            <w:tcW w:w="177" w:type="pct"/>
          </w:tcPr>
          <w:p w:rsidR="00233205" w:rsidRPr="00B36377" w:rsidRDefault="00233205" w:rsidP="00E30BEC">
            <w:pPr>
              <w:pStyle w:val="NoSpacing"/>
              <w:jc w:val="center"/>
              <w:rPr>
                <w:sz w:val="18"/>
                <w:szCs w:val="18"/>
                <w:lang w:val="es-ES_tradnl"/>
              </w:rPr>
            </w:pPr>
            <w:r w:rsidRPr="00B36377">
              <w:rPr>
                <w:sz w:val="18"/>
                <w:szCs w:val="18"/>
                <w:lang w:val="es-ES_tradnl"/>
              </w:rPr>
              <w:lastRenderedPageBreak/>
              <w:t>4</w:t>
            </w:r>
          </w:p>
        </w:tc>
        <w:tc>
          <w:tcPr>
            <w:tcW w:w="362" w:type="pct"/>
          </w:tcPr>
          <w:p w:rsidR="00233205" w:rsidRPr="00B36377" w:rsidRDefault="00233205" w:rsidP="00E30BEC">
            <w:pPr>
              <w:pStyle w:val="NoSpacing"/>
              <w:jc w:val="center"/>
              <w:rPr>
                <w:rFonts w:cstheme="majorBidi"/>
                <w:b/>
                <w:bCs/>
                <w:i/>
                <w:iCs/>
                <w:color w:val="404040" w:themeColor="text1" w:themeTint="BF"/>
                <w:sz w:val="18"/>
                <w:szCs w:val="18"/>
                <w:lang w:val="es-ES_tradnl"/>
              </w:rPr>
            </w:pPr>
            <w:r w:rsidRPr="00B36377">
              <w:rPr>
                <w:sz w:val="18"/>
                <w:szCs w:val="18"/>
                <w:lang w:val="es-ES_tradnl"/>
              </w:rPr>
              <w:t>EFS-5 (iv) c)</w:t>
            </w:r>
          </w:p>
        </w:tc>
        <w:tc>
          <w:tcPr>
            <w:tcW w:w="777" w:type="pct"/>
          </w:tcPr>
          <w:p w:rsidR="00233205" w:rsidRPr="00B36377" w:rsidRDefault="00233205" w:rsidP="00E30BEC">
            <w:pPr>
              <w:pStyle w:val="NoSpacing"/>
              <w:rPr>
                <w:sz w:val="18"/>
                <w:szCs w:val="18"/>
                <w:lang w:val="es-ES_tradnl"/>
              </w:rPr>
            </w:pPr>
            <w:r w:rsidRPr="00B36377">
              <w:rPr>
                <w:sz w:val="18"/>
                <w:szCs w:val="18"/>
                <w:lang w:val="es-ES_tradnl"/>
              </w:rPr>
              <w:t>La CGRC no  realiza auditorías de sistemas de TI  ni  de ambientes TI.</w:t>
            </w:r>
          </w:p>
        </w:tc>
        <w:tc>
          <w:tcPr>
            <w:tcW w:w="1346" w:type="pct"/>
          </w:tcPr>
          <w:p w:rsidR="00233205" w:rsidRPr="00B36377" w:rsidRDefault="00233205" w:rsidP="00E30BEC">
            <w:pPr>
              <w:pStyle w:val="NoSpacing"/>
              <w:rPr>
                <w:sz w:val="18"/>
                <w:szCs w:val="18"/>
                <w:lang w:val="es-ES_tradnl"/>
              </w:rPr>
            </w:pPr>
            <w:r w:rsidRPr="00B36377">
              <w:rPr>
                <w:sz w:val="18"/>
                <w:szCs w:val="18"/>
                <w:lang w:val="es-ES_tradnl"/>
              </w:rPr>
              <w:t>Certificar un equipo profesional en COBIT e iniciar un plan piloto de implementación.</w:t>
            </w:r>
          </w:p>
        </w:tc>
        <w:tc>
          <w:tcPr>
            <w:tcW w:w="777" w:type="pct"/>
          </w:tcPr>
          <w:p w:rsidR="00233205" w:rsidRPr="00B36377" w:rsidRDefault="00233205" w:rsidP="00233205">
            <w:pPr>
              <w:pStyle w:val="NoSpacing"/>
              <w:numPr>
                <w:ilvl w:val="0"/>
                <w:numId w:val="50"/>
              </w:numPr>
              <w:ind w:left="223" w:hanging="223"/>
              <w:rPr>
                <w:sz w:val="18"/>
                <w:szCs w:val="18"/>
                <w:lang w:val="es-ES_tradnl"/>
              </w:rPr>
            </w:pPr>
            <w:r w:rsidRPr="00B36377">
              <w:rPr>
                <w:sz w:val="18"/>
                <w:szCs w:val="18"/>
                <w:lang w:val="es-ES_tradnl"/>
              </w:rPr>
              <w:t>Disminución de pruebas manuales</w:t>
            </w:r>
          </w:p>
          <w:p w:rsidR="00233205" w:rsidRPr="00B36377" w:rsidRDefault="00233205" w:rsidP="00233205">
            <w:pPr>
              <w:pStyle w:val="NoSpacing"/>
              <w:numPr>
                <w:ilvl w:val="0"/>
                <w:numId w:val="50"/>
              </w:numPr>
              <w:ind w:left="223" w:hanging="223"/>
              <w:rPr>
                <w:sz w:val="18"/>
                <w:szCs w:val="18"/>
                <w:lang w:val="es-ES_tradnl"/>
              </w:rPr>
            </w:pPr>
            <w:r w:rsidRPr="00B36377">
              <w:rPr>
                <w:sz w:val="18"/>
                <w:szCs w:val="18"/>
                <w:lang w:val="es-ES_tradnl"/>
              </w:rPr>
              <w:t xml:space="preserve">Seguridad de la información emitida en los sistemas </w:t>
            </w:r>
          </w:p>
          <w:p w:rsidR="00233205" w:rsidRPr="00B36377" w:rsidRDefault="00233205" w:rsidP="00E30BEC">
            <w:pPr>
              <w:pStyle w:val="NoSpacing"/>
              <w:ind w:left="223"/>
              <w:rPr>
                <w:sz w:val="18"/>
                <w:szCs w:val="18"/>
                <w:lang w:val="es-ES_tradnl"/>
              </w:rPr>
            </w:pPr>
          </w:p>
        </w:tc>
        <w:tc>
          <w:tcPr>
            <w:tcW w:w="517" w:type="pct"/>
          </w:tcPr>
          <w:p w:rsidR="00233205" w:rsidRPr="00B36377" w:rsidRDefault="00233205" w:rsidP="00E30BEC">
            <w:pPr>
              <w:pStyle w:val="NoSpacing"/>
              <w:rPr>
                <w:rFonts w:cstheme="majorBidi"/>
                <w:b/>
                <w:bCs/>
                <w:i/>
                <w:iCs/>
                <w:color w:val="404040" w:themeColor="text1" w:themeTint="BF"/>
                <w:sz w:val="18"/>
                <w:szCs w:val="18"/>
                <w:lang w:val="es-ES_tradnl"/>
              </w:rPr>
            </w:pPr>
            <w:r w:rsidRPr="00B36377">
              <w:rPr>
                <w:sz w:val="18"/>
                <w:szCs w:val="18"/>
                <w:lang w:val="es-ES_tradnl"/>
              </w:rPr>
              <w:t>Delegadas de la Contraloría, Equipos Auditores</w:t>
            </w:r>
          </w:p>
        </w:tc>
        <w:tc>
          <w:tcPr>
            <w:tcW w:w="465" w:type="pct"/>
          </w:tcPr>
          <w:p w:rsidR="00233205" w:rsidRPr="00B36377" w:rsidRDefault="00233205" w:rsidP="00E30BEC">
            <w:pPr>
              <w:pStyle w:val="NoSpacing"/>
              <w:rPr>
                <w:rFonts w:cstheme="majorBidi"/>
                <w:b/>
                <w:bCs/>
                <w:i/>
                <w:iCs/>
                <w:color w:val="404040" w:themeColor="text1" w:themeTint="BF"/>
                <w:sz w:val="18"/>
                <w:szCs w:val="18"/>
                <w:lang w:val="es-ES_tradnl"/>
              </w:rPr>
            </w:pPr>
            <w:r w:rsidRPr="00B36377">
              <w:rPr>
                <w:sz w:val="18"/>
                <w:szCs w:val="18"/>
                <w:lang w:val="es-ES_tradnl"/>
              </w:rPr>
              <w:t>1er semestre del 2016</w:t>
            </w:r>
          </w:p>
        </w:tc>
        <w:tc>
          <w:tcPr>
            <w:tcW w:w="579" w:type="pct"/>
          </w:tcPr>
          <w:p w:rsidR="00233205" w:rsidRPr="00B36377" w:rsidRDefault="00233205" w:rsidP="00E30BEC">
            <w:pPr>
              <w:pStyle w:val="NoSpacing"/>
              <w:rPr>
                <w:rFonts w:cstheme="majorBidi"/>
                <w:b/>
                <w:bCs/>
                <w:i/>
                <w:iCs/>
                <w:color w:val="404040" w:themeColor="text1" w:themeTint="BF"/>
                <w:sz w:val="18"/>
                <w:szCs w:val="18"/>
                <w:lang w:val="es-ES_tradnl"/>
              </w:rPr>
            </w:pPr>
            <w:r w:rsidRPr="00B36377">
              <w:rPr>
                <w:sz w:val="18"/>
                <w:szCs w:val="18"/>
                <w:lang w:val="es-ES_tradnl"/>
              </w:rPr>
              <w:t>PVCF incluyen expertos TI Diseño de pruebas para ambiente TI</w:t>
            </w:r>
          </w:p>
        </w:tc>
      </w:tr>
      <w:tr w:rsidR="00233205" w:rsidRPr="00B36377" w:rsidTr="00E30BEC">
        <w:trPr>
          <w:jc w:val="center"/>
        </w:trPr>
        <w:tc>
          <w:tcPr>
            <w:tcW w:w="177" w:type="pct"/>
          </w:tcPr>
          <w:p w:rsidR="00233205" w:rsidRPr="00B36377" w:rsidRDefault="00233205" w:rsidP="00E30BEC">
            <w:pPr>
              <w:pStyle w:val="NoSpacing"/>
              <w:jc w:val="center"/>
              <w:rPr>
                <w:sz w:val="18"/>
                <w:szCs w:val="18"/>
                <w:lang w:val="es-ES_tradnl"/>
              </w:rPr>
            </w:pPr>
            <w:r w:rsidRPr="00B36377">
              <w:rPr>
                <w:sz w:val="18"/>
                <w:szCs w:val="18"/>
                <w:lang w:val="es-ES_tradnl"/>
              </w:rPr>
              <w:t>5</w:t>
            </w:r>
          </w:p>
        </w:tc>
        <w:tc>
          <w:tcPr>
            <w:tcW w:w="362" w:type="pct"/>
          </w:tcPr>
          <w:p w:rsidR="00233205" w:rsidRPr="00B36377" w:rsidRDefault="00233205" w:rsidP="00E30BEC">
            <w:pPr>
              <w:pStyle w:val="NoSpacing"/>
              <w:jc w:val="center"/>
              <w:rPr>
                <w:rFonts w:cstheme="majorBidi"/>
                <w:b/>
                <w:bCs/>
                <w:i/>
                <w:iCs/>
                <w:color w:val="404040" w:themeColor="text1" w:themeTint="BF"/>
                <w:sz w:val="18"/>
                <w:szCs w:val="18"/>
                <w:lang w:val="es-ES_tradnl"/>
              </w:rPr>
            </w:pPr>
            <w:r w:rsidRPr="00B36377">
              <w:rPr>
                <w:sz w:val="18"/>
                <w:szCs w:val="18"/>
                <w:lang w:val="es-ES_tradnl"/>
              </w:rPr>
              <w:t>EFS-5 (iv) l)</w:t>
            </w:r>
          </w:p>
          <w:p w:rsidR="00233205" w:rsidRPr="00B36377" w:rsidRDefault="00233205" w:rsidP="00E30BEC">
            <w:pPr>
              <w:pStyle w:val="NoSpacing"/>
              <w:jc w:val="center"/>
              <w:rPr>
                <w:sz w:val="18"/>
                <w:szCs w:val="18"/>
                <w:lang w:val="es-ES_tradnl"/>
              </w:rPr>
            </w:pPr>
          </w:p>
          <w:p w:rsidR="00233205" w:rsidRPr="00B36377" w:rsidRDefault="00233205" w:rsidP="00E30BEC">
            <w:pPr>
              <w:pStyle w:val="NoSpacing"/>
              <w:jc w:val="center"/>
              <w:rPr>
                <w:sz w:val="18"/>
                <w:szCs w:val="18"/>
                <w:lang w:val="es-ES_tradnl"/>
              </w:rPr>
            </w:pPr>
          </w:p>
        </w:tc>
        <w:tc>
          <w:tcPr>
            <w:tcW w:w="777" w:type="pct"/>
          </w:tcPr>
          <w:p w:rsidR="00233205" w:rsidRPr="00B36377" w:rsidRDefault="00233205" w:rsidP="00E30BEC">
            <w:pPr>
              <w:pStyle w:val="NoSpacing"/>
              <w:rPr>
                <w:sz w:val="18"/>
                <w:szCs w:val="18"/>
                <w:lang w:val="es-ES_tradnl"/>
              </w:rPr>
            </w:pPr>
            <w:r w:rsidRPr="00B36377">
              <w:rPr>
                <w:sz w:val="18"/>
                <w:szCs w:val="18"/>
                <w:lang w:val="es-ES_tradnl"/>
              </w:rPr>
              <w:t>La CGRC no incluye como parte de sus informes, la estimación de los beneficios financieros resultado de implementación de sus observaciones y recomendaciones.</w:t>
            </w:r>
          </w:p>
        </w:tc>
        <w:tc>
          <w:tcPr>
            <w:tcW w:w="1346" w:type="pct"/>
          </w:tcPr>
          <w:p w:rsidR="00233205" w:rsidRPr="00B36377" w:rsidRDefault="00233205" w:rsidP="00E30BEC">
            <w:pPr>
              <w:pStyle w:val="NoSpacing"/>
              <w:rPr>
                <w:sz w:val="18"/>
                <w:szCs w:val="18"/>
                <w:lang w:val="es-ES_tradnl"/>
              </w:rPr>
            </w:pPr>
            <w:r w:rsidRPr="00B36377">
              <w:rPr>
                <w:sz w:val="18"/>
                <w:szCs w:val="18"/>
                <w:lang w:val="es-ES_tradnl"/>
              </w:rPr>
              <w:t>Formalizar procedimientos para la estimación y reporte de los beneficios financieros como resultado dela implementación de las recomendaciones</w:t>
            </w:r>
          </w:p>
          <w:p w:rsidR="00233205" w:rsidRPr="00B36377" w:rsidRDefault="00233205" w:rsidP="00E30BEC">
            <w:pPr>
              <w:pStyle w:val="NoSpacing"/>
              <w:rPr>
                <w:sz w:val="18"/>
                <w:szCs w:val="18"/>
                <w:lang w:val="es-ES_tradnl"/>
              </w:rPr>
            </w:pPr>
          </w:p>
          <w:p w:rsidR="00233205" w:rsidRPr="00B36377" w:rsidRDefault="00233205" w:rsidP="00E30BEC">
            <w:pPr>
              <w:pStyle w:val="NoSpacing"/>
              <w:rPr>
                <w:sz w:val="18"/>
                <w:szCs w:val="18"/>
                <w:lang w:val="es-ES_tradnl"/>
              </w:rPr>
            </w:pPr>
            <w:r w:rsidRPr="00B36377">
              <w:rPr>
                <w:sz w:val="18"/>
                <w:szCs w:val="18"/>
                <w:lang w:val="es-ES_tradnl"/>
              </w:rPr>
              <w:t>Como parte del fortalecimiento del Sistema de Control Interno Institucional, incluir controles de gestión basados en indicadores.</w:t>
            </w:r>
          </w:p>
        </w:tc>
        <w:tc>
          <w:tcPr>
            <w:tcW w:w="777" w:type="pct"/>
          </w:tcPr>
          <w:p w:rsidR="00233205" w:rsidRPr="00B36377" w:rsidRDefault="00233205" w:rsidP="00233205">
            <w:pPr>
              <w:pStyle w:val="NoSpacing"/>
              <w:numPr>
                <w:ilvl w:val="0"/>
                <w:numId w:val="50"/>
              </w:numPr>
              <w:ind w:left="223" w:hanging="223"/>
              <w:rPr>
                <w:sz w:val="18"/>
                <w:szCs w:val="18"/>
                <w:lang w:val="es-ES_tradnl"/>
              </w:rPr>
            </w:pPr>
            <w:r w:rsidRPr="00B36377">
              <w:rPr>
                <w:sz w:val="18"/>
                <w:szCs w:val="18"/>
                <w:lang w:val="es-ES_tradnl"/>
              </w:rPr>
              <w:t xml:space="preserve">Se elevan los índices de implementación de las recomendaciones </w:t>
            </w:r>
          </w:p>
          <w:p w:rsidR="00233205" w:rsidRPr="00B36377" w:rsidRDefault="00233205" w:rsidP="00233205">
            <w:pPr>
              <w:pStyle w:val="NoSpacing"/>
              <w:numPr>
                <w:ilvl w:val="0"/>
                <w:numId w:val="50"/>
              </w:numPr>
              <w:ind w:left="223" w:hanging="223"/>
              <w:rPr>
                <w:sz w:val="18"/>
                <w:szCs w:val="18"/>
                <w:lang w:val="es-ES_tradnl"/>
              </w:rPr>
            </w:pPr>
            <w:r w:rsidRPr="00B36377">
              <w:rPr>
                <w:sz w:val="18"/>
                <w:szCs w:val="18"/>
                <w:lang w:val="es-ES_tradnl"/>
              </w:rPr>
              <w:t>Fortalecimiento de los sistemas de control de las entidades auditadas.</w:t>
            </w:r>
          </w:p>
        </w:tc>
        <w:tc>
          <w:tcPr>
            <w:tcW w:w="517" w:type="pct"/>
          </w:tcPr>
          <w:p w:rsidR="00233205" w:rsidRPr="00B36377" w:rsidRDefault="00233205" w:rsidP="00E30BEC">
            <w:pPr>
              <w:pStyle w:val="NoSpacing"/>
              <w:rPr>
                <w:rFonts w:cstheme="majorBidi"/>
                <w:b/>
                <w:bCs/>
                <w:color w:val="4F81BD" w:themeColor="accent1"/>
                <w:sz w:val="18"/>
                <w:szCs w:val="18"/>
                <w:lang w:val="es-ES_tradnl"/>
              </w:rPr>
            </w:pPr>
            <w:r w:rsidRPr="00B36377">
              <w:rPr>
                <w:sz w:val="18"/>
                <w:szCs w:val="18"/>
                <w:lang w:val="es-ES_tradnl"/>
              </w:rPr>
              <w:t>Delegadas Sectoriales, Supervisores y Encargados de la auditoría</w:t>
            </w:r>
          </w:p>
        </w:tc>
        <w:tc>
          <w:tcPr>
            <w:tcW w:w="465" w:type="pct"/>
          </w:tcPr>
          <w:p w:rsidR="00233205" w:rsidRPr="00B36377" w:rsidRDefault="00233205" w:rsidP="00E30BEC">
            <w:pPr>
              <w:pStyle w:val="NoSpacing"/>
              <w:rPr>
                <w:rFonts w:cstheme="majorBidi"/>
                <w:b/>
                <w:bCs/>
                <w:i/>
                <w:iCs/>
                <w:color w:val="404040" w:themeColor="text1" w:themeTint="BF"/>
                <w:sz w:val="18"/>
                <w:szCs w:val="18"/>
                <w:lang w:val="es-ES_tradnl"/>
              </w:rPr>
            </w:pPr>
            <w:r w:rsidRPr="00B36377">
              <w:rPr>
                <w:sz w:val="18"/>
                <w:szCs w:val="18"/>
                <w:lang w:val="es-ES_tradnl"/>
              </w:rPr>
              <w:t>1er Semestre del 2016</w:t>
            </w:r>
          </w:p>
        </w:tc>
        <w:tc>
          <w:tcPr>
            <w:tcW w:w="579" w:type="pct"/>
          </w:tcPr>
          <w:p w:rsidR="00233205" w:rsidRPr="00B36377" w:rsidRDefault="00233205" w:rsidP="00E30BEC">
            <w:pPr>
              <w:pStyle w:val="NoSpacing"/>
              <w:rPr>
                <w:rFonts w:cstheme="majorBidi"/>
                <w:b/>
                <w:bCs/>
                <w:i/>
                <w:iCs/>
                <w:color w:val="404040" w:themeColor="text1" w:themeTint="BF"/>
                <w:sz w:val="18"/>
                <w:szCs w:val="18"/>
                <w:lang w:val="es-ES_tradnl"/>
              </w:rPr>
            </w:pPr>
            <w:r w:rsidRPr="00B36377">
              <w:rPr>
                <w:sz w:val="18"/>
                <w:szCs w:val="18"/>
                <w:lang w:val="es-ES_tradnl"/>
              </w:rPr>
              <w:t>Informes de auditoría con recomendaciones que incluyan beneficios de su implementación</w:t>
            </w:r>
          </w:p>
          <w:p w:rsidR="00233205" w:rsidRPr="00B36377" w:rsidRDefault="00233205" w:rsidP="00E30BEC">
            <w:pPr>
              <w:pStyle w:val="NoSpacing"/>
              <w:rPr>
                <w:sz w:val="18"/>
                <w:szCs w:val="18"/>
                <w:lang w:val="es-ES_tradnl"/>
              </w:rPr>
            </w:pPr>
            <w:r w:rsidRPr="00B36377">
              <w:rPr>
                <w:sz w:val="18"/>
                <w:szCs w:val="18"/>
                <w:lang w:val="es-ES_tradnl"/>
              </w:rPr>
              <w:t>Informes de gestión semestrales en los cuales se reporten los impactos y beneficios</w:t>
            </w:r>
          </w:p>
          <w:p w:rsidR="00233205" w:rsidRPr="00B36377" w:rsidRDefault="00233205" w:rsidP="00E30BEC">
            <w:pPr>
              <w:pStyle w:val="NoSpacing"/>
              <w:rPr>
                <w:sz w:val="18"/>
                <w:szCs w:val="18"/>
                <w:lang w:val="es-ES_tradnl"/>
              </w:rPr>
            </w:pPr>
          </w:p>
        </w:tc>
      </w:tr>
      <w:tr w:rsidR="00233205" w:rsidRPr="00B36377" w:rsidTr="00E30BEC">
        <w:trPr>
          <w:jc w:val="center"/>
        </w:trPr>
        <w:tc>
          <w:tcPr>
            <w:tcW w:w="5000" w:type="pct"/>
            <w:gridSpan w:val="8"/>
            <w:shd w:val="clear" w:color="auto" w:fill="D9D9D9" w:themeFill="background1" w:themeFillShade="D9"/>
            <w:vAlign w:val="center"/>
          </w:tcPr>
          <w:p w:rsidR="00233205" w:rsidRPr="00B36377" w:rsidRDefault="00233205" w:rsidP="00E30BEC">
            <w:pPr>
              <w:pStyle w:val="NoSpacing"/>
              <w:jc w:val="center"/>
              <w:rPr>
                <w:rFonts w:cstheme="majorBidi"/>
                <w:b/>
                <w:bCs/>
                <w:i/>
                <w:iCs/>
                <w:color w:val="404040" w:themeColor="text1" w:themeTint="BF"/>
                <w:sz w:val="18"/>
                <w:szCs w:val="18"/>
                <w:lang w:val="es-ES_tradnl"/>
              </w:rPr>
            </w:pPr>
            <w:r w:rsidRPr="00B36377">
              <w:rPr>
                <w:b/>
                <w:sz w:val="18"/>
                <w:szCs w:val="18"/>
                <w:lang w:val="es-ES_tradnl"/>
              </w:rPr>
              <w:t>Dominio B – Independencia y Marco Legal de la EFS</w:t>
            </w:r>
          </w:p>
        </w:tc>
      </w:tr>
      <w:tr w:rsidR="00233205" w:rsidRPr="00B36377" w:rsidTr="00E30BEC">
        <w:trPr>
          <w:trHeight w:val="1061"/>
          <w:jc w:val="center"/>
        </w:trPr>
        <w:tc>
          <w:tcPr>
            <w:tcW w:w="177" w:type="pct"/>
          </w:tcPr>
          <w:p w:rsidR="00233205" w:rsidRPr="00B36377" w:rsidRDefault="00233205" w:rsidP="00E30BEC">
            <w:pPr>
              <w:pStyle w:val="NoSpacing"/>
              <w:jc w:val="center"/>
              <w:rPr>
                <w:rFonts w:cstheme="majorBidi"/>
                <w:b/>
                <w:bCs/>
                <w:i/>
                <w:iCs/>
                <w:color w:val="404040" w:themeColor="text1" w:themeTint="BF"/>
                <w:sz w:val="18"/>
                <w:szCs w:val="18"/>
                <w:lang w:val="es-ES_tradnl"/>
              </w:rPr>
            </w:pPr>
            <w:r w:rsidRPr="00B36377">
              <w:rPr>
                <w:sz w:val="18"/>
                <w:szCs w:val="18"/>
                <w:lang w:val="es-ES_tradnl"/>
              </w:rPr>
              <w:t>6</w:t>
            </w:r>
          </w:p>
        </w:tc>
        <w:tc>
          <w:tcPr>
            <w:tcW w:w="362" w:type="pct"/>
          </w:tcPr>
          <w:p w:rsidR="00233205" w:rsidRPr="00B36377" w:rsidRDefault="00233205" w:rsidP="00E30BEC">
            <w:pPr>
              <w:pStyle w:val="NoSpacing"/>
              <w:jc w:val="center"/>
              <w:rPr>
                <w:rFonts w:cstheme="majorBidi"/>
                <w:b/>
                <w:bCs/>
                <w:i/>
                <w:iCs/>
                <w:color w:val="404040" w:themeColor="text1" w:themeTint="BF"/>
                <w:sz w:val="18"/>
                <w:szCs w:val="18"/>
                <w:lang w:val="es-ES_tradnl"/>
              </w:rPr>
            </w:pPr>
            <w:r w:rsidRPr="00B36377">
              <w:rPr>
                <w:sz w:val="18"/>
                <w:szCs w:val="18"/>
                <w:lang w:val="es-ES_tradnl"/>
              </w:rPr>
              <w:t>EFS 7 (iii)(f)</w:t>
            </w:r>
          </w:p>
        </w:tc>
        <w:tc>
          <w:tcPr>
            <w:tcW w:w="777" w:type="pct"/>
          </w:tcPr>
          <w:p w:rsidR="00233205" w:rsidRPr="00B36377" w:rsidRDefault="00233205" w:rsidP="00E30BEC">
            <w:pPr>
              <w:pStyle w:val="NoSpacing"/>
              <w:rPr>
                <w:sz w:val="18"/>
                <w:szCs w:val="18"/>
                <w:lang w:val="es-ES_tradnl"/>
              </w:rPr>
            </w:pPr>
            <w:r w:rsidRPr="00B36377">
              <w:rPr>
                <w:sz w:val="18"/>
                <w:szCs w:val="18"/>
                <w:lang w:val="es-ES_tradnl"/>
              </w:rPr>
              <w:t>El marco legal no provee inmunidad al Contralor de la República como lo recomienda la ISSAI 10:2.</w:t>
            </w:r>
          </w:p>
        </w:tc>
        <w:tc>
          <w:tcPr>
            <w:tcW w:w="1346" w:type="pct"/>
          </w:tcPr>
          <w:p w:rsidR="00233205" w:rsidRPr="00B36377" w:rsidRDefault="00233205" w:rsidP="00E30BEC">
            <w:pPr>
              <w:pStyle w:val="NoSpacing"/>
              <w:rPr>
                <w:sz w:val="18"/>
                <w:szCs w:val="18"/>
                <w:lang w:val="es-ES_tradnl"/>
              </w:rPr>
            </w:pPr>
            <w:r w:rsidRPr="00B36377">
              <w:rPr>
                <w:sz w:val="18"/>
                <w:szCs w:val="18"/>
                <w:lang w:val="es-ES_tradnl"/>
              </w:rPr>
              <w:t>Asegurar que el marco legal provea inmunidad al titular de la CGRC para prevenir posibles acciones/decisiones de tipo político o legal  que pudieran darse como resultado de la emisión de sus informes de auditoría.</w:t>
            </w:r>
          </w:p>
          <w:p w:rsidR="00233205" w:rsidRPr="00B36377" w:rsidRDefault="00233205" w:rsidP="00E30BEC">
            <w:pPr>
              <w:pStyle w:val="NoSpacing"/>
              <w:rPr>
                <w:sz w:val="18"/>
                <w:szCs w:val="18"/>
                <w:lang w:val="es-ES_tradnl"/>
              </w:rPr>
            </w:pPr>
          </w:p>
        </w:tc>
        <w:tc>
          <w:tcPr>
            <w:tcW w:w="777" w:type="pct"/>
          </w:tcPr>
          <w:p w:rsidR="00233205" w:rsidRPr="00B36377" w:rsidRDefault="00233205" w:rsidP="00E30BEC">
            <w:pPr>
              <w:pStyle w:val="NoSpacing"/>
              <w:rPr>
                <w:sz w:val="18"/>
                <w:szCs w:val="18"/>
                <w:lang w:val="es-ES_tradnl"/>
              </w:rPr>
            </w:pPr>
            <w:r w:rsidRPr="00B36377">
              <w:rPr>
                <w:sz w:val="18"/>
                <w:szCs w:val="18"/>
                <w:lang w:val="es-ES_tradnl"/>
              </w:rPr>
              <w:t>Fortalecer la independencia del titular de la CGRC</w:t>
            </w:r>
          </w:p>
        </w:tc>
        <w:tc>
          <w:tcPr>
            <w:tcW w:w="517" w:type="pct"/>
          </w:tcPr>
          <w:p w:rsidR="00233205" w:rsidRPr="00B36377" w:rsidRDefault="00233205" w:rsidP="00E30BEC">
            <w:pPr>
              <w:pStyle w:val="NoSpacing"/>
              <w:rPr>
                <w:rFonts w:cstheme="majorBidi"/>
                <w:b/>
                <w:bCs/>
                <w:i/>
                <w:iCs/>
                <w:color w:val="404040" w:themeColor="text1" w:themeTint="BF"/>
                <w:sz w:val="18"/>
                <w:szCs w:val="18"/>
                <w:lang w:val="es-ES_tradnl"/>
              </w:rPr>
            </w:pPr>
            <w:r w:rsidRPr="00B36377">
              <w:rPr>
                <w:sz w:val="18"/>
                <w:szCs w:val="18"/>
                <w:lang w:val="es-ES_tradnl"/>
              </w:rPr>
              <w:t>Oficina Jurídica</w:t>
            </w:r>
          </w:p>
        </w:tc>
        <w:tc>
          <w:tcPr>
            <w:tcW w:w="465" w:type="pct"/>
          </w:tcPr>
          <w:p w:rsidR="00233205" w:rsidRPr="00B36377" w:rsidRDefault="00233205" w:rsidP="00E30BEC">
            <w:pPr>
              <w:pStyle w:val="NoSpacing"/>
              <w:rPr>
                <w:rFonts w:cstheme="majorBidi"/>
                <w:b/>
                <w:bCs/>
                <w:i/>
                <w:iCs/>
                <w:color w:val="404040" w:themeColor="text1" w:themeTint="BF"/>
                <w:sz w:val="18"/>
                <w:szCs w:val="18"/>
                <w:lang w:val="es-ES_tradnl"/>
              </w:rPr>
            </w:pPr>
            <w:r w:rsidRPr="00B36377">
              <w:rPr>
                <w:sz w:val="18"/>
                <w:szCs w:val="18"/>
                <w:lang w:val="es-ES_tradnl"/>
              </w:rPr>
              <w:t>Julio 2016</w:t>
            </w:r>
          </w:p>
        </w:tc>
        <w:tc>
          <w:tcPr>
            <w:tcW w:w="579" w:type="pct"/>
          </w:tcPr>
          <w:p w:rsidR="00233205" w:rsidRPr="00B36377" w:rsidRDefault="00233205" w:rsidP="00E30BEC">
            <w:pPr>
              <w:pStyle w:val="NoSpacing"/>
              <w:rPr>
                <w:rFonts w:cstheme="majorBidi"/>
                <w:b/>
                <w:bCs/>
                <w:i/>
                <w:iCs/>
                <w:color w:val="404040" w:themeColor="text1" w:themeTint="BF"/>
                <w:sz w:val="18"/>
                <w:szCs w:val="18"/>
                <w:lang w:val="es-ES_tradnl"/>
              </w:rPr>
            </w:pPr>
            <w:r w:rsidRPr="00B36377">
              <w:rPr>
                <w:sz w:val="18"/>
                <w:szCs w:val="18"/>
                <w:lang w:val="es-ES_tradnl"/>
              </w:rPr>
              <w:t>Inclusión formal y explicita dentro de la Ley.</w:t>
            </w:r>
          </w:p>
        </w:tc>
      </w:tr>
      <w:tr w:rsidR="00233205" w:rsidRPr="00B36377" w:rsidTr="00E30BEC">
        <w:trPr>
          <w:jc w:val="center"/>
        </w:trPr>
        <w:tc>
          <w:tcPr>
            <w:tcW w:w="5000" w:type="pct"/>
            <w:gridSpan w:val="8"/>
            <w:shd w:val="clear" w:color="auto" w:fill="D9D9D9" w:themeFill="background1" w:themeFillShade="D9"/>
            <w:vAlign w:val="center"/>
          </w:tcPr>
          <w:p w:rsidR="00233205" w:rsidRPr="00B36377" w:rsidRDefault="00233205" w:rsidP="00E30BEC">
            <w:pPr>
              <w:pStyle w:val="NoSpacing"/>
              <w:jc w:val="center"/>
              <w:rPr>
                <w:rFonts w:cstheme="majorBidi"/>
                <w:b/>
                <w:bCs/>
                <w:i/>
                <w:iCs/>
                <w:color w:val="404040" w:themeColor="text1" w:themeTint="BF"/>
                <w:sz w:val="18"/>
                <w:szCs w:val="18"/>
                <w:lang w:val="es-ES_tradnl"/>
              </w:rPr>
            </w:pPr>
            <w:r w:rsidRPr="00B36377">
              <w:rPr>
                <w:b/>
                <w:sz w:val="18"/>
                <w:szCs w:val="18"/>
                <w:lang w:val="es-ES_tradnl"/>
              </w:rPr>
              <w:t>Dominio C – Estrategia para el Desarrollo Organizacional</w:t>
            </w:r>
          </w:p>
        </w:tc>
      </w:tr>
      <w:tr w:rsidR="00233205" w:rsidRPr="00B36377" w:rsidTr="00E30BEC">
        <w:trPr>
          <w:jc w:val="center"/>
        </w:trPr>
        <w:tc>
          <w:tcPr>
            <w:tcW w:w="177" w:type="pct"/>
          </w:tcPr>
          <w:p w:rsidR="00233205" w:rsidRPr="00B36377" w:rsidRDefault="00233205" w:rsidP="00E30BEC">
            <w:pPr>
              <w:pStyle w:val="NoSpacing"/>
              <w:jc w:val="center"/>
              <w:rPr>
                <w:rFonts w:cstheme="majorBidi"/>
                <w:b/>
                <w:bCs/>
                <w:i/>
                <w:iCs/>
                <w:color w:val="404040" w:themeColor="text1" w:themeTint="BF"/>
                <w:sz w:val="18"/>
                <w:szCs w:val="18"/>
                <w:lang w:val="es-ES_tradnl"/>
              </w:rPr>
            </w:pPr>
            <w:r w:rsidRPr="00B36377">
              <w:rPr>
                <w:sz w:val="18"/>
                <w:szCs w:val="18"/>
                <w:lang w:val="es-ES_tradnl"/>
              </w:rPr>
              <w:t>7</w:t>
            </w:r>
          </w:p>
        </w:tc>
        <w:tc>
          <w:tcPr>
            <w:tcW w:w="362" w:type="pct"/>
          </w:tcPr>
          <w:p w:rsidR="00233205" w:rsidRPr="00B36377" w:rsidRDefault="00233205" w:rsidP="00E30BEC">
            <w:pPr>
              <w:pStyle w:val="NoSpacing"/>
              <w:jc w:val="center"/>
              <w:rPr>
                <w:rFonts w:cstheme="majorBidi"/>
                <w:b/>
                <w:bCs/>
                <w:i/>
                <w:iCs/>
                <w:color w:val="404040" w:themeColor="text1" w:themeTint="BF"/>
                <w:sz w:val="18"/>
                <w:szCs w:val="18"/>
                <w:lang w:val="es-ES_tradnl"/>
              </w:rPr>
            </w:pPr>
            <w:r w:rsidRPr="00B36377">
              <w:rPr>
                <w:sz w:val="18"/>
                <w:szCs w:val="18"/>
                <w:lang w:val="es-ES_tradnl"/>
              </w:rPr>
              <w:t>EFS-8 (i) a), d), e), f)</w:t>
            </w:r>
          </w:p>
        </w:tc>
        <w:tc>
          <w:tcPr>
            <w:tcW w:w="777" w:type="pct"/>
          </w:tcPr>
          <w:p w:rsidR="00233205" w:rsidRPr="00B36377" w:rsidRDefault="00233205" w:rsidP="00E30BEC">
            <w:pPr>
              <w:pStyle w:val="NoSpacing"/>
              <w:rPr>
                <w:sz w:val="18"/>
                <w:szCs w:val="18"/>
                <w:lang w:val="es-ES_tradnl"/>
              </w:rPr>
            </w:pPr>
            <w:r w:rsidRPr="00B36377">
              <w:rPr>
                <w:sz w:val="18"/>
                <w:szCs w:val="18"/>
                <w:lang w:val="es-ES_tradnl"/>
              </w:rPr>
              <w:t>El Plan Estratégico (PE) 2014 – 2018 no consideró aspectos establecidos en la mejores prácticas, tales como: el análisis de brechas, las expectativas de las partes interesadas, la evaluación de los sistemas de gobernanza, la Matriz de Implementación, o similar.</w:t>
            </w:r>
          </w:p>
        </w:tc>
        <w:tc>
          <w:tcPr>
            <w:tcW w:w="1346" w:type="pct"/>
          </w:tcPr>
          <w:p w:rsidR="00233205" w:rsidRPr="00B36377" w:rsidRDefault="00233205" w:rsidP="00E30BEC">
            <w:pPr>
              <w:pStyle w:val="NoSpacing"/>
              <w:rPr>
                <w:sz w:val="18"/>
                <w:szCs w:val="18"/>
                <w:lang w:val="es-ES_tradnl"/>
              </w:rPr>
            </w:pPr>
            <w:r w:rsidRPr="00B36377">
              <w:rPr>
                <w:sz w:val="18"/>
                <w:szCs w:val="18"/>
                <w:lang w:val="es-ES_tradnl"/>
              </w:rPr>
              <w:t>Con base en la ejecución de la acción siguiente y como parte de su implementación, actualizar el PE 2014 – 2018 para incluir los aspectos establecidos en las mejores prácticas.</w:t>
            </w:r>
          </w:p>
        </w:tc>
        <w:tc>
          <w:tcPr>
            <w:tcW w:w="777" w:type="pct"/>
          </w:tcPr>
          <w:p w:rsidR="00233205" w:rsidRPr="00B36377" w:rsidRDefault="00233205" w:rsidP="00233205">
            <w:pPr>
              <w:pStyle w:val="NoSpacing"/>
              <w:numPr>
                <w:ilvl w:val="0"/>
                <w:numId w:val="50"/>
              </w:numPr>
              <w:ind w:left="223" w:hanging="223"/>
              <w:rPr>
                <w:sz w:val="18"/>
                <w:szCs w:val="18"/>
                <w:lang w:val="es-ES_tradnl"/>
              </w:rPr>
            </w:pPr>
            <w:r w:rsidRPr="00B36377">
              <w:rPr>
                <w:sz w:val="18"/>
                <w:szCs w:val="18"/>
                <w:lang w:val="es-ES_tradnl"/>
              </w:rPr>
              <w:t>PE cubre las expectativas y prioridades de los grupos de interés</w:t>
            </w:r>
          </w:p>
          <w:p w:rsidR="00233205" w:rsidRPr="00B36377" w:rsidRDefault="00233205" w:rsidP="00233205">
            <w:pPr>
              <w:pStyle w:val="NoSpacing"/>
              <w:numPr>
                <w:ilvl w:val="0"/>
                <w:numId w:val="50"/>
              </w:numPr>
              <w:ind w:left="223" w:hanging="223"/>
              <w:rPr>
                <w:sz w:val="18"/>
                <w:szCs w:val="18"/>
                <w:lang w:val="es-ES_tradnl"/>
              </w:rPr>
            </w:pPr>
            <w:r w:rsidRPr="00B36377">
              <w:rPr>
                <w:sz w:val="18"/>
                <w:szCs w:val="18"/>
                <w:lang w:val="es-ES_tradnl"/>
              </w:rPr>
              <w:t>Servidores públicos de la CGRC apropiados del PE</w:t>
            </w:r>
          </w:p>
          <w:p w:rsidR="00233205" w:rsidRPr="00B36377" w:rsidRDefault="00233205" w:rsidP="00233205">
            <w:pPr>
              <w:pStyle w:val="NoSpacing"/>
              <w:numPr>
                <w:ilvl w:val="0"/>
                <w:numId w:val="50"/>
              </w:numPr>
              <w:ind w:left="223" w:hanging="223"/>
              <w:rPr>
                <w:sz w:val="18"/>
                <w:szCs w:val="18"/>
                <w:lang w:val="es-ES_tradnl"/>
              </w:rPr>
            </w:pPr>
            <w:r w:rsidRPr="00B36377">
              <w:rPr>
                <w:sz w:val="18"/>
                <w:szCs w:val="18"/>
                <w:lang w:val="es-ES_tradnl"/>
              </w:rPr>
              <w:t>Aumenta la probabilidad de alcanzar los resultados esperados en tiempo y forma.</w:t>
            </w:r>
          </w:p>
        </w:tc>
        <w:tc>
          <w:tcPr>
            <w:tcW w:w="517" w:type="pct"/>
          </w:tcPr>
          <w:p w:rsidR="00233205" w:rsidRPr="00B36377" w:rsidRDefault="00233205" w:rsidP="00E30BEC">
            <w:pPr>
              <w:pStyle w:val="NoSpacing"/>
              <w:rPr>
                <w:rFonts w:cstheme="majorBidi"/>
                <w:b/>
                <w:bCs/>
                <w:i/>
                <w:iCs/>
                <w:color w:val="404040" w:themeColor="text1" w:themeTint="BF"/>
                <w:sz w:val="18"/>
                <w:szCs w:val="18"/>
                <w:lang w:val="es-ES_tradnl"/>
              </w:rPr>
            </w:pPr>
            <w:r w:rsidRPr="00B36377">
              <w:rPr>
                <w:sz w:val="18"/>
                <w:szCs w:val="18"/>
                <w:lang w:val="es-ES_tradnl"/>
              </w:rPr>
              <w:t>Directores bajo el liderazgo de la Oficina de Planeación</w:t>
            </w:r>
          </w:p>
        </w:tc>
        <w:tc>
          <w:tcPr>
            <w:tcW w:w="465" w:type="pct"/>
          </w:tcPr>
          <w:p w:rsidR="00233205" w:rsidRPr="00B36377" w:rsidRDefault="00233205" w:rsidP="00E30BEC">
            <w:pPr>
              <w:pStyle w:val="NoSpacing"/>
              <w:rPr>
                <w:sz w:val="18"/>
                <w:szCs w:val="18"/>
                <w:lang w:val="es-ES_tradnl"/>
              </w:rPr>
            </w:pPr>
            <w:r w:rsidRPr="00B36377">
              <w:rPr>
                <w:sz w:val="18"/>
                <w:szCs w:val="18"/>
                <w:lang w:val="es-ES_tradnl"/>
              </w:rPr>
              <w:t>2do. Semestre de  2015</w:t>
            </w:r>
          </w:p>
        </w:tc>
        <w:tc>
          <w:tcPr>
            <w:tcW w:w="579" w:type="pct"/>
          </w:tcPr>
          <w:p w:rsidR="00233205" w:rsidRPr="00B36377" w:rsidRDefault="00233205" w:rsidP="00E30BEC">
            <w:pPr>
              <w:pStyle w:val="NoSpacing"/>
              <w:rPr>
                <w:rFonts w:cstheme="majorBidi"/>
                <w:b/>
                <w:bCs/>
                <w:i/>
                <w:iCs/>
                <w:color w:val="404040" w:themeColor="text1" w:themeTint="BF"/>
                <w:sz w:val="18"/>
                <w:szCs w:val="18"/>
                <w:lang w:val="es-ES_tradnl"/>
              </w:rPr>
            </w:pPr>
            <w:r w:rsidRPr="00B36377">
              <w:rPr>
                <w:sz w:val="18"/>
                <w:szCs w:val="18"/>
                <w:lang w:val="es-ES_tradnl"/>
              </w:rPr>
              <w:t>Plan Estratégico 2014 – 2018 actualizado</w:t>
            </w:r>
          </w:p>
        </w:tc>
      </w:tr>
      <w:tr w:rsidR="00233205" w:rsidRPr="00B36377" w:rsidTr="00E30BEC">
        <w:trPr>
          <w:jc w:val="center"/>
        </w:trPr>
        <w:tc>
          <w:tcPr>
            <w:tcW w:w="177" w:type="pct"/>
          </w:tcPr>
          <w:p w:rsidR="00233205" w:rsidRPr="00B36377" w:rsidRDefault="00233205" w:rsidP="00E30BEC">
            <w:pPr>
              <w:pStyle w:val="NoSpacing"/>
              <w:jc w:val="center"/>
              <w:rPr>
                <w:rFonts w:cstheme="majorBidi"/>
                <w:b/>
                <w:bCs/>
                <w:i/>
                <w:iCs/>
                <w:color w:val="404040" w:themeColor="text1" w:themeTint="BF"/>
                <w:sz w:val="18"/>
                <w:szCs w:val="18"/>
                <w:lang w:val="es-ES_tradnl"/>
              </w:rPr>
            </w:pPr>
            <w:r w:rsidRPr="00B36377">
              <w:rPr>
                <w:sz w:val="18"/>
                <w:szCs w:val="18"/>
                <w:lang w:val="es-ES_tradnl"/>
              </w:rPr>
              <w:lastRenderedPageBreak/>
              <w:t>8</w:t>
            </w:r>
          </w:p>
        </w:tc>
        <w:tc>
          <w:tcPr>
            <w:tcW w:w="362" w:type="pct"/>
          </w:tcPr>
          <w:p w:rsidR="00233205" w:rsidRPr="00B825AF" w:rsidRDefault="00233205" w:rsidP="00E30BEC">
            <w:pPr>
              <w:pStyle w:val="NoSpacing"/>
              <w:jc w:val="center"/>
              <w:rPr>
                <w:rFonts w:cstheme="majorBidi"/>
                <w:b/>
                <w:bCs/>
                <w:i/>
                <w:iCs/>
                <w:color w:val="404040" w:themeColor="text1" w:themeTint="BF"/>
                <w:sz w:val="18"/>
                <w:szCs w:val="18"/>
              </w:rPr>
            </w:pPr>
            <w:r w:rsidRPr="00B825AF">
              <w:rPr>
                <w:sz w:val="18"/>
                <w:szCs w:val="18"/>
              </w:rPr>
              <w:t>EFS-8 (ii) b), d), f)</w:t>
            </w:r>
          </w:p>
          <w:p w:rsidR="00233205" w:rsidRPr="00B825AF" w:rsidRDefault="00233205" w:rsidP="00E30BEC">
            <w:pPr>
              <w:pStyle w:val="NoSpacing"/>
              <w:jc w:val="center"/>
              <w:rPr>
                <w:sz w:val="18"/>
                <w:szCs w:val="18"/>
              </w:rPr>
            </w:pPr>
          </w:p>
          <w:p w:rsidR="00233205" w:rsidRPr="00B825AF" w:rsidRDefault="00233205" w:rsidP="00E30BEC">
            <w:pPr>
              <w:pStyle w:val="NoSpacing"/>
              <w:jc w:val="center"/>
              <w:rPr>
                <w:rFonts w:cstheme="majorBidi"/>
                <w:b/>
                <w:bCs/>
                <w:i/>
                <w:iCs/>
                <w:color w:val="404040" w:themeColor="text1" w:themeTint="BF"/>
                <w:sz w:val="18"/>
                <w:szCs w:val="18"/>
              </w:rPr>
            </w:pPr>
            <w:r w:rsidRPr="00B825AF">
              <w:rPr>
                <w:sz w:val="18"/>
                <w:szCs w:val="18"/>
              </w:rPr>
              <w:t>EFS-5 (iii) b), c)</w:t>
            </w:r>
          </w:p>
        </w:tc>
        <w:tc>
          <w:tcPr>
            <w:tcW w:w="777" w:type="pct"/>
          </w:tcPr>
          <w:p w:rsidR="00233205" w:rsidRPr="00B36377" w:rsidRDefault="00233205" w:rsidP="00E30BEC">
            <w:pPr>
              <w:pStyle w:val="NoSpacing"/>
              <w:rPr>
                <w:sz w:val="18"/>
                <w:szCs w:val="18"/>
                <w:lang w:val="es-ES_tradnl"/>
              </w:rPr>
            </w:pPr>
            <w:r w:rsidRPr="00B36377">
              <w:rPr>
                <w:sz w:val="18"/>
                <w:szCs w:val="18"/>
                <w:lang w:val="es-ES_tradnl"/>
              </w:rPr>
              <w:t>El procedimiento para la preparación del PE no es homologable a lo previsto en las mejores prácticas.</w:t>
            </w:r>
          </w:p>
        </w:tc>
        <w:tc>
          <w:tcPr>
            <w:tcW w:w="1346" w:type="pct"/>
          </w:tcPr>
          <w:p w:rsidR="00233205" w:rsidRPr="00B36377" w:rsidRDefault="00233205" w:rsidP="00E30BEC">
            <w:pPr>
              <w:pStyle w:val="NoSpacing"/>
              <w:rPr>
                <w:sz w:val="18"/>
                <w:szCs w:val="18"/>
                <w:lang w:val="es-ES_tradnl"/>
              </w:rPr>
            </w:pPr>
            <w:r w:rsidRPr="00B36377">
              <w:rPr>
                <w:sz w:val="18"/>
                <w:szCs w:val="18"/>
                <w:lang w:val="es-ES_tradnl"/>
              </w:rPr>
              <w:t>Actualizar el procedimiento de Planeación Estratégica con el fin de detallar cada una de las etapas que deben desarrollarse:</w:t>
            </w:r>
          </w:p>
          <w:p w:rsidR="00233205" w:rsidRPr="00B36377" w:rsidRDefault="00233205" w:rsidP="00233205">
            <w:pPr>
              <w:pStyle w:val="NoSpacing"/>
              <w:numPr>
                <w:ilvl w:val="0"/>
                <w:numId w:val="52"/>
              </w:numPr>
              <w:ind w:left="309" w:hanging="309"/>
              <w:rPr>
                <w:sz w:val="18"/>
                <w:szCs w:val="18"/>
                <w:lang w:val="es-ES_tradnl"/>
              </w:rPr>
            </w:pPr>
            <w:r w:rsidRPr="00B36377">
              <w:rPr>
                <w:sz w:val="18"/>
                <w:szCs w:val="18"/>
                <w:lang w:val="es-ES_tradnl"/>
              </w:rPr>
              <w:t>Planeación del plan</w:t>
            </w:r>
          </w:p>
          <w:p w:rsidR="00233205" w:rsidRPr="00B36377" w:rsidRDefault="00233205" w:rsidP="00233205">
            <w:pPr>
              <w:pStyle w:val="NoSpacing"/>
              <w:numPr>
                <w:ilvl w:val="0"/>
                <w:numId w:val="52"/>
              </w:numPr>
              <w:ind w:left="309" w:hanging="309"/>
              <w:rPr>
                <w:sz w:val="18"/>
                <w:szCs w:val="18"/>
                <w:lang w:val="es-ES_tradnl"/>
              </w:rPr>
            </w:pPr>
            <w:r w:rsidRPr="00B36377">
              <w:rPr>
                <w:sz w:val="18"/>
                <w:szCs w:val="18"/>
                <w:lang w:val="es-ES_tradnl"/>
              </w:rPr>
              <w:t>Análisis del marco legal</w:t>
            </w:r>
          </w:p>
          <w:p w:rsidR="00233205" w:rsidRPr="00B36377" w:rsidRDefault="00233205" w:rsidP="00233205">
            <w:pPr>
              <w:pStyle w:val="NoSpacing"/>
              <w:numPr>
                <w:ilvl w:val="0"/>
                <w:numId w:val="52"/>
              </w:numPr>
              <w:ind w:left="309" w:hanging="309"/>
              <w:rPr>
                <w:sz w:val="18"/>
                <w:szCs w:val="18"/>
                <w:lang w:val="es-ES_tradnl"/>
              </w:rPr>
            </w:pPr>
            <w:r w:rsidRPr="00B36377">
              <w:rPr>
                <w:sz w:val="18"/>
                <w:szCs w:val="18"/>
                <w:lang w:val="es-ES_tradnl"/>
              </w:rPr>
              <w:t>Identificación y análisis de los grupos de interés</w:t>
            </w:r>
          </w:p>
          <w:p w:rsidR="00233205" w:rsidRPr="00B36377" w:rsidRDefault="00233205" w:rsidP="00233205">
            <w:pPr>
              <w:pStyle w:val="NoSpacing"/>
              <w:numPr>
                <w:ilvl w:val="0"/>
                <w:numId w:val="52"/>
              </w:numPr>
              <w:ind w:left="309" w:hanging="309"/>
              <w:rPr>
                <w:sz w:val="18"/>
                <w:szCs w:val="18"/>
                <w:lang w:val="es-ES_tradnl"/>
              </w:rPr>
            </w:pPr>
            <w:r w:rsidRPr="00B36377">
              <w:rPr>
                <w:sz w:val="18"/>
                <w:szCs w:val="18"/>
                <w:lang w:val="es-ES_tradnl"/>
              </w:rPr>
              <w:t>Articulación de la visión, misión y valores</w:t>
            </w:r>
          </w:p>
          <w:p w:rsidR="00233205" w:rsidRPr="00B36377" w:rsidRDefault="00233205" w:rsidP="00233205">
            <w:pPr>
              <w:pStyle w:val="NoSpacing"/>
              <w:numPr>
                <w:ilvl w:val="0"/>
                <w:numId w:val="52"/>
              </w:numPr>
              <w:ind w:left="309" w:hanging="309"/>
              <w:rPr>
                <w:sz w:val="18"/>
                <w:szCs w:val="18"/>
                <w:lang w:val="es-ES_tradnl"/>
              </w:rPr>
            </w:pPr>
            <w:r w:rsidRPr="00B36377">
              <w:rPr>
                <w:sz w:val="18"/>
                <w:szCs w:val="18"/>
                <w:lang w:val="es-ES_tradnl"/>
              </w:rPr>
              <w:t>Diagnóstico estratégico</w:t>
            </w:r>
          </w:p>
          <w:p w:rsidR="00233205" w:rsidRPr="00B36377" w:rsidRDefault="00233205" w:rsidP="00233205">
            <w:pPr>
              <w:pStyle w:val="NoSpacing"/>
              <w:numPr>
                <w:ilvl w:val="0"/>
                <w:numId w:val="52"/>
              </w:numPr>
              <w:ind w:left="309" w:hanging="309"/>
              <w:rPr>
                <w:sz w:val="18"/>
                <w:szCs w:val="18"/>
                <w:lang w:val="es-ES_tradnl"/>
              </w:rPr>
            </w:pPr>
            <w:r w:rsidRPr="00B36377">
              <w:rPr>
                <w:sz w:val="18"/>
                <w:szCs w:val="18"/>
                <w:lang w:val="es-ES_tradnl"/>
              </w:rPr>
              <w:t>Análisis estratégico (interno y externo para determinar debilidades, oportunidades, fortalezas y amenazas)</w:t>
            </w:r>
          </w:p>
          <w:p w:rsidR="00233205" w:rsidRPr="00B36377" w:rsidRDefault="00233205" w:rsidP="00233205">
            <w:pPr>
              <w:pStyle w:val="NoSpacing"/>
              <w:numPr>
                <w:ilvl w:val="0"/>
                <w:numId w:val="52"/>
              </w:numPr>
              <w:ind w:left="309" w:hanging="309"/>
              <w:rPr>
                <w:sz w:val="18"/>
                <w:szCs w:val="18"/>
                <w:lang w:val="es-ES_tradnl"/>
              </w:rPr>
            </w:pPr>
            <w:r w:rsidRPr="00B36377">
              <w:rPr>
                <w:sz w:val="18"/>
                <w:szCs w:val="18"/>
                <w:lang w:val="es-ES_tradnl"/>
              </w:rPr>
              <w:t>Análisis de brechas (causas y necesidades)</w:t>
            </w:r>
          </w:p>
          <w:p w:rsidR="00233205" w:rsidRPr="00B36377" w:rsidRDefault="00233205" w:rsidP="00233205">
            <w:pPr>
              <w:pStyle w:val="NoSpacing"/>
              <w:numPr>
                <w:ilvl w:val="0"/>
                <w:numId w:val="52"/>
              </w:numPr>
              <w:ind w:left="309" w:hanging="309"/>
              <w:rPr>
                <w:sz w:val="18"/>
                <w:szCs w:val="18"/>
                <w:lang w:val="es-ES_tradnl"/>
              </w:rPr>
            </w:pPr>
            <w:r w:rsidRPr="00B36377">
              <w:rPr>
                <w:sz w:val="18"/>
                <w:szCs w:val="18"/>
                <w:lang w:val="es-ES_tradnl"/>
              </w:rPr>
              <w:t>Determinación de Objetivos y Metas</w:t>
            </w:r>
          </w:p>
          <w:p w:rsidR="00233205" w:rsidRPr="00B36377" w:rsidRDefault="00233205" w:rsidP="00233205">
            <w:pPr>
              <w:pStyle w:val="NoSpacing"/>
              <w:numPr>
                <w:ilvl w:val="0"/>
                <w:numId w:val="52"/>
              </w:numPr>
              <w:ind w:left="309" w:hanging="309"/>
              <w:rPr>
                <w:sz w:val="18"/>
                <w:szCs w:val="18"/>
                <w:lang w:val="es-ES_tradnl"/>
              </w:rPr>
            </w:pPr>
            <w:r w:rsidRPr="00B36377">
              <w:rPr>
                <w:sz w:val="18"/>
                <w:szCs w:val="18"/>
                <w:lang w:val="es-ES_tradnl"/>
              </w:rPr>
              <w:t>Desarrollo de Sistema de indicadores</w:t>
            </w:r>
          </w:p>
          <w:p w:rsidR="00233205" w:rsidRPr="00B36377" w:rsidRDefault="00233205" w:rsidP="00233205">
            <w:pPr>
              <w:pStyle w:val="NoSpacing"/>
              <w:numPr>
                <w:ilvl w:val="0"/>
                <w:numId w:val="52"/>
              </w:numPr>
              <w:ind w:left="309" w:hanging="309"/>
              <w:rPr>
                <w:sz w:val="18"/>
                <w:szCs w:val="18"/>
                <w:lang w:val="es-ES_tradnl"/>
              </w:rPr>
            </w:pPr>
            <w:r w:rsidRPr="00B36377">
              <w:rPr>
                <w:sz w:val="18"/>
                <w:szCs w:val="18"/>
                <w:lang w:val="es-ES_tradnl"/>
              </w:rPr>
              <w:t>Desarrollo de la matriz de implementación</w:t>
            </w:r>
          </w:p>
          <w:p w:rsidR="00233205" w:rsidRPr="00B36377" w:rsidRDefault="00233205" w:rsidP="00233205">
            <w:pPr>
              <w:pStyle w:val="NoSpacing"/>
              <w:numPr>
                <w:ilvl w:val="0"/>
                <w:numId w:val="52"/>
              </w:numPr>
              <w:ind w:left="309" w:hanging="309"/>
              <w:rPr>
                <w:sz w:val="18"/>
                <w:szCs w:val="18"/>
                <w:lang w:val="es-ES_tradnl"/>
              </w:rPr>
            </w:pPr>
            <w:r w:rsidRPr="00B36377">
              <w:rPr>
                <w:sz w:val="18"/>
                <w:szCs w:val="18"/>
                <w:lang w:val="es-ES_tradnl"/>
              </w:rPr>
              <w:t>Documentación del plan estratégico</w:t>
            </w:r>
          </w:p>
          <w:p w:rsidR="00233205" w:rsidRPr="00B36377" w:rsidRDefault="00233205" w:rsidP="00233205">
            <w:pPr>
              <w:pStyle w:val="NoSpacing"/>
              <w:numPr>
                <w:ilvl w:val="0"/>
                <w:numId w:val="52"/>
              </w:numPr>
              <w:ind w:left="309" w:hanging="309"/>
              <w:rPr>
                <w:sz w:val="18"/>
                <w:szCs w:val="18"/>
                <w:lang w:val="es-ES_tradnl"/>
              </w:rPr>
            </w:pPr>
            <w:r w:rsidRPr="00B36377">
              <w:rPr>
                <w:sz w:val="18"/>
                <w:szCs w:val="18"/>
                <w:lang w:val="es-ES_tradnl"/>
              </w:rPr>
              <w:t>Implementación del plan estratégico.</w:t>
            </w:r>
          </w:p>
          <w:p w:rsidR="00233205" w:rsidRPr="00B36377" w:rsidRDefault="00233205" w:rsidP="00233205">
            <w:pPr>
              <w:pStyle w:val="NoSpacing"/>
              <w:numPr>
                <w:ilvl w:val="0"/>
                <w:numId w:val="52"/>
              </w:numPr>
              <w:ind w:left="309" w:hanging="309"/>
              <w:rPr>
                <w:sz w:val="18"/>
                <w:szCs w:val="18"/>
                <w:lang w:val="es-ES_tradnl"/>
              </w:rPr>
            </w:pPr>
            <w:r w:rsidRPr="00B36377">
              <w:rPr>
                <w:sz w:val="18"/>
                <w:szCs w:val="18"/>
                <w:lang w:val="es-ES_tradnl"/>
              </w:rPr>
              <w:t>Seguimiento y evaluación del PE</w:t>
            </w:r>
          </w:p>
          <w:p w:rsidR="00233205" w:rsidRPr="00B36377" w:rsidRDefault="00233205" w:rsidP="00233205">
            <w:pPr>
              <w:pStyle w:val="NoSpacing"/>
              <w:numPr>
                <w:ilvl w:val="0"/>
                <w:numId w:val="52"/>
              </w:numPr>
              <w:ind w:left="309" w:hanging="309"/>
              <w:rPr>
                <w:sz w:val="18"/>
                <w:szCs w:val="18"/>
                <w:lang w:val="es-ES_tradnl"/>
              </w:rPr>
            </w:pPr>
            <w:r w:rsidRPr="00B36377">
              <w:rPr>
                <w:sz w:val="18"/>
                <w:szCs w:val="18"/>
                <w:lang w:val="es-ES_tradnl"/>
              </w:rPr>
              <w:t>Informes</w:t>
            </w:r>
          </w:p>
          <w:p w:rsidR="00233205" w:rsidRPr="00B36377" w:rsidRDefault="00233205" w:rsidP="00E30BEC">
            <w:pPr>
              <w:pStyle w:val="NoSpacing"/>
              <w:ind w:left="309"/>
              <w:rPr>
                <w:sz w:val="18"/>
                <w:szCs w:val="18"/>
                <w:lang w:val="es-ES_tradnl"/>
              </w:rPr>
            </w:pPr>
          </w:p>
        </w:tc>
        <w:tc>
          <w:tcPr>
            <w:tcW w:w="777" w:type="pct"/>
          </w:tcPr>
          <w:p w:rsidR="00233205" w:rsidRPr="00B36377" w:rsidRDefault="00233205" w:rsidP="00233205">
            <w:pPr>
              <w:pStyle w:val="NoSpacing"/>
              <w:numPr>
                <w:ilvl w:val="0"/>
                <w:numId w:val="50"/>
              </w:numPr>
              <w:ind w:left="223" w:hanging="223"/>
              <w:rPr>
                <w:sz w:val="18"/>
                <w:szCs w:val="18"/>
                <w:lang w:val="es-ES_tradnl"/>
              </w:rPr>
            </w:pPr>
            <w:r w:rsidRPr="00B36377">
              <w:rPr>
                <w:sz w:val="18"/>
                <w:szCs w:val="18"/>
                <w:lang w:val="es-ES_tradnl"/>
              </w:rPr>
              <w:t>La estrategia y el plan se focalizan específicamente en atender las necesidades reales y las lecciones aprendidas</w:t>
            </w:r>
          </w:p>
          <w:p w:rsidR="00233205" w:rsidRPr="00B36377" w:rsidRDefault="00233205" w:rsidP="00E30BEC">
            <w:pPr>
              <w:pStyle w:val="NoSpacing"/>
              <w:ind w:left="223"/>
              <w:rPr>
                <w:sz w:val="16"/>
                <w:szCs w:val="18"/>
                <w:lang w:val="es-ES_tradnl"/>
              </w:rPr>
            </w:pPr>
          </w:p>
          <w:p w:rsidR="00233205" w:rsidRPr="00B36377" w:rsidRDefault="00233205" w:rsidP="00233205">
            <w:pPr>
              <w:pStyle w:val="NoSpacing"/>
              <w:numPr>
                <w:ilvl w:val="0"/>
                <w:numId w:val="50"/>
              </w:numPr>
              <w:ind w:left="223" w:hanging="223"/>
              <w:rPr>
                <w:sz w:val="18"/>
                <w:szCs w:val="18"/>
                <w:lang w:val="es-ES_tradnl"/>
              </w:rPr>
            </w:pPr>
            <w:r w:rsidRPr="00B36377">
              <w:rPr>
                <w:sz w:val="18"/>
                <w:szCs w:val="18"/>
                <w:lang w:val="es-ES_tradnl"/>
              </w:rPr>
              <w:t>Eficiencia y eficacia en la utilización de los recursos</w:t>
            </w:r>
          </w:p>
          <w:p w:rsidR="00233205" w:rsidRPr="00B36377" w:rsidRDefault="00233205" w:rsidP="00E30BEC">
            <w:pPr>
              <w:pStyle w:val="NoSpacing"/>
              <w:ind w:left="223"/>
              <w:rPr>
                <w:sz w:val="16"/>
                <w:szCs w:val="18"/>
                <w:lang w:val="es-ES_tradnl"/>
              </w:rPr>
            </w:pPr>
          </w:p>
          <w:p w:rsidR="00233205" w:rsidRPr="00B36377" w:rsidRDefault="00233205" w:rsidP="00233205">
            <w:pPr>
              <w:pStyle w:val="NoSpacing"/>
              <w:numPr>
                <w:ilvl w:val="0"/>
                <w:numId w:val="50"/>
              </w:numPr>
              <w:ind w:left="223" w:hanging="223"/>
              <w:rPr>
                <w:rFonts w:cstheme="majorBidi"/>
                <w:b/>
                <w:bCs/>
                <w:i/>
                <w:iCs/>
                <w:color w:val="404040" w:themeColor="text1" w:themeTint="BF"/>
                <w:sz w:val="18"/>
                <w:szCs w:val="18"/>
                <w:lang w:val="es-ES_tradnl"/>
              </w:rPr>
            </w:pPr>
            <w:r w:rsidRPr="00B36377">
              <w:rPr>
                <w:sz w:val="18"/>
                <w:szCs w:val="18"/>
                <w:lang w:val="es-ES_tradnl"/>
              </w:rPr>
              <w:t>Aumenta  la probabilidad de alcanzar la madurez deseada y necesaria para el control externo en Colombia</w:t>
            </w:r>
          </w:p>
        </w:tc>
        <w:tc>
          <w:tcPr>
            <w:tcW w:w="517" w:type="pct"/>
          </w:tcPr>
          <w:p w:rsidR="00233205" w:rsidRPr="00B36377" w:rsidRDefault="00233205" w:rsidP="00E30BEC">
            <w:pPr>
              <w:pStyle w:val="NoSpacing"/>
              <w:rPr>
                <w:rFonts w:cstheme="majorBidi"/>
                <w:b/>
                <w:bCs/>
                <w:i/>
                <w:iCs/>
                <w:color w:val="404040" w:themeColor="text1" w:themeTint="BF"/>
                <w:sz w:val="18"/>
                <w:szCs w:val="18"/>
                <w:lang w:val="es-ES_tradnl"/>
              </w:rPr>
            </w:pPr>
            <w:r w:rsidRPr="00B36377">
              <w:rPr>
                <w:sz w:val="18"/>
                <w:szCs w:val="18"/>
                <w:lang w:val="es-ES_tradnl"/>
              </w:rPr>
              <w:t>Oficina de Planeación</w:t>
            </w:r>
          </w:p>
        </w:tc>
        <w:tc>
          <w:tcPr>
            <w:tcW w:w="465" w:type="pct"/>
          </w:tcPr>
          <w:p w:rsidR="00233205" w:rsidRPr="00B36377" w:rsidRDefault="00233205" w:rsidP="00E30BEC">
            <w:pPr>
              <w:pStyle w:val="NoSpacing"/>
              <w:rPr>
                <w:rFonts w:cstheme="majorBidi"/>
                <w:b/>
                <w:bCs/>
                <w:i/>
                <w:iCs/>
                <w:color w:val="404040" w:themeColor="text1" w:themeTint="BF"/>
                <w:sz w:val="18"/>
                <w:szCs w:val="18"/>
                <w:lang w:val="es-ES_tradnl"/>
              </w:rPr>
            </w:pPr>
            <w:r w:rsidRPr="00B36377">
              <w:rPr>
                <w:sz w:val="18"/>
                <w:szCs w:val="18"/>
                <w:lang w:val="es-ES_tradnl"/>
              </w:rPr>
              <w:t>2do. Semestre de  2015</w:t>
            </w:r>
          </w:p>
        </w:tc>
        <w:tc>
          <w:tcPr>
            <w:tcW w:w="579" w:type="pct"/>
          </w:tcPr>
          <w:p w:rsidR="00233205" w:rsidRPr="00B36377" w:rsidRDefault="00233205" w:rsidP="00E30BEC">
            <w:pPr>
              <w:pStyle w:val="NoSpacing"/>
              <w:rPr>
                <w:rFonts w:cstheme="majorBidi"/>
                <w:b/>
                <w:bCs/>
                <w:color w:val="4F81BD" w:themeColor="accent1"/>
                <w:sz w:val="18"/>
                <w:szCs w:val="18"/>
                <w:lang w:val="es-ES_tradnl"/>
              </w:rPr>
            </w:pPr>
            <w:r w:rsidRPr="00B36377">
              <w:rPr>
                <w:sz w:val="18"/>
                <w:szCs w:val="18"/>
                <w:lang w:val="es-ES_tradnl"/>
              </w:rPr>
              <w:t>Metodología  Planeación Estratégica actualizada</w:t>
            </w:r>
          </w:p>
        </w:tc>
      </w:tr>
      <w:tr w:rsidR="00233205" w:rsidRPr="00B36377" w:rsidTr="00E30BEC">
        <w:trPr>
          <w:jc w:val="center"/>
        </w:trPr>
        <w:tc>
          <w:tcPr>
            <w:tcW w:w="177" w:type="pct"/>
          </w:tcPr>
          <w:p w:rsidR="00233205" w:rsidRPr="00B36377" w:rsidRDefault="00233205" w:rsidP="00E30BEC">
            <w:pPr>
              <w:pStyle w:val="NoSpacing"/>
              <w:jc w:val="center"/>
              <w:rPr>
                <w:rFonts w:cstheme="majorBidi"/>
                <w:b/>
                <w:bCs/>
                <w:i/>
                <w:iCs/>
                <w:color w:val="404040" w:themeColor="text1" w:themeTint="BF"/>
                <w:sz w:val="18"/>
                <w:szCs w:val="18"/>
                <w:lang w:val="es-ES_tradnl"/>
              </w:rPr>
            </w:pPr>
            <w:r w:rsidRPr="00B36377">
              <w:rPr>
                <w:sz w:val="18"/>
                <w:szCs w:val="18"/>
                <w:lang w:val="es-ES_tradnl"/>
              </w:rPr>
              <w:t>9</w:t>
            </w:r>
          </w:p>
        </w:tc>
        <w:tc>
          <w:tcPr>
            <w:tcW w:w="362" w:type="pct"/>
          </w:tcPr>
          <w:p w:rsidR="00233205" w:rsidRPr="00B825AF" w:rsidRDefault="00233205" w:rsidP="00E30BEC">
            <w:pPr>
              <w:pStyle w:val="NoSpacing"/>
              <w:jc w:val="center"/>
              <w:rPr>
                <w:rFonts w:cstheme="majorBidi"/>
                <w:b/>
                <w:bCs/>
                <w:i/>
                <w:iCs/>
                <w:color w:val="404040" w:themeColor="text1" w:themeTint="BF"/>
                <w:sz w:val="18"/>
                <w:szCs w:val="18"/>
                <w:lang w:val="pt-BR"/>
              </w:rPr>
            </w:pPr>
            <w:proofErr w:type="gramStart"/>
            <w:r w:rsidRPr="00B825AF">
              <w:rPr>
                <w:sz w:val="18"/>
                <w:szCs w:val="18"/>
                <w:lang w:val="pt-BR"/>
              </w:rPr>
              <w:t>EFS-8 (</w:t>
            </w:r>
            <w:proofErr w:type="spellStart"/>
            <w:r w:rsidRPr="00B825AF">
              <w:rPr>
                <w:sz w:val="18"/>
                <w:szCs w:val="18"/>
                <w:lang w:val="pt-BR"/>
              </w:rPr>
              <w:t>iii</w:t>
            </w:r>
            <w:proofErr w:type="spellEnd"/>
            <w:r w:rsidRPr="00B825AF">
              <w:rPr>
                <w:sz w:val="18"/>
                <w:szCs w:val="18"/>
                <w:lang w:val="pt-BR"/>
              </w:rPr>
              <w:t>) a), b)</w:t>
            </w:r>
            <w:proofErr w:type="gramEnd"/>
            <w:r w:rsidRPr="00B825AF">
              <w:rPr>
                <w:sz w:val="18"/>
                <w:szCs w:val="18"/>
                <w:lang w:val="pt-BR"/>
              </w:rPr>
              <w:t>, d), e), g)</w:t>
            </w:r>
          </w:p>
          <w:p w:rsidR="00233205" w:rsidRPr="00B825AF" w:rsidRDefault="00233205" w:rsidP="00E30BEC">
            <w:pPr>
              <w:pStyle w:val="NoSpacing"/>
              <w:jc w:val="center"/>
              <w:rPr>
                <w:sz w:val="18"/>
                <w:szCs w:val="18"/>
                <w:lang w:val="pt-BR"/>
              </w:rPr>
            </w:pPr>
          </w:p>
          <w:p w:rsidR="00233205" w:rsidRPr="00B825AF" w:rsidRDefault="00233205" w:rsidP="00E30BEC">
            <w:pPr>
              <w:pStyle w:val="NoSpacing"/>
              <w:jc w:val="center"/>
              <w:rPr>
                <w:sz w:val="18"/>
                <w:szCs w:val="18"/>
                <w:lang w:val="pt-BR"/>
              </w:rPr>
            </w:pPr>
          </w:p>
        </w:tc>
        <w:tc>
          <w:tcPr>
            <w:tcW w:w="777" w:type="pct"/>
          </w:tcPr>
          <w:p w:rsidR="00233205" w:rsidRPr="00B36377" w:rsidRDefault="00233205" w:rsidP="00E30BEC">
            <w:pPr>
              <w:pStyle w:val="NoSpacing"/>
              <w:rPr>
                <w:sz w:val="18"/>
                <w:szCs w:val="18"/>
                <w:lang w:val="es-ES_tradnl"/>
              </w:rPr>
            </w:pPr>
            <w:r w:rsidRPr="00B36377">
              <w:rPr>
                <w:sz w:val="18"/>
                <w:szCs w:val="18"/>
                <w:lang w:val="es-ES_tradnl"/>
              </w:rPr>
              <w:t>El procedimiento para el PAA no considera aspectos como:</w:t>
            </w:r>
          </w:p>
          <w:p w:rsidR="00233205" w:rsidRPr="00B36377" w:rsidRDefault="00233205" w:rsidP="00233205">
            <w:pPr>
              <w:pStyle w:val="NoSpacing"/>
              <w:numPr>
                <w:ilvl w:val="0"/>
                <w:numId w:val="53"/>
              </w:numPr>
              <w:ind w:left="187" w:hanging="180"/>
              <w:rPr>
                <w:sz w:val="18"/>
                <w:szCs w:val="18"/>
                <w:lang w:val="es-ES_tradnl"/>
              </w:rPr>
            </w:pPr>
            <w:r w:rsidRPr="00B36377">
              <w:rPr>
                <w:sz w:val="18"/>
                <w:szCs w:val="18"/>
                <w:lang w:val="es-ES_tradnl"/>
              </w:rPr>
              <w:t>Recursos en términos de los aportes que las diferentes áreas de la organización proporcionan al plan</w:t>
            </w:r>
          </w:p>
          <w:p w:rsidR="00233205" w:rsidRPr="00B36377" w:rsidRDefault="00233205" w:rsidP="00233205">
            <w:pPr>
              <w:pStyle w:val="NoSpacing"/>
              <w:numPr>
                <w:ilvl w:val="0"/>
                <w:numId w:val="53"/>
              </w:numPr>
              <w:ind w:left="187" w:hanging="180"/>
              <w:rPr>
                <w:sz w:val="18"/>
                <w:szCs w:val="18"/>
                <w:lang w:val="es-ES_tradnl"/>
              </w:rPr>
            </w:pPr>
            <w:r w:rsidRPr="00B36377">
              <w:rPr>
                <w:sz w:val="18"/>
                <w:szCs w:val="18"/>
                <w:lang w:val="es-ES_tradnl"/>
              </w:rPr>
              <w:t>Presupuesto requerido para ejecutar las actividades</w:t>
            </w:r>
          </w:p>
          <w:p w:rsidR="00233205" w:rsidRPr="00B36377" w:rsidRDefault="00233205" w:rsidP="00233205">
            <w:pPr>
              <w:pStyle w:val="NoSpacing"/>
              <w:numPr>
                <w:ilvl w:val="0"/>
                <w:numId w:val="53"/>
              </w:numPr>
              <w:ind w:left="187" w:hanging="180"/>
              <w:rPr>
                <w:sz w:val="18"/>
                <w:szCs w:val="18"/>
                <w:lang w:val="es-ES_tradnl"/>
              </w:rPr>
            </w:pPr>
            <w:r w:rsidRPr="00B36377">
              <w:rPr>
                <w:sz w:val="18"/>
                <w:szCs w:val="18"/>
                <w:lang w:val="es-ES_tradnl"/>
              </w:rPr>
              <w:t>Referencias al desempeño actual e hitos para los indicadores principales</w:t>
            </w:r>
          </w:p>
        </w:tc>
        <w:tc>
          <w:tcPr>
            <w:tcW w:w="1346" w:type="pct"/>
          </w:tcPr>
          <w:p w:rsidR="00233205" w:rsidRPr="00B36377" w:rsidRDefault="00233205" w:rsidP="00E30BEC">
            <w:pPr>
              <w:pStyle w:val="NoSpacing"/>
              <w:rPr>
                <w:sz w:val="18"/>
                <w:szCs w:val="18"/>
                <w:lang w:val="es-ES_tradnl"/>
              </w:rPr>
            </w:pPr>
            <w:r w:rsidRPr="00B36377">
              <w:rPr>
                <w:sz w:val="18"/>
                <w:szCs w:val="18"/>
                <w:lang w:val="es-ES_tradnl"/>
              </w:rPr>
              <w:t>Revisar y actualizar el procedimiento para la formulación del PAA y su documentación para incorporar:</w:t>
            </w:r>
          </w:p>
          <w:p w:rsidR="00233205" w:rsidRPr="00B36377" w:rsidRDefault="00233205" w:rsidP="00233205">
            <w:pPr>
              <w:pStyle w:val="NoSpacing"/>
              <w:numPr>
                <w:ilvl w:val="0"/>
                <w:numId w:val="54"/>
              </w:numPr>
              <w:ind w:left="219" w:hanging="219"/>
              <w:rPr>
                <w:sz w:val="18"/>
                <w:szCs w:val="18"/>
                <w:lang w:val="es-ES_tradnl"/>
              </w:rPr>
            </w:pPr>
            <w:r w:rsidRPr="00B36377">
              <w:rPr>
                <w:sz w:val="18"/>
                <w:szCs w:val="18"/>
                <w:lang w:val="es-ES_tradnl"/>
              </w:rPr>
              <w:t>La estimación de los recursos requeridos tanto a nivel de aportes internos como de presupuesto.</w:t>
            </w:r>
          </w:p>
          <w:p w:rsidR="00233205" w:rsidRPr="00B36377" w:rsidRDefault="00233205" w:rsidP="00233205">
            <w:pPr>
              <w:pStyle w:val="NoSpacing"/>
              <w:numPr>
                <w:ilvl w:val="0"/>
                <w:numId w:val="54"/>
              </w:numPr>
              <w:ind w:left="219" w:hanging="219"/>
              <w:rPr>
                <w:sz w:val="18"/>
                <w:szCs w:val="18"/>
                <w:lang w:val="es-ES_tradnl"/>
              </w:rPr>
            </w:pPr>
            <w:r w:rsidRPr="00B36377">
              <w:rPr>
                <w:sz w:val="18"/>
                <w:szCs w:val="18"/>
                <w:lang w:val="es-ES_tradnl"/>
              </w:rPr>
              <w:t>La identificación de los riesgos que podrían limitar la implementación de las actividades.</w:t>
            </w:r>
          </w:p>
          <w:p w:rsidR="00233205" w:rsidRPr="00B36377" w:rsidRDefault="00233205" w:rsidP="00233205">
            <w:pPr>
              <w:pStyle w:val="NoSpacing"/>
              <w:numPr>
                <w:ilvl w:val="0"/>
                <w:numId w:val="54"/>
              </w:numPr>
              <w:ind w:left="219" w:hanging="219"/>
              <w:rPr>
                <w:sz w:val="18"/>
                <w:szCs w:val="18"/>
                <w:lang w:val="es-ES_tradnl"/>
              </w:rPr>
            </w:pPr>
            <w:r w:rsidRPr="00B36377">
              <w:rPr>
                <w:sz w:val="18"/>
                <w:szCs w:val="18"/>
                <w:lang w:val="es-ES_tradnl"/>
              </w:rPr>
              <w:t>Los nombres de los cargos responsables, como apoyo al seguimiento a la gestión.</w:t>
            </w:r>
          </w:p>
          <w:p w:rsidR="00233205" w:rsidRPr="00B36377" w:rsidRDefault="00233205" w:rsidP="00233205">
            <w:pPr>
              <w:pStyle w:val="NoSpacing"/>
              <w:numPr>
                <w:ilvl w:val="0"/>
                <w:numId w:val="54"/>
              </w:numPr>
              <w:ind w:left="219" w:hanging="219"/>
              <w:rPr>
                <w:color w:val="000000"/>
                <w:sz w:val="18"/>
                <w:szCs w:val="18"/>
                <w:lang w:val="es-ES_tradnl"/>
              </w:rPr>
            </w:pPr>
            <w:r w:rsidRPr="00B36377">
              <w:rPr>
                <w:sz w:val="18"/>
                <w:szCs w:val="18"/>
                <w:lang w:val="es-ES_tradnl"/>
              </w:rPr>
              <w:t>La necesidad de establecer la línea de base y los hitos para los principales indicadores.</w:t>
            </w:r>
          </w:p>
          <w:p w:rsidR="00233205" w:rsidRPr="00B36377" w:rsidRDefault="00233205" w:rsidP="00E30BEC">
            <w:pPr>
              <w:pStyle w:val="NoSpacing"/>
              <w:rPr>
                <w:color w:val="000000"/>
                <w:sz w:val="18"/>
                <w:szCs w:val="18"/>
                <w:lang w:val="es-ES_tradnl"/>
              </w:rPr>
            </w:pPr>
          </w:p>
        </w:tc>
        <w:tc>
          <w:tcPr>
            <w:tcW w:w="777" w:type="pct"/>
          </w:tcPr>
          <w:p w:rsidR="00233205" w:rsidRPr="00B36377" w:rsidRDefault="00233205" w:rsidP="00233205">
            <w:pPr>
              <w:pStyle w:val="NoSpacing"/>
              <w:numPr>
                <w:ilvl w:val="0"/>
                <w:numId w:val="50"/>
              </w:numPr>
              <w:ind w:left="223" w:hanging="223"/>
              <w:rPr>
                <w:sz w:val="18"/>
                <w:szCs w:val="18"/>
                <w:lang w:val="es-ES_tradnl"/>
              </w:rPr>
            </w:pPr>
            <w:r w:rsidRPr="00B36377">
              <w:rPr>
                <w:sz w:val="18"/>
                <w:szCs w:val="18"/>
                <w:lang w:val="es-ES_tradnl"/>
              </w:rPr>
              <w:t>El PAA deja de ser una declaración de ideales y se puede administrar</w:t>
            </w:r>
          </w:p>
          <w:p w:rsidR="00233205" w:rsidRPr="00B36377" w:rsidRDefault="00233205" w:rsidP="00E30BEC">
            <w:pPr>
              <w:pStyle w:val="NoSpacing"/>
              <w:ind w:left="223"/>
              <w:rPr>
                <w:sz w:val="14"/>
                <w:szCs w:val="18"/>
                <w:lang w:val="es-ES_tradnl"/>
              </w:rPr>
            </w:pPr>
          </w:p>
          <w:p w:rsidR="00233205" w:rsidRPr="00B36377" w:rsidRDefault="00233205" w:rsidP="00233205">
            <w:pPr>
              <w:pStyle w:val="NoSpacing"/>
              <w:numPr>
                <w:ilvl w:val="0"/>
                <w:numId w:val="50"/>
              </w:numPr>
              <w:ind w:left="223" w:hanging="223"/>
              <w:rPr>
                <w:sz w:val="18"/>
                <w:szCs w:val="18"/>
                <w:lang w:val="es-ES_tradnl"/>
              </w:rPr>
            </w:pPr>
            <w:r w:rsidRPr="00B36377">
              <w:rPr>
                <w:sz w:val="18"/>
                <w:szCs w:val="18"/>
                <w:lang w:val="es-ES_tradnl"/>
              </w:rPr>
              <w:t>Los recursos se focalizan  al logro de los objetivos y se pueden tomar medidas durante la ejecución en forma oportuna para mejorar la eficacia y eficiencia en la ejecución del PAA</w:t>
            </w:r>
          </w:p>
          <w:p w:rsidR="00233205" w:rsidRPr="00B36377" w:rsidRDefault="00233205" w:rsidP="00E30BEC">
            <w:pPr>
              <w:pStyle w:val="NoSpacing"/>
              <w:rPr>
                <w:sz w:val="10"/>
                <w:szCs w:val="18"/>
                <w:lang w:val="es-ES_tradnl"/>
              </w:rPr>
            </w:pPr>
          </w:p>
          <w:p w:rsidR="00233205" w:rsidRPr="00B36377" w:rsidRDefault="00233205" w:rsidP="00233205">
            <w:pPr>
              <w:pStyle w:val="NoSpacing"/>
              <w:numPr>
                <w:ilvl w:val="0"/>
                <w:numId w:val="50"/>
              </w:numPr>
              <w:ind w:left="223" w:hanging="223"/>
              <w:rPr>
                <w:sz w:val="18"/>
                <w:szCs w:val="18"/>
                <w:lang w:val="es-ES_tradnl"/>
              </w:rPr>
            </w:pPr>
            <w:r w:rsidRPr="00B36377">
              <w:rPr>
                <w:sz w:val="18"/>
                <w:szCs w:val="18"/>
                <w:lang w:val="es-ES_tradnl"/>
              </w:rPr>
              <w:t>El PAA dispone de recursos financieros y aumenta su efectividad.</w:t>
            </w:r>
          </w:p>
        </w:tc>
        <w:tc>
          <w:tcPr>
            <w:tcW w:w="517" w:type="pct"/>
          </w:tcPr>
          <w:p w:rsidR="00233205" w:rsidRPr="00B36377" w:rsidRDefault="00233205" w:rsidP="00E30BEC">
            <w:pPr>
              <w:pStyle w:val="NoSpacing"/>
              <w:rPr>
                <w:rFonts w:cstheme="majorBidi"/>
                <w:b/>
                <w:bCs/>
                <w:i/>
                <w:iCs/>
                <w:color w:val="404040" w:themeColor="text1" w:themeTint="BF"/>
                <w:sz w:val="18"/>
                <w:szCs w:val="18"/>
                <w:lang w:val="es-ES_tradnl"/>
              </w:rPr>
            </w:pPr>
            <w:r w:rsidRPr="00B36377">
              <w:rPr>
                <w:sz w:val="18"/>
                <w:szCs w:val="18"/>
                <w:lang w:val="es-ES_tradnl"/>
              </w:rPr>
              <w:t>Oficina de Planeación</w:t>
            </w:r>
          </w:p>
        </w:tc>
        <w:tc>
          <w:tcPr>
            <w:tcW w:w="465" w:type="pct"/>
          </w:tcPr>
          <w:p w:rsidR="00233205" w:rsidRPr="00B36377" w:rsidRDefault="00233205" w:rsidP="00E30BEC">
            <w:pPr>
              <w:pStyle w:val="NoSpacing"/>
              <w:rPr>
                <w:rFonts w:cstheme="majorBidi"/>
                <w:b/>
                <w:bCs/>
                <w:i/>
                <w:iCs/>
                <w:color w:val="404040" w:themeColor="text1" w:themeTint="BF"/>
                <w:sz w:val="18"/>
                <w:szCs w:val="18"/>
                <w:lang w:val="es-ES_tradnl"/>
              </w:rPr>
            </w:pPr>
            <w:r w:rsidRPr="00B36377">
              <w:rPr>
                <w:sz w:val="18"/>
                <w:szCs w:val="18"/>
                <w:lang w:val="es-ES_tradnl"/>
              </w:rPr>
              <w:t>2do. Semestre de  2015</w:t>
            </w:r>
          </w:p>
        </w:tc>
        <w:tc>
          <w:tcPr>
            <w:tcW w:w="579" w:type="pct"/>
          </w:tcPr>
          <w:p w:rsidR="00233205" w:rsidRPr="00B36377" w:rsidRDefault="00233205" w:rsidP="00E30BEC">
            <w:pPr>
              <w:pStyle w:val="NoSpacing"/>
              <w:rPr>
                <w:rFonts w:cstheme="majorBidi"/>
                <w:b/>
                <w:bCs/>
                <w:i/>
                <w:iCs/>
                <w:color w:val="404040" w:themeColor="text1" w:themeTint="BF"/>
                <w:sz w:val="18"/>
                <w:szCs w:val="18"/>
                <w:lang w:val="es-ES_tradnl"/>
              </w:rPr>
            </w:pPr>
            <w:r w:rsidRPr="00B36377">
              <w:rPr>
                <w:sz w:val="18"/>
                <w:szCs w:val="18"/>
                <w:lang w:val="es-ES_tradnl"/>
              </w:rPr>
              <w:t>Metodología  PAA  actualizada</w:t>
            </w:r>
          </w:p>
          <w:p w:rsidR="00233205" w:rsidRPr="00B36377" w:rsidRDefault="00233205" w:rsidP="00E30BEC">
            <w:pPr>
              <w:pStyle w:val="NoSpacing"/>
              <w:rPr>
                <w:sz w:val="18"/>
                <w:szCs w:val="18"/>
                <w:lang w:val="es-ES_tradnl"/>
              </w:rPr>
            </w:pPr>
          </w:p>
          <w:p w:rsidR="00233205" w:rsidRPr="00B36377" w:rsidRDefault="00233205" w:rsidP="00E30BEC">
            <w:pPr>
              <w:pStyle w:val="NoSpacing"/>
              <w:rPr>
                <w:rFonts w:cstheme="majorBidi"/>
                <w:b/>
                <w:bCs/>
                <w:i/>
                <w:iCs/>
                <w:color w:val="404040" w:themeColor="text1" w:themeTint="BF"/>
                <w:sz w:val="18"/>
                <w:szCs w:val="18"/>
                <w:lang w:val="es-ES_tradnl"/>
              </w:rPr>
            </w:pPr>
            <w:r w:rsidRPr="00B36377">
              <w:rPr>
                <w:sz w:val="18"/>
                <w:szCs w:val="18"/>
                <w:lang w:val="es-ES_tradnl"/>
              </w:rPr>
              <w:t>PAA 2016</w:t>
            </w:r>
          </w:p>
        </w:tc>
      </w:tr>
      <w:tr w:rsidR="00233205" w:rsidRPr="00B36377" w:rsidTr="00E30BEC">
        <w:trPr>
          <w:jc w:val="center"/>
        </w:trPr>
        <w:tc>
          <w:tcPr>
            <w:tcW w:w="177" w:type="pct"/>
          </w:tcPr>
          <w:p w:rsidR="00233205" w:rsidRPr="00B36377" w:rsidRDefault="00233205" w:rsidP="00E30BEC">
            <w:pPr>
              <w:pStyle w:val="NoSpacing"/>
              <w:jc w:val="center"/>
              <w:rPr>
                <w:rFonts w:cstheme="majorBidi"/>
                <w:b/>
                <w:bCs/>
                <w:i/>
                <w:iCs/>
                <w:color w:val="404040" w:themeColor="text1" w:themeTint="BF"/>
                <w:sz w:val="18"/>
                <w:szCs w:val="18"/>
                <w:lang w:val="es-ES_tradnl"/>
              </w:rPr>
            </w:pPr>
            <w:r w:rsidRPr="00B36377">
              <w:rPr>
                <w:sz w:val="18"/>
                <w:szCs w:val="18"/>
                <w:lang w:val="es-ES_tradnl"/>
              </w:rPr>
              <w:lastRenderedPageBreak/>
              <w:t>10</w:t>
            </w:r>
          </w:p>
        </w:tc>
        <w:tc>
          <w:tcPr>
            <w:tcW w:w="362" w:type="pct"/>
          </w:tcPr>
          <w:p w:rsidR="00233205" w:rsidRPr="00B825AF" w:rsidRDefault="00233205" w:rsidP="00E30BEC">
            <w:pPr>
              <w:pStyle w:val="NoSpacing"/>
              <w:jc w:val="center"/>
              <w:rPr>
                <w:rFonts w:cstheme="majorBidi"/>
                <w:b/>
                <w:bCs/>
                <w:i/>
                <w:iCs/>
                <w:color w:val="404040" w:themeColor="text1" w:themeTint="BF"/>
                <w:sz w:val="18"/>
                <w:szCs w:val="18"/>
                <w:lang w:val="pt-BR"/>
              </w:rPr>
            </w:pPr>
            <w:proofErr w:type="gramStart"/>
            <w:r w:rsidRPr="00B825AF">
              <w:rPr>
                <w:sz w:val="18"/>
                <w:szCs w:val="18"/>
                <w:lang w:val="pt-BR"/>
              </w:rPr>
              <w:t>EFS-8 (i) d)</w:t>
            </w:r>
            <w:proofErr w:type="gramEnd"/>
          </w:p>
          <w:p w:rsidR="00233205" w:rsidRPr="00B825AF" w:rsidRDefault="00233205" w:rsidP="00E30BEC">
            <w:pPr>
              <w:pStyle w:val="NoSpacing"/>
              <w:jc w:val="center"/>
              <w:rPr>
                <w:sz w:val="18"/>
                <w:szCs w:val="18"/>
                <w:lang w:val="pt-BR"/>
              </w:rPr>
            </w:pPr>
          </w:p>
          <w:p w:rsidR="00233205" w:rsidRPr="00B825AF" w:rsidRDefault="00233205" w:rsidP="00E30BEC">
            <w:pPr>
              <w:pStyle w:val="NoSpacing"/>
              <w:jc w:val="center"/>
              <w:rPr>
                <w:rFonts w:cstheme="majorBidi"/>
                <w:b/>
                <w:bCs/>
                <w:i/>
                <w:iCs/>
                <w:color w:val="404040" w:themeColor="text1" w:themeTint="BF"/>
                <w:sz w:val="18"/>
                <w:szCs w:val="18"/>
                <w:lang w:val="pt-BR"/>
              </w:rPr>
            </w:pPr>
            <w:proofErr w:type="gramStart"/>
            <w:r w:rsidRPr="00B825AF">
              <w:rPr>
                <w:sz w:val="18"/>
                <w:szCs w:val="18"/>
                <w:lang w:val="pt-BR"/>
              </w:rPr>
              <w:t>EFS-8 (</w:t>
            </w:r>
            <w:proofErr w:type="spellStart"/>
            <w:r w:rsidRPr="00B825AF">
              <w:rPr>
                <w:sz w:val="18"/>
                <w:szCs w:val="18"/>
                <w:lang w:val="pt-BR"/>
              </w:rPr>
              <w:t>iii</w:t>
            </w:r>
            <w:proofErr w:type="spellEnd"/>
            <w:r w:rsidRPr="00B825AF">
              <w:rPr>
                <w:sz w:val="18"/>
                <w:szCs w:val="18"/>
                <w:lang w:val="pt-BR"/>
              </w:rPr>
              <w:t>) e)</w:t>
            </w:r>
            <w:proofErr w:type="gramEnd"/>
          </w:p>
        </w:tc>
        <w:tc>
          <w:tcPr>
            <w:tcW w:w="777" w:type="pct"/>
          </w:tcPr>
          <w:p w:rsidR="00233205" w:rsidRPr="00B36377" w:rsidRDefault="00233205" w:rsidP="00E30BEC">
            <w:pPr>
              <w:pStyle w:val="NoSpacing"/>
              <w:rPr>
                <w:sz w:val="18"/>
                <w:szCs w:val="18"/>
                <w:lang w:val="es-ES_tradnl"/>
              </w:rPr>
            </w:pPr>
            <w:r w:rsidRPr="00B36377">
              <w:rPr>
                <w:color w:val="000000"/>
                <w:sz w:val="18"/>
                <w:szCs w:val="18"/>
                <w:lang w:val="es-ES_tradnl"/>
              </w:rPr>
              <w:t xml:space="preserve">El PE y el PAA no se complementan con una evaluación de los riesgos </w:t>
            </w:r>
            <w:r w:rsidRPr="00B36377">
              <w:rPr>
                <w:sz w:val="18"/>
                <w:szCs w:val="18"/>
                <w:lang w:val="es-ES_tradnl"/>
              </w:rPr>
              <w:t>que pueden llegar a limitar el logro de los objetivos planteados</w:t>
            </w:r>
          </w:p>
        </w:tc>
        <w:tc>
          <w:tcPr>
            <w:tcW w:w="1346" w:type="pct"/>
          </w:tcPr>
          <w:p w:rsidR="00233205" w:rsidRPr="00B36377" w:rsidRDefault="00233205" w:rsidP="00E30BEC">
            <w:pPr>
              <w:pStyle w:val="NoSpacing"/>
              <w:rPr>
                <w:sz w:val="18"/>
                <w:szCs w:val="18"/>
                <w:lang w:val="es-ES_tradnl"/>
              </w:rPr>
            </w:pPr>
            <w:r w:rsidRPr="00B36377">
              <w:rPr>
                <w:sz w:val="18"/>
                <w:szCs w:val="18"/>
                <w:lang w:val="es-ES_tradnl"/>
              </w:rPr>
              <w:t>Actualizar la metodología para gestión de riesgos, para incorporar el requerimiento de realizar análisis tanto a nivel de Plan Estratégico como de los Planes de Acción Anuales.</w:t>
            </w:r>
          </w:p>
        </w:tc>
        <w:tc>
          <w:tcPr>
            <w:tcW w:w="777" w:type="pct"/>
          </w:tcPr>
          <w:p w:rsidR="00233205" w:rsidRPr="00B36377" w:rsidRDefault="00233205" w:rsidP="00E30BEC">
            <w:pPr>
              <w:pStyle w:val="NoSpacing"/>
              <w:rPr>
                <w:sz w:val="18"/>
                <w:szCs w:val="18"/>
                <w:lang w:val="es-ES_tradnl"/>
              </w:rPr>
            </w:pPr>
            <w:r w:rsidRPr="00B36377">
              <w:rPr>
                <w:sz w:val="18"/>
                <w:szCs w:val="18"/>
                <w:lang w:val="es-ES_tradnl"/>
              </w:rPr>
              <w:t>Los recursos se focalizan en el logro de los objetivos y se pueden tomar medidas durante la ejecución de manera oportuna, para mejorar la eficacia y eficiencia en la gestión</w:t>
            </w:r>
          </w:p>
          <w:p w:rsidR="00233205" w:rsidRPr="00B36377" w:rsidRDefault="00233205" w:rsidP="00E30BEC">
            <w:pPr>
              <w:pStyle w:val="NoSpacing"/>
              <w:rPr>
                <w:sz w:val="18"/>
                <w:szCs w:val="18"/>
                <w:lang w:val="es-ES_tradnl"/>
              </w:rPr>
            </w:pPr>
          </w:p>
        </w:tc>
        <w:tc>
          <w:tcPr>
            <w:tcW w:w="517" w:type="pct"/>
          </w:tcPr>
          <w:p w:rsidR="00233205" w:rsidRPr="00B36377" w:rsidRDefault="00233205" w:rsidP="00E30BEC">
            <w:pPr>
              <w:pStyle w:val="NoSpacing"/>
              <w:rPr>
                <w:rFonts w:cstheme="majorBidi"/>
                <w:b/>
                <w:bCs/>
                <w:i/>
                <w:iCs/>
                <w:color w:val="404040" w:themeColor="text1" w:themeTint="BF"/>
                <w:sz w:val="18"/>
                <w:szCs w:val="18"/>
                <w:lang w:val="es-ES_tradnl"/>
              </w:rPr>
            </w:pPr>
            <w:r w:rsidRPr="00B36377">
              <w:rPr>
                <w:sz w:val="18"/>
                <w:szCs w:val="18"/>
                <w:lang w:val="es-ES_tradnl"/>
              </w:rPr>
              <w:t>Oficina de Planeación</w:t>
            </w:r>
          </w:p>
        </w:tc>
        <w:tc>
          <w:tcPr>
            <w:tcW w:w="465" w:type="pct"/>
          </w:tcPr>
          <w:p w:rsidR="00233205" w:rsidRPr="00B36377" w:rsidRDefault="00233205" w:rsidP="00E30BEC">
            <w:pPr>
              <w:pStyle w:val="NoSpacing"/>
              <w:rPr>
                <w:rFonts w:cstheme="majorBidi"/>
                <w:b/>
                <w:bCs/>
                <w:i/>
                <w:iCs/>
                <w:color w:val="404040" w:themeColor="text1" w:themeTint="BF"/>
                <w:sz w:val="18"/>
                <w:szCs w:val="18"/>
                <w:lang w:val="es-ES_tradnl"/>
              </w:rPr>
            </w:pPr>
            <w:r w:rsidRPr="00B36377">
              <w:rPr>
                <w:sz w:val="18"/>
                <w:szCs w:val="18"/>
                <w:lang w:val="es-ES_tradnl"/>
              </w:rPr>
              <w:t>2do. Semestre de  2015</w:t>
            </w:r>
          </w:p>
        </w:tc>
        <w:tc>
          <w:tcPr>
            <w:tcW w:w="579" w:type="pct"/>
          </w:tcPr>
          <w:p w:rsidR="00233205" w:rsidRPr="00B36377" w:rsidRDefault="00233205" w:rsidP="00E30BEC">
            <w:pPr>
              <w:pStyle w:val="NoSpacing"/>
              <w:rPr>
                <w:rFonts w:cstheme="majorBidi"/>
                <w:b/>
                <w:bCs/>
                <w:i/>
                <w:iCs/>
                <w:color w:val="404040" w:themeColor="text1" w:themeTint="BF"/>
                <w:sz w:val="18"/>
                <w:szCs w:val="18"/>
                <w:lang w:val="es-ES_tradnl"/>
              </w:rPr>
            </w:pPr>
            <w:r w:rsidRPr="00B36377">
              <w:rPr>
                <w:sz w:val="18"/>
                <w:szCs w:val="18"/>
                <w:lang w:val="es-ES_tradnl"/>
              </w:rPr>
              <w:t>Metodología  Gestión de Riesgos  actualizada</w:t>
            </w:r>
          </w:p>
          <w:p w:rsidR="00233205" w:rsidRPr="00B36377" w:rsidRDefault="00233205" w:rsidP="00E30BEC">
            <w:pPr>
              <w:pStyle w:val="NoSpacing"/>
              <w:rPr>
                <w:sz w:val="18"/>
                <w:szCs w:val="18"/>
                <w:lang w:val="es-ES_tradnl"/>
              </w:rPr>
            </w:pPr>
          </w:p>
          <w:p w:rsidR="00233205" w:rsidRPr="00B36377" w:rsidRDefault="00233205" w:rsidP="00E30BEC">
            <w:pPr>
              <w:pStyle w:val="NoSpacing"/>
              <w:rPr>
                <w:rFonts w:cstheme="majorBidi"/>
                <w:b/>
                <w:bCs/>
                <w:i/>
                <w:iCs/>
                <w:color w:val="404040" w:themeColor="text1" w:themeTint="BF"/>
                <w:sz w:val="18"/>
                <w:szCs w:val="18"/>
                <w:lang w:val="es-ES_tradnl"/>
              </w:rPr>
            </w:pPr>
            <w:r w:rsidRPr="00B36377">
              <w:rPr>
                <w:sz w:val="18"/>
                <w:szCs w:val="18"/>
                <w:lang w:val="es-ES_tradnl"/>
              </w:rPr>
              <w:t>PAA 2016</w:t>
            </w:r>
          </w:p>
        </w:tc>
      </w:tr>
      <w:tr w:rsidR="00233205" w:rsidRPr="00B36377" w:rsidTr="00E30BEC">
        <w:trPr>
          <w:jc w:val="center"/>
        </w:trPr>
        <w:tc>
          <w:tcPr>
            <w:tcW w:w="5000" w:type="pct"/>
            <w:gridSpan w:val="8"/>
            <w:shd w:val="clear" w:color="auto" w:fill="D9D9D9" w:themeFill="background1" w:themeFillShade="D9"/>
          </w:tcPr>
          <w:p w:rsidR="00233205" w:rsidRPr="00B36377" w:rsidRDefault="00233205" w:rsidP="00E30BEC">
            <w:pPr>
              <w:pStyle w:val="NoSpacing"/>
              <w:jc w:val="center"/>
              <w:rPr>
                <w:rFonts w:cstheme="majorBidi"/>
                <w:b/>
                <w:bCs/>
                <w:i/>
                <w:iCs/>
                <w:color w:val="404040" w:themeColor="text1" w:themeTint="BF"/>
                <w:sz w:val="18"/>
                <w:szCs w:val="18"/>
                <w:lang w:val="es-ES_tradnl"/>
              </w:rPr>
            </w:pPr>
            <w:r w:rsidRPr="00B36377">
              <w:rPr>
                <w:b/>
                <w:sz w:val="18"/>
                <w:szCs w:val="18"/>
                <w:lang w:val="es-ES_tradnl"/>
              </w:rPr>
              <w:t>Dominio D – Normas y Metodología de Auditoría</w:t>
            </w:r>
          </w:p>
        </w:tc>
      </w:tr>
      <w:tr w:rsidR="00233205" w:rsidRPr="00B36377" w:rsidTr="00E30BEC">
        <w:trPr>
          <w:jc w:val="center"/>
        </w:trPr>
        <w:tc>
          <w:tcPr>
            <w:tcW w:w="177" w:type="pct"/>
          </w:tcPr>
          <w:p w:rsidR="00233205" w:rsidRPr="00B36377" w:rsidRDefault="00233205" w:rsidP="00E30BEC">
            <w:pPr>
              <w:pStyle w:val="NoSpacing"/>
              <w:jc w:val="center"/>
              <w:rPr>
                <w:rFonts w:cstheme="majorBidi"/>
                <w:b/>
                <w:bCs/>
                <w:i/>
                <w:iCs/>
                <w:color w:val="404040" w:themeColor="text1" w:themeTint="BF"/>
                <w:sz w:val="18"/>
                <w:szCs w:val="18"/>
                <w:lang w:val="es-ES_tradnl"/>
              </w:rPr>
            </w:pPr>
            <w:r w:rsidRPr="00B36377">
              <w:rPr>
                <w:sz w:val="18"/>
                <w:szCs w:val="18"/>
                <w:lang w:val="es-ES_tradnl"/>
              </w:rPr>
              <w:t>11</w:t>
            </w:r>
          </w:p>
        </w:tc>
        <w:tc>
          <w:tcPr>
            <w:tcW w:w="362" w:type="pct"/>
          </w:tcPr>
          <w:p w:rsidR="00233205" w:rsidRPr="00B825AF" w:rsidRDefault="00233205" w:rsidP="00E30BEC">
            <w:pPr>
              <w:pStyle w:val="NoSpacing"/>
              <w:jc w:val="center"/>
              <w:rPr>
                <w:rFonts w:cstheme="majorBidi"/>
                <w:b/>
                <w:bCs/>
                <w:i/>
                <w:iCs/>
                <w:color w:val="404040" w:themeColor="text1" w:themeTint="BF"/>
                <w:sz w:val="18"/>
                <w:szCs w:val="18"/>
                <w:lang w:val="pt-BR"/>
              </w:rPr>
            </w:pPr>
            <w:proofErr w:type="gramStart"/>
            <w:r w:rsidRPr="00B825AF">
              <w:rPr>
                <w:sz w:val="18"/>
                <w:szCs w:val="18"/>
                <w:lang w:val="pt-BR"/>
              </w:rPr>
              <w:t>EFS-9 (i) d)</w:t>
            </w:r>
            <w:proofErr w:type="gramEnd"/>
            <w:r w:rsidRPr="00B825AF">
              <w:rPr>
                <w:sz w:val="18"/>
                <w:szCs w:val="18"/>
                <w:lang w:val="pt-BR"/>
              </w:rPr>
              <w:t>, e)</w:t>
            </w:r>
          </w:p>
          <w:p w:rsidR="00233205" w:rsidRPr="00B825AF" w:rsidRDefault="00233205" w:rsidP="00E30BEC">
            <w:pPr>
              <w:pStyle w:val="NoSpacing"/>
              <w:jc w:val="center"/>
              <w:rPr>
                <w:sz w:val="18"/>
                <w:szCs w:val="18"/>
                <w:lang w:val="pt-BR"/>
              </w:rPr>
            </w:pPr>
          </w:p>
          <w:p w:rsidR="00233205" w:rsidRPr="00B825AF" w:rsidRDefault="00233205" w:rsidP="00E30BEC">
            <w:pPr>
              <w:pStyle w:val="NoSpacing"/>
              <w:jc w:val="center"/>
              <w:rPr>
                <w:rFonts w:cstheme="majorBidi"/>
                <w:b/>
                <w:bCs/>
                <w:i/>
                <w:iCs/>
                <w:color w:val="404040" w:themeColor="text1" w:themeTint="BF"/>
                <w:sz w:val="18"/>
                <w:szCs w:val="18"/>
                <w:lang w:val="pt-BR"/>
              </w:rPr>
            </w:pPr>
            <w:proofErr w:type="gramStart"/>
            <w:r w:rsidRPr="00B825AF">
              <w:rPr>
                <w:sz w:val="18"/>
                <w:szCs w:val="18"/>
                <w:lang w:val="pt-BR"/>
              </w:rPr>
              <w:t>EFS-9 (</w:t>
            </w:r>
            <w:proofErr w:type="spellStart"/>
            <w:r w:rsidRPr="00B825AF">
              <w:rPr>
                <w:sz w:val="18"/>
                <w:szCs w:val="18"/>
                <w:lang w:val="pt-BR"/>
              </w:rPr>
              <w:t>ii</w:t>
            </w:r>
            <w:proofErr w:type="spellEnd"/>
            <w:r w:rsidRPr="00B825AF">
              <w:rPr>
                <w:sz w:val="18"/>
                <w:szCs w:val="18"/>
                <w:lang w:val="pt-BR"/>
              </w:rPr>
              <w:t>) d)</w:t>
            </w:r>
            <w:proofErr w:type="gramEnd"/>
            <w:r w:rsidRPr="00B825AF">
              <w:rPr>
                <w:sz w:val="18"/>
                <w:szCs w:val="18"/>
                <w:lang w:val="pt-BR"/>
              </w:rPr>
              <w:t xml:space="preserve"> y e)</w:t>
            </w:r>
          </w:p>
          <w:p w:rsidR="00233205" w:rsidRPr="00B825AF" w:rsidRDefault="00233205" w:rsidP="00E30BEC">
            <w:pPr>
              <w:pStyle w:val="NoSpacing"/>
              <w:jc w:val="center"/>
              <w:rPr>
                <w:sz w:val="18"/>
                <w:szCs w:val="18"/>
                <w:lang w:val="pt-BR"/>
              </w:rPr>
            </w:pPr>
          </w:p>
          <w:p w:rsidR="00233205" w:rsidRPr="00B825AF" w:rsidRDefault="00233205" w:rsidP="00E30BEC">
            <w:pPr>
              <w:pStyle w:val="NoSpacing"/>
              <w:jc w:val="center"/>
              <w:rPr>
                <w:rFonts w:cstheme="majorBidi"/>
                <w:b/>
                <w:bCs/>
                <w:i/>
                <w:iCs/>
                <w:color w:val="404040" w:themeColor="text1" w:themeTint="BF"/>
                <w:sz w:val="18"/>
                <w:szCs w:val="18"/>
                <w:lang w:val="pt-BR"/>
              </w:rPr>
            </w:pPr>
            <w:proofErr w:type="gramStart"/>
            <w:r w:rsidRPr="00B825AF">
              <w:rPr>
                <w:sz w:val="18"/>
                <w:szCs w:val="18"/>
                <w:lang w:val="pt-BR"/>
              </w:rPr>
              <w:t>EFS-16 (i) e)</w:t>
            </w:r>
            <w:proofErr w:type="gramEnd"/>
            <w:r w:rsidRPr="00B825AF">
              <w:rPr>
                <w:sz w:val="18"/>
                <w:szCs w:val="18"/>
                <w:lang w:val="pt-BR"/>
              </w:rPr>
              <w:t>, f)</w:t>
            </w:r>
          </w:p>
          <w:p w:rsidR="00233205" w:rsidRPr="00B825AF" w:rsidRDefault="00233205" w:rsidP="00E30BEC">
            <w:pPr>
              <w:pStyle w:val="NoSpacing"/>
              <w:jc w:val="center"/>
              <w:rPr>
                <w:sz w:val="18"/>
                <w:szCs w:val="18"/>
                <w:lang w:val="pt-BR"/>
              </w:rPr>
            </w:pPr>
          </w:p>
          <w:p w:rsidR="00233205" w:rsidRPr="00B825AF" w:rsidRDefault="00233205" w:rsidP="00E30BEC">
            <w:pPr>
              <w:pStyle w:val="NoSpacing"/>
              <w:jc w:val="center"/>
              <w:rPr>
                <w:rFonts w:cstheme="majorBidi"/>
                <w:b/>
                <w:bCs/>
                <w:i/>
                <w:iCs/>
                <w:color w:val="404040" w:themeColor="text1" w:themeTint="BF"/>
                <w:sz w:val="18"/>
                <w:szCs w:val="18"/>
                <w:lang w:val="pt-BR"/>
              </w:rPr>
            </w:pPr>
            <w:proofErr w:type="gramStart"/>
            <w:r w:rsidRPr="00B825AF">
              <w:rPr>
                <w:sz w:val="18"/>
                <w:szCs w:val="18"/>
                <w:lang w:val="pt-BR"/>
              </w:rPr>
              <w:t>EFS-23 (i) a)</w:t>
            </w:r>
            <w:proofErr w:type="gramEnd"/>
          </w:p>
        </w:tc>
        <w:tc>
          <w:tcPr>
            <w:tcW w:w="777" w:type="pct"/>
          </w:tcPr>
          <w:p w:rsidR="00233205" w:rsidRPr="00B36377" w:rsidRDefault="00233205" w:rsidP="00E30BEC">
            <w:pPr>
              <w:pStyle w:val="NoSpacing"/>
              <w:rPr>
                <w:rFonts w:eastAsia="Calibri" w:cs="Arial"/>
                <w:sz w:val="18"/>
                <w:szCs w:val="18"/>
                <w:lang w:val="es-ES_tradnl"/>
              </w:rPr>
            </w:pPr>
            <w:r w:rsidRPr="00B36377">
              <w:rPr>
                <w:rFonts w:eastAsia="Calibri" w:cs="Arial"/>
                <w:sz w:val="18"/>
                <w:szCs w:val="18"/>
                <w:lang w:val="es-ES_tradnl"/>
              </w:rPr>
              <w:t>El PVCF no considera aspectos como:</w:t>
            </w:r>
          </w:p>
          <w:p w:rsidR="00233205" w:rsidRPr="00B36377" w:rsidRDefault="00233205" w:rsidP="00233205">
            <w:pPr>
              <w:pStyle w:val="NoSpacing"/>
              <w:numPr>
                <w:ilvl w:val="0"/>
                <w:numId w:val="59"/>
              </w:numPr>
              <w:ind w:left="187" w:hanging="180"/>
              <w:rPr>
                <w:rFonts w:eastAsia="Calibri" w:cs="Arial"/>
                <w:sz w:val="18"/>
                <w:szCs w:val="18"/>
                <w:lang w:val="es-ES_tradnl"/>
              </w:rPr>
            </w:pPr>
            <w:r w:rsidRPr="00B36377">
              <w:rPr>
                <w:rFonts w:eastAsia="Calibri" w:cs="Arial"/>
                <w:sz w:val="18"/>
                <w:szCs w:val="18"/>
                <w:lang w:val="es-ES_tradnl"/>
              </w:rPr>
              <w:t>Estrategia de auditoría (naturaleza, alcance, oportunidad, procedimientos, recursos, etc.)</w:t>
            </w:r>
          </w:p>
          <w:p w:rsidR="00233205" w:rsidRPr="00B36377" w:rsidRDefault="00233205" w:rsidP="00233205">
            <w:pPr>
              <w:pStyle w:val="NoSpacing"/>
              <w:numPr>
                <w:ilvl w:val="0"/>
                <w:numId w:val="59"/>
              </w:numPr>
              <w:ind w:left="187" w:hanging="180"/>
              <w:rPr>
                <w:rFonts w:eastAsia="Calibri" w:cs="Arial"/>
                <w:sz w:val="18"/>
                <w:szCs w:val="18"/>
                <w:lang w:val="es-ES_tradnl"/>
              </w:rPr>
            </w:pPr>
            <w:r w:rsidRPr="00B36377">
              <w:rPr>
                <w:rFonts w:eastAsia="Calibri" w:cs="Arial"/>
                <w:sz w:val="18"/>
                <w:szCs w:val="18"/>
                <w:lang w:val="es-ES_tradnl"/>
              </w:rPr>
              <w:t xml:space="preserve">Evaluación de riesgos, entre los cuales se consideren riesgos de fraude y </w:t>
            </w:r>
            <w:r w:rsidRPr="00B36377">
              <w:rPr>
                <w:sz w:val="18"/>
                <w:szCs w:val="18"/>
                <w:lang w:val="es-ES_tradnl"/>
              </w:rPr>
              <w:t>riesgos provenientes de debates adelantados en el Legislativo, los cuales merezcan la atención del Control externo para corroborar o ampliar auditorías o investigaciones, como un servicio al legislativo y a los ciudadanos en general.</w:t>
            </w:r>
          </w:p>
          <w:p w:rsidR="00233205" w:rsidRPr="00B36377" w:rsidRDefault="00233205" w:rsidP="00233205">
            <w:pPr>
              <w:pStyle w:val="NoSpacing"/>
              <w:numPr>
                <w:ilvl w:val="0"/>
                <w:numId w:val="59"/>
              </w:numPr>
              <w:ind w:left="187" w:hanging="180"/>
              <w:rPr>
                <w:rFonts w:eastAsia="Calibri" w:cs="Arial"/>
                <w:sz w:val="18"/>
                <w:szCs w:val="18"/>
                <w:lang w:val="es-ES_tradnl"/>
              </w:rPr>
            </w:pPr>
            <w:r w:rsidRPr="00B36377">
              <w:rPr>
                <w:rFonts w:eastAsia="Calibri" w:cs="Arial"/>
                <w:sz w:val="18"/>
                <w:szCs w:val="18"/>
                <w:lang w:val="es-ES_tradnl"/>
              </w:rPr>
              <w:t>Seguimiento a su ejecución</w:t>
            </w:r>
          </w:p>
          <w:p w:rsidR="00233205" w:rsidRPr="00B36377" w:rsidRDefault="00233205" w:rsidP="00233205">
            <w:pPr>
              <w:pStyle w:val="NoSpacing"/>
              <w:numPr>
                <w:ilvl w:val="0"/>
                <w:numId w:val="59"/>
              </w:numPr>
              <w:ind w:left="187" w:hanging="180"/>
              <w:rPr>
                <w:sz w:val="18"/>
                <w:szCs w:val="18"/>
                <w:lang w:val="es-ES_tradnl"/>
              </w:rPr>
            </w:pPr>
            <w:r w:rsidRPr="00B36377">
              <w:rPr>
                <w:rFonts w:eastAsia="Calibri" w:cs="Arial"/>
                <w:sz w:val="18"/>
                <w:szCs w:val="18"/>
                <w:lang w:val="es-ES_tradnl"/>
              </w:rPr>
              <w:t>Informes de desempeño</w:t>
            </w:r>
          </w:p>
        </w:tc>
        <w:tc>
          <w:tcPr>
            <w:tcW w:w="1346" w:type="pct"/>
          </w:tcPr>
          <w:p w:rsidR="00233205" w:rsidRPr="00B36377" w:rsidRDefault="00233205" w:rsidP="00E30BEC">
            <w:pPr>
              <w:rPr>
                <w:rFonts w:ascii="Calibri" w:hAnsi="Calibri"/>
                <w:color w:val="000000"/>
                <w:sz w:val="18"/>
                <w:szCs w:val="18"/>
              </w:rPr>
            </w:pPr>
            <w:r w:rsidRPr="00B36377">
              <w:rPr>
                <w:rFonts w:ascii="Calibri" w:hAnsi="Calibri"/>
                <w:color w:val="000000"/>
                <w:sz w:val="18"/>
                <w:szCs w:val="18"/>
              </w:rPr>
              <w:t>Diseño e implantación de un Sistema de Planificación, Vigilancia y Control de las auditorías con las siguientes funcionalidades:</w:t>
            </w:r>
          </w:p>
          <w:p w:rsidR="00233205" w:rsidRPr="00B36377" w:rsidRDefault="00233205" w:rsidP="00233205">
            <w:pPr>
              <w:pStyle w:val="ListParagraph"/>
              <w:numPr>
                <w:ilvl w:val="0"/>
                <w:numId w:val="55"/>
              </w:numPr>
              <w:ind w:left="219" w:hanging="219"/>
              <w:rPr>
                <w:rFonts w:ascii="Calibri" w:hAnsi="Calibri"/>
                <w:color w:val="000000"/>
                <w:sz w:val="18"/>
                <w:szCs w:val="18"/>
              </w:rPr>
            </w:pPr>
            <w:r w:rsidRPr="00B36377">
              <w:rPr>
                <w:rFonts w:ascii="Calibri" w:hAnsi="Calibri"/>
                <w:b/>
                <w:color w:val="000000"/>
                <w:sz w:val="18"/>
                <w:szCs w:val="18"/>
              </w:rPr>
              <w:t>Preparación del Plan de Auditoria Gubernamental (PAG):</w:t>
            </w:r>
          </w:p>
          <w:p w:rsidR="00233205" w:rsidRPr="00B36377" w:rsidRDefault="00233205" w:rsidP="00233205">
            <w:pPr>
              <w:pStyle w:val="ListParagraph"/>
              <w:numPr>
                <w:ilvl w:val="0"/>
                <w:numId w:val="56"/>
              </w:numPr>
              <w:rPr>
                <w:rFonts w:ascii="Calibri" w:hAnsi="Calibri"/>
                <w:color w:val="000000"/>
                <w:sz w:val="18"/>
                <w:szCs w:val="18"/>
              </w:rPr>
            </w:pPr>
            <w:r w:rsidRPr="00B36377">
              <w:rPr>
                <w:rFonts w:ascii="Calibri" w:hAnsi="Calibri"/>
                <w:color w:val="000000"/>
                <w:sz w:val="18"/>
                <w:szCs w:val="18"/>
              </w:rPr>
              <w:t>Identificación de asuntos de interés estratégico (principales problemas del ámbito de vigilancia y del entorno Vs. requerimientos de la comunidad,  del Poder Legislativo y de otros actores)</w:t>
            </w:r>
          </w:p>
          <w:p w:rsidR="00233205" w:rsidRPr="00B36377" w:rsidRDefault="00233205" w:rsidP="00233205">
            <w:pPr>
              <w:pStyle w:val="ListParagraph"/>
              <w:numPr>
                <w:ilvl w:val="0"/>
                <w:numId w:val="56"/>
              </w:numPr>
              <w:rPr>
                <w:rFonts w:ascii="Calibri" w:hAnsi="Calibri"/>
                <w:color w:val="000000"/>
                <w:sz w:val="18"/>
                <w:szCs w:val="18"/>
              </w:rPr>
            </w:pPr>
            <w:r w:rsidRPr="00B36377">
              <w:rPr>
                <w:rFonts w:ascii="Calibri" w:hAnsi="Calibri"/>
                <w:color w:val="000000"/>
                <w:sz w:val="18"/>
                <w:szCs w:val="18"/>
              </w:rPr>
              <w:t>Diseño de objetivos estratégicos y  líneas de acción: (i) Clasificación del Ámbito de la CGR</w:t>
            </w:r>
            <w:r>
              <w:rPr>
                <w:rFonts w:ascii="Calibri" w:hAnsi="Calibri"/>
                <w:color w:val="000000"/>
                <w:sz w:val="18"/>
                <w:szCs w:val="18"/>
              </w:rPr>
              <w:t>C</w:t>
            </w:r>
            <w:r w:rsidRPr="00B36377">
              <w:rPr>
                <w:rFonts w:ascii="Calibri" w:hAnsi="Calibri"/>
                <w:color w:val="000000"/>
                <w:sz w:val="18"/>
                <w:szCs w:val="18"/>
              </w:rPr>
              <w:t>, (ii) Análisis global de riesgos inherentes y específicos del ámbito</w:t>
            </w:r>
          </w:p>
          <w:p w:rsidR="00233205" w:rsidRPr="00B36377" w:rsidRDefault="00233205" w:rsidP="00233205">
            <w:pPr>
              <w:pStyle w:val="ListParagraph"/>
              <w:numPr>
                <w:ilvl w:val="0"/>
                <w:numId w:val="56"/>
              </w:numPr>
              <w:rPr>
                <w:rFonts w:ascii="Calibri" w:hAnsi="Calibri"/>
                <w:color w:val="000000"/>
                <w:sz w:val="18"/>
                <w:szCs w:val="18"/>
              </w:rPr>
            </w:pPr>
            <w:r w:rsidRPr="00B36377">
              <w:rPr>
                <w:rFonts w:ascii="Calibri" w:hAnsi="Calibri"/>
                <w:color w:val="000000"/>
                <w:sz w:val="18"/>
                <w:szCs w:val="18"/>
              </w:rPr>
              <w:t>Decisión de Alcance: (i) Periodicidad anual, multianual, rotaciones, etc., (ii) Tipos de Intervenciones de auditoría (Financieras, Cumplimiento, Desempeño, Investigaciones Forenses y otras intervenciones, (iii) Análisis matricial de intervenciones vs riesgos globales identificados.</w:t>
            </w:r>
          </w:p>
          <w:p w:rsidR="00233205" w:rsidRPr="00B36377" w:rsidRDefault="00233205" w:rsidP="00233205">
            <w:pPr>
              <w:pStyle w:val="ListParagraph"/>
              <w:numPr>
                <w:ilvl w:val="0"/>
                <w:numId w:val="56"/>
              </w:numPr>
              <w:rPr>
                <w:rFonts w:ascii="Calibri" w:hAnsi="Calibri"/>
                <w:color w:val="000000"/>
                <w:sz w:val="18"/>
                <w:szCs w:val="18"/>
              </w:rPr>
            </w:pPr>
            <w:r w:rsidRPr="00B36377">
              <w:rPr>
                <w:rFonts w:ascii="Calibri" w:hAnsi="Calibri"/>
                <w:color w:val="000000"/>
                <w:sz w:val="18"/>
                <w:szCs w:val="18"/>
              </w:rPr>
              <w:t>Recursos para su ejecución</w:t>
            </w:r>
          </w:p>
          <w:p w:rsidR="00233205" w:rsidRPr="00B36377" w:rsidRDefault="00233205" w:rsidP="00233205">
            <w:pPr>
              <w:pStyle w:val="ListParagraph"/>
              <w:numPr>
                <w:ilvl w:val="0"/>
                <w:numId w:val="56"/>
              </w:numPr>
              <w:rPr>
                <w:rFonts w:ascii="Calibri" w:hAnsi="Calibri"/>
                <w:color w:val="000000"/>
                <w:sz w:val="18"/>
                <w:szCs w:val="18"/>
              </w:rPr>
            </w:pPr>
            <w:r w:rsidRPr="00B36377">
              <w:rPr>
                <w:rFonts w:ascii="Calibri" w:hAnsi="Calibri"/>
                <w:color w:val="000000"/>
                <w:sz w:val="18"/>
                <w:szCs w:val="18"/>
              </w:rPr>
              <w:t>Análisis, valoración y gestión de riesgos  sobre la ejecución del PAG</w:t>
            </w:r>
          </w:p>
          <w:p w:rsidR="00233205" w:rsidRPr="00B36377" w:rsidRDefault="00233205" w:rsidP="00233205">
            <w:pPr>
              <w:pStyle w:val="ListParagraph"/>
              <w:numPr>
                <w:ilvl w:val="0"/>
                <w:numId w:val="56"/>
              </w:numPr>
              <w:rPr>
                <w:rFonts w:ascii="Calibri" w:hAnsi="Calibri"/>
                <w:color w:val="000000"/>
                <w:sz w:val="18"/>
                <w:szCs w:val="18"/>
              </w:rPr>
            </w:pPr>
            <w:r w:rsidRPr="00B36377">
              <w:rPr>
                <w:rFonts w:ascii="Calibri" w:hAnsi="Calibri"/>
                <w:color w:val="000000"/>
                <w:sz w:val="18"/>
                <w:szCs w:val="18"/>
              </w:rPr>
              <w:t>Diseño de los Indicadores de desempeño para el PAG</w:t>
            </w:r>
          </w:p>
          <w:p w:rsidR="00233205" w:rsidRPr="00B36377" w:rsidRDefault="00233205" w:rsidP="00233205">
            <w:pPr>
              <w:pStyle w:val="ListParagraph"/>
              <w:numPr>
                <w:ilvl w:val="0"/>
                <w:numId w:val="56"/>
              </w:numPr>
              <w:rPr>
                <w:rFonts w:ascii="Calibri" w:hAnsi="Calibri"/>
                <w:color w:val="000000"/>
                <w:sz w:val="18"/>
                <w:szCs w:val="18"/>
              </w:rPr>
            </w:pPr>
            <w:r w:rsidRPr="00B36377">
              <w:rPr>
                <w:rFonts w:ascii="Calibri" w:hAnsi="Calibri"/>
                <w:color w:val="000000"/>
                <w:sz w:val="18"/>
                <w:szCs w:val="18"/>
              </w:rPr>
              <w:t>Documentación del PAG</w:t>
            </w:r>
          </w:p>
          <w:p w:rsidR="00233205" w:rsidRPr="00B36377" w:rsidRDefault="00233205" w:rsidP="00233205">
            <w:pPr>
              <w:pStyle w:val="ListParagraph"/>
              <w:numPr>
                <w:ilvl w:val="0"/>
                <w:numId w:val="55"/>
              </w:numPr>
              <w:ind w:left="219" w:hanging="219"/>
              <w:rPr>
                <w:rFonts w:ascii="Calibri" w:hAnsi="Calibri"/>
                <w:b/>
                <w:color w:val="000000"/>
                <w:sz w:val="18"/>
                <w:szCs w:val="18"/>
              </w:rPr>
            </w:pPr>
            <w:r w:rsidRPr="00B36377">
              <w:rPr>
                <w:rFonts w:ascii="Calibri" w:hAnsi="Calibri"/>
                <w:b/>
                <w:color w:val="000000"/>
                <w:sz w:val="18"/>
                <w:szCs w:val="18"/>
              </w:rPr>
              <w:lastRenderedPageBreak/>
              <w:t>Control de la ejecución del PAG</w:t>
            </w:r>
          </w:p>
          <w:p w:rsidR="00233205" w:rsidRPr="00B36377" w:rsidRDefault="00233205" w:rsidP="00233205">
            <w:pPr>
              <w:pStyle w:val="ListParagraph"/>
              <w:numPr>
                <w:ilvl w:val="0"/>
                <w:numId w:val="57"/>
              </w:numPr>
              <w:rPr>
                <w:rFonts w:ascii="Calibri" w:hAnsi="Calibri"/>
                <w:color w:val="000000"/>
                <w:sz w:val="18"/>
                <w:szCs w:val="18"/>
              </w:rPr>
            </w:pPr>
            <w:r w:rsidRPr="00B36377">
              <w:rPr>
                <w:rFonts w:ascii="Calibri" w:hAnsi="Calibri"/>
                <w:color w:val="000000"/>
                <w:sz w:val="18"/>
                <w:szCs w:val="18"/>
              </w:rPr>
              <w:t>Registro físico de avances (nivel de avance de las etapas del proceso de auditoria)</w:t>
            </w:r>
          </w:p>
          <w:p w:rsidR="00233205" w:rsidRPr="00B36377" w:rsidRDefault="00233205" w:rsidP="00233205">
            <w:pPr>
              <w:pStyle w:val="ListParagraph"/>
              <w:numPr>
                <w:ilvl w:val="0"/>
                <w:numId w:val="57"/>
              </w:numPr>
              <w:rPr>
                <w:rFonts w:ascii="Calibri" w:hAnsi="Calibri"/>
                <w:color w:val="000000"/>
                <w:sz w:val="18"/>
                <w:szCs w:val="18"/>
              </w:rPr>
            </w:pPr>
            <w:r w:rsidRPr="00B36377">
              <w:rPr>
                <w:rFonts w:ascii="Calibri" w:hAnsi="Calibri"/>
                <w:color w:val="000000"/>
                <w:sz w:val="18"/>
                <w:szCs w:val="18"/>
              </w:rPr>
              <w:t>Control de costos (horas o días hombre invertidas y costo directo)</w:t>
            </w:r>
          </w:p>
          <w:p w:rsidR="00233205" w:rsidRPr="00B36377" w:rsidRDefault="00233205" w:rsidP="00233205">
            <w:pPr>
              <w:pStyle w:val="ListParagraph"/>
              <w:numPr>
                <w:ilvl w:val="0"/>
                <w:numId w:val="57"/>
              </w:numPr>
              <w:rPr>
                <w:rFonts w:ascii="Calibri" w:eastAsiaTheme="majorEastAsia" w:hAnsi="Calibri" w:cstheme="majorBidi"/>
                <w:b/>
                <w:bCs/>
                <w:i/>
                <w:iCs/>
                <w:color w:val="000000"/>
                <w:sz w:val="18"/>
                <w:szCs w:val="18"/>
              </w:rPr>
            </w:pPr>
            <w:r w:rsidRPr="00B36377">
              <w:rPr>
                <w:rFonts w:ascii="Calibri" w:hAnsi="Calibri"/>
                <w:color w:val="000000"/>
                <w:sz w:val="18"/>
                <w:szCs w:val="18"/>
              </w:rPr>
              <w:t>Informes de avance en la ejecución</w:t>
            </w:r>
          </w:p>
          <w:p w:rsidR="00233205" w:rsidRPr="00B36377" w:rsidRDefault="00233205" w:rsidP="00233205">
            <w:pPr>
              <w:pStyle w:val="ListParagraph"/>
              <w:numPr>
                <w:ilvl w:val="0"/>
                <w:numId w:val="57"/>
              </w:numPr>
              <w:rPr>
                <w:rFonts w:ascii="Calibri" w:eastAsiaTheme="majorEastAsia" w:hAnsi="Calibri" w:cstheme="majorBidi"/>
                <w:i/>
                <w:iCs/>
                <w:color w:val="000000"/>
                <w:sz w:val="18"/>
                <w:szCs w:val="18"/>
              </w:rPr>
            </w:pPr>
            <w:r w:rsidRPr="00B36377">
              <w:rPr>
                <w:rFonts w:ascii="Calibri" w:hAnsi="Calibri"/>
                <w:color w:val="000000"/>
                <w:sz w:val="18"/>
                <w:szCs w:val="18"/>
              </w:rPr>
              <w:t>Ajustes del PAG</w:t>
            </w:r>
          </w:p>
          <w:p w:rsidR="00233205" w:rsidRPr="00B36377" w:rsidRDefault="00233205" w:rsidP="00233205">
            <w:pPr>
              <w:pStyle w:val="ListParagraph"/>
              <w:numPr>
                <w:ilvl w:val="0"/>
                <w:numId w:val="55"/>
              </w:numPr>
              <w:ind w:left="219" w:hanging="219"/>
              <w:rPr>
                <w:rFonts w:ascii="Calibri" w:hAnsi="Calibri"/>
                <w:b/>
                <w:color w:val="000000"/>
                <w:sz w:val="18"/>
                <w:szCs w:val="18"/>
              </w:rPr>
            </w:pPr>
            <w:r w:rsidRPr="00B36377">
              <w:rPr>
                <w:rFonts w:ascii="Calibri" w:hAnsi="Calibri"/>
                <w:b/>
                <w:color w:val="000000"/>
                <w:sz w:val="18"/>
                <w:szCs w:val="18"/>
              </w:rPr>
              <w:t>Monitoreo, evaluación (mediciones)   y  capitalización de lecciones aprendidas.</w:t>
            </w:r>
          </w:p>
          <w:p w:rsidR="00233205" w:rsidRPr="00B36377" w:rsidRDefault="00233205" w:rsidP="00233205">
            <w:pPr>
              <w:pStyle w:val="ListParagraph"/>
              <w:numPr>
                <w:ilvl w:val="0"/>
                <w:numId w:val="58"/>
              </w:numPr>
              <w:rPr>
                <w:rFonts w:ascii="Calibri" w:eastAsiaTheme="majorEastAsia" w:hAnsi="Calibri" w:cstheme="majorBidi"/>
                <w:b/>
                <w:bCs/>
                <w:i/>
                <w:iCs/>
                <w:color w:val="000000"/>
                <w:sz w:val="18"/>
                <w:szCs w:val="18"/>
              </w:rPr>
            </w:pPr>
            <w:r w:rsidRPr="00B36377">
              <w:rPr>
                <w:rFonts w:ascii="Calibri" w:hAnsi="Calibri"/>
                <w:color w:val="000000"/>
                <w:sz w:val="18"/>
                <w:szCs w:val="18"/>
              </w:rPr>
              <w:t>Medición de Indicadores de desempeño del PAG</w:t>
            </w:r>
          </w:p>
          <w:p w:rsidR="00233205" w:rsidRPr="00B36377" w:rsidRDefault="00233205" w:rsidP="00233205">
            <w:pPr>
              <w:pStyle w:val="ListParagraph"/>
              <w:numPr>
                <w:ilvl w:val="0"/>
                <w:numId w:val="58"/>
              </w:numPr>
              <w:rPr>
                <w:rFonts w:ascii="Calibri" w:eastAsiaTheme="majorEastAsia" w:hAnsi="Calibri" w:cstheme="majorBidi"/>
                <w:b/>
                <w:bCs/>
                <w:i/>
                <w:iCs/>
                <w:color w:val="000000"/>
                <w:sz w:val="18"/>
                <w:szCs w:val="18"/>
              </w:rPr>
            </w:pPr>
            <w:r w:rsidRPr="00B36377">
              <w:rPr>
                <w:rFonts w:ascii="Calibri" w:hAnsi="Calibri"/>
                <w:color w:val="000000"/>
                <w:sz w:val="18"/>
                <w:szCs w:val="18"/>
              </w:rPr>
              <w:t>Informes sobre el desempeño.</w:t>
            </w:r>
          </w:p>
          <w:p w:rsidR="00233205" w:rsidRPr="00B36377" w:rsidRDefault="00233205" w:rsidP="00E30BEC">
            <w:pPr>
              <w:pStyle w:val="ListParagraph"/>
              <w:ind w:left="579"/>
              <w:rPr>
                <w:rFonts w:ascii="Calibri" w:eastAsiaTheme="majorEastAsia" w:hAnsi="Calibri" w:cstheme="majorBidi"/>
                <w:b/>
                <w:bCs/>
                <w:i/>
                <w:iCs/>
                <w:color w:val="000000"/>
                <w:sz w:val="18"/>
                <w:szCs w:val="18"/>
              </w:rPr>
            </w:pPr>
          </w:p>
        </w:tc>
        <w:tc>
          <w:tcPr>
            <w:tcW w:w="777" w:type="pct"/>
          </w:tcPr>
          <w:p w:rsidR="00233205" w:rsidRPr="00B36377" w:rsidRDefault="00233205" w:rsidP="00233205">
            <w:pPr>
              <w:pStyle w:val="NoSpacing"/>
              <w:numPr>
                <w:ilvl w:val="0"/>
                <w:numId w:val="50"/>
              </w:numPr>
              <w:ind w:left="223" w:hanging="223"/>
              <w:rPr>
                <w:sz w:val="18"/>
                <w:szCs w:val="18"/>
                <w:lang w:val="es-ES_tradnl"/>
              </w:rPr>
            </w:pPr>
            <w:r w:rsidRPr="00B36377">
              <w:rPr>
                <w:sz w:val="18"/>
                <w:szCs w:val="18"/>
                <w:lang w:val="es-ES_tradnl"/>
              </w:rPr>
              <w:lastRenderedPageBreak/>
              <w:t xml:space="preserve">Planificación coordinada que permita alcanzar los objetivos </w:t>
            </w:r>
          </w:p>
          <w:p w:rsidR="00233205" w:rsidRPr="00B36377" w:rsidRDefault="00233205" w:rsidP="00E30BEC">
            <w:pPr>
              <w:pStyle w:val="NoSpacing"/>
              <w:ind w:left="223"/>
              <w:rPr>
                <w:sz w:val="18"/>
                <w:szCs w:val="18"/>
                <w:lang w:val="es-ES_tradnl"/>
              </w:rPr>
            </w:pPr>
          </w:p>
          <w:p w:rsidR="00233205" w:rsidRPr="00B36377" w:rsidRDefault="00233205" w:rsidP="00233205">
            <w:pPr>
              <w:pStyle w:val="NoSpacing"/>
              <w:numPr>
                <w:ilvl w:val="0"/>
                <w:numId w:val="50"/>
              </w:numPr>
              <w:ind w:left="223" w:hanging="223"/>
              <w:rPr>
                <w:sz w:val="18"/>
                <w:szCs w:val="18"/>
                <w:lang w:val="es-ES_tradnl"/>
              </w:rPr>
            </w:pPr>
            <w:r w:rsidRPr="00B36377">
              <w:rPr>
                <w:sz w:val="18"/>
                <w:szCs w:val="18"/>
                <w:lang w:val="es-ES_tradnl"/>
              </w:rPr>
              <w:t>Involucramiento desde el inicio de los equipos y de esa forma,  estarán enterados de sus asignaciones, y recursos para llevarlas a cabo.</w:t>
            </w:r>
          </w:p>
          <w:p w:rsidR="00233205" w:rsidRPr="00B36377" w:rsidRDefault="00233205" w:rsidP="00E30BEC">
            <w:pPr>
              <w:pStyle w:val="NoSpacing"/>
              <w:ind w:left="223"/>
              <w:rPr>
                <w:sz w:val="18"/>
                <w:szCs w:val="18"/>
                <w:lang w:val="es-ES_tradnl"/>
              </w:rPr>
            </w:pPr>
          </w:p>
          <w:p w:rsidR="00233205" w:rsidRPr="00B36377" w:rsidRDefault="00233205" w:rsidP="00233205">
            <w:pPr>
              <w:pStyle w:val="NoSpacing"/>
              <w:numPr>
                <w:ilvl w:val="0"/>
                <w:numId w:val="50"/>
              </w:numPr>
              <w:ind w:left="223" w:hanging="223"/>
              <w:rPr>
                <w:sz w:val="18"/>
                <w:szCs w:val="18"/>
                <w:lang w:val="es-ES_tradnl"/>
              </w:rPr>
            </w:pPr>
            <w:r w:rsidRPr="00B36377">
              <w:rPr>
                <w:sz w:val="18"/>
                <w:szCs w:val="18"/>
                <w:lang w:val="es-ES_tradnl"/>
              </w:rPr>
              <w:t>Coordinación entre la Delegada de Economía y Finanzas y los equipos auditores al definir con mayor detalle su involucramiento en las auditorías macro.</w:t>
            </w:r>
          </w:p>
        </w:tc>
        <w:tc>
          <w:tcPr>
            <w:tcW w:w="517" w:type="pct"/>
          </w:tcPr>
          <w:p w:rsidR="00233205" w:rsidRPr="00B36377" w:rsidRDefault="00233205" w:rsidP="00E30BEC">
            <w:pPr>
              <w:pStyle w:val="NoSpacing"/>
              <w:rPr>
                <w:rFonts w:cstheme="majorBidi"/>
                <w:b/>
                <w:bCs/>
                <w:i/>
                <w:iCs/>
                <w:color w:val="404040" w:themeColor="text1" w:themeTint="BF"/>
                <w:sz w:val="18"/>
                <w:szCs w:val="18"/>
                <w:lang w:val="es-ES_tradnl"/>
              </w:rPr>
            </w:pPr>
            <w:r w:rsidRPr="00B36377">
              <w:rPr>
                <w:sz w:val="18"/>
                <w:szCs w:val="18"/>
                <w:lang w:val="es-ES_tradnl"/>
              </w:rPr>
              <w:t>Comité Directivo</w:t>
            </w:r>
          </w:p>
          <w:p w:rsidR="00233205" w:rsidRPr="00B36377" w:rsidRDefault="00233205" w:rsidP="00E30BEC">
            <w:pPr>
              <w:pStyle w:val="NoSpacing"/>
              <w:rPr>
                <w:sz w:val="18"/>
                <w:szCs w:val="18"/>
                <w:lang w:val="es-ES_tradnl"/>
              </w:rPr>
            </w:pPr>
          </w:p>
          <w:p w:rsidR="00233205" w:rsidRPr="00B36377" w:rsidRDefault="00233205" w:rsidP="00E30BEC">
            <w:pPr>
              <w:pStyle w:val="NoSpacing"/>
              <w:rPr>
                <w:rFonts w:cstheme="majorBidi"/>
                <w:b/>
                <w:bCs/>
                <w:color w:val="4F81BD" w:themeColor="accent1"/>
                <w:sz w:val="18"/>
                <w:szCs w:val="18"/>
                <w:lang w:val="es-ES_tradnl"/>
              </w:rPr>
            </w:pPr>
            <w:r w:rsidRPr="00B36377">
              <w:rPr>
                <w:sz w:val="18"/>
                <w:szCs w:val="18"/>
                <w:lang w:val="es-ES_tradnl"/>
              </w:rPr>
              <w:t>Oficina de Planeación</w:t>
            </w:r>
          </w:p>
        </w:tc>
        <w:tc>
          <w:tcPr>
            <w:tcW w:w="465" w:type="pct"/>
          </w:tcPr>
          <w:p w:rsidR="00233205" w:rsidRPr="00B36377" w:rsidRDefault="00233205" w:rsidP="00E30BEC">
            <w:pPr>
              <w:pStyle w:val="NoSpacing"/>
              <w:rPr>
                <w:rFonts w:cstheme="majorBidi"/>
                <w:b/>
                <w:bCs/>
                <w:i/>
                <w:iCs/>
                <w:color w:val="404040" w:themeColor="text1" w:themeTint="BF"/>
                <w:sz w:val="18"/>
                <w:szCs w:val="18"/>
                <w:lang w:val="es-ES_tradnl"/>
              </w:rPr>
            </w:pPr>
            <w:r w:rsidRPr="00B36377">
              <w:rPr>
                <w:sz w:val="18"/>
                <w:szCs w:val="18"/>
                <w:lang w:val="es-ES_tradnl"/>
              </w:rPr>
              <w:t>2do. Semestre de  2015</w:t>
            </w:r>
          </w:p>
        </w:tc>
        <w:tc>
          <w:tcPr>
            <w:tcW w:w="579" w:type="pct"/>
          </w:tcPr>
          <w:p w:rsidR="00233205" w:rsidRPr="00B36377" w:rsidRDefault="00233205" w:rsidP="00E30BEC">
            <w:pPr>
              <w:pStyle w:val="NoSpacing"/>
              <w:rPr>
                <w:rFonts w:cstheme="majorBidi"/>
                <w:b/>
                <w:bCs/>
                <w:i/>
                <w:iCs/>
                <w:color w:val="404040" w:themeColor="text1" w:themeTint="BF"/>
                <w:sz w:val="18"/>
                <w:szCs w:val="18"/>
                <w:lang w:val="es-ES_tradnl"/>
              </w:rPr>
            </w:pPr>
            <w:r w:rsidRPr="00B36377">
              <w:rPr>
                <w:sz w:val="18"/>
                <w:szCs w:val="18"/>
                <w:lang w:val="es-ES_tradnl"/>
              </w:rPr>
              <w:t>Lineamientos PVCF</w:t>
            </w:r>
          </w:p>
          <w:p w:rsidR="00233205" w:rsidRPr="00B36377" w:rsidRDefault="00233205" w:rsidP="00E30BEC">
            <w:pPr>
              <w:pStyle w:val="NoSpacing"/>
              <w:rPr>
                <w:sz w:val="18"/>
                <w:szCs w:val="18"/>
                <w:lang w:val="es-ES_tradnl"/>
              </w:rPr>
            </w:pPr>
          </w:p>
          <w:p w:rsidR="00233205" w:rsidRPr="00B36377" w:rsidRDefault="00233205" w:rsidP="00E30BEC">
            <w:pPr>
              <w:pStyle w:val="NoSpacing"/>
              <w:rPr>
                <w:rFonts w:cstheme="majorBidi"/>
                <w:b/>
                <w:bCs/>
                <w:i/>
                <w:iCs/>
                <w:color w:val="404040" w:themeColor="text1" w:themeTint="BF"/>
                <w:sz w:val="18"/>
                <w:szCs w:val="18"/>
                <w:lang w:val="es-ES_tradnl"/>
              </w:rPr>
            </w:pPr>
            <w:r w:rsidRPr="00B36377">
              <w:rPr>
                <w:sz w:val="18"/>
                <w:szCs w:val="18"/>
                <w:lang w:val="es-ES_tradnl"/>
              </w:rPr>
              <w:t>PVCF 2016</w:t>
            </w:r>
          </w:p>
          <w:p w:rsidR="00233205" w:rsidRPr="00B36377" w:rsidRDefault="00233205" w:rsidP="00E30BEC">
            <w:pPr>
              <w:pStyle w:val="NoSpacing"/>
              <w:rPr>
                <w:sz w:val="18"/>
                <w:szCs w:val="18"/>
                <w:lang w:val="es-ES_tradnl"/>
              </w:rPr>
            </w:pPr>
          </w:p>
          <w:p w:rsidR="00233205" w:rsidRPr="00B36377" w:rsidRDefault="00233205" w:rsidP="00E30BEC">
            <w:pPr>
              <w:pStyle w:val="NoSpacing"/>
              <w:rPr>
                <w:sz w:val="18"/>
                <w:szCs w:val="18"/>
                <w:lang w:val="es-ES_tradnl"/>
              </w:rPr>
            </w:pPr>
          </w:p>
        </w:tc>
      </w:tr>
      <w:tr w:rsidR="00233205" w:rsidRPr="00B36377" w:rsidTr="00E30BEC">
        <w:trPr>
          <w:jc w:val="center"/>
        </w:trPr>
        <w:tc>
          <w:tcPr>
            <w:tcW w:w="177" w:type="pct"/>
          </w:tcPr>
          <w:p w:rsidR="00233205" w:rsidRPr="00B36377" w:rsidRDefault="00233205" w:rsidP="00E30BEC">
            <w:pPr>
              <w:pStyle w:val="NoSpacing"/>
              <w:jc w:val="center"/>
              <w:rPr>
                <w:rFonts w:cstheme="majorBidi"/>
                <w:b/>
                <w:bCs/>
                <w:i/>
                <w:iCs/>
                <w:color w:val="404040" w:themeColor="text1" w:themeTint="BF"/>
                <w:sz w:val="18"/>
                <w:szCs w:val="18"/>
                <w:lang w:val="es-ES_tradnl"/>
              </w:rPr>
            </w:pPr>
            <w:r w:rsidRPr="00B36377">
              <w:rPr>
                <w:sz w:val="18"/>
                <w:szCs w:val="18"/>
                <w:lang w:val="es-ES_tradnl"/>
              </w:rPr>
              <w:lastRenderedPageBreak/>
              <w:t>12</w:t>
            </w:r>
          </w:p>
        </w:tc>
        <w:tc>
          <w:tcPr>
            <w:tcW w:w="362" w:type="pct"/>
          </w:tcPr>
          <w:p w:rsidR="00233205" w:rsidRPr="00B825AF" w:rsidRDefault="00233205" w:rsidP="00E30BEC">
            <w:pPr>
              <w:pStyle w:val="NoSpacing"/>
              <w:jc w:val="center"/>
              <w:rPr>
                <w:rFonts w:cstheme="majorBidi"/>
                <w:b/>
                <w:bCs/>
                <w:i/>
                <w:iCs/>
                <w:color w:val="404040" w:themeColor="text1" w:themeTint="BF"/>
                <w:sz w:val="18"/>
                <w:szCs w:val="18"/>
                <w:lang w:val="pt-BR"/>
              </w:rPr>
            </w:pPr>
            <w:proofErr w:type="gramStart"/>
            <w:r w:rsidRPr="00B825AF">
              <w:rPr>
                <w:sz w:val="18"/>
                <w:szCs w:val="18"/>
                <w:lang w:val="pt-BR"/>
              </w:rPr>
              <w:t>EFS-9 (</w:t>
            </w:r>
            <w:proofErr w:type="spellStart"/>
            <w:r w:rsidRPr="00B825AF">
              <w:rPr>
                <w:sz w:val="18"/>
                <w:szCs w:val="18"/>
                <w:lang w:val="pt-BR"/>
              </w:rPr>
              <w:t>iii</w:t>
            </w:r>
            <w:proofErr w:type="spellEnd"/>
            <w:r w:rsidRPr="00B825AF">
              <w:rPr>
                <w:sz w:val="18"/>
                <w:szCs w:val="18"/>
                <w:lang w:val="pt-BR"/>
              </w:rPr>
              <w:t>) a, d)</w:t>
            </w:r>
            <w:proofErr w:type="gramEnd"/>
            <w:r w:rsidRPr="00B825AF">
              <w:rPr>
                <w:sz w:val="18"/>
                <w:szCs w:val="18"/>
                <w:lang w:val="pt-BR"/>
              </w:rPr>
              <w:t>, e)</w:t>
            </w:r>
          </w:p>
          <w:p w:rsidR="00233205" w:rsidRPr="00B825AF" w:rsidRDefault="00233205" w:rsidP="00E30BEC">
            <w:pPr>
              <w:pStyle w:val="NoSpacing"/>
              <w:jc w:val="center"/>
              <w:rPr>
                <w:sz w:val="18"/>
                <w:szCs w:val="18"/>
                <w:lang w:val="pt-BR"/>
              </w:rPr>
            </w:pPr>
          </w:p>
          <w:p w:rsidR="00233205" w:rsidRPr="00B825AF" w:rsidRDefault="00233205" w:rsidP="00E30BEC">
            <w:pPr>
              <w:pStyle w:val="NoSpacing"/>
              <w:jc w:val="center"/>
              <w:rPr>
                <w:rFonts w:cstheme="majorBidi"/>
                <w:b/>
                <w:bCs/>
                <w:i/>
                <w:iCs/>
                <w:color w:val="404040" w:themeColor="text1" w:themeTint="BF"/>
                <w:sz w:val="18"/>
                <w:szCs w:val="18"/>
                <w:lang w:val="pt-BR"/>
              </w:rPr>
            </w:pPr>
            <w:proofErr w:type="gramStart"/>
            <w:r w:rsidRPr="00B825AF">
              <w:rPr>
                <w:sz w:val="18"/>
                <w:szCs w:val="18"/>
                <w:lang w:val="pt-BR"/>
              </w:rPr>
              <w:t>EFS-9 (</w:t>
            </w:r>
            <w:proofErr w:type="spellStart"/>
            <w:r w:rsidRPr="00B825AF">
              <w:rPr>
                <w:sz w:val="18"/>
                <w:szCs w:val="18"/>
                <w:lang w:val="pt-BR"/>
              </w:rPr>
              <w:t>iv</w:t>
            </w:r>
            <w:proofErr w:type="spellEnd"/>
            <w:r w:rsidRPr="00B825AF">
              <w:rPr>
                <w:sz w:val="18"/>
                <w:szCs w:val="18"/>
                <w:lang w:val="pt-BR"/>
              </w:rPr>
              <w:t>) a)</w:t>
            </w:r>
            <w:proofErr w:type="gramEnd"/>
            <w:r w:rsidRPr="00B825AF">
              <w:rPr>
                <w:sz w:val="18"/>
                <w:szCs w:val="18"/>
                <w:lang w:val="pt-BR"/>
              </w:rPr>
              <w:t>, c), d), e)</w:t>
            </w:r>
          </w:p>
          <w:p w:rsidR="00233205" w:rsidRPr="00B825AF" w:rsidRDefault="00233205" w:rsidP="00E30BEC">
            <w:pPr>
              <w:pStyle w:val="NoSpacing"/>
              <w:jc w:val="center"/>
              <w:rPr>
                <w:sz w:val="18"/>
                <w:szCs w:val="18"/>
                <w:lang w:val="pt-BR"/>
              </w:rPr>
            </w:pPr>
          </w:p>
          <w:p w:rsidR="00233205" w:rsidRPr="00B825AF" w:rsidRDefault="00233205" w:rsidP="00E30BEC">
            <w:pPr>
              <w:pStyle w:val="NoSpacing"/>
              <w:jc w:val="center"/>
              <w:rPr>
                <w:rFonts w:cstheme="majorBidi"/>
                <w:b/>
                <w:bCs/>
                <w:i/>
                <w:iCs/>
                <w:color w:val="404040" w:themeColor="text1" w:themeTint="BF"/>
                <w:sz w:val="18"/>
                <w:szCs w:val="18"/>
              </w:rPr>
            </w:pPr>
            <w:r w:rsidRPr="00B825AF">
              <w:rPr>
                <w:sz w:val="18"/>
                <w:szCs w:val="18"/>
              </w:rPr>
              <w:t>EFS-10 (i), (ii), (iii), (iv)</w:t>
            </w:r>
          </w:p>
          <w:p w:rsidR="00233205" w:rsidRPr="00B825AF" w:rsidRDefault="00233205" w:rsidP="00E30BEC">
            <w:pPr>
              <w:pStyle w:val="NoSpacing"/>
              <w:jc w:val="center"/>
              <w:rPr>
                <w:sz w:val="18"/>
                <w:szCs w:val="18"/>
              </w:rPr>
            </w:pPr>
          </w:p>
          <w:p w:rsidR="00233205" w:rsidRPr="00B825AF" w:rsidRDefault="00233205" w:rsidP="00E30BEC">
            <w:pPr>
              <w:pStyle w:val="NoSpacing"/>
              <w:jc w:val="center"/>
              <w:rPr>
                <w:rFonts w:cstheme="majorBidi"/>
                <w:b/>
                <w:bCs/>
                <w:i/>
                <w:iCs/>
                <w:color w:val="404040" w:themeColor="text1" w:themeTint="BF"/>
                <w:sz w:val="18"/>
                <w:szCs w:val="18"/>
              </w:rPr>
            </w:pPr>
            <w:r w:rsidRPr="00B825AF">
              <w:rPr>
                <w:sz w:val="18"/>
                <w:szCs w:val="18"/>
              </w:rPr>
              <w:t>EFS-11</w:t>
            </w:r>
          </w:p>
          <w:p w:rsidR="00233205" w:rsidRPr="00B825AF" w:rsidRDefault="00233205" w:rsidP="00E30BEC">
            <w:pPr>
              <w:pStyle w:val="NoSpacing"/>
              <w:jc w:val="center"/>
              <w:rPr>
                <w:rFonts w:cstheme="majorBidi"/>
                <w:b/>
                <w:bCs/>
                <w:i/>
                <w:iCs/>
                <w:color w:val="404040" w:themeColor="text1" w:themeTint="BF"/>
                <w:sz w:val="18"/>
                <w:szCs w:val="18"/>
                <w:lang w:val="pt-BR"/>
              </w:rPr>
            </w:pPr>
            <w:r w:rsidRPr="00B825AF">
              <w:rPr>
                <w:sz w:val="18"/>
                <w:szCs w:val="18"/>
                <w:lang w:val="pt-BR"/>
              </w:rPr>
              <w:t>(</w:t>
            </w:r>
            <w:proofErr w:type="spellStart"/>
            <w:proofErr w:type="gramStart"/>
            <w:r w:rsidRPr="00B825AF">
              <w:rPr>
                <w:sz w:val="18"/>
                <w:szCs w:val="18"/>
                <w:lang w:val="pt-BR"/>
              </w:rPr>
              <w:t>iii</w:t>
            </w:r>
            <w:proofErr w:type="spellEnd"/>
            <w:r w:rsidRPr="00B825AF">
              <w:rPr>
                <w:sz w:val="18"/>
                <w:szCs w:val="18"/>
                <w:lang w:val="pt-BR"/>
              </w:rPr>
              <w:t>) d)</w:t>
            </w:r>
            <w:proofErr w:type="gramEnd"/>
          </w:p>
          <w:p w:rsidR="00233205" w:rsidRPr="00B825AF" w:rsidRDefault="00233205" w:rsidP="00E30BEC">
            <w:pPr>
              <w:pStyle w:val="NoSpacing"/>
              <w:jc w:val="center"/>
              <w:rPr>
                <w:sz w:val="18"/>
                <w:szCs w:val="18"/>
                <w:lang w:val="pt-BR"/>
              </w:rPr>
            </w:pPr>
          </w:p>
          <w:p w:rsidR="00233205" w:rsidRPr="00B825AF" w:rsidRDefault="00233205" w:rsidP="00E30BEC">
            <w:pPr>
              <w:pStyle w:val="NoSpacing"/>
              <w:jc w:val="center"/>
              <w:rPr>
                <w:rFonts w:cstheme="majorBidi"/>
                <w:b/>
                <w:bCs/>
                <w:i/>
                <w:iCs/>
                <w:color w:val="404040" w:themeColor="text1" w:themeTint="BF"/>
                <w:sz w:val="18"/>
                <w:szCs w:val="18"/>
                <w:lang w:val="pt-BR"/>
              </w:rPr>
            </w:pPr>
            <w:r w:rsidRPr="00B825AF">
              <w:rPr>
                <w:sz w:val="18"/>
                <w:szCs w:val="18"/>
                <w:lang w:val="pt-BR"/>
              </w:rPr>
              <w:t>EFS-13</w:t>
            </w:r>
          </w:p>
          <w:p w:rsidR="00233205" w:rsidRPr="00B825AF" w:rsidRDefault="00233205" w:rsidP="00E30BEC">
            <w:pPr>
              <w:pStyle w:val="NoSpacing"/>
              <w:jc w:val="center"/>
              <w:rPr>
                <w:rFonts w:cstheme="majorBidi"/>
                <w:b/>
                <w:bCs/>
                <w:i/>
                <w:iCs/>
                <w:color w:val="404040" w:themeColor="text1" w:themeTint="BF"/>
                <w:sz w:val="18"/>
                <w:szCs w:val="18"/>
                <w:lang w:val="pt-BR"/>
              </w:rPr>
            </w:pPr>
            <w:r w:rsidRPr="00B825AF">
              <w:rPr>
                <w:sz w:val="18"/>
                <w:szCs w:val="18"/>
                <w:lang w:val="pt-BR"/>
              </w:rPr>
              <w:t>(</w:t>
            </w:r>
            <w:proofErr w:type="spellStart"/>
            <w:proofErr w:type="gramStart"/>
            <w:r w:rsidRPr="00B825AF">
              <w:rPr>
                <w:sz w:val="18"/>
                <w:szCs w:val="18"/>
                <w:lang w:val="pt-BR"/>
              </w:rPr>
              <w:t>iii</w:t>
            </w:r>
            <w:proofErr w:type="spellEnd"/>
            <w:r w:rsidRPr="00B825AF">
              <w:rPr>
                <w:sz w:val="18"/>
                <w:szCs w:val="18"/>
                <w:lang w:val="pt-BR"/>
              </w:rPr>
              <w:t>) b)</w:t>
            </w:r>
            <w:proofErr w:type="gramEnd"/>
            <w:r w:rsidRPr="00B825AF">
              <w:rPr>
                <w:sz w:val="18"/>
                <w:szCs w:val="18"/>
                <w:lang w:val="pt-BR"/>
              </w:rPr>
              <w:t>, e)</w:t>
            </w:r>
          </w:p>
          <w:p w:rsidR="00233205" w:rsidRPr="00B825AF" w:rsidRDefault="00233205" w:rsidP="00E30BEC">
            <w:pPr>
              <w:pStyle w:val="NoSpacing"/>
              <w:jc w:val="center"/>
              <w:rPr>
                <w:sz w:val="18"/>
                <w:szCs w:val="18"/>
                <w:lang w:val="pt-BR"/>
              </w:rPr>
            </w:pPr>
          </w:p>
          <w:p w:rsidR="00233205" w:rsidRPr="00B825AF" w:rsidRDefault="00233205" w:rsidP="00E30BEC">
            <w:pPr>
              <w:pStyle w:val="NoSpacing"/>
              <w:jc w:val="center"/>
              <w:rPr>
                <w:rFonts w:cstheme="majorBidi"/>
                <w:b/>
                <w:bCs/>
                <w:i/>
                <w:iCs/>
                <w:color w:val="404040" w:themeColor="text1" w:themeTint="BF"/>
                <w:sz w:val="18"/>
                <w:szCs w:val="18"/>
              </w:rPr>
            </w:pPr>
            <w:r w:rsidRPr="00B825AF">
              <w:rPr>
                <w:sz w:val="18"/>
                <w:szCs w:val="18"/>
              </w:rPr>
              <w:t>EFS15 (iii)(d)</w:t>
            </w:r>
          </w:p>
          <w:p w:rsidR="00233205" w:rsidRPr="00B825AF" w:rsidRDefault="00233205" w:rsidP="00E30BEC">
            <w:pPr>
              <w:pStyle w:val="NoSpacing"/>
              <w:jc w:val="center"/>
              <w:rPr>
                <w:sz w:val="18"/>
                <w:szCs w:val="18"/>
              </w:rPr>
            </w:pPr>
          </w:p>
          <w:p w:rsidR="00233205" w:rsidRPr="00B825AF" w:rsidRDefault="00233205" w:rsidP="00E30BEC">
            <w:pPr>
              <w:pStyle w:val="NoSpacing"/>
              <w:jc w:val="center"/>
              <w:rPr>
                <w:rFonts w:cstheme="majorBidi"/>
                <w:b/>
                <w:bCs/>
                <w:i/>
                <w:iCs/>
                <w:color w:val="404040" w:themeColor="text1" w:themeTint="BF"/>
                <w:sz w:val="18"/>
                <w:szCs w:val="18"/>
              </w:rPr>
            </w:pPr>
            <w:r w:rsidRPr="00B825AF">
              <w:rPr>
                <w:sz w:val="18"/>
                <w:szCs w:val="18"/>
              </w:rPr>
              <w:t>EFS 18 (ii) i)</w:t>
            </w:r>
          </w:p>
        </w:tc>
        <w:tc>
          <w:tcPr>
            <w:tcW w:w="777" w:type="pct"/>
          </w:tcPr>
          <w:p w:rsidR="00233205" w:rsidRPr="00B36377" w:rsidRDefault="00233205" w:rsidP="00E30BEC">
            <w:pPr>
              <w:pStyle w:val="NoSpacing"/>
              <w:rPr>
                <w:sz w:val="18"/>
                <w:szCs w:val="18"/>
                <w:lang w:val="es-ES_tradnl"/>
              </w:rPr>
            </w:pPr>
            <w:r w:rsidRPr="00B36377">
              <w:rPr>
                <w:sz w:val="18"/>
                <w:szCs w:val="18"/>
                <w:lang w:val="es-ES_tradnl"/>
              </w:rPr>
              <w:t>La CGRC no dispone  de SCC homologable a las ISSAI, que considere aspectos como:</w:t>
            </w:r>
          </w:p>
          <w:p w:rsidR="00233205" w:rsidRPr="00B36377" w:rsidRDefault="00233205" w:rsidP="00233205">
            <w:pPr>
              <w:pStyle w:val="NoSpacing"/>
              <w:numPr>
                <w:ilvl w:val="0"/>
                <w:numId w:val="61"/>
              </w:numPr>
              <w:ind w:left="187" w:hanging="180"/>
              <w:rPr>
                <w:sz w:val="18"/>
                <w:szCs w:val="18"/>
                <w:lang w:val="es-ES_tradnl"/>
              </w:rPr>
            </w:pPr>
            <w:r w:rsidRPr="00B36377">
              <w:rPr>
                <w:sz w:val="18"/>
                <w:szCs w:val="18"/>
                <w:lang w:val="es-ES_tradnl"/>
              </w:rPr>
              <w:t>Estándares de calidad en la ejecución de los trabajos</w:t>
            </w:r>
          </w:p>
          <w:p w:rsidR="00233205" w:rsidRPr="00B36377" w:rsidRDefault="00233205" w:rsidP="00233205">
            <w:pPr>
              <w:pStyle w:val="NoSpacing"/>
              <w:numPr>
                <w:ilvl w:val="0"/>
                <w:numId w:val="61"/>
              </w:numPr>
              <w:ind w:left="187" w:hanging="180"/>
              <w:rPr>
                <w:sz w:val="18"/>
                <w:szCs w:val="18"/>
                <w:lang w:val="es-ES_tradnl"/>
              </w:rPr>
            </w:pPr>
            <w:r w:rsidRPr="00B36377">
              <w:rPr>
                <w:sz w:val="18"/>
                <w:szCs w:val="18"/>
                <w:lang w:val="es-ES_tradnl"/>
              </w:rPr>
              <w:t>Consideración de riesgos a la calidad</w:t>
            </w:r>
          </w:p>
          <w:p w:rsidR="00233205" w:rsidRPr="00B36377" w:rsidRDefault="00233205" w:rsidP="00233205">
            <w:pPr>
              <w:pStyle w:val="NoSpacing"/>
              <w:numPr>
                <w:ilvl w:val="0"/>
                <w:numId w:val="61"/>
              </w:numPr>
              <w:ind w:left="187" w:hanging="180"/>
              <w:rPr>
                <w:sz w:val="18"/>
                <w:szCs w:val="18"/>
                <w:lang w:val="es-ES_tradnl"/>
              </w:rPr>
            </w:pPr>
            <w:r w:rsidRPr="00B36377">
              <w:rPr>
                <w:sz w:val="18"/>
                <w:szCs w:val="18"/>
                <w:lang w:val="es-ES_tradnl"/>
              </w:rPr>
              <w:t xml:space="preserve">Revisión interna independiente  </w:t>
            </w:r>
          </w:p>
          <w:p w:rsidR="00233205" w:rsidRPr="00B36377" w:rsidRDefault="00233205" w:rsidP="00233205">
            <w:pPr>
              <w:pStyle w:val="NoSpacing"/>
              <w:numPr>
                <w:ilvl w:val="0"/>
                <w:numId w:val="61"/>
              </w:numPr>
              <w:ind w:left="187" w:hanging="180"/>
              <w:rPr>
                <w:sz w:val="18"/>
                <w:szCs w:val="18"/>
                <w:lang w:val="es-ES_tradnl"/>
              </w:rPr>
            </w:pPr>
            <w:r w:rsidRPr="00B36377">
              <w:rPr>
                <w:sz w:val="18"/>
                <w:szCs w:val="18"/>
                <w:lang w:val="es-ES_tradnl"/>
              </w:rPr>
              <w:t>Requerimientos profesionales del personal responsable del control de calidad</w:t>
            </w:r>
          </w:p>
          <w:p w:rsidR="00233205" w:rsidRPr="00B36377" w:rsidRDefault="00233205" w:rsidP="00233205">
            <w:pPr>
              <w:pStyle w:val="NoSpacing"/>
              <w:numPr>
                <w:ilvl w:val="0"/>
                <w:numId w:val="61"/>
              </w:numPr>
              <w:ind w:left="187" w:hanging="180"/>
              <w:rPr>
                <w:sz w:val="18"/>
                <w:szCs w:val="18"/>
                <w:lang w:val="es-ES_tradnl"/>
              </w:rPr>
            </w:pPr>
            <w:r w:rsidRPr="00B36377">
              <w:rPr>
                <w:sz w:val="18"/>
                <w:szCs w:val="18"/>
                <w:lang w:val="es-ES_tradnl"/>
              </w:rPr>
              <w:t>Reporte de los resultados del control de calidad al Contralor General</w:t>
            </w:r>
          </w:p>
          <w:p w:rsidR="00233205" w:rsidRPr="00B36377" w:rsidRDefault="00233205" w:rsidP="00233205">
            <w:pPr>
              <w:pStyle w:val="NoSpacing"/>
              <w:numPr>
                <w:ilvl w:val="0"/>
                <w:numId w:val="61"/>
              </w:numPr>
              <w:ind w:left="187" w:hanging="180"/>
              <w:rPr>
                <w:sz w:val="18"/>
                <w:szCs w:val="18"/>
                <w:lang w:val="es-ES_tradnl"/>
              </w:rPr>
            </w:pPr>
            <w:r w:rsidRPr="00B36377">
              <w:rPr>
                <w:sz w:val="18"/>
                <w:szCs w:val="18"/>
                <w:lang w:val="es-ES_tradnl"/>
              </w:rPr>
              <w:t xml:space="preserve">Acciones con base en los resultados </w:t>
            </w:r>
          </w:p>
          <w:p w:rsidR="00233205" w:rsidRPr="00B36377" w:rsidRDefault="00233205" w:rsidP="00233205">
            <w:pPr>
              <w:pStyle w:val="NoSpacing"/>
              <w:numPr>
                <w:ilvl w:val="0"/>
                <w:numId w:val="61"/>
              </w:numPr>
              <w:ind w:left="187" w:hanging="180"/>
              <w:rPr>
                <w:sz w:val="18"/>
                <w:szCs w:val="18"/>
                <w:lang w:val="es-ES_tradnl"/>
              </w:rPr>
            </w:pPr>
            <w:r w:rsidRPr="00B36377">
              <w:rPr>
                <w:sz w:val="18"/>
                <w:szCs w:val="18"/>
                <w:lang w:val="es-ES_tradnl"/>
              </w:rPr>
              <w:t>Revisión externa independiente del sistema</w:t>
            </w:r>
          </w:p>
          <w:p w:rsidR="00233205" w:rsidRPr="00B36377" w:rsidRDefault="00233205" w:rsidP="00E30BEC">
            <w:pPr>
              <w:pStyle w:val="NoSpacing"/>
              <w:ind w:left="187"/>
              <w:rPr>
                <w:sz w:val="18"/>
                <w:szCs w:val="18"/>
                <w:lang w:val="es-ES_tradnl"/>
              </w:rPr>
            </w:pPr>
          </w:p>
        </w:tc>
        <w:tc>
          <w:tcPr>
            <w:tcW w:w="1346" w:type="pct"/>
          </w:tcPr>
          <w:p w:rsidR="00233205" w:rsidRPr="00B36377" w:rsidRDefault="00233205" w:rsidP="00E30BEC">
            <w:pPr>
              <w:rPr>
                <w:rFonts w:ascii="Calibri" w:hAnsi="Calibri"/>
                <w:color w:val="000000"/>
                <w:sz w:val="18"/>
                <w:szCs w:val="18"/>
              </w:rPr>
            </w:pPr>
            <w:r w:rsidRPr="00B36377">
              <w:rPr>
                <w:rFonts w:ascii="Calibri" w:hAnsi="Calibri"/>
                <w:b/>
                <w:color w:val="000000"/>
                <w:sz w:val="18"/>
                <w:szCs w:val="18"/>
              </w:rPr>
              <w:t xml:space="preserve">Diseño e implantación de un Sistema de Control de Calidad (SCC) </w:t>
            </w:r>
            <w:r w:rsidRPr="00B36377">
              <w:rPr>
                <w:rFonts w:ascii="Calibri" w:hAnsi="Calibri"/>
                <w:color w:val="000000"/>
                <w:sz w:val="18"/>
                <w:szCs w:val="18"/>
              </w:rPr>
              <w:t>- (Homologable a ISSAI 40), para las diferentes intervenciones de auditoria que incluya:</w:t>
            </w:r>
          </w:p>
          <w:p w:rsidR="00233205" w:rsidRPr="00B36377" w:rsidRDefault="00233205" w:rsidP="00E30BEC">
            <w:pPr>
              <w:rPr>
                <w:rFonts w:ascii="Calibri" w:hAnsi="Calibri"/>
                <w:color w:val="000000"/>
                <w:sz w:val="18"/>
                <w:szCs w:val="18"/>
              </w:rPr>
            </w:pPr>
          </w:p>
          <w:p w:rsidR="00233205" w:rsidRPr="00B36377" w:rsidRDefault="00233205" w:rsidP="00233205">
            <w:pPr>
              <w:pStyle w:val="ListParagraph"/>
              <w:numPr>
                <w:ilvl w:val="0"/>
                <w:numId w:val="60"/>
              </w:numPr>
              <w:ind w:left="219" w:hanging="270"/>
              <w:rPr>
                <w:rFonts w:ascii="Calibri" w:hAnsi="Calibri"/>
                <w:color w:val="000000"/>
                <w:sz w:val="18"/>
                <w:szCs w:val="18"/>
              </w:rPr>
            </w:pPr>
            <w:r w:rsidRPr="00B36377">
              <w:rPr>
                <w:rFonts w:ascii="Calibri" w:hAnsi="Calibri"/>
                <w:color w:val="000000"/>
                <w:sz w:val="18"/>
                <w:szCs w:val="18"/>
              </w:rPr>
              <w:t>Supervisión en línea o sobre la marcha  de los trabajos</w:t>
            </w:r>
          </w:p>
          <w:p w:rsidR="00233205" w:rsidRPr="00B36377" w:rsidRDefault="00233205" w:rsidP="00233205">
            <w:pPr>
              <w:pStyle w:val="ListParagraph"/>
              <w:numPr>
                <w:ilvl w:val="0"/>
                <w:numId w:val="60"/>
              </w:numPr>
              <w:ind w:left="219" w:hanging="270"/>
              <w:rPr>
                <w:rFonts w:ascii="Calibri" w:hAnsi="Calibri"/>
                <w:color w:val="000000"/>
                <w:sz w:val="18"/>
                <w:szCs w:val="18"/>
              </w:rPr>
            </w:pPr>
            <w:r w:rsidRPr="00B36377">
              <w:rPr>
                <w:rFonts w:ascii="Calibri" w:hAnsi="Calibri"/>
                <w:color w:val="000000"/>
                <w:sz w:val="18"/>
                <w:szCs w:val="18"/>
              </w:rPr>
              <w:t>Control de calidad de pares al interior de la CGR</w:t>
            </w:r>
            <w:r>
              <w:rPr>
                <w:rFonts w:ascii="Calibri" w:hAnsi="Calibri"/>
                <w:color w:val="000000"/>
                <w:sz w:val="18"/>
                <w:szCs w:val="18"/>
              </w:rPr>
              <w:t>C</w:t>
            </w:r>
            <w:r w:rsidRPr="00B36377">
              <w:rPr>
                <w:rFonts w:ascii="Calibri" w:hAnsi="Calibri"/>
                <w:color w:val="000000"/>
                <w:sz w:val="18"/>
                <w:szCs w:val="18"/>
              </w:rPr>
              <w:t xml:space="preserve"> o mediante Comités Técnicos</w:t>
            </w:r>
          </w:p>
          <w:p w:rsidR="00233205" w:rsidRPr="00B36377" w:rsidRDefault="00233205" w:rsidP="00233205">
            <w:pPr>
              <w:pStyle w:val="ListParagraph"/>
              <w:numPr>
                <w:ilvl w:val="0"/>
                <w:numId w:val="60"/>
              </w:numPr>
              <w:ind w:left="219" w:hanging="270"/>
              <w:rPr>
                <w:rFonts w:ascii="Calibri" w:hAnsi="Calibri"/>
                <w:color w:val="000000"/>
                <w:sz w:val="18"/>
                <w:szCs w:val="18"/>
              </w:rPr>
            </w:pPr>
            <w:r w:rsidRPr="00B36377">
              <w:rPr>
                <w:rFonts w:ascii="Calibri" w:hAnsi="Calibri"/>
                <w:color w:val="000000"/>
                <w:sz w:val="18"/>
                <w:szCs w:val="18"/>
              </w:rPr>
              <w:t>Control de calidad periódico Independiente</w:t>
            </w:r>
          </w:p>
          <w:p w:rsidR="00233205" w:rsidRPr="00B36377" w:rsidRDefault="00233205" w:rsidP="00233205">
            <w:pPr>
              <w:pStyle w:val="ListParagraph"/>
              <w:numPr>
                <w:ilvl w:val="0"/>
                <w:numId w:val="60"/>
              </w:numPr>
              <w:ind w:left="219" w:hanging="270"/>
              <w:rPr>
                <w:sz w:val="18"/>
                <w:szCs w:val="18"/>
              </w:rPr>
            </w:pPr>
            <w:r w:rsidRPr="00B36377">
              <w:rPr>
                <w:rFonts w:ascii="Calibri" w:hAnsi="Calibri"/>
                <w:color w:val="000000"/>
                <w:sz w:val="18"/>
                <w:szCs w:val="18"/>
              </w:rPr>
              <w:t>Auditoría independiente del SCC  (una vez alcance su  madurez)</w:t>
            </w:r>
          </w:p>
        </w:tc>
        <w:tc>
          <w:tcPr>
            <w:tcW w:w="777" w:type="pct"/>
          </w:tcPr>
          <w:p w:rsidR="00233205" w:rsidRPr="00B36377" w:rsidRDefault="00233205" w:rsidP="00233205">
            <w:pPr>
              <w:pStyle w:val="NoSpacing"/>
              <w:numPr>
                <w:ilvl w:val="0"/>
                <w:numId w:val="50"/>
              </w:numPr>
              <w:ind w:left="223" w:hanging="223"/>
              <w:rPr>
                <w:sz w:val="18"/>
                <w:szCs w:val="18"/>
                <w:lang w:val="es-ES_tradnl"/>
              </w:rPr>
            </w:pPr>
            <w:r w:rsidRPr="00B36377">
              <w:rPr>
                <w:sz w:val="18"/>
                <w:szCs w:val="18"/>
                <w:lang w:val="es-ES_tradnl"/>
              </w:rPr>
              <w:t xml:space="preserve">Las auditorías cumplen con las ISSAI.  </w:t>
            </w:r>
          </w:p>
          <w:p w:rsidR="00233205" w:rsidRPr="00B36377" w:rsidRDefault="00233205" w:rsidP="00E30BEC">
            <w:pPr>
              <w:pStyle w:val="NoSpacing"/>
              <w:ind w:left="223"/>
              <w:rPr>
                <w:sz w:val="18"/>
                <w:szCs w:val="18"/>
                <w:lang w:val="es-ES_tradnl"/>
              </w:rPr>
            </w:pPr>
          </w:p>
          <w:p w:rsidR="00233205" w:rsidRPr="00B36377" w:rsidRDefault="00233205" w:rsidP="00233205">
            <w:pPr>
              <w:pStyle w:val="NoSpacing"/>
              <w:numPr>
                <w:ilvl w:val="0"/>
                <w:numId w:val="50"/>
              </w:numPr>
              <w:ind w:left="223" w:hanging="223"/>
              <w:rPr>
                <w:sz w:val="18"/>
                <w:szCs w:val="18"/>
                <w:lang w:val="es-ES_tradnl"/>
              </w:rPr>
            </w:pPr>
            <w:r w:rsidRPr="00B36377">
              <w:rPr>
                <w:sz w:val="18"/>
                <w:szCs w:val="18"/>
                <w:lang w:val="es-ES_tradnl"/>
              </w:rPr>
              <w:t>Mayor experiencia por parte de los equipos, en torno a las mejores prácticas para el control de calidad.</w:t>
            </w:r>
          </w:p>
        </w:tc>
        <w:tc>
          <w:tcPr>
            <w:tcW w:w="517" w:type="pct"/>
          </w:tcPr>
          <w:p w:rsidR="00233205" w:rsidRPr="00B36377" w:rsidRDefault="00233205" w:rsidP="00E30BEC">
            <w:pPr>
              <w:pStyle w:val="NoSpacing"/>
              <w:rPr>
                <w:rFonts w:cstheme="majorBidi"/>
                <w:b/>
                <w:bCs/>
                <w:i/>
                <w:iCs/>
                <w:color w:val="404040" w:themeColor="text1" w:themeTint="BF"/>
                <w:sz w:val="18"/>
                <w:szCs w:val="18"/>
                <w:lang w:val="es-ES_tradnl"/>
              </w:rPr>
            </w:pPr>
            <w:r w:rsidRPr="00B36377">
              <w:rPr>
                <w:sz w:val="18"/>
                <w:szCs w:val="18"/>
                <w:lang w:val="es-ES_tradnl"/>
              </w:rPr>
              <w:t>Contralorías Delegadas  y Oficina de Planeación</w:t>
            </w:r>
          </w:p>
        </w:tc>
        <w:tc>
          <w:tcPr>
            <w:tcW w:w="465" w:type="pct"/>
          </w:tcPr>
          <w:p w:rsidR="00233205" w:rsidRPr="00B825AF" w:rsidRDefault="00233205" w:rsidP="00E30BEC">
            <w:pPr>
              <w:pStyle w:val="NoSpacing"/>
              <w:rPr>
                <w:sz w:val="18"/>
                <w:szCs w:val="18"/>
                <w:lang w:val="pt-BR"/>
              </w:rPr>
            </w:pPr>
            <w:proofErr w:type="spellStart"/>
            <w:r w:rsidRPr="00B825AF">
              <w:rPr>
                <w:sz w:val="18"/>
                <w:szCs w:val="18"/>
                <w:lang w:val="pt-BR"/>
              </w:rPr>
              <w:t>Primera</w:t>
            </w:r>
            <w:proofErr w:type="spellEnd"/>
            <w:r w:rsidRPr="00B825AF">
              <w:rPr>
                <w:sz w:val="18"/>
                <w:szCs w:val="18"/>
                <w:lang w:val="pt-BR"/>
              </w:rPr>
              <w:t xml:space="preserve"> Etapa- 2do semestre de 2015</w:t>
            </w:r>
          </w:p>
          <w:p w:rsidR="00233205" w:rsidRPr="00B825AF" w:rsidRDefault="00233205" w:rsidP="00E30BEC">
            <w:pPr>
              <w:pStyle w:val="NoSpacing"/>
              <w:rPr>
                <w:rFonts w:cstheme="majorBidi"/>
                <w:b/>
                <w:bCs/>
                <w:i/>
                <w:iCs/>
                <w:color w:val="404040" w:themeColor="text1" w:themeTint="BF"/>
                <w:sz w:val="18"/>
                <w:szCs w:val="18"/>
                <w:lang w:val="pt-BR"/>
              </w:rPr>
            </w:pPr>
          </w:p>
          <w:p w:rsidR="00233205" w:rsidRPr="00B825AF" w:rsidRDefault="00233205" w:rsidP="00E30BEC">
            <w:pPr>
              <w:pStyle w:val="NoSpacing"/>
              <w:rPr>
                <w:sz w:val="18"/>
                <w:szCs w:val="18"/>
                <w:lang w:val="pt-BR"/>
              </w:rPr>
            </w:pPr>
            <w:r w:rsidRPr="00B825AF">
              <w:rPr>
                <w:sz w:val="18"/>
                <w:szCs w:val="18"/>
                <w:lang w:val="pt-BR"/>
              </w:rPr>
              <w:t>Segunda etapa</w:t>
            </w:r>
            <w:proofErr w:type="gramStart"/>
            <w:r w:rsidRPr="00B825AF">
              <w:rPr>
                <w:sz w:val="18"/>
                <w:szCs w:val="18"/>
                <w:lang w:val="pt-BR"/>
              </w:rPr>
              <w:t xml:space="preserve">  </w:t>
            </w:r>
            <w:proofErr w:type="gramEnd"/>
            <w:r w:rsidRPr="00B825AF">
              <w:rPr>
                <w:sz w:val="18"/>
                <w:szCs w:val="18"/>
                <w:lang w:val="pt-BR"/>
              </w:rPr>
              <w:t>1er semestre 2016</w:t>
            </w:r>
          </w:p>
          <w:p w:rsidR="00233205" w:rsidRPr="00B825AF" w:rsidRDefault="00233205" w:rsidP="00E30BEC">
            <w:pPr>
              <w:pStyle w:val="NoSpacing"/>
              <w:rPr>
                <w:rFonts w:cstheme="majorBidi"/>
                <w:b/>
                <w:bCs/>
                <w:i/>
                <w:iCs/>
                <w:color w:val="404040" w:themeColor="text1" w:themeTint="BF"/>
                <w:sz w:val="18"/>
                <w:szCs w:val="18"/>
                <w:lang w:val="pt-BR"/>
              </w:rPr>
            </w:pPr>
          </w:p>
          <w:p w:rsidR="00233205" w:rsidRPr="00B825AF" w:rsidRDefault="00233205" w:rsidP="00E30BEC">
            <w:pPr>
              <w:pStyle w:val="NoSpacing"/>
              <w:rPr>
                <w:rFonts w:cstheme="majorBidi"/>
                <w:b/>
                <w:bCs/>
                <w:i/>
                <w:iCs/>
                <w:color w:val="404040" w:themeColor="text1" w:themeTint="BF"/>
                <w:sz w:val="18"/>
                <w:szCs w:val="18"/>
                <w:lang w:val="pt-BR"/>
              </w:rPr>
            </w:pPr>
            <w:proofErr w:type="spellStart"/>
            <w:r w:rsidRPr="00B825AF">
              <w:rPr>
                <w:sz w:val="18"/>
                <w:szCs w:val="18"/>
                <w:lang w:val="pt-BR"/>
              </w:rPr>
              <w:t>Tercera</w:t>
            </w:r>
            <w:proofErr w:type="spellEnd"/>
            <w:r w:rsidRPr="00B825AF">
              <w:rPr>
                <w:sz w:val="18"/>
                <w:szCs w:val="18"/>
                <w:lang w:val="pt-BR"/>
              </w:rPr>
              <w:t xml:space="preserve"> Etapa 2do semestre de 2016</w:t>
            </w:r>
          </w:p>
        </w:tc>
        <w:tc>
          <w:tcPr>
            <w:tcW w:w="579" w:type="pct"/>
          </w:tcPr>
          <w:p w:rsidR="00233205" w:rsidRPr="00B36377" w:rsidRDefault="00233205" w:rsidP="00E30BEC">
            <w:pPr>
              <w:pStyle w:val="NoSpacing"/>
              <w:rPr>
                <w:rFonts w:cstheme="majorBidi"/>
                <w:b/>
                <w:bCs/>
                <w:i/>
                <w:iCs/>
                <w:color w:val="404040" w:themeColor="text1" w:themeTint="BF"/>
                <w:sz w:val="18"/>
                <w:szCs w:val="18"/>
                <w:lang w:val="es-ES_tradnl"/>
              </w:rPr>
            </w:pPr>
            <w:r w:rsidRPr="00B36377">
              <w:rPr>
                <w:sz w:val="18"/>
                <w:szCs w:val="18"/>
                <w:lang w:val="es-ES_tradnl"/>
              </w:rPr>
              <w:t>Reportes de control calidad</w:t>
            </w:r>
          </w:p>
        </w:tc>
      </w:tr>
      <w:tr w:rsidR="00233205" w:rsidRPr="00B36377" w:rsidTr="00E30BEC">
        <w:trPr>
          <w:jc w:val="center"/>
        </w:trPr>
        <w:tc>
          <w:tcPr>
            <w:tcW w:w="177" w:type="pct"/>
          </w:tcPr>
          <w:p w:rsidR="00233205" w:rsidRPr="00B36377" w:rsidRDefault="00233205" w:rsidP="00E30BEC">
            <w:pPr>
              <w:pStyle w:val="NoSpacing"/>
              <w:jc w:val="center"/>
              <w:rPr>
                <w:sz w:val="18"/>
                <w:szCs w:val="18"/>
                <w:lang w:val="es-ES_tradnl"/>
              </w:rPr>
            </w:pPr>
          </w:p>
          <w:p w:rsidR="00233205" w:rsidRPr="00B36377" w:rsidRDefault="00233205" w:rsidP="00E30BEC">
            <w:pPr>
              <w:pStyle w:val="NoSpacing"/>
              <w:jc w:val="center"/>
              <w:rPr>
                <w:rFonts w:cstheme="majorBidi"/>
                <w:b/>
                <w:bCs/>
                <w:i/>
                <w:iCs/>
                <w:color w:val="404040" w:themeColor="text1" w:themeTint="BF"/>
                <w:sz w:val="18"/>
                <w:szCs w:val="18"/>
                <w:lang w:val="es-ES_tradnl"/>
              </w:rPr>
            </w:pPr>
          </w:p>
        </w:tc>
        <w:tc>
          <w:tcPr>
            <w:tcW w:w="362" w:type="pct"/>
          </w:tcPr>
          <w:p w:rsidR="00233205" w:rsidRPr="00B36377" w:rsidRDefault="00233205" w:rsidP="00E30BEC">
            <w:pPr>
              <w:pStyle w:val="NoSpacing"/>
              <w:jc w:val="center"/>
              <w:rPr>
                <w:rFonts w:cstheme="majorBidi"/>
                <w:b/>
                <w:bCs/>
                <w:i/>
                <w:iCs/>
                <w:color w:val="404040" w:themeColor="text1" w:themeTint="BF"/>
                <w:sz w:val="18"/>
                <w:szCs w:val="18"/>
                <w:lang w:val="es-ES_tradnl"/>
              </w:rPr>
            </w:pPr>
            <w:r w:rsidRPr="00B36377">
              <w:rPr>
                <w:sz w:val="18"/>
                <w:szCs w:val="18"/>
                <w:lang w:val="es-ES_tradnl"/>
              </w:rPr>
              <w:t>EFS-11 (i)</w:t>
            </w:r>
          </w:p>
          <w:p w:rsidR="00233205" w:rsidRPr="00B36377" w:rsidRDefault="00233205" w:rsidP="00E30BEC">
            <w:pPr>
              <w:pStyle w:val="NoSpacing"/>
              <w:jc w:val="center"/>
              <w:rPr>
                <w:sz w:val="18"/>
                <w:szCs w:val="18"/>
                <w:lang w:val="es-ES_tradnl"/>
              </w:rPr>
            </w:pPr>
          </w:p>
          <w:p w:rsidR="00233205" w:rsidRPr="00B36377" w:rsidRDefault="00233205" w:rsidP="00E30BEC">
            <w:pPr>
              <w:pStyle w:val="NoSpacing"/>
              <w:jc w:val="center"/>
              <w:rPr>
                <w:rFonts w:cstheme="majorBidi"/>
                <w:b/>
                <w:bCs/>
                <w:i/>
                <w:iCs/>
                <w:color w:val="404040" w:themeColor="text1" w:themeTint="BF"/>
                <w:sz w:val="18"/>
                <w:szCs w:val="18"/>
                <w:lang w:val="es-ES_tradnl"/>
              </w:rPr>
            </w:pPr>
            <w:r w:rsidRPr="00B36377">
              <w:rPr>
                <w:sz w:val="18"/>
                <w:szCs w:val="18"/>
                <w:lang w:val="es-ES_tradnl"/>
              </w:rPr>
              <w:t>EFS-13 (i)</w:t>
            </w:r>
          </w:p>
          <w:p w:rsidR="00233205" w:rsidRPr="00B36377" w:rsidRDefault="00233205" w:rsidP="00E30BEC">
            <w:pPr>
              <w:pStyle w:val="NoSpacing"/>
              <w:jc w:val="center"/>
              <w:rPr>
                <w:sz w:val="18"/>
                <w:szCs w:val="18"/>
                <w:lang w:val="es-ES_tradnl"/>
              </w:rPr>
            </w:pPr>
          </w:p>
          <w:p w:rsidR="00233205" w:rsidRPr="00B36377" w:rsidRDefault="00233205" w:rsidP="00E30BEC">
            <w:pPr>
              <w:pStyle w:val="NoSpacing"/>
              <w:jc w:val="center"/>
              <w:rPr>
                <w:rFonts w:cstheme="majorBidi"/>
                <w:b/>
                <w:bCs/>
                <w:i/>
                <w:iCs/>
                <w:color w:val="404040" w:themeColor="text1" w:themeTint="BF"/>
                <w:sz w:val="18"/>
                <w:szCs w:val="18"/>
                <w:lang w:val="es-ES_tradnl"/>
              </w:rPr>
            </w:pPr>
            <w:r w:rsidRPr="00B36377">
              <w:rPr>
                <w:sz w:val="18"/>
                <w:szCs w:val="18"/>
                <w:lang w:val="es-ES_tradnl"/>
              </w:rPr>
              <w:t>EFS- 15 (i)</w:t>
            </w:r>
          </w:p>
        </w:tc>
        <w:tc>
          <w:tcPr>
            <w:tcW w:w="777" w:type="pct"/>
          </w:tcPr>
          <w:p w:rsidR="00233205" w:rsidRPr="00B36377" w:rsidRDefault="00233205" w:rsidP="00E30BEC">
            <w:pPr>
              <w:pStyle w:val="NoSpacing"/>
              <w:rPr>
                <w:rFonts w:eastAsia="Calibri" w:cs="Arial"/>
                <w:sz w:val="18"/>
                <w:szCs w:val="18"/>
                <w:lang w:val="es-ES_tradnl"/>
              </w:rPr>
            </w:pPr>
            <w:r w:rsidRPr="00B36377">
              <w:rPr>
                <w:rFonts w:eastAsia="Calibri" w:cs="Arial"/>
                <w:sz w:val="18"/>
                <w:szCs w:val="18"/>
                <w:lang w:val="es-ES_tradnl"/>
              </w:rPr>
              <w:t xml:space="preserve">La CGRC sustenta la metodología y procedimientos para la ejecución de la </w:t>
            </w:r>
            <w:r w:rsidRPr="00B36377">
              <w:rPr>
                <w:rFonts w:eastAsia="Calibri" w:cs="Arial"/>
                <w:b/>
                <w:sz w:val="18"/>
                <w:szCs w:val="18"/>
                <w:lang w:val="es-ES_tradnl"/>
              </w:rPr>
              <w:t>auditoría con enfoque integra</w:t>
            </w:r>
            <w:r w:rsidRPr="00B36377">
              <w:rPr>
                <w:rFonts w:eastAsia="Calibri" w:cs="Arial"/>
                <w:sz w:val="18"/>
                <w:szCs w:val="18"/>
                <w:lang w:val="es-ES_tradnl"/>
              </w:rPr>
              <w:t>l en la Guía de Auditoría ajustada al SICA, la cual no es homologable a los estándares internacionales de auditoría externa gubernamental.</w:t>
            </w:r>
          </w:p>
        </w:tc>
        <w:tc>
          <w:tcPr>
            <w:tcW w:w="1346" w:type="pct"/>
          </w:tcPr>
          <w:p w:rsidR="00233205" w:rsidRPr="00B36377" w:rsidRDefault="00233205" w:rsidP="00E30BEC">
            <w:pPr>
              <w:rPr>
                <w:rFonts w:ascii="Calibri" w:hAnsi="Calibri"/>
                <w:color w:val="000000"/>
                <w:sz w:val="18"/>
                <w:szCs w:val="18"/>
              </w:rPr>
            </w:pPr>
            <w:r w:rsidRPr="00B36377">
              <w:rPr>
                <w:rFonts w:ascii="Calibri" w:hAnsi="Calibri"/>
                <w:color w:val="000000"/>
                <w:sz w:val="18"/>
                <w:szCs w:val="18"/>
              </w:rPr>
              <w:t>Diseño e implantación del Sistema de Auditoría Gubernamental (SAG) bajo las mejores prácticas (INTOSAI - OCDE)  y a la medida del contexto del sector público colombiano el cual tendría las siguientes componentes:</w:t>
            </w:r>
          </w:p>
          <w:p w:rsidR="00233205" w:rsidRPr="00B36377" w:rsidRDefault="00233205" w:rsidP="00E30BEC">
            <w:pPr>
              <w:rPr>
                <w:rFonts w:ascii="Calibri" w:hAnsi="Calibri"/>
                <w:color w:val="000000"/>
                <w:sz w:val="18"/>
                <w:szCs w:val="18"/>
              </w:rPr>
            </w:pPr>
          </w:p>
          <w:p w:rsidR="00233205" w:rsidRPr="00B36377" w:rsidRDefault="00233205" w:rsidP="00233205">
            <w:pPr>
              <w:pStyle w:val="ListParagraph"/>
              <w:numPr>
                <w:ilvl w:val="0"/>
                <w:numId w:val="63"/>
              </w:numPr>
              <w:rPr>
                <w:rFonts w:ascii="Calibri" w:hAnsi="Calibri"/>
                <w:color w:val="000000"/>
                <w:sz w:val="18"/>
                <w:szCs w:val="18"/>
              </w:rPr>
            </w:pPr>
            <w:r w:rsidRPr="00B36377">
              <w:rPr>
                <w:rFonts w:ascii="Calibri" w:hAnsi="Calibri"/>
                <w:b/>
                <w:color w:val="000000"/>
                <w:sz w:val="18"/>
                <w:szCs w:val="18"/>
              </w:rPr>
              <w:t xml:space="preserve">Marco Rector del Control Externo (MRCE) </w:t>
            </w:r>
            <w:r w:rsidRPr="00B36377">
              <w:rPr>
                <w:rFonts w:ascii="Calibri" w:hAnsi="Calibri"/>
                <w:color w:val="000000"/>
                <w:sz w:val="18"/>
                <w:szCs w:val="18"/>
              </w:rPr>
              <w:t>Homologado a la ISSAI 100</w:t>
            </w:r>
          </w:p>
          <w:p w:rsidR="00233205" w:rsidRPr="00B36377" w:rsidRDefault="00233205" w:rsidP="00233205">
            <w:pPr>
              <w:pStyle w:val="ListParagraph"/>
              <w:numPr>
                <w:ilvl w:val="0"/>
                <w:numId w:val="64"/>
              </w:numPr>
              <w:rPr>
                <w:rFonts w:ascii="Calibri" w:hAnsi="Calibri"/>
                <w:color w:val="000000"/>
                <w:sz w:val="18"/>
                <w:szCs w:val="18"/>
              </w:rPr>
            </w:pPr>
            <w:r w:rsidRPr="00B36377">
              <w:rPr>
                <w:rFonts w:ascii="Calibri" w:hAnsi="Calibri"/>
                <w:color w:val="000000"/>
                <w:sz w:val="18"/>
                <w:szCs w:val="18"/>
              </w:rPr>
              <w:t>Marco Legal específico del control externo – mandato</w:t>
            </w:r>
          </w:p>
          <w:p w:rsidR="00233205" w:rsidRPr="00B36377" w:rsidRDefault="00233205" w:rsidP="00233205">
            <w:pPr>
              <w:pStyle w:val="ListParagraph"/>
              <w:numPr>
                <w:ilvl w:val="0"/>
                <w:numId w:val="64"/>
              </w:numPr>
              <w:rPr>
                <w:rFonts w:ascii="Calibri" w:hAnsi="Calibri"/>
                <w:color w:val="000000"/>
                <w:sz w:val="18"/>
                <w:szCs w:val="18"/>
              </w:rPr>
            </w:pPr>
            <w:r w:rsidRPr="00B36377">
              <w:rPr>
                <w:rFonts w:ascii="Calibri" w:hAnsi="Calibri"/>
                <w:color w:val="000000"/>
                <w:sz w:val="18"/>
                <w:szCs w:val="18"/>
              </w:rPr>
              <w:t>Principios fundamentales de la Auditoria Externa Gubernamental</w:t>
            </w:r>
          </w:p>
          <w:p w:rsidR="00233205" w:rsidRPr="00B36377" w:rsidRDefault="00233205" w:rsidP="00233205">
            <w:pPr>
              <w:pStyle w:val="ListParagraph"/>
              <w:numPr>
                <w:ilvl w:val="0"/>
                <w:numId w:val="63"/>
              </w:numPr>
              <w:rPr>
                <w:rFonts w:ascii="Calibri" w:hAnsi="Calibri"/>
                <w:color w:val="000000"/>
                <w:sz w:val="18"/>
                <w:szCs w:val="18"/>
              </w:rPr>
            </w:pPr>
            <w:r w:rsidRPr="00B36377">
              <w:rPr>
                <w:rFonts w:ascii="Calibri" w:hAnsi="Calibri"/>
                <w:b/>
                <w:color w:val="000000"/>
                <w:sz w:val="18"/>
                <w:szCs w:val="18"/>
              </w:rPr>
              <w:t>Manual de Auditoria Gubernamental (MAG)</w:t>
            </w:r>
            <w:r w:rsidRPr="00B36377">
              <w:rPr>
                <w:rFonts w:ascii="Calibri" w:hAnsi="Calibri"/>
                <w:color w:val="000000"/>
                <w:sz w:val="18"/>
                <w:szCs w:val="18"/>
              </w:rPr>
              <w:t xml:space="preserve"> (Homologable a la ISSAI 100)        </w:t>
            </w:r>
            <w:r w:rsidRPr="00B36377">
              <w:rPr>
                <w:rFonts w:ascii="Calibri" w:hAnsi="Calibri"/>
                <w:b/>
                <w:color w:val="000000"/>
                <w:sz w:val="18"/>
                <w:szCs w:val="18"/>
              </w:rPr>
              <w:t xml:space="preserve">                                                                                                                                                   </w:t>
            </w:r>
            <w:r w:rsidRPr="00B36377">
              <w:rPr>
                <w:rFonts w:ascii="Calibri" w:hAnsi="Calibri"/>
                <w:color w:val="000000"/>
                <w:sz w:val="18"/>
                <w:szCs w:val="18"/>
              </w:rPr>
              <w:t xml:space="preserve"> Desarrollo de  los  principios  del proceso de auditoria:</w:t>
            </w:r>
          </w:p>
          <w:p w:rsidR="00233205" w:rsidRPr="00B36377" w:rsidRDefault="00233205" w:rsidP="00233205">
            <w:pPr>
              <w:pStyle w:val="ListParagraph"/>
              <w:numPr>
                <w:ilvl w:val="0"/>
                <w:numId w:val="65"/>
              </w:numPr>
              <w:rPr>
                <w:rFonts w:ascii="Calibri" w:hAnsi="Calibri"/>
                <w:color w:val="000000"/>
                <w:sz w:val="18"/>
                <w:szCs w:val="18"/>
              </w:rPr>
            </w:pPr>
            <w:r w:rsidRPr="00B36377">
              <w:rPr>
                <w:rFonts w:ascii="Calibri" w:hAnsi="Calibri"/>
                <w:color w:val="000000"/>
                <w:sz w:val="18"/>
                <w:szCs w:val="18"/>
              </w:rPr>
              <w:t>Planeación de la auditoria</w:t>
            </w:r>
          </w:p>
          <w:p w:rsidR="00233205" w:rsidRPr="00B36377" w:rsidRDefault="00233205" w:rsidP="00233205">
            <w:pPr>
              <w:pStyle w:val="ListParagraph"/>
              <w:numPr>
                <w:ilvl w:val="0"/>
                <w:numId w:val="65"/>
              </w:numPr>
              <w:rPr>
                <w:rFonts w:ascii="Calibri" w:hAnsi="Calibri"/>
                <w:color w:val="000000"/>
                <w:sz w:val="18"/>
                <w:szCs w:val="18"/>
              </w:rPr>
            </w:pPr>
            <w:r w:rsidRPr="00B36377">
              <w:rPr>
                <w:rFonts w:ascii="Calibri" w:hAnsi="Calibri"/>
                <w:color w:val="000000"/>
                <w:sz w:val="18"/>
                <w:szCs w:val="18"/>
              </w:rPr>
              <w:t>Ejecución o realización de la auditoria</w:t>
            </w:r>
          </w:p>
          <w:p w:rsidR="00233205" w:rsidRPr="00B36377" w:rsidRDefault="00233205" w:rsidP="00233205">
            <w:pPr>
              <w:pStyle w:val="ListParagraph"/>
              <w:numPr>
                <w:ilvl w:val="0"/>
                <w:numId w:val="65"/>
              </w:numPr>
              <w:rPr>
                <w:rFonts w:ascii="Calibri" w:hAnsi="Calibri"/>
                <w:color w:val="000000"/>
                <w:sz w:val="18"/>
                <w:szCs w:val="18"/>
              </w:rPr>
            </w:pPr>
            <w:r w:rsidRPr="00B36377">
              <w:rPr>
                <w:rFonts w:ascii="Calibri" w:hAnsi="Calibri"/>
                <w:color w:val="000000"/>
                <w:sz w:val="18"/>
                <w:szCs w:val="18"/>
              </w:rPr>
              <w:t>Conclusión e Informe de resultados</w:t>
            </w:r>
          </w:p>
          <w:p w:rsidR="00233205" w:rsidRPr="00B36377" w:rsidRDefault="00233205" w:rsidP="00233205">
            <w:pPr>
              <w:pStyle w:val="ListParagraph"/>
              <w:numPr>
                <w:ilvl w:val="0"/>
                <w:numId w:val="65"/>
              </w:numPr>
              <w:rPr>
                <w:rFonts w:ascii="Calibri" w:hAnsi="Calibri"/>
                <w:color w:val="000000"/>
                <w:sz w:val="18"/>
                <w:szCs w:val="18"/>
              </w:rPr>
            </w:pPr>
            <w:r w:rsidRPr="00B36377">
              <w:rPr>
                <w:rFonts w:ascii="Calibri" w:hAnsi="Calibri"/>
                <w:color w:val="000000"/>
                <w:sz w:val="18"/>
                <w:szCs w:val="18"/>
              </w:rPr>
              <w:t>Seguimiento y medición de la efectividad de la auditoria.</w:t>
            </w:r>
          </w:p>
          <w:p w:rsidR="00233205" w:rsidRPr="00B36377" w:rsidRDefault="00233205" w:rsidP="00E30BEC">
            <w:pPr>
              <w:pStyle w:val="ListParagraph"/>
              <w:rPr>
                <w:rFonts w:ascii="Calibri" w:hAnsi="Calibri"/>
                <w:color w:val="000000"/>
                <w:sz w:val="18"/>
                <w:szCs w:val="18"/>
              </w:rPr>
            </w:pPr>
          </w:p>
          <w:p w:rsidR="00233205" w:rsidRPr="00B36377" w:rsidRDefault="00233205" w:rsidP="00E30BEC">
            <w:pPr>
              <w:pStyle w:val="NoSpacing"/>
              <w:rPr>
                <w:rFonts w:ascii="Calibri" w:hAnsi="Calibri"/>
                <w:color w:val="000000"/>
                <w:sz w:val="18"/>
                <w:szCs w:val="18"/>
                <w:lang w:val="es-ES_tradnl"/>
              </w:rPr>
            </w:pPr>
            <w:r w:rsidRPr="00B36377">
              <w:rPr>
                <w:rFonts w:ascii="Calibri" w:hAnsi="Calibri"/>
                <w:color w:val="000000"/>
                <w:sz w:val="18"/>
                <w:szCs w:val="18"/>
                <w:lang w:val="es-ES_tradnl"/>
              </w:rPr>
              <w:t>El MAG se constituiría en la  herramienta técnica transversal a cualquier intervención de auditoria. (Ver 1 A al comienzo de este anexo)</w:t>
            </w:r>
          </w:p>
          <w:p w:rsidR="00233205" w:rsidRPr="00B36377" w:rsidRDefault="00233205" w:rsidP="00E30BEC">
            <w:pPr>
              <w:pStyle w:val="NoSpacing"/>
              <w:rPr>
                <w:rFonts w:ascii="Calibri" w:hAnsi="Calibri"/>
                <w:color w:val="000000"/>
                <w:sz w:val="18"/>
                <w:szCs w:val="18"/>
                <w:lang w:val="es-ES_tradnl"/>
              </w:rPr>
            </w:pPr>
          </w:p>
        </w:tc>
        <w:tc>
          <w:tcPr>
            <w:tcW w:w="777" w:type="pct"/>
          </w:tcPr>
          <w:p w:rsidR="00233205" w:rsidRPr="00B36377" w:rsidRDefault="00233205" w:rsidP="00E30BEC">
            <w:pPr>
              <w:pStyle w:val="NoSpacing"/>
              <w:rPr>
                <w:rFonts w:eastAsia="Calibri" w:cs="Arial"/>
                <w:sz w:val="18"/>
                <w:szCs w:val="18"/>
                <w:lang w:val="es-ES_tradnl"/>
              </w:rPr>
            </w:pPr>
            <w:r w:rsidRPr="00B36377">
              <w:rPr>
                <w:rFonts w:ascii="Calibri" w:hAnsi="Calibri"/>
                <w:color w:val="000000"/>
                <w:sz w:val="18"/>
                <w:szCs w:val="18"/>
                <w:lang w:val="es-ES_tradnl"/>
              </w:rPr>
              <w:t>Uniformidad en todas las aplicaciones del control externo independiente del tipo de auditoría</w:t>
            </w:r>
          </w:p>
        </w:tc>
        <w:tc>
          <w:tcPr>
            <w:tcW w:w="517" w:type="pct"/>
          </w:tcPr>
          <w:p w:rsidR="00233205" w:rsidRPr="00B36377" w:rsidRDefault="00233205" w:rsidP="00E30BEC">
            <w:pPr>
              <w:pStyle w:val="NoSpacing"/>
              <w:rPr>
                <w:rFonts w:eastAsia="Calibri" w:cs="Arial"/>
                <w:sz w:val="18"/>
                <w:szCs w:val="18"/>
                <w:lang w:val="es-ES_tradnl"/>
              </w:rPr>
            </w:pPr>
            <w:r w:rsidRPr="00B36377">
              <w:rPr>
                <w:rFonts w:eastAsia="Calibri" w:cs="Arial"/>
                <w:sz w:val="18"/>
                <w:szCs w:val="18"/>
                <w:lang w:val="es-ES_tradnl"/>
              </w:rPr>
              <w:t>El Contralor General de la República delega a un Gerente de proyecto responsable de su dirección y  ejecución</w:t>
            </w:r>
          </w:p>
        </w:tc>
        <w:tc>
          <w:tcPr>
            <w:tcW w:w="465" w:type="pct"/>
          </w:tcPr>
          <w:p w:rsidR="00233205" w:rsidRPr="00B36377" w:rsidRDefault="00233205" w:rsidP="00E30BEC">
            <w:pPr>
              <w:pStyle w:val="NoSpacing"/>
              <w:rPr>
                <w:sz w:val="18"/>
                <w:szCs w:val="18"/>
                <w:lang w:val="es-ES_tradnl"/>
              </w:rPr>
            </w:pPr>
            <w:r w:rsidRPr="00B36377">
              <w:rPr>
                <w:sz w:val="18"/>
                <w:szCs w:val="18"/>
                <w:lang w:val="es-ES_tradnl"/>
              </w:rPr>
              <w:t>2do semestre de 2016 para el Marco Técnico.</w:t>
            </w:r>
          </w:p>
          <w:p w:rsidR="00233205" w:rsidRPr="00B36377" w:rsidRDefault="00233205" w:rsidP="00E30BEC">
            <w:pPr>
              <w:pStyle w:val="NoSpacing"/>
              <w:rPr>
                <w:sz w:val="18"/>
                <w:szCs w:val="18"/>
                <w:lang w:val="es-ES_tradnl"/>
              </w:rPr>
            </w:pPr>
          </w:p>
          <w:p w:rsidR="00233205" w:rsidRPr="00B36377" w:rsidRDefault="00233205" w:rsidP="00E30BEC">
            <w:pPr>
              <w:pStyle w:val="NoSpacing"/>
              <w:rPr>
                <w:sz w:val="18"/>
                <w:szCs w:val="18"/>
                <w:lang w:val="es-ES_tradnl"/>
              </w:rPr>
            </w:pPr>
            <w:r w:rsidRPr="00B36377">
              <w:rPr>
                <w:sz w:val="18"/>
                <w:szCs w:val="18"/>
                <w:lang w:val="es-ES_tradnl"/>
              </w:rPr>
              <w:t>La TI necesaria deberá estar disponible en el 2do. semestre de 2017</w:t>
            </w:r>
          </w:p>
        </w:tc>
        <w:tc>
          <w:tcPr>
            <w:tcW w:w="579" w:type="pct"/>
          </w:tcPr>
          <w:p w:rsidR="00233205" w:rsidRPr="00B36377" w:rsidRDefault="00233205" w:rsidP="00E30BEC">
            <w:pPr>
              <w:pStyle w:val="NoSpacing"/>
              <w:rPr>
                <w:sz w:val="18"/>
                <w:szCs w:val="18"/>
                <w:lang w:val="es-ES_tradnl"/>
              </w:rPr>
            </w:pPr>
            <w:r w:rsidRPr="00B36377">
              <w:rPr>
                <w:rFonts w:eastAsia="Calibri" w:cs="Arial"/>
                <w:sz w:val="18"/>
                <w:szCs w:val="18"/>
                <w:lang w:val="es-ES_tradnl"/>
              </w:rPr>
              <w:t>Marco Técnico diseñado e implantado</w:t>
            </w:r>
            <w:r w:rsidRPr="00B36377">
              <w:rPr>
                <w:sz w:val="18"/>
                <w:szCs w:val="18"/>
                <w:lang w:val="es-ES_tradnl"/>
              </w:rPr>
              <w:t xml:space="preserve"> </w:t>
            </w:r>
            <w:r w:rsidRPr="00B36377">
              <w:rPr>
                <w:rFonts w:eastAsia="Calibri" w:cs="Arial"/>
                <w:sz w:val="18"/>
                <w:szCs w:val="18"/>
                <w:lang w:val="es-ES_tradnl"/>
              </w:rPr>
              <w:t>verificable por</w:t>
            </w:r>
            <w:r w:rsidRPr="00B36377">
              <w:rPr>
                <w:sz w:val="18"/>
                <w:szCs w:val="18"/>
                <w:lang w:val="es-ES_tradnl"/>
              </w:rPr>
              <w:t xml:space="preserve"> evaluación MMD-EFS </w:t>
            </w:r>
          </w:p>
          <w:p w:rsidR="00233205" w:rsidRPr="00B36377" w:rsidRDefault="00233205" w:rsidP="00E30BEC">
            <w:pPr>
              <w:pStyle w:val="NoSpacing"/>
              <w:rPr>
                <w:rFonts w:eastAsia="Calibri" w:cs="Arial"/>
                <w:sz w:val="18"/>
                <w:szCs w:val="18"/>
                <w:lang w:val="es-ES_tradnl"/>
              </w:rPr>
            </w:pPr>
          </w:p>
        </w:tc>
      </w:tr>
      <w:tr w:rsidR="00233205" w:rsidRPr="00B36377" w:rsidTr="00E30BEC">
        <w:trPr>
          <w:jc w:val="center"/>
        </w:trPr>
        <w:tc>
          <w:tcPr>
            <w:tcW w:w="177" w:type="pct"/>
          </w:tcPr>
          <w:p w:rsidR="00233205" w:rsidRPr="00B36377" w:rsidRDefault="00233205" w:rsidP="00E30BEC">
            <w:pPr>
              <w:pStyle w:val="NoSpacing"/>
              <w:jc w:val="center"/>
              <w:rPr>
                <w:rFonts w:cstheme="majorBidi"/>
                <w:b/>
                <w:bCs/>
                <w:i/>
                <w:iCs/>
                <w:color w:val="404040" w:themeColor="text1" w:themeTint="BF"/>
                <w:sz w:val="18"/>
                <w:szCs w:val="18"/>
                <w:lang w:val="es-ES_tradnl"/>
              </w:rPr>
            </w:pPr>
            <w:r w:rsidRPr="00B36377">
              <w:rPr>
                <w:sz w:val="18"/>
                <w:szCs w:val="18"/>
                <w:lang w:val="es-ES_tradnl"/>
              </w:rPr>
              <w:t>14</w:t>
            </w:r>
          </w:p>
        </w:tc>
        <w:tc>
          <w:tcPr>
            <w:tcW w:w="362" w:type="pct"/>
          </w:tcPr>
          <w:p w:rsidR="00233205" w:rsidRPr="00B825AF" w:rsidRDefault="00233205" w:rsidP="00E30BEC">
            <w:pPr>
              <w:pStyle w:val="NoSpacing"/>
              <w:jc w:val="center"/>
              <w:rPr>
                <w:rFonts w:cstheme="majorBidi"/>
                <w:b/>
                <w:bCs/>
                <w:i/>
                <w:iCs/>
                <w:color w:val="404040" w:themeColor="text1" w:themeTint="BF"/>
                <w:sz w:val="18"/>
                <w:szCs w:val="18"/>
                <w:lang w:val="pt-BR"/>
              </w:rPr>
            </w:pPr>
            <w:r w:rsidRPr="00B825AF">
              <w:rPr>
                <w:sz w:val="18"/>
                <w:szCs w:val="18"/>
                <w:lang w:val="pt-BR"/>
              </w:rPr>
              <w:t>EFS-11</w:t>
            </w:r>
          </w:p>
          <w:p w:rsidR="00233205" w:rsidRPr="00B825AF" w:rsidRDefault="00233205" w:rsidP="00E30BEC">
            <w:pPr>
              <w:pStyle w:val="NoSpacing"/>
              <w:jc w:val="center"/>
              <w:rPr>
                <w:rFonts w:cstheme="majorBidi"/>
                <w:b/>
                <w:bCs/>
                <w:i/>
                <w:iCs/>
                <w:color w:val="404040" w:themeColor="text1" w:themeTint="BF"/>
                <w:sz w:val="18"/>
                <w:szCs w:val="18"/>
                <w:lang w:val="pt-BR"/>
              </w:rPr>
            </w:pPr>
            <w:r w:rsidRPr="00B825AF">
              <w:rPr>
                <w:sz w:val="18"/>
                <w:szCs w:val="18"/>
                <w:lang w:val="pt-BR"/>
              </w:rPr>
              <w:t>(i), (</w:t>
            </w:r>
            <w:proofErr w:type="spellStart"/>
            <w:r w:rsidRPr="00B825AF">
              <w:rPr>
                <w:sz w:val="18"/>
                <w:szCs w:val="18"/>
                <w:lang w:val="pt-BR"/>
              </w:rPr>
              <w:t>iv</w:t>
            </w:r>
            <w:proofErr w:type="spellEnd"/>
            <w:r w:rsidRPr="00B825AF">
              <w:rPr>
                <w:sz w:val="18"/>
                <w:szCs w:val="18"/>
                <w:lang w:val="pt-BR"/>
              </w:rPr>
              <w:t>)</w:t>
            </w:r>
          </w:p>
          <w:p w:rsidR="00233205" w:rsidRPr="00B825AF" w:rsidRDefault="00233205" w:rsidP="00E30BEC">
            <w:pPr>
              <w:pStyle w:val="NoSpacing"/>
              <w:jc w:val="center"/>
              <w:rPr>
                <w:sz w:val="18"/>
                <w:szCs w:val="18"/>
                <w:lang w:val="pt-BR"/>
              </w:rPr>
            </w:pPr>
          </w:p>
          <w:p w:rsidR="00233205" w:rsidRPr="00B825AF" w:rsidRDefault="00233205" w:rsidP="00E30BEC">
            <w:pPr>
              <w:pStyle w:val="NoSpacing"/>
              <w:jc w:val="center"/>
              <w:rPr>
                <w:rFonts w:cstheme="majorBidi"/>
                <w:b/>
                <w:bCs/>
                <w:i/>
                <w:iCs/>
                <w:color w:val="404040" w:themeColor="text1" w:themeTint="BF"/>
                <w:sz w:val="18"/>
                <w:szCs w:val="18"/>
                <w:lang w:val="pt-BR"/>
              </w:rPr>
            </w:pPr>
            <w:r w:rsidRPr="00B825AF">
              <w:rPr>
                <w:sz w:val="18"/>
                <w:szCs w:val="18"/>
                <w:lang w:val="pt-BR"/>
              </w:rPr>
              <w:t>EFS-12 (i), (</w:t>
            </w:r>
            <w:proofErr w:type="spellStart"/>
            <w:r w:rsidRPr="00B825AF">
              <w:rPr>
                <w:sz w:val="18"/>
                <w:szCs w:val="18"/>
                <w:lang w:val="pt-BR"/>
              </w:rPr>
              <w:t>ii</w:t>
            </w:r>
            <w:proofErr w:type="spellEnd"/>
            <w:r w:rsidRPr="00B825AF">
              <w:rPr>
                <w:sz w:val="18"/>
                <w:szCs w:val="18"/>
                <w:lang w:val="pt-BR"/>
              </w:rPr>
              <w:t>), (</w:t>
            </w:r>
            <w:proofErr w:type="spellStart"/>
            <w:r w:rsidRPr="00B825AF">
              <w:rPr>
                <w:sz w:val="18"/>
                <w:szCs w:val="18"/>
                <w:lang w:val="pt-BR"/>
              </w:rPr>
              <w:t>iii</w:t>
            </w:r>
            <w:proofErr w:type="spellEnd"/>
            <w:r w:rsidRPr="00B825AF">
              <w:rPr>
                <w:sz w:val="18"/>
                <w:szCs w:val="18"/>
                <w:lang w:val="pt-BR"/>
              </w:rPr>
              <w:t>)</w:t>
            </w:r>
          </w:p>
          <w:p w:rsidR="00233205" w:rsidRPr="00B825AF" w:rsidRDefault="00233205" w:rsidP="00E30BEC">
            <w:pPr>
              <w:pStyle w:val="NoSpacing"/>
              <w:jc w:val="center"/>
              <w:rPr>
                <w:sz w:val="18"/>
                <w:szCs w:val="18"/>
                <w:lang w:val="pt-BR"/>
              </w:rPr>
            </w:pPr>
          </w:p>
          <w:p w:rsidR="00233205" w:rsidRPr="00B825AF" w:rsidRDefault="00233205" w:rsidP="00E30BEC">
            <w:pPr>
              <w:pStyle w:val="NoSpacing"/>
              <w:jc w:val="center"/>
              <w:rPr>
                <w:sz w:val="18"/>
                <w:szCs w:val="18"/>
                <w:lang w:val="pt-BR"/>
              </w:rPr>
            </w:pPr>
          </w:p>
          <w:p w:rsidR="00233205" w:rsidRPr="00B825AF" w:rsidRDefault="00233205" w:rsidP="00E30BEC">
            <w:pPr>
              <w:pStyle w:val="NoSpacing"/>
              <w:jc w:val="center"/>
              <w:rPr>
                <w:rFonts w:cstheme="majorBidi"/>
                <w:b/>
                <w:bCs/>
                <w:i/>
                <w:iCs/>
                <w:color w:val="404040" w:themeColor="text1" w:themeTint="BF"/>
                <w:sz w:val="18"/>
                <w:szCs w:val="18"/>
                <w:lang w:val="pt-BR"/>
              </w:rPr>
            </w:pPr>
            <w:proofErr w:type="gramStart"/>
            <w:r w:rsidRPr="00B825AF">
              <w:rPr>
                <w:sz w:val="18"/>
                <w:szCs w:val="18"/>
                <w:lang w:val="pt-BR"/>
              </w:rPr>
              <w:t>EFS-16 (</w:t>
            </w:r>
            <w:proofErr w:type="spellStart"/>
            <w:r w:rsidRPr="00B825AF">
              <w:rPr>
                <w:sz w:val="18"/>
                <w:szCs w:val="18"/>
                <w:lang w:val="pt-BR"/>
              </w:rPr>
              <w:t>ii</w:t>
            </w:r>
            <w:proofErr w:type="spellEnd"/>
            <w:r w:rsidRPr="00B825AF">
              <w:rPr>
                <w:sz w:val="18"/>
                <w:szCs w:val="18"/>
                <w:lang w:val="pt-BR"/>
              </w:rPr>
              <w:t>) d)</w:t>
            </w:r>
            <w:proofErr w:type="gramEnd"/>
            <w:r w:rsidRPr="00B825AF">
              <w:rPr>
                <w:sz w:val="18"/>
                <w:szCs w:val="18"/>
                <w:lang w:val="pt-BR"/>
              </w:rPr>
              <w:t>, e)</w:t>
            </w:r>
          </w:p>
        </w:tc>
        <w:tc>
          <w:tcPr>
            <w:tcW w:w="777" w:type="pct"/>
          </w:tcPr>
          <w:p w:rsidR="00233205" w:rsidRPr="00B36377" w:rsidRDefault="00233205" w:rsidP="00E30BEC">
            <w:pPr>
              <w:pStyle w:val="NoSpacing"/>
              <w:rPr>
                <w:sz w:val="18"/>
                <w:szCs w:val="18"/>
                <w:lang w:val="es-ES_tradnl"/>
              </w:rPr>
            </w:pPr>
            <w:r w:rsidRPr="00B36377">
              <w:rPr>
                <w:rFonts w:eastAsia="Calibri" w:cs="Arial"/>
                <w:sz w:val="18"/>
                <w:szCs w:val="18"/>
                <w:lang w:val="es-ES_tradnl"/>
              </w:rPr>
              <w:t xml:space="preserve">La CGRC </w:t>
            </w:r>
            <w:r w:rsidRPr="00B36377">
              <w:rPr>
                <w:bCs/>
                <w:sz w:val="18"/>
                <w:szCs w:val="18"/>
                <w:lang w:val="es-ES_tradnl"/>
              </w:rPr>
              <w:t xml:space="preserve">no dispone de procedimientos </w:t>
            </w:r>
            <w:r w:rsidRPr="00B36377">
              <w:rPr>
                <w:sz w:val="18"/>
                <w:szCs w:val="18"/>
                <w:lang w:val="es-ES_tradnl"/>
              </w:rPr>
              <w:t>consistentes con los estándares internacionales para la Auditoría Financiera, que entre otros contemplen:</w:t>
            </w:r>
          </w:p>
          <w:p w:rsidR="00233205" w:rsidRPr="00B36377" w:rsidRDefault="00233205" w:rsidP="00E30BEC">
            <w:pPr>
              <w:pStyle w:val="NoSpacing"/>
              <w:rPr>
                <w:rFonts w:eastAsia="Calibri" w:cs="Arial"/>
                <w:sz w:val="18"/>
                <w:szCs w:val="18"/>
                <w:lang w:val="es-ES_tradnl"/>
              </w:rPr>
            </w:pPr>
          </w:p>
          <w:p w:rsidR="00233205" w:rsidRPr="00B36377" w:rsidRDefault="00233205" w:rsidP="00233205">
            <w:pPr>
              <w:pStyle w:val="NoSpacing"/>
              <w:numPr>
                <w:ilvl w:val="0"/>
                <w:numId w:val="62"/>
              </w:numPr>
              <w:ind w:left="187" w:hanging="180"/>
              <w:rPr>
                <w:rFonts w:eastAsia="Calibri" w:cs="Arial"/>
                <w:sz w:val="18"/>
                <w:szCs w:val="18"/>
                <w:lang w:val="es-ES_tradnl"/>
              </w:rPr>
            </w:pPr>
            <w:r w:rsidRPr="00B36377">
              <w:rPr>
                <w:rFonts w:eastAsia="Calibri" w:cs="Arial"/>
                <w:sz w:val="18"/>
                <w:szCs w:val="18"/>
                <w:lang w:val="es-ES_tradnl"/>
              </w:rPr>
              <w:t xml:space="preserve">Conceptos como análisis de </w:t>
            </w:r>
            <w:proofErr w:type="spellStart"/>
            <w:r w:rsidRPr="00B36377">
              <w:rPr>
                <w:rFonts w:eastAsia="Calibri" w:cs="Arial"/>
                <w:sz w:val="18"/>
                <w:szCs w:val="18"/>
                <w:lang w:val="es-ES_tradnl"/>
              </w:rPr>
              <w:t>auditabilidad</w:t>
            </w:r>
            <w:proofErr w:type="spellEnd"/>
            <w:r w:rsidRPr="00B36377">
              <w:rPr>
                <w:rFonts w:eastAsia="Calibri" w:cs="Arial"/>
                <w:sz w:val="18"/>
                <w:szCs w:val="18"/>
                <w:lang w:val="es-ES_tradnl"/>
              </w:rPr>
              <w:t xml:space="preserve">, materialidad, </w:t>
            </w:r>
            <w:r w:rsidRPr="00B36377">
              <w:rPr>
                <w:rFonts w:eastAsia="Calibri" w:cs="Arial"/>
                <w:sz w:val="18"/>
                <w:szCs w:val="18"/>
                <w:lang w:val="es-ES_tradnl"/>
              </w:rPr>
              <w:lastRenderedPageBreak/>
              <w:t>evaluación de riesgos, muestreo, etc.</w:t>
            </w:r>
          </w:p>
          <w:p w:rsidR="00233205" w:rsidRPr="00B36377" w:rsidRDefault="00233205" w:rsidP="00233205">
            <w:pPr>
              <w:pStyle w:val="NoSpacing"/>
              <w:numPr>
                <w:ilvl w:val="0"/>
                <w:numId w:val="62"/>
              </w:numPr>
              <w:ind w:left="187" w:hanging="180"/>
              <w:rPr>
                <w:rFonts w:eastAsia="Calibri" w:cs="Arial"/>
                <w:sz w:val="18"/>
                <w:szCs w:val="18"/>
                <w:lang w:val="es-ES_tradnl"/>
              </w:rPr>
            </w:pPr>
            <w:r w:rsidRPr="00B36377">
              <w:rPr>
                <w:rFonts w:eastAsia="Calibri" w:cs="Arial"/>
                <w:sz w:val="18"/>
                <w:szCs w:val="18"/>
                <w:lang w:val="es-ES_tradnl"/>
              </w:rPr>
              <w:t>Estrategia de auditoría (naturaleza, alcance, oportunidad, procedimientos, recursos, etc.)</w:t>
            </w:r>
          </w:p>
          <w:p w:rsidR="00233205" w:rsidRPr="00B36377" w:rsidRDefault="00233205" w:rsidP="00233205">
            <w:pPr>
              <w:pStyle w:val="NoSpacing"/>
              <w:numPr>
                <w:ilvl w:val="0"/>
                <w:numId w:val="62"/>
              </w:numPr>
              <w:ind w:left="187" w:hanging="180"/>
              <w:rPr>
                <w:rFonts w:eastAsia="Calibri" w:cs="Arial"/>
                <w:sz w:val="18"/>
                <w:szCs w:val="18"/>
                <w:lang w:val="es-ES_tradnl"/>
              </w:rPr>
            </w:pPr>
            <w:r w:rsidRPr="00B36377">
              <w:rPr>
                <w:rFonts w:eastAsia="Calibri" w:cs="Arial"/>
                <w:sz w:val="18"/>
                <w:szCs w:val="18"/>
                <w:lang w:val="es-ES_tradnl"/>
              </w:rPr>
              <w:t>Forma y suficiencia de la evidencia de auditoría</w:t>
            </w:r>
          </w:p>
          <w:p w:rsidR="00233205" w:rsidRPr="00B36377" w:rsidRDefault="00233205" w:rsidP="00233205">
            <w:pPr>
              <w:pStyle w:val="NoSpacing"/>
              <w:numPr>
                <w:ilvl w:val="0"/>
                <w:numId w:val="62"/>
              </w:numPr>
              <w:ind w:left="187" w:hanging="180"/>
              <w:rPr>
                <w:rFonts w:eastAsia="Calibri" w:cs="Arial"/>
                <w:sz w:val="18"/>
                <w:szCs w:val="18"/>
                <w:lang w:val="es-ES_tradnl"/>
              </w:rPr>
            </w:pPr>
            <w:r w:rsidRPr="00B36377">
              <w:rPr>
                <w:rFonts w:eastAsia="Calibri" w:cs="Arial"/>
                <w:sz w:val="18"/>
                <w:szCs w:val="18"/>
                <w:lang w:val="es-ES_tradnl"/>
              </w:rPr>
              <w:t>Conclusiones a partir de la evidencia (tipos de opinión)</w:t>
            </w:r>
          </w:p>
          <w:p w:rsidR="00233205" w:rsidRPr="00B36377" w:rsidRDefault="00233205" w:rsidP="00233205">
            <w:pPr>
              <w:pStyle w:val="NoSpacing"/>
              <w:numPr>
                <w:ilvl w:val="0"/>
                <w:numId w:val="62"/>
              </w:numPr>
              <w:ind w:left="187" w:hanging="180"/>
              <w:rPr>
                <w:rFonts w:eastAsia="Calibri" w:cs="Arial"/>
                <w:sz w:val="18"/>
                <w:szCs w:val="18"/>
                <w:lang w:val="es-ES_tradnl"/>
              </w:rPr>
            </w:pPr>
            <w:r w:rsidRPr="00B36377">
              <w:rPr>
                <w:rFonts w:eastAsia="Calibri" w:cs="Arial"/>
                <w:sz w:val="18"/>
                <w:szCs w:val="18"/>
                <w:lang w:val="es-ES_tradnl"/>
              </w:rPr>
              <w:t>Informes (presentación, contenido, lenguaje, etc.)</w:t>
            </w:r>
          </w:p>
          <w:p w:rsidR="00233205" w:rsidRPr="00B36377" w:rsidRDefault="00233205" w:rsidP="00233205">
            <w:pPr>
              <w:pStyle w:val="NoSpacing"/>
              <w:numPr>
                <w:ilvl w:val="0"/>
                <w:numId w:val="62"/>
              </w:numPr>
              <w:ind w:left="187" w:hanging="180"/>
              <w:rPr>
                <w:rFonts w:eastAsia="Calibri" w:cs="Arial"/>
                <w:sz w:val="18"/>
                <w:szCs w:val="18"/>
                <w:lang w:val="es-ES_tradnl"/>
              </w:rPr>
            </w:pPr>
            <w:r w:rsidRPr="00B36377">
              <w:rPr>
                <w:rFonts w:eastAsia="Calibri" w:cs="Arial"/>
                <w:sz w:val="18"/>
                <w:szCs w:val="18"/>
                <w:lang w:val="es-ES_tradnl"/>
              </w:rPr>
              <w:t>Habilidades del equipo de auditoría (Formación profesional, experiencia, etc.)</w:t>
            </w:r>
          </w:p>
          <w:p w:rsidR="00233205" w:rsidRPr="00B36377" w:rsidRDefault="00233205" w:rsidP="00E30BEC">
            <w:pPr>
              <w:pStyle w:val="NoSpacing"/>
              <w:rPr>
                <w:sz w:val="18"/>
                <w:szCs w:val="18"/>
                <w:lang w:val="es-ES_tradnl"/>
              </w:rPr>
            </w:pPr>
          </w:p>
        </w:tc>
        <w:tc>
          <w:tcPr>
            <w:tcW w:w="1346" w:type="pct"/>
          </w:tcPr>
          <w:p w:rsidR="00233205" w:rsidRPr="00B36377" w:rsidRDefault="00233205" w:rsidP="00E30BEC">
            <w:pPr>
              <w:pStyle w:val="NoSpacing"/>
              <w:rPr>
                <w:sz w:val="18"/>
                <w:szCs w:val="18"/>
                <w:lang w:val="es-ES_tradnl"/>
              </w:rPr>
            </w:pPr>
            <w:r w:rsidRPr="00B36377">
              <w:rPr>
                <w:rFonts w:ascii="Calibri" w:hAnsi="Calibri"/>
                <w:color w:val="000000"/>
                <w:sz w:val="18"/>
                <w:szCs w:val="18"/>
                <w:lang w:val="es-ES_tradnl"/>
              </w:rPr>
              <w:lastRenderedPageBreak/>
              <w:t>Diseño e implementación  de directrices especializadas y diferenciales para la Auditoría de los Estados Financieros del Sector Público y de los Estados de ejecución presupuestal (homologable a ISSAI 200 y 1000 a 1810), que incluyan  entre otros: Documentación, análisis de riesgo, programas de auditoria, evaluación del control interno contable, tipos de opinión, problemas específicos en una auditoría financiera, auditoria de proyectos con financiamiento de la cooperación externa, etc.</w:t>
            </w:r>
          </w:p>
        </w:tc>
        <w:tc>
          <w:tcPr>
            <w:tcW w:w="777" w:type="pct"/>
          </w:tcPr>
          <w:p w:rsidR="00233205" w:rsidRPr="00B36377" w:rsidRDefault="00233205" w:rsidP="00E30BEC">
            <w:pPr>
              <w:pStyle w:val="NoSpacing"/>
              <w:rPr>
                <w:sz w:val="18"/>
                <w:szCs w:val="18"/>
                <w:lang w:val="es-ES_tradnl"/>
              </w:rPr>
            </w:pPr>
            <w:r w:rsidRPr="00B36377">
              <w:rPr>
                <w:rFonts w:eastAsia="Calibri" w:cs="Arial"/>
                <w:sz w:val="18"/>
                <w:szCs w:val="18"/>
                <w:lang w:val="es-ES_tradnl"/>
              </w:rPr>
              <w:t>Al establecer un umbral  apropiado de  materialidad, los procedimientos de auditoría reducirán a un nivel bastante bajo que la acumulación de errores pueda conducir a emitir una opinión errónea de los estados financieros en su conjunto.</w:t>
            </w:r>
          </w:p>
        </w:tc>
        <w:tc>
          <w:tcPr>
            <w:tcW w:w="517" w:type="pct"/>
          </w:tcPr>
          <w:p w:rsidR="00233205" w:rsidRPr="00B36377" w:rsidRDefault="00233205" w:rsidP="00E30BEC">
            <w:pPr>
              <w:pStyle w:val="NoSpacing"/>
              <w:rPr>
                <w:rFonts w:cstheme="majorBidi"/>
                <w:b/>
                <w:bCs/>
                <w:i/>
                <w:iCs/>
                <w:color w:val="404040" w:themeColor="text1" w:themeTint="BF"/>
                <w:sz w:val="18"/>
                <w:szCs w:val="18"/>
                <w:lang w:val="es-ES_tradnl"/>
              </w:rPr>
            </w:pPr>
            <w:r w:rsidRPr="00B36377">
              <w:rPr>
                <w:rFonts w:eastAsia="Calibri" w:cs="Arial"/>
                <w:sz w:val="18"/>
                <w:szCs w:val="18"/>
                <w:lang w:val="es-ES_tradnl"/>
              </w:rPr>
              <w:t>Delegadas de la Contraloría formando un equipo de auditores experimentado</w:t>
            </w:r>
          </w:p>
        </w:tc>
        <w:tc>
          <w:tcPr>
            <w:tcW w:w="465" w:type="pct"/>
          </w:tcPr>
          <w:p w:rsidR="00233205" w:rsidRPr="00B36377" w:rsidRDefault="00233205" w:rsidP="00E30BEC">
            <w:pPr>
              <w:pStyle w:val="NoSpacing"/>
              <w:rPr>
                <w:sz w:val="18"/>
                <w:szCs w:val="18"/>
                <w:lang w:val="es-ES_tradnl"/>
              </w:rPr>
            </w:pPr>
            <w:r w:rsidRPr="00B36377">
              <w:rPr>
                <w:sz w:val="18"/>
                <w:szCs w:val="18"/>
                <w:lang w:val="es-ES_tradnl"/>
              </w:rPr>
              <w:t xml:space="preserve">Ver proyecto de diseño e implantación del MRCE en 13 anterior. </w:t>
            </w:r>
          </w:p>
          <w:p w:rsidR="00233205" w:rsidRPr="00B36377" w:rsidRDefault="00233205" w:rsidP="00E30BEC">
            <w:pPr>
              <w:pStyle w:val="NoSpacing"/>
              <w:rPr>
                <w:sz w:val="18"/>
                <w:szCs w:val="18"/>
                <w:lang w:val="es-ES_tradnl"/>
              </w:rPr>
            </w:pPr>
          </w:p>
          <w:p w:rsidR="00233205" w:rsidRPr="00B36377" w:rsidRDefault="00233205" w:rsidP="00E30BEC">
            <w:pPr>
              <w:pStyle w:val="NoSpacing"/>
              <w:rPr>
                <w:rFonts w:cstheme="majorBidi"/>
                <w:b/>
                <w:bCs/>
                <w:i/>
                <w:iCs/>
                <w:color w:val="404040" w:themeColor="text1" w:themeTint="BF"/>
                <w:sz w:val="18"/>
                <w:szCs w:val="18"/>
                <w:lang w:val="es-ES_tradnl"/>
              </w:rPr>
            </w:pPr>
            <w:r w:rsidRPr="00B36377">
              <w:rPr>
                <w:sz w:val="18"/>
                <w:szCs w:val="18"/>
                <w:lang w:val="es-ES_tradnl"/>
              </w:rPr>
              <w:t>2do.  Semestre de 2016</w:t>
            </w:r>
          </w:p>
        </w:tc>
        <w:tc>
          <w:tcPr>
            <w:tcW w:w="579" w:type="pct"/>
          </w:tcPr>
          <w:p w:rsidR="00233205" w:rsidRPr="00B36377" w:rsidRDefault="00233205" w:rsidP="00E30BEC">
            <w:pPr>
              <w:pStyle w:val="NoSpacing"/>
              <w:rPr>
                <w:rFonts w:eastAsia="Calibri" w:cs="Arial"/>
                <w:b/>
                <w:bCs/>
                <w:color w:val="4F81BD" w:themeColor="accent1"/>
                <w:sz w:val="18"/>
                <w:szCs w:val="18"/>
                <w:lang w:val="es-ES_tradnl"/>
              </w:rPr>
            </w:pPr>
            <w:r w:rsidRPr="00B36377">
              <w:rPr>
                <w:rFonts w:eastAsia="Calibri" w:cs="Arial"/>
                <w:sz w:val="18"/>
                <w:szCs w:val="18"/>
                <w:lang w:val="es-ES_tradnl"/>
              </w:rPr>
              <w:t>Documentación uniforme de los criterios para la determinación de la materialidad de los equipos auditores.</w:t>
            </w:r>
          </w:p>
          <w:p w:rsidR="00233205" w:rsidRPr="00B36377" w:rsidRDefault="00233205" w:rsidP="00E30BEC">
            <w:pPr>
              <w:pStyle w:val="NoSpacing"/>
              <w:rPr>
                <w:rFonts w:eastAsia="Calibri" w:cs="Arial"/>
                <w:sz w:val="18"/>
                <w:szCs w:val="18"/>
                <w:lang w:val="es-ES_tradnl"/>
              </w:rPr>
            </w:pPr>
          </w:p>
          <w:p w:rsidR="00233205" w:rsidRPr="00B36377" w:rsidRDefault="00233205" w:rsidP="00E30BEC">
            <w:pPr>
              <w:pStyle w:val="NoSpacing"/>
              <w:rPr>
                <w:rFonts w:cstheme="majorBidi"/>
                <w:b/>
                <w:bCs/>
                <w:i/>
                <w:iCs/>
                <w:color w:val="404040" w:themeColor="text1" w:themeTint="BF"/>
                <w:sz w:val="18"/>
                <w:szCs w:val="18"/>
                <w:lang w:val="es-ES_tradnl"/>
              </w:rPr>
            </w:pPr>
            <w:r w:rsidRPr="00B36377">
              <w:rPr>
                <w:rFonts w:eastAsia="Calibri" w:cs="Arial"/>
                <w:sz w:val="18"/>
                <w:szCs w:val="18"/>
                <w:lang w:val="es-ES_tradnl"/>
              </w:rPr>
              <w:t xml:space="preserve">MRCE diseñado e implantado, verificable por una evaluación MMD </w:t>
            </w:r>
            <w:r w:rsidRPr="00B36377">
              <w:rPr>
                <w:rFonts w:eastAsia="Calibri" w:cs="Arial"/>
                <w:sz w:val="18"/>
                <w:szCs w:val="18"/>
                <w:lang w:val="es-ES_tradnl"/>
              </w:rPr>
              <w:lastRenderedPageBreak/>
              <w:t>EFS</w:t>
            </w:r>
          </w:p>
        </w:tc>
      </w:tr>
      <w:tr w:rsidR="00233205" w:rsidRPr="00B36377" w:rsidTr="00E30BEC">
        <w:trPr>
          <w:jc w:val="center"/>
        </w:trPr>
        <w:tc>
          <w:tcPr>
            <w:tcW w:w="177" w:type="pct"/>
          </w:tcPr>
          <w:p w:rsidR="00233205" w:rsidRPr="00B36377" w:rsidRDefault="00233205" w:rsidP="00E30BEC">
            <w:pPr>
              <w:pStyle w:val="NoSpacing"/>
              <w:jc w:val="center"/>
              <w:rPr>
                <w:rFonts w:cstheme="majorBidi"/>
                <w:b/>
                <w:bCs/>
                <w:i/>
                <w:iCs/>
                <w:color w:val="404040" w:themeColor="text1" w:themeTint="BF"/>
                <w:sz w:val="18"/>
                <w:szCs w:val="18"/>
                <w:lang w:val="es-ES_tradnl"/>
              </w:rPr>
            </w:pPr>
            <w:r w:rsidRPr="00B36377">
              <w:rPr>
                <w:sz w:val="18"/>
                <w:szCs w:val="18"/>
                <w:lang w:val="es-ES_tradnl"/>
              </w:rPr>
              <w:lastRenderedPageBreak/>
              <w:t>15</w:t>
            </w:r>
          </w:p>
        </w:tc>
        <w:tc>
          <w:tcPr>
            <w:tcW w:w="362" w:type="pct"/>
          </w:tcPr>
          <w:p w:rsidR="00233205" w:rsidRPr="00B36377" w:rsidRDefault="00233205" w:rsidP="00E30BEC">
            <w:pPr>
              <w:pStyle w:val="NoSpacing"/>
              <w:jc w:val="center"/>
              <w:rPr>
                <w:rFonts w:cstheme="majorBidi"/>
                <w:b/>
                <w:bCs/>
                <w:i/>
                <w:iCs/>
                <w:color w:val="404040" w:themeColor="text1" w:themeTint="BF"/>
                <w:sz w:val="18"/>
                <w:szCs w:val="18"/>
                <w:lang w:val="es-ES_tradnl"/>
              </w:rPr>
            </w:pPr>
            <w:r w:rsidRPr="00B36377">
              <w:rPr>
                <w:sz w:val="18"/>
                <w:szCs w:val="18"/>
                <w:lang w:val="es-ES_tradnl"/>
              </w:rPr>
              <w:t>EFS-13 (i), (iv)</w:t>
            </w:r>
          </w:p>
          <w:p w:rsidR="00233205" w:rsidRPr="00B36377" w:rsidRDefault="00233205" w:rsidP="00E30BEC">
            <w:pPr>
              <w:pStyle w:val="NoSpacing"/>
              <w:jc w:val="center"/>
              <w:rPr>
                <w:sz w:val="18"/>
                <w:szCs w:val="18"/>
                <w:lang w:val="es-ES_tradnl"/>
              </w:rPr>
            </w:pPr>
          </w:p>
          <w:p w:rsidR="00233205" w:rsidRPr="00B36377" w:rsidRDefault="00233205" w:rsidP="00E30BEC">
            <w:pPr>
              <w:pStyle w:val="NoSpacing"/>
              <w:jc w:val="center"/>
              <w:rPr>
                <w:rFonts w:cstheme="majorBidi"/>
                <w:b/>
                <w:bCs/>
                <w:i/>
                <w:iCs/>
                <w:color w:val="404040" w:themeColor="text1" w:themeTint="BF"/>
                <w:sz w:val="18"/>
                <w:szCs w:val="18"/>
                <w:lang w:val="es-ES_tradnl"/>
              </w:rPr>
            </w:pPr>
            <w:r w:rsidRPr="00B36377">
              <w:rPr>
                <w:sz w:val="18"/>
                <w:szCs w:val="18"/>
                <w:lang w:val="es-ES_tradnl"/>
              </w:rPr>
              <w:t>EFS-14 (i), (ii), (iii)</w:t>
            </w:r>
          </w:p>
          <w:p w:rsidR="00233205" w:rsidRPr="00B36377" w:rsidRDefault="00233205" w:rsidP="00E30BEC">
            <w:pPr>
              <w:pStyle w:val="NoSpacing"/>
              <w:jc w:val="center"/>
              <w:rPr>
                <w:sz w:val="18"/>
                <w:szCs w:val="18"/>
                <w:lang w:val="es-ES_tradnl"/>
              </w:rPr>
            </w:pPr>
          </w:p>
        </w:tc>
        <w:tc>
          <w:tcPr>
            <w:tcW w:w="777" w:type="pct"/>
          </w:tcPr>
          <w:p w:rsidR="00233205" w:rsidRPr="00B36377" w:rsidRDefault="00233205" w:rsidP="00E30BEC">
            <w:pPr>
              <w:pStyle w:val="NoSpacing"/>
              <w:rPr>
                <w:sz w:val="18"/>
                <w:szCs w:val="18"/>
                <w:lang w:val="es-ES_tradnl"/>
              </w:rPr>
            </w:pPr>
            <w:r w:rsidRPr="00B36377">
              <w:rPr>
                <w:rFonts w:eastAsia="Calibri" w:cs="Arial"/>
                <w:sz w:val="18"/>
                <w:szCs w:val="18"/>
                <w:lang w:val="es-ES_tradnl"/>
              </w:rPr>
              <w:t xml:space="preserve">La CGRC </w:t>
            </w:r>
            <w:r w:rsidRPr="00B36377">
              <w:rPr>
                <w:bCs/>
                <w:sz w:val="18"/>
                <w:szCs w:val="18"/>
                <w:lang w:val="es-ES_tradnl"/>
              </w:rPr>
              <w:t xml:space="preserve">no dispone de procedimientos </w:t>
            </w:r>
            <w:r w:rsidRPr="00B36377">
              <w:rPr>
                <w:sz w:val="18"/>
                <w:szCs w:val="18"/>
                <w:lang w:val="es-ES_tradnl"/>
              </w:rPr>
              <w:t>consistentes con los estándares internacionales para la Auditoría de Cumplimiento, que entre otros contemplen:</w:t>
            </w:r>
          </w:p>
          <w:p w:rsidR="00233205" w:rsidRPr="00B36377" w:rsidRDefault="00233205" w:rsidP="00E30BEC">
            <w:pPr>
              <w:pStyle w:val="NoSpacing"/>
              <w:rPr>
                <w:sz w:val="18"/>
                <w:szCs w:val="18"/>
                <w:lang w:val="es-ES_tradnl"/>
              </w:rPr>
            </w:pPr>
          </w:p>
          <w:p w:rsidR="00233205" w:rsidRPr="00B36377" w:rsidRDefault="00233205" w:rsidP="00233205">
            <w:pPr>
              <w:pStyle w:val="NoSpacing"/>
              <w:numPr>
                <w:ilvl w:val="0"/>
                <w:numId w:val="66"/>
              </w:numPr>
              <w:ind w:left="187" w:hanging="180"/>
              <w:rPr>
                <w:rFonts w:eastAsia="Calibri" w:cs="Arial"/>
                <w:sz w:val="18"/>
                <w:szCs w:val="18"/>
                <w:lang w:val="es-ES_tradnl"/>
              </w:rPr>
            </w:pPr>
            <w:r w:rsidRPr="00B36377">
              <w:rPr>
                <w:rFonts w:eastAsia="Calibri" w:cs="Arial"/>
                <w:sz w:val="18"/>
                <w:szCs w:val="18"/>
                <w:lang w:val="es-ES_tradnl"/>
              </w:rPr>
              <w:t xml:space="preserve">Conceptos como análisis de </w:t>
            </w:r>
            <w:proofErr w:type="spellStart"/>
            <w:r w:rsidRPr="00B36377">
              <w:rPr>
                <w:rFonts w:eastAsia="Calibri" w:cs="Arial"/>
                <w:sz w:val="18"/>
                <w:szCs w:val="18"/>
                <w:lang w:val="es-ES_tradnl"/>
              </w:rPr>
              <w:t>auditabilidad</w:t>
            </w:r>
            <w:proofErr w:type="spellEnd"/>
            <w:r w:rsidRPr="00B36377">
              <w:rPr>
                <w:rFonts w:eastAsia="Calibri" w:cs="Arial"/>
                <w:sz w:val="18"/>
                <w:szCs w:val="18"/>
                <w:lang w:val="es-ES_tradnl"/>
              </w:rPr>
              <w:t>, materialidad, evaluación de riesgos, muestreo, etc.</w:t>
            </w:r>
          </w:p>
          <w:p w:rsidR="00233205" w:rsidRPr="00B36377" w:rsidRDefault="00233205" w:rsidP="00233205">
            <w:pPr>
              <w:pStyle w:val="NoSpacing"/>
              <w:numPr>
                <w:ilvl w:val="0"/>
                <w:numId w:val="66"/>
              </w:numPr>
              <w:ind w:left="187" w:hanging="180"/>
              <w:rPr>
                <w:rFonts w:eastAsia="Calibri" w:cs="Arial"/>
                <w:sz w:val="18"/>
                <w:szCs w:val="18"/>
                <w:lang w:val="es-ES_tradnl"/>
              </w:rPr>
            </w:pPr>
            <w:r w:rsidRPr="00B36377">
              <w:rPr>
                <w:rFonts w:eastAsia="Calibri" w:cs="Arial"/>
                <w:sz w:val="18"/>
                <w:szCs w:val="18"/>
                <w:lang w:val="es-ES_tradnl"/>
              </w:rPr>
              <w:t xml:space="preserve">Estrategia de auditoría </w:t>
            </w:r>
            <w:r w:rsidRPr="00B36377">
              <w:rPr>
                <w:rFonts w:eastAsia="Calibri" w:cs="Arial"/>
                <w:sz w:val="18"/>
                <w:szCs w:val="18"/>
                <w:lang w:val="es-ES_tradnl"/>
              </w:rPr>
              <w:lastRenderedPageBreak/>
              <w:t>(naturaleza, alcance, oportunidad, procedimientos, recursos, etc.)</w:t>
            </w:r>
          </w:p>
          <w:p w:rsidR="00233205" w:rsidRPr="00B36377" w:rsidRDefault="00233205" w:rsidP="00233205">
            <w:pPr>
              <w:pStyle w:val="NoSpacing"/>
              <w:numPr>
                <w:ilvl w:val="0"/>
                <w:numId w:val="66"/>
              </w:numPr>
              <w:ind w:left="187" w:hanging="180"/>
              <w:rPr>
                <w:rFonts w:eastAsia="Calibri" w:cs="Arial"/>
                <w:sz w:val="18"/>
                <w:szCs w:val="18"/>
                <w:lang w:val="es-ES_tradnl"/>
              </w:rPr>
            </w:pPr>
            <w:r w:rsidRPr="00B36377">
              <w:rPr>
                <w:rFonts w:eastAsia="Calibri" w:cs="Arial"/>
                <w:sz w:val="18"/>
                <w:szCs w:val="18"/>
                <w:lang w:val="es-ES_tradnl"/>
              </w:rPr>
              <w:t>Forma y suficiencia de la evidencia de auditoría</w:t>
            </w:r>
          </w:p>
          <w:p w:rsidR="00233205" w:rsidRPr="00B36377" w:rsidRDefault="00233205" w:rsidP="00233205">
            <w:pPr>
              <w:pStyle w:val="NoSpacing"/>
              <w:numPr>
                <w:ilvl w:val="0"/>
                <w:numId w:val="66"/>
              </w:numPr>
              <w:ind w:left="187" w:hanging="180"/>
              <w:rPr>
                <w:rFonts w:eastAsia="Calibri" w:cs="Arial"/>
                <w:sz w:val="18"/>
                <w:szCs w:val="18"/>
                <w:lang w:val="es-ES_tradnl"/>
              </w:rPr>
            </w:pPr>
            <w:r w:rsidRPr="00B36377">
              <w:rPr>
                <w:rFonts w:eastAsia="Calibri" w:cs="Arial"/>
                <w:sz w:val="18"/>
                <w:szCs w:val="18"/>
                <w:lang w:val="es-ES_tradnl"/>
              </w:rPr>
              <w:t>Conclusiones a partir de la evidencia</w:t>
            </w:r>
          </w:p>
          <w:p w:rsidR="00233205" w:rsidRPr="00B36377" w:rsidRDefault="00233205" w:rsidP="00233205">
            <w:pPr>
              <w:pStyle w:val="NoSpacing"/>
              <w:numPr>
                <w:ilvl w:val="0"/>
                <w:numId w:val="66"/>
              </w:numPr>
              <w:ind w:left="187" w:hanging="180"/>
              <w:rPr>
                <w:rFonts w:eastAsia="Calibri" w:cs="Arial"/>
                <w:sz w:val="18"/>
                <w:szCs w:val="18"/>
                <w:lang w:val="es-ES_tradnl"/>
              </w:rPr>
            </w:pPr>
            <w:r w:rsidRPr="00B36377">
              <w:rPr>
                <w:rFonts w:eastAsia="Calibri" w:cs="Arial"/>
                <w:sz w:val="18"/>
                <w:szCs w:val="18"/>
                <w:lang w:val="es-ES_tradnl"/>
              </w:rPr>
              <w:t>Informes (presentación, contenido, lenguaje, etc.)</w:t>
            </w:r>
          </w:p>
          <w:p w:rsidR="00233205" w:rsidRPr="00B36377" w:rsidRDefault="00233205" w:rsidP="00233205">
            <w:pPr>
              <w:pStyle w:val="NoSpacing"/>
              <w:numPr>
                <w:ilvl w:val="0"/>
                <w:numId w:val="66"/>
              </w:numPr>
              <w:ind w:left="187" w:hanging="180"/>
              <w:rPr>
                <w:rFonts w:eastAsia="Calibri" w:cs="Arial"/>
                <w:sz w:val="18"/>
                <w:szCs w:val="18"/>
                <w:lang w:val="es-ES_tradnl"/>
              </w:rPr>
            </w:pPr>
            <w:r w:rsidRPr="00B36377">
              <w:rPr>
                <w:rFonts w:eastAsia="Calibri" w:cs="Arial"/>
                <w:sz w:val="18"/>
                <w:szCs w:val="18"/>
                <w:lang w:val="es-ES_tradnl"/>
              </w:rPr>
              <w:t>Habilidades del equipo de auditoría (Formación profesional, experiencia, etc.)</w:t>
            </w:r>
          </w:p>
          <w:p w:rsidR="00233205" w:rsidRPr="00B36377" w:rsidRDefault="00233205" w:rsidP="00E30BEC">
            <w:pPr>
              <w:pStyle w:val="NoSpacing"/>
              <w:rPr>
                <w:rFonts w:eastAsia="Calibri" w:cs="Arial"/>
                <w:sz w:val="18"/>
                <w:szCs w:val="18"/>
                <w:lang w:val="es-ES_tradnl"/>
              </w:rPr>
            </w:pPr>
          </w:p>
        </w:tc>
        <w:tc>
          <w:tcPr>
            <w:tcW w:w="1346" w:type="pct"/>
          </w:tcPr>
          <w:p w:rsidR="00233205" w:rsidRPr="00B36377" w:rsidRDefault="00233205" w:rsidP="00E30BEC">
            <w:pPr>
              <w:pStyle w:val="NoSpacing"/>
              <w:rPr>
                <w:rFonts w:eastAsia="Calibri" w:cs="Arial"/>
                <w:sz w:val="18"/>
                <w:szCs w:val="18"/>
                <w:lang w:val="es-ES_tradnl"/>
              </w:rPr>
            </w:pPr>
            <w:r w:rsidRPr="00B36377">
              <w:rPr>
                <w:rFonts w:ascii="Calibri" w:hAnsi="Calibri"/>
                <w:color w:val="000000"/>
                <w:sz w:val="18"/>
                <w:szCs w:val="18"/>
                <w:lang w:val="es-ES_tradnl"/>
              </w:rPr>
              <w:lastRenderedPageBreak/>
              <w:t>Diseño e implementación  de directrices especializadas y diferenciale</w:t>
            </w:r>
            <w:r w:rsidRPr="00B36377">
              <w:rPr>
                <w:sz w:val="18"/>
                <w:szCs w:val="18"/>
                <w:lang w:val="es-ES_tradnl"/>
              </w:rPr>
              <w:t xml:space="preserve">s </w:t>
            </w:r>
            <w:r w:rsidRPr="00B36377">
              <w:rPr>
                <w:rFonts w:ascii="Calibri" w:hAnsi="Calibri"/>
                <w:color w:val="000000"/>
                <w:sz w:val="18"/>
                <w:szCs w:val="18"/>
                <w:lang w:val="es-ES_tradnl"/>
              </w:rPr>
              <w:t>de la Auditoria de Regularidad o Cumplimiento del Sector Público (homologable a ISSAI 400 y 4000 a 4200), que incluya además de los  temas transversales  a cada tipo de auditoría, comunicación con operadores de justicia (expedientes) , tipos de informe, problemas específicos en una auditoria de cumplimiento, etc.</w:t>
            </w:r>
          </w:p>
        </w:tc>
        <w:tc>
          <w:tcPr>
            <w:tcW w:w="777" w:type="pct"/>
          </w:tcPr>
          <w:p w:rsidR="00233205" w:rsidRPr="00B36377" w:rsidRDefault="00233205" w:rsidP="00E30BEC">
            <w:pPr>
              <w:pStyle w:val="NoSpacing"/>
              <w:rPr>
                <w:rFonts w:eastAsia="Calibri" w:cs="Arial"/>
                <w:sz w:val="18"/>
                <w:szCs w:val="18"/>
                <w:lang w:val="es-ES_tradnl"/>
              </w:rPr>
            </w:pPr>
            <w:r w:rsidRPr="00B36377">
              <w:rPr>
                <w:sz w:val="18"/>
                <w:szCs w:val="18"/>
                <w:lang w:val="es-ES_tradnl"/>
              </w:rPr>
              <w:t>Preparación de un informe auditoría completo, preciso, objetivo y conciso,  tal  como es requerido por la norma de cumplimiento. (ISSAI 4100 y 4200)</w:t>
            </w:r>
          </w:p>
        </w:tc>
        <w:tc>
          <w:tcPr>
            <w:tcW w:w="517" w:type="pct"/>
          </w:tcPr>
          <w:p w:rsidR="00233205" w:rsidRPr="00B36377" w:rsidRDefault="00233205" w:rsidP="00E30BEC">
            <w:pPr>
              <w:pStyle w:val="NoSpacing"/>
              <w:rPr>
                <w:rFonts w:eastAsia="Calibri" w:cs="Arial"/>
                <w:b/>
                <w:bCs/>
                <w:i/>
                <w:iCs/>
                <w:color w:val="404040" w:themeColor="text1" w:themeTint="BF"/>
                <w:sz w:val="18"/>
                <w:szCs w:val="18"/>
                <w:lang w:val="es-ES_tradnl"/>
              </w:rPr>
            </w:pPr>
            <w:r w:rsidRPr="00B36377">
              <w:rPr>
                <w:sz w:val="18"/>
                <w:szCs w:val="18"/>
                <w:lang w:val="es-ES_tradnl"/>
              </w:rPr>
              <w:t>Delegadas de la Contraloría formando un equipo de auditores experimentado</w:t>
            </w:r>
          </w:p>
        </w:tc>
        <w:tc>
          <w:tcPr>
            <w:tcW w:w="465" w:type="pct"/>
          </w:tcPr>
          <w:p w:rsidR="00233205" w:rsidRPr="00B36377" w:rsidRDefault="00233205" w:rsidP="00E30BEC">
            <w:pPr>
              <w:pStyle w:val="NoSpacing"/>
              <w:rPr>
                <w:rFonts w:eastAsia="Calibri" w:cs="Arial"/>
                <w:b/>
                <w:bCs/>
                <w:i/>
                <w:iCs/>
                <w:color w:val="404040" w:themeColor="text1" w:themeTint="BF"/>
                <w:sz w:val="18"/>
                <w:szCs w:val="18"/>
                <w:lang w:val="es-ES_tradnl"/>
              </w:rPr>
            </w:pPr>
            <w:r w:rsidRPr="00B36377">
              <w:rPr>
                <w:sz w:val="18"/>
                <w:szCs w:val="18"/>
                <w:lang w:val="es-ES_tradnl"/>
              </w:rPr>
              <w:t>Ver 13 anterior</w:t>
            </w:r>
          </w:p>
        </w:tc>
        <w:tc>
          <w:tcPr>
            <w:tcW w:w="579" w:type="pct"/>
          </w:tcPr>
          <w:p w:rsidR="00233205" w:rsidRPr="00B36377" w:rsidRDefault="00233205" w:rsidP="00E30BEC">
            <w:pPr>
              <w:pStyle w:val="NoSpacing"/>
              <w:rPr>
                <w:rFonts w:eastAsia="Calibri" w:cs="Arial"/>
                <w:b/>
                <w:bCs/>
                <w:i/>
                <w:iCs/>
                <w:color w:val="404040" w:themeColor="text1" w:themeTint="BF"/>
                <w:sz w:val="18"/>
                <w:szCs w:val="18"/>
                <w:lang w:val="es-ES_tradnl"/>
              </w:rPr>
            </w:pPr>
            <w:r w:rsidRPr="00B36377">
              <w:rPr>
                <w:sz w:val="18"/>
                <w:szCs w:val="18"/>
                <w:lang w:val="es-ES_tradnl"/>
              </w:rPr>
              <w:t>Ver 13 anterior</w:t>
            </w:r>
          </w:p>
        </w:tc>
      </w:tr>
      <w:tr w:rsidR="00233205" w:rsidRPr="00B36377" w:rsidTr="00E30BEC">
        <w:trPr>
          <w:jc w:val="center"/>
        </w:trPr>
        <w:tc>
          <w:tcPr>
            <w:tcW w:w="177" w:type="pct"/>
          </w:tcPr>
          <w:p w:rsidR="00233205" w:rsidRPr="00B36377" w:rsidRDefault="00233205" w:rsidP="00E30BEC">
            <w:pPr>
              <w:pStyle w:val="NoSpacing"/>
              <w:jc w:val="center"/>
              <w:rPr>
                <w:rFonts w:cstheme="majorBidi"/>
                <w:b/>
                <w:bCs/>
                <w:i/>
                <w:iCs/>
                <w:color w:val="404040" w:themeColor="text1" w:themeTint="BF"/>
                <w:sz w:val="18"/>
                <w:szCs w:val="18"/>
                <w:lang w:val="es-ES_tradnl"/>
              </w:rPr>
            </w:pPr>
            <w:r w:rsidRPr="00B36377">
              <w:rPr>
                <w:sz w:val="18"/>
                <w:szCs w:val="18"/>
                <w:lang w:val="es-ES_tradnl"/>
              </w:rPr>
              <w:lastRenderedPageBreak/>
              <w:t>15</w:t>
            </w:r>
          </w:p>
        </w:tc>
        <w:tc>
          <w:tcPr>
            <w:tcW w:w="362" w:type="pct"/>
          </w:tcPr>
          <w:p w:rsidR="00233205" w:rsidRPr="00B36377" w:rsidRDefault="00233205" w:rsidP="00E30BEC">
            <w:pPr>
              <w:pStyle w:val="NoSpacing"/>
              <w:jc w:val="center"/>
              <w:rPr>
                <w:rFonts w:cstheme="majorBidi"/>
                <w:b/>
                <w:bCs/>
                <w:i/>
                <w:iCs/>
                <w:color w:val="404040" w:themeColor="text1" w:themeTint="BF"/>
                <w:sz w:val="18"/>
                <w:szCs w:val="18"/>
                <w:lang w:val="es-ES_tradnl"/>
              </w:rPr>
            </w:pPr>
            <w:r w:rsidRPr="00B36377">
              <w:rPr>
                <w:sz w:val="18"/>
                <w:szCs w:val="18"/>
                <w:lang w:val="es-ES_tradnl"/>
              </w:rPr>
              <w:t>EFS-3 (i)</w:t>
            </w:r>
          </w:p>
          <w:p w:rsidR="00233205" w:rsidRPr="00B36377" w:rsidRDefault="00233205" w:rsidP="00E30BEC">
            <w:pPr>
              <w:pStyle w:val="NoSpacing"/>
              <w:jc w:val="center"/>
              <w:rPr>
                <w:sz w:val="18"/>
                <w:szCs w:val="18"/>
                <w:lang w:val="es-ES_tradnl"/>
              </w:rPr>
            </w:pPr>
          </w:p>
          <w:p w:rsidR="00233205" w:rsidRPr="00B36377" w:rsidRDefault="00233205" w:rsidP="00E30BEC">
            <w:pPr>
              <w:pStyle w:val="NoSpacing"/>
              <w:jc w:val="center"/>
              <w:rPr>
                <w:rFonts w:cstheme="majorBidi"/>
                <w:b/>
                <w:bCs/>
                <w:i/>
                <w:iCs/>
                <w:color w:val="404040" w:themeColor="text1" w:themeTint="BF"/>
                <w:sz w:val="18"/>
                <w:szCs w:val="18"/>
                <w:lang w:val="es-ES_tradnl"/>
              </w:rPr>
            </w:pPr>
            <w:r w:rsidRPr="00B36377">
              <w:rPr>
                <w:sz w:val="18"/>
                <w:szCs w:val="18"/>
                <w:lang w:val="es-ES_tradnl"/>
              </w:rPr>
              <w:t>EFS-15 (i), (iv)</w:t>
            </w:r>
          </w:p>
          <w:p w:rsidR="00233205" w:rsidRPr="00B36377" w:rsidRDefault="00233205" w:rsidP="00E30BEC">
            <w:pPr>
              <w:pStyle w:val="NoSpacing"/>
              <w:jc w:val="center"/>
              <w:rPr>
                <w:sz w:val="18"/>
                <w:szCs w:val="18"/>
                <w:lang w:val="es-ES_tradnl"/>
              </w:rPr>
            </w:pPr>
          </w:p>
          <w:p w:rsidR="00233205" w:rsidRPr="00B36377" w:rsidRDefault="00233205" w:rsidP="00E30BEC">
            <w:pPr>
              <w:pStyle w:val="NoSpacing"/>
              <w:jc w:val="center"/>
              <w:rPr>
                <w:rFonts w:cstheme="majorBidi"/>
                <w:b/>
                <w:bCs/>
                <w:i/>
                <w:iCs/>
                <w:color w:val="404040" w:themeColor="text1" w:themeTint="BF"/>
                <w:sz w:val="18"/>
                <w:szCs w:val="18"/>
                <w:lang w:val="es-ES_tradnl"/>
              </w:rPr>
            </w:pPr>
            <w:r w:rsidRPr="00B36377">
              <w:rPr>
                <w:sz w:val="18"/>
                <w:szCs w:val="18"/>
                <w:lang w:val="es-ES_tradnl"/>
              </w:rPr>
              <w:t>EFS-16 (i), (ii), (iii)</w:t>
            </w:r>
          </w:p>
        </w:tc>
        <w:tc>
          <w:tcPr>
            <w:tcW w:w="777" w:type="pct"/>
          </w:tcPr>
          <w:p w:rsidR="00233205" w:rsidRPr="00B36377" w:rsidRDefault="00233205" w:rsidP="00E30BEC">
            <w:pPr>
              <w:pStyle w:val="NoSpacing"/>
              <w:rPr>
                <w:sz w:val="18"/>
                <w:szCs w:val="18"/>
                <w:lang w:val="es-ES_tradnl"/>
              </w:rPr>
            </w:pPr>
            <w:r w:rsidRPr="00B36377">
              <w:rPr>
                <w:rFonts w:eastAsia="Calibri" w:cs="Arial"/>
                <w:sz w:val="18"/>
                <w:szCs w:val="18"/>
                <w:lang w:val="es-ES_tradnl"/>
              </w:rPr>
              <w:t xml:space="preserve">La CGRC </w:t>
            </w:r>
            <w:r w:rsidRPr="00B36377">
              <w:rPr>
                <w:bCs/>
                <w:sz w:val="18"/>
                <w:szCs w:val="18"/>
                <w:lang w:val="es-ES_tradnl"/>
              </w:rPr>
              <w:t xml:space="preserve">no dispone de procedimientos </w:t>
            </w:r>
            <w:r w:rsidRPr="00B36377">
              <w:rPr>
                <w:sz w:val="18"/>
                <w:szCs w:val="18"/>
                <w:lang w:val="es-ES_tradnl"/>
              </w:rPr>
              <w:t>consistentes con los estándares internacionales para la Auditoría de Desempeño, que entre otros contemplen:</w:t>
            </w:r>
          </w:p>
          <w:p w:rsidR="00233205" w:rsidRPr="00B36377" w:rsidRDefault="00233205" w:rsidP="00E30BEC">
            <w:pPr>
              <w:pStyle w:val="NoSpacing"/>
              <w:rPr>
                <w:sz w:val="18"/>
                <w:szCs w:val="18"/>
                <w:lang w:val="es-ES_tradnl"/>
              </w:rPr>
            </w:pPr>
          </w:p>
          <w:p w:rsidR="00233205" w:rsidRPr="00B36377" w:rsidRDefault="00233205" w:rsidP="00233205">
            <w:pPr>
              <w:pStyle w:val="NoSpacing"/>
              <w:numPr>
                <w:ilvl w:val="0"/>
                <w:numId w:val="67"/>
              </w:numPr>
              <w:ind w:left="277" w:hanging="270"/>
              <w:rPr>
                <w:rFonts w:eastAsia="Calibri" w:cs="Arial"/>
                <w:sz w:val="18"/>
                <w:szCs w:val="18"/>
                <w:lang w:val="es-ES_tradnl"/>
              </w:rPr>
            </w:pPr>
            <w:r w:rsidRPr="00B36377">
              <w:rPr>
                <w:rFonts w:eastAsia="Calibri" w:cs="Arial"/>
                <w:sz w:val="18"/>
                <w:szCs w:val="18"/>
                <w:lang w:val="es-ES_tradnl"/>
              </w:rPr>
              <w:t>Conceptos como economía, eficiencia, eficacia, criterios de auditoría, etc.</w:t>
            </w:r>
          </w:p>
          <w:p w:rsidR="00233205" w:rsidRPr="00B36377" w:rsidRDefault="00233205" w:rsidP="00233205">
            <w:pPr>
              <w:pStyle w:val="NoSpacing"/>
              <w:numPr>
                <w:ilvl w:val="0"/>
                <w:numId w:val="67"/>
              </w:numPr>
              <w:ind w:left="277" w:hanging="270"/>
              <w:rPr>
                <w:rFonts w:eastAsia="Calibri" w:cs="Arial"/>
                <w:sz w:val="18"/>
                <w:szCs w:val="18"/>
                <w:lang w:val="es-ES_tradnl"/>
              </w:rPr>
            </w:pPr>
            <w:r w:rsidRPr="00B36377">
              <w:rPr>
                <w:rFonts w:eastAsia="Calibri" w:cs="Arial"/>
                <w:sz w:val="18"/>
                <w:szCs w:val="18"/>
                <w:lang w:val="es-ES_tradnl"/>
              </w:rPr>
              <w:t>Estrategia de auditoría (naturaleza, alcance, oportunidad, procedimientos, recursos, etc.)</w:t>
            </w:r>
          </w:p>
          <w:p w:rsidR="00233205" w:rsidRPr="00B36377" w:rsidRDefault="00233205" w:rsidP="00233205">
            <w:pPr>
              <w:pStyle w:val="NoSpacing"/>
              <w:numPr>
                <w:ilvl w:val="0"/>
                <w:numId w:val="67"/>
              </w:numPr>
              <w:ind w:left="277" w:hanging="270"/>
              <w:rPr>
                <w:rFonts w:eastAsia="Calibri" w:cs="Arial"/>
                <w:sz w:val="18"/>
                <w:szCs w:val="18"/>
                <w:lang w:val="es-ES_tradnl"/>
              </w:rPr>
            </w:pPr>
            <w:r w:rsidRPr="00B36377">
              <w:rPr>
                <w:sz w:val="18"/>
                <w:szCs w:val="18"/>
                <w:lang w:val="es-ES_tradnl"/>
              </w:rPr>
              <w:t xml:space="preserve">Consideración de temas significativos </w:t>
            </w:r>
            <w:r w:rsidRPr="00B36377">
              <w:rPr>
                <w:sz w:val="18"/>
                <w:szCs w:val="18"/>
                <w:lang w:val="es-ES_tradnl"/>
              </w:rPr>
              <w:lastRenderedPageBreak/>
              <w:t>como: (i) mejoras de las operaciones y programas gubernamentales, (ii)  reducción de costos, (iii) simplificación de la administración,  (iv) mayores beneficios para la sociedad</w:t>
            </w:r>
          </w:p>
          <w:p w:rsidR="00233205" w:rsidRPr="00B36377" w:rsidRDefault="00233205" w:rsidP="00233205">
            <w:pPr>
              <w:pStyle w:val="NoSpacing"/>
              <w:numPr>
                <w:ilvl w:val="0"/>
                <w:numId w:val="67"/>
              </w:numPr>
              <w:ind w:left="277" w:hanging="270"/>
              <w:rPr>
                <w:rFonts w:eastAsia="Calibri" w:cs="Arial"/>
                <w:sz w:val="18"/>
                <w:szCs w:val="18"/>
                <w:lang w:val="es-ES_tradnl"/>
              </w:rPr>
            </w:pPr>
            <w:r w:rsidRPr="00B36377">
              <w:rPr>
                <w:rFonts w:eastAsia="Calibri" w:cs="Arial"/>
                <w:sz w:val="18"/>
                <w:szCs w:val="18"/>
                <w:lang w:val="es-ES_tradnl"/>
              </w:rPr>
              <w:t>Forma y suficiencia de la evidencia de auditoría</w:t>
            </w:r>
          </w:p>
          <w:p w:rsidR="00233205" w:rsidRPr="00B36377" w:rsidRDefault="00233205" w:rsidP="00233205">
            <w:pPr>
              <w:pStyle w:val="NoSpacing"/>
              <w:numPr>
                <w:ilvl w:val="0"/>
                <w:numId w:val="67"/>
              </w:numPr>
              <w:ind w:left="277" w:hanging="270"/>
              <w:rPr>
                <w:rFonts w:eastAsia="Calibri" w:cs="Arial"/>
                <w:sz w:val="18"/>
                <w:szCs w:val="18"/>
                <w:lang w:val="es-ES_tradnl"/>
              </w:rPr>
            </w:pPr>
            <w:r w:rsidRPr="00B36377">
              <w:rPr>
                <w:rFonts w:eastAsia="Calibri" w:cs="Arial"/>
                <w:sz w:val="18"/>
                <w:szCs w:val="18"/>
                <w:lang w:val="es-ES_tradnl"/>
              </w:rPr>
              <w:t>Conclusiones a partir de la evidencia</w:t>
            </w:r>
          </w:p>
          <w:p w:rsidR="00233205" w:rsidRPr="00B36377" w:rsidRDefault="00233205" w:rsidP="00233205">
            <w:pPr>
              <w:pStyle w:val="NoSpacing"/>
              <w:numPr>
                <w:ilvl w:val="0"/>
                <w:numId w:val="67"/>
              </w:numPr>
              <w:ind w:left="277" w:hanging="270"/>
              <w:rPr>
                <w:rFonts w:eastAsia="Calibri" w:cs="Arial"/>
                <w:sz w:val="18"/>
                <w:szCs w:val="18"/>
                <w:lang w:val="es-ES_tradnl"/>
              </w:rPr>
            </w:pPr>
            <w:r w:rsidRPr="00B36377">
              <w:rPr>
                <w:rFonts w:eastAsia="Calibri" w:cs="Arial"/>
                <w:sz w:val="18"/>
                <w:szCs w:val="18"/>
                <w:lang w:val="es-ES_tradnl"/>
              </w:rPr>
              <w:t>Informes (presentación, contenido, lenguaje, etc.)</w:t>
            </w:r>
          </w:p>
          <w:p w:rsidR="00233205" w:rsidRPr="00B36377" w:rsidRDefault="00233205" w:rsidP="00233205">
            <w:pPr>
              <w:pStyle w:val="NoSpacing"/>
              <w:numPr>
                <w:ilvl w:val="0"/>
                <w:numId w:val="67"/>
              </w:numPr>
              <w:ind w:left="277" w:hanging="270"/>
              <w:rPr>
                <w:rFonts w:eastAsia="Calibri" w:cs="Arial"/>
                <w:sz w:val="18"/>
                <w:szCs w:val="18"/>
                <w:lang w:val="es-ES_tradnl"/>
              </w:rPr>
            </w:pPr>
            <w:r w:rsidRPr="00B36377">
              <w:rPr>
                <w:rFonts w:eastAsia="Calibri" w:cs="Arial"/>
                <w:sz w:val="18"/>
                <w:szCs w:val="18"/>
                <w:lang w:val="es-ES_tradnl"/>
              </w:rPr>
              <w:t>Habilidades del equipo de auditoría (Formación profesional, experiencia, etc.)</w:t>
            </w:r>
          </w:p>
          <w:p w:rsidR="00233205" w:rsidRPr="00B36377" w:rsidRDefault="00233205" w:rsidP="00E30BEC">
            <w:pPr>
              <w:pStyle w:val="NoSpacing"/>
              <w:ind w:left="187"/>
              <w:rPr>
                <w:rFonts w:eastAsia="Calibri" w:cs="Arial"/>
                <w:sz w:val="18"/>
                <w:szCs w:val="18"/>
                <w:lang w:val="es-ES_tradnl"/>
              </w:rPr>
            </w:pPr>
          </w:p>
        </w:tc>
        <w:tc>
          <w:tcPr>
            <w:tcW w:w="1346" w:type="pct"/>
          </w:tcPr>
          <w:p w:rsidR="00233205" w:rsidRPr="00B36377" w:rsidRDefault="00233205" w:rsidP="00E30BEC">
            <w:pPr>
              <w:pStyle w:val="NoSpacing"/>
              <w:rPr>
                <w:sz w:val="18"/>
                <w:szCs w:val="18"/>
                <w:lang w:val="es-ES_tradnl"/>
              </w:rPr>
            </w:pPr>
            <w:r w:rsidRPr="00B36377">
              <w:rPr>
                <w:rFonts w:ascii="Calibri" w:hAnsi="Calibri"/>
                <w:color w:val="000000"/>
                <w:sz w:val="18"/>
                <w:szCs w:val="18"/>
                <w:lang w:val="es-ES_tradnl"/>
              </w:rPr>
              <w:lastRenderedPageBreak/>
              <w:t>Diseño e implementación  de directrices especializadas y diferenciale</w:t>
            </w:r>
            <w:r w:rsidRPr="00B36377">
              <w:rPr>
                <w:sz w:val="18"/>
                <w:szCs w:val="18"/>
                <w:lang w:val="es-ES_tradnl"/>
              </w:rPr>
              <w:t xml:space="preserve">s </w:t>
            </w:r>
            <w:r w:rsidRPr="00B36377">
              <w:rPr>
                <w:rFonts w:ascii="Calibri" w:hAnsi="Calibri"/>
                <w:color w:val="000000"/>
                <w:sz w:val="18"/>
                <w:szCs w:val="18"/>
                <w:lang w:val="es-ES_tradnl"/>
              </w:rPr>
              <w:t>de la Auditoria de Desempeño del Sector Público (homologable a ISSAI 300 y 3000 a 3999), que incluya además de los  temas transversales  a cada tipo de auditoría, específicamente problemas  en una auditoria de desempeño,  auditoría de medio ambiente, auditorías de la deuda pública, auditoría de proyectos y programas gubernamentales, etc.</w:t>
            </w:r>
          </w:p>
        </w:tc>
        <w:tc>
          <w:tcPr>
            <w:tcW w:w="777" w:type="pct"/>
          </w:tcPr>
          <w:p w:rsidR="00233205" w:rsidRPr="00B36377" w:rsidRDefault="00233205" w:rsidP="00233205">
            <w:pPr>
              <w:pStyle w:val="NoSpacing"/>
              <w:numPr>
                <w:ilvl w:val="0"/>
                <w:numId w:val="51"/>
              </w:numPr>
              <w:ind w:left="223" w:hanging="223"/>
              <w:rPr>
                <w:sz w:val="18"/>
                <w:szCs w:val="18"/>
                <w:lang w:val="es-ES_tradnl"/>
              </w:rPr>
            </w:pPr>
            <w:r w:rsidRPr="00B36377">
              <w:rPr>
                <w:sz w:val="18"/>
                <w:szCs w:val="18"/>
                <w:lang w:val="es-ES_tradnl"/>
              </w:rPr>
              <w:t>Mejoran los resultados del control externo</w:t>
            </w:r>
          </w:p>
          <w:p w:rsidR="00233205" w:rsidRPr="00B36377" w:rsidRDefault="00233205" w:rsidP="00E30BEC">
            <w:pPr>
              <w:pStyle w:val="NoSpacing"/>
              <w:ind w:left="223" w:hanging="223"/>
              <w:rPr>
                <w:sz w:val="18"/>
                <w:szCs w:val="18"/>
                <w:lang w:val="es-ES_tradnl"/>
              </w:rPr>
            </w:pPr>
          </w:p>
          <w:p w:rsidR="00233205" w:rsidRPr="00B36377" w:rsidRDefault="00233205" w:rsidP="00233205">
            <w:pPr>
              <w:pStyle w:val="NoSpacing"/>
              <w:numPr>
                <w:ilvl w:val="0"/>
                <w:numId w:val="51"/>
              </w:numPr>
              <w:ind w:left="223" w:hanging="223"/>
              <w:rPr>
                <w:sz w:val="18"/>
                <w:szCs w:val="18"/>
                <w:lang w:val="es-ES_tradnl"/>
              </w:rPr>
            </w:pPr>
            <w:r w:rsidRPr="00B36377">
              <w:rPr>
                <w:sz w:val="18"/>
                <w:szCs w:val="18"/>
                <w:lang w:val="es-ES_tradnl"/>
              </w:rPr>
              <w:t>Mejoras en la gestión pública</w:t>
            </w:r>
          </w:p>
          <w:p w:rsidR="00233205" w:rsidRPr="00B36377" w:rsidRDefault="00233205" w:rsidP="00E30BEC">
            <w:pPr>
              <w:pStyle w:val="NoSpacing"/>
              <w:ind w:left="223" w:hanging="223"/>
              <w:rPr>
                <w:sz w:val="18"/>
                <w:szCs w:val="18"/>
                <w:lang w:val="es-ES_tradnl"/>
              </w:rPr>
            </w:pPr>
          </w:p>
          <w:p w:rsidR="00233205" w:rsidRPr="00B36377" w:rsidRDefault="00233205" w:rsidP="00233205">
            <w:pPr>
              <w:pStyle w:val="NoSpacing"/>
              <w:numPr>
                <w:ilvl w:val="0"/>
                <w:numId w:val="51"/>
              </w:numPr>
              <w:ind w:left="223" w:hanging="223"/>
              <w:rPr>
                <w:sz w:val="18"/>
                <w:szCs w:val="18"/>
                <w:lang w:val="es-ES_tradnl"/>
              </w:rPr>
            </w:pPr>
            <w:r w:rsidRPr="00B36377">
              <w:rPr>
                <w:sz w:val="18"/>
                <w:szCs w:val="18"/>
                <w:lang w:val="es-ES_tradnl"/>
              </w:rPr>
              <w:t>Desempeño de los Programas e Instituciones de conformidad con los principios de las 3E´s</w:t>
            </w:r>
          </w:p>
        </w:tc>
        <w:tc>
          <w:tcPr>
            <w:tcW w:w="517" w:type="pct"/>
          </w:tcPr>
          <w:p w:rsidR="00233205" w:rsidRPr="00B36377" w:rsidRDefault="00233205" w:rsidP="00E30BEC">
            <w:pPr>
              <w:pStyle w:val="NoSpacing"/>
              <w:rPr>
                <w:rFonts w:eastAsia="Calibri" w:cs="Arial"/>
                <w:b/>
                <w:bCs/>
                <w:i/>
                <w:iCs/>
                <w:color w:val="404040" w:themeColor="text1" w:themeTint="BF"/>
                <w:sz w:val="18"/>
                <w:szCs w:val="18"/>
                <w:lang w:val="es-ES_tradnl"/>
              </w:rPr>
            </w:pPr>
            <w:r w:rsidRPr="00B36377">
              <w:rPr>
                <w:sz w:val="18"/>
                <w:szCs w:val="18"/>
                <w:lang w:val="es-ES_tradnl"/>
              </w:rPr>
              <w:t>Delegadas de la Contraloría formando un equipo de auditores experimentados</w:t>
            </w:r>
          </w:p>
        </w:tc>
        <w:tc>
          <w:tcPr>
            <w:tcW w:w="465" w:type="pct"/>
          </w:tcPr>
          <w:p w:rsidR="00233205" w:rsidRPr="00B36377" w:rsidRDefault="00233205" w:rsidP="00E30BEC">
            <w:pPr>
              <w:pStyle w:val="NoSpacing"/>
              <w:rPr>
                <w:rFonts w:eastAsia="Calibri" w:cs="Arial"/>
                <w:b/>
                <w:bCs/>
                <w:i/>
                <w:iCs/>
                <w:color w:val="404040" w:themeColor="text1" w:themeTint="BF"/>
                <w:sz w:val="18"/>
                <w:szCs w:val="18"/>
                <w:lang w:val="es-ES_tradnl"/>
              </w:rPr>
            </w:pPr>
            <w:r w:rsidRPr="00B36377">
              <w:rPr>
                <w:sz w:val="18"/>
                <w:szCs w:val="18"/>
                <w:lang w:val="es-ES_tradnl"/>
              </w:rPr>
              <w:t>Ver 13 anterior</w:t>
            </w:r>
          </w:p>
        </w:tc>
        <w:tc>
          <w:tcPr>
            <w:tcW w:w="579" w:type="pct"/>
          </w:tcPr>
          <w:p w:rsidR="00233205" w:rsidRPr="00B36377" w:rsidRDefault="00233205" w:rsidP="00E30BEC">
            <w:pPr>
              <w:pStyle w:val="NoSpacing"/>
              <w:rPr>
                <w:rFonts w:eastAsia="Calibri" w:cs="Arial"/>
                <w:b/>
                <w:bCs/>
                <w:i/>
                <w:iCs/>
                <w:color w:val="404040" w:themeColor="text1" w:themeTint="BF"/>
                <w:sz w:val="18"/>
                <w:szCs w:val="18"/>
                <w:lang w:val="es-ES_tradnl"/>
              </w:rPr>
            </w:pPr>
            <w:r w:rsidRPr="00B36377">
              <w:rPr>
                <w:sz w:val="18"/>
                <w:szCs w:val="18"/>
                <w:lang w:val="es-ES_tradnl"/>
              </w:rPr>
              <w:t>Ver 13 anterior</w:t>
            </w:r>
          </w:p>
        </w:tc>
      </w:tr>
      <w:tr w:rsidR="00233205" w:rsidRPr="00B36377" w:rsidTr="00E30BEC">
        <w:trPr>
          <w:jc w:val="center"/>
        </w:trPr>
        <w:tc>
          <w:tcPr>
            <w:tcW w:w="5000" w:type="pct"/>
            <w:gridSpan w:val="8"/>
            <w:shd w:val="clear" w:color="auto" w:fill="D9D9D9" w:themeFill="background1" w:themeFillShade="D9"/>
            <w:vAlign w:val="center"/>
          </w:tcPr>
          <w:p w:rsidR="00233205" w:rsidRPr="00B36377" w:rsidRDefault="00233205" w:rsidP="00E30BEC">
            <w:pPr>
              <w:pStyle w:val="NoSpacing"/>
              <w:jc w:val="center"/>
              <w:rPr>
                <w:rFonts w:cstheme="majorBidi"/>
                <w:b/>
                <w:bCs/>
                <w:i/>
                <w:iCs/>
                <w:color w:val="404040" w:themeColor="text1" w:themeTint="BF"/>
                <w:sz w:val="18"/>
                <w:szCs w:val="18"/>
                <w:lang w:val="es-ES_tradnl"/>
              </w:rPr>
            </w:pPr>
            <w:r w:rsidRPr="00B36377">
              <w:rPr>
                <w:b/>
                <w:sz w:val="18"/>
                <w:szCs w:val="18"/>
                <w:lang w:val="es-ES_tradnl"/>
              </w:rPr>
              <w:lastRenderedPageBreak/>
              <w:t>Dominio E – Estructuras de Gestión y Apoyo</w:t>
            </w:r>
          </w:p>
        </w:tc>
      </w:tr>
      <w:tr w:rsidR="00233205" w:rsidRPr="00B36377" w:rsidTr="00E30BEC">
        <w:trPr>
          <w:jc w:val="center"/>
        </w:trPr>
        <w:tc>
          <w:tcPr>
            <w:tcW w:w="177" w:type="pct"/>
          </w:tcPr>
          <w:p w:rsidR="00233205" w:rsidRPr="00B36377" w:rsidRDefault="00233205" w:rsidP="00E30BEC">
            <w:pPr>
              <w:pStyle w:val="NoSpacing"/>
              <w:jc w:val="center"/>
              <w:rPr>
                <w:rFonts w:cstheme="majorBidi"/>
                <w:b/>
                <w:bCs/>
                <w:i/>
                <w:iCs/>
                <w:color w:val="404040" w:themeColor="text1" w:themeTint="BF"/>
                <w:sz w:val="18"/>
                <w:szCs w:val="18"/>
                <w:lang w:val="es-ES_tradnl"/>
              </w:rPr>
            </w:pPr>
            <w:r w:rsidRPr="00B36377">
              <w:rPr>
                <w:sz w:val="18"/>
                <w:szCs w:val="18"/>
                <w:lang w:val="es-ES_tradnl"/>
              </w:rPr>
              <w:t>16</w:t>
            </w:r>
          </w:p>
        </w:tc>
        <w:tc>
          <w:tcPr>
            <w:tcW w:w="362" w:type="pct"/>
          </w:tcPr>
          <w:p w:rsidR="00233205" w:rsidRPr="00B36377" w:rsidRDefault="00233205" w:rsidP="00E30BEC">
            <w:pPr>
              <w:pStyle w:val="NoSpacing"/>
              <w:jc w:val="center"/>
              <w:rPr>
                <w:rFonts w:cstheme="majorBidi"/>
                <w:b/>
                <w:bCs/>
                <w:i/>
                <w:iCs/>
                <w:color w:val="404040" w:themeColor="text1" w:themeTint="BF"/>
                <w:sz w:val="18"/>
                <w:szCs w:val="18"/>
                <w:lang w:val="es-ES_tradnl"/>
              </w:rPr>
            </w:pPr>
            <w:r w:rsidRPr="00B36377">
              <w:rPr>
                <w:sz w:val="18"/>
                <w:szCs w:val="18"/>
                <w:lang w:val="es-ES_tradnl"/>
              </w:rPr>
              <w:t>EFS-18 (i) b), c), d), e)</w:t>
            </w:r>
          </w:p>
        </w:tc>
        <w:tc>
          <w:tcPr>
            <w:tcW w:w="777" w:type="pct"/>
          </w:tcPr>
          <w:p w:rsidR="00233205" w:rsidRPr="00B36377" w:rsidRDefault="00233205" w:rsidP="00E30BEC">
            <w:pPr>
              <w:pStyle w:val="NoSpacing"/>
              <w:rPr>
                <w:sz w:val="18"/>
                <w:szCs w:val="18"/>
                <w:lang w:val="es-ES_tradnl"/>
              </w:rPr>
            </w:pPr>
            <w:r w:rsidRPr="00B36377">
              <w:rPr>
                <w:sz w:val="18"/>
                <w:szCs w:val="18"/>
                <w:lang w:val="es-ES_tradnl"/>
              </w:rPr>
              <w:t>La política de ética e integridad de la CE-CGRC debe ser actualizada para incorporar los estándares previstos en la ISSAI 30.</w:t>
            </w:r>
          </w:p>
          <w:p w:rsidR="00233205" w:rsidRPr="00B36377" w:rsidRDefault="00233205" w:rsidP="00E30BEC">
            <w:pPr>
              <w:pStyle w:val="NoSpacing"/>
              <w:rPr>
                <w:rFonts w:eastAsia="Calibri" w:cs="Arial"/>
                <w:sz w:val="18"/>
                <w:szCs w:val="18"/>
                <w:lang w:val="es-ES_tradnl"/>
              </w:rPr>
            </w:pPr>
          </w:p>
        </w:tc>
        <w:tc>
          <w:tcPr>
            <w:tcW w:w="1346" w:type="pct"/>
          </w:tcPr>
          <w:p w:rsidR="00233205" w:rsidRPr="00B36377" w:rsidRDefault="00233205" w:rsidP="00233205">
            <w:pPr>
              <w:pStyle w:val="NoSpacing"/>
              <w:numPr>
                <w:ilvl w:val="0"/>
                <w:numId w:val="68"/>
              </w:numPr>
              <w:ind w:left="219" w:hanging="219"/>
              <w:rPr>
                <w:sz w:val="18"/>
                <w:szCs w:val="18"/>
                <w:lang w:val="es-ES_tradnl"/>
              </w:rPr>
            </w:pPr>
            <w:r w:rsidRPr="00B36377">
              <w:rPr>
                <w:sz w:val="18"/>
                <w:szCs w:val="18"/>
                <w:lang w:val="es-ES_tradnl"/>
              </w:rPr>
              <w:t>Actualizar la política de ética e integridad, tomando en cuenta lo previsto en ISSAI 30. Esto supone verificar nuevas situaciones y lecciones aprendidas del comportamiento del personal de la CGRC y sus autoridades.</w:t>
            </w:r>
          </w:p>
          <w:p w:rsidR="00233205" w:rsidRPr="00B36377" w:rsidRDefault="00233205" w:rsidP="00233205">
            <w:pPr>
              <w:pStyle w:val="NoSpacing"/>
              <w:numPr>
                <w:ilvl w:val="0"/>
                <w:numId w:val="68"/>
              </w:numPr>
              <w:ind w:left="219" w:hanging="219"/>
              <w:rPr>
                <w:sz w:val="18"/>
                <w:szCs w:val="18"/>
                <w:lang w:val="es-ES_tradnl"/>
              </w:rPr>
            </w:pPr>
            <w:r w:rsidRPr="00B36377">
              <w:rPr>
                <w:sz w:val="18"/>
                <w:szCs w:val="18"/>
                <w:lang w:val="es-ES_tradnl"/>
              </w:rPr>
              <w:t>En coordinación con la aplicación de un reglamento, diseñar e implementar indicadores de la evolución o avance de la política basados en el monitoreo del CE-CGRC.</w:t>
            </w:r>
          </w:p>
          <w:p w:rsidR="00233205" w:rsidRPr="00B36377" w:rsidRDefault="00233205" w:rsidP="00233205">
            <w:pPr>
              <w:pStyle w:val="NoSpacing"/>
              <w:numPr>
                <w:ilvl w:val="0"/>
                <w:numId w:val="68"/>
              </w:numPr>
              <w:ind w:left="219" w:hanging="219"/>
              <w:rPr>
                <w:sz w:val="18"/>
                <w:szCs w:val="18"/>
                <w:lang w:val="es-ES_tradnl"/>
              </w:rPr>
            </w:pPr>
            <w:r w:rsidRPr="00B36377">
              <w:rPr>
                <w:sz w:val="18"/>
                <w:szCs w:val="18"/>
                <w:lang w:val="es-ES_tradnl"/>
              </w:rPr>
              <w:t>Publicar en la página web institucional el CE-CGRC, señalando que es una herramienta utilizada para vigilar la conducta de sus empleados.</w:t>
            </w:r>
          </w:p>
          <w:p w:rsidR="00233205" w:rsidRPr="00B36377" w:rsidRDefault="00233205" w:rsidP="00E30BEC">
            <w:pPr>
              <w:pStyle w:val="NoSpacing"/>
              <w:ind w:left="219"/>
              <w:rPr>
                <w:sz w:val="18"/>
                <w:szCs w:val="18"/>
                <w:lang w:val="es-ES_tradnl"/>
              </w:rPr>
            </w:pPr>
          </w:p>
          <w:p w:rsidR="00233205" w:rsidRPr="00B36377" w:rsidRDefault="00233205" w:rsidP="00233205">
            <w:pPr>
              <w:pStyle w:val="NoSpacing"/>
              <w:numPr>
                <w:ilvl w:val="0"/>
                <w:numId w:val="68"/>
              </w:numPr>
              <w:ind w:left="219" w:hanging="219"/>
              <w:rPr>
                <w:sz w:val="18"/>
                <w:szCs w:val="18"/>
                <w:lang w:val="es-ES_tradnl"/>
              </w:rPr>
            </w:pPr>
            <w:r w:rsidRPr="00B36377">
              <w:rPr>
                <w:sz w:val="18"/>
                <w:szCs w:val="18"/>
                <w:lang w:val="es-ES_tradnl"/>
              </w:rPr>
              <w:t>Diseñar y poner en funcionamiento un reglamento del CE-CGRC gobernado por el Comité de Ética, que  asegure mediante informes periódicos al Contralor y al Comité de Coordinación del Control Interno (CCCI) que la política de ética e integridad  se mantiene vigente, es cumplida y los riesgos relacionados con la misma se mantienen vigilados y gestionados correcta y oportunamente.  El reglamento debería incluir al menos:</w:t>
            </w:r>
          </w:p>
          <w:p w:rsidR="00233205" w:rsidRPr="00B36377" w:rsidRDefault="00233205" w:rsidP="00E30BEC">
            <w:pPr>
              <w:pStyle w:val="ListParagraph"/>
              <w:rPr>
                <w:sz w:val="18"/>
                <w:szCs w:val="18"/>
              </w:rPr>
            </w:pPr>
          </w:p>
          <w:p w:rsidR="00233205" w:rsidRPr="00B36377" w:rsidRDefault="00233205" w:rsidP="00233205">
            <w:pPr>
              <w:pStyle w:val="NoSpacing"/>
              <w:numPr>
                <w:ilvl w:val="0"/>
                <w:numId w:val="69"/>
              </w:numPr>
              <w:rPr>
                <w:sz w:val="18"/>
                <w:szCs w:val="18"/>
                <w:lang w:val="es-ES_tradnl"/>
              </w:rPr>
            </w:pPr>
            <w:r w:rsidRPr="00B36377">
              <w:rPr>
                <w:sz w:val="18"/>
                <w:szCs w:val="18"/>
                <w:lang w:val="es-ES_tradnl"/>
              </w:rPr>
              <w:t>Los responsables de su  administración</w:t>
            </w:r>
          </w:p>
          <w:p w:rsidR="00233205" w:rsidRPr="00B36377" w:rsidRDefault="00233205" w:rsidP="00233205">
            <w:pPr>
              <w:pStyle w:val="NoSpacing"/>
              <w:numPr>
                <w:ilvl w:val="0"/>
                <w:numId w:val="69"/>
              </w:numPr>
              <w:rPr>
                <w:sz w:val="18"/>
                <w:szCs w:val="18"/>
                <w:lang w:val="es-ES_tradnl"/>
              </w:rPr>
            </w:pPr>
            <w:r w:rsidRPr="00B36377">
              <w:rPr>
                <w:sz w:val="18"/>
                <w:szCs w:val="18"/>
                <w:lang w:val="es-ES_tradnl"/>
              </w:rPr>
              <w:t>Las actividades de inducción y  socialización</w:t>
            </w:r>
          </w:p>
          <w:p w:rsidR="00233205" w:rsidRPr="00B36377" w:rsidRDefault="00233205" w:rsidP="00233205">
            <w:pPr>
              <w:pStyle w:val="NoSpacing"/>
              <w:numPr>
                <w:ilvl w:val="0"/>
                <w:numId w:val="69"/>
              </w:numPr>
              <w:rPr>
                <w:sz w:val="18"/>
                <w:szCs w:val="18"/>
                <w:lang w:val="es-ES_tradnl"/>
              </w:rPr>
            </w:pPr>
            <w:r w:rsidRPr="00B36377">
              <w:rPr>
                <w:sz w:val="18"/>
                <w:szCs w:val="18"/>
                <w:lang w:val="es-ES_tradnl"/>
              </w:rPr>
              <w:t>Las declaraciones anuales por parte de todos los funcionarios en las que confirmen que: (i) Lo conoce y entienden, (ii) Cumplen con todas las normas establecidas en él, (iii) No se encuentran inmersos en conflictos de interés, (iv) En su defecto, revelan las excepciones.</w:t>
            </w:r>
          </w:p>
          <w:p w:rsidR="00233205" w:rsidRPr="00B36377" w:rsidRDefault="00233205" w:rsidP="00233205">
            <w:pPr>
              <w:pStyle w:val="NoSpacing"/>
              <w:numPr>
                <w:ilvl w:val="0"/>
                <w:numId w:val="69"/>
              </w:numPr>
              <w:rPr>
                <w:sz w:val="18"/>
                <w:szCs w:val="18"/>
                <w:lang w:val="es-ES_tradnl"/>
              </w:rPr>
            </w:pPr>
            <w:r w:rsidRPr="00B36377">
              <w:rPr>
                <w:sz w:val="18"/>
                <w:szCs w:val="18"/>
                <w:lang w:val="es-ES_tradnl"/>
              </w:rPr>
              <w:t>Los procedimientos o equivalentes para su aplicación y actualización, mediante un mecanismo plural de análisis (Comité de ética).</w:t>
            </w:r>
          </w:p>
          <w:p w:rsidR="00233205" w:rsidRPr="00B36377" w:rsidRDefault="00233205" w:rsidP="00233205">
            <w:pPr>
              <w:pStyle w:val="NoSpacing"/>
              <w:numPr>
                <w:ilvl w:val="0"/>
                <w:numId w:val="69"/>
              </w:numPr>
              <w:rPr>
                <w:sz w:val="18"/>
                <w:szCs w:val="18"/>
                <w:lang w:val="es-ES_tradnl"/>
              </w:rPr>
            </w:pPr>
            <w:r w:rsidRPr="00B36377">
              <w:rPr>
                <w:sz w:val="18"/>
                <w:szCs w:val="18"/>
                <w:lang w:val="es-ES_tradnl"/>
              </w:rPr>
              <w:t>La responsabilidad de emitir informes periódicos sobre la aplicación y otros aspectos importantes relacionados con el CE-CGRC, de libre acceso al público.</w:t>
            </w:r>
          </w:p>
          <w:p w:rsidR="00233205" w:rsidRPr="00B36377" w:rsidRDefault="00233205" w:rsidP="00233205">
            <w:pPr>
              <w:pStyle w:val="NoSpacing"/>
              <w:numPr>
                <w:ilvl w:val="0"/>
                <w:numId w:val="69"/>
              </w:numPr>
              <w:rPr>
                <w:sz w:val="18"/>
                <w:szCs w:val="18"/>
                <w:lang w:val="es-ES_tradnl"/>
              </w:rPr>
            </w:pPr>
            <w:r w:rsidRPr="00B36377">
              <w:rPr>
                <w:sz w:val="18"/>
                <w:szCs w:val="18"/>
                <w:lang w:val="es-ES_tradnl"/>
              </w:rPr>
              <w:t>El uso y divulgación de los incumplimientos como lecciones aprendidas.</w:t>
            </w:r>
          </w:p>
          <w:p w:rsidR="00233205" w:rsidRPr="00B36377" w:rsidRDefault="00233205" w:rsidP="00233205">
            <w:pPr>
              <w:pStyle w:val="NoSpacing"/>
              <w:numPr>
                <w:ilvl w:val="0"/>
                <w:numId w:val="69"/>
              </w:numPr>
              <w:rPr>
                <w:sz w:val="18"/>
                <w:szCs w:val="18"/>
                <w:lang w:val="es-ES_tradnl"/>
              </w:rPr>
            </w:pPr>
            <w:r w:rsidRPr="00B36377">
              <w:rPr>
                <w:sz w:val="18"/>
                <w:szCs w:val="18"/>
                <w:lang w:val="es-ES_tradnl"/>
              </w:rPr>
              <w:t>El uso de las lecciones aprendidas como insumo para enriquecimiento del CE-CGRC y de su reglamento.</w:t>
            </w:r>
          </w:p>
          <w:p w:rsidR="00233205" w:rsidRPr="00B36377" w:rsidRDefault="00233205" w:rsidP="00E30BEC">
            <w:pPr>
              <w:pStyle w:val="NoSpacing"/>
              <w:ind w:left="579"/>
              <w:rPr>
                <w:sz w:val="18"/>
                <w:szCs w:val="18"/>
                <w:lang w:val="es-ES_tradnl"/>
              </w:rPr>
            </w:pPr>
          </w:p>
        </w:tc>
        <w:tc>
          <w:tcPr>
            <w:tcW w:w="777" w:type="pct"/>
          </w:tcPr>
          <w:p w:rsidR="00233205" w:rsidRPr="00B36377" w:rsidRDefault="00233205" w:rsidP="00233205">
            <w:pPr>
              <w:pStyle w:val="NoSpacing"/>
              <w:numPr>
                <w:ilvl w:val="0"/>
                <w:numId w:val="70"/>
              </w:numPr>
              <w:ind w:left="223" w:hanging="223"/>
              <w:rPr>
                <w:sz w:val="18"/>
                <w:szCs w:val="18"/>
                <w:lang w:val="es-ES_tradnl"/>
              </w:rPr>
            </w:pPr>
            <w:r w:rsidRPr="00B36377">
              <w:rPr>
                <w:sz w:val="18"/>
                <w:szCs w:val="18"/>
                <w:lang w:val="es-ES_tradnl"/>
              </w:rPr>
              <w:lastRenderedPageBreak/>
              <w:t>La política de ética e integridad es consistente con la norma internacional ISSAI 30</w:t>
            </w:r>
          </w:p>
          <w:p w:rsidR="00233205" w:rsidRPr="00B36377" w:rsidRDefault="00233205" w:rsidP="00233205">
            <w:pPr>
              <w:pStyle w:val="NoSpacing"/>
              <w:numPr>
                <w:ilvl w:val="0"/>
                <w:numId w:val="70"/>
              </w:numPr>
              <w:ind w:left="223" w:hanging="223"/>
              <w:rPr>
                <w:sz w:val="18"/>
                <w:szCs w:val="18"/>
                <w:lang w:val="es-ES_tradnl"/>
              </w:rPr>
            </w:pPr>
            <w:r w:rsidRPr="00B36377">
              <w:rPr>
                <w:sz w:val="18"/>
                <w:szCs w:val="18"/>
                <w:lang w:val="es-ES_tradnl"/>
              </w:rPr>
              <w:t>El CE-CGRC  se convierte en un instrumento eficaz para gobernar los aspectos de presunta conducta irregular y disuade las infracciones al mismo.</w:t>
            </w:r>
          </w:p>
          <w:p w:rsidR="00233205" w:rsidRPr="00B36377" w:rsidRDefault="00233205" w:rsidP="00233205">
            <w:pPr>
              <w:pStyle w:val="NoSpacing"/>
              <w:numPr>
                <w:ilvl w:val="0"/>
                <w:numId w:val="70"/>
              </w:numPr>
              <w:ind w:left="223" w:hanging="223"/>
              <w:rPr>
                <w:sz w:val="18"/>
                <w:szCs w:val="18"/>
                <w:lang w:val="es-ES_tradnl"/>
              </w:rPr>
            </w:pPr>
            <w:r w:rsidRPr="00B36377">
              <w:rPr>
                <w:sz w:val="18"/>
                <w:szCs w:val="18"/>
                <w:lang w:val="es-ES_tradnl"/>
              </w:rPr>
              <w:t xml:space="preserve">Preservar la calidad </w:t>
            </w:r>
            <w:r w:rsidRPr="00B36377">
              <w:rPr>
                <w:sz w:val="18"/>
                <w:szCs w:val="18"/>
                <w:lang w:val="es-ES_tradnl"/>
              </w:rPr>
              <w:lastRenderedPageBreak/>
              <w:t>del control externo fundamentado en la independencia, el debido cuidado y las acciones honestas y transparentes</w:t>
            </w:r>
          </w:p>
          <w:p w:rsidR="00233205" w:rsidRPr="00B36377" w:rsidRDefault="00233205" w:rsidP="00233205">
            <w:pPr>
              <w:pStyle w:val="NoSpacing"/>
              <w:numPr>
                <w:ilvl w:val="0"/>
                <w:numId w:val="70"/>
              </w:numPr>
              <w:ind w:left="223" w:hanging="223"/>
              <w:rPr>
                <w:sz w:val="18"/>
                <w:szCs w:val="18"/>
                <w:lang w:val="es-ES_tradnl"/>
              </w:rPr>
            </w:pPr>
            <w:r w:rsidRPr="00B36377">
              <w:rPr>
                <w:sz w:val="18"/>
                <w:szCs w:val="18"/>
                <w:lang w:val="es-ES_tradnl"/>
              </w:rPr>
              <w:t>Fortalecimiento de la imagen de la CGRC, de tal modo que con su ejemplo, traslade un poderoso mensaje al sector público de lo que es una política de ética e integridad en acción.</w:t>
            </w:r>
          </w:p>
          <w:p w:rsidR="00233205" w:rsidRPr="00B36377" w:rsidRDefault="00233205" w:rsidP="00233205">
            <w:pPr>
              <w:pStyle w:val="NoSpacing"/>
              <w:numPr>
                <w:ilvl w:val="0"/>
                <w:numId w:val="70"/>
              </w:numPr>
              <w:ind w:left="223" w:hanging="223"/>
              <w:rPr>
                <w:sz w:val="18"/>
                <w:szCs w:val="18"/>
                <w:lang w:val="es-ES_tradnl"/>
              </w:rPr>
            </w:pPr>
            <w:r w:rsidRPr="00B36377">
              <w:rPr>
                <w:sz w:val="18"/>
                <w:szCs w:val="18"/>
                <w:lang w:val="es-ES_tradnl"/>
              </w:rPr>
              <w:t>El CE-CGRC se mantiene actualizado y capitaliza las lecciones aprendidas del comportamiento en el control externo.</w:t>
            </w:r>
          </w:p>
          <w:p w:rsidR="00233205" w:rsidRPr="00B36377" w:rsidRDefault="00233205" w:rsidP="00E30BEC">
            <w:pPr>
              <w:pStyle w:val="NoSpacing"/>
              <w:rPr>
                <w:rFonts w:eastAsia="Calibri" w:cs="Arial"/>
                <w:sz w:val="18"/>
                <w:szCs w:val="18"/>
                <w:lang w:val="es-ES_tradnl"/>
              </w:rPr>
            </w:pPr>
          </w:p>
        </w:tc>
        <w:tc>
          <w:tcPr>
            <w:tcW w:w="517" w:type="pct"/>
          </w:tcPr>
          <w:p w:rsidR="00233205" w:rsidRPr="00B36377" w:rsidRDefault="00233205" w:rsidP="00E30BEC">
            <w:pPr>
              <w:pStyle w:val="NoSpacing"/>
              <w:rPr>
                <w:rFonts w:eastAsia="Calibri" w:cs="Arial"/>
                <w:b/>
                <w:bCs/>
                <w:i/>
                <w:iCs/>
                <w:color w:val="404040" w:themeColor="text1" w:themeTint="BF"/>
                <w:sz w:val="18"/>
                <w:szCs w:val="18"/>
                <w:lang w:val="es-ES_tradnl"/>
              </w:rPr>
            </w:pPr>
            <w:r w:rsidRPr="00B36377">
              <w:rPr>
                <w:sz w:val="18"/>
                <w:szCs w:val="18"/>
                <w:lang w:val="es-ES_tradnl"/>
              </w:rPr>
              <w:lastRenderedPageBreak/>
              <w:t>Talento Humano y Oficina de Control Disciplinario</w:t>
            </w:r>
          </w:p>
        </w:tc>
        <w:tc>
          <w:tcPr>
            <w:tcW w:w="465" w:type="pct"/>
          </w:tcPr>
          <w:p w:rsidR="00233205" w:rsidRPr="00B36377" w:rsidRDefault="00233205" w:rsidP="00E30BEC">
            <w:pPr>
              <w:pStyle w:val="NoSpacing"/>
              <w:rPr>
                <w:rFonts w:eastAsia="Calibri" w:cs="Arial"/>
                <w:b/>
                <w:bCs/>
                <w:i/>
                <w:iCs/>
                <w:color w:val="404040" w:themeColor="text1" w:themeTint="BF"/>
                <w:sz w:val="18"/>
                <w:szCs w:val="18"/>
                <w:lang w:val="es-ES_tradnl"/>
              </w:rPr>
            </w:pPr>
            <w:r w:rsidRPr="00B36377">
              <w:rPr>
                <w:sz w:val="18"/>
                <w:szCs w:val="18"/>
                <w:lang w:val="es-ES_tradnl"/>
              </w:rPr>
              <w:t>1er. semestre de 2016</w:t>
            </w:r>
          </w:p>
        </w:tc>
        <w:tc>
          <w:tcPr>
            <w:tcW w:w="579" w:type="pct"/>
          </w:tcPr>
          <w:p w:rsidR="00233205" w:rsidRPr="00B36377" w:rsidRDefault="00233205" w:rsidP="00E30BEC">
            <w:pPr>
              <w:pStyle w:val="NoSpacing"/>
              <w:rPr>
                <w:rFonts w:cstheme="majorBidi"/>
                <w:b/>
                <w:bCs/>
                <w:i/>
                <w:iCs/>
                <w:color w:val="404040" w:themeColor="text1" w:themeTint="BF"/>
                <w:sz w:val="18"/>
                <w:szCs w:val="18"/>
                <w:lang w:val="es-ES_tradnl"/>
              </w:rPr>
            </w:pPr>
            <w:r w:rsidRPr="00B36377">
              <w:rPr>
                <w:sz w:val="18"/>
                <w:szCs w:val="18"/>
                <w:lang w:val="es-ES_tradnl"/>
              </w:rPr>
              <w:t>Informe consistencia CE-CGRC frente a  ISSAI 30</w:t>
            </w:r>
          </w:p>
          <w:p w:rsidR="00233205" w:rsidRPr="00B36377" w:rsidRDefault="00233205" w:rsidP="00E30BEC">
            <w:pPr>
              <w:pStyle w:val="NoSpacing"/>
              <w:rPr>
                <w:rFonts w:eastAsia="Calibri" w:cs="Arial"/>
                <w:sz w:val="18"/>
                <w:szCs w:val="18"/>
                <w:lang w:val="es-ES_tradnl"/>
              </w:rPr>
            </w:pPr>
          </w:p>
          <w:p w:rsidR="00233205" w:rsidRPr="00B36377" w:rsidRDefault="00233205" w:rsidP="00E30BEC">
            <w:pPr>
              <w:pStyle w:val="NoSpacing"/>
              <w:rPr>
                <w:rFonts w:cstheme="majorBidi"/>
                <w:b/>
                <w:bCs/>
                <w:i/>
                <w:iCs/>
                <w:color w:val="404040" w:themeColor="text1" w:themeTint="BF"/>
                <w:sz w:val="18"/>
                <w:szCs w:val="18"/>
                <w:lang w:val="es-ES_tradnl"/>
              </w:rPr>
            </w:pPr>
            <w:r w:rsidRPr="00B36377">
              <w:rPr>
                <w:sz w:val="18"/>
                <w:szCs w:val="18"/>
                <w:lang w:val="es-ES_tradnl"/>
              </w:rPr>
              <w:t>CE-CGRC actualizado</w:t>
            </w:r>
          </w:p>
          <w:p w:rsidR="00233205" w:rsidRPr="00B36377" w:rsidRDefault="00233205" w:rsidP="00E30BEC">
            <w:pPr>
              <w:pStyle w:val="NoSpacing"/>
              <w:rPr>
                <w:sz w:val="18"/>
                <w:szCs w:val="18"/>
                <w:lang w:val="es-ES_tradnl"/>
              </w:rPr>
            </w:pPr>
          </w:p>
          <w:p w:rsidR="00233205" w:rsidRPr="00B36377" w:rsidRDefault="00233205" w:rsidP="00E30BEC">
            <w:pPr>
              <w:pStyle w:val="NoSpacing"/>
              <w:rPr>
                <w:rFonts w:eastAsia="Calibri" w:cs="Arial"/>
                <w:b/>
                <w:bCs/>
                <w:i/>
                <w:iCs/>
                <w:color w:val="404040" w:themeColor="text1" w:themeTint="BF"/>
                <w:sz w:val="18"/>
                <w:szCs w:val="18"/>
                <w:lang w:val="es-ES_tradnl"/>
              </w:rPr>
            </w:pPr>
            <w:r w:rsidRPr="00B36377">
              <w:rPr>
                <w:sz w:val="18"/>
                <w:szCs w:val="18"/>
                <w:lang w:val="es-ES_tradnl"/>
              </w:rPr>
              <w:t>Reglamento para el CE-CGRC</w:t>
            </w:r>
          </w:p>
        </w:tc>
      </w:tr>
      <w:tr w:rsidR="00233205" w:rsidRPr="00B36377" w:rsidTr="00E30BEC">
        <w:trPr>
          <w:jc w:val="center"/>
        </w:trPr>
        <w:tc>
          <w:tcPr>
            <w:tcW w:w="177" w:type="pct"/>
          </w:tcPr>
          <w:p w:rsidR="00233205" w:rsidRPr="00B36377" w:rsidRDefault="00233205" w:rsidP="00E30BEC">
            <w:pPr>
              <w:pStyle w:val="NoSpacing"/>
              <w:jc w:val="center"/>
              <w:rPr>
                <w:rFonts w:cstheme="majorBidi"/>
                <w:b/>
                <w:bCs/>
                <w:i/>
                <w:iCs/>
                <w:color w:val="404040" w:themeColor="text1" w:themeTint="BF"/>
                <w:sz w:val="18"/>
                <w:szCs w:val="18"/>
                <w:lang w:val="es-ES_tradnl"/>
              </w:rPr>
            </w:pPr>
            <w:r w:rsidRPr="00B36377">
              <w:rPr>
                <w:sz w:val="18"/>
                <w:szCs w:val="18"/>
                <w:lang w:val="es-ES_tradnl"/>
              </w:rPr>
              <w:lastRenderedPageBreak/>
              <w:t>17</w:t>
            </w:r>
          </w:p>
        </w:tc>
        <w:tc>
          <w:tcPr>
            <w:tcW w:w="362" w:type="pct"/>
          </w:tcPr>
          <w:p w:rsidR="00233205" w:rsidRPr="00B36377" w:rsidRDefault="00233205" w:rsidP="00E30BEC">
            <w:pPr>
              <w:pStyle w:val="NoSpacing"/>
              <w:jc w:val="center"/>
              <w:rPr>
                <w:rFonts w:cstheme="majorBidi"/>
                <w:b/>
                <w:bCs/>
                <w:i/>
                <w:iCs/>
                <w:color w:val="404040" w:themeColor="text1" w:themeTint="BF"/>
                <w:sz w:val="18"/>
                <w:szCs w:val="18"/>
                <w:lang w:val="es-ES_tradnl"/>
              </w:rPr>
            </w:pPr>
            <w:r w:rsidRPr="00B36377">
              <w:rPr>
                <w:sz w:val="18"/>
                <w:szCs w:val="18"/>
                <w:lang w:val="es-ES_tradnl"/>
              </w:rPr>
              <w:t>EFS-18 (ii) d)</w:t>
            </w:r>
          </w:p>
        </w:tc>
        <w:tc>
          <w:tcPr>
            <w:tcW w:w="777" w:type="pct"/>
          </w:tcPr>
          <w:p w:rsidR="00233205" w:rsidRPr="00B36377" w:rsidRDefault="00233205" w:rsidP="00E30BEC">
            <w:pPr>
              <w:pStyle w:val="NoSpacing"/>
              <w:rPr>
                <w:rFonts w:eastAsia="Calibri" w:cs="Arial"/>
                <w:sz w:val="18"/>
                <w:szCs w:val="18"/>
                <w:lang w:val="es-ES_tradnl"/>
              </w:rPr>
            </w:pPr>
            <w:r w:rsidRPr="00B36377">
              <w:rPr>
                <w:color w:val="000000"/>
                <w:sz w:val="18"/>
                <w:szCs w:val="18"/>
                <w:lang w:val="es-ES_tradnl"/>
              </w:rPr>
              <w:t>No se dispone de una política formal de rotación del personal, salvo por las acciones realizadas  por los Contralores Delegados para gestionar posibles conflictos de interés.</w:t>
            </w:r>
          </w:p>
        </w:tc>
        <w:tc>
          <w:tcPr>
            <w:tcW w:w="1346" w:type="pct"/>
          </w:tcPr>
          <w:p w:rsidR="00233205" w:rsidRPr="00B36377" w:rsidRDefault="00233205" w:rsidP="00E30BEC">
            <w:pPr>
              <w:pStyle w:val="NoSpacing"/>
              <w:rPr>
                <w:sz w:val="18"/>
                <w:szCs w:val="18"/>
                <w:lang w:val="es-ES_tradnl"/>
              </w:rPr>
            </w:pPr>
            <w:r w:rsidRPr="00B36377">
              <w:rPr>
                <w:sz w:val="18"/>
                <w:szCs w:val="18"/>
                <w:lang w:val="es-ES_tradnl"/>
              </w:rPr>
              <w:t>Diseñar e implementar una política formal sobre rotación del personal.  La política debe establecer el tiempo máximo de asignación (rotación obligatoria) de una persona dentro de un  equipo de auditoría asignado a una entidad sujeta al  control externo. Si bien es valioso y necesario que los Contralores Delegados intervengan, el proceso de designación debe ser validado por una fuente externa a las áreas misionales.</w:t>
            </w:r>
          </w:p>
          <w:p w:rsidR="00233205" w:rsidRPr="00B36377" w:rsidRDefault="00233205" w:rsidP="00E30BEC">
            <w:pPr>
              <w:pStyle w:val="NoSpacing"/>
              <w:rPr>
                <w:rFonts w:eastAsia="Calibri" w:cs="Arial"/>
                <w:sz w:val="18"/>
                <w:szCs w:val="18"/>
                <w:lang w:val="es-ES_tradnl"/>
              </w:rPr>
            </w:pPr>
          </w:p>
        </w:tc>
        <w:tc>
          <w:tcPr>
            <w:tcW w:w="777" w:type="pct"/>
          </w:tcPr>
          <w:p w:rsidR="00233205" w:rsidRPr="00B36377" w:rsidRDefault="00233205" w:rsidP="00E30BEC">
            <w:pPr>
              <w:pStyle w:val="NoSpacing"/>
              <w:rPr>
                <w:sz w:val="18"/>
                <w:szCs w:val="18"/>
                <w:lang w:val="es-ES_tradnl"/>
              </w:rPr>
            </w:pPr>
            <w:r w:rsidRPr="00B36377">
              <w:rPr>
                <w:sz w:val="18"/>
                <w:szCs w:val="18"/>
                <w:lang w:val="es-ES_tradnl"/>
              </w:rPr>
              <w:t>Se previenen</w:t>
            </w:r>
          </w:p>
          <w:p w:rsidR="00233205" w:rsidRPr="00B36377" w:rsidRDefault="00233205" w:rsidP="00E30BEC">
            <w:pPr>
              <w:pStyle w:val="NoSpacing"/>
              <w:rPr>
                <w:sz w:val="18"/>
                <w:szCs w:val="18"/>
                <w:lang w:val="es-ES_tradnl"/>
              </w:rPr>
            </w:pPr>
            <w:r w:rsidRPr="00B36377">
              <w:rPr>
                <w:sz w:val="18"/>
                <w:szCs w:val="18"/>
                <w:lang w:val="es-ES_tradnl"/>
              </w:rPr>
              <w:t>conflictos de interés</w:t>
            </w:r>
          </w:p>
          <w:p w:rsidR="00233205" w:rsidRPr="00B36377" w:rsidRDefault="00233205" w:rsidP="00E30BEC">
            <w:pPr>
              <w:pStyle w:val="NoSpacing"/>
              <w:rPr>
                <w:sz w:val="18"/>
                <w:szCs w:val="18"/>
                <w:lang w:val="es-ES_tradnl"/>
              </w:rPr>
            </w:pPr>
            <w:r w:rsidRPr="00B36377">
              <w:rPr>
                <w:sz w:val="18"/>
                <w:szCs w:val="18"/>
                <w:lang w:val="es-ES_tradnl"/>
              </w:rPr>
              <w:t>Se promueve la aplicación de experiencias adquiridas en diversos objetos sociales de las entidades dentro del ámbito</w:t>
            </w:r>
          </w:p>
          <w:p w:rsidR="00233205" w:rsidRPr="00B36377" w:rsidRDefault="00233205" w:rsidP="00E30BEC">
            <w:pPr>
              <w:pStyle w:val="NoSpacing"/>
              <w:rPr>
                <w:rFonts w:eastAsia="Calibri" w:cs="Arial"/>
                <w:sz w:val="18"/>
                <w:szCs w:val="18"/>
                <w:lang w:val="es-ES_tradnl"/>
              </w:rPr>
            </w:pPr>
          </w:p>
        </w:tc>
        <w:tc>
          <w:tcPr>
            <w:tcW w:w="517" w:type="pct"/>
          </w:tcPr>
          <w:p w:rsidR="00233205" w:rsidRPr="00B36377" w:rsidRDefault="00233205" w:rsidP="00E30BEC">
            <w:pPr>
              <w:pStyle w:val="NoSpacing"/>
              <w:rPr>
                <w:rFonts w:eastAsia="Calibri" w:cs="Arial"/>
                <w:b/>
                <w:bCs/>
                <w:i/>
                <w:iCs/>
                <w:color w:val="404040" w:themeColor="text1" w:themeTint="BF"/>
                <w:sz w:val="18"/>
                <w:szCs w:val="18"/>
                <w:lang w:val="es-ES_tradnl"/>
              </w:rPr>
            </w:pPr>
            <w:r w:rsidRPr="00B36377">
              <w:rPr>
                <w:sz w:val="18"/>
                <w:szCs w:val="18"/>
                <w:lang w:val="es-ES_tradnl"/>
              </w:rPr>
              <w:t>Talento Humano</w:t>
            </w:r>
          </w:p>
        </w:tc>
        <w:tc>
          <w:tcPr>
            <w:tcW w:w="465" w:type="pct"/>
          </w:tcPr>
          <w:p w:rsidR="00233205" w:rsidRPr="00B36377" w:rsidRDefault="00233205" w:rsidP="00E30BEC">
            <w:pPr>
              <w:pStyle w:val="NoSpacing"/>
              <w:rPr>
                <w:rFonts w:eastAsia="Calibri" w:cs="Arial"/>
                <w:b/>
                <w:bCs/>
                <w:i/>
                <w:iCs/>
                <w:color w:val="404040" w:themeColor="text1" w:themeTint="BF"/>
                <w:sz w:val="18"/>
                <w:szCs w:val="18"/>
                <w:lang w:val="es-ES_tradnl"/>
              </w:rPr>
            </w:pPr>
            <w:r w:rsidRPr="00B36377">
              <w:rPr>
                <w:sz w:val="18"/>
                <w:szCs w:val="18"/>
                <w:lang w:val="es-ES_tradnl"/>
              </w:rPr>
              <w:t>2do. semestre de 2016</w:t>
            </w:r>
          </w:p>
        </w:tc>
        <w:tc>
          <w:tcPr>
            <w:tcW w:w="579" w:type="pct"/>
          </w:tcPr>
          <w:p w:rsidR="00233205" w:rsidRPr="00B36377" w:rsidRDefault="00233205" w:rsidP="00E30BEC">
            <w:pPr>
              <w:pStyle w:val="NoSpacing"/>
              <w:rPr>
                <w:rFonts w:eastAsia="Calibri" w:cs="Arial"/>
                <w:b/>
                <w:bCs/>
                <w:i/>
                <w:iCs/>
                <w:color w:val="404040" w:themeColor="text1" w:themeTint="BF"/>
                <w:sz w:val="18"/>
                <w:szCs w:val="18"/>
                <w:lang w:val="es-ES_tradnl"/>
              </w:rPr>
            </w:pPr>
            <w:r w:rsidRPr="00B36377">
              <w:rPr>
                <w:sz w:val="18"/>
                <w:szCs w:val="18"/>
                <w:lang w:val="es-ES_tradnl"/>
              </w:rPr>
              <w:t>Política de rotación del personal formalizada</w:t>
            </w:r>
          </w:p>
        </w:tc>
      </w:tr>
      <w:tr w:rsidR="00233205" w:rsidRPr="00B36377" w:rsidTr="00E30BEC">
        <w:trPr>
          <w:jc w:val="center"/>
        </w:trPr>
        <w:tc>
          <w:tcPr>
            <w:tcW w:w="177" w:type="pct"/>
          </w:tcPr>
          <w:p w:rsidR="00233205" w:rsidRPr="00B36377" w:rsidRDefault="00233205" w:rsidP="00E30BEC">
            <w:pPr>
              <w:pStyle w:val="NoSpacing"/>
              <w:jc w:val="center"/>
              <w:rPr>
                <w:rFonts w:cstheme="majorBidi"/>
                <w:b/>
                <w:bCs/>
                <w:i/>
                <w:iCs/>
                <w:color w:val="404040" w:themeColor="text1" w:themeTint="BF"/>
                <w:sz w:val="18"/>
                <w:szCs w:val="18"/>
                <w:lang w:val="es-ES_tradnl"/>
              </w:rPr>
            </w:pPr>
            <w:r w:rsidRPr="00B36377">
              <w:rPr>
                <w:sz w:val="18"/>
                <w:szCs w:val="18"/>
                <w:lang w:val="es-ES_tradnl"/>
              </w:rPr>
              <w:t>18</w:t>
            </w:r>
          </w:p>
        </w:tc>
        <w:tc>
          <w:tcPr>
            <w:tcW w:w="362" w:type="pct"/>
          </w:tcPr>
          <w:p w:rsidR="00233205" w:rsidRPr="00B36377" w:rsidRDefault="00233205" w:rsidP="00E30BEC">
            <w:pPr>
              <w:pStyle w:val="NoSpacing"/>
              <w:jc w:val="center"/>
              <w:rPr>
                <w:rFonts w:cstheme="majorBidi"/>
                <w:b/>
                <w:bCs/>
                <w:i/>
                <w:iCs/>
                <w:color w:val="404040" w:themeColor="text1" w:themeTint="BF"/>
                <w:sz w:val="18"/>
                <w:szCs w:val="18"/>
                <w:lang w:val="es-ES_tradnl"/>
              </w:rPr>
            </w:pPr>
            <w:r w:rsidRPr="00B36377">
              <w:rPr>
                <w:sz w:val="18"/>
                <w:szCs w:val="18"/>
                <w:lang w:val="es-ES_tradnl"/>
              </w:rPr>
              <w:t>EFS-18 (ii) e), f)</w:t>
            </w:r>
          </w:p>
        </w:tc>
        <w:tc>
          <w:tcPr>
            <w:tcW w:w="777" w:type="pct"/>
          </w:tcPr>
          <w:p w:rsidR="00233205" w:rsidRPr="00B36377" w:rsidRDefault="00233205" w:rsidP="00E30BEC">
            <w:pPr>
              <w:pStyle w:val="NoSpacing"/>
              <w:rPr>
                <w:color w:val="000000"/>
                <w:sz w:val="18"/>
                <w:szCs w:val="18"/>
                <w:lang w:val="es-ES_tradnl"/>
              </w:rPr>
            </w:pPr>
            <w:r w:rsidRPr="00B36377">
              <w:rPr>
                <w:color w:val="000000"/>
                <w:sz w:val="18"/>
                <w:szCs w:val="18"/>
                <w:lang w:val="es-ES_tradnl"/>
              </w:rPr>
              <w:t>Los sistemas utilizados para el registro del tiempo aplicado por el personal (SICA y HDA)  no son alimentados en tiempo real, ni han sido sometidos a control de calidad para establecer la confiabilidad de los registros, las   circunstancias que limitan su funcionalidad para la toma de decisiones.  Adicionalmente,  los sistemas actuales no permiten obtener información sobre los costos asociados a las actividades.</w:t>
            </w:r>
          </w:p>
          <w:p w:rsidR="00233205" w:rsidRPr="00B36377" w:rsidRDefault="00233205" w:rsidP="00E30BEC">
            <w:pPr>
              <w:pStyle w:val="NoSpacing"/>
              <w:rPr>
                <w:rFonts w:eastAsia="Calibri" w:cs="Arial"/>
                <w:sz w:val="18"/>
                <w:szCs w:val="18"/>
                <w:lang w:val="es-ES_tradnl"/>
              </w:rPr>
            </w:pPr>
          </w:p>
        </w:tc>
        <w:tc>
          <w:tcPr>
            <w:tcW w:w="1346" w:type="pct"/>
          </w:tcPr>
          <w:p w:rsidR="00233205" w:rsidRPr="00B36377" w:rsidRDefault="00233205" w:rsidP="00E30BEC">
            <w:pPr>
              <w:pStyle w:val="NoSpacing"/>
              <w:rPr>
                <w:sz w:val="18"/>
                <w:szCs w:val="18"/>
                <w:lang w:val="es-ES_tradnl"/>
              </w:rPr>
            </w:pPr>
            <w:r w:rsidRPr="00B36377">
              <w:rPr>
                <w:sz w:val="18"/>
                <w:szCs w:val="18"/>
                <w:lang w:val="es-ES_tradnl"/>
              </w:rPr>
              <w:t>Diseñar e implantar un sistema que permita:</w:t>
            </w:r>
          </w:p>
          <w:p w:rsidR="00233205" w:rsidRPr="00B36377" w:rsidRDefault="00233205" w:rsidP="00233205">
            <w:pPr>
              <w:pStyle w:val="NoSpacing"/>
              <w:numPr>
                <w:ilvl w:val="0"/>
                <w:numId w:val="71"/>
              </w:numPr>
              <w:rPr>
                <w:sz w:val="18"/>
                <w:szCs w:val="18"/>
                <w:lang w:val="es-ES_tradnl"/>
              </w:rPr>
            </w:pPr>
            <w:r w:rsidRPr="00B36377">
              <w:rPr>
                <w:sz w:val="18"/>
                <w:szCs w:val="18"/>
                <w:lang w:val="es-ES_tradnl"/>
              </w:rPr>
              <w:t>El registro diario del tiempo aplicado por el personal tanto en las áreas misionales como de soporte</w:t>
            </w:r>
          </w:p>
          <w:p w:rsidR="00233205" w:rsidRPr="00B36377" w:rsidRDefault="00233205" w:rsidP="00233205">
            <w:pPr>
              <w:pStyle w:val="NoSpacing"/>
              <w:numPr>
                <w:ilvl w:val="0"/>
                <w:numId w:val="71"/>
              </w:numPr>
              <w:rPr>
                <w:sz w:val="18"/>
                <w:szCs w:val="18"/>
                <w:lang w:val="es-ES_tradnl"/>
              </w:rPr>
            </w:pPr>
            <w:r w:rsidRPr="00B36377">
              <w:rPr>
                <w:sz w:val="18"/>
                <w:szCs w:val="18"/>
                <w:lang w:val="es-ES_tradnl"/>
              </w:rPr>
              <w:t>Conocer el costo asociado a cada macro proceso y proceso</w:t>
            </w:r>
          </w:p>
          <w:p w:rsidR="00233205" w:rsidRPr="00B36377" w:rsidRDefault="00233205" w:rsidP="00233205">
            <w:pPr>
              <w:pStyle w:val="NoSpacing"/>
              <w:numPr>
                <w:ilvl w:val="0"/>
                <w:numId w:val="71"/>
              </w:numPr>
              <w:rPr>
                <w:sz w:val="18"/>
                <w:szCs w:val="18"/>
                <w:lang w:val="es-ES_tradnl"/>
              </w:rPr>
            </w:pPr>
            <w:r w:rsidRPr="00B36377">
              <w:rPr>
                <w:sz w:val="18"/>
                <w:szCs w:val="18"/>
                <w:lang w:val="es-ES_tradnl"/>
              </w:rPr>
              <w:t>Establecer los costos por actividades</w:t>
            </w:r>
          </w:p>
          <w:p w:rsidR="00233205" w:rsidRPr="00B36377" w:rsidRDefault="00233205" w:rsidP="00233205">
            <w:pPr>
              <w:pStyle w:val="NoSpacing"/>
              <w:numPr>
                <w:ilvl w:val="0"/>
                <w:numId w:val="71"/>
              </w:numPr>
              <w:rPr>
                <w:sz w:val="18"/>
                <w:szCs w:val="18"/>
                <w:lang w:val="es-ES_tradnl"/>
              </w:rPr>
            </w:pPr>
            <w:r w:rsidRPr="00B36377">
              <w:rPr>
                <w:sz w:val="18"/>
                <w:szCs w:val="18"/>
                <w:lang w:val="es-ES_tradnl"/>
              </w:rPr>
              <w:t>Establecer una relación entre los costos y beneficios de cada actividad</w:t>
            </w:r>
          </w:p>
          <w:p w:rsidR="00233205" w:rsidRPr="00B36377" w:rsidRDefault="00233205" w:rsidP="00233205">
            <w:pPr>
              <w:pStyle w:val="NoSpacing"/>
              <w:numPr>
                <w:ilvl w:val="0"/>
                <w:numId w:val="71"/>
              </w:numPr>
              <w:rPr>
                <w:sz w:val="18"/>
                <w:szCs w:val="18"/>
                <w:lang w:val="es-ES_tradnl"/>
              </w:rPr>
            </w:pPr>
            <w:r w:rsidRPr="00B36377">
              <w:rPr>
                <w:sz w:val="18"/>
                <w:szCs w:val="18"/>
                <w:lang w:val="es-ES_tradnl"/>
              </w:rPr>
              <w:t>Emitir informes periódicos</w:t>
            </w:r>
          </w:p>
          <w:p w:rsidR="00233205" w:rsidRPr="00B36377" w:rsidRDefault="00233205" w:rsidP="00233205">
            <w:pPr>
              <w:pStyle w:val="NoSpacing"/>
              <w:numPr>
                <w:ilvl w:val="0"/>
                <w:numId w:val="71"/>
              </w:numPr>
              <w:rPr>
                <w:rFonts w:eastAsia="Calibri" w:cs="Arial"/>
                <w:sz w:val="18"/>
                <w:szCs w:val="18"/>
                <w:lang w:val="es-ES_tradnl"/>
              </w:rPr>
            </w:pPr>
            <w:r w:rsidRPr="00B36377">
              <w:rPr>
                <w:sz w:val="18"/>
                <w:szCs w:val="18"/>
                <w:lang w:val="es-ES_tradnl"/>
              </w:rPr>
              <w:t>Tomar acciones con base en los informes.</w:t>
            </w:r>
          </w:p>
        </w:tc>
        <w:tc>
          <w:tcPr>
            <w:tcW w:w="777" w:type="pct"/>
          </w:tcPr>
          <w:p w:rsidR="00233205" w:rsidRPr="00B36377" w:rsidRDefault="00233205" w:rsidP="00233205">
            <w:pPr>
              <w:pStyle w:val="NoSpacing"/>
              <w:numPr>
                <w:ilvl w:val="0"/>
                <w:numId w:val="72"/>
              </w:numPr>
              <w:ind w:left="223" w:hanging="223"/>
              <w:rPr>
                <w:sz w:val="18"/>
                <w:szCs w:val="18"/>
                <w:lang w:val="es-ES_tradnl"/>
              </w:rPr>
            </w:pPr>
            <w:r w:rsidRPr="00B36377">
              <w:rPr>
                <w:sz w:val="18"/>
                <w:szCs w:val="18"/>
                <w:lang w:val="es-ES_tradnl"/>
              </w:rPr>
              <w:t>Facilita la medición del desempeño de la CGRC y sus procesos misionales, generando oportunidades de ajustes para la optimización en el uso de sus recursos.</w:t>
            </w:r>
          </w:p>
          <w:p w:rsidR="00233205" w:rsidRPr="00B36377" w:rsidRDefault="00233205" w:rsidP="00233205">
            <w:pPr>
              <w:pStyle w:val="NoSpacing"/>
              <w:numPr>
                <w:ilvl w:val="0"/>
                <w:numId w:val="72"/>
              </w:numPr>
              <w:ind w:left="223" w:hanging="223"/>
              <w:rPr>
                <w:rFonts w:eastAsia="Calibri" w:cs="Arial"/>
                <w:sz w:val="18"/>
                <w:szCs w:val="18"/>
                <w:lang w:val="es-ES_tradnl"/>
              </w:rPr>
            </w:pPr>
            <w:r w:rsidRPr="00B36377">
              <w:rPr>
                <w:sz w:val="18"/>
                <w:szCs w:val="18"/>
                <w:lang w:val="es-ES_tradnl"/>
              </w:rPr>
              <w:t>Se puede medir la relación beneficio/costo de cada proceso de auditoría, hacer comparaciones y promover mayor eficiencia.</w:t>
            </w:r>
          </w:p>
        </w:tc>
        <w:tc>
          <w:tcPr>
            <w:tcW w:w="517" w:type="pct"/>
          </w:tcPr>
          <w:p w:rsidR="00233205" w:rsidRPr="00B36377" w:rsidRDefault="00233205" w:rsidP="00E30BEC">
            <w:pPr>
              <w:pStyle w:val="NoSpacing"/>
              <w:rPr>
                <w:rFonts w:cstheme="majorBidi"/>
                <w:b/>
                <w:bCs/>
                <w:color w:val="4F81BD" w:themeColor="accent1"/>
                <w:sz w:val="18"/>
                <w:szCs w:val="18"/>
                <w:lang w:val="es-ES_tradnl"/>
              </w:rPr>
            </w:pPr>
            <w:r w:rsidRPr="00B36377">
              <w:rPr>
                <w:sz w:val="18"/>
                <w:szCs w:val="18"/>
                <w:lang w:val="es-ES_tradnl"/>
              </w:rPr>
              <w:t>Oficina de Planeación</w:t>
            </w:r>
          </w:p>
          <w:p w:rsidR="00233205" w:rsidRPr="00B36377" w:rsidRDefault="00233205" w:rsidP="00E30BEC">
            <w:pPr>
              <w:pStyle w:val="NoSpacing"/>
              <w:rPr>
                <w:sz w:val="18"/>
                <w:szCs w:val="18"/>
                <w:lang w:val="es-ES_tradnl"/>
              </w:rPr>
            </w:pPr>
          </w:p>
          <w:p w:rsidR="00233205" w:rsidRPr="00B36377" w:rsidRDefault="00233205" w:rsidP="00E30BEC">
            <w:pPr>
              <w:pStyle w:val="NoSpacing"/>
              <w:rPr>
                <w:rFonts w:cstheme="majorBidi"/>
                <w:b/>
                <w:bCs/>
                <w:i/>
                <w:iCs/>
                <w:color w:val="404040" w:themeColor="text1" w:themeTint="BF"/>
                <w:sz w:val="18"/>
                <w:szCs w:val="18"/>
                <w:lang w:val="es-ES_tradnl"/>
              </w:rPr>
            </w:pPr>
            <w:r w:rsidRPr="00B36377">
              <w:rPr>
                <w:sz w:val="18"/>
                <w:szCs w:val="18"/>
                <w:lang w:val="es-ES_tradnl"/>
              </w:rPr>
              <w:t>Gerencia Administrativa y Financiera</w:t>
            </w:r>
          </w:p>
          <w:p w:rsidR="00233205" w:rsidRPr="00B36377" w:rsidRDefault="00233205" w:rsidP="00E30BEC">
            <w:pPr>
              <w:pStyle w:val="NoSpacing"/>
              <w:rPr>
                <w:sz w:val="18"/>
                <w:szCs w:val="18"/>
                <w:lang w:val="es-ES_tradnl"/>
              </w:rPr>
            </w:pPr>
          </w:p>
          <w:p w:rsidR="00233205" w:rsidRPr="00B36377" w:rsidRDefault="00233205" w:rsidP="00E30BEC">
            <w:pPr>
              <w:pStyle w:val="NoSpacing"/>
              <w:rPr>
                <w:rFonts w:eastAsia="Calibri" w:cs="Arial"/>
                <w:b/>
                <w:bCs/>
                <w:i/>
                <w:iCs/>
                <w:color w:val="404040" w:themeColor="text1" w:themeTint="BF"/>
                <w:sz w:val="18"/>
                <w:szCs w:val="18"/>
                <w:lang w:val="es-ES_tradnl"/>
              </w:rPr>
            </w:pPr>
            <w:r w:rsidRPr="00B36377">
              <w:rPr>
                <w:sz w:val="18"/>
                <w:szCs w:val="18"/>
                <w:lang w:val="es-ES_tradnl"/>
              </w:rPr>
              <w:t>Direcciones áreas misionales</w:t>
            </w:r>
          </w:p>
        </w:tc>
        <w:tc>
          <w:tcPr>
            <w:tcW w:w="465" w:type="pct"/>
          </w:tcPr>
          <w:p w:rsidR="00233205" w:rsidRPr="00B36377" w:rsidRDefault="00233205" w:rsidP="00E30BEC">
            <w:pPr>
              <w:pStyle w:val="NoSpacing"/>
              <w:rPr>
                <w:rFonts w:eastAsia="Calibri" w:cs="Arial"/>
                <w:b/>
                <w:bCs/>
                <w:i/>
                <w:iCs/>
                <w:color w:val="404040" w:themeColor="text1" w:themeTint="BF"/>
                <w:sz w:val="18"/>
                <w:szCs w:val="18"/>
                <w:lang w:val="es-ES_tradnl"/>
              </w:rPr>
            </w:pPr>
            <w:r w:rsidRPr="00B36377">
              <w:rPr>
                <w:sz w:val="18"/>
                <w:szCs w:val="18"/>
                <w:lang w:val="es-ES_tradnl"/>
              </w:rPr>
              <w:t>2do. semestre de 2016</w:t>
            </w:r>
          </w:p>
        </w:tc>
        <w:tc>
          <w:tcPr>
            <w:tcW w:w="579" w:type="pct"/>
          </w:tcPr>
          <w:p w:rsidR="00233205" w:rsidRPr="00B36377" w:rsidRDefault="00233205" w:rsidP="00E30BEC">
            <w:pPr>
              <w:pStyle w:val="NoSpacing"/>
              <w:rPr>
                <w:rFonts w:eastAsia="Calibri" w:cs="Arial"/>
                <w:b/>
                <w:bCs/>
                <w:i/>
                <w:iCs/>
                <w:color w:val="404040" w:themeColor="text1" w:themeTint="BF"/>
                <w:sz w:val="18"/>
                <w:szCs w:val="18"/>
                <w:lang w:val="es-ES_tradnl"/>
              </w:rPr>
            </w:pPr>
            <w:r w:rsidRPr="00B36377">
              <w:rPr>
                <w:sz w:val="18"/>
                <w:szCs w:val="18"/>
                <w:lang w:val="es-ES_tradnl"/>
              </w:rPr>
              <w:t>Sistema de diseñado e implantado</w:t>
            </w:r>
          </w:p>
        </w:tc>
      </w:tr>
      <w:tr w:rsidR="00233205" w:rsidRPr="00B36377" w:rsidTr="00E30BEC">
        <w:trPr>
          <w:jc w:val="center"/>
        </w:trPr>
        <w:tc>
          <w:tcPr>
            <w:tcW w:w="177" w:type="pct"/>
          </w:tcPr>
          <w:p w:rsidR="00233205" w:rsidRPr="00B36377" w:rsidRDefault="00233205" w:rsidP="00E30BEC">
            <w:pPr>
              <w:pStyle w:val="NoSpacing"/>
              <w:jc w:val="center"/>
              <w:rPr>
                <w:rFonts w:cstheme="majorBidi"/>
                <w:b/>
                <w:bCs/>
                <w:i/>
                <w:iCs/>
                <w:color w:val="404040" w:themeColor="text1" w:themeTint="BF"/>
                <w:sz w:val="18"/>
                <w:szCs w:val="18"/>
                <w:lang w:val="es-ES_tradnl"/>
              </w:rPr>
            </w:pPr>
            <w:r w:rsidRPr="00B36377">
              <w:rPr>
                <w:sz w:val="18"/>
                <w:szCs w:val="18"/>
                <w:lang w:val="es-ES_tradnl"/>
              </w:rPr>
              <w:t>19</w:t>
            </w:r>
          </w:p>
        </w:tc>
        <w:tc>
          <w:tcPr>
            <w:tcW w:w="362" w:type="pct"/>
          </w:tcPr>
          <w:p w:rsidR="00233205" w:rsidRPr="00B825AF" w:rsidRDefault="00233205" w:rsidP="00E30BEC">
            <w:pPr>
              <w:pStyle w:val="NoSpacing"/>
              <w:jc w:val="center"/>
              <w:rPr>
                <w:rFonts w:cstheme="majorBidi"/>
                <w:b/>
                <w:bCs/>
                <w:i/>
                <w:iCs/>
                <w:color w:val="404040" w:themeColor="text1" w:themeTint="BF"/>
                <w:sz w:val="18"/>
                <w:szCs w:val="18"/>
                <w:lang w:val="pt-BR"/>
              </w:rPr>
            </w:pPr>
            <w:proofErr w:type="gramStart"/>
            <w:r w:rsidRPr="00B825AF">
              <w:rPr>
                <w:sz w:val="18"/>
                <w:szCs w:val="18"/>
                <w:lang w:val="pt-BR"/>
              </w:rPr>
              <w:t>EFS-18 (</w:t>
            </w:r>
            <w:proofErr w:type="spellStart"/>
            <w:r w:rsidRPr="00B825AF">
              <w:rPr>
                <w:sz w:val="18"/>
                <w:szCs w:val="18"/>
                <w:lang w:val="pt-BR"/>
              </w:rPr>
              <w:t>iv</w:t>
            </w:r>
            <w:proofErr w:type="spellEnd"/>
            <w:r w:rsidRPr="00B825AF">
              <w:rPr>
                <w:sz w:val="18"/>
                <w:szCs w:val="18"/>
                <w:lang w:val="pt-BR"/>
              </w:rPr>
              <w:t>) a), b)</w:t>
            </w:r>
            <w:proofErr w:type="gramEnd"/>
            <w:r w:rsidRPr="00B825AF">
              <w:rPr>
                <w:sz w:val="18"/>
                <w:szCs w:val="18"/>
                <w:lang w:val="pt-BR"/>
              </w:rPr>
              <w:t>, e), g), i), j)</w:t>
            </w:r>
          </w:p>
        </w:tc>
        <w:tc>
          <w:tcPr>
            <w:tcW w:w="777" w:type="pct"/>
          </w:tcPr>
          <w:p w:rsidR="00233205" w:rsidRPr="00B36377" w:rsidRDefault="00233205" w:rsidP="00E30BEC">
            <w:pPr>
              <w:pStyle w:val="NoSpacing"/>
              <w:rPr>
                <w:rFonts w:eastAsia="Calibri" w:cs="Arial"/>
                <w:sz w:val="18"/>
                <w:szCs w:val="18"/>
                <w:lang w:val="es-ES_tradnl"/>
              </w:rPr>
            </w:pPr>
            <w:r w:rsidRPr="00B36377">
              <w:rPr>
                <w:sz w:val="18"/>
                <w:szCs w:val="18"/>
                <w:lang w:val="es-ES_tradnl"/>
              </w:rPr>
              <w:t xml:space="preserve">La CGRC no enfoca sus trabajos de evaluación del control interno institucional, de tal forma que le permitan, apoyado en la práctica de su OCI,   emitir un informe de aseguramiento sobre lo </w:t>
            </w:r>
            <w:r w:rsidRPr="00B36377">
              <w:rPr>
                <w:sz w:val="18"/>
                <w:szCs w:val="18"/>
                <w:lang w:val="es-ES_tradnl"/>
              </w:rPr>
              <w:lastRenderedPageBreak/>
              <w:t>adecuado y efectivo del Sistema de Control Interno Institucional (SCII).</w:t>
            </w:r>
          </w:p>
        </w:tc>
        <w:tc>
          <w:tcPr>
            <w:tcW w:w="1346" w:type="pct"/>
          </w:tcPr>
          <w:p w:rsidR="00233205" w:rsidRPr="00B36377" w:rsidRDefault="00233205" w:rsidP="00E30BEC">
            <w:pPr>
              <w:pStyle w:val="NoSpacing"/>
              <w:rPr>
                <w:sz w:val="18"/>
                <w:szCs w:val="18"/>
                <w:lang w:val="es-ES_tradnl"/>
              </w:rPr>
            </w:pPr>
            <w:r w:rsidRPr="00B36377">
              <w:rPr>
                <w:sz w:val="18"/>
                <w:szCs w:val="18"/>
                <w:lang w:val="es-ES_tradnl"/>
              </w:rPr>
              <w:lastRenderedPageBreak/>
              <w:t>Como parte del fortalecimiento  del SCI y del SIGCC establecido en el PEI, se debe asegurar que se cubren los siguientes aspectos:</w:t>
            </w:r>
          </w:p>
          <w:p w:rsidR="00233205" w:rsidRPr="00B36377" w:rsidRDefault="00233205" w:rsidP="00233205">
            <w:pPr>
              <w:pStyle w:val="NoSpacing"/>
              <w:numPr>
                <w:ilvl w:val="0"/>
                <w:numId w:val="73"/>
              </w:numPr>
              <w:ind w:left="219" w:hanging="219"/>
              <w:rPr>
                <w:sz w:val="18"/>
                <w:szCs w:val="18"/>
                <w:lang w:val="es-ES_tradnl"/>
              </w:rPr>
            </w:pPr>
            <w:r w:rsidRPr="00B36377">
              <w:rPr>
                <w:sz w:val="18"/>
                <w:szCs w:val="18"/>
                <w:lang w:val="es-ES_tradnl"/>
              </w:rPr>
              <w:t>Incluir en el informe de gestión anual al Congreso,  una sección  donde el Contralor declare la implementación y funcionamiento adecuado del SCI de la CGRC.</w:t>
            </w:r>
          </w:p>
          <w:p w:rsidR="00233205" w:rsidRPr="00B36377" w:rsidRDefault="00233205" w:rsidP="00233205">
            <w:pPr>
              <w:pStyle w:val="NoSpacing"/>
              <w:numPr>
                <w:ilvl w:val="0"/>
                <w:numId w:val="73"/>
              </w:numPr>
              <w:ind w:left="219" w:hanging="219"/>
              <w:rPr>
                <w:sz w:val="18"/>
                <w:szCs w:val="18"/>
                <w:lang w:val="es-ES_tradnl"/>
              </w:rPr>
            </w:pPr>
            <w:r w:rsidRPr="00B36377">
              <w:rPr>
                <w:sz w:val="18"/>
                <w:szCs w:val="18"/>
                <w:lang w:val="es-ES_tradnl"/>
              </w:rPr>
              <w:lastRenderedPageBreak/>
              <w:t>Formalizar procedimientos en los que reconozca la importancia del personal para la eficacia del control interno, y su responsabilidad por reportar problemas de operaciones, no cumplimiento al código de conducta o violaciones a la política, etc., estableciendo los  mecanismos para notificación.</w:t>
            </w:r>
          </w:p>
          <w:p w:rsidR="00233205" w:rsidRPr="00B36377" w:rsidRDefault="00233205" w:rsidP="00233205">
            <w:pPr>
              <w:pStyle w:val="NoSpacing"/>
              <w:numPr>
                <w:ilvl w:val="0"/>
                <w:numId w:val="73"/>
              </w:numPr>
              <w:ind w:left="219" w:hanging="219"/>
              <w:rPr>
                <w:sz w:val="18"/>
                <w:szCs w:val="18"/>
                <w:lang w:val="es-ES_tradnl"/>
              </w:rPr>
            </w:pPr>
            <w:r w:rsidRPr="00B36377">
              <w:rPr>
                <w:sz w:val="18"/>
                <w:szCs w:val="18"/>
                <w:lang w:val="es-ES_tradnl"/>
              </w:rPr>
              <w:t>Revisar y actualizar la Política de Seguridad, para incorporar la obligatoriedad de preparar, actualizar y monitorear los Planes de Contingencia de Sistemas e Informática. Como parte de esta actualización se debe incorporar el rol de la USATI como unidad de apoyo.</w:t>
            </w:r>
          </w:p>
          <w:p w:rsidR="00233205" w:rsidRPr="00B36377" w:rsidRDefault="00233205" w:rsidP="00233205">
            <w:pPr>
              <w:pStyle w:val="NoSpacing"/>
              <w:numPr>
                <w:ilvl w:val="0"/>
                <w:numId w:val="73"/>
              </w:numPr>
              <w:ind w:left="219" w:hanging="219"/>
              <w:rPr>
                <w:sz w:val="18"/>
                <w:szCs w:val="18"/>
                <w:lang w:val="es-ES_tradnl"/>
              </w:rPr>
            </w:pPr>
            <w:r w:rsidRPr="00B36377">
              <w:rPr>
                <w:sz w:val="18"/>
                <w:szCs w:val="18"/>
                <w:lang w:val="es-ES_tradnl"/>
              </w:rPr>
              <w:t>El seguimiento  a la ejecución de las actividades de monitoreo a los Planes de Manejo de Riesgos, como parte de la actualización de la metodología de evaluación de riesgos.</w:t>
            </w:r>
          </w:p>
          <w:p w:rsidR="00233205" w:rsidRPr="00B36377" w:rsidRDefault="00233205" w:rsidP="00233205">
            <w:pPr>
              <w:pStyle w:val="NoSpacing"/>
              <w:numPr>
                <w:ilvl w:val="0"/>
                <w:numId w:val="73"/>
              </w:numPr>
              <w:ind w:left="219" w:hanging="219"/>
              <w:rPr>
                <w:sz w:val="18"/>
                <w:szCs w:val="18"/>
                <w:lang w:val="es-ES_tradnl"/>
              </w:rPr>
            </w:pPr>
            <w:r w:rsidRPr="00B36377">
              <w:rPr>
                <w:sz w:val="18"/>
                <w:szCs w:val="18"/>
                <w:lang w:val="es-ES_tradnl"/>
              </w:rPr>
              <w:t>Actualizar el Manual Específico de Funciones y de Competencias, en lo concerniente a la OCI, incorporando la obligación de informar directamente al  CCCI o quien haga sus veces, los resultados de su trabajo.</w:t>
            </w:r>
          </w:p>
          <w:p w:rsidR="00233205" w:rsidRPr="00B36377" w:rsidRDefault="00233205" w:rsidP="00233205">
            <w:pPr>
              <w:pStyle w:val="NoSpacing"/>
              <w:numPr>
                <w:ilvl w:val="0"/>
                <w:numId w:val="73"/>
              </w:numPr>
              <w:ind w:left="219" w:hanging="219"/>
              <w:rPr>
                <w:rFonts w:eastAsia="Calibri" w:cs="Arial"/>
                <w:sz w:val="18"/>
                <w:szCs w:val="18"/>
                <w:lang w:val="es-ES_tradnl"/>
              </w:rPr>
            </w:pPr>
            <w:r w:rsidRPr="00B36377">
              <w:rPr>
                <w:sz w:val="18"/>
                <w:szCs w:val="18"/>
                <w:lang w:val="es-ES_tradnl"/>
              </w:rPr>
              <w:t>En general actualizar el sistema de control interno  a los requerimientos internacionales COSO/INTOSAI y verificar si están armonizados con MECI.</w:t>
            </w:r>
          </w:p>
          <w:p w:rsidR="00233205" w:rsidRPr="00B36377" w:rsidRDefault="00233205" w:rsidP="00E30BEC">
            <w:pPr>
              <w:pStyle w:val="NoSpacing"/>
              <w:ind w:left="219"/>
              <w:rPr>
                <w:rFonts w:eastAsia="Calibri" w:cs="Arial"/>
                <w:sz w:val="18"/>
                <w:szCs w:val="18"/>
                <w:lang w:val="es-ES_tradnl"/>
              </w:rPr>
            </w:pPr>
          </w:p>
        </w:tc>
        <w:tc>
          <w:tcPr>
            <w:tcW w:w="777" w:type="pct"/>
          </w:tcPr>
          <w:p w:rsidR="00233205" w:rsidRPr="00B36377" w:rsidRDefault="00233205" w:rsidP="00233205">
            <w:pPr>
              <w:pStyle w:val="NoSpacing"/>
              <w:numPr>
                <w:ilvl w:val="0"/>
                <w:numId w:val="74"/>
              </w:numPr>
              <w:ind w:left="223" w:hanging="223"/>
              <w:rPr>
                <w:sz w:val="18"/>
                <w:szCs w:val="18"/>
                <w:lang w:val="es-ES_tradnl"/>
              </w:rPr>
            </w:pPr>
            <w:r w:rsidRPr="00B36377">
              <w:rPr>
                <w:sz w:val="18"/>
                <w:szCs w:val="18"/>
                <w:lang w:val="es-ES_tradnl"/>
              </w:rPr>
              <w:lastRenderedPageBreak/>
              <w:t>Mejoras en el desempeño de la CGRC</w:t>
            </w:r>
          </w:p>
          <w:p w:rsidR="00233205" w:rsidRPr="00B36377" w:rsidRDefault="00233205" w:rsidP="00E30BEC">
            <w:pPr>
              <w:pStyle w:val="NoSpacing"/>
              <w:ind w:left="223" w:hanging="223"/>
              <w:rPr>
                <w:sz w:val="18"/>
                <w:szCs w:val="18"/>
                <w:lang w:val="es-ES_tradnl"/>
              </w:rPr>
            </w:pPr>
          </w:p>
          <w:p w:rsidR="00233205" w:rsidRPr="00B36377" w:rsidRDefault="00233205" w:rsidP="00233205">
            <w:pPr>
              <w:pStyle w:val="NoSpacing"/>
              <w:numPr>
                <w:ilvl w:val="0"/>
                <w:numId w:val="74"/>
              </w:numPr>
              <w:ind w:left="223" w:hanging="223"/>
              <w:rPr>
                <w:sz w:val="18"/>
                <w:szCs w:val="18"/>
                <w:lang w:val="es-ES_tradnl"/>
              </w:rPr>
            </w:pPr>
            <w:r w:rsidRPr="00B36377">
              <w:rPr>
                <w:sz w:val="18"/>
                <w:szCs w:val="18"/>
                <w:lang w:val="es-ES_tradnl"/>
              </w:rPr>
              <w:t>La CGRC proyectaría un ejemplo para la rendición de cuentas</w:t>
            </w:r>
          </w:p>
          <w:p w:rsidR="00233205" w:rsidRPr="00B36377" w:rsidRDefault="00233205" w:rsidP="00E30BEC">
            <w:pPr>
              <w:pStyle w:val="NoSpacing"/>
              <w:ind w:left="223" w:hanging="223"/>
              <w:rPr>
                <w:sz w:val="18"/>
                <w:szCs w:val="18"/>
                <w:lang w:val="es-ES_tradnl"/>
              </w:rPr>
            </w:pPr>
          </w:p>
          <w:p w:rsidR="00233205" w:rsidRPr="00B36377" w:rsidRDefault="00233205" w:rsidP="00233205">
            <w:pPr>
              <w:pStyle w:val="NoSpacing"/>
              <w:numPr>
                <w:ilvl w:val="0"/>
                <w:numId w:val="74"/>
              </w:numPr>
              <w:ind w:left="223" w:hanging="223"/>
              <w:rPr>
                <w:sz w:val="18"/>
                <w:szCs w:val="18"/>
                <w:lang w:val="es-ES_tradnl"/>
              </w:rPr>
            </w:pPr>
            <w:r w:rsidRPr="00B36377">
              <w:rPr>
                <w:sz w:val="18"/>
                <w:szCs w:val="18"/>
                <w:lang w:val="es-ES_tradnl"/>
              </w:rPr>
              <w:lastRenderedPageBreak/>
              <w:t>Aumenta la calidad y protección de la información</w:t>
            </w:r>
          </w:p>
          <w:p w:rsidR="00233205" w:rsidRPr="00B36377" w:rsidRDefault="00233205" w:rsidP="00E30BEC">
            <w:pPr>
              <w:pStyle w:val="NoSpacing"/>
              <w:ind w:left="223" w:hanging="223"/>
              <w:rPr>
                <w:sz w:val="18"/>
                <w:szCs w:val="18"/>
                <w:lang w:val="es-ES_tradnl"/>
              </w:rPr>
            </w:pPr>
          </w:p>
          <w:p w:rsidR="00233205" w:rsidRPr="00B36377" w:rsidRDefault="00233205" w:rsidP="00E30BEC">
            <w:pPr>
              <w:pStyle w:val="NoSpacing"/>
              <w:ind w:left="223" w:hanging="223"/>
              <w:rPr>
                <w:sz w:val="18"/>
                <w:szCs w:val="18"/>
                <w:lang w:val="es-ES_tradnl"/>
              </w:rPr>
            </w:pPr>
          </w:p>
          <w:p w:rsidR="00233205" w:rsidRPr="00B36377" w:rsidRDefault="00233205" w:rsidP="00233205">
            <w:pPr>
              <w:pStyle w:val="NoSpacing"/>
              <w:numPr>
                <w:ilvl w:val="0"/>
                <w:numId w:val="74"/>
              </w:numPr>
              <w:ind w:left="223" w:hanging="223"/>
              <w:rPr>
                <w:sz w:val="18"/>
                <w:szCs w:val="18"/>
                <w:lang w:val="es-ES_tradnl"/>
              </w:rPr>
            </w:pPr>
            <w:r w:rsidRPr="00B36377">
              <w:rPr>
                <w:sz w:val="18"/>
                <w:szCs w:val="18"/>
                <w:lang w:val="es-ES_tradnl"/>
              </w:rPr>
              <w:t>Se anticipan limitantes de los objetivos y metas y se actúa oportunamente</w:t>
            </w:r>
          </w:p>
          <w:p w:rsidR="00233205" w:rsidRPr="00B36377" w:rsidRDefault="00233205" w:rsidP="00E30BEC">
            <w:pPr>
              <w:pStyle w:val="NoSpacing"/>
              <w:rPr>
                <w:rFonts w:eastAsia="Calibri" w:cs="Arial"/>
                <w:sz w:val="18"/>
                <w:szCs w:val="18"/>
                <w:lang w:val="es-ES_tradnl"/>
              </w:rPr>
            </w:pPr>
          </w:p>
        </w:tc>
        <w:tc>
          <w:tcPr>
            <w:tcW w:w="517" w:type="pct"/>
          </w:tcPr>
          <w:p w:rsidR="00233205" w:rsidRPr="00B36377" w:rsidRDefault="00233205" w:rsidP="00E30BEC">
            <w:pPr>
              <w:pStyle w:val="NoSpacing"/>
              <w:rPr>
                <w:rFonts w:cstheme="majorBidi"/>
                <w:b/>
                <w:bCs/>
                <w:i/>
                <w:iCs/>
                <w:color w:val="4F81BD" w:themeColor="accent1"/>
                <w:sz w:val="18"/>
                <w:szCs w:val="18"/>
                <w:lang w:val="es-ES_tradnl"/>
              </w:rPr>
            </w:pPr>
            <w:r w:rsidRPr="00B36377">
              <w:rPr>
                <w:sz w:val="18"/>
                <w:szCs w:val="18"/>
                <w:lang w:val="es-ES_tradnl"/>
              </w:rPr>
              <w:lastRenderedPageBreak/>
              <w:t xml:space="preserve">Bajo el liderazgo del Contralor General de la República, debe adelantarse un proyecto de actualización y </w:t>
            </w:r>
            <w:r w:rsidRPr="00B36377">
              <w:rPr>
                <w:sz w:val="18"/>
                <w:szCs w:val="18"/>
                <w:lang w:val="es-ES_tradnl"/>
              </w:rPr>
              <w:lastRenderedPageBreak/>
              <w:t>ajuste del SCII de la CGRC</w:t>
            </w:r>
          </w:p>
          <w:p w:rsidR="00233205" w:rsidRPr="00B36377" w:rsidRDefault="00233205" w:rsidP="00E30BEC">
            <w:pPr>
              <w:pStyle w:val="NoSpacing"/>
              <w:rPr>
                <w:sz w:val="18"/>
                <w:szCs w:val="18"/>
                <w:lang w:val="es-ES_tradnl"/>
              </w:rPr>
            </w:pPr>
          </w:p>
          <w:p w:rsidR="00233205" w:rsidRPr="00B36377" w:rsidRDefault="00233205" w:rsidP="00E30BEC">
            <w:pPr>
              <w:pStyle w:val="NoSpacing"/>
              <w:rPr>
                <w:rFonts w:cstheme="majorBidi"/>
                <w:b/>
                <w:bCs/>
                <w:i/>
                <w:iCs/>
                <w:color w:val="404040" w:themeColor="text1" w:themeTint="BF"/>
                <w:sz w:val="18"/>
                <w:szCs w:val="18"/>
                <w:lang w:val="es-ES_tradnl"/>
              </w:rPr>
            </w:pPr>
            <w:r w:rsidRPr="00B36377">
              <w:rPr>
                <w:sz w:val="18"/>
                <w:szCs w:val="18"/>
                <w:lang w:val="es-ES_tradnl"/>
              </w:rPr>
              <w:t>Oficina de Planeación</w:t>
            </w:r>
          </w:p>
          <w:p w:rsidR="00233205" w:rsidRPr="00B36377" w:rsidRDefault="00233205" w:rsidP="00E30BEC">
            <w:pPr>
              <w:pStyle w:val="NoSpacing"/>
              <w:rPr>
                <w:sz w:val="18"/>
                <w:szCs w:val="18"/>
                <w:lang w:val="es-ES_tradnl"/>
              </w:rPr>
            </w:pPr>
          </w:p>
          <w:p w:rsidR="00233205" w:rsidRPr="00B36377" w:rsidRDefault="00233205" w:rsidP="00E30BEC">
            <w:pPr>
              <w:pStyle w:val="NoSpacing"/>
              <w:rPr>
                <w:rFonts w:cstheme="majorBidi"/>
                <w:b/>
                <w:bCs/>
                <w:i/>
                <w:iCs/>
                <w:color w:val="404040" w:themeColor="text1" w:themeTint="BF"/>
                <w:sz w:val="18"/>
                <w:szCs w:val="18"/>
                <w:lang w:val="es-ES_tradnl"/>
              </w:rPr>
            </w:pPr>
            <w:r w:rsidRPr="00B36377">
              <w:rPr>
                <w:sz w:val="18"/>
                <w:szCs w:val="18"/>
                <w:lang w:val="es-ES_tradnl"/>
              </w:rPr>
              <w:t>Oficina Jurídica</w:t>
            </w:r>
          </w:p>
          <w:p w:rsidR="00233205" w:rsidRPr="00B36377" w:rsidRDefault="00233205" w:rsidP="00E30BEC">
            <w:pPr>
              <w:pStyle w:val="NoSpacing"/>
              <w:rPr>
                <w:sz w:val="18"/>
                <w:szCs w:val="18"/>
                <w:lang w:val="es-ES_tradnl"/>
              </w:rPr>
            </w:pPr>
          </w:p>
          <w:p w:rsidR="00233205" w:rsidRPr="00B36377" w:rsidRDefault="00233205" w:rsidP="00E30BEC">
            <w:pPr>
              <w:pStyle w:val="NoSpacing"/>
              <w:rPr>
                <w:rFonts w:cstheme="majorBidi"/>
                <w:b/>
                <w:bCs/>
                <w:i/>
                <w:iCs/>
                <w:color w:val="404040" w:themeColor="text1" w:themeTint="BF"/>
                <w:sz w:val="18"/>
                <w:szCs w:val="18"/>
                <w:lang w:val="es-ES_tradnl"/>
              </w:rPr>
            </w:pPr>
            <w:r w:rsidRPr="00B36377">
              <w:rPr>
                <w:sz w:val="18"/>
                <w:szCs w:val="18"/>
                <w:lang w:val="es-ES_tradnl"/>
              </w:rPr>
              <w:t>OCI</w:t>
            </w:r>
          </w:p>
          <w:p w:rsidR="00233205" w:rsidRPr="00B36377" w:rsidRDefault="00233205" w:rsidP="00E30BEC">
            <w:pPr>
              <w:pStyle w:val="NoSpacing"/>
              <w:rPr>
                <w:rFonts w:cstheme="majorBidi"/>
                <w:b/>
                <w:bCs/>
                <w:color w:val="4F81BD" w:themeColor="accent1"/>
                <w:sz w:val="18"/>
                <w:szCs w:val="18"/>
                <w:lang w:val="es-ES_tradnl"/>
              </w:rPr>
            </w:pPr>
            <w:r w:rsidRPr="00B36377">
              <w:rPr>
                <w:sz w:val="18"/>
                <w:szCs w:val="18"/>
                <w:lang w:val="es-ES_tradnl"/>
              </w:rPr>
              <w:t>Oficina de Sistemas e Informática</w:t>
            </w:r>
          </w:p>
          <w:p w:rsidR="00233205" w:rsidRPr="00B36377" w:rsidRDefault="00233205" w:rsidP="00E30BEC">
            <w:pPr>
              <w:pStyle w:val="NoSpacing"/>
              <w:rPr>
                <w:rFonts w:eastAsia="Calibri" w:cs="Arial"/>
                <w:sz w:val="18"/>
                <w:szCs w:val="18"/>
                <w:lang w:val="es-ES_tradnl"/>
              </w:rPr>
            </w:pPr>
          </w:p>
        </w:tc>
        <w:tc>
          <w:tcPr>
            <w:tcW w:w="465" w:type="pct"/>
          </w:tcPr>
          <w:p w:rsidR="00233205" w:rsidRPr="00B36377" w:rsidRDefault="00233205" w:rsidP="00E30BEC">
            <w:pPr>
              <w:pStyle w:val="NoSpacing"/>
              <w:rPr>
                <w:rFonts w:eastAsia="Calibri" w:cs="Arial"/>
                <w:b/>
                <w:bCs/>
                <w:i/>
                <w:iCs/>
                <w:color w:val="404040" w:themeColor="text1" w:themeTint="BF"/>
                <w:sz w:val="18"/>
                <w:szCs w:val="18"/>
                <w:lang w:val="es-ES_tradnl"/>
              </w:rPr>
            </w:pPr>
            <w:r w:rsidRPr="00B36377">
              <w:rPr>
                <w:sz w:val="18"/>
                <w:szCs w:val="18"/>
                <w:lang w:val="es-ES_tradnl"/>
              </w:rPr>
              <w:lastRenderedPageBreak/>
              <w:t>2do. semestre de 2016</w:t>
            </w:r>
          </w:p>
        </w:tc>
        <w:tc>
          <w:tcPr>
            <w:tcW w:w="579" w:type="pct"/>
          </w:tcPr>
          <w:p w:rsidR="00233205" w:rsidRPr="00B36377" w:rsidRDefault="00233205" w:rsidP="00E30BEC">
            <w:pPr>
              <w:pStyle w:val="NoSpacing"/>
              <w:rPr>
                <w:rFonts w:cstheme="majorBidi"/>
                <w:b/>
                <w:bCs/>
                <w:i/>
                <w:iCs/>
                <w:color w:val="404040" w:themeColor="text1" w:themeTint="BF"/>
                <w:sz w:val="18"/>
                <w:szCs w:val="18"/>
                <w:lang w:val="es-ES_tradnl"/>
              </w:rPr>
            </w:pPr>
            <w:r w:rsidRPr="00B36377">
              <w:rPr>
                <w:sz w:val="18"/>
                <w:szCs w:val="18"/>
                <w:lang w:val="es-ES_tradnl"/>
              </w:rPr>
              <w:t>Planes de Acción informes OCI</w:t>
            </w:r>
          </w:p>
          <w:p w:rsidR="00233205" w:rsidRPr="00B36377" w:rsidRDefault="00233205" w:rsidP="00E30BEC">
            <w:pPr>
              <w:pStyle w:val="NoSpacing"/>
              <w:rPr>
                <w:sz w:val="18"/>
                <w:szCs w:val="18"/>
                <w:lang w:val="es-ES_tradnl"/>
              </w:rPr>
            </w:pPr>
          </w:p>
          <w:p w:rsidR="00233205" w:rsidRPr="00B36377" w:rsidRDefault="00233205" w:rsidP="00E30BEC">
            <w:pPr>
              <w:pStyle w:val="NoSpacing"/>
              <w:rPr>
                <w:rFonts w:cstheme="majorBidi"/>
                <w:b/>
                <w:bCs/>
                <w:i/>
                <w:iCs/>
                <w:color w:val="404040" w:themeColor="text1" w:themeTint="BF"/>
                <w:sz w:val="18"/>
                <w:szCs w:val="18"/>
                <w:lang w:val="es-ES_tradnl"/>
              </w:rPr>
            </w:pPr>
            <w:r w:rsidRPr="00B36377">
              <w:rPr>
                <w:sz w:val="18"/>
                <w:szCs w:val="18"/>
                <w:lang w:val="es-ES_tradnl"/>
              </w:rPr>
              <w:t>Declaración del Contralor sobre el estado y funcionamiento del SCI de la CGRC</w:t>
            </w:r>
          </w:p>
          <w:p w:rsidR="00233205" w:rsidRPr="00B36377" w:rsidRDefault="00233205" w:rsidP="00E30BEC">
            <w:pPr>
              <w:pStyle w:val="NoSpacing"/>
              <w:rPr>
                <w:sz w:val="18"/>
                <w:szCs w:val="18"/>
                <w:lang w:val="es-ES_tradnl"/>
              </w:rPr>
            </w:pPr>
          </w:p>
          <w:p w:rsidR="00233205" w:rsidRPr="00B36377" w:rsidRDefault="00233205" w:rsidP="00E30BEC">
            <w:pPr>
              <w:pStyle w:val="NoSpacing"/>
              <w:rPr>
                <w:rFonts w:cstheme="majorBidi"/>
                <w:b/>
                <w:bCs/>
                <w:i/>
                <w:iCs/>
                <w:color w:val="404040" w:themeColor="text1" w:themeTint="BF"/>
                <w:sz w:val="18"/>
                <w:szCs w:val="18"/>
                <w:lang w:val="es-ES_tradnl"/>
              </w:rPr>
            </w:pPr>
            <w:r w:rsidRPr="00B36377">
              <w:rPr>
                <w:sz w:val="18"/>
                <w:szCs w:val="18"/>
                <w:lang w:val="es-ES_tradnl"/>
              </w:rPr>
              <w:t>SIGCC actualizado</w:t>
            </w:r>
          </w:p>
          <w:p w:rsidR="00233205" w:rsidRPr="00B36377" w:rsidRDefault="00233205" w:rsidP="00E30BEC">
            <w:pPr>
              <w:pStyle w:val="NoSpacing"/>
              <w:rPr>
                <w:sz w:val="18"/>
                <w:szCs w:val="18"/>
                <w:lang w:val="es-ES_tradnl"/>
              </w:rPr>
            </w:pPr>
          </w:p>
          <w:p w:rsidR="00233205" w:rsidRPr="00B36377" w:rsidRDefault="00233205" w:rsidP="00E30BEC">
            <w:pPr>
              <w:pStyle w:val="NoSpacing"/>
              <w:rPr>
                <w:rFonts w:cstheme="majorBidi"/>
                <w:b/>
                <w:bCs/>
                <w:color w:val="4F81BD" w:themeColor="accent1"/>
                <w:sz w:val="18"/>
                <w:szCs w:val="18"/>
                <w:lang w:val="es-ES_tradnl"/>
              </w:rPr>
            </w:pPr>
            <w:r w:rsidRPr="00B36377">
              <w:rPr>
                <w:sz w:val="18"/>
                <w:szCs w:val="18"/>
                <w:lang w:val="es-ES_tradnl"/>
              </w:rPr>
              <w:t xml:space="preserve">Plan de Contingencias </w:t>
            </w:r>
            <w:proofErr w:type="spellStart"/>
            <w:r w:rsidRPr="00B36377">
              <w:rPr>
                <w:sz w:val="18"/>
                <w:szCs w:val="18"/>
                <w:lang w:val="es-ES_tradnl"/>
              </w:rPr>
              <w:t>TICs</w:t>
            </w:r>
            <w:proofErr w:type="spellEnd"/>
          </w:p>
          <w:p w:rsidR="00233205" w:rsidRPr="00B36377" w:rsidRDefault="00233205" w:rsidP="00E30BEC">
            <w:pPr>
              <w:pStyle w:val="NoSpacing"/>
              <w:rPr>
                <w:sz w:val="18"/>
                <w:szCs w:val="18"/>
                <w:lang w:val="es-ES_tradnl"/>
              </w:rPr>
            </w:pPr>
          </w:p>
          <w:p w:rsidR="00233205" w:rsidRPr="00B36377" w:rsidRDefault="00233205" w:rsidP="00E30BEC">
            <w:pPr>
              <w:pStyle w:val="NoSpacing"/>
              <w:rPr>
                <w:rFonts w:cstheme="majorBidi"/>
                <w:b/>
                <w:bCs/>
                <w:i/>
                <w:iCs/>
                <w:color w:val="404040" w:themeColor="text1" w:themeTint="BF"/>
                <w:sz w:val="18"/>
                <w:szCs w:val="18"/>
                <w:lang w:val="es-ES_tradnl"/>
              </w:rPr>
            </w:pPr>
            <w:r w:rsidRPr="00B36377">
              <w:rPr>
                <w:sz w:val="18"/>
                <w:szCs w:val="18"/>
                <w:lang w:val="es-ES_tradnl"/>
              </w:rPr>
              <w:t>Metodología gestión de riesgos actualizada</w:t>
            </w:r>
          </w:p>
          <w:p w:rsidR="00233205" w:rsidRPr="00B36377" w:rsidRDefault="00233205" w:rsidP="00E30BEC">
            <w:pPr>
              <w:pStyle w:val="NoSpacing"/>
              <w:rPr>
                <w:sz w:val="18"/>
                <w:szCs w:val="18"/>
                <w:lang w:val="es-ES_tradnl"/>
              </w:rPr>
            </w:pPr>
          </w:p>
          <w:p w:rsidR="00233205" w:rsidRPr="00B36377" w:rsidRDefault="00233205" w:rsidP="00E30BEC">
            <w:pPr>
              <w:pStyle w:val="NoSpacing"/>
              <w:rPr>
                <w:rFonts w:cstheme="majorBidi"/>
                <w:b/>
                <w:bCs/>
                <w:i/>
                <w:iCs/>
                <w:color w:val="404040" w:themeColor="text1" w:themeTint="BF"/>
                <w:sz w:val="18"/>
                <w:szCs w:val="18"/>
                <w:lang w:val="es-ES_tradnl"/>
              </w:rPr>
            </w:pPr>
            <w:r w:rsidRPr="00B36377">
              <w:rPr>
                <w:sz w:val="18"/>
                <w:szCs w:val="18"/>
                <w:lang w:val="es-ES_tradnl"/>
              </w:rPr>
              <w:t>Informes seguimiento Planes de Manejo de Riesgos</w:t>
            </w:r>
          </w:p>
          <w:p w:rsidR="00233205" w:rsidRPr="00B36377" w:rsidRDefault="00233205" w:rsidP="00E30BEC">
            <w:pPr>
              <w:pStyle w:val="NoSpacing"/>
              <w:rPr>
                <w:sz w:val="18"/>
                <w:szCs w:val="18"/>
                <w:lang w:val="es-ES_tradnl"/>
              </w:rPr>
            </w:pPr>
          </w:p>
          <w:p w:rsidR="00233205" w:rsidRPr="00B36377" w:rsidRDefault="00233205" w:rsidP="00E30BEC">
            <w:pPr>
              <w:pStyle w:val="NoSpacing"/>
              <w:rPr>
                <w:rFonts w:eastAsia="Calibri" w:cs="Arial"/>
                <w:b/>
                <w:bCs/>
                <w:i/>
                <w:iCs/>
                <w:color w:val="404040" w:themeColor="text1" w:themeTint="BF"/>
                <w:sz w:val="18"/>
                <w:szCs w:val="18"/>
                <w:lang w:val="es-ES_tradnl"/>
              </w:rPr>
            </w:pPr>
            <w:r w:rsidRPr="00B36377">
              <w:rPr>
                <w:sz w:val="18"/>
                <w:szCs w:val="18"/>
                <w:lang w:val="es-ES_tradnl"/>
              </w:rPr>
              <w:t>Manual Específico de Funciones y de Competencias actualizado (sección OCI)</w:t>
            </w:r>
          </w:p>
        </w:tc>
      </w:tr>
      <w:tr w:rsidR="00233205" w:rsidRPr="00B36377" w:rsidTr="00E30BEC">
        <w:trPr>
          <w:jc w:val="center"/>
        </w:trPr>
        <w:tc>
          <w:tcPr>
            <w:tcW w:w="177" w:type="pct"/>
          </w:tcPr>
          <w:p w:rsidR="00233205" w:rsidRPr="00B36377" w:rsidRDefault="00233205" w:rsidP="00E30BEC">
            <w:pPr>
              <w:pStyle w:val="NoSpacing"/>
              <w:jc w:val="center"/>
              <w:rPr>
                <w:rFonts w:cstheme="majorBidi"/>
                <w:b/>
                <w:bCs/>
                <w:i/>
                <w:iCs/>
                <w:color w:val="404040" w:themeColor="text1" w:themeTint="BF"/>
                <w:sz w:val="18"/>
                <w:szCs w:val="18"/>
                <w:lang w:val="es-ES_tradnl"/>
              </w:rPr>
            </w:pPr>
            <w:r w:rsidRPr="00B36377">
              <w:rPr>
                <w:sz w:val="18"/>
                <w:szCs w:val="18"/>
                <w:lang w:val="es-ES_tradnl"/>
              </w:rPr>
              <w:lastRenderedPageBreak/>
              <w:t>20</w:t>
            </w:r>
          </w:p>
        </w:tc>
        <w:tc>
          <w:tcPr>
            <w:tcW w:w="362" w:type="pct"/>
          </w:tcPr>
          <w:p w:rsidR="00233205" w:rsidRPr="00B36377" w:rsidRDefault="00233205" w:rsidP="00E30BEC">
            <w:pPr>
              <w:pStyle w:val="NoSpacing"/>
              <w:jc w:val="center"/>
              <w:rPr>
                <w:rFonts w:cstheme="majorBidi"/>
                <w:b/>
                <w:bCs/>
                <w:i/>
                <w:iCs/>
                <w:color w:val="404040" w:themeColor="text1" w:themeTint="BF"/>
                <w:sz w:val="18"/>
                <w:szCs w:val="18"/>
                <w:lang w:val="es-ES_tradnl"/>
              </w:rPr>
            </w:pPr>
            <w:r w:rsidRPr="00B36377">
              <w:rPr>
                <w:sz w:val="18"/>
                <w:szCs w:val="18"/>
                <w:lang w:val="es-ES_tradnl"/>
              </w:rPr>
              <w:t>EFS-19 (i) a), c)</w:t>
            </w:r>
          </w:p>
        </w:tc>
        <w:tc>
          <w:tcPr>
            <w:tcW w:w="777" w:type="pct"/>
          </w:tcPr>
          <w:p w:rsidR="00233205" w:rsidRPr="00B36377" w:rsidRDefault="00233205" w:rsidP="00E30BEC">
            <w:pPr>
              <w:pStyle w:val="NoSpacing"/>
              <w:rPr>
                <w:rFonts w:eastAsia="Calibri" w:cs="Arial"/>
                <w:sz w:val="18"/>
                <w:szCs w:val="18"/>
                <w:lang w:val="es-ES_tradnl"/>
              </w:rPr>
            </w:pPr>
            <w:r w:rsidRPr="00B36377">
              <w:rPr>
                <w:color w:val="000000"/>
                <w:sz w:val="18"/>
                <w:szCs w:val="18"/>
                <w:lang w:val="es-ES_tradnl"/>
              </w:rPr>
              <w:t xml:space="preserve">Los Planes a largo y corto plazo para atender las necesidades de fortalecimiento de la  infraestructura física y tecnológica no se sustentan en proyectos estructurados que </w:t>
            </w:r>
            <w:r w:rsidRPr="00B36377">
              <w:rPr>
                <w:color w:val="000000"/>
                <w:sz w:val="18"/>
                <w:szCs w:val="18"/>
                <w:lang w:val="es-ES_tradnl"/>
              </w:rPr>
              <w:lastRenderedPageBreak/>
              <w:t>garanticen su ejecución y sostenibilidad</w:t>
            </w:r>
          </w:p>
        </w:tc>
        <w:tc>
          <w:tcPr>
            <w:tcW w:w="1346" w:type="pct"/>
          </w:tcPr>
          <w:p w:rsidR="00233205" w:rsidRPr="00B36377" w:rsidRDefault="00233205" w:rsidP="00233205">
            <w:pPr>
              <w:pStyle w:val="NoSpacing"/>
              <w:numPr>
                <w:ilvl w:val="0"/>
                <w:numId w:val="76"/>
              </w:numPr>
              <w:ind w:left="219" w:hanging="180"/>
              <w:rPr>
                <w:sz w:val="18"/>
                <w:szCs w:val="18"/>
                <w:lang w:val="es-ES_tradnl"/>
              </w:rPr>
            </w:pPr>
            <w:r w:rsidRPr="00B36377">
              <w:rPr>
                <w:sz w:val="18"/>
                <w:szCs w:val="18"/>
                <w:lang w:val="es-ES_tradnl"/>
              </w:rPr>
              <w:lastRenderedPageBreak/>
              <w:t>Formalizar en un proyecto específico el fortalecimiento de infraestructura física dela CGRC, el cual contemple:</w:t>
            </w:r>
          </w:p>
          <w:p w:rsidR="00233205" w:rsidRPr="00B36377" w:rsidRDefault="00233205" w:rsidP="00233205">
            <w:pPr>
              <w:pStyle w:val="NoSpacing"/>
              <w:numPr>
                <w:ilvl w:val="0"/>
                <w:numId w:val="77"/>
              </w:numPr>
              <w:rPr>
                <w:sz w:val="18"/>
                <w:szCs w:val="18"/>
                <w:lang w:val="es-ES_tradnl"/>
              </w:rPr>
            </w:pPr>
            <w:r w:rsidRPr="00B36377">
              <w:rPr>
                <w:sz w:val="18"/>
                <w:szCs w:val="18"/>
                <w:lang w:val="es-ES_tradnl"/>
              </w:rPr>
              <w:t>La consideración de las lecciones aprendidas como parte de la ejecución de propuestas anteriores</w:t>
            </w:r>
          </w:p>
          <w:p w:rsidR="00233205" w:rsidRPr="00B36377" w:rsidRDefault="00233205" w:rsidP="00233205">
            <w:pPr>
              <w:pStyle w:val="NoSpacing"/>
              <w:numPr>
                <w:ilvl w:val="0"/>
                <w:numId w:val="77"/>
              </w:numPr>
              <w:rPr>
                <w:sz w:val="18"/>
                <w:szCs w:val="18"/>
                <w:lang w:val="es-ES_tradnl"/>
              </w:rPr>
            </w:pPr>
            <w:r w:rsidRPr="00B36377">
              <w:rPr>
                <w:sz w:val="18"/>
                <w:szCs w:val="18"/>
                <w:lang w:val="es-ES_tradnl"/>
              </w:rPr>
              <w:t>Las necesidades identificadas por las diferentes sedes a nivel nacional</w:t>
            </w:r>
          </w:p>
          <w:p w:rsidR="00233205" w:rsidRPr="00B36377" w:rsidRDefault="00233205" w:rsidP="00233205">
            <w:pPr>
              <w:pStyle w:val="NoSpacing"/>
              <w:numPr>
                <w:ilvl w:val="0"/>
                <w:numId w:val="77"/>
              </w:numPr>
              <w:rPr>
                <w:sz w:val="18"/>
                <w:szCs w:val="18"/>
                <w:lang w:val="es-ES_tradnl"/>
              </w:rPr>
            </w:pPr>
            <w:r w:rsidRPr="00B36377">
              <w:rPr>
                <w:sz w:val="18"/>
                <w:szCs w:val="18"/>
                <w:lang w:val="es-ES_tradnl"/>
              </w:rPr>
              <w:lastRenderedPageBreak/>
              <w:t>El entorno en el que opera la CGRC (ámbito, personal, tamaño, etc.)</w:t>
            </w:r>
          </w:p>
          <w:p w:rsidR="00233205" w:rsidRPr="00B36377" w:rsidRDefault="00233205" w:rsidP="00233205">
            <w:pPr>
              <w:pStyle w:val="NoSpacing"/>
              <w:numPr>
                <w:ilvl w:val="0"/>
                <w:numId w:val="77"/>
              </w:numPr>
              <w:rPr>
                <w:sz w:val="18"/>
                <w:szCs w:val="18"/>
                <w:lang w:val="es-ES_tradnl"/>
              </w:rPr>
            </w:pPr>
            <w:r w:rsidRPr="00B36377">
              <w:rPr>
                <w:sz w:val="18"/>
                <w:szCs w:val="18"/>
                <w:lang w:val="es-ES_tradnl"/>
              </w:rPr>
              <w:t>El alcance de cada proyecto a nivel central y sub nacional</w:t>
            </w:r>
          </w:p>
          <w:p w:rsidR="00233205" w:rsidRPr="00B36377" w:rsidRDefault="00233205" w:rsidP="00233205">
            <w:pPr>
              <w:pStyle w:val="NoSpacing"/>
              <w:numPr>
                <w:ilvl w:val="0"/>
                <w:numId w:val="77"/>
              </w:numPr>
              <w:rPr>
                <w:sz w:val="18"/>
                <w:szCs w:val="18"/>
                <w:lang w:val="es-ES_tradnl"/>
              </w:rPr>
            </w:pPr>
            <w:r w:rsidRPr="00B36377">
              <w:rPr>
                <w:sz w:val="18"/>
                <w:szCs w:val="18"/>
                <w:lang w:val="es-ES_tradnl"/>
              </w:rPr>
              <w:t>El conjunto de actividades que se deben ejecutar para asegurar que se cumpla con el programa</w:t>
            </w:r>
          </w:p>
          <w:p w:rsidR="00233205" w:rsidRPr="00B36377" w:rsidRDefault="00233205" w:rsidP="00233205">
            <w:pPr>
              <w:pStyle w:val="NoSpacing"/>
              <w:numPr>
                <w:ilvl w:val="0"/>
                <w:numId w:val="77"/>
              </w:numPr>
              <w:rPr>
                <w:sz w:val="18"/>
                <w:szCs w:val="18"/>
                <w:lang w:val="es-ES_tradnl"/>
              </w:rPr>
            </w:pPr>
            <w:r w:rsidRPr="00B36377">
              <w:rPr>
                <w:sz w:val="18"/>
                <w:szCs w:val="18"/>
                <w:lang w:val="es-ES_tradnl"/>
              </w:rPr>
              <w:t>Los resultados en términos de metas y fechas</w:t>
            </w:r>
          </w:p>
          <w:p w:rsidR="00233205" w:rsidRPr="00B36377" w:rsidRDefault="00233205" w:rsidP="00233205">
            <w:pPr>
              <w:pStyle w:val="NoSpacing"/>
              <w:numPr>
                <w:ilvl w:val="0"/>
                <w:numId w:val="77"/>
              </w:numPr>
              <w:rPr>
                <w:sz w:val="18"/>
                <w:szCs w:val="18"/>
                <w:lang w:val="es-ES_tradnl"/>
              </w:rPr>
            </w:pPr>
            <w:r w:rsidRPr="00B36377">
              <w:rPr>
                <w:sz w:val="18"/>
                <w:szCs w:val="18"/>
                <w:lang w:val="es-ES_tradnl"/>
              </w:rPr>
              <w:t>Los responsables  y recursos</w:t>
            </w:r>
          </w:p>
          <w:p w:rsidR="00233205" w:rsidRPr="00B36377" w:rsidRDefault="00233205" w:rsidP="00233205">
            <w:pPr>
              <w:pStyle w:val="NoSpacing"/>
              <w:numPr>
                <w:ilvl w:val="0"/>
                <w:numId w:val="77"/>
              </w:numPr>
              <w:rPr>
                <w:sz w:val="18"/>
                <w:szCs w:val="18"/>
                <w:lang w:val="es-ES_tradnl"/>
              </w:rPr>
            </w:pPr>
            <w:r w:rsidRPr="00B36377">
              <w:rPr>
                <w:sz w:val="18"/>
                <w:szCs w:val="18"/>
                <w:lang w:val="es-ES_tradnl"/>
              </w:rPr>
              <w:t>Los factores de riesgo y planes de mitigación para su manejo</w:t>
            </w:r>
          </w:p>
          <w:p w:rsidR="00233205" w:rsidRPr="00B36377" w:rsidRDefault="00233205" w:rsidP="00E30BEC">
            <w:pPr>
              <w:pStyle w:val="NoSpacing"/>
              <w:ind w:left="579"/>
              <w:rPr>
                <w:sz w:val="18"/>
                <w:szCs w:val="18"/>
                <w:lang w:val="es-ES_tradnl"/>
              </w:rPr>
            </w:pPr>
          </w:p>
        </w:tc>
        <w:tc>
          <w:tcPr>
            <w:tcW w:w="777" w:type="pct"/>
          </w:tcPr>
          <w:p w:rsidR="00233205" w:rsidRPr="00B36377" w:rsidRDefault="00233205" w:rsidP="00233205">
            <w:pPr>
              <w:pStyle w:val="NoSpacing"/>
              <w:numPr>
                <w:ilvl w:val="0"/>
                <w:numId w:val="75"/>
              </w:numPr>
              <w:ind w:left="223" w:hanging="223"/>
              <w:rPr>
                <w:sz w:val="18"/>
                <w:szCs w:val="18"/>
                <w:lang w:val="es-ES_tradnl"/>
              </w:rPr>
            </w:pPr>
            <w:r w:rsidRPr="00B36377">
              <w:rPr>
                <w:sz w:val="18"/>
                <w:szCs w:val="18"/>
                <w:lang w:val="es-ES_tradnl"/>
              </w:rPr>
              <w:lastRenderedPageBreak/>
              <w:t>Mejoras en el desempeño de la CGRC</w:t>
            </w:r>
          </w:p>
          <w:p w:rsidR="00233205" w:rsidRPr="00B36377" w:rsidRDefault="00233205" w:rsidP="00E30BEC">
            <w:pPr>
              <w:pStyle w:val="NoSpacing"/>
              <w:ind w:left="223" w:hanging="223"/>
              <w:rPr>
                <w:sz w:val="18"/>
                <w:szCs w:val="18"/>
                <w:lang w:val="es-ES_tradnl"/>
              </w:rPr>
            </w:pPr>
          </w:p>
          <w:p w:rsidR="00233205" w:rsidRPr="00B36377" w:rsidRDefault="00233205" w:rsidP="00233205">
            <w:pPr>
              <w:pStyle w:val="NoSpacing"/>
              <w:numPr>
                <w:ilvl w:val="0"/>
                <w:numId w:val="75"/>
              </w:numPr>
              <w:ind w:left="223" w:hanging="223"/>
              <w:rPr>
                <w:sz w:val="18"/>
                <w:szCs w:val="18"/>
                <w:lang w:val="es-ES_tradnl"/>
              </w:rPr>
            </w:pPr>
            <w:r w:rsidRPr="00B36377">
              <w:rPr>
                <w:sz w:val="18"/>
                <w:szCs w:val="18"/>
                <w:lang w:val="es-ES_tradnl"/>
              </w:rPr>
              <w:t>Soluciones sostenibles</w:t>
            </w:r>
          </w:p>
          <w:p w:rsidR="00233205" w:rsidRPr="00B36377" w:rsidRDefault="00233205" w:rsidP="00E30BEC">
            <w:pPr>
              <w:pStyle w:val="NoSpacing"/>
              <w:ind w:left="223" w:hanging="223"/>
              <w:rPr>
                <w:sz w:val="18"/>
                <w:szCs w:val="18"/>
                <w:lang w:val="es-ES_tradnl"/>
              </w:rPr>
            </w:pPr>
          </w:p>
          <w:p w:rsidR="00233205" w:rsidRPr="00B36377" w:rsidRDefault="00233205" w:rsidP="00233205">
            <w:pPr>
              <w:pStyle w:val="NoSpacing"/>
              <w:numPr>
                <w:ilvl w:val="0"/>
                <w:numId w:val="75"/>
              </w:numPr>
              <w:ind w:left="223" w:hanging="223"/>
              <w:rPr>
                <w:rFonts w:eastAsia="Calibri" w:cs="Arial"/>
                <w:sz w:val="18"/>
                <w:szCs w:val="18"/>
                <w:lang w:val="es-ES_tradnl"/>
              </w:rPr>
            </w:pPr>
            <w:r w:rsidRPr="00B36377">
              <w:rPr>
                <w:sz w:val="18"/>
                <w:szCs w:val="18"/>
                <w:lang w:val="es-ES_tradnl"/>
              </w:rPr>
              <w:t>Optimización en el uso de los recursos</w:t>
            </w:r>
          </w:p>
        </w:tc>
        <w:tc>
          <w:tcPr>
            <w:tcW w:w="517" w:type="pct"/>
          </w:tcPr>
          <w:p w:rsidR="00233205" w:rsidRPr="00B36377" w:rsidRDefault="00233205" w:rsidP="00E30BEC">
            <w:pPr>
              <w:pStyle w:val="NoSpacing"/>
              <w:rPr>
                <w:rFonts w:cstheme="majorBidi"/>
                <w:b/>
                <w:bCs/>
                <w:color w:val="4F81BD" w:themeColor="accent1"/>
                <w:sz w:val="18"/>
                <w:szCs w:val="18"/>
                <w:lang w:val="es-ES_tradnl"/>
              </w:rPr>
            </w:pPr>
            <w:r w:rsidRPr="00B36377">
              <w:rPr>
                <w:sz w:val="18"/>
                <w:szCs w:val="18"/>
                <w:lang w:val="es-ES_tradnl"/>
              </w:rPr>
              <w:t>Oficina de Planeación</w:t>
            </w:r>
          </w:p>
          <w:p w:rsidR="00233205" w:rsidRPr="00B36377" w:rsidRDefault="00233205" w:rsidP="00E30BEC">
            <w:pPr>
              <w:pStyle w:val="NoSpacing"/>
              <w:rPr>
                <w:sz w:val="18"/>
                <w:szCs w:val="18"/>
                <w:lang w:val="es-ES_tradnl"/>
              </w:rPr>
            </w:pPr>
          </w:p>
          <w:p w:rsidR="00233205" w:rsidRPr="00B36377" w:rsidRDefault="00233205" w:rsidP="00E30BEC">
            <w:pPr>
              <w:pStyle w:val="NoSpacing"/>
              <w:rPr>
                <w:rFonts w:eastAsia="Calibri" w:cs="Arial"/>
                <w:b/>
                <w:bCs/>
                <w:i/>
                <w:iCs/>
                <w:color w:val="404040" w:themeColor="text1" w:themeTint="BF"/>
                <w:sz w:val="18"/>
                <w:szCs w:val="18"/>
                <w:lang w:val="es-ES_tradnl"/>
              </w:rPr>
            </w:pPr>
            <w:r w:rsidRPr="00B36377">
              <w:rPr>
                <w:sz w:val="18"/>
                <w:szCs w:val="18"/>
                <w:lang w:val="es-ES_tradnl"/>
              </w:rPr>
              <w:t>Gerencia Administrativa Financiera</w:t>
            </w:r>
          </w:p>
        </w:tc>
        <w:tc>
          <w:tcPr>
            <w:tcW w:w="465" w:type="pct"/>
          </w:tcPr>
          <w:p w:rsidR="00233205" w:rsidRPr="00B36377" w:rsidRDefault="00233205" w:rsidP="00E30BEC">
            <w:pPr>
              <w:pStyle w:val="NoSpacing"/>
              <w:rPr>
                <w:rFonts w:eastAsia="Calibri" w:cs="Arial"/>
                <w:b/>
                <w:bCs/>
                <w:i/>
                <w:iCs/>
                <w:color w:val="404040" w:themeColor="text1" w:themeTint="BF"/>
                <w:sz w:val="18"/>
                <w:szCs w:val="18"/>
                <w:lang w:val="es-ES_tradnl"/>
              </w:rPr>
            </w:pPr>
            <w:r w:rsidRPr="00B36377">
              <w:rPr>
                <w:sz w:val="18"/>
                <w:szCs w:val="18"/>
                <w:lang w:val="es-ES_tradnl"/>
              </w:rPr>
              <w:t>2do. semestre de  2015</w:t>
            </w:r>
          </w:p>
        </w:tc>
        <w:tc>
          <w:tcPr>
            <w:tcW w:w="579" w:type="pct"/>
          </w:tcPr>
          <w:p w:rsidR="00233205" w:rsidRPr="00B36377" w:rsidRDefault="00233205" w:rsidP="00E30BEC">
            <w:pPr>
              <w:pStyle w:val="NoSpacing"/>
              <w:rPr>
                <w:rFonts w:eastAsia="Calibri" w:cs="Arial"/>
                <w:b/>
                <w:bCs/>
                <w:i/>
                <w:iCs/>
                <w:color w:val="404040" w:themeColor="text1" w:themeTint="BF"/>
                <w:sz w:val="18"/>
                <w:szCs w:val="18"/>
                <w:lang w:val="es-ES_tradnl"/>
              </w:rPr>
            </w:pPr>
            <w:r w:rsidRPr="00B36377">
              <w:rPr>
                <w:sz w:val="18"/>
                <w:szCs w:val="18"/>
                <w:lang w:val="es-ES_tradnl"/>
              </w:rPr>
              <w:t>Proyecto de fortalecimiento infraestructura física de la CGRC formalizado</w:t>
            </w:r>
          </w:p>
        </w:tc>
      </w:tr>
      <w:tr w:rsidR="00233205" w:rsidRPr="00B36377" w:rsidTr="00E30BEC">
        <w:trPr>
          <w:jc w:val="center"/>
        </w:trPr>
        <w:tc>
          <w:tcPr>
            <w:tcW w:w="177" w:type="pct"/>
          </w:tcPr>
          <w:p w:rsidR="00233205" w:rsidRPr="00B36377" w:rsidRDefault="00233205" w:rsidP="00E30BEC">
            <w:pPr>
              <w:pStyle w:val="NoSpacing"/>
              <w:jc w:val="center"/>
              <w:rPr>
                <w:sz w:val="18"/>
                <w:szCs w:val="18"/>
                <w:lang w:val="es-ES_tradnl"/>
              </w:rPr>
            </w:pPr>
            <w:r w:rsidRPr="00B36377">
              <w:rPr>
                <w:sz w:val="18"/>
                <w:szCs w:val="18"/>
                <w:lang w:val="es-ES_tradnl"/>
              </w:rPr>
              <w:lastRenderedPageBreak/>
              <w:t xml:space="preserve">… </w:t>
            </w:r>
          </w:p>
        </w:tc>
        <w:tc>
          <w:tcPr>
            <w:tcW w:w="362" w:type="pct"/>
          </w:tcPr>
          <w:p w:rsidR="00233205" w:rsidRPr="00B36377" w:rsidRDefault="00233205" w:rsidP="00E30BEC">
            <w:pPr>
              <w:pStyle w:val="NoSpacing"/>
              <w:jc w:val="center"/>
              <w:rPr>
                <w:sz w:val="18"/>
                <w:szCs w:val="18"/>
                <w:lang w:val="es-ES_tradnl"/>
              </w:rPr>
            </w:pPr>
            <w:r w:rsidRPr="00B36377">
              <w:rPr>
                <w:sz w:val="18"/>
                <w:szCs w:val="18"/>
                <w:lang w:val="es-ES_tradnl"/>
              </w:rPr>
              <w:t>… EFS-19 (i) a), c)</w:t>
            </w:r>
          </w:p>
        </w:tc>
        <w:tc>
          <w:tcPr>
            <w:tcW w:w="777" w:type="pct"/>
          </w:tcPr>
          <w:p w:rsidR="00233205" w:rsidRPr="00B36377" w:rsidRDefault="00233205" w:rsidP="00E30BEC">
            <w:pPr>
              <w:pStyle w:val="NoSpacing"/>
              <w:rPr>
                <w:rFonts w:eastAsia="Calibri" w:cs="Arial"/>
                <w:sz w:val="18"/>
                <w:szCs w:val="18"/>
                <w:lang w:val="es-ES_tradnl"/>
              </w:rPr>
            </w:pPr>
          </w:p>
        </w:tc>
        <w:tc>
          <w:tcPr>
            <w:tcW w:w="1346" w:type="pct"/>
          </w:tcPr>
          <w:p w:rsidR="00233205" w:rsidRPr="00B36377" w:rsidRDefault="00233205" w:rsidP="00233205">
            <w:pPr>
              <w:pStyle w:val="NoSpacing"/>
              <w:numPr>
                <w:ilvl w:val="0"/>
                <w:numId w:val="76"/>
              </w:numPr>
              <w:ind w:left="219" w:hanging="219"/>
              <w:rPr>
                <w:sz w:val="18"/>
                <w:szCs w:val="18"/>
                <w:lang w:val="es-ES_tradnl"/>
              </w:rPr>
            </w:pPr>
            <w:r w:rsidRPr="00B36377">
              <w:rPr>
                <w:sz w:val="18"/>
                <w:szCs w:val="18"/>
                <w:lang w:val="es-ES_tradnl"/>
              </w:rPr>
              <w:t xml:space="preserve">Formalizar en un proyecto específico, el fortalecimiento de la </w:t>
            </w:r>
            <w:proofErr w:type="spellStart"/>
            <w:r w:rsidRPr="00B36377">
              <w:rPr>
                <w:sz w:val="18"/>
                <w:szCs w:val="18"/>
                <w:lang w:val="es-ES_tradnl"/>
              </w:rPr>
              <w:t>TICs</w:t>
            </w:r>
            <w:proofErr w:type="spellEnd"/>
            <w:r w:rsidRPr="00B36377">
              <w:rPr>
                <w:sz w:val="18"/>
                <w:szCs w:val="18"/>
                <w:lang w:val="es-ES_tradnl"/>
              </w:rPr>
              <w:t>,  Plan Estratégico de Tecnología de Información o similar, el cual contemple:</w:t>
            </w:r>
          </w:p>
          <w:p w:rsidR="00233205" w:rsidRPr="00B36377" w:rsidRDefault="00233205" w:rsidP="00233205">
            <w:pPr>
              <w:pStyle w:val="NoSpacing"/>
              <w:numPr>
                <w:ilvl w:val="0"/>
                <w:numId w:val="78"/>
              </w:numPr>
              <w:rPr>
                <w:sz w:val="18"/>
                <w:szCs w:val="18"/>
                <w:lang w:val="es-ES_tradnl"/>
              </w:rPr>
            </w:pPr>
            <w:r w:rsidRPr="00B36377">
              <w:rPr>
                <w:sz w:val="18"/>
                <w:szCs w:val="18"/>
                <w:lang w:val="es-ES_tradnl"/>
              </w:rPr>
              <w:t>La consideración de las lecciones aprendidas como parte de la ejecución de propuestas anteriores</w:t>
            </w:r>
          </w:p>
          <w:p w:rsidR="00233205" w:rsidRPr="00B36377" w:rsidRDefault="00233205" w:rsidP="00233205">
            <w:pPr>
              <w:pStyle w:val="NoSpacing"/>
              <w:numPr>
                <w:ilvl w:val="0"/>
                <w:numId w:val="78"/>
              </w:numPr>
              <w:rPr>
                <w:sz w:val="18"/>
                <w:szCs w:val="18"/>
                <w:lang w:val="es-ES_tradnl"/>
              </w:rPr>
            </w:pPr>
            <w:r w:rsidRPr="00B36377">
              <w:rPr>
                <w:sz w:val="18"/>
                <w:szCs w:val="18"/>
                <w:lang w:val="es-ES_tradnl"/>
              </w:rPr>
              <w:t>Las necesidades identificadas por las diferentes unidades</w:t>
            </w:r>
          </w:p>
          <w:p w:rsidR="00233205" w:rsidRPr="00B36377" w:rsidRDefault="00233205" w:rsidP="00233205">
            <w:pPr>
              <w:pStyle w:val="NoSpacing"/>
              <w:numPr>
                <w:ilvl w:val="0"/>
                <w:numId w:val="78"/>
              </w:numPr>
              <w:rPr>
                <w:sz w:val="18"/>
                <w:szCs w:val="18"/>
                <w:lang w:val="es-ES_tradnl"/>
              </w:rPr>
            </w:pPr>
            <w:r w:rsidRPr="00B36377">
              <w:rPr>
                <w:sz w:val="18"/>
                <w:szCs w:val="18"/>
                <w:lang w:val="es-ES_tradnl"/>
              </w:rPr>
              <w:t xml:space="preserve">Los aportes de las </w:t>
            </w:r>
            <w:proofErr w:type="spellStart"/>
            <w:r w:rsidRPr="00B36377">
              <w:rPr>
                <w:sz w:val="18"/>
                <w:szCs w:val="18"/>
                <w:lang w:val="es-ES_tradnl"/>
              </w:rPr>
              <w:t>TICs</w:t>
            </w:r>
            <w:proofErr w:type="spellEnd"/>
            <w:r w:rsidRPr="00B36377">
              <w:rPr>
                <w:sz w:val="18"/>
                <w:szCs w:val="18"/>
                <w:lang w:val="es-ES_tradnl"/>
              </w:rPr>
              <w:t xml:space="preserve"> a la misión de la CGRC</w:t>
            </w:r>
          </w:p>
          <w:p w:rsidR="00233205" w:rsidRPr="00B36377" w:rsidRDefault="00233205" w:rsidP="00233205">
            <w:pPr>
              <w:pStyle w:val="NoSpacing"/>
              <w:numPr>
                <w:ilvl w:val="0"/>
                <w:numId w:val="78"/>
              </w:numPr>
              <w:rPr>
                <w:sz w:val="18"/>
                <w:szCs w:val="18"/>
                <w:lang w:val="es-ES_tradnl"/>
              </w:rPr>
            </w:pPr>
            <w:r w:rsidRPr="00B36377">
              <w:rPr>
                <w:sz w:val="18"/>
                <w:szCs w:val="18"/>
                <w:lang w:val="es-ES_tradnl"/>
              </w:rPr>
              <w:t>La integración de la arquitectura tecnológica</w:t>
            </w:r>
          </w:p>
          <w:p w:rsidR="00233205" w:rsidRPr="00B36377" w:rsidRDefault="00233205" w:rsidP="00233205">
            <w:pPr>
              <w:pStyle w:val="NoSpacing"/>
              <w:numPr>
                <w:ilvl w:val="0"/>
                <w:numId w:val="78"/>
              </w:numPr>
              <w:rPr>
                <w:sz w:val="18"/>
                <w:szCs w:val="18"/>
                <w:lang w:val="es-ES_tradnl"/>
              </w:rPr>
            </w:pPr>
            <w:r w:rsidRPr="00B36377">
              <w:rPr>
                <w:sz w:val="18"/>
                <w:szCs w:val="18"/>
                <w:lang w:val="es-ES_tradnl"/>
              </w:rPr>
              <w:t>El desarrollo e implementación de Planes de recuperación de desastres</w:t>
            </w:r>
          </w:p>
          <w:p w:rsidR="00233205" w:rsidRPr="00B36377" w:rsidRDefault="00233205" w:rsidP="00233205">
            <w:pPr>
              <w:pStyle w:val="NoSpacing"/>
              <w:numPr>
                <w:ilvl w:val="0"/>
                <w:numId w:val="78"/>
              </w:numPr>
              <w:rPr>
                <w:sz w:val="18"/>
                <w:szCs w:val="18"/>
                <w:lang w:val="es-ES_tradnl"/>
              </w:rPr>
            </w:pPr>
            <w:r w:rsidRPr="00B36377">
              <w:rPr>
                <w:sz w:val="18"/>
                <w:szCs w:val="18"/>
                <w:lang w:val="es-ES_tradnl"/>
              </w:rPr>
              <w:t>Los lineamientos para el desarrollo e implantación de la estrategia de Gobierno en Línea.</w:t>
            </w:r>
          </w:p>
          <w:p w:rsidR="00233205" w:rsidRPr="00B36377" w:rsidRDefault="00233205" w:rsidP="00233205">
            <w:pPr>
              <w:pStyle w:val="NoSpacing"/>
              <w:numPr>
                <w:ilvl w:val="0"/>
                <w:numId w:val="78"/>
              </w:numPr>
              <w:rPr>
                <w:sz w:val="18"/>
                <w:szCs w:val="18"/>
                <w:lang w:val="es-ES_tradnl"/>
              </w:rPr>
            </w:pPr>
            <w:r w:rsidRPr="00B36377">
              <w:rPr>
                <w:sz w:val="18"/>
                <w:szCs w:val="18"/>
                <w:lang w:val="es-ES_tradnl"/>
              </w:rPr>
              <w:t>Los recursos presupuestales para atender el  PETI</w:t>
            </w:r>
          </w:p>
          <w:p w:rsidR="00233205" w:rsidRPr="00B36377" w:rsidRDefault="00233205" w:rsidP="00E30BEC">
            <w:pPr>
              <w:pStyle w:val="NoSpacing"/>
              <w:ind w:left="579"/>
              <w:rPr>
                <w:sz w:val="18"/>
                <w:szCs w:val="18"/>
                <w:lang w:val="es-ES_tradnl"/>
              </w:rPr>
            </w:pPr>
          </w:p>
        </w:tc>
        <w:tc>
          <w:tcPr>
            <w:tcW w:w="777" w:type="pct"/>
          </w:tcPr>
          <w:p w:rsidR="00233205" w:rsidRPr="00B36377" w:rsidRDefault="00233205" w:rsidP="00233205">
            <w:pPr>
              <w:pStyle w:val="NoSpacing"/>
              <w:numPr>
                <w:ilvl w:val="0"/>
                <w:numId w:val="79"/>
              </w:numPr>
              <w:ind w:left="223" w:hanging="223"/>
              <w:rPr>
                <w:sz w:val="18"/>
                <w:szCs w:val="18"/>
                <w:lang w:val="es-ES_tradnl"/>
              </w:rPr>
            </w:pPr>
            <w:r w:rsidRPr="00B36377">
              <w:rPr>
                <w:sz w:val="18"/>
                <w:szCs w:val="18"/>
                <w:lang w:val="es-ES_tradnl"/>
              </w:rPr>
              <w:t>Mejoran los niveles de eficiencia del personal</w:t>
            </w:r>
          </w:p>
          <w:p w:rsidR="00233205" w:rsidRPr="00B36377" w:rsidRDefault="00233205" w:rsidP="00E30BEC">
            <w:pPr>
              <w:pStyle w:val="NoSpacing"/>
              <w:ind w:left="223" w:hanging="223"/>
              <w:rPr>
                <w:sz w:val="18"/>
                <w:szCs w:val="18"/>
                <w:lang w:val="es-ES_tradnl"/>
              </w:rPr>
            </w:pPr>
          </w:p>
          <w:p w:rsidR="00233205" w:rsidRPr="00B36377" w:rsidRDefault="00233205" w:rsidP="00233205">
            <w:pPr>
              <w:pStyle w:val="NoSpacing"/>
              <w:numPr>
                <w:ilvl w:val="0"/>
                <w:numId w:val="79"/>
              </w:numPr>
              <w:ind w:left="223" w:hanging="223"/>
              <w:rPr>
                <w:rFonts w:eastAsia="Calibri" w:cs="Arial"/>
                <w:sz w:val="18"/>
                <w:szCs w:val="18"/>
                <w:lang w:val="es-ES_tradnl"/>
              </w:rPr>
            </w:pPr>
            <w:r w:rsidRPr="00B36377">
              <w:rPr>
                <w:sz w:val="18"/>
                <w:szCs w:val="18"/>
                <w:lang w:val="es-ES_tradnl"/>
              </w:rPr>
              <w:t>Mejoras en la gestión institucional</w:t>
            </w:r>
          </w:p>
        </w:tc>
        <w:tc>
          <w:tcPr>
            <w:tcW w:w="517" w:type="pct"/>
          </w:tcPr>
          <w:p w:rsidR="00233205" w:rsidRPr="00B36377" w:rsidRDefault="00233205" w:rsidP="00E30BEC">
            <w:pPr>
              <w:pStyle w:val="NoSpacing"/>
              <w:rPr>
                <w:rFonts w:cstheme="majorBidi"/>
                <w:b/>
                <w:bCs/>
                <w:i/>
                <w:iCs/>
                <w:color w:val="404040" w:themeColor="text1" w:themeTint="BF"/>
                <w:sz w:val="18"/>
                <w:szCs w:val="18"/>
                <w:lang w:val="es-ES_tradnl"/>
              </w:rPr>
            </w:pPr>
            <w:r w:rsidRPr="00B36377">
              <w:rPr>
                <w:sz w:val="18"/>
                <w:szCs w:val="18"/>
                <w:lang w:val="es-ES_tradnl"/>
              </w:rPr>
              <w:t>Oficina de Sistemas e Informática</w:t>
            </w:r>
          </w:p>
          <w:p w:rsidR="00233205" w:rsidRPr="00B36377" w:rsidRDefault="00233205" w:rsidP="00E30BEC">
            <w:pPr>
              <w:pStyle w:val="NoSpacing"/>
              <w:rPr>
                <w:sz w:val="18"/>
                <w:szCs w:val="18"/>
                <w:lang w:val="es-ES_tradnl"/>
              </w:rPr>
            </w:pPr>
          </w:p>
          <w:p w:rsidR="00233205" w:rsidRPr="00B36377" w:rsidRDefault="00233205" w:rsidP="00E30BEC">
            <w:pPr>
              <w:pStyle w:val="NoSpacing"/>
              <w:rPr>
                <w:rFonts w:eastAsia="Calibri" w:cs="Arial"/>
                <w:b/>
                <w:bCs/>
                <w:i/>
                <w:iCs/>
                <w:color w:val="404040" w:themeColor="text1" w:themeTint="BF"/>
                <w:sz w:val="18"/>
                <w:szCs w:val="18"/>
                <w:lang w:val="es-ES_tradnl"/>
              </w:rPr>
            </w:pPr>
            <w:r w:rsidRPr="00B36377">
              <w:rPr>
                <w:sz w:val="18"/>
                <w:szCs w:val="18"/>
                <w:lang w:val="es-ES_tradnl"/>
              </w:rPr>
              <w:t>Todas las Gerencias</w:t>
            </w:r>
          </w:p>
        </w:tc>
        <w:tc>
          <w:tcPr>
            <w:tcW w:w="465" w:type="pct"/>
          </w:tcPr>
          <w:p w:rsidR="00233205" w:rsidRPr="00B36377" w:rsidRDefault="00233205" w:rsidP="00E30BEC">
            <w:pPr>
              <w:pStyle w:val="NoSpacing"/>
              <w:rPr>
                <w:rFonts w:eastAsia="Calibri" w:cs="Arial"/>
                <w:b/>
                <w:bCs/>
                <w:i/>
                <w:iCs/>
                <w:color w:val="404040" w:themeColor="text1" w:themeTint="BF"/>
                <w:sz w:val="18"/>
                <w:szCs w:val="18"/>
                <w:lang w:val="es-ES_tradnl"/>
              </w:rPr>
            </w:pPr>
            <w:r w:rsidRPr="00B36377">
              <w:rPr>
                <w:sz w:val="18"/>
                <w:szCs w:val="18"/>
                <w:lang w:val="es-ES_tradnl"/>
              </w:rPr>
              <w:t>2do. semestre de  2015</w:t>
            </w:r>
          </w:p>
        </w:tc>
        <w:tc>
          <w:tcPr>
            <w:tcW w:w="579" w:type="pct"/>
          </w:tcPr>
          <w:p w:rsidR="00233205" w:rsidRPr="00B36377" w:rsidRDefault="00233205" w:rsidP="00E30BEC">
            <w:pPr>
              <w:pStyle w:val="NoSpacing"/>
              <w:rPr>
                <w:rFonts w:cstheme="majorBidi"/>
                <w:b/>
                <w:bCs/>
                <w:i/>
                <w:iCs/>
                <w:color w:val="404040" w:themeColor="text1" w:themeTint="BF"/>
                <w:sz w:val="18"/>
                <w:szCs w:val="18"/>
                <w:lang w:val="es-ES_tradnl"/>
              </w:rPr>
            </w:pPr>
            <w:r w:rsidRPr="00B36377">
              <w:rPr>
                <w:sz w:val="18"/>
                <w:szCs w:val="18"/>
                <w:lang w:val="es-ES_tradnl"/>
              </w:rPr>
              <w:t>Plan Estratégico de Tecnología de Información</w:t>
            </w:r>
          </w:p>
          <w:p w:rsidR="00233205" w:rsidRPr="00B36377" w:rsidRDefault="00233205" w:rsidP="00E30BEC">
            <w:pPr>
              <w:pStyle w:val="NoSpacing"/>
              <w:rPr>
                <w:sz w:val="18"/>
                <w:szCs w:val="18"/>
                <w:lang w:val="es-ES_tradnl"/>
              </w:rPr>
            </w:pPr>
          </w:p>
          <w:p w:rsidR="00233205" w:rsidRPr="00B36377" w:rsidRDefault="00233205" w:rsidP="00E30BEC">
            <w:pPr>
              <w:pStyle w:val="NoSpacing"/>
              <w:rPr>
                <w:sz w:val="18"/>
                <w:szCs w:val="18"/>
                <w:lang w:val="es-ES_tradnl"/>
              </w:rPr>
            </w:pPr>
          </w:p>
          <w:p w:rsidR="00233205" w:rsidRPr="00B36377" w:rsidRDefault="00233205" w:rsidP="00E30BEC">
            <w:pPr>
              <w:pStyle w:val="NoSpacing"/>
              <w:rPr>
                <w:rFonts w:cstheme="majorBidi"/>
                <w:b/>
                <w:bCs/>
                <w:i/>
                <w:iCs/>
                <w:color w:val="404040" w:themeColor="text1" w:themeTint="BF"/>
                <w:sz w:val="18"/>
                <w:szCs w:val="18"/>
                <w:lang w:val="es-ES_tradnl"/>
              </w:rPr>
            </w:pPr>
            <w:r w:rsidRPr="00B36377">
              <w:rPr>
                <w:sz w:val="18"/>
                <w:szCs w:val="18"/>
                <w:lang w:val="es-ES_tradnl"/>
              </w:rPr>
              <w:t>Sistemas de información diseñados e implantados</w:t>
            </w:r>
          </w:p>
          <w:p w:rsidR="00233205" w:rsidRPr="00B36377" w:rsidRDefault="00233205" w:rsidP="00E30BEC">
            <w:pPr>
              <w:pStyle w:val="NoSpacing"/>
              <w:rPr>
                <w:sz w:val="18"/>
                <w:szCs w:val="18"/>
                <w:lang w:val="es-ES_tradnl"/>
              </w:rPr>
            </w:pPr>
          </w:p>
          <w:p w:rsidR="00233205" w:rsidRPr="00B36377" w:rsidRDefault="00233205" w:rsidP="00E30BEC">
            <w:pPr>
              <w:pStyle w:val="NoSpacing"/>
              <w:rPr>
                <w:rFonts w:cstheme="majorBidi"/>
                <w:b/>
                <w:bCs/>
                <w:i/>
                <w:iCs/>
                <w:color w:val="404040" w:themeColor="text1" w:themeTint="BF"/>
                <w:sz w:val="18"/>
                <w:szCs w:val="18"/>
                <w:lang w:val="es-ES_tradnl"/>
              </w:rPr>
            </w:pPr>
            <w:r w:rsidRPr="00B36377">
              <w:rPr>
                <w:sz w:val="18"/>
                <w:szCs w:val="18"/>
                <w:lang w:val="es-ES_tradnl"/>
              </w:rPr>
              <w:t xml:space="preserve">Unidades con </w:t>
            </w:r>
            <w:proofErr w:type="spellStart"/>
            <w:r w:rsidRPr="00B36377">
              <w:rPr>
                <w:sz w:val="18"/>
                <w:szCs w:val="18"/>
                <w:lang w:val="es-ES_tradnl"/>
              </w:rPr>
              <w:t>TICs</w:t>
            </w:r>
            <w:proofErr w:type="spellEnd"/>
            <w:r w:rsidRPr="00B36377">
              <w:rPr>
                <w:sz w:val="18"/>
                <w:szCs w:val="18"/>
                <w:lang w:val="es-ES_tradnl"/>
              </w:rPr>
              <w:t xml:space="preserve"> para atender sus funciones</w:t>
            </w:r>
          </w:p>
          <w:p w:rsidR="00233205" w:rsidRPr="00B36377" w:rsidRDefault="00233205" w:rsidP="00E30BEC">
            <w:pPr>
              <w:pStyle w:val="NoSpacing"/>
              <w:rPr>
                <w:sz w:val="18"/>
                <w:szCs w:val="18"/>
                <w:lang w:val="es-ES_tradnl"/>
              </w:rPr>
            </w:pPr>
          </w:p>
          <w:p w:rsidR="00233205" w:rsidRPr="00B36377" w:rsidRDefault="00233205" w:rsidP="00E30BEC">
            <w:pPr>
              <w:pStyle w:val="NoSpacing"/>
              <w:rPr>
                <w:rFonts w:eastAsia="Calibri" w:cs="Arial"/>
                <w:b/>
                <w:bCs/>
                <w:i/>
                <w:iCs/>
                <w:color w:val="404040" w:themeColor="text1" w:themeTint="BF"/>
                <w:sz w:val="18"/>
                <w:szCs w:val="18"/>
                <w:lang w:val="es-ES_tradnl"/>
              </w:rPr>
            </w:pPr>
            <w:proofErr w:type="spellStart"/>
            <w:r w:rsidRPr="00B36377">
              <w:rPr>
                <w:sz w:val="18"/>
                <w:szCs w:val="18"/>
                <w:lang w:val="es-ES_tradnl"/>
              </w:rPr>
              <w:t>TICs</w:t>
            </w:r>
            <w:proofErr w:type="spellEnd"/>
            <w:r w:rsidRPr="00B36377">
              <w:rPr>
                <w:sz w:val="18"/>
                <w:szCs w:val="18"/>
                <w:lang w:val="es-ES_tradnl"/>
              </w:rPr>
              <w:t xml:space="preserve"> integradas</w:t>
            </w:r>
          </w:p>
        </w:tc>
      </w:tr>
      <w:tr w:rsidR="00233205" w:rsidRPr="00B36377" w:rsidTr="00E30BEC">
        <w:trPr>
          <w:trHeight w:val="449"/>
          <w:jc w:val="center"/>
        </w:trPr>
        <w:tc>
          <w:tcPr>
            <w:tcW w:w="177" w:type="pct"/>
          </w:tcPr>
          <w:p w:rsidR="00233205" w:rsidRPr="00B36377" w:rsidRDefault="00233205" w:rsidP="00E30BEC">
            <w:pPr>
              <w:pStyle w:val="NoSpacing"/>
              <w:jc w:val="center"/>
              <w:rPr>
                <w:rFonts w:cstheme="majorBidi"/>
                <w:b/>
                <w:bCs/>
                <w:i/>
                <w:iCs/>
                <w:color w:val="404040" w:themeColor="text1" w:themeTint="BF"/>
                <w:sz w:val="18"/>
                <w:szCs w:val="18"/>
                <w:lang w:val="es-ES_tradnl"/>
              </w:rPr>
            </w:pPr>
            <w:r w:rsidRPr="00B36377">
              <w:rPr>
                <w:sz w:val="18"/>
                <w:szCs w:val="18"/>
                <w:lang w:val="es-ES_tradnl"/>
              </w:rPr>
              <w:t>21</w:t>
            </w:r>
          </w:p>
        </w:tc>
        <w:tc>
          <w:tcPr>
            <w:tcW w:w="362" w:type="pct"/>
          </w:tcPr>
          <w:p w:rsidR="00233205" w:rsidRPr="00B36377" w:rsidRDefault="00233205" w:rsidP="00E30BEC">
            <w:pPr>
              <w:pStyle w:val="NoSpacing"/>
              <w:jc w:val="center"/>
              <w:rPr>
                <w:rFonts w:cstheme="majorBidi"/>
                <w:i/>
                <w:iCs/>
                <w:color w:val="404040" w:themeColor="text1" w:themeTint="BF"/>
                <w:sz w:val="18"/>
                <w:szCs w:val="18"/>
                <w:lang w:val="es-ES_tradnl"/>
              </w:rPr>
            </w:pPr>
            <w:r w:rsidRPr="00B36377">
              <w:rPr>
                <w:sz w:val="18"/>
                <w:szCs w:val="18"/>
                <w:lang w:val="es-ES_tradnl"/>
              </w:rPr>
              <w:t>EFS-19 (i) e)</w:t>
            </w:r>
          </w:p>
        </w:tc>
        <w:tc>
          <w:tcPr>
            <w:tcW w:w="777" w:type="pct"/>
          </w:tcPr>
          <w:p w:rsidR="00233205" w:rsidRPr="00B36377" w:rsidRDefault="00233205" w:rsidP="00E30BEC">
            <w:pPr>
              <w:pStyle w:val="NoSpacing"/>
              <w:rPr>
                <w:rFonts w:eastAsia="Calibri" w:cs="Arial"/>
                <w:sz w:val="18"/>
                <w:szCs w:val="18"/>
                <w:lang w:val="es-ES_tradnl"/>
              </w:rPr>
            </w:pPr>
            <w:r w:rsidRPr="00B36377">
              <w:rPr>
                <w:color w:val="000000"/>
                <w:sz w:val="18"/>
                <w:szCs w:val="18"/>
                <w:lang w:val="es-ES_tradnl"/>
              </w:rPr>
              <w:t>No se dispone de infraestructura física y tecnológica para el  manejo y  conservación de la información.</w:t>
            </w:r>
          </w:p>
        </w:tc>
        <w:tc>
          <w:tcPr>
            <w:tcW w:w="1346" w:type="pct"/>
          </w:tcPr>
          <w:p w:rsidR="00233205" w:rsidRPr="00B36377" w:rsidRDefault="00233205" w:rsidP="00E30BEC">
            <w:pPr>
              <w:pStyle w:val="NoSpacing"/>
              <w:rPr>
                <w:sz w:val="18"/>
                <w:szCs w:val="18"/>
                <w:lang w:val="es-ES_tradnl"/>
              </w:rPr>
            </w:pPr>
            <w:r w:rsidRPr="00B36377">
              <w:rPr>
                <w:sz w:val="18"/>
                <w:szCs w:val="18"/>
                <w:lang w:val="es-ES_tradnl"/>
              </w:rPr>
              <w:t>Diseñar e implementar un sistema para la conservación de la información que cubra:</w:t>
            </w:r>
          </w:p>
          <w:p w:rsidR="00233205" w:rsidRPr="00B36377" w:rsidRDefault="00233205" w:rsidP="00233205">
            <w:pPr>
              <w:pStyle w:val="NoSpacing"/>
              <w:numPr>
                <w:ilvl w:val="0"/>
                <w:numId w:val="80"/>
              </w:numPr>
              <w:rPr>
                <w:sz w:val="18"/>
                <w:szCs w:val="18"/>
                <w:lang w:val="es-ES_tradnl"/>
              </w:rPr>
            </w:pPr>
            <w:r w:rsidRPr="00B36377">
              <w:rPr>
                <w:sz w:val="18"/>
                <w:szCs w:val="18"/>
                <w:lang w:val="es-ES_tradnl"/>
              </w:rPr>
              <w:t>La adecuación de la infraestructura física para la preservación de la información</w:t>
            </w:r>
          </w:p>
          <w:p w:rsidR="00233205" w:rsidRPr="00B36377" w:rsidRDefault="00233205" w:rsidP="00233205">
            <w:pPr>
              <w:pStyle w:val="NoSpacing"/>
              <w:numPr>
                <w:ilvl w:val="0"/>
                <w:numId w:val="80"/>
              </w:numPr>
              <w:rPr>
                <w:sz w:val="18"/>
                <w:szCs w:val="18"/>
                <w:lang w:val="es-ES_tradnl"/>
              </w:rPr>
            </w:pPr>
            <w:r w:rsidRPr="00B36377">
              <w:rPr>
                <w:sz w:val="18"/>
                <w:szCs w:val="18"/>
                <w:lang w:val="es-ES_tradnl"/>
              </w:rPr>
              <w:t xml:space="preserve">El diseño e implantación de herramientas </w:t>
            </w:r>
            <w:r w:rsidRPr="00B36377">
              <w:rPr>
                <w:sz w:val="18"/>
                <w:szCs w:val="18"/>
                <w:lang w:val="es-ES_tradnl"/>
              </w:rPr>
              <w:lastRenderedPageBreak/>
              <w:t>tecnológicas de soporte para la recepción, producción, distribución, consulta y organización de la información.</w:t>
            </w:r>
          </w:p>
          <w:p w:rsidR="00233205" w:rsidRPr="00B36377" w:rsidRDefault="00233205" w:rsidP="00233205">
            <w:pPr>
              <w:pStyle w:val="NoSpacing"/>
              <w:numPr>
                <w:ilvl w:val="0"/>
                <w:numId w:val="80"/>
              </w:numPr>
              <w:rPr>
                <w:sz w:val="18"/>
                <w:szCs w:val="18"/>
                <w:lang w:val="es-ES_tradnl"/>
              </w:rPr>
            </w:pPr>
            <w:r w:rsidRPr="00B36377">
              <w:rPr>
                <w:sz w:val="18"/>
                <w:szCs w:val="18"/>
                <w:lang w:val="es-ES_tradnl"/>
              </w:rPr>
              <w:t>Actualización del Plan de contingencia de la información en general y bajo tecnología de información.</w:t>
            </w:r>
          </w:p>
          <w:p w:rsidR="00233205" w:rsidRPr="00B36377" w:rsidRDefault="00233205" w:rsidP="00233205">
            <w:pPr>
              <w:pStyle w:val="NoSpacing"/>
              <w:numPr>
                <w:ilvl w:val="0"/>
                <w:numId w:val="80"/>
              </w:numPr>
              <w:rPr>
                <w:sz w:val="18"/>
                <w:szCs w:val="18"/>
                <w:lang w:val="es-ES_tradnl"/>
              </w:rPr>
            </w:pPr>
            <w:r w:rsidRPr="00B36377">
              <w:rPr>
                <w:sz w:val="18"/>
                <w:szCs w:val="18"/>
                <w:lang w:val="es-ES_tradnl"/>
              </w:rPr>
              <w:t>Las soluciones deberán ser cubiertas como parte de la implantación de los proyectos de fortalecimiento de la infraestructura física y tecnológica.</w:t>
            </w:r>
          </w:p>
          <w:p w:rsidR="00233205" w:rsidRPr="00B36377" w:rsidRDefault="00233205" w:rsidP="00E30BEC">
            <w:pPr>
              <w:pStyle w:val="NoSpacing"/>
              <w:ind w:left="360"/>
              <w:rPr>
                <w:sz w:val="18"/>
                <w:szCs w:val="18"/>
                <w:lang w:val="es-ES_tradnl"/>
              </w:rPr>
            </w:pPr>
          </w:p>
        </w:tc>
        <w:tc>
          <w:tcPr>
            <w:tcW w:w="777" w:type="pct"/>
          </w:tcPr>
          <w:p w:rsidR="00233205" w:rsidRPr="00B36377" w:rsidRDefault="00233205" w:rsidP="00233205">
            <w:pPr>
              <w:pStyle w:val="NoSpacing"/>
              <w:numPr>
                <w:ilvl w:val="0"/>
                <w:numId w:val="81"/>
              </w:numPr>
              <w:ind w:left="223" w:hanging="223"/>
              <w:rPr>
                <w:sz w:val="18"/>
                <w:szCs w:val="18"/>
                <w:lang w:val="es-ES_tradnl"/>
              </w:rPr>
            </w:pPr>
            <w:r w:rsidRPr="00B36377">
              <w:rPr>
                <w:sz w:val="18"/>
                <w:szCs w:val="18"/>
                <w:lang w:val="es-ES_tradnl"/>
              </w:rPr>
              <w:lastRenderedPageBreak/>
              <w:t>Seguridad de la información</w:t>
            </w:r>
          </w:p>
          <w:p w:rsidR="00233205" w:rsidRPr="00B36377" w:rsidRDefault="00233205" w:rsidP="00E30BEC">
            <w:pPr>
              <w:pStyle w:val="NoSpacing"/>
              <w:ind w:left="223" w:hanging="223"/>
              <w:rPr>
                <w:sz w:val="18"/>
                <w:szCs w:val="18"/>
                <w:lang w:val="es-ES_tradnl"/>
              </w:rPr>
            </w:pPr>
          </w:p>
          <w:p w:rsidR="00233205" w:rsidRPr="00B36377" w:rsidRDefault="00233205" w:rsidP="00233205">
            <w:pPr>
              <w:pStyle w:val="NoSpacing"/>
              <w:numPr>
                <w:ilvl w:val="0"/>
                <w:numId w:val="81"/>
              </w:numPr>
              <w:ind w:left="223" w:hanging="223"/>
              <w:rPr>
                <w:rFonts w:eastAsia="Calibri" w:cs="Arial"/>
                <w:sz w:val="18"/>
                <w:szCs w:val="18"/>
                <w:lang w:val="es-ES_tradnl"/>
              </w:rPr>
            </w:pPr>
            <w:r w:rsidRPr="00B36377">
              <w:rPr>
                <w:sz w:val="18"/>
                <w:szCs w:val="18"/>
                <w:lang w:val="es-ES_tradnl"/>
              </w:rPr>
              <w:t>Aumento de la calidad en los procesos</w:t>
            </w:r>
          </w:p>
        </w:tc>
        <w:tc>
          <w:tcPr>
            <w:tcW w:w="517" w:type="pct"/>
          </w:tcPr>
          <w:p w:rsidR="00233205" w:rsidRPr="00B36377" w:rsidRDefault="00233205" w:rsidP="00E30BEC">
            <w:pPr>
              <w:pStyle w:val="NoSpacing"/>
              <w:rPr>
                <w:rFonts w:cstheme="majorBidi"/>
                <w:b/>
                <w:bCs/>
                <w:i/>
                <w:iCs/>
                <w:color w:val="404040" w:themeColor="text1" w:themeTint="BF"/>
                <w:sz w:val="18"/>
                <w:szCs w:val="18"/>
                <w:lang w:val="es-ES_tradnl"/>
              </w:rPr>
            </w:pPr>
            <w:r w:rsidRPr="00B36377">
              <w:rPr>
                <w:sz w:val="18"/>
                <w:szCs w:val="18"/>
                <w:lang w:val="es-ES_tradnl"/>
              </w:rPr>
              <w:t>Gerencia Administrativa Financiera</w:t>
            </w:r>
          </w:p>
          <w:p w:rsidR="00233205" w:rsidRPr="00B36377" w:rsidRDefault="00233205" w:rsidP="00E30BEC">
            <w:pPr>
              <w:pStyle w:val="NoSpacing"/>
              <w:rPr>
                <w:sz w:val="18"/>
                <w:szCs w:val="18"/>
                <w:lang w:val="es-ES_tradnl"/>
              </w:rPr>
            </w:pPr>
          </w:p>
          <w:p w:rsidR="00233205" w:rsidRPr="00B36377" w:rsidRDefault="00233205" w:rsidP="00E30BEC">
            <w:pPr>
              <w:pStyle w:val="NoSpacing"/>
              <w:rPr>
                <w:rFonts w:eastAsia="Calibri" w:cs="Arial"/>
                <w:b/>
                <w:bCs/>
                <w:i/>
                <w:iCs/>
                <w:color w:val="404040" w:themeColor="text1" w:themeTint="BF"/>
                <w:sz w:val="18"/>
                <w:szCs w:val="18"/>
                <w:lang w:val="es-ES_tradnl"/>
              </w:rPr>
            </w:pPr>
            <w:r w:rsidRPr="00B36377">
              <w:rPr>
                <w:sz w:val="18"/>
                <w:szCs w:val="18"/>
                <w:lang w:val="es-ES_tradnl"/>
              </w:rPr>
              <w:t xml:space="preserve">Oficina de </w:t>
            </w:r>
            <w:r w:rsidRPr="00B36377">
              <w:rPr>
                <w:sz w:val="18"/>
                <w:szCs w:val="18"/>
                <w:lang w:val="es-ES_tradnl"/>
              </w:rPr>
              <w:lastRenderedPageBreak/>
              <w:t>Sistemas e Informática</w:t>
            </w:r>
          </w:p>
        </w:tc>
        <w:tc>
          <w:tcPr>
            <w:tcW w:w="465" w:type="pct"/>
          </w:tcPr>
          <w:p w:rsidR="00233205" w:rsidRPr="00B36377" w:rsidRDefault="00233205" w:rsidP="00E30BEC">
            <w:pPr>
              <w:pStyle w:val="NoSpacing"/>
              <w:rPr>
                <w:rFonts w:eastAsia="Calibri" w:cs="Arial"/>
                <w:b/>
                <w:bCs/>
                <w:i/>
                <w:iCs/>
                <w:color w:val="404040" w:themeColor="text1" w:themeTint="BF"/>
                <w:sz w:val="18"/>
                <w:szCs w:val="18"/>
                <w:lang w:val="es-ES_tradnl"/>
              </w:rPr>
            </w:pPr>
            <w:r w:rsidRPr="00B36377">
              <w:rPr>
                <w:sz w:val="18"/>
                <w:szCs w:val="18"/>
                <w:lang w:val="es-ES_tradnl"/>
              </w:rPr>
              <w:lastRenderedPageBreak/>
              <w:t>2do. semestre de  2015</w:t>
            </w:r>
          </w:p>
        </w:tc>
        <w:tc>
          <w:tcPr>
            <w:tcW w:w="579" w:type="pct"/>
          </w:tcPr>
          <w:p w:rsidR="00233205" w:rsidRPr="00B36377" w:rsidRDefault="00233205" w:rsidP="00E30BEC">
            <w:pPr>
              <w:pStyle w:val="NoSpacing"/>
              <w:rPr>
                <w:rFonts w:cstheme="majorBidi"/>
                <w:b/>
                <w:bCs/>
                <w:i/>
                <w:iCs/>
                <w:color w:val="404040" w:themeColor="text1" w:themeTint="BF"/>
                <w:sz w:val="18"/>
                <w:szCs w:val="18"/>
                <w:lang w:val="es-ES_tradnl"/>
              </w:rPr>
            </w:pPr>
            <w:r w:rsidRPr="00B36377">
              <w:rPr>
                <w:sz w:val="18"/>
                <w:szCs w:val="18"/>
                <w:lang w:val="es-ES_tradnl"/>
              </w:rPr>
              <w:t>Proyecto de fortalecimiento infraestructura física de la CGRC</w:t>
            </w:r>
          </w:p>
          <w:p w:rsidR="00233205" w:rsidRPr="00B36377" w:rsidRDefault="00233205" w:rsidP="00E30BEC">
            <w:pPr>
              <w:pStyle w:val="NoSpacing"/>
              <w:rPr>
                <w:sz w:val="18"/>
                <w:szCs w:val="18"/>
                <w:lang w:val="es-ES_tradnl"/>
              </w:rPr>
            </w:pPr>
          </w:p>
          <w:p w:rsidR="00233205" w:rsidRPr="00B36377" w:rsidRDefault="00233205" w:rsidP="00E30BEC">
            <w:pPr>
              <w:pStyle w:val="NoSpacing"/>
              <w:rPr>
                <w:rFonts w:eastAsia="Calibri" w:cs="Arial"/>
                <w:b/>
                <w:bCs/>
                <w:color w:val="4F81BD" w:themeColor="accent1"/>
                <w:sz w:val="18"/>
                <w:szCs w:val="18"/>
                <w:lang w:val="es-ES_tradnl"/>
              </w:rPr>
            </w:pPr>
            <w:r w:rsidRPr="00B36377">
              <w:rPr>
                <w:sz w:val="18"/>
                <w:szCs w:val="18"/>
                <w:lang w:val="es-ES_tradnl"/>
              </w:rPr>
              <w:lastRenderedPageBreak/>
              <w:t>Plan Estratégico de Tecnología de Información</w:t>
            </w:r>
          </w:p>
        </w:tc>
      </w:tr>
      <w:tr w:rsidR="00233205" w:rsidRPr="00B36377" w:rsidTr="00E30BEC">
        <w:trPr>
          <w:jc w:val="center"/>
        </w:trPr>
        <w:tc>
          <w:tcPr>
            <w:tcW w:w="177" w:type="pct"/>
          </w:tcPr>
          <w:p w:rsidR="00233205" w:rsidRPr="00B36377" w:rsidRDefault="00233205" w:rsidP="00E30BEC">
            <w:pPr>
              <w:pStyle w:val="NoSpacing"/>
              <w:jc w:val="center"/>
              <w:rPr>
                <w:rFonts w:cstheme="majorBidi"/>
                <w:b/>
                <w:bCs/>
                <w:i/>
                <w:iCs/>
                <w:color w:val="404040" w:themeColor="text1" w:themeTint="BF"/>
                <w:sz w:val="18"/>
                <w:szCs w:val="18"/>
                <w:lang w:val="es-ES_tradnl"/>
              </w:rPr>
            </w:pPr>
            <w:r w:rsidRPr="00B36377">
              <w:rPr>
                <w:sz w:val="18"/>
                <w:szCs w:val="18"/>
                <w:lang w:val="es-ES_tradnl"/>
              </w:rPr>
              <w:lastRenderedPageBreak/>
              <w:t>22</w:t>
            </w:r>
          </w:p>
        </w:tc>
        <w:tc>
          <w:tcPr>
            <w:tcW w:w="362" w:type="pct"/>
          </w:tcPr>
          <w:p w:rsidR="00233205" w:rsidRPr="00B825AF" w:rsidRDefault="00233205" w:rsidP="00E30BEC">
            <w:pPr>
              <w:pStyle w:val="NoSpacing"/>
              <w:jc w:val="center"/>
              <w:rPr>
                <w:rFonts w:cstheme="majorBidi"/>
                <w:b/>
                <w:bCs/>
                <w:i/>
                <w:iCs/>
                <w:color w:val="404040" w:themeColor="text1" w:themeTint="BF"/>
                <w:sz w:val="18"/>
                <w:szCs w:val="18"/>
              </w:rPr>
            </w:pPr>
            <w:r w:rsidRPr="00B825AF">
              <w:rPr>
                <w:sz w:val="18"/>
                <w:szCs w:val="18"/>
              </w:rPr>
              <w:t>EFS-19 (ii) a), b), c)</w:t>
            </w:r>
          </w:p>
          <w:p w:rsidR="00233205" w:rsidRPr="00B825AF" w:rsidRDefault="00233205" w:rsidP="00E30BEC">
            <w:pPr>
              <w:pStyle w:val="NoSpacing"/>
              <w:jc w:val="center"/>
              <w:rPr>
                <w:rFonts w:cstheme="majorBidi"/>
                <w:b/>
                <w:bCs/>
                <w:i/>
                <w:iCs/>
                <w:color w:val="404040" w:themeColor="text1" w:themeTint="BF"/>
                <w:sz w:val="18"/>
                <w:szCs w:val="18"/>
              </w:rPr>
            </w:pPr>
            <w:r w:rsidRPr="00B825AF">
              <w:rPr>
                <w:sz w:val="18"/>
                <w:szCs w:val="18"/>
              </w:rPr>
              <w:t>d)</w:t>
            </w:r>
          </w:p>
          <w:p w:rsidR="00233205" w:rsidRPr="00B825AF" w:rsidRDefault="00233205" w:rsidP="00E30BEC">
            <w:pPr>
              <w:pStyle w:val="NoSpacing"/>
              <w:jc w:val="center"/>
              <w:rPr>
                <w:sz w:val="18"/>
                <w:szCs w:val="18"/>
              </w:rPr>
            </w:pPr>
          </w:p>
          <w:p w:rsidR="00233205" w:rsidRPr="00B825AF" w:rsidRDefault="00233205" w:rsidP="00E30BEC">
            <w:pPr>
              <w:pStyle w:val="NoSpacing"/>
              <w:jc w:val="center"/>
              <w:rPr>
                <w:rFonts w:cstheme="majorBidi"/>
                <w:b/>
                <w:bCs/>
                <w:i/>
                <w:iCs/>
                <w:color w:val="404040" w:themeColor="text1" w:themeTint="BF"/>
                <w:sz w:val="18"/>
                <w:szCs w:val="18"/>
              </w:rPr>
            </w:pPr>
            <w:r w:rsidRPr="00B825AF">
              <w:rPr>
                <w:sz w:val="18"/>
                <w:szCs w:val="18"/>
              </w:rPr>
              <w:t>EFS-20 (ii) c)</w:t>
            </w:r>
          </w:p>
          <w:p w:rsidR="00233205" w:rsidRPr="00B825AF" w:rsidRDefault="00233205" w:rsidP="00E30BEC">
            <w:pPr>
              <w:pStyle w:val="NoSpacing"/>
              <w:jc w:val="center"/>
              <w:rPr>
                <w:sz w:val="18"/>
                <w:szCs w:val="18"/>
              </w:rPr>
            </w:pPr>
          </w:p>
        </w:tc>
        <w:tc>
          <w:tcPr>
            <w:tcW w:w="777" w:type="pct"/>
          </w:tcPr>
          <w:p w:rsidR="00233205" w:rsidRPr="00B36377" w:rsidRDefault="00233205" w:rsidP="00E30BEC">
            <w:pPr>
              <w:pStyle w:val="NoSpacing"/>
              <w:rPr>
                <w:sz w:val="18"/>
                <w:szCs w:val="18"/>
                <w:lang w:val="es-ES_tradnl"/>
              </w:rPr>
            </w:pPr>
            <w:r w:rsidRPr="00B36377">
              <w:rPr>
                <w:sz w:val="18"/>
                <w:szCs w:val="18"/>
                <w:lang w:val="es-ES_tradnl"/>
              </w:rPr>
              <w:t>No se dispone de un estudio técnico actualizado que justifique la cantidad y competencias de personal requerido para atender el mandato de la Contraloría.   Esta es una debilidad transversal manifestada por las diferentes dependencias es la insuficiencia de recursos humanos para el ejercicio de sus funciones.</w:t>
            </w:r>
          </w:p>
          <w:p w:rsidR="00233205" w:rsidRPr="00B36377" w:rsidRDefault="00233205" w:rsidP="00E30BEC">
            <w:pPr>
              <w:pStyle w:val="NoSpacing"/>
              <w:rPr>
                <w:rFonts w:eastAsia="Calibri" w:cs="Arial"/>
                <w:sz w:val="18"/>
                <w:szCs w:val="18"/>
                <w:lang w:val="es-ES_tradnl"/>
              </w:rPr>
            </w:pPr>
          </w:p>
        </w:tc>
        <w:tc>
          <w:tcPr>
            <w:tcW w:w="1346" w:type="pct"/>
          </w:tcPr>
          <w:p w:rsidR="00233205" w:rsidRPr="00B36377" w:rsidRDefault="00233205" w:rsidP="00233205">
            <w:pPr>
              <w:pStyle w:val="NoSpacing"/>
              <w:numPr>
                <w:ilvl w:val="0"/>
                <w:numId w:val="82"/>
              </w:numPr>
              <w:ind w:left="360"/>
              <w:rPr>
                <w:sz w:val="18"/>
                <w:szCs w:val="18"/>
                <w:lang w:val="es-ES_tradnl"/>
              </w:rPr>
            </w:pPr>
            <w:r w:rsidRPr="00B36377">
              <w:rPr>
                <w:sz w:val="18"/>
                <w:szCs w:val="18"/>
                <w:lang w:val="es-ES_tradnl"/>
              </w:rPr>
              <w:t>Realizar estudio de cargas laborales, con el fin de disponer de un soporte técnico para establecer y validar los recursos humanos requeridos para el ejercicio del mandato de la CGRC.</w:t>
            </w:r>
          </w:p>
          <w:p w:rsidR="00233205" w:rsidRPr="00B36377" w:rsidRDefault="00233205" w:rsidP="00E30BEC">
            <w:pPr>
              <w:pStyle w:val="NoSpacing"/>
              <w:rPr>
                <w:sz w:val="18"/>
                <w:szCs w:val="18"/>
                <w:lang w:val="es-ES_tradnl"/>
              </w:rPr>
            </w:pPr>
          </w:p>
          <w:p w:rsidR="00233205" w:rsidRPr="00B36377" w:rsidRDefault="00233205" w:rsidP="00233205">
            <w:pPr>
              <w:pStyle w:val="NoSpacing"/>
              <w:numPr>
                <w:ilvl w:val="0"/>
                <w:numId w:val="82"/>
              </w:numPr>
              <w:ind w:left="360"/>
              <w:rPr>
                <w:rFonts w:eastAsia="Calibri" w:cs="Arial"/>
                <w:sz w:val="18"/>
                <w:szCs w:val="18"/>
                <w:lang w:val="es-ES_tradnl"/>
              </w:rPr>
            </w:pPr>
            <w:r w:rsidRPr="00B36377">
              <w:rPr>
                <w:sz w:val="18"/>
                <w:szCs w:val="18"/>
                <w:lang w:val="es-ES_tradnl"/>
              </w:rPr>
              <w:t>Contar con un  estudio técnico que justifique el número y competencias del personal que labore en las mismas. Estos estudios deben a actualizarse al menos cada dos años.</w:t>
            </w:r>
          </w:p>
        </w:tc>
        <w:tc>
          <w:tcPr>
            <w:tcW w:w="777" w:type="pct"/>
          </w:tcPr>
          <w:p w:rsidR="00233205" w:rsidRPr="00B36377" w:rsidRDefault="00233205" w:rsidP="00233205">
            <w:pPr>
              <w:pStyle w:val="NoSpacing"/>
              <w:numPr>
                <w:ilvl w:val="0"/>
                <w:numId w:val="83"/>
              </w:numPr>
              <w:ind w:left="223" w:hanging="223"/>
              <w:rPr>
                <w:sz w:val="18"/>
                <w:szCs w:val="18"/>
                <w:lang w:val="es-ES_tradnl"/>
              </w:rPr>
            </w:pPr>
            <w:r w:rsidRPr="00B36377">
              <w:rPr>
                <w:sz w:val="18"/>
                <w:szCs w:val="18"/>
                <w:lang w:val="es-ES_tradnl"/>
              </w:rPr>
              <w:t>Mejoras en la gestión institucional</w:t>
            </w:r>
          </w:p>
          <w:p w:rsidR="00233205" w:rsidRPr="00B36377" w:rsidRDefault="00233205" w:rsidP="00E30BEC">
            <w:pPr>
              <w:pStyle w:val="NoSpacing"/>
              <w:ind w:left="223" w:hanging="223"/>
              <w:rPr>
                <w:sz w:val="18"/>
                <w:szCs w:val="18"/>
                <w:lang w:val="es-ES_tradnl"/>
              </w:rPr>
            </w:pPr>
          </w:p>
          <w:p w:rsidR="00233205" w:rsidRPr="00B36377" w:rsidRDefault="00233205" w:rsidP="00233205">
            <w:pPr>
              <w:pStyle w:val="NoSpacing"/>
              <w:numPr>
                <w:ilvl w:val="0"/>
                <w:numId w:val="83"/>
              </w:numPr>
              <w:ind w:left="223" w:hanging="223"/>
              <w:rPr>
                <w:rFonts w:eastAsia="Calibri" w:cs="Arial"/>
                <w:sz w:val="18"/>
                <w:szCs w:val="18"/>
                <w:lang w:val="es-ES_tradnl"/>
              </w:rPr>
            </w:pPr>
            <w:r w:rsidRPr="00B36377">
              <w:rPr>
                <w:sz w:val="18"/>
                <w:szCs w:val="18"/>
                <w:lang w:val="es-ES_tradnl"/>
              </w:rPr>
              <w:t>La adecuada aplicación de recursos, disminuye el riesgo de ineficiencia y desperdicio de talento humano y aumenta la calidad en los procesos</w:t>
            </w:r>
          </w:p>
        </w:tc>
        <w:tc>
          <w:tcPr>
            <w:tcW w:w="517" w:type="pct"/>
          </w:tcPr>
          <w:p w:rsidR="00233205" w:rsidRPr="00B36377" w:rsidRDefault="00233205" w:rsidP="00E30BEC">
            <w:pPr>
              <w:pStyle w:val="NoSpacing"/>
              <w:rPr>
                <w:rFonts w:eastAsia="Calibri" w:cs="Arial"/>
                <w:b/>
                <w:bCs/>
                <w:i/>
                <w:iCs/>
                <w:color w:val="404040" w:themeColor="text1" w:themeTint="BF"/>
                <w:sz w:val="18"/>
                <w:szCs w:val="18"/>
                <w:lang w:val="es-ES_tradnl"/>
              </w:rPr>
            </w:pPr>
            <w:r w:rsidRPr="00B36377">
              <w:rPr>
                <w:sz w:val="18"/>
                <w:szCs w:val="18"/>
                <w:lang w:val="es-ES_tradnl"/>
              </w:rPr>
              <w:t>Gerencia de Talento Humano</w:t>
            </w:r>
          </w:p>
        </w:tc>
        <w:tc>
          <w:tcPr>
            <w:tcW w:w="465" w:type="pct"/>
          </w:tcPr>
          <w:p w:rsidR="00233205" w:rsidRPr="00B36377" w:rsidRDefault="00233205" w:rsidP="00E30BEC">
            <w:pPr>
              <w:pStyle w:val="NoSpacing"/>
              <w:rPr>
                <w:rFonts w:eastAsia="Calibri" w:cs="Arial"/>
                <w:b/>
                <w:bCs/>
                <w:i/>
                <w:iCs/>
                <w:color w:val="404040" w:themeColor="text1" w:themeTint="BF"/>
                <w:sz w:val="18"/>
                <w:szCs w:val="18"/>
                <w:lang w:val="es-ES_tradnl"/>
              </w:rPr>
            </w:pPr>
            <w:r w:rsidRPr="00B36377">
              <w:rPr>
                <w:sz w:val="18"/>
                <w:szCs w:val="18"/>
                <w:lang w:val="es-ES_tradnl"/>
              </w:rPr>
              <w:t>2do. semestre de  2015</w:t>
            </w:r>
          </w:p>
        </w:tc>
        <w:tc>
          <w:tcPr>
            <w:tcW w:w="579" w:type="pct"/>
          </w:tcPr>
          <w:p w:rsidR="00233205" w:rsidRPr="00B36377" w:rsidRDefault="00233205" w:rsidP="00E30BEC">
            <w:pPr>
              <w:pStyle w:val="NoSpacing"/>
              <w:rPr>
                <w:rFonts w:cstheme="majorBidi"/>
                <w:b/>
                <w:bCs/>
                <w:i/>
                <w:iCs/>
                <w:color w:val="404040" w:themeColor="text1" w:themeTint="BF"/>
                <w:sz w:val="18"/>
                <w:szCs w:val="18"/>
                <w:lang w:val="es-ES_tradnl"/>
              </w:rPr>
            </w:pPr>
            <w:r w:rsidRPr="00B36377">
              <w:rPr>
                <w:sz w:val="18"/>
                <w:szCs w:val="18"/>
                <w:lang w:val="es-ES_tradnl"/>
              </w:rPr>
              <w:t>Estudio de cargas laborales adelantado</w:t>
            </w:r>
          </w:p>
          <w:p w:rsidR="00233205" w:rsidRPr="00B36377" w:rsidRDefault="00233205" w:rsidP="00E30BEC">
            <w:pPr>
              <w:pStyle w:val="NoSpacing"/>
              <w:rPr>
                <w:sz w:val="18"/>
                <w:szCs w:val="18"/>
                <w:lang w:val="es-ES_tradnl"/>
              </w:rPr>
            </w:pPr>
          </w:p>
          <w:p w:rsidR="00233205" w:rsidRPr="00B36377" w:rsidRDefault="00233205" w:rsidP="00E30BEC">
            <w:pPr>
              <w:pStyle w:val="NoSpacing"/>
              <w:rPr>
                <w:rFonts w:eastAsia="Calibri" w:cs="Arial"/>
                <w:b/>
                <w:bCs/>
                <w:i/>
                <w:iCs/>
                <w:color w:val="404040" w:themeColor="text1" w:themeTint="BF"/>
                <w:sz w:val="18"/>
                <w:szCs w:val="18"/>
                <w:lang w:val="es-ES_tradnl"/>
              </w:rPr>
            </w:pPr>
            <w:r w:rsidRPr="00B36377">
              <w:rPr>
                <w:sz w:val="18"/>
                <w:szCs w:val="18"/>
                <w:lang w:val="es-ES_tradnl"/>
              </w:rPr>
              <w:t>Ajuste de la planta de personal con base en estudio</w:t>
            </w:r>
          </w:p>
        </w:tc>
      </w:tr>
      <w:tr w:rsidR="00233205" w:rsidRPr="00B36377" w:rsidTr="00E30BEC">
        <w:trPr>
          <w:jc w:val="center"/>
        </w:trPr>
        <w:tc>
          <w:tcPr>
            <w:tcW w:w="5000" w:type="pct"/>
            <w:gridSpan w:val="8"/>
            <w:shd w:val="clear" w:color="auto" w:fill="D9D9D9" w:themeFill="background1" w:themeFillShade="D9"/>
            <w:vAlign w:val="center"/>
          </w:tcPr>
          <w:p w:rsidR="00233205" w:rsidRPr="00B36377" w:rsidRDefault="00233205" w:rsidP="00E30BEC">
            <w:pPr>
              <w:pStyle w:val="NoSpacing"/>
              <w:jc w:val="center"/>
              <w:rPr>
                <w:rFonts w:cstheme="majorBidi"/>
                <w:b/>
                <w:bCs/>
                <w:i/>
                <w:iCs/>
                <w:color w:val="404040" w:themeColor="text1" w:themeTint="BF"/>
                <w:sz w:val="18"/>
                <w:szCs w:val="18"/>
                <w:lang w:val="es-ES_tradnl"/>
              </w:rPr>
            </w:pPr>
            <w:r w:rsidRPr="00B36377">
              <w:rPr>
                <w:b/>
                <w:sz w:val="18"/>
                <w:szCs w:val="18"/>
                <w:lang w:val="es-ES_tradnl"/>
              </w:rPr>
              <w:t>Dominio F – Recursos Humanos y Liderazgo</w:t>
            </w:r>
          </w:p>
        </w:tc>
      </w:tr>
      <w:tr w:rsidR="00233205" w:rsidRPr="00B36377" w:rsidTr="00E30BEC">
        <w:trPr>
          <w:jc w:val="center"/>
        </w:trPr>
        <w:tc>
          <w:tcPr>
            <w:tcW w:w="177" w:type="pct"/>
          </w:tcPr>
          <w:p w:rsidR="00233205" w:rsidRPr="00B36377" w:rsidRDefault="00233205" w:rsidP="00E30BEC">
            <w:pPr>
              <w:pStyle w:val="NoSpacing"/>
              <w:jc w:val="center"/>
              <w:rPr>
                <w:rFonts w:cstheme="majorBidi"/>
                <w:b/>
                <w:bCs/>
                <w:i/>
                <w:iCs/>
                <w:color w:val="404040" w:themeColor="text1" w:themeTint="BF"/>
                <w:sz w:val="18"/>
                <w:szCs w:val="18"/>
                <w:lang w:val="es-ES_tradnl"/>
              </w:rPr>
            </w:pPr>
            <w:r w:rsidRPr="00B36377">
              <w:rPr>
                <w:sz w:val="18"/>
                <w:szCs w:val="18"/>
                <w:lang w:val="es-ES_tradnl"/>
              </w:rPr>
              <w:t>23</w:t>
            </w:r>
          </w:p>
        </w:tc>
        <w:tc>
          <w:tcPr>
            <w:tcW w:w="362" w:type="pct"/>
          </w:tcPr>
          <w:p w:rsidR="00233205" w:rsidRPr="00B36377" w:rsidRDefault="00233205" w:rsidP="00E30BEC">
            <w:pPr>
              <w:pStyle w:val="NoSpacing"/>
              <w:jc w:val="center"/>
              <w:rPr>
                <w:rFonts w:cstheme="majorBidi"/>
                <w:b/>
                <w:bCs/>
                <w:i/>
                <w:iCs/>
                <w:color w:val="404040" w:themeColor="text1" w:themeTint="BF"/>
                <w:sz w:val="18"/>
                <w:szCs w:val="18"/>
                <w:lang w:val="es-ES_tradnl"/>
              </w:rPr>
            </w:pPr>
            <w:r w:rsidRPr="00B36377">
              <w:rPr>
                <w:sz w:val="18"/>
                <w:szCs w:val="18"/>
                <w:lang w:val="es-ES_tradnl"/>
              </w:rPr>
              <w:t>EFS-20 (ii) b), d)</w:t>
            </w:r>
          </w:p>
          <w:p w:rsidR="00233205" w:rsidRPr="00B36377" w:rsidRDefault="00233205" w:rsidP="00E30BEC">
            <w:pPr>
              <w:pStyle w:val="NoSpacing"/>
              <w:jc w:val="center"/>
              <w:rPr>
                <w:sz w:val="18"/>
                <w:szCs w:val="18"/>
                <w:lang w:val="es-ES_tradnl"/>
              </w:rPr>
            </w:pPr>
          </w:p>
          <w:p w:rsidR="00233205" w:rsidRPr="00B36377" w:rsidRDefault="00233205" w:rsidP="00E30BEC">
            <w:pPr>
              <w:pStyle w:val="NoSpacing"/>
              <w:jc w:val="center"/>
              <w:rPr>
                <w:rFonts w:cstheme="majorBidi"/>
                <w:b/>
                <w:bCs/>
                <w:i/>
                <w:iCs/>
                <w:color w:val="404040" w:themeColor="text1" w:themeTint="BF"/>
                <w:sz w:val="18"/>
                <w:szCs w:val="18"/>
                <w:lang w:val="es-ES_tradnl"/>
              </w:rPr>
            </w:pPr>
            <w:r w:rsidRPr="00B36377">
              <w:rPr>
                <w:sz w:val="18"/>
                <w:szCs w:val="18"/>
                <w:lang w:val="es-ES_tradnl"/>
              </w:rPr>
              <w:t>EFS-20 (iv) g)</w:t>
            </w:r>
          </w:p>
        </w:tc>
        <w:tc>
          <w:tcPr>
            <w:tcW w:w="777" w:type="pct"/>
          </w:tcPr>
          <w:p w:rsidR="00233205" w:rsidRPr="00B36377" w:rsidRDefault="00233205" w:rsidP="00E30BEC">
            <w:pPr>
              <w:pStyle w:val="NoSpacing"/>
              <w:rPr>
                <w:rFonts w:eastAsia="Calibri" w:cs="Arial"/>
                <w:sz w:val="18"/>
                <w:szCs w:val="18"/>
                <w:lang w:val="es-ES_tradnl"/>
              </w:rPr>
            </w:pPr>
            <w:r w:rsidRPr="00B36377">
              <w:rPr>
                <w:sz w:val="18"/>
                <w:szCs w:val="18"/>
                <w:lang w:val="es-ES_tradnl"/>
              </w:rPr>
              <w:t xml:space="preserve">La estrategia de recursos humanos no contempla procedimientos para: (i) el  desarrollo profesional del talento humano, (ii) indicadores para los principales procesos o novedades como parte de su gestión (iii) la manifestación periódica de los puntos de vista de </w:t>
            </w:r>
            <w:r w:rsidRPr="00B36377">
              <w:rPr>
                <w:sz w:val="18"/>
                <w:szCs w:val="18"/>
                <w:lang w:val="es-ES_tradnl"/>
              </w:rPr>
              <w:lastRenderedPageBreak/>
              <w:t>los empleados sobre el ambiente de trabajo..</w:t>
            </w:r>
          </w:p>
        </w:tc>
        <w:tc>
          <w:tcPr>
            <w:tcW w:w="1346" w:type="pct"/>
          </w:tcPr>
          <w:p w:rsidR="00233205" w:rsidRPr="00B36377" w:rsidRDefault="00233205" w:rsidP="00E30BEC">
            <w:pPr>
              <w:pStyle w:val="NoSpacing"/>
              <w:rPr>
                <w:sz w:val="18"/>
                <w:szCs w:val="18"/>
                <w:lang w:val="es-ES_tradnl"/>
              </w:rPr>
            </w:pPr>
            <w:r w:rsidRPr="00B36377">
              <w:rPr>
                <w:sz w:val="18"/>
                <w:szCs w:val="18"/>
                <w:lang w:val="es-ES_tradnl"/>
              </w:rPr>
              <w:lastRenderedPageBreak/>
              <w:t>Revisar estrategia de recursos humanos para incorporar:</w:t>
            </w:r>
          </w:p>
          <w:p w:rsidR="00233205" w:rsidRPr="00B36377" w:rsidRDefault="00233205" w:rsidP="00E30BEC">
            <w:pPr>
              <w:pStyle w:val="NoSpacing"/>
              <w:rPr>
                <w:sz w:val="18"/>
                <w:szCs w:val="18"/>
                <w:lang w:val="es-ES_tradnl"/>
              </w:rPr>
            </w:pPr>
          </w:p>
          <w:p w:rsidR="00233205" w:rsidRPr="00B36377" w:rsidRDefault="00233205" w:rsidP="00233205">
            <w:pPr>
              <w:pStyle w:val="NoSpacing"/>
              <w:numPr>
                <w:ilvl w:val="0"/>
                <w:numId w:val="84"/>
              </w:numPr>
              <w:ind w:left="219" w:hanging="180"/>
              <w:rPr>
                <w:sz w:val="18"/>
                <w:szCs w:val="18"/>
                <w:lang w:val="es-ES_tradnl"/>
              </w:rPr>
            </w:pPr>
            <w:r w:rsidRPr="00B36377">
              <w:rPr>
                <w:sz w:val="18"/>
                <w:szCs w:val="18"/>
                <w:lang w:val="es-ES_tradnl"/>
              </w:rPr>
              <w:t>Políticas y procedimientos para el desarrollo profesional e integral del talento humano</w:t>
            </w:r>
          </w:p>
          <w:p w:rsidR="00233205" w:rsidRPr="00B36377" w:rsidRDefault="00233205" w:rsidP="00233205">
            <w:pPr>
              <w:pStyle w:val="NoSpacing"/>
              <w:numPr>
                <w:ilvl w:val="0"/>
                <w:numId w:val="84"/>
              </w:numPr>
              <w:ind w:left="219" w:hanging="180"/>
              <w:rPr>
                <w:sz w:val="18"/>
                <w:szCs w:val="18"/>
                <w:lang w:val="es-ES_tradnl"/>
              </w:rPr>
            </w:pPr>
            <w:r w:rsidRPr="00B36377">
              <w:rPr>
                <w:sz w:val="18"/>
                <w:szCs w:val="18"/>
                <w:lang w:val="es-ES_tradnl"/>
              </w:rPr>
              <w:t>Indicadores para la medición de los diferentes procesos y procedimientos.  Por ejemplo, aspectos relacionados con promedios de edad del personal, niveles de formación, tiempo de promoción, tasas de ausencias, motivos de las ausencias, etc.</w:t>
            </w:r>
          </w:p>
          <w:p w:rsidR="00233205" w:rsidRPr="00B36377" w:rsidRDefault="00233205" w:rsidP="00233205">
            <w:pPr>
              <w:pStyle w:val="NoSpacing"/>
              <w:numPr>
                <w:ilvl w:val="0"/>
                <w:numId w:val="84"/>
              </w:numPr>
              <w:ind w:left="219" w:hanging="180"/>
              <w:rPr>
                <w:sz w:val="18"/>
                <w:szCs w:val="18"/>
                <w:lang w:val="es-ES_tradnl"/>
              </w:rPr>
            </w:pPr>
            <w:r w:rsidRPr="00B36377">
              <w:rPr>
                <w:sz w:val="18"/>
                <w:szCs w:val="18"/>
                <w:lang w:val="es-ES_tradnl"/>
              </w:rPr>
              <w:lastRenderedPageBreak/>
              <w:t>Prácticas para que el personal, pueda expresar de forma regular, sus puntos de vista sobre el ambiente de trabajo.</w:t>
            </w:r>
          </w:p>
          <w:p w:rsidR="00233205" w:rsidRPr="00B36377" w:rsidRDefault="00233205" w:rsidP="00E30BEC">
            <w:pPr>
              <w:pStyle w:val="NoSpacing"/>
              <w:ind w:left="360"/>
              <w:rPr>
                <w:sz w:val="18"/>
                <w:szCs w:val="18"/>
                <w:lang w:val="es-ES_tradnl"/>
              </w:rPr>
            </w:pPr>
          </w:p>
        </w:tc>
        <w:tc>
          <w:tcPr>
            <w:tcW w:w="777" w:type="pct"/>
          </w:tcPr>
          <w:p w:rsidR="00233205" w:rsidRPr="00B36377" w:rsidRDefault="00233205" w:rsidP="00233205">
            <w:pPr>
              <w:pStyle w:val="NoSpacing"/>
              <w:numPr>
                <w:ilvl w:val="0"/>
                <w:numId w:val="85"/>
              </w:numPr>
              <w:ind w:left="223" w:hanging="223"/>
              <w:rPr>
                <w:sz w:val="18"/>
                <w:szCs w:val="18"/>
                <w:lang w:val="es-ES_tradnl"/>
              </w:rPr>
            </w:pPr>
            <w:r w:rsidRPr="00B36377">
              <w:rPr>
                <w:sz w:val="18"/>
                <w:szCs w:val="18"/>
                <w:lang w:val="es-ES_tradnl"/>
              </w:rPr>
              <w:lastRenderedPageBreak/>
              <w:t>Mejoras en el desempeño, mayor sentido de pertenencia y profesionalismo de los empleados</w:t>
            </w:r>
          </w:p>
          <w:p w:rsidR="00233205" w:rsidRPr="00B36377" w:rsidRDefault="00233205" w:rsidP="00E30BEC">
            <w:pPr>
              <w:pStyle w:val="NoSpacing"/>
              <w:ind w:left="223" w:hanging="223"/>
              <w:rPr>
                <w:sz w:val="18"/>
                <w:szCs w:val="18"/>
                <w:lang w:val="es-ES_tradnl"/>
              </w:rPr>
            </w:pPr>
          </w:p>
          <w:p w:rsidR="00233205" w:rsidRPr="00B36377" w:rsidRDefault="00233205" w:rsidP="00233205">
            <w:pPr>
              <w:pStyle w:val="NoSpacing"/>
              <w:numPr>
                <w:ilvl w:val="0"/>
                <w:numId w:val="85"/>
              </w:numPr>
              <w:ind w:left="223" w:hanging="223"/>
              <w:rPr>
                <w:sz w:val="18"/>
                <w:szCs w:val="18"/>
                <w:lang w:val="es-ES_tradnl"/>
              </w:rPr>
            </w:pPr>
            <w:r w:rsidRPr="00B36377">
              <w:rPr>
                <w:sz w:val="18"/>
                <w:szCs w:val="18"/>
                <w:lang w:val="es-ES_tradnl"/>
              </w:rPr>
              <w:t>Optimización en el uso de sus recursos</w:t>
            </w:r>
          </w:p>
          <w:p w:rsidR="00233205" w:rsidRPr="00B36377" w:rsidRDefault="00233205" w:rsidP="00E30BEC">
            <w:pPr>
              <w:pStyle w:val="NoSpacing"/>
              <w:ind w:left="223" w:hanging="223"/>
              <w:rPr>
                <w:sz w:val="18"/>
                <w:szCs w:val="18"/>
                <w:lang w:val="es-ES_tradnl"/>
              </w:rPr>
            </w:pPr>
          </w:p>
          <w:p w:rsidR="00233205" w:rsidRPr="00B36377" w:rsidRDefault="00233205" w:rsidP="00233205">
            <w:pPr>
              <w:pStyle w:val="NoSpacing"/>
              <w:numPr>
                <w:ilvl w:val="0"/>
                <w:numId w:val="85"/>
              </w:numPr>
              <w:ind w:left="223" w:hanging="223"/>
              <w:rPr>
                <w:rFonts w:eastAsia="Calibri" w:cs="Arial"/>
                <w:sz w:val="18"/>
                <w:szCs w:val="18"/>
                <w:lang w:val="es-ES_tradnl"/>
              </w:rPr>
            </w:pPr>
            <w:r w:rsidRPr="00B36377">
              <w:rPr>
                <w:sz w:val="18"/>
                <w:szCs w:val="18"/>
                <w:lang w:val="es-ES_tradnl"/>
              </w:rPr>
              <w:t xml:space="preserve">Mayor seguridad en </w:t>
            </w:r>
            <w:r w:rsidRPr="00B36377">
              <w:rPr>
                <w:sz w:val="18"/>
                <w:szCs w:val="18"/>
                <w:lang w:val="es-ES_tradnl"/>
              </w:rPr>
              <w:lastRenderedPageBreak/>
              <w:t>las decisiones sobre el personal</w:t>
            </w:r>
          </w:p>
        </w:tc>
        <w:tc>
          <w:tcPr>
            <w:tcW w:w="517" w:type="pct"/>
          </w:tcPr>
          <w:p w:rsidR="00233205" w:rsidRPr="00B36377" w:rsidRDefault="00233205" w:rsidP="00E30BEC">
            <w:pPr>
              <w:pStyle w:val="NoSpacing"/>
              <w:rPr>
                <w:rFonts w:eastAsia="Calibri" w:cs="Arial"/>
                <w:b/>
                <w:bCs/>
                <w:i/>
                <w:iCs/>
                <w:color w:val="404040" w:themeColor="text1" w:themeTint="BF"/>
                <w:sz w:val="18"/>
                <w:szCs w:val="18"/>
                <w:lang w:val="es-ES_tradnl"/>
              </w:rPr>
            </w:pPr>
            <w:r w:rsidRPr="00B36377">
              <w:rPr>
                <w:sz w:val="18"/>
                <w:szCs w:val="18"/>
                <w:lang w:val="es-ES_tradnl"/>
              </w:rPr>
              <w:lastRenderedPageBreak/>
              <w:t>Gerencia de Talento Humano</w:t>
            </w:r>
          </w:p>
        </w:tc>
        <w:tc>
          <w:tcPr>
            <w:tcW w:w="465" w:type="pct"/>
          </w:tcPr>
          <w:p w:rsidR="00233205" w:rsidRPr="00B36377" w:rsidRDefault="00233205" w:rsidP="00E30BEC">
            <w:pPr>
              <w:pStyle w:val="NoSpacing"/>
              <w:rPr>
                <w:rFonts w:eastAsia="Calibri" w:cs="Arial"/>
                <w:b/>
                <w:bCs/>
                <w:i/>
                <w:iCs/>
                <w:color w:val="404040" w:themeColor="text1" w:themeTint="BF"/>
                <w:sz w:val="18"/>
                <w:szCs w:val="18"/>
                <w:lang w:val="es-ES_tradnl"/>
              </w:rPr>
            </w:pPr>
            <w:r w:rsidRPr="00B36377">
              <w:rPr>
                <w:sz w:val="18"/>
                <w:szCs w:val="18"/>
                <w:lang w:val="es-ES_tradnl"/>
              </w:rPr>
              <w:t>Diciembre 2015</w:t>
            </w:r>
          </w:p>
        </w:tc>
        <w:tc>
          <w:tcPr>
            <w:tcW w:w="579" w:type="pct"/>
          </w:tcPr>
          <w:p w:rsidR="00233205" w:rsidRPr="00B36377" w:rsidRDefault="00233205" w:rsidP="00E30BEC">
            <w:pPr>
              <w:pStyle w:val="NoSpacing"/>
              <w:rPr>
                <w:rFonts w:cstheme="majorBidi"/>
                <w:b/>
                <w:bCs/>
                <w:i/>
                <w:iCs/>
                <w:color w:val="404040" w:themeColor="text1" w:themeTint="BF"/>
                <w:sz w:val="18"/>
                <w:szCs w:val="18"/>
                <w:lang w:val="es-ES_tradnl"/>
              </w:rPr>
            </w:pPr>
            <w:r w:rsidRPr="00B36377">
              <w:rPr>
                <w:sz w:val="18"/>
                <w:szCs w:val="18"/>
                <w:lang w:val="es-ES_tradnl"/>
              </w:rPr>
              <w:t>Estrategia de RRHH actualizada</w:t>
            </w:r>
          </w:p>
          <w:p w:rsidR="00233205" w:rsidRPr="00B36377" w:rsidRDefault="00233205" w:rsidP="00E30BEC">
            <w:pPr>
              <w:pStyle w:val="NoSpacing"/>
              <w:rPr>
                <w:sz w:val="18"/>
                <w:szCs w:val="18"/>
                <w:lang w:val="es-ES_tradnl"/>
              </w:rPr>
            </w:pPr>
          </w:p>
          <w:p w:rsidR="00233205" w:rsidRPr="00B36377" w:rsidRDefault="00233205" w:rsidP="00E30BEC">
            <w:pPr>
              <w:pStyle w:val="NoSpacing"/>
              <w:rPr>
                <w:rFonts w:cstheme="majorBidi"/>
                <w:b/>
                <w:bCs/>
                <w:i/>
                <w:iCs/>
                <w:color w:val="404040" w:themeColor="text1" w:themeTint="BF"/>
                <w:sz w:val="18"/>
                <w:szCs w:val="18"/>
                <w:lang w:val="es-ES_tradnl"/>
              </w:rPr>
            </w:pPr>
            <w:r w:rsidRPr="00B36377">
              <w:rPr>
                <w:sz w:val="18"/>
                <w:szCs w:val="18"/>
                <w:lang w:val="es-ES_tradnl"/>
              </w:rPr>
              <w:t>Políticas para el desarrollo profesional formalizada</w:t>
            </w:r>
          </w:p>
          <w:p w:rsidR="00233205" w:rsidRPr="00B36377" w:rsidRDefault="00233205" w:rsidP="00E30BEC">
            <w:pPr>
              <w:pStyle w:val="NoSpacing"/>
              <w:rPr>
                <w:sz w:val="18"/>
                <w:szCs w:val="18"/>
                <w:lang w:val="es-ES_tradnl"/>
              </w:rPr>
            </w:pPr>
          </w:p>
          <w:p w:rsidR="00233205" w:rsidRPr="00B36377" w:rsidRDefault="00233205" w:rsidP="00E30BEC">
            <w:pPr>
              <w:pStyle w:val="NoSpacing"/>
              <w:rPr>
                <w:rFonts w:eastAsia="Calibri" w:cs="Arial"/>
                <w:b/>
                <w:bCs/>
                <w:i/>
                <w:iCs/>
                <w:color w:val="404040" w:themeColor="text1" w:themeTint="BF"/>
                <w:sz w:val="18"/>
                <w:szCs w:val="18"/>
                <w:lang w:val="es-ES_tradnl"/>
              </w:rPr>
            </w:pPr>
            <w:r w:rsidRPr="00B36377">
              <w:rPr>
                <w:sz w:val="18"/>
                <w:szCs w:val="18"/>
                <w:lang w:val="es-ES_tradnl"/>
              </w:rPr>
              <w:t>Indicadores para la gestión de RRHH</w:t>
            </w:r>
          </w:p>
        </w:tc>
      </w:tr>
      <w:tr w:rsidR="00233205" w:rsidRPr="00B36377" w:rsidTr="00E30BEC">
        <w:trPr>
          <w:jc w:val="center"/>
        </w:trPr>
        <w:tc>
          <w:tcPr>
            <w:tcW w:w="177" w:type="pct"/>
          </w:tcPr>
          <w:p w:rsidR="00233205" w:rsidRPr="00B36377" w:rsidRDefault="00233205" w:rsidP="00E30BEC">
            <w:pPr>
              <w:pStyle w:val="NoSpacing"/>
              <w:jc w:val="center"/>
              <w:rPr>
                <w:rFonts w:cstheme="majorBidi"/>
                <w:b/>
                <w:bCs/>
                <w:i/>
                <w:iCs/>
                <w:color w:val="404040" w:themeColor="text1" w:themeTint="BF"/>
                <w:sz w:val="18"/>
                <w:szCs w:val="18"/>
                <w:lang w:val="es-ES_tradnl"/>
              </w:rPr>
            </w:pPr>
            <w:r w:rsidRPr="00B36377">
              <w:rPr>
                <w:sz w:val="18"/>
                <w:szCs w:val="18"/>
                <w:lang w:val="es-ES_tradnl"/>
              </w:rPr>
              <w:lastRenderedPageBreak/>
              <w:t>24</w:t>
            </w:r>
          </w:p>
        </w:tc>
        <w:tc>
          <w:tcPr>
            <w:tcW w:w="362" w:type="pct"/>
          </w:tcPr>
          <w:p w:rsidR="00233205" w:rsidRPr="00B36377" w:rsidRDefault="00233205" w:rsidP="00E30BEC">
            <w:pPr>
              <w:pStyle w:val="NoSpacing"/>
              <w:jc w:val="center"/>
              <w:rPr>
                <w:rFonts w:cstheme="majorBidi"/>
                <w:b/>
                <w:bCs/>
                <w:i/>
                <w:iCs/>
                <w:color w:val="404040" w:themeColor="text1" w:themeTint="BF"/>
                <w:sz w:val="18"/>
                <w:szCs w:val="18"/>
                <w:lang w:val="es-ES_tradnl"/>
              </w:rPr>
            </w:pPr>
            <w:r w:rsidRPr="00B36377">
              <w:rPr>
                <w:sz w:val="18"/>
                <w:szCs w:val="18"/>
                <w:lang w:val="es-ES_tradnl"/>
              </w:rPr>
              <w:t>EFS-21 (i) a), b), d)</w:t>
            </w:r>
          </w:p>
          <w:p w:rsidR="00233205" w:rsidRPr="00B36377" w:rsidRDefault="00233205" w:rsidP="00E30BEC">
            <w:pPr>
              <w:pStyle w:val="NoSpacing"/>
              <w:jc w:val="center"/>
              <w:rPr>
                <w:sz w:val="18"/>
                <w:szCs w:val="18"/>
                <w:lang w:val="es-ES_tradnl"/>
              </w:rPr>
            </w:pPr>
          </w:p>
          <w:p w:rsidR="00233205" w:rsidRPr="00B36377" w:rsidRDefault="00233205" w:rsidP="00E30BEC">
            <w:pPr>
              <w:pStyle w:val="NoSpacing"/>
              <w:jc w:val="center"/>
              <w:rPr>
                <w:rFonts w:cstheme="majorBidi"/>
                <w:b/>
                <w:bCs/>
                <w:i/>
                <w:iCs/>
                <w:color w:val="404040" w:themeColor="text1" w:themeTint="BF"/>
                <w:sz w:val="18"/>
                <w:szCs w:val="18"/>
                <w:lang w:val="es-ES_tradnl"/>
              </w:rPr>
            </w:pPr>
            <w:r w:rsidRPr="00B36377">
              <w:rPr>
                <w:sz w:val="18"/>
                <w:szCs w:val="18"/>
                <w:lang w:val="es-ES_tradnl"/>
              </w:rPr>
              <w:t>EFS-21 (ii) d)</w:t>
            </w:r>
          </w:p>
        </w:tc>
        <w:tc>
          <w:tcPr>
            <w:tcW w:w="777" w:type="pct"/>
          </w:tcPr>
          <w:p w:rsidR="00233205" w:rsidRPr="00B36377" w:rsidRDefault="00233205" w:rsidP="00E30BEC">
            <w:pPr>
              <w:pStyle w:val="NoSpacing"/>
              <w:rPr>
                <w:rFonts w:eastAsia="Calibri" w:cs="Arial"/>
                <w:sz w:val="18"/>
                <w:szCs w:val="18"/>
                <w:lang w:val="es-ES_tradnl"/>
              </w:rPr>
            </w:pPr>
            <w:r w:rsidRPr="00B36377">
              <w:rPr>
                <w:sz w:val="18"/>
                <w:szCs w:val="18"/>
                <w:lang w:val="es-ES_tradnl"/>
              </w:rPr>
              <w:t>No se dispone de un Plan o Programa para el desarrollo profesional del personal</w:t>
            </w:r>
          </w:p>
        </w:tc>
        <w:tc>
          <w:tcPr>
            <w:tcW w:w="1346" w:type="pct"/>
          </w:tcPr>
          <w:p w:rsidR="00233205" w:rsidRPr="00B36377" w:rsidRDefault="00233205" w:rsidP="00E30BEC">
            <w:pPr>
              <w:pStyle w:val="NoSpacing"/>
              <w:rPr>
                <w:sz w:val="18"/>
                <w:szCs w:val="18"/>
                <w:lang w:val="es-ES_tradnl"/>
              </w:rPr>
            </w:pPr>
            <w:r w:rsidRPr="00B36377">
              <w:rPr>
                <w:sz w:val="18"/>
                <w:szCs w:val="18"/>
                <w:lang w:val="es-ES_tradnl"/>
              </w:rPr>
              <w:t>Implementar un Plan o Programa para el desarrollo profesional del personal  que contemple:</w:t>
            </w:r>
          </w:p>
          <w:p w:rsidR="00233205" w:rsidRPr="00B36377" w:rsidRDefault="00233205" w:rsidP="00233205">
            <w:pPr>
              <w:pStyle w:val="NoSpacing"/>
              <w:numPr>
                <w:ilvl w:val="0"/>
                <w:numId w:val="86"/>
              </w:numPr>
              <w:rPr>
                <w:sz w:val="18"/>
                <w:szCs w:val="18"/>
                <w:lang w:val="es-ES_tradnl"/>
              </w:rPr>
            </w:pPr>
            <w:r w:rsidRPr="00B36377">
              <w:rPr>
                <w:sz w:val="18"/>
                <w:szCs w:val="18"/>
                <w:lang w:val="es-ES_tradnl"/>
              </w:rPr>
              <w:t>La estrategia de RRHH</w:t>
            </w:r>
          </w:p>
          <w:p w:rsidR="00233205" w:rsidRPr="00B36377" w:rsidRDefault="00233205" w:rsidP="00233205">
            <w:pPr>
              <w:pStyle w:val="NoSpacing"/>
              <w:numPr>
                <w:ilvl w:val="0"/>
                <w:numId w:val="86"/>
              </w:numPr>
              <w:rPr>
                <w:sz w:val="18"/>
                <w:szCs w:val="18"/>
                <w:lang w:val="es-ES_tradnl"/>
              </w:rPr>
            </w:pPr>
            <w:r w:rsidRPr="00B36377">
              <w:rPr>
                <w:sz w:val="18"/>
                <w:szCs w:val="18"/>
                <w:lang w:val="es-ES_tradnl"/>
              </w:rPr>
              <w:t>Los Planes de Acción Anuales</w:t>
            </w:r>
          </w:p>
          <w:p w:rsidR="00233205" w:rsidRPr="00B36377" w:rsidRDefault="00233205" w:rsidP="00233205">
            <w:pPr>
              <w:pStyle w:val="NoSpacing"/>
              <w:numPr>
                <w:ilvl w:val="0"/>
                <w:numId w:val="86"/>
              </w:numPr>
              <w:rPr>
                <w:sz w:val="18"/>
                <w:szCs w:val="18"/>
                <w:lang w:val="es-ES_tradnl"/>
              </w:rPr>
            </w:pPr>
            <w:r w:rsidRPr="00B36377">
              <w:rPr>
                <w:sz w:val="18"/>
                <w:szCs w:val="18"/>
                <w:lang w:val="es-ES_tradnl"/>
              </w:rPr>
              <w:t>Las necesidades de capacitación identificadas en  las evaluaciones de desempeño</w:t>
            </w:r>
          </w:p>
          <w:p w:rsidR="00233205" w:rsidRPr="00B36377" w:rsidRDefault="00233205" w:rsidP="00233205">
            <w:pPr>
              <w:pStyle w:val="NoSpacing"/>
              <w:numPr>
                <w:ilvl w:val="0"/>
                <w:numId w:val="86"/>
              </w:numPr>
              <w:rPr>
                <w:sz w:val="18"/>
                <w:szCs w:val="18"/>
                <w:lang w:val="es-ES_tradnl"/>
              </w:rPr>
            </w:pPr>
            <w:r w:rsidRPr="00B36377">
              <w:rPr>
                <w:sz w:val="18"/>
                <w:szCs w:val="18"/>
                <w:lang w:val="es-ES_tradnl"/>
              </w:rPr>
              <w:t>El desarrollo de programas para cada cargo</w:t>
            </w:r>
          </w:p>
          <w:p w:rsidR="00233205" w:rsidRPr="00B36377" w:rsidRDefault="00233205" w:rsidP="00233205">
            <w:pPr>
              <w:pStyle w:val="NoSpacing"/>
              <w:numPr>
                <w:ilvl w:val="0"/>
                <w:numId w:val="86"/>
              </w:numPr>
              <w:rPr>
                <w:sz w:val="18"/>
                <w:szCs w:val="18"/>
                <w:lang w:val="es-ES_tradnl"/>
              </w:rPr>
            </w:pPr>
            <w:r w:rsidRPr="00B36377">
              <w:rPr>
                <w:sz w:val="18"/>
                <w:szCs w:val="18"/>
                <w:lang w:val="es-ES_tradnl"/>
              </w:rPr>
              <w:t>El monitoreo de los programas</w:t>
            </w:r>
          </w:p>
          <w:p w:rsidR="00233205" w:rsidRPr="00B36377" w:rsidRDefault="00233205" w:rsidP="00E30BEC">
            <w:pPr>
              <w:pStyle w:val="NoSpacing"/>
              <w:ind w:left="360"/>
              <w:rPr>
                <w:sz w:val="18"/>
                <w:szCs w:val="18"/>
                <w:lang w:val="es-ES_tradnl"/>
              </w:rPr>
            </w:pPr>
          </w:p>
        </w:tc>
        <w:tc>
          <w:tcPr>
            <w:tcW w:w="777" w:type="pct"/>
          </w:tcPr>
          <w:p w:rsidR="00233205" w:rsidRPr="00B36377" w:rsidRDefault="00233205" w:rsidP="00233205">
            <w:pPr>
              <w:pStyle w:val="NoSpacing"/>
              <w:numPr>
                <w:ilvl w:val="0"/>
                <w:numId w:val="87"/>
              </w:numPr>
              <w:ind w:left="223" w:hanging="223"/>
              <w:rPr>
                <w:sz w:val="18"/>
                <w:szCs w:val="18"/>
                <w:lang w:val="es-ES_tradnl"/>
              </w:rPr>
            </w:pPr>
            <w:r w:rsidRPr="00B36377">
              <w:rPr>
                <w:sz w:val="18"/>
                <w:szCs w:val="18"/>
                <w:lang w:val="es-ES_tradnl"/>
              </w:rPr>
              <w:t>Mejoran los indicadores de desempeño de la CGRC</w:t>
            </w:r>
          </w:p>
          <w:p w:rsidR="00233205" w:rsidRPr="00B36377" w:rsidRDefault="00233205" w:rsidP="00E30BEC">
            <w:pPr>
              <w:pStyle w:val="NoSpacing"/>
              <w:ind w:left="223" w:hanging="223"/>
              <w:rPr>
                <w:sz w:val="18"/>
                <w:szCs w:val="18"/>
                <w:lang w:val="es-ES_tradnl"/>
              </w:rPr>
            </w:pPr>
          </w:p>
          <w:p w:rsidR="00233205" w:rsidRPr="00B36377" w:rsidRDefault="00233205" w:rsidP="00233205">
            <w:pPr>
              <w:pStyle w:val="NoSpacing"/>
              <w:numPr>
                <w:ilvl w:val="0"/>
                <w:numId w:val="87"/>
              </w:numPr>
              <w:ind w:left="223" w:hanging="223"/>
              <w:rPr>
                <w:sz w:val="18"/>
                <w:szCs w:val="18"/>
                <w:lang w:val="es-ES_tradnl"/>
              </w:rPr>
            </w:pPr>
            <w:r w:rsidRPr="00B36377">
              <w:rPr>
                <w:sz w:val="18"/>
                <w:szCs w:val="18"/>
                <w:lang w:val="es-ES_tradnl"/>
              </w:rPr>
              <w:t>Mejora el clima organizacional y se eleva la calidad en el desempeño.</w:t>
            </w:r>
          </w:p>
          <w:p w:rsidR="00233205" w:rsidRPr="00B36377" w:rsidRDefault="00233205" w:rsidP="00E30BEC">
            <w:pPr>
              <w:pStyle w:val="NoSpacing"/>
              <w:rPr>
                <w:rFonts w:eastAsia="Calibri" w:cs="Arial"/>
                <w:sz w:val="18"/>
                <w:szCs w:val="18"/>
                <w:lang w:val="es-ES_tradnl"/>
              </w:rPr>
            </w:pPr>
          </w:p>
        </w:tc>
        <w:tc>
          <w:tcPr>
            <w:tcW w:w="517" w:type="pct"/>
          </w:tcPr>
          <w:p w:rsidR="00233205" w:rsidRPr="00B36377" w:rsidRDefault="00233205" w:rsidP="00E30BEC">
            <w:pPr>
              <w:pStyle w:val="NoSpacing"/>
              <w:rPr>
                <w:rFonts w:cstheme="majorBidi"/>
                <w:b/>
                <w:bCs/>
                <w:i/>
                <w:iCs/>
                <w:color w:val="404040" w:themeColor="text1" w:themeTint="BF"/>
                <w:sz w:val="18"/>
                <w:szCs w:val="18"/>
                <w:lang w:val="es-ES_tradnl"/>
              </w:rPr>
            </w:pPr>
            <w:r w:rsidRPr="00B36377">
              <w:rPr>
                <w:sz w:val="18"/>
                <w:szCs w:val="18"/>
                <w:lang w:val="es-ES_tradnl"/>
              </w:rPr>
              <w:t>Gerencia de Talento Humano</w:t>
            </w:r>
          </w:p>
          <w:p w:rsidR="00233205" w:rsidRPr="00B36377" w:rsidRDefault="00233205" w:rsidP="00E30BEC">
            <w:pPr>
              <w:pStyle w:val="NoSpacing"/>
              <w:rPr>
                <w:sz w:val="18"/>
                <w:szCs w:val="18"/>
                <w:lang w:val="es-ES_tradnl"/>
              </w:rPr>
            </w:pPr>
          </w:p>
          <w:p w:rsidR="00233205" w:rsidRPr="00B36377" w:rsidRDefault="00233205" w:rsidP="00E30BEC">
            <w:pPr>
              <w:pStyle w:val="NoSpacing"/>
              <w:rPr>
                <w:rFonts w:eastAsia="Calibri" w:cs="Arial"/>
                <w:b/>
                <w:bCs/>
                <w:i/>
                <w:iCs/>
                <w:color w:val="404040" w:themeColor="text1" w:themeTint="BF"/>
                <w:sz w:val="18"/>
                <w:szCs w:val="18"/>
                <w:lang w:val="es-ES_tradnl"/>
              </w:rPr>
            </w:pPr>
            <w:r w:rsidRPr="00B36377">
              <w:rPr>
                <w:sz w:val="18"/>
                <w:szCs w:val="18"/>
                <w:lang w:val="es-ES_tradnl"/>
              </w:rPr>
              <w:t>Oficina de Capacitación</w:t>
            </w:r>
          </w:p>
        </w:tc>
        <w:tc>
          <w:tcPr>
            <w:tcW w:w="465" w:type="pct"/>
          </w:tcPr>
          <w:p w:rsidR="00233205" w:rsidRPr="00B36377" w:rsidRDefault="00233205" w:rsidP="00E30BEC">
            <w:pPr>
              <w:pStyle w:val="NoSpacing"/>
              <w:rPr>
                <w:rFonts w:eastAsia="Calibri" w:cs="Arial"/>
                <w:b/>
                <w:bCs/>
                <w:i/>
                <w:iCs/>
                <w:color w:val="404040" w:themeColor="text1" w:themeTint="BF"/>
                <w:sz w:val="18"/>
                <w:szCs w:val="18"/>
                <w:lang w:val="es-ES_tradnl"/>
              </w:rPr>
            </w:pPr>
            <w:r w:rsidRPr="00B36377">
              <w:rPr>
                <w:sz w:val="18"/>
                <w:szCs w:val="18"/>
                <w:lang w:val="es-ES_tradnl"/>
              </w:rPr>
              <w:t>Diciembre 2015</w:t>
            </w:r>
          </w:p>
        </w:tc>
        <w:tc>
          <w:tcPr>
            <w:tcW w:w="579" w:type="pct"/>
          </w:tcPr>
          <w:p w:rsidR="00233205" w:rsidRPr="00B36377" w:rsidRDefault="00233205" w:rsidP="00E30BEC">
            <w:pPr>
              <w:pStyle w:val="NoSpacing"/>
              <w:rPr>
                <w:rFonts w:eastAsia="Calibri" w:cs="Arial"/>
                <w:b/>
                <w:bCs/>
                <w:i/>
                <w:iCs/>
                <w:color w:val="404040" w:themeColor="text1" w:themeTint="BF"/>
                <w:sz w:val="18"/>
                <w:szCs w:val="18"/>
                <w:lang w:val="es-ES_tradnl"/>
              </w:rPr>
            </w:pPr>
            <w:r w:rsidRPr="00B36377">
              <w:rPr>
                <w:sz w:val="18"/>
                <w:szCs w:val="18"/>
                <w:lang w:val="es-ES_tradnl"/>
              </w:rPr>
              <w:t>Programas de desarrollo profesional para cada cargo formalizados</w:t>
            </w:r>
          </w:p>
        </w:tc>
      </w:tr>
      <w:tr w:rsidR="00233205" w:rsidRPr="00B36377" w:rsidTr="00E30BEC">
        <w:trPr>
          <w:jc w:val="center"/>
        </w:trPr>
        <w:tc>
          <w:tcPr>
            <w:tcW w:w="5000" w:type="pct"/>
            <w:gridSpan w:val="8"/>
            <w:shd w:val="clear" w:color="auto" w:fill="D9D9D9" w:themeFill="background1" w:themeFillShade="D9"/>
          </w:tcPr>
          <w:p w:rsidR="00233205" w:rsidRPr="00B36377" w:rsidRDefault="00233205" w:rsidP="00E30BEC">
            <w:pPr>
              <w:pStyle w:val="NoSpacing"/>
              <w:jc w:val="center"/>
              <w:rPr>
                <w:rFonts w:cstheme="majorBidi"/>
                <w:b/>
                <w:bCs/>
                <w:i/>
                <w:iCs/>
                <w:color w:val="404040" w:themeColor="text1" w:themeTint="BF"/>
                <w:sz w:val="18"/>
                <w:szCs w:val="18"/>
                <w:lang w:val="es-ES_tradnl"/>
              </w:rPr>
            </w:pPr>
            <w:r w:rsidRPr="00B36377">
              <w:rPr>
                <w:b/>
                <w:sz w:val="18"/>
                <w:szCs w:val="18"/>
                <w:lang w:val="es-ES_tradnl"/>
              </w:rPr>
              <w:t>Dominio G – Comunicación y Gestión de las Partes Interesadas</w:t>
            </w:r>
          </w:p>
        </w:tc>
      </w:tr>
      <w:tr w:rsidR="00233205" w:rsidRPr="00B36377" w:rsidTr="00E30BEC">
        <w:trPr>
          <w:jc w:val="center"/>
        </w:trPr>
        <w:tc>
          <w:tcPr>
            <w:tcW w:w="177" w:type="pct"/>
          </w:tcPr>
          <w:p w:rsidR="00233205" w:rsidRPr="00B36377" w:rsidRDefault="00233205" w:rsidP="00E30BEC">
            <w:pPr>
              <w:pStyle w:val="NoSpacing"/>
              <w:jc w:val="center"/>
              <w:rPr>
                <w:rFonts w:cstheme="majorBidi"/>
                <w:b/>
                <w:bCs/>
                <w:i/>
                <w:iCs/>
                <w:color w:val="404040" w:themeColor="text1" w:themeTint="BF"/>
                <w:sz w:val="18"/>
                <w:szCs w:val="18"/>
                <w:lang w:val="es-ES_tradnl"/>
              </w:rPr>
            </w:pPr>
            <w:r w:rsidRPr="00B36377">
              <w:rPr>
                <w:sz w:val="18"/>
                <w:szCs w:val="18"/>
                <w:lang w:val="es-ES_tradnl"/>
              </w:rPr>
              <w:t>25</w:t>
            </w:r>
          </w:p>
        </w:tc>
        <w:tc>
          <w:tcPr>
            <w:tcW w:w="362" w:type="pct"/>
          </w:tcPr>
          <w:p w:rsidR="00233205" w:rsidRPr="00B825AF" w:rsidRDefault="00233205" w:rsidP="00E30BEC">
            <w:pPr>
              <w:pStyle w:val="NoSpacing"/>
              <w:jc w:val="center"/>
              <w:rPr>
                <w:rFonts w:cstheme="majorBidi"/>
                <w:b/>
                <w:bCs/>
                <w:i/>
                <w:iCs/>
                <w:color w:val="404040" w:themeColor="text1" w:themeTint="BF"/>
                <w:sz w:val="18"/>
                <w:szCs w:val="18"/>
                <w:lang w:val="pt-BR"/>
              </w:rPr>
            </w:pPr>
            <w:r w:rsidRPr="00B825AF">
              <w:rPr>
                <w:sz w:val="18"/>
                <w:szCs w:val="18"/>
                <w:lang w:val="pt-BR"/>
              </w:rPr>
              <w:t>EFS-22 (i)</w:t>
            </w:r>
          </w:p>
          <w:p w:rsidR="00233205" w:rsidRPr="00B825AF" w:rsidRDefault="00233205" w:rsidP="00E30BEC">
            <w:pPr>
              <w:pStyle w:val="NoSpacing"/>
              <w:jc w:val="center"/>
              <w:rPr>
                <w:sz w:val="18"/>
                <w:szCs w:val="18"/>
                <w:lang w:val="pt-BR"/>
              </w:rPr>
            </w:pPr>
          </w:p>
          <w:p w:rsidR="00233205" w:rsidRPr="00B825AF" w:rsidRDefault="00233205" w:rsidP="00E30BEC">
            <w:pPr>
              <w:pStyle w:val="NoSpacing"/>
              <w:jc w:val="center"/>
              <w:rPr>
                <w:rFonts w:cstheme="majorBidi"/>
                <w:b/>
                <w:bCs/>
                <w:i/>
                <w:iCs/>
                <w:color w:val="404040" w:themeColor="text1" w:themeTint="BF"/>
                <w:sz w:val="18"/>
                <w:szCs w:val="18"/>
                <w:lang w:val="pt-BR"/>
              </w:rPr>
            </w:pPr>
            <w:proofErr w:type="gramStart"/>
            <w:r w:rsidRPr="00B825AF">
              <w:rPr>
                <w:sz w:val="18"/>
                <w:szCs w:val="18"/>
                <w:lang w:val="pt-BR"/>
              </w:rPr>
              <w:t>EFS-3 (</w:t>
            </w:r>
            <w:proofErr w:type="spellStart"/>
            <w:r w:rsidRPr="00B825AF">
              <w:rPr>
                <w:sz w:val="18"/>
                <w:szCs w:val="18"/>
                <w:lang w:val="pt-BR"/>
              </w:rPr>
              <w:t>ii</w:t>
            </w:r>
            <w:proofErr w:type="spellEnd"/>
            <w:r w:rsidRPr="00B825AF">
              <w:rPr>
                <w:sz w:val="18"/>
                <w:szCs w:val="18"/>
                <w:lang w:val="pt-BR"/>
              </w:rPr>
              <w:t>) d)</w:t>
            </w:r>
            <w:proofErr w:type="gramEnd"/>
            <w:r w:rsidRPr="00B825AF">
              <w:rPr>
                <w:sz w:val="18"/>
                <w:szCs w:val="18"/>
                <w:lang w:val="pt-BR"/>
              </w:rPr>
              <w:t>, e)</w:t>
            </w:r>
          </w:p>
          <w:p w:rsidR="00233205" w:rsidRPr="00B825AF" w:rsidRDefault="00233205" w:rsidP="00E30BEC">
            <w:pPr>
              <w:pStyle w:val="NoSpacing"/>
              <w:jc w:val="center"/>
              <w:rPr>
                <w:sz w:val="18"/>
                <w:szCs w:val="18"/>
                <w:lang w:val="pt-BR"/>
              </w:rPr>
            </w:pPr>
          </w:p>
          <w:p w:rsidR="00233205" w:rsidRPr="00B36377" w:rsidRDefault="00233205" w:rsidP="00E30BEC">
            <w:pPr>
              <w:pStyle w:val="NoSpacing"/>
              <w:jc w:val="center"/>
              <w:rPr>
                <w:rFonts w:cstheme="majorBidi"/>
                <w:b/>
                <w:bCs/>
                <w:i/>
                <w:iCs/>
                <w:color w:val="404040" w:themeColor="text1" w:themeTint="BF"/>
                <w:sz w:val="18"/>
                <w:szCs w:val="18"/>
                <w:lang w:val="es-ES_tradnl"/>
              </w:rPr>
            </w:pPr>
            <w:r w:rsidRPr="00B36377">
              <w:rPr>
                <w:sz w:val="18"/>
                <w:szCs w:val="18"/>
                <w:lang w:val="es-ES_tradnl"/>
              </w:rPr>
              <w:t>EFS-5 (ii)(d)</w:t>
            </w:r>
          </w:p>
          <w:p w:rsidR="00233205" w:rsidRPr="00B36377" w:rsidRDefault="00233205" w:rsidP="00E30BEC">
            <w:pPr>
              <w:pStyle w:val="NoSpacing"/>
              <w:jc w:val="center"/>
              <w:rPr>
                <w:sz w:val="18"/>
                <w:szCs w:val="18"/>
                <w:lang w:val="es-ES_tradnl"/>
              </w:rPr>
            </w:pPr>
          </w:p>
        </w:tc>
        <w:tc>
          <w:tcPr>
            <w:tcW w:w="777" w:type="pct"/>
          </w:tcPr>
          <w:p w:rsidR="00233205" w:rsidRPr="00B36377" w:rsidRDefault="00233205" w:rsidP="00E30BEC">
            <w:pPr>
              <w:pStyle w:val="NoSpacing"/>
              <w:rPr>
                <w:rFonts w:eastAsia="Calibri" w:cs="Arial"/>
                <w:sz w:val="18"/>
                <w:szCs w:val="18"/>
                <w:lang w:val="es-ES_tradnl"/>
              </w:rPr>
            </w:pPr>
            <w:r w:rsidRPr="00B36377">
              <w:rPr>
                <w:sz w:val="18"/>
                <w:szCs w:val="18"/>
                <w:lang w:val="es-ES_tradnl"/>
              </w:rPr>
              <w:t>La Contraloría no dispone de una estrategia de comunicaciones formal que esté alineada con el Plan Estratégico.</w:t>
            </w:r>
          </w:p>
        </w:tc>
        <w:tc>
          <w:tcPr>
            <w:tcW w:w="1346" w:type="pct"/>
          </w:tcPr>
          <w:p w:rsidR="00233205" w:rsidRPr="00B36377" w:rsidRDefault="00233205" w:rsidP="00E30BEC">
            <w:pPr>
              <w:pStyle w:val="NoSpacing"/>
              <w:rPr>
                <w:sz w:val="18"/>
                <w:szCs w:val="18"/>
                <w:lang w:val="es-ES_tradnl"/>
              </w:rPr>
            </w:pPr>
            <w:r w:rsidRPr="00B36377">
              <w:rPr>
                <w:sz w:val="18"/>
                <w:szCs w:val="18"/>
                <w:lang w:val="es-ES_tradnl"/>
              </w:rPr>
              <w:t>Diseñar una estrategia de comunicación institucional que se fundamente en la importancia de la transparencia y la rendición de cuentas, la cual cubra:</w:t>
            </w:r>
          </w:p>
          <w:p w:rsidR="00233205" w:rsidRPr="00B36377" w:rsidRDefault="00233205" w:rsidP="00E30BEC">
            <w:pPr>
              <w:pStyle w:val="NoSpacing"/>
              <w:rPr>
                <w:sz w:val="18"/>
                <w:szCs w:val="18"/>
                <w:lang w:val="es-ES_tradnl"/>
              </w:rPr>
            </w:pPr>
          </w:p>
          <w:p w:rsidR="00233205" w:rsidRPr="00B36377" w:rsidRDefault="00233205" w:rsidP="00233205">
            <w:pPr>
              <w:pStyle w:val="NoSpacing"/>
              <w:numPr>
                <w:ilvl w:val="0"/>
                <w:numId w:val="88"/>
              </w:numPr>
              <w:rPr>
                <w:sz w:val="18"/>
                <w:szCs w:val="18"/>
                <w:lang w:val="es-ES_tradnl"/>
              </w:rPr>
            </w:pPr>
            <w:r w:rsidRPr="00B36377">
              <w:rPr>
                <w:sz w:val="18"/>
                <w:szCs w:val="18"/>
                <w:lang w:val="es-ES_tradnl"/>
              </w:rPr>
              <w:t>Las partes interesadas y la audiencia con quienes requiere comunicarse</w:t>
            </w:r>
          </w:p>
          <w:p w:rsidR="00233205" w:rsidRPr="00B36377" w:rsidRDefault="00233205" w:rsidP="00233205">
            <w:pPr>
              <w:pStyle w:val="NoSpacing"/>
              <w:numPr>
                <w:ilvl w:val="0"/>
                <w:numId w:val="88"/>
              </w:numPr>
              <w:rPr>
                <w:sz w:val="18"/>
                <w:szCs w:val="18"/>
                <w:lang w:val="es-ES_tradnl"/>
              </w:rPr>
            </w:pPr>
            <w:r w:rsidRPr="00B36377">
              <w:rPr>
                <w:sz w:val="18"/>
                <w:szCs w:val="18"/>
                <w:lang w:val="es-ES_tradnl"/>
              </w:rPr>
              <w:t>Los mensajes clave que desea comunicar y la forma en que lo hará considerando criterios de facilidad de comprensión, acceso, etc.,</w:t>
            </w:r>
          </w:p>
          <w:p w:rsidR="00233205" w:rsidRPr="00B36377" w:rsidRDefault="00233205" w:rsidP="00233205">
            <w:pPr>
              <w:pStyle w:val="NoSpacing"/>
              <w:numPr>
                <w:ilvl w:val="0"/>
                <w:numId w:val="88"/>
              </w:numPr>
              <w:rPr>
                <w:sz w:val="18"/>
                <w:szCs w:val="18"/>
                <w:lang w:val="es-ES_tradnl"/>
              </w:rPr>
            </w:pPr>
            <w:r w:rsidRPr="00B36377">
              <w:rPr>
                <w:sz w:val="18"/>
                <w:szCs w:val="18"/>
                <w:lang w:val="es-ES_tradnl"/>
              </w:rPr>
              <w:t>La respuesta a los requerimientos obtenidos de las encuestas y otras indagaciones a los ciudadanos y los grupos de interés.</w:t>
            </w:r>
          </w:p>
          <w:p w:rsidR="00233205" w:rsidRPr="00B36377" w:rsidRDefault="00233205" w:rsidP="00233205">
            <w:pPr>
              <w:pStyle w:val="NoSpacing"/>
              <w:numPr>
                <w:ilvl w:val="0"/>
                <w:numId w:val="88"/>
              </w:numPr>
              <w:rPr>
                <w:sz w:val="18"/>
                <w:szCs w:val="18"/>
                <w:lang w:val="es-ES_tradnl"/>
              </w:rPr>
            </w:pPr>
            <w:r w:rsidRPr="00B36377">
              <w:rPr>
                <w:sz w:val="18"/>
                <w:szCs w:val="18"/>
                <w:lang w:val="es-ES_tradnl"/>
              </w:rPr>
              <w:t>Las herramientas que utilizará para hacerlo</w:t>
            </w:r>
          </w:p>
          <w:p w:rsidR="00233205" w:rsidRPr="00B36377" w:rsidRDefault="00233205" w:rsidP="00233205">
            <w:pPr>
              <w:pStyle w:val="NoSpacing"/>
              <w:numPr>
                <w:ilvl w:val="0"/>
                <w:numId w:val="88"/>
              </w:numPr>
              <w:rPr>
                <w:sz w:val="18"/>
                <w:szCs w:val="18"/>
                <w:lang w:val="es-ES_tradnl"/>
              </w:rPr>
            </w:pPr>
            <w:r w:rsidRPr="00B36377">
              <w:rPr>
                <w:sz w:val="18"/>
                <w:szCs w:val="18"/>
                <w:lang w:val="es-ES_tradnl"/>
              </w:rPr>
              <w:t>Los recursos necesarios para la comunicación (humanos, presupuestales).</w:t>
            </w:r>
          </w:p>
          <w:p w:rsidR="00233205" w:rsidRPr="00B36377" w:rsidRDefault="00233205" w:rsidP="00233205">
            <w:pPr>
              <w:pStyle w:val="NoSpacing"/>
              <w:numPr>
                <w:ilvl w:val="0"/>
                <w:numId w:val="88"/>
              </w:numPr>
              <w:rPr>
                <w:sz w:val="18"/>
                <w:szCs w:val="18"/>
                <w:lang w:val="es-ES_tradnl"/>
              </w:rPr>
            </w:pPr>
            <w:r w:rsidRPr="00B36377">
              <w:rPr>
                <w:sz w:val="18"/>
                <w:szCs w:val="18"/>
                <w:lang w:val="es-ES_tradnl"/>
              </w:rPr>
              <w:t>Los medios de monitoreo para verificar su efectividad (indicadores de desempeño)</w:t>
            </w:r>
          </w:p>
          <w:p w:rsidR="00233205" w:rsidRPr="00B36377" w:rsidRDefault="00233205" w:rsidP="00E30BEC">
            <w:pPr>
              <w:pStyle w:val="NoSpacing"/>
              <w:ind w:left="360"/>
              <w:rPr>
                <w:sz w:val="18"/>
                <w:szCs w:val="18"/>
                <w:lang w:val="es-ES_tradnl"/>
              </w:rPr>
            </w:pPr>
          </w:p>
        </w:tc>
        <w:tc>
          <w:tcPr>
            <w:tcW w:w="777" w:type="pct"/>
          </w:tcPr>
          <w:p w:rsidR="00233205" w:rsidRPr="00B36377" w:rsidRDefault="00233205" w:rsidP="00233205">
            <w:pPr>
              <w:pStyle w:val="NoSpacing"/>
              <w:numPr>
                <w:ilvl w:val="0"/>
                <w:numId w:val="89"/>
              </w:numPr>
              <w:ind w:left="223" w:hanging="223"/>
              <w:rPr>
                <w:sz w:val="18"/>
                <w:szCs w:val="18"/>
                <w:lang w:val="es-ES_tradnl"/>
              </w:rPr>
            </w:pPr>
            <w:r w:rsidRPr="00B36377">
              <w:rPr>
                <w:sz w:val="18"/>
                <w:szCs w:val="18"/>
                <w:lang w:val="es-ES_tradnl"/>
              </w:rPr>
              <w:t>Se obtiene un uso eficiente de los recursos dedicados a la comunicación  y aumenta  la  probabilidad de que  los mensajes logren sus objetivos.</w:t>
            </w:r>
          </w:p>
          <w:p w:rsidR="00233205" w:rsidRPr="00B36377" w:rsidRDefault="00233205" w:rsidP="00E30BEC">
            <w:pPr>
              <w:pStyle w:val="NoSpacing"/>
              <w:ind w:left="223" w:hanging="223"/>
              <w:rPr>
                <w:sz w:val="18"/>
                <w:szCs w:val="18"/>
                <w:lang w:val="es-ES_tradnl"/>
              </w:rPr>
            </w:pPr>
          </w:p>
          <w:p w:rsidR="00233205" w:rsidRPr="00B36377" w:rsidRDefault="00233205" w:rsidP="00233205">
            <w:pPr>
              <w:pStyle w:val="NoSpacing"/>
              <w:numPr>
                <w:ilvl w:val="0"/>
                <w:numId w:val="89"/>
              </w:numPr>
              <w:ind w:left="223" w:hanging="223"/>
              <w:rPr>
                <w:rFonts w:eastAsia="Calibri" w:cs="Arial"/>
                <w:sz w:val="18"/>
                <w:szCs w:val="18"/>
                <w:lang w:val="es-ES_tradnl"/>
              </w:rPr>
            </w:pPr>
            <w:r w:rsidRPr="00B36377">
              <w:rPr>
                <w:sz w:val="18"/>
                <w:szCs w:val="18"/>
                <w:lang w:val="es-ES_tradnl"/>
              </w:rPr>
              <w:t>Mejora el posicionamiento de la CGRC en los ciudadanos y otros grupos de interés</w:t>
            </w:r>
          </w:p>
        </w:tc>
        <w:tc>
          <w:tcPr>
            <w:tcW w:w="517" w:type="pct"/>
          </w:tcPr>
          <w:p w:rsidR="00233205" w:rsidRPr="00B36377" w:rsidRDefault="00233205" w:rsidP="00E30BEC">
            <w:pPr>
              <w:pStyle w:val="NoSpacing"/>
              <w:rPr>
                <w:rFonts w:eastAsia="Calibri" w:cs="Arial"/>
                <w:b/>
                <w:bCs/>
                <w:i/>
                <w:iCs/>
                <w:color w:val="404040" w:themeColor="text1" w:themeTint="BF"/>
                <w:sz w:val="18"/>
                <w:szCs w:val="18"/>
                <w:lang w:val="es-ES_tradnl"/>
              </w:rPr>
            </w:pPr>
            <w:r w:rsidRPr="00B36377">
              <w:rPr>
                <w:sz w:val="18"/>
                <w:szCs w:val="18"/>
                <w:lang w:val="es-ES_tradnl"/>
              </w:rPr>
              <w:t>Oficina de Comunicaciones y Publicaciones</w:t>
            </w:r>
          </w:p>
        </w:tc>
        <w:tc>
          <w:tcPr>
            <w:tcW w:w="465" w:type="pct"/>
          </w:tcPr>
          <w:p w:rsidR="00233205" w:rsidRPr="00B36377" w:rsidRDefault="00233205" w:rsidP="00E30BEC">
            <w:pPr>
              <w:pStyle w:val="NoSpacing"/>
              <w:rPr>
                <w:rFonts w:eastAsia="Calibri" w:cs="Arial"/>
                <w:b/>
                <w:bCs/>
                <w:i/>
                <w:iCs/>
                <w:color w:val="404040" w:themeColor="text1" w:themeTint="BF"/>
                <w:sz w:val="18"/>
                <w:szCs w:val="18"/>
                <w:lang w:val="es-ES_tradnl"/>
              </w:rPr>
            </w:pPr>
            <w:r w:rsidRPr="00B36377">
              <w:rPr>
                <w:sz w:val="18"/>
                <w:szCs w:val="18"/>
                <w:lang w:val="es-ES_tradnl"/>
              </w:rPr>
              <w:t>2do. semestre de  2015</w:t>
            </w:r>
          </w:p>
        </w:tc>
        <w:tc>
          <w:tcPr>
            <w:tcW w:w="579" w:type="pct"/>
          </w:tcPr>
          <w:p w:rsidR="00233205" w:rsidRPr="00B36377" w:rsidRDefault="00233205" w:rsidP="00E30BEC">
            <w:pPr>
              <w:pStyle w:val="NoSpacing"/>
              <w:rPr>
                <w:rFonts w:cstheme="majorBidi"/>
                <w:b/>
                <w:bCs/>
                <w:i/>
                <w:iCs/>
                <w:color w:val="404040" w:themeColor="text1" w:themeTint="BF"/>
                <w:sz w:val="18"/>
                <w:szCs w:val="18"/>
                <w:lang w:val="es-ES_tradnl"/>
              </w:rPr>
            </w:pPr>
            <w:r w:rsidRPr="00B36377">
              <w:rPr>
                <w:sz w:val="18"/>
                <w:szCs w:val="18"/>
                <w:lang w:val="es-ES_tradnl"/>
              </w:rPr>
              <w:t>Estrategia de comunicación formalizada</w:t>
            </w:r>
          </w:p>
          <w:p w:rsidR="00233205" w:rsidRPr="00B36377" w:rsidRDefault="00233205" w:rsidP="00E30BEC">
            <w:pPr>
              <w:pStyle w:val="NoSpacing"/>
              <w:rPr>
                <w:sz w:val="18"/>
                <w:szCs w:val="18"/>
                <w:lang w:val="es-ES_tradnl"/>
              </w:rPr>
            </w:pPr>
          </w:p>
          <w:p w:rsidR="00233205" w:rsidRPr="00B36377" w:rsidRDefault="00233205" w:rsidP="00E30BEC">
            <w:pPr>
              <w:pStyle w:val="NoSpacing"/>
              <w:rPr>
                <w:rFonts w:eastAsia="Calibri" w:cs="Arial"/>
                <w:b/>
                <w:bCs/>
                <w:color w:val="4F81BD" w:themeColor="accent1"/>
                <w:sz w:val="18"/>
                <w:szCs w:val="18"/>
                <w:lang w:val="es-ES_tradnl"/>
              </w:rPr>
            </w:pPr>
            <w:r w:rsidRPr="00B36377">
              <w:rPr>
                <w:sz w:val="18"/>
                <w:szCs w:val="18"/>
                <w:lang w:val="es-ES_tradnl"/>
              </w:rPr>
              <w:t>Plan de comunicación 2016</w:t>
            </w:r>
          </w:p>
        </w:tc>
      </w:tr>
      <w:tr w:rsidR="00233205" w:rsidRPr="00B36377" w:rsidTr="00E30BEC">
        <w:trPr>
          <w:jc w:val="center"/>
        </w:trPr>
        <w:tc>
          <w:tcPr>
            <w:tcW w:w="177" w:type="pct"/>
          </w:tcPr>
          <w:p w:rsidR="00233205" w:rsidRPr="00B36377" w:rsidRDefault="00233205" w:rsidP="00E30BEC">
            <w:pPr>
              <w:pStyle w:val="NoSpacing"/>
              <w:jc w:val="center"/>
              <w:rPr>
                <w:rFonts w:cstheme="majorBidi"/>
                <w:b/>
                <w:bCs/>
                <w:i/>
                <w:iCs/>
                <w:color w:val="404040" w:themeColor="text1" w:themeTint="BF"/>
                <w:sz w:val="18"/>
                <w:szCs w:val="18"/>
                <w:lang w:val="es-ES_tradnl"/>
              </w:rPr>
            </w:pPr>
            <w:r w:rsidRPr="00B36377">
              <w:rPr>
                <w:sz w:val="18"/>
                <w:szCs w:val="18"/>
                <w:lang w:val="es-ES_tradnl"/>
              </w:rPr>
              <w:lastRenderedPageBreak/>
              <w:t>26</w:t>
            </w:r>
          </w:p>
        </w:tc>
        <w:tc>
          <w:tcPr>
            <w:tcW w:w="362" w:type="pct"/>
          </w:tcPr>
          <w:p w:rsidR="00233205" w:rsidRPr="00B36377" w:rsidRDefault="00233205" w:rsidP="00E30BEC">
            <w:pPr>
              <w:pStyle w:val="NoSpacing"/>
              <w:jc w:val="center"/>
              <w:rPr>
                <w:rFonts w:cstheme="majorBidi"/>
                <w:b/>
                <w:bCs/>
                <w:i/>
                <w:iCs/>
                <w:color w:val="404040" w:themeColor="text1" w:themeTint="BF"/>
                <w:sz w:val="18"/>
                <w:szCs w:val="18"/>
                <w:lang w:val="es-ES_tradnl"/>
              </w:rPr>
            </w:pPr>
            <w:r w:rsidRPr="00B36377">
              <w:rPr>
                <w:sz w:val="18"/>
                <w:szCs w:val="18"/>
                <w:lang w:val="es-ES_tradnl"/>
              </w:rPr>
              <w:t>EFS-22 (ii) b), c), d)</w:t>
            </w:r>
          </w:p>
          <w:p w:rsidR="00233205" w:rsidRPr="00B36377" w:rsidRDefault="00233205" w:rsidP="00E30BEC">
            <w:pPr>
              <w:pStyle w:val="NoSpacing"/>
              <w:jc w:val="center"/>
              <w:rPr>
                <w:sz w:val="18"/>
                <w:szCs w:val="18"/>
                <w:lang w:val="es-ES_tradnl"/>
              </w:rPr>
            </w:pPr>
          </w:p>
          <w:p w:rsidR="00233205" w:rsidRPr="00B36377" w:rsidRDefault="00233205" w:rsidP="00E30BEC">
            <w:pPr>
              <w:pStyle w:val="NoSpacing"/>
              <w:jc w:val="center"/>
              <w:rPr>
                <w:sz w:val="18"/>
                <w:szCs w:val="18"/>
                <w:lang w:val="es-ES_tradnl"/>
              </w:rPr>
            </w:pPr>
          </w:p>
        </w:tc>
        <w:tc>
          <w:tcPr>
            <w:tcW w:w="777" w:type="pct"/>
          </w:tcPr>
          <w:p w:rsidR="00233205" w:rsidRPr="00B36377" w:rsidRDefault="00233205" w:rsidP="00E30BEC">
            <w:pPr>
              <w:pStyle w:val="NoSpacing"/>
              <w:rPr>
                <w:sz w:val="18"/>
                <w:szCs w:val="18"/>
                <w:lang w:val="es-ES_tradnl"/>
              </w:rPr>
            </w:pPr>
            <w:r w:rsidRPr="00B36377">
              <w:rPr>
                <w:rFonts w:cs="Calibri"/>
                <w:color w:val="000000"/>
                <w:sz w:val="18"/>
                <w:szCs w:val="18"/>
                <w:lang w:val="es-ES_tradnl"/>
              </w:rPr>
              <w:t xml:space="preserve">No se dispone de un </w:t>
            </w:r>
            <w:r w:rsidRPr="00B36377">
              <w:rPr>
                <w:sz w:val="18"/>
                <w:szCs w:val="18"/>
                <w:lang w:val="es-ES_tradnl"/>
              </w:rPr>
              <w:t xml:space="preserve"> plan de comunicaciones asociado a una estrategia de comunicaciones internas</w:t>
            </w:r>
          </w:p>
          <w:p w:rsidR="00233205" w:rsidRPr="00B36377" w:rsidRDefault="00233205" w:rsidP="00E30BEC">
            <w:pPr>
              <w:pStyle w:val="NoSpacing"/>
              <w:rPr>
                <w:color w:val="000000"/>
                <w:sz w:val="18"/>
                <w:szCs w:val="18"/>
                <w:lang w:val="es-ES_tradnl"/>
              </w:rPr>
            </w:pPr>
          </w:p>
        </w:tc>
        <w:tc>
          <w:tcPr>
            <w:tcW w:w="1346" w:type="pct"/>
          </w:tcPr>
          <w:p w:rsidR="00233205" w:rsidRPr="00B36377" w:rsidRDefault="00233205" w:rsidP="00E30BEC">
            <w:pPr>
              <w:pStyle w:val="NoSpacing"/>
              <w:rPr>
                <w:sz w:val="18"/>
                <w:szCs w:val="18"/>
                <w:lang w:val="es-ES_tradnl"/>
              </w:rPr>
            </w:pPr>
            <w:r w:rsidRPr="00B36377">
              <w:rPr>
                <w:sz w:val="18"/>
                <w:szCs w:val="18"/>
                <w:lang w:val="es-ES_tradnl"/>
              </w:rPr>
              <w:t>El desarrollo e implementación del  Plan de Comunicaciones  como parte de la estrategia de comunicación institucional, además de la comunicación externa, debe contemplar la estrategia y táctica de comunicación interna. En los aspectos de comunicación interna debe cubrir:</w:t>
            </w:r>
          </w:p>
          <w:p w:rsidR="00233205" w:rsidRPr="00B36377" w:rsidRDefault="00233205" w:rsidP="00233205">
            <w:pPr>
              <w:pStyle w:val="NoSpacing"/>
              <w:numPr>
                <w:ilvl w:val="0"/>
                <w:numId w:val="90"/>
              </w:numPr>
              <w:rPr>
                <w:rFonts w:cs="Calibri"/>
                <w:color w:val="000000"/>
                <w:sz w:val="18"/>
                <w:szCs w:val="18"/>
                <w:lang w:val="es-ES_tradnl"/>
              </w:rPr>
            </w:pPr>
            <w:r w:rsidRPr="00B36377">
              <w:rPr>
                <w:rFonts w:cs="Calibri"/>
                <w:color w:val="000000"/>
                <w:sz w:val="18"/>
                <w:szCs w:val="18"/>
                <w:lang w:val="es-ES_tradnl"/>
              </w:rPr>
              <w:t>Comunicación en las dos vías (bidireccional) en todos los sectores de la organización</w:t>
            </w:r>
          </w:p>
          <w:p w:rsidR="00233205" w:rsidRPr="00B36377" w:rsidRDefault="00233205" w:rsidP="00233205">
            <w:pPr>
              <w:pStyle w:val="NoSpacing"/>
              <w:numPr>
                <w:ilvl w:val="0"/>
                <w:numId w:val="90"/>
              </w:numPr>
              <w:rPr>
                <w:rFonts w:cs="Calibri"/>
                <w:color w:val="000000"/>
                <w:sz w:val="18"/>
                <w:szCs w:val="18"/>
                <w:lang w:val="es-ES_tradnl"/>
              </w:rPr>
            </w:pPr>
            <w:r w:rsidRPr="00B36377">
              <w:rPr>
                <w:rFonts w:cs="Calibri"/>
                <w:color w:val="000000"/>
                <w:sz w:val="18"/>
                <w:szCs w:val="18"/>
                <w:lang w:val="es-ES_tradnl"/>
              </w:rPr>
              <w:t>Las herramientas que utilizará para hacerlo</w:t>
            </w:r>
          </w:p>
          <w:p w:rsidR="00233205" w:rsidRPr="00B36377" w:rsidRDefault="00233205" w:rsidP="00233205">
            <w:pPr>
              <w:pStyle w:val="NoSpacing"/>
              <w:numPr>
                <w:ilvl w:val="0"/>
                <w:numId w:val="90"/>
              </w:numPr>
              <w:rPr>
                <w:sz w:val="18"/>
                <w:szCs w:val="18"/>
                <w:lang w:val="es-ES_tradnl"/>
              </w:rPr>
            </w:pPr>
            <w:r w:rsidRPr="00B36377">
              <w:rPr>
                <w:rFonts w:cs="Calibri"/>
                <w:color w:val="000000"/>
                <w:sz w:val="18"/>
                <w:szCs w:val="18"/>
                <w:lang w:val="es-ES_tradnl"/>
              </w:rPr>
              <w:t>Los procesos que permitan mantener interrelacionada e integrada a la organización.   Por ejemplo a través del fomento de grupos primarios en cada Unidad para que con determinada periodicidad se reúnan, autoevalúen su gestión y preparen planes con recomendaciones sobre acciones a seguir para mejorar áreas débiles en todos los campos de la gestión del grupo.</w:t>
            </w:r>
          </w:p>
          <w:p w:rsidR="00233205" w:rsidRPr="00B36377" w:rsidRDefault="00233205" w:rsidP="00233205">
            <w:pPr>
              <w:pStyle w:val="NoSpacing"/>
              <w:numPr>
                <w:ilvl w:val="0"/>
                <w:numId w:val="90"/>
              </w:numPr>
              <w:rPr>
                <w:sz w:val="18"/>
                <w:szCs w:val="18"/>
                <w:lang w:val="es-ES_tradnl"/>
              </w:rPr>
            </w:pPr>
            <w:r w:rsidRPr="00B36377">
              <w:rPr>
                <w:rFonts w:cs="Calibri"/>
                <w:color w:val="000000"/>
                <w:sz w:val="18"/>
                <w:szCs w:val="18"/>
                <w:lang w:val="es-ES_tradnl"/>
              </w:rPr>
              <w:t>La medición de la efectividad en la comunicación, mediante encuestas internas u otros mecanismos de verificación con los equipos de trabajo.</w:t>
            </w:r>
          </w:p>
          <w:p w:rsidR="00233205" w:rsidRPr="00B36377" w:rsidRDefault="00233205" w:rsidP="00E30BEC">
            <w:pPr>
              <w:pStyle w:val="NoSpacing"/>
              <w:ind w:left="360"/>
              <w:rPr>
                <w:sz w:val="18"/>
                <w:szCs w:val="18"/>
                <w:lang w:val="es-ES_tradnl"/>
              </w:rPr>
            </w:pPr>
          </w:p>
        </w:tc>
        <w:tc>
          <w:tcPr>
            <w:tcW w:w="777" w:type="pct"/>
          </w:tcPr>
          <w:p w:rsidR="00233205" w:rsidRPr="00B36377" w:rsidRDefault="00233205" w:rsidP="00233205">
            <w:pPr>
              <w:pStyle w:val="NoSpacing"/>
              <w:numPr>
                <w:ilvl w:val="0"/>
                <w:numId w:val="91"/>
              </w:numPr>
              <w:ind w:left="223" w:hanging="223"/>
              <w:rPr>
                <w:sz w:val="18"/>
                <w:szCs w:val="18"/>
                <w:lang w:val="es-ES_tradnl"/>
              </w:rPr>
            </w:pPr>
            <w:r w:rsidRPr="00B36377">
              <w:rPr>
                <w:sz w:val="18"/>
                <w:szCs w:val="18"/>
                <w:lang w:val="es-ES_tradnl"/>
              </w:rPr>
              <w:t>Se asegura la participación efectiva de todos en la organización y su compromiso.</w:t>
            </w:r>
          </w:p>
          <w:p w:rsidR="00233205" w:rsidRPr="00B36377" w:rsidRDefault="00233205" w:rsidP="00E30BEC">
            <w:pPr>
              <w:pStyle w:val="NoSpacing"/>
              <w:rPr>
                <w:sz w:val="18"/>
                <w:szCs w:val="18"/>
                <w:lang w:val="es-ES_tradnl"/>
              </w:rPr>
            </w:pPr>
          </w:p>
          <w:p w:rsidR="00233205" w:rsidRPr="00B36377" w:rsidRDefault="00233205" w:rsidP="00233205">
            <w:pPr>
              <w:pStyle w:val="NoSpacing"/>
              <w:numPr>
                <w:ilvl w:val="0"/>
                <w:numId w:val="91"/>
              </w:numPr>
              <w:ind w:left="223" w:hanging="223"/>
              <w:rPr>
                <w:sz w:val="18"/>
                <w:szCs w:val="18"/>
                <w:lang w:val="es-ES_tradnl"/>
              </w:rPr>
            </w:pPr>
            <w:r w:rsidRPr="00B36377">
              <w:rPr>
                <w:sz w:val="18"/>
                <w:szCs w:val="18"/>
                <w:lang w:val="es-ES_tradnl"/>
              </w:rPr>
              <w:t>Se fortalecen  las relaciones de pertenencia y mejora el clima organizacional</w:t>
            </w:r>
          </w:p>
          <w:p w:rsidR="00233205" w:rsidRPr="00B36377" w:rsidRDefault="00233205" w:rsidP="00E30BEC">
            <w:pPr>
              <w:pStyle w:val="NoSpacing"/>
              <w:ind w:left="223" w:hanging="223"/>
              <w:rPr>
                <w:sz w:val="18"/>
                <w:szCs w:val="18"/>
                <w:lang w:val="es-ES_tradnl"/>
              </w:rPr>
            </w:pPr>
          </w:p>
          <w:p w:rsidR="00233205" w:rsidRPr="00B36377" w:rsidRDefault="00233205" w:rsidP="00233205">
            <w:pPr>
              <w:pStyle w:val="NoSpacing"/>
              <w:numPr>
                <w:ilvl w:val="0"/>
                <w:numId w:val="91"/>
              </w:numPr>
              <w:ind w:left="223" w:hanging="223"/>
              <w:rPr>
                <w:sz w:val="18"/>
                <w:szCs w:val="18"/>
                <w:lang w:val="es-ES_tradnl"/>
              </w:rPr>
            </w:pPr>
            <w:r w:rsidRPr="00B36377">
              <w:rPr>
                <w:sz w:val="18"/>
                <w:szCs w:val="18"/>
                <w:lang w:val="es-ES_tradnl"/>
              </w:rPr>
              <w:t>Aumenta la calidad en el desempeño</w:t>
            </w:r>
          </w:p>
        </w:tc>
        <w:tc>
          <w:tcPr>
            <w:tcW w:w="517" w:type="pct"/>
          </w:tcPr>
          <w:p w:rsidR="00233205" w:rsidRPr="00B36377" w:rsidRDefault="00233205" w:rsidP="00E30BEC">
            <w:pPr>
              <w:pStyle w:val="NoSpacing"/>
              <w:rPr>
                <w:rFonts w:cstheme="majorBidi"/>
                <w:b/>
                <w:bCs/>
                <w:i/>
                <w:iCs/>
                <w:color w:val="404040" w:themeColor="text1" w:themeTint="BF"/>
                <w:sz w:val="18"/>
                <w:szCs w:val="18"/>
                <w:lang w:val="es-ES_tradnl"/>
              </w:rPr>
            </w:pPr>
            <w:r w:rsidRPr="00B36377">
              <w:rPr>
                <w:sz w:val="18"/>
                <w:szCs w:val="18"/>
                <w:lang w:val="es-ES_tradnl"/>
              </w:rPr>
              <w:t>Oficina de Comunicaciones y Publicaciones</w:t>
            </w:r>
          </w:p>
        </w:tc>
        <w:tc>
          <w:tcPr>
            <w:tcW w:w="465" w:type="pct"/>
          </w:tcPr>
          <w:p w:rsidR="00233205" w:rsidRPr="00B36377" w:rsidRDefault="00233205" w:rsidP="00E30BEC">
            <w:pPr>
              <w:pStyle w:val="NoSpacing"/>
              <w:rPr>
                <w:rFonts w:cstheme="majorBidi"/>
                <w:b/>
                <w:bCs/>
                <w:i/>
                <w:iCs/>
                <w:color w:val="404040" w:themeColor="text1" w:themeTint="BF"/>
                <w:sz w:val="18"/>
                <w:szCs w:val="18"/>
                <w:lang w:val="es-ES_tradnl"/>
              </w:rPr>
            </w:pPr>
            <w:r w:rsidRPr="00B36377">
              <w:rPr>
                <w:sz w:val="18"/>
                <w:szCs w:val="18"/>
                <w:lang w:val="es-ES_tradnl"/>
              </w:rPr>
              <w:t>2do. semestre de  2015</w:t>
            </w:r>
          </w:p>
        </w:tc>
        <w:tc>
          <w:tcPr>
            <w:tcW w:w="579" w:type="pct"/>
          </w:tcPr>
          <w:p w:rsidR="00233205" w:rsidRPr="00B36377" w:rsidRDefault="00233205" w:rsidP="00E30BEC">
            <w:pPr>
              <w:pStyle w:val="NoSpacing"/>
              <w:rPr>
                <w:rFonts w:cstheme="majorBidi"/>
                <w:b/>
                <w:bCs/>
                <w:i/>
                <w:iCs/>
                <w:color w:val="404040" w:themeColor="text1" w:themeTint="BF"/>
                <w:sz w:val="18"/>
                <w:szCs w:val="18"/>
                <w:lang w:val="es-ES_tradnl"/>
              </w:rPr>
            </w:pPr>
            <w:r w:rsidRPr="00B36377">
              <w:rPr>
                <w:sz w:val="18"/>
                <w:szCs w:val="18"/>
                <w:lang w:val="es-ES_tradnl"/>
              </w:rPr>
              <w:t>Plan de comunicación 2016</w:t>
            </w:r>
          </w:p>
        </w:tc>
      </w:tr>
      <w:tr w:rsidR="00233205" w:rsidRPr="00B36377" w:rsidTr="00E30BEC">
        <w:trPr>
          <w:jc w:val="center"/>
        </w:trPr>
        <w:tc>
          <w:tcPr>
            <w:tcW w:w="177" w:type="pct"/>
          </w:tcPr>
          <w:p w:rsidR="00233205" w:rsidRPr="00B36377" w:rsidRDefault="00233205" w:rsidP="00E30BEC">
            <w:pPr>
              <w:pStyle w:val="NoSpacing"/>
              <w:jc w:val="center"/>
              <w:rPr>
                <w:rFonts w:cstheme="majorBidi"/>
                <w:b/>
                <w:bCs/>
                <w:i/>
                <w:iCs/>
                <w:color w:val="404040" w:themeColor="text1" w:themeTint="BF"/>
                <w:sz w:val="18"/>
                <w:szCs w:val="18"/>
                <w:lang w:val="es-ES_tradnl"/>
              </w:rPr>
            </w:pPr>
            <w:r w:rsidRPr="00B36377">
              <w:rPr>
                <w:sz w:val="18"/>
                <w:szCs w:val="18"/>
                <w:lang w:val="es-ES_tradnl"/>
              </w:rPr>
              <w:t>27</w:t>
            </w:r>
          </w:p>
        </w:tc>
        <w:tc>
          <w:tcPr>
            <w:tcW w:w="362" w:type="pct"/>
          </w:tcPr>
          <w:p w:rsidR="00233205" w:rsidRPr="00B36377" w:rsidRDefault="00233205" w:rsidP="00E30BEC">
            <w:pPr>
              <w:pStyle w:val="NoSpacing"/>
              <w:jc w:val="center"/>
              <w:rPr>
                <w:rFonts w:cstheme="majorBidi"/>
                <w:b/>
                <w:bCs/>
                <w:i/>
                <w:iCs/>
                <w:color w:val="404040" w:themeColor="text1" w:themeTint="BF"/>
                <w:sz w:val="18"/>
                <w:szCs w:val="18"/>
                <w:lang w:val="es-ES_tradnl"/>
              </w:rPr>
            </w:pPr>
            <w:r w:rsidRPr="00B36377">
              <w:rPr>
                <w:sz w:val="18"/>
                <w:szCs w:val="18"/>
                <w:lang w:val="es-ES_tradnl"/>
              </w:rPr>
              <w:t>EFS-23 (i) g)</w:t>
            </w:r>
          </w:p>
        </w:tc>
        <w:tc>
          <w:tcPr>
            <w:tcW w:w="777" w:type="pct"/>
          </w:tcPr>
          <w:p w:rsidR="00233205" w:rsidRPr="00B36377" w:rsidRDefault="00233205" w:rsidP="00E30BEC">
            <w:pPr>
              <w:pStyle w:val="NoSpacing"/>
              <w:rPr>
                <w:rFonts w:eastAsia="Calibri" w:cs="Arial"/>
                <w:sz w:val="18"/>
                <w:szCs w:val="18"/>
                <w:lang w:val="es-ES_tradnl"/>
              </w:rPr>
            </w:pPr>
            <w:r w:rsidRPr="00B36377">
              <w:rPr>
                <w:sz w:val="18"/>
                <w:szCs w:val="18"/>
                <w:lang w:val="es-ES_tradnl"/>
              </w:rPr>
              <w:t>No se realizan presentaciones de la Contraloría ante las Comisiones o el Pleno  del Poder legislativo para explicar la naturaleza y alcance de su trabajo y la forma de coordinarse con dicho Poder.</w:t>
            </w:r>
          </w:p>
        </w:tc>
        <w:tc>
          <w:tcPr>
            <w:tcW w:w="1346" w:type="pct"/>
          </w:tcPr>
          <w:p w:rsidR="00233205" w:rsidRPr="00B36377" w:rsidRDefault="00233205" w:rsidP="00E30BEC">
            <w:pPr>
              <w:pStyle w:val="NoSpacing"/>
              <w:rPr>
                <w:rFonts w:eastAsia="Calibri" w:cs="Arial"/>
                <w:sz w:val="18"/>
                <w:szCs w:val="18"/>
                <w:lang w:val="es-ES_tradnl"/>
              </w:rPr>
            </w:pPr>
            <w:r w:rsidRPr="00B36377">
              <w:rPr>
                <w:sz w:val="18"/>
                <w:szCs w:val="18"/>
                <w:lang w:val="es-ES_tradnl"/>
              </w:rPr>
              <w:t>Como parte del desarrollo e implementación de la Política de Comunicación Institucional, se deben formalizar procedimientos para la comunicación con el Poder Legislativo, en los que se considere realizar  presentaciones sobre la naturaleza y alcance  de su trabajo.</w:t>
            </w:r>
          </w:p>
        </w:tc>
        <w:tc>
          <w:tcPr>
            <w:tcW w:w="777" w:type="pct"/>
          </w:tcPr>
          <w:p w:rsidR="00233205" w:rsidRPr="00B36377" w:rsidRDefault="00233205" w:rsidP="00233205">
            <w:pPr>
              <w:pStyle w:val="NoSpacing"/>
              <w:numPr>
                <w:ilvl w:val="0"/>
                <w:numId w:val="92"/>
              </w:numPr>
              <w:ind w:left="223" w:hanging="223"/>
              <w:rPr>
                <w:sz w:val="18"/>
                <w:szCs w:val="18"/>
                <w:lang w:val="es-ES_tradnl"/>
              </w:rPr>
            </w:pPr>
            <w:r w:rsidRPr="00B36377">
              <w:rPr>
                <w:sz w:val="18"/>
                <w:szCs w:val="18"/>
                <w:lang w:val="es-ES_tradnl"/>
              </w:rPr>
              <w:t>Posicionamiento de la CGRC con el Poder Legislativo</w:t>
            </w:r>
          </w:p>
          <w:p w:rsidR="00233205" w:rsidRPr="00B36377" w:rsidRDefault="00233205" w:rsidP="00233205">
            <w:pPr>
              <w:pStyle w:val="NoSpacing"/>
              <w:numPr>
                <w:ilvl w:val="0"/>
                <w:numId w:val="92"/>
              </w:numPr>
              <w:ind w:left="223" w:hanging="223"/>
              <w:rPr>
                <w:sz w:val="18"/>
                <w:szCs w:val="18"/>
                <w:lang w:val="es-ES_tradnl"/>
              </w:rPr>
            </w:pPr>
            <w:r w:rsidRPr="00B36377">
              <w:rPr>
                <w:sz w:val="18"/>
                <w:szCs w:val="18"/>
                <w:lang w:val="es-ES_tradnl"/>
              </w:rPr>
              <w:t>Comprensión de la misión de la CGRC y la forma de utilizar sus resultados</w:t>
            </w:r>
          </w:p>
          <w:p w:rsidR="00233205" w:rsidRPr="00B36377" w:rsidRDefault="00233205" w:rsidP="00233205">
            <w:pPr>
              <w:pStyle w:val="NoSpacing"/>
              <w:numPr>
                <w:ilvl w:val="0"/>
                <w:numId w:val="92"/>
              </w:numPr>
              <w:ind w:left="223" w:hanging="223"/>
              <w:rPr>
                <w:rFonts w:eastAsia="Calibri" w:cs="Arial"/>
                <w:sz w:val="18"/>
                <w:szCs w:val="18"/>
                <w:lang w:val="es-ES_tradnl"/>
              </w:rPr>
            </w:pPr>
            <w:r w:rsidRPr="00B36377">
              <w:rPr>
                <w:sz w:val="18"/>
                <w:szCs w:val="18"/>
                <w:lang w:val="es-ES_tradnl"/>
              </w:rPr>
              <w:t>Mejoras en el presupuesto o menor dificultad para tramitar ajustes presupuestal.</w:t>
            </w:r>
          </w:p>
        </w:tc>
        <w:tc>
          <w:tcPr>
            <w:tcW w:w="517" w:type="pct"/>
          </w:tcPr>
          <w:p w:rsidR="00233205" w:rsidRPr="00B36377" w:rsidRDefault="00233205" w:rsidP="00E30BEC">
            <w:pPr>
              <w:pStyle w:val="NoSpacing"/>
              <w:rPr>
                <w:rFonts w:cstheme="majorBidi"/>
                <w:b/>
                <w:bCs/>
                <w:i/>
                <w:iCs/>
                <w:color w:val="404040" w:themeColor="text1" w:themeTint="BF"/>
                <w:sz w:val="18"/>
                <w:szCs w:val="18"/>
                <w:lang w:val="es-ES_tradnl"/>
              </w:rPr>
            </w:pPr>
            <w:r w:rsidRPr="00B36377">
              <w:rPr>
                <w:sz w:val="18"/>
                <w:szCs w:val="18"/>
                <w:lang w:val="es-ES_tradnl"/>
              </w:rPr>
              <w:t>Oficina de Comunicaciones y Publicaciones</w:t>
            </w:r>
          </w:p>
          <w:p w:rsidR="00233205" w:rsidRPr="00B36377" w:rsidRDefault="00233205" w:rsidP="00E30BEC">
            <w:pPr>
              <w:pStyle w:val="NoSpacing"/>
              <w:rPr>
                <w:sz w:val="18"/>
                <w:szCs w:val="18"/>
                <w:lang w:val="es-ES_tradnl"/>
              </w:rPr>
            </w:pPr>
          </w:p>
          <w:p w:rsidR="00233205" w:rsidRPr="00B36377" w:rsidRDefault="00233205" w:rsidP="00E30BEC">
            <w:pPr>
              <w:pStyle w:val="NoSpacing"/>
              <w:rPr>
                <w:rFonts w:eastAsia="Calibri" w:cs="Arial"/>
                <w:b/>
                <w:bCs/>
                <w:i/>
                <w:iCs/>
                <w:color w:val="404040" w:themeColor="text1" w:themeTint="BF"/>
                <w:sz w:val="18"/>
                <w:szCs w:val="18"/>
                <w:lang w:val="es-ES_tradnl"/>
              </w:rPr>
            </w:pPr>
            <w:r w:rsidRPr="00B36377">
              <w:rPr>
                <w:sz w:val="18"/>
                <w:szCs w:val="18"/>
                <w:lang w:val="es-ES_tradnl"/>
              </w:rPr>
              <w:t>Unidad de Apoyo Técnico al Congreso (UATC)</w:t>
            </w:r>
          </w:p>
        </w:tc>
        <w:tc>
          <w:tcPr>
            <w:tcW w:w="465" w:type="pct"/>
          </w:tcPr>
          <w:p w:rsidR="00233205" w:rsidRPr="00B36377" w:rsidRDefault="00233205" w:rsidP="00E30BEC">
            <w:pPr>
              <w:pStyle w:val="NoSpacing"/>
              <w:rPr>
                <w:rFonts w:eastAsia="Calibri" w:cs="Arial"/>
                <w:b/>
                <w:bCs/>
                <w:i/>
                <w:iCs/>
                <w:color w:val="404040" w:themeColor="text1" w:themeTint="BF"/>
                <w:sz w:val="18"/>
                <w:szCs w:val="18"/>
                <w:lang w:val="es-ES_tradnl"/>
              </w:rPr>
            </w:pPr>
            <w:r w:rsidRPr="00B36377">
              <w:rPr>
                <w:sz w:val="18"/>
                <w:szCs w:val="18"/>
                <w:lang w:val="es-ES_tradnl"/>
              </w:rPr>
              <w:t>2do. semestre de  2015</w:t>
            </w:r>
          </w:p>
        </w:tc>
        <w:tc>
          <w:tcPr>
            <w:tcW w:w="579" w:type="pct"/>
          </w:tcPr>
          <w:p w:rsidR="00233205" w:rsidRPr="00B36377" w:rsidRDefault="00233205" w:rsidP="00E30BEC">
            <w:pPr>
              <w:pStyle w:val="NoSpacing"/>
              <w:rPr>
                <w:rFonts w:cstheme="majorBidi"/>
                <w:b/>
                <w:bCs/>
                <w:i/>
                <w:iCs/>
                <w:color w:val="404040" w:themeColor="text1" w:themeTint="BF"/>
                <w:sz w:val="18"/>
                <w:szCs w:val="18"/>
                <w:lang w:val="es-ES_tradnl"/>
              </w:rPr>
            </w:pPr>
            <w:r w:rsidRPr="00B36377">
              <w:rPr>
                <w:sz w:val="18"/>
                <w:szCs w:val="18"/>
                <w:lang w:val="es-ES_tradnl"/>
              </w:rPr>
              <w:t>Política de comunicación institucional formalizada</w:t>
            </w:r>
          </w:p>
          <w:p w:rsidR="00233205" w:rsidRPr="00B36377" w:rsidRDefault="00233205" w:rsidP="00E30BEC">
            <w:pPr>
              <w:pStyle w:val="NoSpacing"/>
              <w:rPr>
                <w:sz w:val="18"/>
                <w:szCs w:val="18"/>
                <w:lang w:val="es-ES_tradnl"/>
              </w:rPr>
            </w:pPr>
          </w:p>
          <w:p w:rsidR="00233205" w:rsidRPr="00B36377" w:rsidRDefault="00233205" w:rsidP="00E30BEC">
            <w:pPr>
              <w:pStyle w:val="NoSpacing"/>
              <w:rPr>
                <w:rFonts w:eastAsia="Calibri" w:cs="Arial"/>
                <w:b/>
                <w:bCs/>
                <w:i/>
                <w:iCs/>
                <w:color w:val="404040" w:themeColor="text1" w:themeTint="BF"/>
                <w:sz w:val="18"/>
                <w:szCs w:val="18"/>
                <w:lang w:val="es-ES_tradnl"/>
              </w:rPr>
            </w:pPr>
            <w:r w:rsidRPr="00B36377">
              <w:rPr>
                <w:sz w:val="18"/>
                <w:szCs w:val="18"/>
                <w:lang w:val="es-ES_tradnl"/>
              </w:rPr>
              <w:t>Presentación Poder Legislativo</w:t>
            </w:r>
          </w:p>
        </w:tc>
      </w:tr>
      <w:tr w:rsidR="00233205" w:rsidRPr="00B36377" w:rsidTr="00E30BEC">
        <w:trPr>
          <w:jc w:val="center"/>
        </w:trPr>
        <w:tc>
          <w:tcPr>
            <w:tcW w:w="177" w:type="pct"/>
          </w:tcPr>
          <w:p w:rsidR="00233205" w:rsidRPr="00B36377" w:rsidRDefault="00233205" w:rsidP="00E30BEC">
            <w:pPr>
              <w:pStyle w:val="NoSpacing"/>
              <w:jc w:val="center"/>
              <w:rPr>
                <w:rFonts w:cstheme="majorBidi"/>
                <w:b/>
                <w:bCs/>
                <w:i/>
                <w:iCs/>
                <w:color w:val="404040" w:themeColor="text1" w:themeTint="BF"/>
                <w:sz w:val="18"/>
                <w:szCs w:val="18"/>
                <w:lang w:val="es-ES_tradnl"/>
              </w:rPr>
            </w:pPr>
            <w:r w:rsidRPr="00B36377">
              <w:rPr>
                <w:sz w:val="18"/>
                <w:szCs w:val="18"/>
                <w:lang w:val="es-ES_tradnl"/>
              </w:rPr>
              <w:lastRenderedPageBreak/>
              <w:t>28</w:t>
            </w:r>
          </w:p>
        </w:tc>
        <w:tc>
          <w:tcPr>
            <w:tcW w:w="362" w:type="pct"/>
          </w:tcPr>
          <w:p w:rsidR="00233205" w:rsidRPr="00B36377" w:rsidRDefault="00233205" w:rsidP="00E30BEC">
            <w:pPr>
              <w:pStyle w:val="NoSpacing"/>
              <w:jc w:val="center"/>
              <w:rPr>
                <w:rFonts w:cstheme="majorBidi"/>
                <w:b/>
                <w:bCs/>
                <w:i/>
                <w:iCs/>
                <w:color w:val="404040" w:themeColor="text1" w:themeTint="BF"/>
                <w:sz w:val="18"/>
                <w:szCs w:val="18"/>
                <w:lang w:val="es-ES_tradnl"/>
              </w:rPr>
            </w:pPr>
            <w:r w:rsidRPr="00B36377">
              <w:rPr>
                <w:sz w:val="18"/>
                <w:szCs w:val="18"/>
                <w:lang w:val="es-ES_tradnl"/>
              </w:rPr>
              <w:t>EFS-23 (ii) c), d), e)</w:t>
            </w:r>
          </w:p>
        </w:tc>
        <w:tc>
          <w:tcPr>
            <w:tcW w:w="777" w:type="pct"/>
          </w:tcPr>
          <w:p w:rsidR="00233205" w:rsidRPr="00B36377" w:rsidRDefault="00233205" w:rsidP="00E30BEC">
            <w:pPr>
              <w:pStyle w:val="NoSpacing"/>
              <w:rPr>
                <w:sz w:val="18"/>
                <w:szCs w:val="18"/>
                <w:lang w:val="es-ES_tradnl"/>
              </w:rPr>
            </w:pPr>
            <w:r w:rsidRPr="00B36377">
              <w:rPr>
                <w:sz w:val="18"/>
                <w:szCs w:val="18"/>
                <w:lang w:val="es-ES_tradnl"/>
              </w:rPr>
              <w:t>La Contraloría no incluye en sus prácticas, la implementación de métodos o protocolos de comunicación con el Poder Judicial, las agencias de investigación y  las Procuradurías/Fiscalías para:</w:t>
            </w:r>
          </w:p>
          <w:p w:rsidR="00233205" w:rsidRPr="00B36377" w:rsidRDefault="00233205" w:rsidP="00233205">
            <w:pPr>
              <w:pStyle w:val="NoSpacing"/>
              <w:numPr>
                <w:ilvl w:val="0"/>
                <w:numId w:val="93"/>
              </w:numPr>
              <w:ind w:left="187" w:hanging="270"/>
              <w:rPr>
                <w:sz w:val="18"/>
                <w:szCs w:val="18"/>
                <w:lang w:val="es-ES_tradnl"/>
              </w:rPr>
            </w:pPr>
            <w:r w:rsidRPr="00B36377">
              <w:rPr>
                <w:sz w:val="18"/>
                <w:szCs w:val="18"/>
                <w:lang w:val="es-ES_tradnl"/>
              </w:rPr>
              <w:t>Buscar retroalimentación sobre su desempeño.</w:t>
            </w:r>
          </w:p>
          <w:p w:rsidR="00233205" w:rsidRPr="00B36377" w:rsidRDefault="00233205" w:rsidP="00233205">
            <w:pPr>
              <w:pStyle w:val="NoSpacing"/>
              <w:numPr>
                <w:ilvl w:val="0"/>
                <w:numId w:val="93"/>
              </w:numPr>
              <w:ind w:left="187" w:hanging="270"/>
              <w:rPr>
                <w:sz w:val="18"/>
                <w:szCs w:val="18"/>
                <w:lang w:val="es-ES_tradnl"/>
              </w:rPr>
            </w:pPr>
            <w:r w:rsidRPr="00B36377">
              <w:rPr>
                <w:sz w:val="18"/>
                <w:szCs w:val="18"/>
                <w:lang w:val="es-ES_tradnl"/>
              </w:rPr>
              <w:t>Crear los espacios de manera proactiva, para mejorar sus habilidades en relación con la lectura y uso eficaz de sus informes.</w:t>
            </w:r>
          </w:p>
          <w:p w:rsidR="00233205" w:rsidRPr="00B36377" w:rsidRDefault="00233205" w:rsidP="00233205">
            <w:pPr>
              <w:pStyle w:val="NoSpacing"/>
              <w:numPr>
                <w:ilvl w:val="0"/>
                <w:numId w:val="93"/>
              </w:numPr>
              <w:ind w:left="187" w:hanging="270"/>
              <w:rPr>
                <w:sz w:val="18"/>
                <w:szCs w:val="18"/>
                <w:lang w:val="es-ES_tradnl"/>
              </w:rPr>
            </w:pPr>
            <w:r w:rsidRPr="00B36377">
              <w:rPr>
                <w:sz w:val="18"/>
                <w:szCs w:val="18"/>
                <w:lang w:val="es-ES_tradnl"/>
              </w:rPr>
              <w:t>Realizar actividades de concientización sobre su papel y mandato.</w:t>
            </w:r>
          </w:p>
          <w:p w:rsidR="00233205" w:rsidRPr="00B36377" w:rsidRDefault="00233205" w:rsidP="00E30BEC">
            <w:pPr>
              <w:pStyle w:val="NoSpacing"/>
              <w:ind w:left="187"/>
              <w:rPr>
                <w:sz w:val="18"/>
                <w:szCs w:val="18"/>
                <w:lang w:val="es-ES_tradnl"/>
              </w:rPr>
            </w:pPr>
          </w:p>
        </w:tc>
        <w:tc>
          <w:tcPr>
            <w:tcW w:w="1346" w:type="pct"/>
          </w:tcPr>
          <w:p w:rsidR="00233205" w:rsidRPr="00B36377" w:rsidRDefault="00233205" w:rsidP="00E30BEC">
            <w:pPr>
              <w:pStyle w:val="NoSpacing"/>
              <w:rPr>
                <w:sz w:val="18"/>
                <w:szCs w:val="18"/>
                <w:lang w:val="es-ES_tradnl"/>
              </w:rPr>
            </w:pPr>
            <w:r w:rsidRPr="00B36377">
              <w:rPr>
                <w:sz w:val="18"/>
                <w:szCs w:val="18"/>
                <w:lang w:val="es-ES_tradnl"/>
              </w:rPr>
              <w:t>Formalizar procedimientos para la comunicación con el Poder Judicial, en los que se considere:</w:t>
            </w:r>
          </w:p>
          <w:p w:rsidR="00233205" w:rsidRPr="00B36377" w:rsidRDefault="00233205" w:rsidP="00233205">
            <w:pPr>
              <w:pStyle w:val="NoSpacing"/>
              <w:numPr>
                <w:ilvl w:val="0"/>
                <w:numId w:val="94"/>
              </w:numPr>
              <w:rPr>
                <w:sz w:val="18"/>
                <w:szCs w:val="18"/>
                <w:lang w:val="es-ES_tradnl"/>
              </w:rPr>
            </w:pPr>
            <w:r w:rsidRPr="00B36377">
              <w:rPr>
                <w:sz w:val="18"/>
                <w:szCs w:val="18"/>
                <w:lang w:val="es-ES_tradnl"/>
              </w:rPr>
              <w:t>Retroalimentación sobre el desempeño de la CGRC.</w:t>
            </w:r>
          </w:p>
          <w:p w:rsidR="00233205" w:rsidRPr="00B36377" w:rsidRDefault="00233205" w:rsidP="00233205">
            <w:pPr>
              <w:pStyle w:val="NoSpacing"/>
              <w:numPr>
                <w:ilvl w:val="0"/>
                <w:numId w:val="94"/>
              </w:numPr>
              <w:rPr>
                <w:sz w:val="18"/>
                <w:szCs w:val="18"/>
                <w:lang w:val="es-ES_tradnl"/>
              </w:rPr>
            </w:pPr>
            <w:r w:rsidRPr="00B36377">
              <w:rPr>
                <w:sz w:val="18"/>
                <w:szCs w:val="18"/>
                <w:lang w:val="es-ES_tradnl"/>
              </w:rPr>
              <w:t>Realizar sesiones de inducción, aclaración, etc., para confirmar que los productos de la Contraloría son entendidos y atienden las expectativas y requerimientos de las partes</w:t>
            </w:r>
          </w:p>
          <w:p w:rsidR="00233205" w:rsidRPr="00B36377" w:rsidRDefault="00233205" w:rsidP="00233205">
            <w:pPr>
              <w:pStyle w:val="NoSpacing"/>
              <w:numPr>
                <w:ilvl w:val="0"/>
                <w:numId w:val="94"/>
              </w:numPr>
              <w:rPr>
                <w:sz w:val="18"/>
                <w:szCs w:val="18"/>
                <w:lang w:val="es-ES_tradnl"/>
              </w:rPr>
            </w:pPr>
            <w:r w:rsidRPr="00B36377">
              <w:rPr>
                <w:sz w:val="18"/>
                <w:szCs w:val="18"/>
                <w:lang w:val="es-ES_tradnl"/>
              </w:rPr>
              <w:t>Sesiones para socializar el rol y alcance del mandato de la CGRC</w:t>
            </w:r>
          </w:p>
        </w:tc>
        <w:tc>
          <w:tcPr>
            <w:tcW w:w="777" w:type="pct"/>
          </w:tcPr>
          <w:p w:rsidR="00233205" w:rsidRPr="00B36377" w:rsidRDefault="00233205" w:rsidP="00233205">
            <w:pPr>
              <w:pStyle w:val="NoSpacing"/>
              <w:numPr>
                <w:ilvl w:val="0"/>
                <w:numId w:val="95"/>
              </w:numPr>
              <w:ind w:left="223" w:hanging="223"/>
              <w:rPr>
                <w:sz w:val="18"/>
                <w:szCs w:val="18"/>
                <w:lang w:val="es-ES_tradnl"/>
              </w:rPr>
            </w:pPr>
            <w:r w:rsidRPr="00B36377">
              <w:rPr>
                <w:sz w:val="18"/>
                <w:szCs w:val="18"/>
                <w:lang w:val="es-ES_tradnl"/>
              </w:rPr>
              <w:t>Posicionamiento de la CGRC con el Poder Judicial</w:t>
            </w:r>
          </w:p>
          <w:p w:rsidR="00233205" w:rsidRPr="00B36377" w:rsidRDefault="00233205" w:rsidP="00E30BEC">
            <w:pPr>
              <w:pStyle w:val="NoSpacing"/>
              <w:ind w:left="223" w:hanging="223"/>
              <w:rPr>
                <w:sz w:val="18"/>
                <w:szCs w:val="18"/>
                <w:lang w:val="es-ES_tradnl"/>
              </w:rPr>
            </w:pPr>
          </w:p>
          <w:p w:rsidR="00233205" w:rsidRPr="00B36377" w:rsidRDefault="00233205" w:rsidP="00233205">
            <w:pPr>
              <w:pStyle w:val="NoSpacing"/>
              <w:numPr>
                <w:ilvl w:val="0"/>
                <w:numId w:val="95"/>
              </w:numPr>
              <w:ind w:left="223" w:hanging="223"/>
              <w:rPr>
                <w:rFonts w:eastAsia="Calibri" w:cs="Arial"/>
                <w:sz w:val="18"/>
                <w:szCs w:val="18"/>
                <w:lang w:val="es-ES_tradnl"/>
              </w:rPr>
            </w:pPr>
            <w:r w:rsidRPr="00B36377">
              <w:rPr>
                <w:sz w:val="18"/>
                <w:szCs w:val="18"/>
                <w:lang w:val="es-ES_tradnl"/>
              </w:rPr>
              <w:t>Mejores relaciones y  mayor grado de colaboración entre las partes</w:t>
            </w:r>
          </w:p>
        </w:tc>
        <w:tc>
          <w:tcPr>
            <w:tcW w:w="517" w:type="pct"/>
          </w:tcPr>
          <w:p w:rsidR="00233205" w:rsidRPr="00B36377" w:rsidRDefault="00233205" w:rsidP="00E30BEC">
            <w:pPr>
              <w:pStyle w:val="NoSpacing"/>
              <w:rPr>
                <w:rFonts w:cstheme="majorBidi"/>
                <w:b/>
                <w:bCs/>
                <w:i/>
                <w:iCs/>
                <w:color w:val="404040" w:themeColor="text1" w:themeTint="BF"/>
                <w:sz w:val="18"/>
                <w:szCs w:val="18"/>
                <w:lang w:val="es-ES_tradnl"/>
              </w:rPr>
            </w:pPr>
            <w:r w:rsidRPr="00B36377">
              <w:rPr>
                <w:sz w:val="18"/>
                <w:szCs w:val="18"/>
                <w:lang w:val="es-ES_tradnl"/>
              </w:rPr>
              <w:t>Oficina de Comunicaciones y Publicaciones</w:t>
            </w:r>
          </w:p>
          <w:p w:rsidR="00233205" w:rsidRPr="00B36377" w:rsidRDefault="00233205" w:rsidP="00E30BEC">
            <w:pPr>
              <w:pStyle w:val="NoSpacing"/>
              <w:rPr>
                <w:sz w:val="18"/>
                <w:szCs w:val="18"/>
                <w:lang w:val="es-ES_tradnl"/>
              </w:rPr>
            </w:pPr>
          </w:p>
          <w:p w:rsidR="00233205" w:rsidRPr="00B36377" w:rsidRDefault="00233205" w:rsidP="00E30BEC">
            <w:pPr>
              <w:pStyle w:val="NoSpacing"/>
              <w:rPr>
                <w:rFonts w:eastAsia="Calibri" w:cs="Arial"/>
                <w:b/>
                <w:bCs/>
                <w:i/>
                <w:iCs/>
                <w:color w:val="404040" w:themeColor="text1" w:themeTint="BF"/>
                <w:sz w:val="18"/>
                <w:szCs w:val="18"/>
                <w:lang w:val="es-ES_tradnl"/>
              </w:rPr>
            </w:pPr>
            <w:r w:rsidRPr="00B36377">
              <w:rPr>
                <w:sz w:val="18"/>
                <w:szCs w:val="18"/>
                <w:lang w:val="es-ES_tradnl"/>
              </w:rPr>
              <w:t>Contraloría Delegada Investigaciones Juicios Fiscales y Jurisdicción Coactiva</w:t>
            </w:r>
          </w:p>
        </w:tc>
        <w:tc>
          <w:tcPr>
            <w:tcW w:w="465" w:type="pct"/>
          </w:tcPr>
          <w:p w:rsidR="00233205" w:rsidRPr="00B36377" w:rsidRDefault="00233205" w:rsidP="00E30BEC">
            <w:pPr>
              <w:pStyle w:val="NoSpacing"/>
              <w:rPr>
                <w:rFonts w:eastAsia="Calibri" w:cs="Arial"/>
                <w:b/>
                <w:bCs/>
                <w:i/>
                <w:iCs/>
                <w:color w:val="404040" w:themeColor="text1" w:themeTint="BF"/>
                <w:sz w:val="18"/>
                <w:szCs w:val="18"/>
                <w:lang w:val="es-ES_tradnl"/>
              </w:rPr>
            </w:pPr>
            <w:r w:rsidRPr="00B36377">
              <w:rPr>
                <w:sz w:val="18"/>
                <w:szCs w:val="18"/>
                <w:lang w:val="es-ES_tradnl"/>
              </w:rPr>
              <w:t>2do. semestre de  2015</w:t>
            </w:r>
          </w:p>
        </w:tc>
        <w:tc>
          <w:tcPr>
            <w:tcW w:w="579" w:type="pct"/>
          </w:tcPr>
          <w:p w:rsidR="00233205" w:rsidRPr="00B36377" w:rsidRDefault="00233205" w:rsidP="00E30BEC">
            <w:pPr>
              <w:pStyle w:val="NoSpacing"/>
              <w:rPr>
                <w:rFonts w:cstheme="majorBidi"/>
                <w:b/>
                <w:bCs/>
                <w:i/>
                <w:iCs/>
                <w:color w:val="404040" w:themeColor="text1" w:themeTint="BF"/>
                <w:sz w:val="18"/>
                <w:szCs w:val="18"/>
                <w:lang w:val="es-ES_tradnl"/>
              </w:rPr>
            </w:pPr>
            <w:r w:rsidRPr="00B36377">
              <w:rPr>
                <w:sz w:val="18"/>
                <w:szCs w:val="18"/>
                <w:lang w:val="es-ES_tradnl"/>
              </w:rPr>
              <w:t>Política de comunicación institucional formalizada</w:t>
            </w:r>
          </w:p>
          <w:p w:rsidR="00233205" w:rsidRPr="00B36377" w:rsidRDefault="00233205" w:rsidP="00E30BEC">
            <w:pPr>
              <w:pStyle w:val="NoSpacing"/>
              <w:rPr>
                <w:sz w:val="18"/>
                <w:szCs w:val="18"/>
                <w:lang w:val="es-ES_tradnl"/>
              </w:rPr>
            </w:pPr>
          </w:p>
          <w:p w:rsidR="00233205" w:rsidRPr="00B36377" w:rsidRDefault="00233205" w:rsidP="00E30BEC">
            <w:pPr>
              <w:pStyle w:val="NoSpacing"/>
              <w:rPr>
                <w:rFonts w:cstheme="majorBidi"/>
                <w:i/>
                <w:iCs/>
                <w:color w:val="404040" w:themeColor="text1" w:themeTint="BF"/>
                <w:sz w:val="18"/>
                <w:szCs w:val="18"/>
                <w:lang w:val="es-ES_tradnl"/>
              </w:rPr>
            </w:pPr>
            <w:r w:rsidRPr="00B36377">
              <w:rPr>
                <w:sz w:val="18"/>
                <w:szCs w:val="18"/>
                <w:lang w:val="es-ES_tradnl"/>
              </w:rPr>
              <w:t>Presentación Poder Judicial</w:t>
            </w:r>
          </w:p>
          <w:p w:rsidR="00233205" w:rsidRPr="00B36377" w:rsidRDefault="00233205" w:rsidP="00E30BEC">
            <w:pPr>
              <w:pStyle w:val="NoSpacing"/>
              <w:rPr>
                <w:rFonts w:eastAsia="Calibri" w:cs="Arial"/>
                <w:sz w:val="18"/>
                <w:szCs w:val="18"/>
                <w:lang w:val="es-ES_tradnl"/>
              </w:rPr>
            </w:pPr>
          </w:p>
          <w:p w:rsidR="00233205" w:rsidRPr="00B36377" w:rsidRDefault="00233205" w:rsidP="00E30BEC">
            <w:pPr>
              <w:pStyle w:val="NoSpacing"/>
              <w:rPr>
                <w:rFonts w:eastAsia="Calibri" w:cs="Arial"/>
                <w:b/>
                <w:bCs/>
                <w:i/>
                <w:iCs/>
                <w:color w:val="404040" w:themeColor="text1" w:themeTint="BF"/>
                <w:sz w:val="18"/>
                <w:szCs w:val="18"/>
                <w:lang w:val="es-ES_tradnl"/>
              </w:rPr>
            </w:pPr>
            <w:r w:rsidRPr="00B36377">
              <w:rPr>
                <w:sz w:val="18"/>
                <w:szCs w:val="18"/>
                <w:lang w:val="es-ES_tradnl"/>
              </w:rPr>
              <w:t>Encuestas de la calidad entre las entidades</w:t>
            </w:r>
          </w:p>
        </w:tc>
      </w:tr>
      <w:tr w:rsidR="00233205" w:rsidRPr="00B36377" w:rsidTr="00E30BEC">
        <w:trPr>
          <w:jc w:val="center"/>
        </w:trPr>
        <w:tc>
          <w:tcPr>
            <w:tcW w:w="177" w:type="pct"/>
          </w:tcPr>
          <w:p w:rsidR="00233205" w:rsidRPr="00B36377" w:rsidRDefault="00233205" w:rsidP="00E30BEC">
            <w:pPr>
              <w:pStyle w:val="NoSpacing"/>
              <w:jc w:val="center"/>
              <w:rPr>
                <w:rFonts w:cstheme="majorBidi"/>
                <w:b/>
                <w:bCs/>
                <w:i/>
                <w:iCs/>
                <w:color w:val="404040" w:themeColor="text1" w:themeTint="BF"/>
                <w:sz w:val="18"/>
                <w:szCs w:val="18"/>
                <w:lang w:val="es-ES_tradnl"/>
              </w:rPr>
            </w:pPr>
            <w:r w:rsidRPr="00B36377">
              <w:rPr>
                <w:sz w:val="18"/>
                <w:szCs w:val="18"/>
                <w:lang w:val="es-ES_tradnl"/>
              </w:rPr>
              <w:t>29</w:t>
            </w:r>
          </w:p>
        </w:tc>
        <w:tc>
          <w:tcPr>
            <w:tcW w:w="362" w:type="pct"/>
          </w:tcPr>
          <w:p w:rsidR="00233205" w:rsidRPr="00B36377" w:rsidRDefault="00233205" w:rsidP="00E30BEC">
            <w:pPr>
              <w:pStyle w:val="NoSpacing"/>
              <w:jc w:val="center"/>
              <w:rPr>
                <w:rFonts w:cstheme="majorBidi"/>
                <w:b/>
                <w:bCs/>
                <w:i/>
                <w:iCs/>
                <w:color w:val="404040" w:themeColor="text1" w:themeTint="BF"/>
                <w:sz w:val="18"/>
                <w:szCs w:val="18"/>
                <w:lang w:val="es-ES_tradnl"/>
              </w:rPr>
            </w:pPr>
            <w:r w:rsidRPr="00B36377">
              <w:rPr>
                <w:sz w:val="18"/>
                <w:szCs w:val="18"/>
                <w:lang w:val="es-ES_tradnl"/>
              </w:rPr>
              <w:t>EFS-23 (iii) d)</w:t>
            </w:r>
          </w:p>
        </w:tc>
        <w:tc>
          <w:tcPr>
            <w:tcW w:w="777" w:type="pct"/>
          </w:tcPr>
          <w:p w:rsidR="00233205" w:rsidRPr="00B36377" w:rsidRDefault="00233205" w:rsidP="00E30BEC">
            <w:pPr>
              <w:pStyle w:val="NoSpacing"/>
              <w:rPr>
                <w:rFonts w:eastAsia="Calibri" w:cs="Arial"/>
                <w:sz w:val="18"/>
                <w:szCs w:val="18"/>
                <w:lang w:val="es-ES_tradnl"/>
              </w:rPr>
            </w:pPr>
            <w:r w:rsidRPr="00B36377">
              <w:rPr>
                <w:sz w:val="18"/>
                <w:szCs w:val="18"/>
                <w:lang w:val="es-ES_tradnl"/>
              </w:rPr>
              <w:t>La Contraloría no consulta a las entidades bajo auditoria sobre los aspectos del proceso de auditoría y su gestión.</w:t>
            </w:r>
          </w:p>
        </w:tc>
        <w:tc>
          <w:tcPr>
            <w:tcW w:w="1346" w:type="pct"/>
          </w:tcPr>
          <w:p w:rsidR="00233205" w:rsidRPr="00B36377" w:rsidRDefault="00233205" w:rsidP="00E30BEC">
            <w:pPr>
              <w:pStyle w:val="NoSpacing"/>
              <w:rPr>
                <w:rFonts w:eastAsia="Calibri" w:cs="Arial"/>
                <w:sz w:val="18"/>
                <w:szCs w:val="18"/>
                <w:lang w:val="es-ES_tradnl"/>
              </w:rPr>
            </w:pPr>
            <w:r w:rsidRPr="00B36377">
              <w:rPr>
                <w:sz w:val="18"/>
                <w:szCs w:val="18"/>
                <w:lang w:val="es-ES_tradnl"/>
              </w:rPr>
              <w:t>Formalizar procedimiento en el MAG para que al terminar el trabajo de campo se aplique una encuesta en el ente auditado con el fin de evaluar el proceso de auditoría.</w:t>
            </w:r>
          </w:p>
        </w:tc>
        <w:tc>
          <w:tcPr>
            <w:tcW w:w="777" w:type="pct"/>
          </w:tcPr>
          <w:p w:rsidR="00233205" w:rsidRPr="00B36377" w:rsidRDefault="00233205" w:rsidP="00233205">
            <w:pPr>
              <w:pStyle w:val="NoSpacing"/>
              <w:numPr>
                <w:ilvl w:val="0"/>
                <w:numId w:val="96"/>
              </w:numPr>
              <w:ind w:left="223" w:hanging="223"/>
              <w:rPr>
                <w:rFonts w:eastAsia="Calibri" w:cs="Arial"/>
                <w:sz w:val="18"/>
                <w:szCs w:val="18"/>
                <w:lang w:val="es-ES_tradnl"/>
              </w:rPr>
            </w:pPr>
            <w:r w:rsidRPr="00B36377">
              <w:rPr>
                <w:sz w:val="18"/>
                <w:szCs w:val="18"/>
                <w:lang w:val="es-ES_tradnl"/>
              </w:rPr>
              <w:t>Mejora la calidad del control externo.</w:t>
            </w:r>
          </w:p>
          <w:p w:rsidR="00233205" w:rsidRPr="00B36377" w:rsidRDefault="00233205" w:rsidP="00233205">
            <w:pPr>
              <w:pStyle w:val="NoSpacing"/>
              <w:numPr>
                <w:ilvl w:val="0"/>
                <w:numId w:val="96"/>
              </w:numPr>
              <w:ind w:left="223" w:hanging="223"/>
              <w:rPr>
                <w:rFonts w:eastAsia="Calibri" w:cs="Arial"/>
                <w:sz w:val="18"/>
                <w:szCs w:val="18"/>
                <w:lang w:val="es-ES_tradnl"/>
              </w:rPr>
            </w:pPr>
            <w:r w:rsidRPr="00B36377">
              <w:rPr>
                <w:sz w:val="18"/>
                <w:szCs w:val="18"/>
                <w:lang w:val="es-ES_tradnl"/>
              </w:rPr>
              <w:t>Aumenta la colaboración y la asimilación de recomendaciones y ajustes derivados del control externo.</w:t>
            </w:r>
          </w:p>
          <w:p w:rsidR="00233205" w:rsidRPr="00B36377" w:rsidRDefault="00233205" w:rsidP="00E30BEC">
            <w:pPr>
              <w:pStyle w:val="NoSpacing"/>
              <w:ind w:left="223"/>
              <w:rPr>
                <w:rFonts w:eastAsia="Calibri" w:cs="Arial"/>
                <w:sz w:val="18"/>
                <w:szCs w:val="18"/>
                <w:lang w:val="es-ES_tradnl"/>
              </w:rPr>
            </w:pPr>
          </w:p>
        </w:tc>
        <w:tc>
          <w:tcPr>
            <w:tcW w:w="517" w:type="pct"/>
          </w:tcPr>
          <w:p w:rsidR="00233205" w:rsidRPr="00B36377" w:rsidRDefault="00233205" w:rsidP="00E30BEC">
            <w:pPr>
              <w:pStyle w:val="NoSpacing"/>
              <w:rPr>
                <w:rFonts w:eastAsia="Calibri" w:cs="Arial"/>
                <w:i/>
                <w:iCs/>
                <w:color w:val="404040" w:themeColor="text1" w:themeTint="BF"/>
                <w:sz w:val="18"/>
                <w:szCs w:val="18"/>
                <w:lang w:val="es-ES_tradnl"/>
              </w:rPr>
            </w:pPr>
            <w:r w:rsidRPr="00B36377">
              <w:rPr>
                <w:sz w:val="18"/>
                <w:szCs w:val="18"/>
                <w:lang w:val="es-ES_tradnl"/>
              </w:rPr>
              <w:t>Comité Directivo</w:t>
            </w:r>
          </w:p>
        </w:tc>
        <w:tc>
          <w:tcPr>
            <w:tcW w:w="465" w:type="pct"/>
          </w:tcPr>
          <w:p w:rsidR="00233205" w:rsidRPr="00B36377" w:rsidRDefault="00233205" w:rsidP="00E30BEC">
            <w:pPr>
              <w:pStyle w:val="NoSpacing"/>
              <w:rPr>
                <w:rFonts w:eastAsia="Calibri" w:cs="Arial"/>
                <w:b/>
                <w:bCs/>
                <w:i/>
                <w:iCs/>
                <w:color w:val="404040" w:themeColor="text1" w:themeTint="BF"/>
                <w:sz w:val="18"/>
                <w:szCs w:val="18"/>
                <w:lang w:val="es-ES_tradnl"/>
              </w:rPr>
            </w:pPr>
            <w:r w:rsidRPr="00B36377">
              <w:rPr>
                <w:sz w:val="18"/>
                <w:szCs w:val="18"/>
                <w:lang w:val="es-ES_tradnl"/>
              </w:rPr>
              <w:t>2do. semestre de  2015</w:t>
            </w:r>
          </w:p>
        </w:tc>
        <w:tc>
          <w:tcPr>
            <w:tcW w:w="579" w:type="pct"/>
          </w:tcPr>
          <w:p w:rsidR="00233205" w:rsidRPr="00B36377" w:rsidRDefault="00233205" w:rsidP="00E30BEC">
            <w:pPr>
              <w:pStyle w:val="NoSpacing"/>
              <w:rPr>
                <w:rFonts w:cstheme="majorBidi"/>
                <w:b/>
                <w:bCs/>
                <w:i/>
                <w:iCs/>
                <w:color w:val="404040" w:themeColor="text1" w:themeTint="BF"/>
                <w:sz w:val="18"/>
                <w:szCs w:val="18"/>
                <w:lang w:val="es-ES_tradnl"/>
              </w:rPr>
            </w:pPr>
            <w:r w:rsidRPr="00B36377">
              <w:rPr>
                <w:sz w:val="18"/>
                <w:szCs w:val="18"/>
                <w:lang w:val="es-ES_tradnl"/>
              </w:rPr>
              <w:t>MAG ajustado</w:t>
            </w:r>
          </w:p>
          <w:p w:rsidR="00233205" w:rsidRPr="00B36377" w:rsidRDefault="00233205" w:rsidP="00E30BEC">
            <w:pPr>
              <w:pStyle w:val="NoSpacing"/>
              <w:rPr>
                <w:sz w:val="18"/>
                <w:szCs w:val="18"/>
                <w:lang w:val="es-ES_tradnl"/>
              </w:rPr>
            </w:pPr>
          </w:p>
          <w:p w:rsidR="00233205" w:rsidRPr="00B36377" w:rsidRDefault="00233205" w:rsidP="00E30BEC">
            <w:pPr>
              <w:pStyle w:val="NoSpacing"/>
              <w:rPr>
                <w:rFonts w:eastAsia="Calibri" w:cs="Arial"/>
                <w:b/>
                <w:bCs/>
                <w:i/>
                <w:iCs/>
                <w:color w:val="404040" w:themeColor="text1" w:themeTint="BF"/>
                <w:sz w:val="18"/>
                <w:szCs w:val="18"/>
                <w:lang w:val="es-ES_tradnl"/>
              </w:rPr>
            </w:pPr>
            <w:r w:rsidRPr="00B36377">
              <w:rPr>
                <w:sz w:val="18"/>
                <w:szCs w:val="18"/>
                <w:lang w:val="es-ES_tradnl"/>
              </w:rPr>
              <w:t>Encuestas de servicio</w:t>
            </w:r>
          </w:p>
        </w:tc>
      </w:tr>
      <w:tr w:rsidR="00233205" w:rsidRPr="00B36377" w:rsidTr="00E30BEC">
        <w:trPr>
          <w:jc w:val="center"/>
        </w:trPr>
        <w:tc>
          <w:tcPr>
            <w:tcW w:w="177" w:type="pct"/>
          </w:tcPr>
          <w:p w:rsidR="00233205" w:rsidRPr="00B36377" w:rsidRDefault="00233205" w:rsidP="00E30BEC">
            <w:pPr>
              <w:pStyle w:val="NoSpacing"/>
              <w:jc w:val="center"/>
              <w:rPr>
                <w:rFonts w:cstheme="majorBidi"/>
                <w:b/>
                <w:bCs/>
                <w:i/>
                <w:iCs/>
                <w:color w:val="404040" w:themeColor="text1" w:themeTint="BF"/>
                <w:sz w:val="18"/>
                <w:szCs w:val="18"/>
                <w:lang w:val="es-ES_tradnl"/>
              </w:rPr>
            </w:pPr>
            <w:r w:rsidRPr="00B36377">
              <w:rPr>
                <w:sz w:val="18"/>
                <w:szCs w:val="18"/>
                <w:lang w:val="es-ES_tradnl"/>
              </w:rPr>
              <w:t>30</w:t>
            </w:r>
          </w:p>
        </w:tc>
        <w:tc>
          <w:tcPr>
            <w:tcW w:w="362" w:type="pct"/>
          </w:tcPr>
          <w:p w:rsidR="00233205" w:rsidRPr="00B36377" w:rsidRDefault="00233205" w:rsidP="00E30BEC">
            <w:pPr>
              <w:pStyle w:val="NoSpacing"/>
              <w:jc w:val="center"/>
              <w:rPr>
                <w:rFonts w:cstheme="majorBidi"/>
                <w:b/>
                <w:bCs/>
                <w:i/>
                <w:iCs/>
                <w:color w:val="404040" w:themeColor="text1" w:themeTint="BF"/>
                <w:sz w:val="18"/>
                <w:szCs w:val="18"/>
                <w:lang w:val="es-ES_tradnl"/>
              </w:rPr>
            </w:pPr>
            <w:r w:rsidRPr="00B36377">
              <w:rPr>
                <w:sz w:val="18"/>
                <w:szCs w:val="18"/>
                <w:lang w:val="es-ES_tradnl"/>
              </w:rPr>
              <w:t>EFS-24 (i)  f)</w:t>
            </w:r>
          </w:p>
        </w:tc>
        <w:tc>
          <w:tcPr>
            <w:tcW w:w="777" w:type="pct"/>
          </w:tcPr>
          <w:p w:rsidR="00233205" w:rsidRPr="00B36377" w:rsidRDefault="00233205" w:rsidP="00E30BEC">
            <w:pPr>
              <w:pStyle w:val="NoSpacing"/>
              <w:rPr>
                <w:rFonts w:eastAsia="Calibri" w:cs="Arial"/>
                <w:sz w:val="18"/>
                <w:szCs w:val="18"/>
                <w:lang w:val="es-ES_tradnl"/>
              </w:rPr>
            </w:pPr>
            <w:r w:rsidRPr="00B36377">
              <w:rPr>
                <w:sz w:val="18"/>
                <w:szCs w:val="18"/>
                <w:lang w:val="es-ES_tradnl"/>
              </w:rPr>
              <w:t>No existe una instrucción formal en una política o similar, según la cual únicamente el Contralor General de República pueda dar declaraciones.</w:t>
            </w:r>
          </w:p>
        </w:tc>
        <w:tc>
          <w:tcPr>
            <w:tcW w:w="1346" w:type="pct"/>
          </w:tcPr>
          <w:p w:rsidR="00233205" w:rsidRPr="00B36377" w:rsidRDefault="00233205" w:rsidP="00E30BEC">
            <w:pPr>
              <w:pStyle w:val="NoSpacing"/>
              <w:rPr>
                <w:sz w:val="18"/>
                <w:szCs w:val="18"/>
                <w:lang w:val="es-ES_tradnl"/>
              </w:rPr>
            </w:pPr>
            <w:r w:rsidRPr="00B36377">
              <w:rPr>
                <w:sz w:val="18"/>
                <w:szCs w:val="18"/>
                <w:lang w:val="es-ES_tradnl"/>
              </w:rPr>
              <w:t xml:space="preserve">La Contraloría  debe identificar de manera específica qué personal está autorizado para hablar en nombre de la organización (pueden ser varias, dependiendo del tema a tratar) y de los temas en los que están autorizados a hacer comentarios. Las personas autorizadas para emitir mensajes importantes, también deberán </w:t>
            </w:r>
            <w:r w:rsidRPr="00B36377">
              <w:rPr>
                <w:sz w:val="18"/>
                <w:szCs w:val="18"/>
                <w:lang w:val="es-ES_tradnl"/>
              </w:rPr>
              <w:lastRenderedPageBreak/>
              <w:t>recibir la capacitación adecuada, ya sea para hacer declaraciones formales ante autoridades legislativas o ejecutivas, o para ofrecer sesiones informativas a los medios o los ciudadanos.</w:t>
            </w:r>
          </w:p>
          <w:p w:rsidR="00233205" w:rsidRPr="00B36377" w:rsidRDefault="00233205" w:rsidP="00E30BEC">
            <w:pPr>
              <w:pStyle w:val="NoSpacing"/>
              <w:rPr>
                <w:sz w:val="18"/>
                <w:szCs w:val="18"/>
                <w:lang w:val="es-ES_tradnl"/>
              </w:rPr>
            </w:pPr>
          </w:p>
          <w:p w:rsidR="00233205" w:rsidRPr="00B36377" w:rsidRDefault="00233205" w:rsidP="00E30BEC">
            <w:pPr>
              <w:pStyle w:val="NoSpacing"/>
              <w:rPr>
                <w:sz w:val="18"/>
                <w:szCs w:val="18"/>
                <w:lang w:val="es-ES_tradnl"/>
              </w:rPr>
            </w:pPr>
            <w:r w:rsidRPr="00B36377">
              <w:rPr>
                <w:sz w:val="18"/>
                <w:szCs w:val="18"/>
                <w:lang w:val="es-ES_tradnl"/>
              </w:rPr>
              <w:t>Para profundizar en estas mejores prácticas, se sugiere Consultar la Directriz de la INTOSAI - Comunicando y Promoviendo el Valor y Beneficio de las EFS.</w:t>
            </w:r>
          </w:p>
          <w:p w:rsidR="00233205" w:rsidRPr="00B36377" w:rsidRDefault="00233205" w:rsidP="00E30BEC">
            <w:pPr>
              <w:pStyle w:val="NoSpacing"/>
              <w:rPr>
                <w:rFonts w:eastAsia="Calibri" w:cs="Arial"/>
                <w:sz w:val="18"/>
                <w:szCs w:val="18"/>
                <w:lang w:val="es-ES_tradnl"/>
              </w:rPr>
            </w:pPr>
          </w:p>
        </w:tc>
        <w:tc>
          <w:tcPr>
            <w:tcW w:w="777" w:type="pct"/>
          </w:tcPr>
          <w:p w:rsidR="00233205" w:rsidRPr="00B36377" w:rsidRDefault="00233205" w:rsidP="00233205">
            <w:pPr>
              <w:pStyle w:val="NoSpacing"/>
              <w:numPr>
                <w:ilvl w:val="0"/>
                <w:numId w:val="97"/>
              </w:numPr>
              <w:ind w:left="223" w:hanging="223"/>
              <w:rPr>
                <w:rFonts w:eastAsia="Calibri" w:cs="Arial"/>
                <w:b/>
                <w:bCs/>
                <w:color w:val="4F81BD" w:themeColor="accent1"/>
                <w:sz w:val="18"/>
                <w:szCs w:val="18"/>
                <w:lang w:val="es-ES_tradnl"/>
              </w:rPr>
            </w:pPr>
            <w:r w:rsidRPr="00B36377">
              <w:rPr>
                <w:sz w:val="18"/>
                <w:szCs w:val="18"/>
                <w:lang w:val="es-ES_tradnl"/>
              </w:rPr>
              <w:lastRenderedPageBreak/>
              <w:t xml:space="preserve">Se previenen interpretaciones erradas y compromisos con declaraciones no autorizadas, salvaguardando la </w:t>
            </w:r>
            <w:r w:rsidRPr="00B36377">
              <w:rPr>
                <w:sz w:val="18"/>
                <w:szCs w:val="18"/>
                <w:lang w:val="es-ES_tradnl"/>
              </w:rPr>
              <w:lastRenderedPageBreak/>
              <w:t>imagen de seriedad y profesionalismo de la Institución.</w:t>
            </w:r>
          </w:p>
          <w:p w:rsidR="00233205" w:rsidRPr="00B36377" w:rsidRDefault="00233205" w:rsidP="00E30BEC">
            <w:pPr>
              <w:pStyle w:val="NoSpacing"/>
              <w:ind w:left="223" w:hanging="223"/>
              <w:rPr>
                <w:sz w:val="18"/>
                <w:szCs w:val="18"/>
                <w:lang w:val="es-ES_tradnl"/>
              </w:rPr>
            </w:pPr>
          </w:p>
          <w:p w:rsidR="00233205" w:rsidRPr="00B36377" w:rsidRDefault="00233205" w:rsidP="00E30BEC">
            <w:pPr>
              <w:pStyle w:val="NoSpacing"/>
              <w:ind w:left="223" w:hanging="223"/>
              <w:rPr>
                <w:sz w:val="18"/>
                <w:szCs w:val="18"/>
                <w:lang w:val="es-ES_tradnl"/>
              </w:rPr>
            </w:pPr>
          </w:p>
          <w:p w:rsidR="00233205" w:rsidRPr="00B36377" w:rsidRDefault="00233205" w:rsidP="00233205">
            <w:pPr>
              <w:pStyle w:val="NoSpacing"/>
              <w:numPr>
                <w:ilvl w:val="0"/>
                <w:numId w:val="97"/>
              </w:numPr>
              <w:ind w:left="223" w:hanging="223"/>
              <w:rPr>
                <w:rFonts w:eastAsia="Calibri" w:cs="Arial"/>
                <w:b/>
                <w:bCs/>
                <w:color w:val="4F81BD" w:themeColor="accent1"/>
                <w:sz w:val="18"/>
                <w:szCs w:val="18"/>
                <w:lang w:val="es-ES_tradnl"/>
              </w:rPr>
            </w:pPr>
            <w:r w:rsidRPr="00B36377">
              <w:rPr>
                <w:sz w:val="18"/>
                <w:szCs w:val="18"/>
                <w:lang w:val="es-ES_tradnl"/>
              </w:rPr>
              <w:t>Mejora la probabilidad de que los mensajes logren sus objetivos.</w:t>
            </w:r>
          </w:p>
        </w:tc>
        <w:tc>
          <w:tcPr>
            <w:tcW w:w="517" w:type="pct"/>
          </w:tcPr>
          <w:p w:rsidR="00233205" w:rsidRPr="00B36377" w:rsidRDefault="00233205" w:rsidP="00E30BEC">
            <w:pPr>
              <w:pStyle w:val="NoSpacing"/>
              <w:rPr>
                <w:rFonts w:eastAsia="Calibri" w:cs="Arial"/>
                <w:b/>
                <w:bCs/>
                <w:i/>
                <w:iCs/>
                <w:color w:val="404040" w:themeColor="text1" w:themeTint="BF"/>
                <w:sz w:val="18"/>
                <w:szCs w:val="18"/>
                <w:lang w:val="es-ES_tradnl"/>
              </w:rPr>
            </w:pPr>
            <w:r w:rsidRPr="00B36377">
              <w:rPr>
                <w:sz w:val="18"/>
                <w:szCs w:val="18"/>
                <w:lang w:val="es-ES_tradnl"/>
              </w:rPr>
              <w:lastRenderedPageBreak/>
              <w:t>Oficina Jurídica</w:t>
            </w:r>
          </w:p>
        </w:tc>
        <w:tc>
          <w:tcPr>
            <w:tcW w:w="465" w:type="pct"/>
          </w:tcPr>
          <w:p w:rsidR="00233205" w:rsidRPr="00B36377" w:rsidRDefault="00233205" w:rsidP="00E30BEC">
            <w:pPr>
              <w:pStyle w:val="NoSpacing"/>
              <w:rPr>
                <w:rFonts w:eastAsia="Calibri" w:cs="Arial"/>
                <w:b/>
                <w:bCs/>
                <w:i/>
                <w:iCs/>
                <w:color w:val="404040" w:themeColor="text1" w:themeTint="BF"/>
                <w:sz w:val="18"/>
                <w:szCs w:val="18"/>
                <w:lang w:val="es-ES_tradnl"/>
              </w:rPr>
            </w:pPr>
            <w:r w:rsidRPr="00B36377">
              <w:rPr>
                <w:sz w:val="18"/>
                <w:szCs w:val="18"/>
                <w:lang w:val="es-ES_tradnl"/>
              </w:rPr>
              <w:t>2do. semestre de  2015</w:t>
            </w:r>
          </w:p>
        </w:tc>
        <w:tc>
          <w:tcPr>
            <w:tcW w:w="579" w:type="pct"/>
          </w:tcPr>
          <w:p w:rsidR="00233205" w:rsidRPr="00B36377" w:rsidRDefault="00233205" w:rsidP="00E30BEC">
            <w:pPr>
              <w:pStyle w:val="NoSpacing"/>
              <w:rPr>
                <w:rFonts w:eastAsia="Calibri" w:cs="Arial"/>
                <w:b/>
                <w:bCs/>
                <w:i/>
                <w:iCs/>
                <w:color w:val="404040" w:themeColor="text1" w:themeTint="BF"/>
                <w:sz w:val="18"/>
                <w:szCs w:val="18"/>
                <w:lang w:val="es-ES_tradnl"/>
              </w:rPr>
            </w:pPr>
            <w:r w:rsidRPr="00B36377">
              <w:rPr>
                <w:sz w:val="18"/>
                <w:szCs w:val="18"/>
                <w:lang w:val="es-ES_tradnl"/>
              </w:rPr>
              <w:t>Política en la que se formaliza la(s)  persona(s) autorizadas para hablar en nombre de la organización</w:t>
            </w:r>
          </w:p>
        </w:tc>
      </w:tr>
    </w:tbl>
    <w:p w:rsidR="00233205" w:rsidRPr="00B36377" w:rsidRDefault="00233205" w:rsidP="00233205">
      <w:pPr>
        <w:spacing w:line="240" w:lineRule="auto"/>
        <w:rPr>
          <w:sz w:val="20"/>
          <w:szCs w:val="20"/>
        </w:rPr>
      </w:pPr>
    </w:p>
    <w:p w:rsidR="00233205" w:rsidRDefault="00233205" w:rsidP="00233205">
      <w:pPr>
        <w:spacing w:after="0" w:line="240" w:lineRule="auto"/>
        <w:jc w:val="both"/>
        <w:rPr>
          <w:lang w:eastAsia="es-MX"/>
        </w:rPr>
      </w:pPr>
    </w:p>
    <w:p w:rsidR="00233205" w:rsidRDefault="00233205" w:rsidP="00233205">
      <w:pPr>
        <w:spacing w:after="0" w:line="240" w:lineRule="auto"/>
        <w:jc w:val="both"/>
        <w:rPr>
          <w:lang w:eastAsia="es-MX"/>
        </w:rPr>
      </w:pPr>
    </w:p>
    <w:p w:rsidR="00233205" w:rsidRDefault="00233205" w:rsidP="00233205">
      <w:pPr>
        <w:spacing w:after="0" w:line="240" w:lineRule="auto"/>
        <w:jc w:val="both"/>
        <w:rPr>
          <w:lang w:eastAsia="es-MX"/>
        </w:rPr>
      </w:pPr>
    </w:p>
    <w:p w:rsidR="00233205" w:rsidRDefault="00233205" w:rsidP="00233205">
      <w:pPr>
        <w:spacing w:after="0" w:line="240" w:lineRule="auto"/>
        <w:jc w:val="both"/>
        <w:rPr>
          <w:lang w:eastAsia="es-MX"/>
        </w:rPr>
      </w:pPr>
    </w:p>
    <w:p w:rsidR="00233205" w:rsidRDefault="00233205" w:rsidP="00233205">
      <w:pPr>
        <w:spacing w:after="0" w:line="240" w:lineRule="auto"/>
        <w:jc w:val="both"/>
        <w:rPr>
          <w:lang w:eastAsia="es-MX"/>
        </w:rPr>
      </w:pPr>
    </w:p>
    <w:p w:rsidR="00233205" w:rsidRDefault="00233205" w:rsidP="00233205">
      <w:pPr>
        <w:spacing w:after="0" w:line="240" w:lineRule="auto"/>
        <w:jc w:val="both"/>
        <w:rPr>
          <w:lang w:eastAsia="es-MX"/>
        </w:rPr>
      </w:pPr>
    </w:p>
    <w:p w:rsidR="00233205" w:rsidRDefault="00233205" w:rsidP="00233205">
      <w:pPr>
        <w:spacing w:after="0" w:line="240" w:lineRule="auto"/>
        <w:jc w:val="both"/>
        <w:rPr>
          <w:lang w:eastAsia="es-MX"/>
        </w:rPr>
      </w:pPr>
    </w:p>
    <w:p w:rsidR="00233205" w:rsidRDefault="00233205" w:rsidP="00233205">
      <w:pPr>
        <w:spacing w:after="0" w:line="240" w:lineRule="auto"/>
        <w:jc w:val="both"/>
        <w:rPr>
          <w:lang w:eastAsia="es-MX"/>
        </w:rPr>
      </w:pPr>
    </w:p>
    <w:p w:rsidR="00233205" w:rsidRDefault="00233205" w:rsidP="00233205">
      <w:pPr>
        <w:spacing w:after="0" w:line="240" w:lineRule="auto"/>
        <w:jc w:val="both"/>
        <w:rPr>
          <w:lang w:eastAsia="es-MX"/>
        </w:rPr>
      </w:pPr>
    </w:p>
    <w:p w:rsidR="00233205" w:rsidRDefault="00233205" w:rsidP="00233205">
      <w:pPr>
        <w:spacing w:after="0" w:line="240" w:lineRule="auto"/>
        <w:jc w:val="both"/>
        <w:rPr>
          <w:lang w:eastAsia="es-MX"/>
        </w:rPr>
        <w:sectPr w:rsidR="00233205" w:rsidSect="00B542C1">
          <w:pgSz w:w="15840" w:h="12240" w:orient="landscape"/>
          <w:pgMar w:top="1134" w:right="1134" w:bottom="1134" w:left="1134" w:header="680" w:footer="680" w:gutter="0"/>
          <w:cols w:space="708"/>
          <w:docGrid w:linePitch="360"/>
        </w:sectPr>
      </w:pPr>
    </w:p>
    <w:p w:rsidR="00233205" w:rsidRPr="00A52A63" w:rsidRDefault="00233205" w:rsidP="00233205">
      <w:pPr>
        <w:pStyle w:val="NoSpacing"/>
        <w:jc w:val="center"/>
        <w:rPr>
          <w:color w:val="365F91" w:themeColor="accent1" w:themeShade="BF"/>
          <w:sz w:val="52"/>
          <w:szCs w:val="52"/>
          <w:lang w:val="es-ES_tradnl"/>
        </w:rPr>
      </w:pPr>
      <w:r w:rsidRPr="00A52A63">
        <w:rPr>
          <w:color w:val="365F91" w:themeColor="accent1" w:themeShade="BF"/>
          <w:sz w:val="52"/>
          <w:szCs w:val="52"/>
          <w:lang w:val="es-ES_tradnl"/>
        </w:rPr>
        <w:lastRenderedPageBreak/>
        <w:t>Anexo B</w:t>
      </w:r>
    </w:p>
    <w:p w:rsidR="00233205" w:rsidRPr="00A52A63" w:rsidRDefault="00233205" w:rsidP="00233205">
      <w:pPr>
        <w:pStyle w:val="NoSpacing"/>
        <w:jc w:val="center"/>
        <w:rPr>
          <w:color w:val="365F91" w:themeColor="accent1" w:themeShade="BF"/>
          <w:sz w:val="52"/>
          <w:szCs w:val="52"/>
          <w:lang w:val="es-ES_tradnl"/>
        </w:rPr>
      </w:pPr>
      <w:r w:rsidRPr="00A52A63">
        <w:rPr>
          <w:color w:val="365F91" w:themeColor="accent1" w:themeShade="BF"/>
          <w:sz w:val="52"/>
          <w:szCs w:val="52"/>
          <w:lang w:val="es-ES_tradnl"/>
        </w:rPr>
        <w:t>Fuentes de Información</w:t>
      </w:r>
    </w:p>
    <w:p w:rsidR="00233205" w:rsidRPr="00A52A63" w:rsidRDefault="00233205" w:rsidP="00233205">
      <w:pPr>
        <w:spacing w:after="0" w:line="240" w:lineRule="auto"/>
        <w:jc w:val="both"/>
        <w:rPr>
          <w:sz w:val="24"/>
          <w:szCs w:val="20"/>
        </w:rPr>
      </w:pPr>
    </w:p>
    <w:p w:rsidR="00233205" w:rsidRPr="00A52A63" w:rsidRDefault="00233205" w:rsidP="00233205">
      <w:pPr>
        <w:spacing w:after="0" w:line="240" w:lineRule="auto"/>
        <w:jc w:val="both"/>
        <w:rPr>
          <w:sz w:val="20"/>
          <w:szCs w:val="20"/>
        </w:rPr>
      </w:pPr>
    </w:p>
    <w:tbl>
      <w:tblPr>
        <w:tblStyle w:val="TableGrid"/>
        <w:tblW w:w="9747" w:type="dxa"/>
        <w:tblLayout w:type="fixed"/>
        <w:tblLook w:val="04A0" w:firstRow="1" w:lastRow="0" w:firstColumn="1" w:lastColumn="0" w:noHBand="0" w:noVBand="1"/>
      </w:tblPr>
      <w:tblGrid>
        <w:gridCol w:w="1101"/>
        <w:gridCol w:w="8646"/>
      </w:tblGrid>
      <w:tr w:rsidR="00233205" w:rsidRPr="00A52A63" w:rsidTr="00E30BEC">
        <w:trPr>
          <w:tblHeader/>
        </w:trPr>
        <w:tc>
          <w:tcPr>
            <w:tcW w:w="1101" w:type="dxa"/>
            <w:shd w:val="clear" w:color="auto" w:fill="365F91" w:themeFill="accent1" w:themeFillShade="BF"/>
            <w:vAlign w:val="center"/>
          </w:tcPr>
          <w:p w:rsidR="00233205" w:rsidRPr="00A52A63" w:rsidRDefault="00233205" w:rsidP="00E30BEC">
            <w:pPr>
              <w:pStyle w:val="NoSpacing"/>
              <w:jc w:val="center"/>
              <w:rPr>
                <w:b/>
                <w:color w:val="FFFFFF" w:themeColor="background1"/>
                <w:sz w:val="20"/>
                <w:szCs w:val="20"/>
                <w:lang w:val="es-ES_tradnl"/>
              </w:rPr>
            </w:pPr>
            <w:r w:rsidRPr="00A52A63">
              <w:rPr>
                <w:b/>
                <w:color w:val="FFFFFF" w:themeColor="background1"/>
                <w:sz w:val="20"/>
                <w:szCs w:val="20"/>
                <w:lang w:val="es-ES_tradnl"/>
              </w:rPr>
              <w:t>Indicador</w:t>
            </w:r>
          </w:p>
        </w:tc>
        <w:tc>
          <w:tcPr>
            <w:tcW w:w="8646" w:type="dxa"/>
            <w:shd w:val="clear" w:color="auto" w:fill="365F91" w:themeFill="accent1" w:themeFillShade="BF"/>
            <w:vAlign w:val="center"/>
          </w:tcPr>
          <w:p w:rsidR="00233205" w:rsidRPr="00A52A63" w:rsidRDefault="00233205" w:rsidP="00E30BEC">
            <w:pPr>
              <w:pStyle w:val="NoSpacing"/>
              <w:contextualSpacing/>
              <w:jc w:val="center"/>
              <w:rPr>
                <w:b/>
                <w:color w:val="FFFFFF" w:themeColor="background1"/>
                <w:sz w:val="20"/>
                <w:szCs w:val="20"/>
                <w:lang w:val="es-ES_tradnl"/>
              </w:rPr>
            </w:pPr>
            <w:r w:rsidRPr="00A52A63">
              <w:rPr>
                <w:b/>
                <w:color w:val="FFFFFF" w:themeColor="background1"/>
                <w:sz w:val="20"/>
                <w:szCs w:val="20"/>
                <w:lang w:val="es-ES_tradnl"/>
              </w:rPr>
              <w:t>Fuentes de Información - Evidencia</w:t>
            </w:r>
          </w:p>
        </w:tc>
      </w:tr>
      <w:tr w:rsidR="00233205" w:rsidRPr="00A52A63" w:rsidTr="00E30BEC">
        <w:tc>
          <w:tcPr>
            <w:tcW w:w="1101" w:type="dxa"/>
            <w:shd w:val="clear" w:color="auto" w:fill="D9D9D9" w:themeFill="background1" w:themeFillShade="D9"/>
            <w:vAlign w:val="center"/>
          </w:tcPr>
          <w:p w:rsidR="00233205" w:rsidRPr="00A52A63" w:rsidRDefault="00233205" w:rsidP="00E30BEC">
            <w:pPr>
              <w:pStyle w:val="NoSpacing"/>
              <w:rPr>
                <w:rFonts w:cs="Arial"/>
                <w:b/>
                <w:sz w:val="20"/>
                <w:szCs w:val="20"/>
                <w:lang w:val="es-ES_tradnl"/>
              </w:rPr>
            </w:pPr>
            <w:r w:rsidRPr="00A52A63">
              <w:rPr>
                <w:b/>
                <w:sz w:val="20"/>
                <w:szCs w:val="20"/>
                <w:lang w:val="es-ES_tradnl"/>
              </w:rPr>
              <w:t>Dominio A</w:t>
            </w:r>
          </w:p>
        </w:tc>
        <w:tc>
          <w:tcPr>
            <w:tcW w:w="8646" w:type="dxa"/>
            <w:shd w:val="clear" w:color="auto" w:fill="D9D9D9" w:themeFill="background1" w:themeFillShade="D9"/>
            <w:vAlign w:val="center"/>
          </w:tcPr>
          <w:p w:rsidR="00233205" w:rsidRPr="00A52A63" w:rsidRDefault="00233205" w:rsidP="00E30BEC">
            <w:pPr>
              <w:pStyle w:val="NoSpacing"/>
              <w:contextualSpacing/>
              <w:rPr>
                <w:rFonts w:cs="Arial"/>
                <w:b/>
                <w:sz w:val="20"/>
                <w:szCs w:val="20"/>
                <w:lang w:val="es-ES_tradnl"/>
              </w:rPr>
            </w:pPr>
            <w:r w:rsidRPr="00A52A63">
              <w:rPr>
                <w:rFonts w:cs="Calibri"/>
                <w:b/>
                <w:bCs/>
                <w:sz w:val="20"/>
                <w:szCs w:val="20"/>
                <w:lang w:val="es-ES_tradnl"/>
              </w:rPr>
              <w:t>Desempeño de la EFS</w:t>
            </w:r>
          </w:p>
        </w:tc>
      </w:tr>
      <w:tr w:rsidR="00233205" w:rsidRPr="00A52A63" w:rsidTr="00E30BEC">
        <w:trPr>
          <w:trHeight w:val="4890"/>
        </w:trPr>
        <w:tc>
          <w:tcPr>
            <w:tcW w:w="1101" w:type="dxa"/>
            <w:vAlign w:val="center"/>
          </w:tcPr>
          <w:p w:rsidR="00233205" w:rsidRPr="00A52A63" w:rsidRDefault="00233205" w:rsidP="00E30BEC">
            <w:pPr>
              <w:pStyle w:val="NoSpacing"/>
              <w:contextualSpacing/>
              <w:rPr>
                <w:rFonts w:cs="Arial"/>
                <w:b/>
                <w:sz w:val="20"/>
                <w:szCs w:val="20"/>
                <w:lang w:val="es-ES_tradnl"/>
              </w:rPr>
            </w:pPr>
            <w:r w:rsidRPr="00A52A63">
              <w:rPr>
                <w:b/>
                <w:sz w:val="20"/>
                <w:szCs w:val="20"/>
                <w:lang w:val="es-ES_tradnl"/>
              </w:rPr>
              <w:t>EFS-1</w:t>
            </w:r>
          </w:p>
        </w:tc>
        <w:tc>
          <w:tcPr>
            <w:tcW w:w="8646" w:type="dxa"/>
          </w:tcPr>
          <w:p w:rsidR="00233205" w:rsidRPr="00A52A63" w:rsidRDefault="00233205" w:rsidP="00E30BEC">
            <w:pPr>
              <w:pStyle w:val="NoSpacing"/>
              <w:ind w:left="360"/>
              <w:contextualSpacing/>
              <w:rPr>
                <w:rFonts w:cs="Arial"/>
                <w:sz w:val="20"/>
                <w:szCs w:val="20"/>
                <w:lang w:val="es-ES_tradnl"/>
              </w:rPr>
            </w:pPr>
          </w:p>
          <w:p w:rsidR="00233205" w:rsidRPr="00A52A63" w:rsidRDefault="00233205" w:rsidP="00233205">
            <w:pPr>
              <w:pStyle w:val="NoSpacing"/>
              <w:widowControl w:val="0"/>
              <w:numPr>
                <w:ilvl w:val="0"/>
                <w:numId w:val="101"/>
              </w:numPr>
              <w:contextualSpacing/>
              <w:rPr>
                <w:rFonts w:cs="Arial"/>
                <w:sz w:val="20"/>
                <w:szCs w:val="20"/>
                <w:lang w:val="es-ES_tradnl"/>
              </w:rPr>
            </w:pPr>
            <w:r w:rsidRPr="00A52A63">
              <w:rPr>
                <w:rFonts w:cs="Arial"/>
                <w:sz w:val="20"/>
                <w:szCs w:val="20"/>
                <w:lang w:val="es-ES_tradnl"/>
              </w:rPr>
              <w:t xml:space="preserve">Constitución Política de Colombia </w:t>
            </w:r>
          </w:p>
          <w:p w:rsidR="00233205" w:rsidRPr="00B27B5A" w:rsidRDefault="00233205" w:rsidP="00233205">
            <w:pPr>
              <w:pStyle w:val="NoSpacing"/>
              <w:widowControl w:val="0"/>
              <w:numPr>
                <w:ilvl w:val="0"/>
                <w:numId w:val="101"/>
              </w:numPr>
              <w:contextualSpacing/>
              <w:rPr>
                <w:rFonts w:cs="Arial"/>
                <w:sz w:val="20"/>
                <w:szCs w:val="20"/>
                <w:lang w:val="es-ES_tradnl"/>
              </w:rPr>
            </w:pPr>
            <w:r w:rsidRPr="00B27B5A">
              <w:rPr>
                <w:rFonts w:cs="Arial"/>
                <w:sz w:val="20"/>
                <w:szCs w:val="20"/>
                <w:lang w:val="es-ES_tradnl"/>
              </w:rPr>
              <w:t>Contaduría General de la Nación, Situación Financiera  y de Resultados a Nivel Nacional. Años 2009-2013</w:t>
            </w:r>
          </w:p>
          <w:p w:rsidR="00233205" w:rsidRPr="00B27B5A" w:rsidRDefault="00233205" w:rsidP="00233205">
            <w:pPr>
              <w:pStyle w:val="NoSpacing"/>
              <w:widowControl w:val="0"/>
              <w:numPr>
                <w:ilvl w:val="0"/>
                <w:numId w:val="101"/>
              </w:numPr>
              <w:contextualSpacing/>
              <w:rPr>
                <w:rStyle w:val="Hyperlink"/>
                <w:sz w:val="20"/>
                <w:szCs w:val="20"/>
                <w:lang w:val="es-ES_tradnl"/>
              </w:rPr>
            </w:pPr>
            <w:r w:rsidRPr="00B27B5A">
              <w:rPr>
                <w:sz w:val="20"/>
                <w:szCs w:val="20"/>
                <w:lang w:val="es-ES_tradnl"/>
              </w:rPr>
              <w:t xml:space="preserve">Contraloría General de la República, Auditorías liberadas: </w:t>
            </w:r>
            <w:hyperlink r:id="rId18" w:history="1">
              <w:r w:rsidRPr="00B27B5A">
                <w:rPr>
                  <w:rStyle w:val="Hyperlink"/>
                  <w:rFonts w:cs="Arial"/>
                  <w:sz w:val="20"/>
                  <w:szCs w:val="20"/>
                  <w:lang w:val="es-ES_tradnl"/>
                </w:rPr>
                <w:t>http://www.contraloriagen.gov.co/web/guest/auditorias-liberadas</w:t>
              </w:r>
            </w:hyperlink>
          </w:p>
          <w:p w:rsidR="00233205" w:rsidRPr="00B27B5A" w:rsidRDefault="00233205" w:rsidP="00233205">
            <w:pPr>
              <w:pStyle w:val="NoSpacing"/>
              <w:widowControl w:val="0"/>
              <w:numPr>
                <w:ilvl w:val="0"/>
                <w:numId w:val="101"/>
              </w:numPr>
              <w:contextualSpacing/>
              <w:rPr>
                <w:sz w:val="20"/>
                <w:szCs w:val="20"/>
                <w:lang w:val="es-ES_tradnl"/>
              </w:rPr>
            </w:pPr>
            <w:r w:rsidRPr="00B27B5A">
              <w:rPr>
                <w:sz w:val="20"/>
                <w:szCs w:val="20"/>
                <w:lang w:val="es-ES_tradnl"/>
              </w:rPr>
              <w:t>Contraloría General de la República, Guía de Auditoria Ajustada al Contexto SICA 2013.</w:t>
            </w:r>
          </w:p>
          <w:p w:rsidR="00233205" w:rsidRPr="00B27B5A" w:rsidRDefault="00233205" w:rsidP="00233205">
            <w:pPr>
              <w:pStyle w:val="NoSpacing"/>
              <w:widowControl w:val="0"/>
              <w:numPr>
                <w:ilvl w:val="0"/>
                <w:numId w:val="101"/>
              </w:numPr>
              <w:contextualSpacing/>
              <w:rPr>
                <w:sz w:val="20"/>
                <w:szCs w:val="20"/>
                <w:lang w:val="es-ES_tradnl"/>
              </w:rPr>
            </w:pPr>
            <w:r w:rsidRPr="00B27B5A">
              <w:rPr>
                <w:sz w:val="20"/>
                <w:szCs w:val="20"/>
                <w:lang w:val="es-ES_tradnl"/>
              </w:rPr>
              <w:t>Contraloría General de la República, Informe de Gestión al Congreso de la República, 2010-2014.</w:t>
            </w:r>
          </w:p>
          <w:p w:rsidR="00233205" w:rsidRPr="00B27B5A" w:rsidRDefault="00233205" w:rsidP="00233205">
            <w:pPr>
              <w:pStyle w:val="NoSpacing"/>
              <w:widowControl w:val="0"/>
              <w:numPr>
                <w:ilvl w:val="0"/>
                <w:numId w:val="101"/>
              </w:numPr>
              <w:contextualSpacing/>
              <w:rPr>
                <w:sz w:val="20"/>
                <w:szCs w:val="20"/>
                <w:lang w:val="es-ES_tradnl"/>
              </w:rPr>
            </w:pPr>
            <w:r w:rsidRPr="00B27B5A">
              <w:rPr>
                <w:sz w:val="20"/>
                <w:szCs w:val="20"/>
                <w:lang w:val="es-ES_tradnl"/>
              </w:rPr>
              <w:t>Contraloría General de la República, Plan de Vigilancia y Control Fiscal Gestión 2014.</w:t>
            </w:r>
          </w:p>
          <w:p w:rsidR="00233205" w:rsidRPr="00B27B5A" w:rsidRDefault="00233205" w:rsidP="00233205">
            <w:pPr>
              <w:pStyle w:val="NoSpacing"/>
              <w:widowControl w:val="0"/>
              <w:numPr>
                <w:ilvl w:val="0"/>
                <w:numId w:val="101"/>
              </w:numPr>
              <w:contextualSpacing/>
              <w:rPr>
                <w:rFonts w:cs="Arial"/>
                <w:sz w:val="20"/>
                <w:szCs w:val="20"/>
                <w:lang w:val="es-ES_tradnl"/>
              </w:rPr>
            </w:pPr>
            <w:r w:rsidRPr="00B27B5A">
              <w:rPr>
                <w:rFonts w:cs="Arial"/>
                <w:sz w:val="20"/>
                <w:szCs w:val="20"/>
                <w:lang w:val="es-ES_tradnl"/>
              </w:rPr>
              <w:t>Decreto 267 de 2000</w:t>
            </w:r>
          </w:p>
          <w:p w:rsidR="00233205" w:rsidRPr="00B27B5A" w:rsidRDefault="00233205" w:rsidP="00233205">
            <w:pPr>
              <w:pStyle w:val="NoSpacing"/>
              <w:widowControl w:val="0"/>
              <w:numPr>
                <w:ilvl w:val="0"/>
                <w:numId w:val="101"/>
              </w:numPr>
              <w:contextualSpacing/>
              <w:rPr>
                <w:rFonts w:cs="Arial"/>
                <w:sz w:val="20"/>
                <w:szCs w:val="20"/>
                <w:lang w:val="es-ES_tradnl"/>
              </w:rPr>
            </w:pPr>
            <w:r w:rsidRPr="00B27B5A">
              <w:rPr>
                <w:rFonts w:cstheme="majorHAnsi"/>
                <w:bCs/>
                <w:sz w:val="20"/>
                <w:szCs w:val="20"/>
                <w:lang w:val="es-ES_tradnl"/>
              </w:rPr>
              <w:t xml:space="preserve">Entrevistas con Contralores Delegados, </w:t>
            </w:r>
            <w:r w:rsidRPr="00B27B5A">
              <w:rPr>
                <w:rFonts w:cs="Arial"/>
                <w:sz w:val="20"/>
                <w:szCs w:val="20"/>
                <w:lang w:val="es-ES_tradnl"/>
              </w:rPr>
              <w:t>18 de febrero de 2015.</w:t>
            </w:r>
          </w:p>
          <w:p w:rsidR="00233205" w:rsidRPr="00B27B5A" w:rsidRDefault="00233205" w:rsidP="00233205">
            <w:pPr>
              <w:pStyle w:val="NoSpacing"/>
              <w:numPr>
                <w:ilvl w:val="0"/>
                <w:numId w:val="101"/>
              </w:numPr>
              <w:contextualSpacing/>
              <w:rPr>
                <w:rFonts w:cs="Arial"/>
                <w:sz w:val="20"/>
                <w:szCs w:val="20"/>
                <w:lang w:val="es-ES_tradnl"/>
              </w:rPr>
            </w:pPr>
            <w:r w:rsidRPr="00B27B5A">
              <w:rPr>
                <w:rFonts w:cstheme="majorHAnsi"/>
                <w:bCs/>
                <w:sz w:val="20"/>
                <w:szCs w:val="20"/>
                <w:lang w:val="es-ES_tradnl"/>
              </w:rPr>
              <w:t xml:space="preserve">Entrevistas con funcionarios de la Oficina de Planeación, </w:t>
            </w:r>
            <w:r w:rsidRPr="00B27B5A">
              <w:rPr>
                <w:rFonts w:cs="Arial"/>
                <w:sz w:val="20"/>
                <w:szCs w:val="20"/>
                <w:lang w:val="es-ES_tradnl"/>
              </w:rPr>
              <w:t>18 de febrero de 2015.</w:t>
            </w:r>
          </w:p>
          <w:p w:rsidR="00233205" w:rsidRPr="00B27B5A" w:rsidRDefault="00233205" w:rsidP="00233205">
            <w:pPr>
              <w:pStyle w:val="NoSpacing"/>
              <w:widowControl w:val="0"/>
              <w:numPr>
                <w:ilvl w:val="0"/>
                <w:numId w:val="101"/>
              </w:numPr>
              <w:contextualSpacing/>
              <w:rPr>
                <w:rStyle w:val="Hyperlink"/>
                <w:rFonts w:eastAsiaTheme="minorHAnsi" w:cs="Arial"/>
                <w:sz w:val="20"/>
                <w:szCs w:val="20"/>
                <w:lang w:val="es-ES_tradnl"/>
              </w:rPr>
            </w:pPr>
            <w:r w:rsidRPr="00B27B5A">
              <w:rPr>
                <w:rFonts w:cs="Arial"/>
                <w:sz w:val="20"/>
                <w:szCs w:val="20"/>
                <w:lang w:val="es-ES_tradnl"/>
              </w:rPr>
              <w:t xml:space="preserve">Informes Constitucionales: </w:t>
            </w:r>
            <w:hyperlink r:id="rId19" w:history="1">
              <w:r w:rsidRPr="00B27B5A">
                <w:rPr>
                  <w:rStyle w:val="Hyperlink"/>
                  <w:sz w:val="20"/>
                  <w:szCs w:val="20"/>
                  <w:lang w:val="es-ES_tradnl"/>
                </w:rPr>
                <w:t>http://www.contraloriagen.gov.co/web/guest/informesconstitucionales</w:t>
              </w:r>
            </w:hyperlink>
          </w:p>
          <w:p w:rsidR="00233205" w:rsidRPr="00B27B5A" w:rsidRDefault="00233205" w:rsidP="00233205">
            <w:pPr>
              <w:pStyle w:val="NoSpacing"/>
              <w:widowControl w:val="0"/>
              <w:numPr>
                <w:ilvl w:val="0"/>
                <w:numId w:val="101"/>
              </w:numPr>
              <w:contextualSpacing/>
              <w:rPr>
                <w:rFonts w:eastAsiaTheme="minorHAnsi" w:cs="Arial"/>
                <w:sz w:val="20"/>
                <w:szCs w:val="20"/>
                <w:lang w:val="es-ES_tradnl"/>
              </w:rPr>
            </w:pPr>
            <w:r w:rsidRPr="00B27B5A">
              <w:rPr>
                <w:rFonts w:cs="Arial"/>
                <w:sz w:val="20"/>
                <w:szCs w:val="20"/>
                <w:lang w:val="es-ES_tradnl"/>
              </w:rPr>
              <w:t>Integración del PVCF 2014 (Auditoría Programadas versus Ejecutadas)</w:t>
            </w:r>
          </w:p>
          <w:p w:rsidR="00233205" w:rsidRPr="00B27B5A" w:rsidRDefault="00233205" w:rsidP="00233205">
            <w:pPr>
              <w:pStyle w:val="NoSpacing"/>
              <w:widowControl w:val="0"/>
              <w:numPr>
                <w:ilvl w:val="0"/>
                <w:numId w:val="101"/>
              </w:numPr>
              <w:contextualSpacing/>
              <w:rPr>
                <w:rFonts w:cs="Arial"/>
                <w:sz w:val="20"/>
                <w:szCs w:val="20"/>
                <w:lang w:val="es-ES_tradnl"/>
              </w:rPr>
            </w:pPr>
            <w:r w:rsidRPr="00B27B5A">
              <w:rPr>
                <w:rFonts w:cs="Arial"/>
                <w:sz w:val="20"/>
                <w:szCs w:val="20"/>
                <w:lang w:val="es-ES_tradnl"/>
              </w:rPr>
              <w:t>Ley 42 de 1993</w:t>
            </w:r>
          </w:p>
          <w:p w:rsidR="00233205" w:rsidRPr="00B27B5A" w:rsidRDefault="00233205" w:rsidP="00233205">
            <w:pPr>
              <w:pStyle w:val="NoSpacing"/>
              <w:widowControl w:val="0"/>
              <w:numPr>
                <w:ilvl w:val="0"/>
                <w:numId w:val="101"/>
              </w:numPr>
              <w:contextualSpacing/>
              <w:rPr>
                <w:rFonts w:cs="Arial"/>
                <w:sz w:val="20"/>
                <w:szCs w:val="20"/>
                <w:lang w:val="es-ES_tradnl"/>
              </w:rPr>
            </w:pPr>
            <w:r w:rsidRPr="00B27B5A">
              <w:rPr>
                <w:rFonts w:cs="Arial"/>
                <w:sz w:val="20"/>
                <w:szCs w:val="20"/>
                <w:lang w:val="es-ES_tradnl"/>
              </w:rPr>
              <w:t xml:space="preserve">Página web de la CGRC: </w:t>
            </w:r>
            <w:hyperlink r:id="rId20" w:history="1">
              <w:r w:rsidRPr="00B27B5A">
                <w:rPr>
                  <w:rStyle w:val="Hyperlink"/>
                  <w:rFonts w:cs="Arial"/>
                  <w:sz w:val="20"/>
                  <w:szCs w:val="20"/>
                  <w:lang w:val="es-ES_tradnl"/>
                </w:rPr>
                <w:t>http://www.contraloriagen.gov.co/</w:t>
              </w:r>
            </w:hyperlink>
            <w:r w:rsidRPr="00B27B5A">
              <w:rPr>
                <w:rFonts w:cs="Arial"/>
                <w:sz w:val="20"/>
                <w:szCs w:val="20"/>
                <w:lang w:val="es-ES_tradnl"/>
              </w:rPr>
              <w:t xml:space="preserve"> </w:t>
            </w:r>
          </w:p>
          <w:p w:rsidR="00233205" w:rsidRPr="00B27B5A" w:rsidRDefault="00233205" w:rsidP="00233205">
            <w:pPr>
              <w:pStyle w:val="NoSpacing"/>
              <w:widowControl w:val="0"/>
              <w:numPr>
                <w:ilvl w:val="0"/>
                <w:numId w:val="101"/>
              </w:numPr>
              <w:contextualSpacing/>
              <w:rPr>
                <w:rFonts w:cs="Arial"/>
                <w:sz w:val="20"/>
                <w:szCs w:val="20"/>
                <w:lang w:val="es-ES_tradnl"/>
              </w:rPr>
            </w:pPr>
            <w:r w:rsidRPr="00B27B5A">
              <w:rPr>
                <w:sz w:val="20"/>
                <w:szCs w:val="20"/>
                <w:lang w:val="es-ES_tradnl"/>
              </w:rPr>
              <w:t>Papeles de Trabajo de la Metodología MMD-EFS</w:t>
            </w:r>
          </w:p>
          <w:p w:rsidR="00233205" w:rsidRPr="00B27B5A" w:rsidRDefault="00233205" w:rsidP="00233205">
            <w:pPr>
              <w:pStyle w:val="NoSpacing"/>
              <w:widowControl w:val="0"/>
              <w:numPr>
                <w:ilvl w:val="0"/>
                <w:numId w:val="101"/>
              </w:numPr>
              <w:contextualSpacing/>
              <w:rPr>
                <w:rFonts w:cs="Arial"/>
                <w:sz w:val="20"/>
                <w:szCs w:val="20"/>
                <w:lang w:val="es-ES_tradnl"/>
              </w:rPr>
            </w:pPr>
            <w:r w:rsidRPr="00B27B5A">
              <w:rPr>
                <w:rFonts w:cs="Arial"/>
                <w:sz w:val="20"/>
                <w:szCs w:val="20"/>
                <w:lang w:val="es-ES_tradnl"/>
              </w:rPr>
              <w:t>Resolución Orgánica 7350 del 2013</w:t>
            </w:r>
          </w:p>
          <w:p w:rsidR="00233205" w:rsidRPr="00B27B5A" w:rsidRDefault="00233205" w:rsidP="00233205">
            <w:pPr>
              <w:pStyle w:val="NoSpacing"/>
              <w:widowControl w:val="0"/>
              <w:numPr>
                <w:ilvl w:val="0"/>
                <w:numId w:val="110"/>
              </w:numPr>
              <w:rPr>
                <w:sz w:val="20"/>
                <w:szCs w:val="20"/>
                <w:lang w:val="es-ES_tradnl"/>
              </w:rPr>
            </w:pPr>
            <w:r w:rsidRPr="00B27B5A">
              <w:rPr>
                <w:sz w:val="20"/>
                <w:szCs w:val="20"/>
                <w:lang w:val="es-ES_tradnl"/>
              </w:rPr>
              <w:t>Sistema de Rendición de Cuentas  e Informes (SIRECI) de la CGRC</w:t>
            </w:r>
          </w:p>
          <w:p w:rsidR="00233205" w:rsidRPr="00B27B5A" w:rsidRDefault="00233205" w:rsidP="00233205">
            <w:pPr>
              <w:pStyle w:val="NoSpacing"/>
              <w:widowControl w:val="0"/>
              <w:numPr>
                <w:ilvl w:val="0"/>
                <w:numId w:val="110"/>
              </w:numPr>
              <w:rPr>
                <w:sz w:val="20"/>
                <w:szCs w:val="20"/>
                <w:lang w:val="es-ES_tradnl"/>
              </w:rPr>
            </w:pPr>
            <w:r w:rsidRPr="00B27B5A">
              <w:rPr>
                <w:sz w:val="20"/>
                <w:szCs w:val="20"/>
                <w:lang w:val="es-ES_tradnl"/>
              </w:rPr>
              <w:t>Sistema Integrado de Control de Auditoria (SICA)</w:t>
            </w:r>
          </w:p>
          <w:p w:rsidR="00233205" w:rsidRPr="00A52A63" w:rsidRDefault="00233205" w:rsidP="00E30BEC">
            <w:pPr>
              <w:pStyle w:val="NoSpacing"/>
              <w:ind w:left="360"/>
              <w:rPr>
                <w:sz w:val="20"/>
                <w:szCs w:val="20"/>
                <w:lang w:val="es-ES_tradnl"/>
              </w:rPr>
            </w:pPr>
          </w:p>
        </w:tc>
      </w:tr>
      <w:tr w:rsidR="00233205" w:rsidRPr="00A52A63" w:rsidTr="00E30BEC">
        <w:trPr>
          <w:trHeight w:val="192"/>
        </w:trPr>
        <w:tc>
          <w:tcPr>
            <w:tcW w:w="1101" w:type="dxa"/>
            <w:vAlign w:val="center"/>
          </w:tcPr>
          <w:p w:rsidR="00233205" w:rsidRPr="00A52A63" w:rsidRDefault="00233205" w:rsidP="00E30BEC">
            <w:pPr>
              <w:pStyle w:val="NoSpacing"/>
              <w:rPr>
                <w:rFonts w:cs="Arial"/>
                <w:b/>
                <w:sz w:val="20"/>
                <w:szCs w:val="20"/>
                <w:lang w:val="es-ES_tradnl"/>
              </w:rPr>
            </w:pPr>
            <w:r w:rsidRPr="00A52A63">
              <w:rPr>
                <w:b/>
                <w:sz w:val="20"/>
                <w:szCs w:val="20"/>
                <w:lang w:val="es-ES_tradnl"/>
              </w:rPr>
              <w:t>EFS-2</w:t>
            </w:r>
          </w:p>
        </w:tc>
        <w:tc>
          <w:tcPr>
            <w:tcW w:w="8646" w:type="dxa"/>
          </w:tcPr>
          <w:p w:rsidR="00233205" w:rsidRPr="00A52A63" w:rsidRDefault="00233205" w:rsidP="00E30BEC">
            <w:pPr>
              <w:pStyle w:val="NoSpacing"/>
              <w:ind w:left="360"/>
              <w:contextualSpacing/>
              <w:rPr>
                <w:rFonts w:cs="Arial"/>
                <w:sz w:val="20"/>
                <w:szCs w:val="20"/>
                <w:lang w:val="es-ES_tradnl"/>
              </w:rPr>
            </w:pPr>
          </w:p>
          <w:p w:rsidR="00233205" w:rsidRPr="00B27B5A" w:rsidRDefault="00233205" w:rsidP="00233205">
            <w:pPr>
              <w:pStyle w:val="NoSpacing"/>
              <w:widowControl w:val="0"/>
              <w:numPr>
                <w:ilvl w:val="0"/>
                <w:numId w:val="101"/>
              </w:numPr>
              <w:contextualSpacing/>
              <w:rPr>
                <w:rFonts w:cs="Arial"/>
                <w:sz w:val="20"/>
                <w:szCs w:val="20"/>
                <w:lang w:val="es-ES_tradnl"/>
              </w:rPr>
            </w:pPr>
            <w:r w:rsidRPr="00B27B5A">
              <w:rPr>
                <w:rFonts w:cs="Arial"/>
                <w:sz w:val="20"/>
                <w:szCs w:val="20"/>
                <w:lang w:val="es-ES_tradnl"/>
              </w:rPr>
              <w:t>Constitución Política de Colombia</w:t>
            </w:r>
          </w:p>
          <w:p w:rsidR="00233205" w:rsidRPr="00B27B5A" w:rsidRDefault="00233205" w:rsidP="00233205">
            <w:pPr>
              <w:pStyle w:val="NoSpacing"/>
              <w:widowControl w:val="0"/>
              <w:numPr>
                <w:ilvl w:val="0"/>
                <w:numId w:val="101"/>
              </w:numPr>
              <w:ind w:left="357" w:hanging="357"/>
              <w:contextualSpacing/>
              <w:rPr>
                <w:rStyle w:val="Hyperlink"/>
                <w:sz w:val="20"/>
                <w:szCs w:val="20"/>
                <w:lang w:val="es-ES_tradnl"/>
              </w:rPr>
            </w:pPr>
            <w:r w:rsidRPr="00B27B5A">
              <w:rPr>
                <w:sz w:val="20"/>
                <w:szCs w:val="20"/>
                <w:lang w:val="es-ES_tradnl"/>
              </w:rPr>
              <w:t xml:space="preserve">Contraloría General de la República, Auditorías liberadas: </w:t>
            </w:r>
            <w:hyperlink r:id="rId21" w:history="1">
              <w:r w:rsidRPr="00B27B5A">
                <w:rPr>
                  <w:rStyle w:val="Hyperlink"/>
                  <w:rFonts w:cs="Arial"/>
                  <w:sz w:val="20"/>
                  <w:szCs w:val="20"/>
                  <w:lang w:val="es-ES_tradnl"/>
                </w:rPr>
                <w:t>http://www.contraloriagen.gov.co/web/guest/auditorias-liberadas</w:t>
              </w:r>
            </w:hyperlink>
          </w:p>
          <w:p w:rsidR="00233205" w:rsidRPr="00B27B5A" w:rsidRDefault="00233205" w:rsidP="00233205">
            <w:pPr>
              <w:pStyle w:val="NoSpacing"/>
              <w:widowControl w:val="0"/>
              <w:numPr>
                <w:ilvl w:val="0"/>
                <w:numId w:val="101"/>
              </w:numPr>
              <w:ind w:left="357" w:hanging="357"/>
              <w:contextualSpacing/>
              <w:rPr>
                <w:sz w:val="20"/>
                <w:szCs w:val="20"/>
                <w:lang w:val="es-ES_tradnl"/>
              </w:rPr>
            </w:pPr>
            <w:r w:rsidRPr="00B27B5A">
              <w:rPr>
                <w:sz w:val="20"/>
                <w:szCs w:val="20"/>
                <w:lang w:val="es-ES_tradnl"/>
              </w:rPr>
              <w:t>Contraloría General de la República, Guía de Auditoria Ajustada al Contexto SICA 2013.</w:t>
            </w:r>
          </w:p>
          <w:p w:rsidR="00233205" w:rsidRPr="00B27B5A" w:rsidRDefault="00233205" w:rsidP="00233205">
            <w:pPr>
              <w:pStyle w:val="NoSpacing"/>
              <w:widowControl w:val="0"/>
              <w:numPr>
                <w:ilvl w:val="0"/>
                <w:numId w:val="101"/>
              </w:numPr>
              <w:ind w:left="357" w:hanging="357"/>
              <w:contextualSpacing/>
              <w:rPr>
                <w:sz w:val="20"/>
                <w:szCs w:val="20"/>
                <w:lang w:val="es-ES_tradnl"/>
              </w:rPr>
            </w:pPr>
            <w:r w:rsidRPr="00B27B5A">
              <w:rPr>
                <w:sz w:val="20"/>
                <w:szCs w:val="20"/>
                <w:lang w:val="es-ES_tradnl"/>
              </w:rPr>
              <w:t>Contraloría General de la República, Informe de Gestión al Congreso de la República, 2010-2014.</w:t>
            </w:r>
          </w:p>
          <w:p w:rsidR="00233205" w:rsidRPr="00B27B5A" w:rsidRDefault="00233205" w:rsidP="00233205">
            <w:pPr>
              <w:pStyle w:val="NoSpacing"/>
              <w:widowControl w:val="0"/>
              <w:numPr>
                <w:ilvl w:val="0"/>
                <w:numId w:val="101"/>
              </w:numPr>
              <w:ind w:left="357" w:hanging="357"/>
              <w:contextualSpacing/>
              <w:rPr>
                <w:sz w:val="20"/>
                <w:szCs w:val="20"/>
                <w:lang w:val="es-ES_tradnl"/>
              </w:rPr>
            </w:pPr>
            <w:r w:rsidRPr="00B27B5A">
              <w:rPr>
                <w:sz w:val="20"/>
                <w:szCs w:val="20"/>
                <w:lang w:val="es-ES_tradnl"/>
              </w:rPr>
              <w:t>Contraloría General de la República, Plan de Vigilancia y Control Fiscal Gestión 2014.</w:t>
            </w:r>
          </w:p>
          <w:p w:rsidR="00233205" w:rsidRPr="00B27B5A" w:rsidRDefault="00233205" w:rsidP="00233205">
            <w:pPr>
              <w:pStyle w:val="NoSpacing"/>
              <w:widowControl w:val="0"/>
              <w:numPr>
                <w:ilvl w:val="0"/>
                <w:numId w:val="101"/>
              </w:numPr>
              <w:ind w:left="357" w:hanging="357"/>
              <w:contextualSpacing/>
              <w:rPr>
                <w:sz w:val="20"/>
                <w:szCs w:val="20"/>
                <w:lang w:val="es-ES_tradnl"/>
              </w:rPr>
            </w:pPr>
            <w:r w:rsidRPr="00B27B5A">
              <w:rPr>
                <w:sz w:val="20"/>
                <w:szCs w:val="20"/>
                <w:lang w:val="es-ES_tradnl"/>
              </w:rPr>
              <w:t>Contraloría General de la República, Plan Estratégico 2010 – 2014 Versión 5.1</w:t>
            </w:r>
          </w:p>
          <w:p w:rsidR="00233205" w:rsidRPr="00B27B5A" w:rsidRDefault="00233205" w:rsidP="00233205">
            <w:pPr>
              <w:pStyle w:val="NoSpacing"/>
              <w:widowControl w:val="0"/>
              <w:numPr>
                <w:ilvl w:val="0"/>
                <w:numId w:val="101"/>
              </w:numPr>
              <w:ind w:left="357" w:hanging="357"/>
              <w:contextualSpacing/>
              <w:rPr>
                <w:sz w:val="20"/>
                <w:szCs w:val="20"/>
                <w:lang w:val="es-ES_tradnl"/>
              </w:rPr>
            </w:pPr>
            <w:r w:rsidRPr="00B27B5A">
              <w:rPr>
                <w:sz w:val="20"/>
                <w:szCs w:val="20"/>
                <w:lang w:val="es-ES_tradnl"/>
              </w:rPr>
              <w:t>Contraloría General de la República, Plan Estratégico 2014 – 2018</w:t>
            </w:r>
          </w:p>
          <w:p w:rsidR="00233205" w:rsidRPr="00B27B5A" w:rsidRDefault="00233205" w:rsidP="00233205">
            <w:pPr>
              <w:pStyle w:val="NoSpacing"/>
              <w:widowControl w:val="0"/>
              <w:numPr>
                <w:ilvl w:val="0"/>
                <w:numId w:val="101"/>
              </w:numPr>
              <w:ind w:left="357" w:hanging="357"/>
              <w:contextualSpacing/>
              <w:rPr>
                <w:rFonts w:cs="Arial"/>
                <w:sz w:val="20"/>
                <w:szCs w:val="20"/>
                <w:lang w:val="es-ES_tradnl"/>
              </w:rPr>
            </w:pPr>
            <w:r w:rsidRPr="00B27B5A">
              <w:rPr>
                <w:rFonts w:cs="Arial"/>
                <w:sz w:val="20"/>
                <w:szCs w:val="20"/>
                <w:lang w:val="es-ES_tradnl"/>
              </w:rPr>
              <w:t>Decreto 267 de 2000</w:t>
            </w:r>
          </w:p>
          <w:p w:rsidR="00233205" w:rsidRPr="00B27B5A" w:rsidRDefault="00233205" w:rsidP="00233205">
            <w:pPr>
              <w:pStyle w:val="NoSpacing"/>
              <w:widowControl w:val="0"/>
              <w:numPr>
                <w:ilvl w:val="0"/>
                <w:numId w:val="101"/>
              </w:numPr>
              <w:ind w:left="357" w:hanging="357"/>
              <w:contextualSpacing/>
              <w:rPr>
                <w:rFonts w:cs="Arial"/>
                <w:sz w:val="20"/>
                <w:szCs w:val="20"/>
                <w:lang w:val="es-ES_tradnl"/>
              </w:rPr>
            </w:pPr>
            <w:r w:rsidRPr="00B27B5A">
              <w:rPr>
                <w:rFonts w:cstheme="majorHAnsi"/>
                <w:bCs/>
                <w:sz w:val="20"/>
                <w:szCs w:val="20"/>
                <w:lang w:val="es-ES_tradnl"/>
              </w:rPr>
              <w:t xml:space="preserve">Entrevistas con Contralores Delegados, </w:t>
            </w:r>
            <w:r w:rsidRPr="00B27B5A">
              <w:rPr>
                <w:rFonts w:cs="Arial"/>
                <w:sz w:val="20"/>
                <w:szCs w:val="20"/>
                <w:lang w:val="es-ES_tradnl"/>
              </w:rPr>
              <w:t>18 de febrero de 2015.</w:t>
            </w:r>
          </w:p>
          <w:p w:rsidR="00233205" w:rsidRPr="00B27B5A" w:rsidRDefault="00233205" w:rsidP="00233205">
            <w:pPr>
              <w:pStyle w:val="NoSpacing"/>
              <w:numPr>
                <w:ilvl w:val="0"/>
                <w:numId w:val="101"/>
              </w:numPr>
              <w:ind w:left="357" w:hanging="357"/>
              <w:contextualSpacing/>
              <w:rPr>
                <w:rFonts w:cs="Arial"/>
                <w:sz w:val="20"/>
                <w:szCs w:val="20"/>
                <w:lang w:val="es-ES_tradnl"/>
              </w:rPr>
            </w:pPr>
            <w:r w:rsidRPr="00B27B5A">
              <w:rPr>
                <w:rFonts w:cstheme="majorHAnsi"/>
                <w:bCs/>
                <w:sz w:val="20"/>
                <w:szCs w:val="20"/>
                <w:lang w:val="es-ES_tradnl"/>
              </w:rPr>
              <w:t xml:space="preserve">Entrevistas con funcionarios de la Oficina de Planeación, </w:t>
            </w:r>
            <w:r w:rsidRPr="00B27B5A">
              <w:rPr>
                <w:rFonts w:cs="Arial"/>
                <w:sz w:val="20"/>
                <w:szCs w:val="20"/>
                <w:lang w:val="es-ES_tradnl"/>
              </w:rPr>
              <w:t>18 de febrero de 2015.</w:t>
            </w:r>
          </w:p>
          <w:p w:rsidR="00233205" w:rsidRPr="00B27B5A" w:rsidRDefault="00233205" w:rsidP="00233205">
            <w:pPr>
              <w:pStyle w:val="NoSpacing"/>
              <w:widowControl w:val="0"/>
              <w:numPr>
                <w:ilvl w:val="0"/>
                <w:numId w:val="101"/>
              </w:numPr>
              <w:contextualSpacing/>
              <w:rPr>
                <w:rFonts w:eastAsiaTheme="minorHAnsi" w:cs="Arial"/>
                <w:sz w:val="20"/>
                <w:szCs w:val="20"/>
                <w:lang w:val="es-ES_tradnl"/>
              </w:rPr>
            </w:pPr>
            <w:r w:rsidRPr="00B27B5A">
              <w:rPr>
                <w:rFonts w:cs="Arial"/>
                <w:sz w:val="20"/>
                <w:szCs w:val="20"/>
                <w:lang w:val="es-ES_tradnl"/>
              </w:rPr>
              <w:t>Integración del PVCF 2014 (Auditoría Programadas versus Ejecutadas).</w:t>
            </w:r>
          </w:p>
          <w:p w:rsidR="00233205" w:rsidRPr="00B27B5A" w:rsidRDefault="00233205" w:rsidP="00233205">
            <w:pPr>
              <w:pStyle w:val="NoSpacing"/>
              <w:widowControl w:val="0"/>
              <w:numPr>
                <w:ilvl w:val="0"/>
                <w:numId w:val="101"/>
              </w:numPr>
              <w:ind w:left="357" w:hanging="357"/>
              <w:contextualSpacing/>
              <w:rPr>
                <w:sz w:val="20"/>
                <w:szCs w:val="20"/>
                <w:lang w:val="es-ES_tradnl"/>
              </w:rPr>
            </w:pPr>
            <w:r w:rsidRPr="00B27B5A">
              <w:rPr>
                <w:sz w:val="20"/>
                <w:szCs w:val="20"/>
                <w:lang w:val="es-ES_tradnl"/>
              </w:rPr>
              <w:t>Ley 42 de 1993</w:t>
            </w:r>
          </w:p>
          <w:p w:rsidR="00233205" w:rsidRPr="00B27B5A" w:rsidRDefault="00233205" w:rsidP="00233205">
            <w:pPr>
              <w:pStyle w:val="NoSpacing"/>
              <w:widowControl w:val="0"/>
              <w:numPr>
                <w:ilvl w:val="0"/>
                <w:numId w:val="101"/>
              </w:numPr>
              <w:ind w:left="357" w:hanging="357"/>
              <w:contextualSpacing/>
              <w:rPr>
                <w:rFonts w:cs="Arial"/>
                <w:sz w:val="20"/>
                <w:szCs w:val="20"/>
                <w:lang w:val="es-ES_tradnl"/>
              </w:rPr>
            </w:pPr>
            <w:r w:rsidRPr="00B27B5A">
              <w:rPr>
                <w:sz w:val="20"/>
                <w:szCs w:val="20"/>
                <w:lang w:val="es-ES_tradnl"/>
              </w:rPr>
              <w:t xml:space="preserve">Normas </w:t>
            </w:r>
            <w:proofErr w:type="spellStart"/>
            <w:r w:rsidRPr="00B27B5A">
              <w:rPr>
                <w:sz w:val="20"/>
                <w:szCs w:val="20"/>
                <w:lang w:val="es-ES_tradnl"/>
              </w:rPr>
              <w:t>ISSAIs</w:t>
            </w:r>
            <w:proofErr w:type="spellEnd"/>
            <w:r w:rsidRPr="00B27B5A">
              <w:rPr>
                <w:sz w:val="20"/>
                <w:szCs w:val="20"/>
                <w:lang w:val="es-ES_tradnl"/>
              </w:rPr>
              <w:t>.</w:t>
            </w:r>
          </w:p>
          <w:p w:rsidR="00233205" w:rsidRPr="00B27B5A" w:rsidRDefault="00233205" w:rsidP="00233205">
            <w:pPr>
              <w:pStyle w:val="NoSpacing"/>
              <w:widowControl w:val="0"/>
              <w:numPr>
                <w:ilvl w:val="0"/>
                <w:numId w:val="101"/>
              </w:numPr>
              <w:ind w:left="357" w:hanging="357"/>
              <w:contextualSpacing/>
              <w:rPr>
                <w:sz w:val="20"/>
                <w:szCs w:val="20"/>
                <w:lang w:val="es-ES_tradnl"/>
              </w:rPr>
            </w:pPr>
            <w:r w:rsidRPr="00B27B5A">
              <w:rPr>
                <w:sz w:val="20"/>
                <w:szCs w:val="20"/>
                <w:lang w:val="es-ES_tradnl"/>
              </w:rPr>
              <w:t>Normas SIRECI: Resolución Orgánica 6289 de 2011; Resolución Orgánica 6445 de 2012; Resolución Orgánica 7350 del 2013.</w:t>
            </w:r>
          </w:p>
          <w:p w:rsidR="00233205" w:rsidRPr="00B27B5A" w:rsidRDefault="00233205" w:rsidP="00233205">
            <w:pPr>
              <w:pStyle w:val="NoSpacing"/>
              <w:widowControl w:val="0"/>
              <w:numPr>
                <w:ilvl w:val="0"/>
                <w:numId w:val="101"/>
              </w:numPr>
              <w:contextualSpacing/>
              <w:rPr>
                <w:rFonts w:cs="Arial"/>
                <w:sz w:val="20"/>
                <w:szCs w:val="20"/>
                <w:lang w:val="es-ES_tradnl"/>
              </w:rPr>
            </w:pPr>
            <w:r w:rsidRPr="00B27B5A">
              <w:rPr>
                <w:sz w:val="20"/>
                <w:szCs w:val="20"/>
                <w:lang w:val="es-ES_tradnl"/>
              </w:rPr>
              <w:t>Papeles de Trabajo de la Metodología MMD-EFS</w:t>
            </w:r>
            <w:r w:rsidRPr="00B27B5A">
              <w:rPr>
                <w:rFonts w:cs="Arial"/>
                <w:sz w:val="20"/>
                <w:szCs w:val="20"/>
                <w:lang w:val="es-ES_tradnl"/>
              </w:rPr>
              <w:t xml:space="preserve"> </w:t>
            </w:r>
          </w:p>
          <w:p w:rsidR="00233205" w:rsidRPr="00B27B5A" w:rsidRDefault="00233205" w:rsidP="00233205">
            <w:pPr>
              <w:pStyle w:val="NoSpacing"/>
              <w:widowControl w:val="0"/>
              <w:numPr>
                <w:ilvl w:val="0"/>
                <w:numId w:val="101"/>
              </w:numPr>
              <w:contextualSpacing/>
              <w:rPr>
                <w:rFonts w:cs="Arial"/>
                <w:sz w:val="20"/>
                <w:szCs w:val="20"/>
                <w:lang w:val="es-ES_tradnl"/>
              </w:rPr>
            </w:pPr>
            <w:r w:rsidRPr="00B27B5A">
              <w:rPr>
                <w:rFonts w:cs="Arial"/>
                <w:sz w:val="20"/>
                <w:szCs w:val="20"/>
                <w:lang w:val="es-ES_tradnl"/>
              </w:rPr>
              <w:t>Sistema de Rendición de Cuentas  e Informes (SIRECI) de la CGRC</w:t>
            </w:r>
          </w:p>
          <w:p w:rsidR="00233205" w:rsidRPr="00A52A63" w:rsidRDefault="00233205" w:rsidP="00233205">
            <w:pPr>
              <w:pStyle w:val="NoSpacing"/>
              <w:widowControl w:val="0"/>
              <w:numPr>
                <w:ilvl w:val="0"/>
                <w:numId w:val="101"/>
              </w:numPr>
              <w:contextualSpacing/>
              <w:rPr>
                <w:color w:val="000000"/>
                <w:sz w:val="20"/>
                <w:szCs w:val="20"/>
                <w:lang w:val="es-ES_tradnl"/>
              </w:rPr>
            </w:pPr>
            <w:r w:rsidRPr="00B27B5A">
              <w:rPr>
                <w:sz w:val="20"/>
                <w:szCs w:val="20"/>
                <w:lang w:val="es-ES_tradnl"/>
              </w:rPr>
              <w:t>Sistema Integrado de Control de Auditoria (SICA)</w:t>
            </w:r>
          </w:p>
        </w:tc>
      </w:tr>
      <w:tr w:rsidR="00233205" w:rsidRPr="00A52A63" w:rsidTr="00E30BEC">
        <w:trPr>
          <w:trHeight w:val="4512"/>
        </w:trPr>
        <w:tc>
          <w:tcPr>
            <w:tcW w:w="1101" w:type="dxa"/>
            <w:vAlign w:val="center"/>
          </w:tcPr>
          <w:p w:rsidR="00233205" w:rsidRPr="00A52A63" w:rsidRDefault="00233205" w:rsidP="00E30BEC">
            <w:pPr>
              <w:pStyle w:val="NoSpacing"/>
              <w:rPr>
                <w:rFonts w:cs="Arial"/>
                <w:b/>
                <w:sz w:val="20"/>
                <w:szCs w:val="20"/>
                <w:lang w:val="es-ES_tradnl"/>
              </w:rPr>
            </w:pPr>
            <w:r w:rsidRPr="00A52A63">
              <w:rPr>
                <w:b/>
                <w:sz w:val="20"/>
                <w:szCs w:val="20"/>
                <w:lang w:val="es-ES_tradnl"/>
              </w:rPr>
              <w:lastRenderedPageBreak/>
              <w:t>EFS-3</w:t>
            </w:r>
          </w:p>
        </w:tc>
        <w:tc>
          <w:tcPr>
            <w:tcW w:w="8646" w:type="dxa"/>
            <w:vAlign w:val="center"/>
          </w:tcPr>
          <w:p w:rsidR="00233205" w:rsidRPr="00B27B5A" w:rsidRDefault="00233205" w:rsidP="00233205">
            <w:pPr>
              <w:pStyle w:val="NoSpacing"/>
              <w:widowControl w:val="0"/>
              <w:numPr>
                <w:ilvl w:val="0"/>
                <w:numId w:val="101"/>
              </w:numPr>
              <w:ind w:left="357" w:hanging="357"/>
              <w:contextualSpacing/>
              <w:rPr>
                <w:rStyle w:val="Hyperlink"/>
                <w:rFonts w:eastAsiaTheme="minorHAnsi"/>
                <w:color w:val="000000" w:themeColor="text1"/>
                <w:sz w:val="20"/>
                <w:szCs w:val="20"/>
                <w:lang w:val="pt-BR"/>
              </w:rPr>
            </w:pPr>
            <w:r w:rsidRPr="00B27B5A">
              <w:rPr>
                <w:rFonts w:cs="Arial"/>
                <w:sz w:val="20"/>
                <w:szCs w:val="20"/>
                <w:lang w:val="pt-BR"/>
              </w:rPr>
              <w:t xml:space="preserve">Auditorias liberadas: </w:t>
            </w:r>
            <w:hyperlink r:id="rId22" w:history="1">
              <w:r w:rsidRPr="00B27B5A">
                <w:rPr>
                  <w:rStyle w:val="Hyperlink"/>
                  <w:rFonts w:cs="Arial"/>
                  <w:sz w:val="20"/>
                  <w:szCs w:val="20"/>
                  <w:lang w:val="pt-BR"/>
                </w:rPr>
                <w:t>http://www.contraloriagen.gov.co/web/guest/auditorias-liberadas</w:t>
              </w:r>
            </w:hyperlink>
            <w:r w:rsidRPr="00B27B5A">
              <w:rPr>
                <w:rStyle w:val="Hyperlink"/>
                <w:rFonts w:cs="Arial"/>
                <w:sz w:val="20"/>
                <w:szCs w:val="20"/>
                <w:lang w:val="pt-BR"/>
              </w:rPr>
              <w:t>.</w:t>
            </w:r>
          </w:p>
          <w:p w:rsidR="00233205" w:rsidRPr="00B27B5A" w:rsidRDefault="00233205" w:rsidP="00233205">
            <w:pPr>
              <w:pStyle w:val="NoSpacing"/>
              <w:widowControl w:val="0"/>
              <w:numPr>
                <w:ilvl w:val="0"/>
                <w:numId w:val="101"/>
              </w:numPr>
              <w:contextualSpacing/>
              <w:rPr>
                <w:rFonts w:cs="Arial"/>
                <w:sz w:val="20"/>
                <w:szCs w:val="20"/>
                <w:lang w:val="es-ES_tradnl"/>
              </w:rPr>
            </w:pPr>
            <w:r w:rsidRPr="00B27B5A">
              <w:rPr>
                <w:rFonts w:cs="Arial"/>
                <w:sz w:val="20"/>
                <w:szCs w:val="20"/>
                <w:lang w:val="es-ES_tradnl"/>
              </w:rPr>
              <w:t>Constitución Política de Colombia</w:t>
            </w:r>
          </w:p>
          <w:p w:rsidR="00233205" w:rsidRPr="00B27B5A" w:rsidRDefault="00233205" w:rsidP="00233205">
            <w:pPr>
              <w:pStyle w:val="NoSpacing"/>
              <w:widowControl w:val="0"/>
              <w:numPr>
                <w:ilvl w:val="0"/>
                <w:numId w:val="101"/>
              </w:numPr>
              <w:ind w:left="357" w:hanging="357"/>
              <w:contextualSpacing/>
              <w:rPr>
                <w:sz w:val="20"/>
                <w:szCs w:val="20"/>
                <w:lang w:val="es-ES_tradnl"/>
              </w:rPr>
            </w:pPr>
            <w:r w:rsidRPr="00B27B5A">
              <w:rPr>
                <w:sz w:val="20"/>
                <w:szCs w:val="20"/>
                <w:lang w:val="es-ES_tradnl"/>
              </w:rPr>
              <w:t>Contraloría General de la República, Guía de Auditoria Ajustada al Contexto SICA 2013.</w:t>
            </w:r>
          </w:p>
          <w:p w:rsidR="00233205" w:rsidRPr="00B27B5A" w:rsidRDefault="00233205" w:rsidP="00233205">
            <w:pPr>
              <w:pStyle w:val="NoSpacing"/>
              <w:widowControl w:val="0"/>
              <w:numPr>
                <w:ilvl w:val="0"/>
                <w:numId w:val="101"/>
              </w:numPr>
              <w:ind w:left="357" w:hanging="357"/>
              <w:contextualSpacing/>
              <w:rPr>
                <w:sz w:val="20"/>
                <w:szCs w:val="20"/>
                <w:lang w:val="es-ES_tradnl"/>
              </w:rPr>
            </w:pPr>
            <w:r w:rsidRPr="00B27B5A">
              <w:rPr>
                <w:sz w:val="20"/>
                <w:szCs w:val="20"/>
                <w:lang w:val="es-ES_tradnl"/>
              </w:rPr>
              <w:t>Contraloría General de la República, Informe de Gestión al Congreso de la República, 2010-2014.</w:t>
            </w:r>
          </w:p>
          <w:p w:rsidR="00233205" w:rsidRPr="00B27B5A" w:rsidRDefault="00233205" w:rsidP="00233205">
            <w:pPr>
              <w:pStyle w:val="NoSpacing"/>
              <w:widowControl w:val="0"/>
              <w:numPr>
                <w:ilvl w:val="0"/>
                <w:numId w:val="101"/>
              </w:numPr>
              <w:ind w:left="357" w:hanging="357"/>
              <w:contextualSpacing/>
              <w:rPr>
                <w:color w:val="000000" w:themeColor="text1"/>
                <w:sz w:val="20"/>
                <w:szCs w:val="20"/>
                <w:lang w:val="es-ES_tradnl"/>
              </w:rPr>
            </w:pPr>
            <w:r w:rsidRPr="00B27B5A">
              <w:rPr>
                <w:color w:val="000000" w:themeColor="text1"/>
                <w:sz w:val="20"/>
                <w:szCs w:val="20"/>
                <w:lang w:val="es-ES_tradnl"/>
              </w:rPr>
              <w:t>Contraloría General de la República, Plan de Vigilancia y Control Fiscal Gestión 2014.</w:t>
            </w:r>
          </w:p>
          <w:p w:rsidR="00233205" w:rsidRPr="00B27B5A" w:rsidRDefault="00233205" w:rsidP="00233205">
            <w:pPr>
              <w:pStyle w:val="NoSpacing"/>
              <w:widowControl w:val="0"/>
              <w:numPr>
                <w:ilvl w:val="0"/>
                <w:numId w:val="101"/>
              </w:numPr>
              <w:ind w:left="357" w:hanging="357"/>
              <w:contextualSpacing/>
              <w:rPr>
                <w:rFonts w:cs="Arial"/>
                <w:sz w:val="20"/>
                <w:szCs w:val="20"/>
                <w:lang w:val="es-ES_tradnl"/>
              </w:rPr>
            </w:pPr>
            <w:r w:rsidRPr="00B27B5A">
              <w:rPr>
                <w:rFonts w:cstheme="majorHAnsi"/>
                <w:bCs/>
                <w:sz w:val="20"/>
                <w:szCs w:val="20"/>
                <w:lang w:val="es-ES_tradnl"/>
              </w:rPr>
              <w:t xml:space="preserve">Entrevistas con Contralores Delegados, </w:t>
            </w:r>
            <w:r w:rsidRPr="00B27B5A">
              <w:rPr>
                <w:rFonts w:cs="Arial"/>
                <w:sz w:val="20"/>
                <w:szCs w:val="20"/>
                <w:lang w:val="es-ES_tradnl"/>
              </w:rPr>
              <w:t>18 de febrero de 2015.</w:t>
            </w:r>
          </w:p>
          <w:p w:rsidR="00233205" w:rsidRPr="00B27B5A" w:rsidRDefault="00233205" w:rsidP="00233205">
            <w:pPr>
              <w:pStyle w:val="NoSpacing"/>
              <w:numPr>
                <w:ilvl w:val="0"/>
                <w:numId w:val="101"/>
              </w:numPr>
              <w:ind w:left="357" w:hanging="357"/>
              <w:contextualSpacing/>
              <w:rPr>
                <w:rFonts w:cs="Arial"/>
                <w:sz w:val="20"/>
                <w:szCs w:val="20"/>
                <w:lang w:val="es-ES_tradnl"/>
              </w:rPr>
            </w:pPr>
            <w:r w:rsidRPr="00B27B5A">
              <w:rPr>
                <w:rFonts w:cstheme="majorHAnsi"/>
                <w:bCs/>
                <w:sz w:val="20"/>
                <w:szCs w:val="20"/>
                <w:lang w:val="es-ES_tradnl"/>
              </w:rPr>
              <w:t xml:space="preserve">Entrevistas con funcionarios de la Oficina de Planeación, </w:t>
            </w:r>
            <w:r w:rsidRPr="00B27B5A">
              <w:rPr>
                <w:rFonts w:cs="Arial"/>
                <w:sz w:val="20"/>
                <w:szCs w:val="20"/>
                <w:lang w:val="es-ES_tradnl"/>
              </w:rPr>
              <w:t>18 de febrero de 2015.</w:t>
            </w:r>
          </w:p>
          <w:p w:rsidR="00233205" w:rsidRPr="00B27B5A" w:rsidRDefault="00233205" w:rsidP="00233205">
            <w:pPr>
              <w:pStyle w:val="NoSpacing"/>
              <w:widowControl w:val="0"/>
              <w:numPr>
                <w:ilvl w:val="0"/>
                <w:numId w:val="101"/>
              </w:numPr>
              <w:ind w:left="357" w:hanging="357"/>
              <w:contextualSpacing/>
              <w:rPr>
                <w:color w:val="000000" w:themeColor="text1"/>
                <w:sz w:val="20"/>
                <w:szCs w:val="20"/>
                <w:lang w:val="es-ES_tradnl"/>
              </w:rPr>
            </w:pPr>
            <w:r w:rsidRPr="00B27B5A">
              <w:rPr>
                <w:color w:val="000000" w:themeColor="text1"/>
                <w:sz w:val="20"/>
                <w:szCs w:val="20"/>
                <w:lang w:val="es-ES_tradnl"/>
              </w:rPr>
              <w:t xml:space="preserve">Normas </w:t>
            </w:r>
            <w:proofErr w:type="spellStart"/>
            <w:r w:rsidRPr="00B27B5A">
              <w:rPr>
                <w:color w:val="000000" w:themeColor="text1"/>
                <w:sz w:val="20"/>
                <w:szCs w:val="20"/>
                <w:lang w:val="es-ES_tradnl"/>
              </w:rPr>
              <w:t>ISSAIs</w:t>
            </w:r>
            <w:proofErr w:type="spellEnd"/>
            <w:r w:rsidRPr="00B27B5A">
              <w:rPr>
                <w:color w:val="000000" w:themeColor="text1"/>
                <w:sz w:val="20"/>
                <w:szCs w:val="20"/>
                <w:lang w:val="es-ES_tradnl"/>
              </w:rPr>
              <w:t>.</w:t>
            </w:r>
          </w:p>
          <w:p w:rsidR="00233205" w:rsidRPr="00B27B5A" w:rsidRDefault="00233205" w:rsidP="00233205">
            <w:pPr>
              <w:pStyle w:val="NoSpacing"/>
              <w:widowControl w:val="0"/>
              <w:numPr>
                <w:ilvl w:val="0"/>
                <w:numId w:val="101"/>
              </w:numPr>
              <w:ind w:left="357" w:hanging="357"/>
              <w:contextualSpacing/>
              <w:rPr>
                <w:sz w:val="20"/>
                <w:szCs w:val="20"/>
                <w:lang w:val="es-ES_tradnl"/>
              </w:rPr>
            </w:pPr>
            <w:r w:rsidRPr="00B27B5A">
              <w:rPr>
                <w:sz w:val="20"/>
                <w:szCs w:val="20"/>
                <w:lang w:val="es-ES_tradnl"/>
              </w:rPr>
              <w:t>Normas SIRECI: Resolución Orgánica 6289 de 2011; Resolución Orgánica 6445 de 2012; Resolución Orgánica 7350 del 2013.</w:t>
            </w:r>
          </w:p>
          <w:p w:rsidR="00233205" w:rsidRPr="00B27B5A" w:rsidRDefault="00233205" w:rsidP="00233205">
            <w:pPr>
              <w:pStyle w:val="NoSpacing"/>
              <w:numPr>
                <w:ilvl w:val="0"/>
                <w:numId w:val="101"/>
              </w:numPr>
              <w:ind w:left="357" w:hanging="357"/>
              <w:contextualSpacing/>
              <w:rPr>
                <w:rFonts w:cs="Arial"/>
                <w:sz w:val="20"/>
                <w:szCs w:val="20"/>
                <w:lang w:val="es-ES_tradnl"/>
              </w:rPr>
            </w:pPr>
            <w:r w:rsidRPr="00B27B5A">
              <w:rPr>
                <w:rFonts w:cs="Arial"/>
                <w:sz w:val="20"/>
                <w:szCs w:val="20"/>
                <w:lang w:val="es-ES_tradnl"/>
              </w:rPr>
              <w:t xml:space="preserve">Notas de Prensa: </w:t>
            </w:r>
            <w:r w:rsidRPr="00B27B5A">
              <w:rPr>
                <w:sz w:val="20"/>
                <w:szCs w:val="20"/>
                <w:lang w:val="es-ES_tradnl"/>
              </w:rPr>
              <w:t xml:space="preserve"> </w:t>
            </w:r>
            <w:hyperlink r:id="rId23">
              <w:r w:rsidRPr="00B27B5A">
                <w:rPr>
                  <w:rStyle w:val="Hyperlink"/>
                  <w:rFonts w:cs="Arial"/>
                  <w:sz w:val="20"/>
                  <w:szCs w:val="20"/>
                  <w:lang w:val="es-ES_tradnl"/>
                </w:rPr>
                <w:t>http://www.contraloriagen.gov.co/web/guest/sala-de-prensa</w:t>
              </w:r>
            </w:hyperlink>
          </w:p>
          <w:p w:rsidR="00233205" w:rsidRPr="00B27B5A" w:rsidRDefault="00233205" w:rsidP="00233205">
            <w:pPr>
              <w:pStyle w:val="NoSpacing"/>
              <w:widowControl w:val="0"/>
              <w:numPr>
                <w:ilvl w:val="0"/>
                <w:numId w:val="101"/>
              </w:numPr>
              <w:contextualSpacing/>
              <w:rPr>
                <w:rStyle w:val="Hyperlink"/>
                <w:rFonts w:cs="Arial"/>
                <w:sz w:val="20"/>
                <w:szCs w:val="20"/>
                <w:lang w:val="pt-BR"/>
              </w:rPr>
            </w:pPr>
            <w:proofErr w:type="spellStart"/>
            <w:r w:rsidRPr="00B27B5A">
              <w:rPr>
                <w:rFonts w:cs="Arial"/>
                <w:sz w:val="20"/>
                <w:szCs w:val="20"/>
                <w:lang w:val="pt-BR"/>
              </w:rPr>
              <w:t>Organigrama</w:t>
            </w:r>
            <w:proofErr w:type="spellEnd"/>
            <w:r w:rsidRPr="00B27B5A">
              <w:rPr>
                <w:rFonts w:cs="Arial"/>
                <w:sz w:val="20"/>
                <w:szCs w:val="20"/>
                <w:lang w:val="pt-BR"/>
              </w:rPr>
              <w:t xml:space="preserve"> CGRC: </w:t>
            </w:r>
            <w:hyperlink r:id="rId24" w:history="1">
              <w:r w:rsidRPr="00B27B5A">
                <w:rPr>
                  <w:rStyle w:val="Hyperlink"/>
                  <w:sz w:val="20"/>
                  <w:szCs w:val="20"/>
                  <w:lang w:val="pt-BR"/>
                </w:rPr>
                <w:t>http://www.contraloriagen.gov.co/web/guest/organigrama</w:t>
              </w:r>
            </w:hyperlink>
          </w:p>
          <w:p w:rsidR="00233205" w:rsidRPr="00B27B5A" w:rsidRDefault="00233205" w:rsidP="00233205">
            <w:pPr>
              <w:pStyle w:val="NoSpacing"/>
              <w:widowControl w:val="0"/>
              <w:numPr>
                <w:ilvl w:val="0"/>
                <w:numId w:val="101"/>
              </w:numPr>
              <w:ind w:left="357" w:hanging="357"/>
              <w:contextualSpacing/>
              <w:rPr>
                <w:rFonts w:eastAsiaTheme="minorHAnsi" w:cs="Arial"/>
                <w:color w:val="000000" w:themeColor="text1"/>
                <w:sz w:val="20"/>
                <w:szCs w:val="20"/>
                <w:u w:val="single"/>
                <w:lang w:val="es-ES_tradnl"/>
              </w:rPr>
            </w:pPr>
            <w:r w:rsidRPr="00B27B5A">
              <w:rPr>
                <w:sz w:val="20"/>
                <w:szCs w:val="20"/>
                <w:lang w:val="es-ES_tradnl"/>
              </w:rPr>
              <w:t>Papeles de Trabajo de la Metodología MMD-EFS</w:t>
            </w:r>
            <w:r w:rsidRPr="00B27B5A">
              <w:rPr>
                <w:rFonts w:cs="Arial"/>
                <w:sz w:val="20"/>
                <w:szCs w:val="20"/>
                <w:lang w:val="es-ES_tradnl"/>
              </w:rPr>
              <w:t xml:space="preserve"> </w:t>
            </w:r>
          </w:p>
          <w:p w:rsidR="00233205" w:rsidRPr="00B27B5A" w:rsidRDefault="00233205" w:rsidP="00233205">
            <w:pPr>
              <w:pStyle w:val="NoSpacing"/>
              <w:widowControl w:val="0"/>
              <w:numPr>
                <w:ilvl w:val="0"/>
                <w:numId w:val="101"/>
              </w:numPr>
              <w:ind w:left="357" w:hanging="357"/>
              <w:contextualSpacing/>
              <w:rPr>
                <w:rStyle w:val="Hyperlink"/>
                <w:rFonts w:eastAsiaTheme="minorHAnsi" w:cs="Arial"/>
                <w:color w:val="000000" w:themeColor="text1"/>
                <w:sz w:val="20"/>
                <w:szCs w:val="20"/>
              </w:rPr>
            </w:pPr>
            <w:r w:rsidRPr="00B27B5A">
              <w:rPr>
                <w:rFonts w:cs="Arial"/>
                <w:sz w:val="20"/>
                <w:szCs w:val="20"/>
                <w:lang w:val="es-ES_tradnl"/>
              </w:rPr>
              <w:t xml:space="preserve">Rendición de cuentas al congreso: </w:t>
            </w:r>
            <w:hyperlink r:id="rId25">
              <w:r w:rsidRPr="00B27B5A">
                <w:rPr>
                  <w:rStyle w:val="Hyperlink"/>
                  <w:rFonts w:cs="Arial"/>
                  <w:sz w:val="20"/>
                  <w:szCs w:val="20"/>
                  <w:lang w:val="es-ES_tradnl"/>
                </w:rPr>
                <w:t>http://www.contraloria.gov.co/web/rendicion-de-cuentas/rendicion-de-cuentas-al-congreso</w:t>
              </w:r>
            </w:hyperlink>
            <w:r w:rsidRPr="00B27B5A">
              <w:rPr>
                <w:rStyle w:val="Hyperlink"/>
                <w:rFonts w:cs="Arial"/>
                <w:sz w:val="20"/>
                <w:szCs w:val="20"/>
                <w:lang w:val="es-ES_tradnl"/>
              </w:rPr>
              <w:t>.</w:t>
            </w:r>
            <w:hyperlink r:id="rId26">
              <w:r w:rsidRPr="00B27B5A">
                <w:rPr>
                  <w:rStyle w:val="Hyperlink"/>
                  <w:rFonts w:eastAsiaTheme="minorHAnsi"/>
                  <w:sz w:val="20"/>
                  <w:szCs w:val="20"/>
                </w:rPr>
                <w:t>http://www.contraloria.gov.co/web/rendicion-de-cuentas/rendicion-de-cuentas-al-congreso</w:t>
              </w:r>
            </w:hyperlink>
          </w:p>
          <w:p w:rsidR="00233205" w:rsidRPr="00B27B5A" w:rsidRDefault="00233205" w:rsidP="00233205">
            <w:pPr>
              <w:pStyle w:val="NoSpacing"/>
              <w:widowControl w:val="0"/>
              <w:numPr>
                <w:ilvl w:val="0"/>
                <w:numId w:val="101"/>
              </w:numPr>
              <w:contextualSpacing/>
              <w:rPr>
                <w:rFonts w:cs="Arial"/>
                <w:sz w:val="20"/>
                <w:szCs w:val="20"/>
                <w:lang w:val="es-ES_tradnl"/>
              </w:rPr>
            </w:pPr>
            <w:r w:rsidRPr="00B27B5A">
              <w:rPr>
                <w:rFonts w:cs="Arial"/>
                <w:sz w:val="20"/>
                <w:szCs w:val="20"/>
                <w:lang w:val="es-ES_tradnl"/>
              </w:rPr>
              <w:t>Sistema de Rendición de Cuentas  e Informes (SIRECI) de la CGRC</w:t>
            </w:r>
          </w:p>
          <w:p w:rsidR="00233205" w:rsidRPr="00B27B5A" w:rsidRDefault="00233205" w:rsidP="00233205">
            <w:pPr>
              <w:pStyle w:val="NoSpacing"/>
              <w:widowControl w:val="0"/>
              <w:numPr>
                <w:ilvl w:val="0"/>
                <w:numId w:val="101"/>
              </w:numPr>
              <w:contextualSpacing/>
              <w:rPr>
                <w:color w:val="000000"/>
                <w:sz w:val="20"/>
                <w:szCs w:val="20"/>
                <w:lang w:val="es-ES_tradnl"/>
              </w:rPr>
            </w:pPr>
            <w:r w:rsidRPr="00B27B5A">
              <w:rPr>
                <w:sz w:val="20"/>
                <w:szCs w:val="20"/>
                <w:lang w:val="es-ES_tradnl"/>
              </w:rPr>
              <w:t xml:space="preserve">Sistema Integrado de Control de Auditoria (SICA) </w:t>
            </w:r>
          </w:p>
          <w:p w:rsidR="00233205" w:rsidRPr="00A52A63" w:rsidRDefault="00233205" w:rsidP="00E30BEC">
            <w:pPr>
              <w:pStyle w:val="NoSpacing"/>
              <w:ind w:left="360"/>
              <w:contextualSpacing/>
              <w:rPr>
                <w:color w:val="000000"/>
                <w:sz w:val="20"/>
                <w:szCs w:val="20"/>
                <w:lang w:val="es-ES_tradnl"/>
              </w:rPr>
            </w:pPr>
          </w:p>
        </w:tc>
      </w:tr>
      <w:tr w:rsidR="00233205" w:rsidRPr="00A52A63" w:rsidTr="00E30BEC">
        <w:tc>
          <w:tcPr>
            <w:tcW w:w="1101" w:type="dxa"/>
            <w:vAlign w:val="center"/>
          </w:tcPr>
          <w:p w:rsidR="00233205" w:rsidRPr="00A52A63" w:rsidRDefault="00233205" w:rsidP="00E30BEC">
            <w:pPr>
              <w:pStyle w:val="NoSpacing"/>
              <w:rPr>
                <w:rFonts w:cs="Arial"/>
                <w:b/>
                <w:sz w:val="20"/>
                <w:szCs w:val="20"/>
                <w:lang w:val="es-ES_tradnl"/>
              </w:rPr>
            </w:pPr>
            <w:r w:rsidRPr="00A52A63">
              <w:rPr>
                <w:b/>
                <w:sz w:val="20"/>
                <w:szCs w:val="20"/>
                <w:lang w:val="es-ES_tradnl"/>
              </w:rPr>
              <w:t>EFS-4</w:t>
            </w:r>
          </w:p>
        </w:tc>
        <w:tc>
          <w:tcPr>
            <w:tcW w:w="8646" w:type="dxa"/>
            <w:vAlign w:val="center"/>
          </w:tcPr>
          <w:p w:rsidR="00233205" w:rsidRPr="00A52A63" w:rsidRDefault="00233205" w:rsidP="00E30BEC">
            <w:pPr>
              <w:pStyle w:val="Normaltabletext"/>
              <w:spacing w:after="0"/>
              <w:jc w:val="left"/>
              <w:rPr>
                <w:rFonts w:cs="Arial"/>
                <w:lang w:val="es-ES_tradnl"/>
              </w:rPr>
            </w:pPr>
            <w:r w:rsidRPr="00A52A63">
              <w:rPr>
                <w:rStyle w:val="NoSpacingChar"/>
                <w:lang w:val="es-ES_tradnl"/>
              </w:rPr>
              <w:t>N</w:t>
            </w:r>
            <w:r w:rsidRPr="00A52A63">
              <w:rPr>
                <w:rFonts w:cs="Arial"/>
                <w:lang w:val="es-ES_tradnl"/>
              </w:rPr>
              <w:t>A</w:t>
            </w:r>
          </w:p>
        </w:tc>
      </w:tr>
      <w:tr w:rsidR="00233205" w:rsidRPr="00B27B5A" w:rsidTr="00E30BEC">
        <w:tc>
          <w:tcPr>
            <w:tcW w:w="1101" w:type="dxa"/>
            <w:vAlign w:val="center"/>
          </w:tcPr>
          <w:p w:rsidR="00233205" w:rsidRPr="00A52A63" w:rsidRDefault="00233205" w:rsidP="00E30BEC">
            <w:pPr>
              <w:pStyle w:val="NoSpacing"/>
              <w:rPr>
                <w:rFonts w:cs="Arial"/>
                <w:b/>
                <w:sz w:val="20"/>
                <w:szCs w:val="20"/>
                <w:lang w:val="es-ES_tradnl"/>
              </w:rPr>
            </w:pPr>
            <w:r w:rsidRPr="00A52A63">
              <w:rPr>
                <w:b/>
                <w:sz w:val="20"/>
                <w:szCs w:val="20"/>
                <w:lang w:val="es-ES_tradnl"/>
              </w:rPr>
              <w:t>EFS-5</w:t>
            </w:r>
          </w:p>
        </w:tc>
        <w:tc>
          <w:tcPr>
            <w:tcW w:w="8646" w:type="dxa"/>
            <w:vAlign w:val="center"/>
          </w:tcPr>
          <w:p w:rsidR="00233205" w:rsidRPr="00A52A63" w:rsidRDefault="00233205" w:rsidP="00E30BEC">
            <w:pPr>
              <w:pStyle w:val="NoSpacing"/>
              <w:ind w:left="360"/>
              <w:contextualSpacing/>
              <w:rPr>
                <w:sz w:val="20"/>
                <w:szCs w:val="20"/>
                <w:lang w:val="es-ES_tradnl"/>
              </w:rPr>
            </w:pPr>
          </w:p>
          <w:p w:rsidR="00233205" w:rsidRPr="00B27B5A" w:rsidRDefault="00233205" w:rsidP="00233205">
            <w:pPr>
              <w:pStyle w:val="NoSpacing"/>
              <w:widowControl w:val="0"/>
              <w:numPr>
                <w:ilvl w:val="0"/>
                <w:numId w:val="101"/>
              </w:numPr>
              <w:contextualSpacing/>
              <w:rPr>
                <w:sz w:val="20"/>
                <w:szCs w:val="20"/>
                <w:lang w:val="es-ES_tradnl"/>
              </w:rPr>
            </w:pPr>
            <w:r w:rsidRPr="00B27B5A">
              <w:rPr>
                <w:sz w:val="20"/>
                <w:szCs w:val="20"/>
                <w:lang w:val="es-ES_tradnl"/>
              </w:rPr>
              <w:t xml:space="preserve">Auditorias de la CGRC: </w:t>
            </w:r>
            <w:hyperlink r:id="rId27" w:history="1">
              <w:r w:rsidRPr="00B27B5A">
                <w:rPr>
                  <w:rStyle w:val="Hyperlink"/>
                  <w:sz w:val="20"/>
                  <w:szCs w:val="20"/>
                  <w:lang w:val="es-ES_tradnl"/>
                </w:rPr>
                <w:t>http://www.contraloria.gov.co/web/guest/auditorias</w:t>
              </w:r>
            </w:hyperlink>
            <w:r w:rsidRPr="00B27B5A">
              <w:rPr>
                <w:sz w:val="20"/>
                <w:szCs w:val="20"/>
                <w:lang w:val="es-ES_tradnl"/>
              </w:rPr>
              <w:t xml:space="preserve"> </w:t>
            </w:r>
          </w:p>
          <w:p w:rsidR="00233205" w:rsidRPr="00B27B5A" w:rsidRDefault="00233205" w:rsidP="00233205">
            <w:pPr>
              <w:pStyle w:val="NoSpacing"/>
              <w:widowControl w:val="0"/>
              <w:numPr>
                <w:ilvl w:val="0"/>
                <w:numId w:val="101"/>
              </w:numPr>
              <w:contextualSpacing/>
              <w:rPr>
                <w:rFonts w:cs="Arial"/>
                <w:sz w:val="20"/>
                <w:szCs w:val="20"/>
                <w:lang w:val="es-ES_tradnl"/>
              </w:rPr>
            </w:pPr>
            <w:r w:rsidRPr="00B27B5A">
              <w:rPr>
                <w:rFonts w:cs="Arial"/>
                <w:sz w:val="20"/>
                <w:szCs w:val="20"/>
                <w:lang w:val="es-ES_tradnl"/>
              </w:rPr>
              <w:t>Constitución Política de Colombia</w:t>
            </w:r>
          </w:p>
          <w:p w:rsidR="00233205" w:rsidRPr="00B27B5A" w:rsidRDefault="00233205" w:rsidP="00233205">
            <w:pPr>
              <w:pStyle w:val="NoSpacing"/>
              <w:widowControl w:val="0"/>
              <w:numPr>
                <w:ilvl w:val="0"/>
                <w:numId w:val="101"/>
              </w:numPr>
              <w:ind w:left="357" w:hanging="357"/>
              <w:contextualSpacing/>
              <w:rPr>
                <w:sz w:val="20"/>
                <w:szCs w:val="20"/>
                <w:lang w:val="es-ES_tradnl"/>
              </w:rPr>
            </w:pPr>
            <w:r w:rsidRPr="00B27B5A">
              <w:rPr>
                <w:sz w:val="20"/>
                <w:szCs w:val="20"/>
                <w:lang w:val="es-ES_tradnl"/>
              </w:rPr>
              <w:t>Contraloría General de la República, Informe de Gestión al Congreso de la República, 2010-2014.</w:t>
            </w:r>
          </w:p>
          <w:p w:rsidR="00233205" w:rsidRPr="00B27B5A" w:rsidRDefault="00233205" w:rsidP="00233205">
            <w:pPr>
              <w:pStyle w:val="NoSpacing"/>
              <w:widowControl w:val="0"/>
              <w:numPr>
                <w:ilvl w:val="0"/>
                <w:numId w:val="101"/>
              </w:numPr>
              <w:contextualSpacing/>
              <w:rPr>
                <w:rStyle w:val="Hyperlink"/>
                <w:rFonts w:eastAsiaTheme="minorHAnsi" w:cs="Arial"/>
                <w:sz w:val="20"/>
                <w:szCs w:val="20"/>
                <w:lang w:val="es-ES_tradnl"/>
              </w:rPr>
            </w:pPr>
            <w:r w:rsidRPr="00B27B5A">
              <w:rPr>
                <w:sz w:val="20"/>
                <w:szCs w:val="20"/>
                <w:lang w:val="es-ES_tradnl"/>
              </w:rPr>
              <w:t xml:space="preserve">Contraloría General de la República. </w:t>
            </w:r>
            <w:r w:rsidRPr="00B27B5A">
              <w:rPr>
                <w:rFonts w:cs="Arial"/>
                <w:sz w:val="20"/>
                <w:szCs w:val="20"/>
                <w:lang w:val="es-ES_tradnl"/>
              </w:rPr>
              <w:t xml:space="preserve">Estados Financieros 2014 y anteriores: </w:t>
            </w:r>
            <w:hyperlink r:id="rId28">
              <w:r w:rsidRPr="00B27B5A">
                <w:rPr>
                  <w:rStyle w:val="Hyperlink"/>
                  <w:sz w:val="20"/>
                  <w:szCs w:val="20"/>
                  <w:lang w:val="es-ES_tradnl"/>
                </w:rPr>
                <w:t>http://www.contraloriagen.gov.co/web/guest/estados-financieros</w:t>
              </w:r>
            </w:hyperlink>
          </w:p>
          <w:p w:rsidR="00233205" w:rsidRPr="00B27B5A" w:rsidRDefault="00233205" w:rsidP="00233205">
            <w:pPr>
              <w:pStyle w:val="NoSpacing"/>
              <w:widowControl w:val="0"/>
              <w:numPr>
                <w:ilvl w:val="0"/>
                <w:numId w:val="101"/>
              </w:numPr>
              <w:contextualSpacing/>
              <w:rPr>
                <w:rStyle w:val="Hyperlink"/>
                <w:rFonts w:eastAsiaTheme="minorHAnsi" w:cs="Arial"/>
                <w:sz w:val="20"/>
                <w:szCs w:val="20"/>
                <w:lang w:val="es-ES_tradnl"/>
              </w:rPr>
            </w:pPr>
            <w:r w:rsidRPr="00B27B5A">
              <w:rPr>
                <w:sz w:val="20"/>
                <w:szCs w:val="20"/>
                <w:lang w:val="es-ES_tradnl"/>
              </w:rPr>
              <w:t xml:space="preserve">Contraloría General de la República. </w:t>
            </w:r>
            <w:r w:rsidRPr="00B27B5A">
              <w:rPr>
                <w:rFonts w:cs="Arial"/>
                <w:sz w:val="20"/>
                <w:szCs w:val="20"/>
                <w:lang w:val="es-ES_tradnl"/>
              </w:rPr>
              <w:t xml:space="preserve">Informes de Gestión CGRC: </w:t>
            </w:r>
            <w:hyperlink r:id="rId29">
              <w:r w:rsidRPr="00B27B5A">
                <w:rPr>
                  <w:rStyle w:val="Hyperlink"/>
                  <w:sz w:val="20"/>
                  <w:szCs w:val="20"/>
                  <w:lang w:val="es-ES_tradnl"/>
                </w:rPr>
                <w:t>http://www.contraloriagen.gov.co/web/guest/informes-de-gestion</w:t>
              </w:r>
            </w:hyperlink>
          </w:p>
          <w:p w:rsidR="00233205" w:rsidRPr="00B27B5A" w:rsidRDefault="00233205" w:rsidP="00233205">
            <w:pPr>
              <w:pStyle w:val="NoSpacing"/>
              <w:numPr>
                <w:ilvl w:val="0"/>
                <w:numId w:val="101"/>
              </w:numPr>
              <w:contextualSpacing/>
              <w:rPr>
                <w:rStyle w:val="Hyperlink"/>
                <w:rFonts w:cs="Arial"/>
                <w:sz w:val="20"/>
                <w:szCs w:val="20"/>
                <w:lang w:val="es-ES_tradnl"/>
              </w:rPr>
            </w:pPr>
            <w:r w:rsidRPr="00B27B5A">
              <w:rPr>
                <w:sz w:val="20"/>
                <w:szCs w:val="20"/>
                <w:lang w:val="es-ES_tradnl"/>
              </w:rPr>
              <w:t xml:space="preserve">Contraloría General de la República. </w:t>
            </w:r>
            <w:r w:rsidRPr="00B27B5A">
              <w:rPr>
                <w:sz w:val="20"/>
                <w:szCs w:val="20"/>
                <w:lang w:val="es-ES_tradnl" w:eastAsia="es-ES"/>
              </w:rPr>
              <w:t>Participación Ciudadana – Informes de Gestión:</w:t>
            </w:r>
            <w:r w:rsidRPr="00B27B5A">
              <w:rPr>
                <w:rStyle w:val="Hyperlink"/>
                <w:sz w:val="20"/>
                <w:szCs w:val="20"/>
                <w:lang w:val="es-ES_tradnl"/>
              </w:rPr>
              <w:t xml:space="preserve"> </w:t>
            </w:r>
            <w:hyperlink w:history="1">
              <w:r w:rsidRPr="00B27B5A">
                <w:rPr>
                  <w:rStyle w:val="Hyperlink"/>
                  <w:rFonts w:eastAsiaTheme="minorHAnsi"/>
                  <w:sz w:val="20"/>
                  <w:szCs w:val="20"/>
                  <w:lang w:val="es-ES_tradnl"/>
                </w:rPr>
                <w:t>Anexo B - Fuentes de Informacion.docx</w:t>
              </w:r>
            </w:hyperlink>
            <w:hyperlink r:id="rId30" w:history="1">
              <w:r w:rsidRPr="00B27B5A">
                <w:rPr>
                  <w:rStyle w:val="Hyperlink"/>
                  <w:sz w:val="20"/>
                  <w:szCs w:val="20"/>
                  <w:lang w:val="es-ES_tradnl"/>
                </w:rPr>
                <w:t>http://www.contraloriagen.gov.co/web/guest/participacion-ciudadana-balance-de-gestion</w:t>
              </w:r>
            </w:hyperlink>
          </w:p>
          <w:p w:rsidR="00233205" w:rsidRPr="00B27B5A" w:rsidRDefault="00233205" w:rsidP="00233205">
            <w:pPr>
              <w:pStyle w:val="NoSpacing"/>
              <w:widowControl w:val="0"/>
              <w:numPr>
                <w:ilvl w:val="0"/>
                <w:numId w:val="101"/>
              </w:numPr>
              <w:contextualSpacing/>
              <w:rPr>
                <w:rFonts w:cs="Arial"/>
                <w:sz w:val="20"/>
                <w:szCs w:val="20"/>
                <w:lang w:val="es-ES_tradnl"/>
              </w:rPr>
            </w:pPr>
            <w:r w:rsidRPr="00B27B5A">
              <w:rPr>
                <w:sz w:val="20"/>
                <w:szCs w:val="20"/>
                <w:lang w:val="es-ES_tradnl"/>
              </w:rPr>
              <w:t xml:space="preserve">Contraloría General de la República. Plan de Vigilancia y Control Fiscal: </w:t>
            </w:r>
            <w:hyperlink r:id="rId31" w:history="1">
              <w:r w:rsidRPr="00B27B5A">
                <w:rPr>
                  <w:rStyle w:val="Hyperlink"/>
                  <w:sz w:val="20"/>
                  <w:szCs w:val="20"/>
                  <w:lang w:val="es-ES_tradnl"/>
                </w:rPr>
                <w:t>http://www.contraloriagen.gov.co/web/guest/plan-general-de-auditoria-pga</w:t>
              </w:r>
            </w:hyperlink>
          </w:p>
          <w:p w:rsidR="00233205" w:rsidRPr="00B27B5A" w:rsidRDefault="00233205" w:rsidP="00233205">
            <w:pPr>
              <w:pStyle w:val="NoSpacing"/>
              <w:widowControl w:val="0"/>
              <w:numPr>
                <w:ilvl w:val="0"/>
                <w:numId w:val="101"/>
              </w:numPr>
              <w:contextualSpacing/>
              <w:rPr>
                <w:rStyle w:val="Hyperlink"/>
                <w:rFonts w:cs="Arial"/>
                <w:sz w:val="20"/>
                <w:szCs w:val="20"/>
                <w:lang w:val="es-ES_tradnl"/>
              </w:rPr>
            </w:pPr>
            <w:r w:rsidRPr="00B27B5A">
              <w:rPr>
                <w:sz w:val="20"/>
                <w:szCs w:val="20"/>
                <w:lang w:val="es-ES_tradnl"/>
              </w:rPr>
              <w:t xml:space="preserve">Contraloría General de la República. </w:t>
            </w:r>
            <w:r w:rsidRPr="00B27B5A">
              <w:rPr>
                <w:sz w:val="20"/>
                <w:szCs w:val="20"/>
                <w:lang w:val="es-ES_tradnl" w:eastAsia="es-ES"/>
              </w:rPr>
              <w:t xml:space="preserve">Rendición de Cuentas al Congreso: </w:t>
            </w:r>
            <w:r w:rsidRPr="00B27B5A">
              <w:rPr>
                <w:rStyle w:val="Hyperlink"/>
                <w:sz w:val="20"/>
                <w:szCs w:val="20"/>
                <w:lang w:val="es-ES_tradnl"/>
              </w:rPr>
              <w:t xml:space="preserve"> </w:t>
            </w:r>
            <w:hyperlink r:id="rId32" w:history="1">
              <w:r w:rsidRPr="00B27B5A">
                <w:rPr>
                  <w:rStyle w:val="Hyperlink"/>
                  <w:sz w:val="20"/>
                  <w:szCs w:val="20"/>
                  <w:lang w:val="es-ES_tradnl"/>
                </w:rPr>
                <w:t>http://www.contraloria.gov.co/web/rendicion-de-cuentas/rendicion-de-cuentas-al-congreso</w:t>
              </w:r>
            </w:hyperlink>
            <w:hyperlink r:id="rId33">
              <w:r w:rsidRPr="00B27B5A">
                <w:rPr>
                  <w:rStyle w:val="Hyperlink"/>
                  <w:rFonts w:eastAsiaTheme="minorHAnsi"/>
                  <w:sz w:val="20"/>
                  <w:szCs w:val="20"/>
                  <w:lang w:val="es-ES_tradnl"/>
                </w:rPr>
                <w:t>http://www.contraloria.gov.co/web/rendicion-de-cuentas/rendicion-de-cuentas-al-congreso</w:t>
              </w:r>
            </w:hyperlink>
          </w:p>
          <w:p w:rsidR="00233205" w:rsidRPr="00B27B5A" w:rsidRDefault="00233205" w:rsidP="00233205">
            <w:pPr>
              <w:pStyle w:val="NoSpacing"/>
              <w:widowControl w:val="0"/>
              <w:numPr>
                <w:ilvl w:val="0"/>
                <w:numId w:val="101"/>
              </w:numPr>
              <w:contextualSpacing/>
              <w:rPr>
                <w:sz w:val="20"/>
                <w:szCs w:val="20"/>
                <w:lang w:val="pt-BR" w:eastAsia="es-ES"/>
              </w:rPr>
            </w:pPr>
            <w:r w:rsidRPr="00B27B5A">
              <w:rPr>
                <w:sz w:val="20"/>
                <w:szCs w:val="20"/>
                <w:lang w:val="es-ES_tradnl"/>
              </w:rPr>
              <w:t xml:space="preserve">Contraloría General de la República. </w:t>
            </w:r>
            <w:r w:rsidRPr="00B27B5A">
              <w:rPr>
                <w:sz w:val="20"/>
                <w:szCs w:val="20"/>
                <w:lang w:val="pt-BR" w:eastAsia="es-ES"/>
              </w:rPr>
              <w:t xml:space="preserve">Sala de Prensa: </w:t>
            </w:r>
            <w:hyperlink r:id="rId34">
              <w:r w:rsidRPr="00B27B5A">
                <w:rPr>
                  <w:rStyle w:val="Hyperlink"/>
                  <w:sz w:val="20"/>
                  <w:szCs w:val="20"/>
                  <w:lang w:val="pt-BR"/>
                </w:rPr>
                <w:t>http://www.contraloriagen.gov.co/web/guest/sala-de-prensa</w:t>
              </w:r>
            </w:hyperlink>
          </w:p>
          <w:p w:rsidR="00233205" w:rsidRPr="00B27B5A" w:rsidRDefault="00233205" w:rsidP="00233205">
            <w:pPr>
              <w:pStyle w:val="NoSpacing"/>
              <w:numPr>
                <w:ilvl w:val="0"/>
                <w:numId w:val="101"/>
              </w:numPr>
              <w:ind w:left="357" w:hanging="357"/>
              <w:contextualSpacing/>
              <w:rPr>
                <w:rFonts w:cs="Arial"/>
                <w:sz w:val="20"/>
                <w:szCs w:val="20"/>
                <w:lang w:val="es-ES_tradnl"/>
              </w:rPr>
            </w:pPr>
            <w:r w:rsidRPr="00B27B5A">
              <w:rPr>
                <w:sz w:val="20"/>
                <w:szCs w:val="20"/>
                <w:lang w:val="es-ES_tradnl"/>
              </w:rPr>
              <w:t xml:space="preserve">Contraloría General de la República. </w:t>
            </w:r>
            <w:r w:rsidRPr="00B27B5A">
              <w:rPr>
                <w:sz w:val="20"/>
                <w:szCs w:val="20"/>
                <w:lang w:val="es-ES_tradnl" w:eastAsia="es-ES"/>
              </w:rPr>
              <w:t xml:space="preserve">Situación de la Deuda Pública Colombiana 2013: </w:t>
            </w:r>
            <w:hyperlink r:id="rId35" w:history="1">
              <w:r w:rsidRPr="00B27B5A">
                <w:rPr>
                  <w:rStyle w:val="Hyperlink"/>
                  <w:sz w:val="20"/>
                  <w:szCs w:val="20"/>
                  <w:lang w:val="es-ES_tradnl"/>
                </w:rPr>
                <w:t>http://www.contraloriagen.gov.co/documents/10136/186962495/Informe+de+la+Situaci%C3%B3n+de+la+Deuda+P%C3%BAblica+Colombiana+2013.pdf/34533c19-bc8f-46d1-b18a-da1f66b7790a</w:t>
              </w:r>
            </w:hyperlink>
          </w:p>
          <w:p w:rsidR="00233205" w:rsidRPr="00B27B5A" w:rsidRDefault="00233205" w:rsidP="00233205">
            <w:pPr>
              <w:pStyle w:val="NoSpacing"/>
              <w:widowControl w:val="0"/>
              <w:numPr>
                <w:ilvl w:val="0"/>
                <w:numId w:val="101"/>
              </w:numPr>
              <w:contextualSpacing/>
              <w:rPr>
                <w:rFonts w:cs="Arial"/>
                <w:sz w:val="20"/>
                <w:szCs w:val="20"/>
                <w:lang w:val="es-ES_tradnl"/>
              </w:rPr>
            </w:pPr>
            <w:r w:rsidRPr="00B27B5A">
              <w:rPr>
                <w:rFonts w:cs="Arial"/>
                <w:sz w:val="20"/>
                <w:szCs w:val="20"/>
                <w:lang w:val="es-ES_tradnl"/>
              </w:rPr>
              <w:t>Decreto 267 de 2000</w:t>
            </w:r>
          </w:p>
          <w:p w:rsidR="00233205" w:rsidRPr="00B27B5A" w:rsidRDefault="00233205" w:rsidP="00233205">
            <w:pPr>
              <w:pStyle w:val="NoSpacing"/>
              <w:widowControl w:val="0"/>
              <w:numPr>
                <w:ilvl w:val="0"/>
                <w:numId w:val="101"/>
              </w:numPr>
              <w:contextualSpacing/>
              <w:rPr>
                <w:rFonts w:cs="Arial"/>
                <w:sz w:val="20"/>
                <w:szCs w:val="20"/>
                <w:lang w:val="es-ES_tradnl"/>
              </w:rPr>
            </w:pPr>
            <w:r w:rsidRPr="00B27B5A">
              <w:rPr>
                <w:rFonts w:cs="Arial"/>
                <w:sz w:val="20"/>
                <w:szCs w:val="20"/>
                <w:lang w:val="es-ES_tradnl"/>
              </w:rPr>
              <w:t>Decreto Ley 272 de 2000</w:t>
            </w:r>
          </w:p>
          <w:p w:rsidR="00233205" w:rsidRPr="00B27B5A" w:rsidRDefault="00233205" w:rsidP="00233205">
            <w:pPr>
              <w:pStyle w:val="NoSpacing"/>
              <w:widowControl w:val="0"/>
              <w:numPr>
                <w:ilvl w:val="0"/>
                <w:numId w:val="101"/>
              </w:numPr>
              <w:ind w:left="357" w:hanging="357"/>
              <w:contextualSpacing/>
              <w:rPr>
                <w:rFonts w:cs="Arial"/>
                <w:sz w:val="20"/>
                <w:szCs w:val="20"/>
                <w:lang w:val="es-ES_tradnl"/>
              </w:rPr>
            </w:pPr>
            <w:r w:rsidRPr="00B27B5A">
              <w:rPr>
                <w:rFonts w:cstheme="majorHAnsi"/>
                <w:bCs/>
                <w:sz w:val="20"/>
                <w:szCs w:val="20"/>
                <w:lang w:val="es-ES_tradnl"/>
              </w:rPr>
              <w:t xml:space="preserve">Entrevistas con Contralores Delegados, </w:t>
            </w:r>
            <w:r w:rsidRPr="00B27B5A">
              <w:rPr>
                <w:rFonts w:cs="Arial"/>
                <w:sz w:val="20"/>
                <w:szCs w:val="20"/>
                <w:lang w:val="es-ES_tradnl"/>
              </w:rPr>
              <w:t>18 de febrero de 2015.</w:t>
            </w:r>
          </w:p>
          <w:p w:rsidR="00233205" w:rsidRPr="00B27B5A" w:rsidRDefault="00233205" w:rsidP="00233205">
            <w:pPr>
              <w:pStyle w:val="NoSpacing"/>
              <w:numPr>
                <w:ilvl w:val="0"/>
                <w:numId w:val="101"/>
              </w:numPr>
              <w:ind w:left="357" w:hanging="357"/>
              <w:contextualSpacing/>
              <w:rPr>
                <w:rFonts w:cs="Arial"/>
                <w:sz w:val="20"/>
                <w:szCs w:val="20"/>
                <w:lang w:val="es-ES_tradnl"/>
              </w:rPr>
            </w:pPr>
            <w:r w:rsidRPr="00B27B5A">
              <w:rPr>
                <w:rFonts w:cstheme="majorHAnsi"/>
                <w:bCs/>
                <w:sz w:val="20"/>
                <w:szCs w:val="20"/>
                <w:lang w:val="es-ES_tradnl"/>
              </w:rPr>
              <w:t xml:space="preserve">Entrevistas con funcionarios de la Oficina de Planeación, </w:t>
            </w:r>
            <w:r w:rsidRPr="00B27B5A">
              <w:rPr>
                <w:rFonts w:cs="Arial"/>
                <w:sz w:val="20"/>
                <w:szCs w:val="20"/>
                <w:lang w:val="es-ES_tradnl"/>
              </w:rPr>
              <w:t>18 de febrero de 2015.</w:t>
            </w:r>
          </w:p>
          <w:p w:rsidR="00233205" w:rsidRPr="00B27B5A" w:rsidRDefault="00233205" w:rsidP="00233205">
            <w:pPr>
              <w:pStyle w:val="NoSpacing"/>
              <w:widowControl w:val="0"/>
              <w:numPr>
                <w:ilvl w:val="0"/>
                <w:numId w:val="101"/>
              </w:numPr>
              <w:contextualSpacing/>
              <w:rPr>
                <w:rFonts w:cs="Arial"/>
                <w:sz w:val="20"/>
                <w:szCs w:val="20"/>
                <w:lang w:val="es-ES_tradnl"/>
              </w:rPr>
            </w:pPr>
            <w:r w:rsidRPr="00B27B5A">
              <w:rPr>
                <w:rFonts w:cs="Arial"/>
                <w:sz w:val="20"/>
                <w:szCs w:val="20"/>
                <w:lang w:val="es-ES_tradnl"/>
              </w:rPr>
              <w:t>Informe de Auditoría Especial al Proceso Contable de la CGRC vigencia 2013. Colombia, Noviembre de 2014</w:t>
            </w:r>
          </w:p>
          <w:p w:rsidR="00233205" w:rsidRPr="00B27B5A" w:rsidRDefault="00233205" w:rsidP="00233205">
            <w:pPr>
              <w:pStyle w:val="NoSpacing"/>
              <w:widowControl w:val="0"/>
              <w:numPr>
                <w:ilvl w:val="0"/>
                <w:numId w:val="101"/>
              </w:numPr>
              <w:contextualSpacing/>
              <w:rPr>
                <w:sz w:val="20"/>
                <w:szCs w:val="20"/>
                <w:lang w:val="es-ES_tradnl" w:eastAsia="es-ES"/>
              </w:rPr>
            </w:pPr>
            <w:r w:rsidRPr="00B27B5A">
              <w:rPr>
                <w:sz w:val="20"/>
                <w:szCs w:val="20"/>
                <w:lang w:val="es-ES_tradnl" w:eastAsia="es-ES"/>
              </w:rPr>
              <w:t xml:space="preserve">Página web de la AGR: </w:t>
            </w:r>
            <w:hyperlink r:id="rId36" w:history="1">
              <w:r w:rsidRPr="00B27B5A">
                <w:rPr>
                  <w:rStyle w:val="Hyperlink"/>
                  <w:sz w:val="20"/>
                  <w:szCs w:val="20"/>
                  <w:lang w:val="es-ES_tradnl" w:eastAsia="es-ES"/>
                </w:rPr>
                <w:t>http://www.auditoria.gov.co</w:t>
              </w:r>
            </w:hyperlink>
            <w:r w:rsidRPr="00B27B5A">
              <w:rPr>
                <w:sz w:val="20"/>
                <w:szCs w:val="20"/>
                <w:lang w:val="es-ES_tradnl" w:eastAsia="es-ES"/>
              </w:rPr>
              <w:t xml:space="preserve"> </w:t>
            </w:r>
          </w:p>
          <w:p w:rsidR="00233205" w:rsidRPr="00B27B5A" w:rsidRDefault="00233205" w:rsidP="00233205">
            <w:pPr>
              <w:pStyle w:val="NoSpacing"/>
              <w:numPr>
                <w:ilvl w:val="0"/>
                <w:numId w:val="101"/>
              </w:numPr>
              <w:ind w:left="357" w:hanging="357"/>
              <w:contextualSpacing/>
              <w:rPr>
                <w:rFonts w:cs="Arial"/>
                <w:sz w:val="20"/>
                <w:szCs w:val="20"/>
                <w:lang w:val="es-ES_tradnl"/>
              </w:rPr>
            </w:pPr>
            <w:r w:rsidRPr="00B27B5A">
              <w:rPr>
                <w:sz w:val="20"/>
                <w:szCs w:val="20"/>
                <w:lang w:val="es-ES_tradnl"/>
              </w:rPr>
              <w:t>Papeles de Trabajo de la Metodología MMD-EFS</w:t>
            </w:r>
            <w:r w:rsidRPr="00B27B5A">
              <w:rPr>
                <w:sz w:val="20"/>
                <w:szCs w:val="20"/>
                <w:lang w:val="es-ES_tradnl" w:eastAsia="es-ES"/>
              </w:rPr>
              <w:t xml:space="preserve"> </w:t>
            </w:r>
          </w:p>
          <w:p w:rsidR="00233205" w:rsidRPr="00A52A63" w:rsidRDefault="00233205" w:rsidP="00E30BEC">
            <w:pPr>
              <w:pStyle w:val="NoSpacing"/>
              <w:ind w:left="357"/>
              <w:contextualSpacing/>
              <w:rPr>
                <w:rFonts w:cs="Arial"/>
                <w:sz w:val="20"/>
                <w:szCs w:val="20"/>
                <w:lang w:val="es-ES_tradnl"/>
              </w:rPr>
            </w:pPr>
          </w:p>
        </w:tc>
      </w:tr>
      <w:tr w:rsidR="00233205" w:rsidRPr="00B27B5A" w:rsidTr="00E30BEC">
        <w:tc>
          <w:tcPr>
            <w:tcW w:w="1101" w:type="dxa"/>
            <w:shd w:val="clear" w:color="auto" w:fill="D9D9D9" w:themeFill="background1" w:themeFillShade="D9"/>
            <w:vAlign w:val="center"/>
          </w:tcPr>
          <w:p w:rsidR="00233205" w:rsidRPr="00A52A63" w:rsidRDefault="00233205" w:rsidP="00E30BEC">
            <w:pPr>
              <w:pStyle w:val="NoSpacing"/>
              <w:rPr>
                <w:rFonts w:cs="Arial"/>
                <w:b/>
                <w:sz w:val="20"/>
                <w:szCs w:val="20"/>
                <w:lang w:val="es-ES_tradnl"/>
              </w:rPr>
            </w:pPr>
            <w:r w:rsidRPr="00A52A63">
              <w:rPr>
                <w:b/>
                <w:sz w:val="20"/>
                <w:szCs w:val="20"/>
                <w:lang w:val="es-ES_tradnl"/>
              </w:rPr>
              <w:lastRenderedPageBreak/>
              <w:t>Dominio B</w:t>
            </w:r>
          </w:p>
        </w:tc>
        <w:tc>
          <w:tcPr>
            <w:tcW w:w="8646" w:type="dxa"/>
            <w:shd w:val="clear" w:color="auto" w:fill="D9D9D9" w:themeFill="background1" w:themeFillShade="D9"/>
            <w:vAlign w:val="center"/>
          </w:tcPr>
          <w:p w:rsidR="00233205" w:rsidRPr="00A52A63" w:rsidRDefault="00233205" w:rsidP="00E30BEC">
            <w:pPr>
              <w:pStyle w:val="NoSpacing"/>
              <w:contextualSpacing/>
              <w:rPr>
                <w:rFonts w:cs="Arial"/>
                <w:b/>
                <w:sz w:val="20"/>
                <w:szCs w:val="20"/>
                <w:lang w:val="es-ES_tradnl"/>
              </w:rPr>
            </w:pPr>
            <w:r w:rsidRPr="00A52A63">
              <w:rPr>
                <w:rFonts w:cs="Calibri"/>
                <w:b/>
                <w:bCs/>
                <w:sz w:val="20"/>
                <w:szCs w:val="20"/>
                <w:lang w:val="es-ES_tradnl"/>
              </w:rPr>
              <w:t>Independencia y Marco Legal de la EFS</w:t>
            </w:r>
          </w:p>
        </w:tc>
      </w:tr>
      <w:tr w:rsidR="00233205" w:rsidRPr="00B27B5A" w:rsidTr="00E30BEC">
        <w:tc>
          <w:tcPr>
            <w:tcW w:w="1101" w:type="dxa"/>
            <w:vAlign w:val="center"/>
          </w:tcPr>
          <w:p w:rsidR="00233205" w:rsidRPr="00A52A63" w:rsidRDefault="00233205" w:rsidP="00E30BEC">
            <w:pPr>
              <w:pStyle w:val="NoSpacing"/>
              <w:rPr>
                <w:rFonts w:cs="Arial"/>
                <w:b/>
                <w:sz w:val="20"/>
                <w:szCs w:val="20"/>
                <w:lang w:val="es-ES_tradnl"/>
              </w:rPr>
            </w:pPr>
            <w:r w:rsidRPr="00A52A63">
              <w:rPr>
                <w:b/>
                <w:sz w:val="20"/>
                <w:szCs w:val="20"/>
                <w:lang w:val="es-ES_tradnl"/>
              </w:rPr>
              <w:t>EFS-6</w:t>
            </w:r>
          </w:p>
        </w:tc>
        <w:tc>
          <w:tcPr>
            <w:tcW w:w="8646" w:type="dxa"/>
            <w:vAlign w:val="center"/>
          </w:tcPr>
          <w:p w:rsidR="00233205" w:rsidRPr="00A52A63" w:rsidRDefault="00233205" w:rsidP="00E30BEC">
            <w:pPr>
              <w:pStyle w:val="NoSpacing"/>
              <w:ind w:left="360"/>
              <w:contextualSpacing/>
              <w:rPr>
                <w:rFonts w:cs="Arial"/>
                <w:sz w:val="20"/>
                <w:szCs w:val="20"/>
                <w:lang w:val="es-ES_tradnl"/>
              </w:rPr>
            </w:pPr>
          </w:p>
          <w:p w:rsidR="00233205" w:rsidRPr="00B27B5A" w:rsidRDefault="00233205" w:rsidP="00233205">
            <w:pPr>
              <w:pStyle w:val="NoSpacing"/>
              <w:widowControl w:val="0"/>
              <w:numPr>
                <w:ilvl w:val="0"/>
                <w:numId w:val="101"/>
              </w:numPr>
              <w:contextualSpacing/>
              <w:rPr>
                <w:rFonts w:cs="Arial"/>
                <w:sz w:val="20"/>
                <w:szCs w:val="20"/>
                <w:lang w:val="es-ES_tradnl"/>
              </w:rPr>
            </w:pPr>
            <w:r w:rsidRPr="00B27B5A">
              <w:rPr>
                <w:rFonts w:cs="Arial"/>
                <w:sz w:val="20"/>
                <w:szCs w:val="20"/>
                <w:lang w:val="es-ES_tradnl"/>
              </w:rPr>
              <w:t xml:space="preserve">Constitución Política de Colombia </w:t>
            </w:r>
          </w:p>
          <w:p w:rsidR="00233205" w:rsidRPr="00B27B5A" w:rsidRDefault="00233205" w:rsidP="00233205">
            <w:pPr>
              <w:pStyle w:val="NoSpacing"/>
              <w:widowControl w:val="0"/>
              <w:numPr>
                <w:ilvl w:val="0"/>
                <w:numId w:val="101"/>
              </w:numPr>
              <w:contextualSpacing/>
              <w:rPr>
                <w:rFonts w:cs="Arial"/>
                <w:sz w:val="20"/>
                <w:szCs w:val="20"/>
                <w:lang w:val="es-ES_tradnl"/>
              </w:rPr>
            </w:pPr>
            <w:r w:rsidRPr="00B27B5A">
              <w:rPr>
                <w:rFonts w:cs="Arial"/>
                <w:sz w:val="20"/>
                <w:szCs w:val="20"/>
                <w:lang w:val="es-ES_tradnl"/>
              </w:rPr>
              <w:t>Decreto 2145 de 1999</w:t>
            </w:r>
          </w:p>
          <w:p w:rsidR="00233205" w:rsidRPr="00B27B5A" w:rsidRDefault="00233205" w:rsidP="00233205">
            <w:pPr>
              <w:pStyle w:val="NoSpacing"/>
              <w:widowControl w:val="0"/>
              <w:numPr>
                <w:ilvl w:val="0"/>
                <w:numId w:val="101"/>
              </w:numPr>
              <w:contextualSpacing/>
              <w:rPr>
                <w:rFonts w:cs="Arial"/>
                <w:sz w:val="20"/>
                <w:szCs w:val="20"/>
                <w:lang w:val="es-ES_tradnl"/>
              </w:rPr>
            </w:pPr>
            <w:r w:rsidRPr="00B27B5A">
              <w:rPr>
                <w:rFonts w:cs="Arial"/>
                <w:sz w:val="20"/>
                <w:szCs w:val="20"/>
                <w:lang w:val="es-ES_tradnl"/>
              </w:rPr>
              <w:t>Decreto 267 de 2000</w:t>
            </w:r>
          </w:p>
          <w:p w:rsidR="00233205" w:rsidRPr="00B27B5A" w:rsidRDefault="00233205" w:rsidP="00233205">
            <w:pPr>
              <w:pStyle w:val="NoSpacing"/>
              <w:widowControl w:val="0"/>
              <w:numPr>
                <w:ilvl w:val="0"/>
                <w:numId w:val="101"/>
              </w:numPr>
              <w:contextualSpacing/>
              <w:rPr>
                <w:rFonts w:cs="Arial"/>
                <w:sz w:val="20"/>
                <w:szCs w:val="20"/>
                <w:lang w:val="es-ES_tradnl"/>
              </w:rPr>
            </w:pPr>
            <w:r w:rsidRPr="00B27B5A">
              <w:rPr>
                <w:rFonts w:cs="Arial"/>
                <w:sz w:val="20"/>
                <w:szCs w:val="20"/>
                <w:lang w:val="es-ES_tradnl"/>
              </w:rPr>
              <w:t>Decreto 271 de 2000</w:t>
            </w:r>
          </w:p>
          <w:p w:rsidR="00233205" w:rsidRPr="00B27B5A" w:rsidRDefault="00233205" w:rsidP="00233205">
            <w:pPr>
              <w:pStyle w:val="NoSpacing"/>
              <w:widowControl w:val="0"/>
              <w:numPr>
                <w:ilvl w:val="0"/>
                <w:numId w:val="101"/>
              </w:numPr>
              <w:ind w:left="357" w:hanging="357"/>
              <w:contextualSpacing/>
              <w:rPr>
                <w:rFonts w:cs="Arial"/>
                <w:sz w:val="20"/>
                <w:szCs w:val="20"/>
                <w:lang w:val="es-ES_tradnl"/>
              </w:rPr>
            </w:pPr>
            <w:r w:rsidRPr="00B27B5A">
              <w:rPr>
                <w:rFonts w:cstheme="majorHAnsi"/>
                <w:bCs/>
                <w:sz w:val="20"/>
                <w:szCs w:val="20"/>
                <w:lang w:val="es-ES_tradnl"/>
              </w:rPr>
              <w:t xml:space="preserve">Entrevistas con Contralores Delegados, </w:t>
            </w:r>
            <w:r w:rsidRPr="00B27B5A">
              <w:rPr>
                <w:rFonts w:cs="Arial"/>
                <w:sz w:val="20"/>
                <w:szCs w:val="20"/>
                <w:lang w:val="es-ES_tradnl"/>
              </w:rPr>
              <w:t>17 de febrero de 2015.</w:t>
            </w:r>
          </w:p>
          <w:p w:rsidR="00233205" w:rsidRPr="00B27B5A" w:rsidRDefault="00233205" w:rsidP="00233205">
            <w:pPr>
              <w:pStyle w:val="NoSpacing"/>
              <w:numPr>
                <w:ilvl w:val="0"/>
                <w:numId w:val="101"/>
              </w:numPr>
              <w:ind w:left="357" w:hanging="357"/>
              <w:contextualSpacing/>
              <w:rPr>
                <w:rFonts w:cs="Arial"/>
                <w:sz w:val="20"/>
                <w:szCs w:val="20"/>
                <w:lang w:val="es-ES_tradnl"/>
              </w:rPr>
            </w:pPr>
            <w:r w:rsidRPr="00B27B5A">
              <w:rPr>
                <w:rFonts w:cstheme="majorHAnsi"/>
                <w:bCs/>
                <w:sz w:val="20"/>
                <w:szCs w:val="20"/>
                <w:lang w:val="es-ES_tradnl"/>
              </w:rPr>
              <w:t xml:space="preserve">Entrevistas con funcionarios de la Oficina de Planeación, </w:t>
            </w:r>
            <w:r w:rsidRPr="00B27B5A">
              <w:rPr>
                <w:rFonts w:cs="Arial"/>
                <w:sz w:val="20"/>
                <w:szCs w:val="20"/>
                <w:lang w:val="es-ES_tradnl"/>
              </w:rPr>
              <w:t>17 de febrero de 2015.</w:t>
            </w:r>
          </w:p>
          <w:p w:rsidR="00233205" w:rsidRPr="00B27B5A" w:rsidRDefault="00233205" w:rsidP="00233205">
            <w:pPr>
              <w:pStyle w:val="NoSpacing"/>
              <w:widowControl w:val="0"/>
              <w:numPr>
                <w:ilvl w:val="0"/>
                <w:numId w:val="101"/>
              </w:numPr>
              <w:contextualSpacing/>
              <w:rPr>
                <w:rFonts w:cs="Arial"/>
                <w:sz w:val="20"/>
                <w:szCs w:val="20"/>
                <w:lang w:val="es-ES_tradnl"/>
              </w:rPr>
            </w:pPr>
            <w:r w:rsidRPr="00B27B5A">
              <w:rPr>
                <w:rFonts w:cs="Arial"/>
                <w:sz w:val="20"/>
                <w:szCs w:val="20"/>
                <w:lang w:val="es-ES_tradnl"/>
              </w:rPr>
              <w:t xml:space="preserve">Estructura del Estado Colombiano: </w:t>
            </w:r>
            <w:hyperlink r:id="rId37" w:history="1">
              <w:r w:rsidRPr="00B27B5A">
                <w:rPr>
                  <w:rStyle w:val="Hyperlink"/>
                  <w:sz w:val="20"/>
                  <w:szCs w:val="20"/>
                  <w:lang w:val="es-ES_tradnl"/>
                </w:rPr>
                <w:t>http://www.contraloriagen.gov.co/web/guest/estructura-del-estado</w:t>
              </w:r>
            </w:hyperlink>
            <w:r w:rsidRPr="00B27B5A">
              <w:rPr>
                <w:rFonts w:cs="Arial"/>
                <w:sz w:val="20"/>
                <w:szCs w:val="20"/>
                <w:lang w:val="es-ES_tradnl"/>
              </w:rPr>
              <w:t xml:space="preserve"> </w:t>
            </w:r>
          </w:p>
          <w:p w:rsidR="00233205" w:rsidRPr="00B27B5A" w:rsidRDefault="00233205" w:rsidP="00233205">
            <w:pPr>
              <w:pStyle w:val="NoSpacing"/>
              <w:widowControl w:val="0"/>
              <w:numPr>
                <w:ilvl w:val="0"/>
                <w:numId w:val="101"/>
              </w:numPr>
              <w:contextualSpacing/>
              <w:rPr>
                <w:rFonts w:cs="Arial"/>
                <w:sz w:val="20"/>
                <w:szCs w:val="20"/>
                <w:lang w:val="es-ES_tradnl"/>
              </w:rPr>
            </w:pPr>
            <w:r w:rsidRPr="00B27B5A">
              <w:rPr>
                <w:rFonts w:cs="Arial"/>
                <w:sz w:val="20"/>
                <w:szCs w:val="20"/>
                <w:lang w:val="es-ES_tradnl"/>
              </w:rPr>
              <w:t>Fallos de la corte suprema de justicia sobre autonomía e independencia de la CGRC</w:t>
            </w:r>
          </w:p>
          <w:p w:rsidR="00233205" w:rsidRPr="00B27B5A" w:rsidRDefault="00233205" w:rsidP="00233205">
            <w:pPr>
              <w:pStyle w:val="NoSpacing"/>
              <w:widowControl w:val="0"/>
              <w:numPr>
                <w:ilvl w:val="0"/>
                <w:numId w:val="101"/>
              </w:numPr>
              <w:contextualSpacing/>
              <w:rPr>
                <w:rFonts w:cs="Arial"/>
                <w:sz w:val="20"/>
                <w:szCs w:val="20"/>
                <w:lang w:val="es-ES_tradnl"/>
              </w:rPr>
            </w:pPr>
            <w:r w:rsidRPr="00B27B5A">
              <w:rPr>
                <w:rFonts w:cs="Arial"/>
                <w:sz w:val="20"/>
                <w:szCs w:val="20"/>
                <w:lang w:val="es-ES_tradnl"/>
              </w:rPr>
              <w:t>Ley 106 de 1993</w:t>
            </w:r>
          </w:p>
          <w:p w:rsidR="00233205" w:rsidRPr="00B27B5A" w:rsidRDefault="00233205" w:rsidP="00233205">
            <w:pPr>
              <w:pStyle w:val="NoSpacing"/>
              <w:widowControl w:val="0"/>
              <w:numPr>
                <w:ilvl w:val="0"/>
                <w:numId w:val="101"/>
              </w:numPr>
              <w:contextualSpacing/>
              <w:rPr>
                <w:rFonts w:cs="Arial"/>
                <w:sz w:val="20"/>
                <w:szCs w:val="20"/>
                <w:lang w:val="es-ES_tradnl"/>
              </w:rPr>
            </w:pPr>
            <w:r w:rsidRPr="00B27B5A">
              <w:rPr>
                <w:rFonts w:cs="Arial"/>
                <w:sz w:val="20"/>
                <w:szCs w:val="20"/>
                <w:lang w:val="es-ES_tradnl"/>
              </w:rPr>
              <w:t>Ley 1474 de 2011</w:t>
            </w:r>
          </w:p>
          <w:p w:rsidR="00233205" w:rsidRPr="00B27B5A" w:rsidRDefault="00233205" w:rsidP="00233205">
            <w:pPr>
              <w:pStyle w:val="NoSpacing"/>
              <w:widowControl w:val="0"/>
              <w:numPr>
                <w:ilvl w:val="0"/>
                <w:numId w:val="101"/>
              </w:numPr>
              <w:contextualSpacing/>
              <w:rPr>
                <w:rFonts w:cs="Arial"/>
                <w:sz w:val="20"/>
                <w:szCs w:val="20"/>
                <w:lang w:val="es-ES_tradnl"/>
              </w:rPr>
            </w:pPr>
            <w:r w:rsidRPr="00B27B5A">
              <w:rPr>
                <w:rFonts w:cs="Arial"/>
                <w:sz w:val="20"/>
                <w:szCs w:val="20"/>
                <w:lang w:val="es-ES_tradnl"/>
              </w:rPr>
              <w:t>Ley 42 de 1993</w:t>
            </w:r>
          </w:p>
          <w:p w:rsidR="00233205" w:rsidRPr="00B27B5A" w:rsidRDefault="00233205" w:rsidP="00233205">
            <w:pPr>
              <w:pStyle w:val="NoSpacing"/>
              <w:widowControl w:val="0"/>
              <w:numPr>
                <w:ilvl w:val="0"/>
                <w:numId w:val="101"/>
              </w:numPr>
              <w:contextualSpacing/>
              <w:rPr>
                <w:rFonts w:cs="Arial"/>
                <w:sz w:val="20"/>
                <w:szCs w:val="20"/>
                <w:lang w:val="es-ES_tradnl"/>
              </w:rPr>
            </w:pPr>
            <w:r w:rsidRPr="00B27B5A">
              <w:rPr>
                <w:rFonts w:cs="Arial"/>
                <w:sz w:val="20"/>
                <w:szCs w:val="20"/>
                <w:lang w:val="es-ES_tradnl"/>
              </w:rPr>
              <w:t>Ley 80 de 1993</w:t>
            </w:r>
          </w:p>
          <w:p w:rsidR="00233205" w:rsidRPr="00B27B5A" w:rsidRDefault="00233205" w:rsidP="00233205">
            <w:pPr>
              <w:pStyle w:val="NoSpacing"/>
              <w:widowControl w:val="0"/>
              <w:numPr>
                <w:ilvl w:val="0"/>
                <w:numId w:val="101"/>
              </w:numPr>
              <w:contextualSpacing/>
              <w:rPr>
                <w:rFonts w:cs="Arial"/>
                <w:sz w:val="20"/>
                <w:szCs w:val="20"/>
                <w:lang w:val="es-ES_tradnl"/>
              </w:rPr>
            </w:pPr>
            <w:r w:rsidRPr="00B27B5A">
              <w:rPr>
                <w:rFonts w:cs="Arial"/>
                <w:sz w:val="20"/>
                <w:szCs w:val="20"/>
                <w:lang w:val="es-ES_tradnl"/>
              </w:rPr>
              <w:t xml:space="preserve">Notas de prensa de medios impresos de Colombia: </w:t>
            </w:r>
            <w:hyperlink r:id="rId38" w:history="1">
              <w:r w:rsidRPr="00B27B5A">
                <w:rPr>
                  <w:rStyle w:val="Hyperlink"/>
                  <w:rFonts w:cs="Arial"/>
                  <w:sz w:val="20"/>
                  <w:szCs w:val="20"/>
                  <w:lang w:val="es-ES_tradnl"/>
                </w:rPr>
                <w:t>http://noticiasunolaredindependiente.com/2014/08/13/noticias/fiscalia-imputara-cargos-a-sandra-morelli/</w:t>
              </w:r>
            </w:hyperlink>
            <w:r w:rsidRPr="00B27B5A">
              <w:rPr>
                <w:rFonts w:cs="Arial"/>
                <w:sz w:val="20"/>
                <w:szCs w:val="20"/>
                <w:lang w:val="es-ES_tradnl"/>
              </w:rPr>
              <w:t xml:space="preserve"> </w:t>
            </w:r>
          </w:p>
          <w:p w:rsidR="00233205" w:rsidRPr="00B27B5A" w:rsidRDefault="00233205" w:rsidP="00233205">
            <w:pPr>
              <w:pStyle w:val="NoSpacing"/>
              <w:widowControl w:val="0"/>
              <w:numPr>
                <w:ilvl w:val="0"/>
                <w:numId w:val="101"/>
              </w:numPr>
              <w:contextualSpacing/>
              <w:rPr>
                <w:rStyle w:val="Hyperlink"/>
                <w:rFonts w:cs="Arial"/>
                <w:sz w:val="20"/>
                <w:szCs w:val="20"/>
                <w:lang w:val="pt-BR"/>
              </w:rPr>
            </w:pPr>
            <w:proofErr w:type="spellStart"/>
            <w:r w:rsidRPr="00B27B5A">
              <w:rPr>
                <w:rFonts w:cs="Arial"/>
                <w:sz w:val="20"/>
                <w:szCs w:val="20"/>
                <w:lang w:val="pt-BR"/>
              </w:rPr>
              <w:t>Organigrama</w:t>
            </w:r>
            <w:proofErr w:type="spellEnd"/>
            <w:r w:rsidRPr="00B27B5A">
              <w:rPr>
                <w:rFonts w:cs="Arial"/>
                <w:sz w:val="20"/>
                <w:szCs w:val="20"/>
                <w:lang w:val="pt-BR"/>
              </w:rPr>
              <w:t xml:space="preserve"> CGRC: </w:t>
            </w:r>
            <w:hyperlink r:id="rId39" w:history="1">
              <w:r w:rsidRPr="00B27B5A">
                <w:rPr>
                  <w:rStyle w:val="Hyperlink"/>
                  <w:sz w:val="20"/>
                  <w:szCs w:val="20"/>
                  <w:lang w:val="pt-BR"/>
                </w:rPr>
                <w:t>http://www.contraloriagen.gov.co/web/guest/organigrama</w:t>
              </w:r>
            </w:hyperlink>
          </w:p>
          <w:p w:rsidR="00233205" w:rsidRPr="00B27B5A" w:rsidRDefault="00233205" w:rsidP="00233205">
            <w:pPr>
              <w:pStyle w:val="NoSpacing"/>
              <w:numPr>
                <w:ilvl w:val="0"/>
                <w:numId w:val="101"/>
              </w:numPr>
              <w:ind w:left="357" w:hanging="357"/>
              <w:contextualSpacing/>
              <w:rPr>
                <w:rFonts w:cs="Arial"/>
                <w:sz w:val="20"/>
                <w:szCs w:val="20"/>
                <w:lang w:val="es-ES_tradnl"/>
              </w:rPr>
            </w:pPr>
            <w:r w:rsidRPr="00B27B5A">
              <w:rPr>
                <w:rFonts w:cs="Arial"/>
                <w:sz w:val="20"/>
                <w:szCs w:val="20"/>
                <w:lang w:val="es-ES_tradnl"/>
              </w:rPr>
              <w:t xml:space="preserve">Página web de la CGRC: </w:t>
            </w:r>
            <w:hyperlink r:id="rId40" w:history="1">
              <w:r w:rsidRPr="00B27B5A">
                <w:rPr>
                  <w:rStyle w:val="Hyperlink"/>
                  <w:rFonts w:cs="Arial"/>
                  <w:sz w:val="20"/>
                  <w:szCs w:val="20"/>
                  <w:lang w:val="es-ES_tradnl"/>
                </w:rPr>
                <w:t>http://www.contraloriagen.gov.co/</w:t>
              </w:r>
            </w:hyperlink>
            <w:r w:rsidRPr="00B27B5A">
              <w:rPr>
                <w:rFonts w:cs="Arial"/>
                <w:sz w:val="20"/>
                <w:szCs w:val="20"/>
                <w:lang w:val="es-ES_tradnl"/>
              </w:rPr>
              <w:t xml:space="preserve"> </w:t>
            </w:r>
          </w:p>
          <w:p w:rsidR="00233205" w:rsidRPr="00B27B5A" w:rsidRDefault="00233205" w:rsidP="00233205">
            <w:pPr>
              <w:pStyle w:val="NoSpacing"/>
              <w:numPr>
                <w:ilvl w:val="0"/>
                <w:numId w:val="101"/>
              </w:numPr>
              <w:ind w:left="357" w:hanging="357"/>
              <w:contextualSpacing/>
              <w:rPr>
                <w:rFonts w:cs="Arial"/>
                <w:sz w:val="20"/>
                <w:szCs w:val="20"/>
                <w:lang w:val="es-ES_tradnl"/>
              </w:rPr>
            </w:pPr>
            <w:r w:rsidRPr="00B27B5A">
              <w:rPr>
                <w:sz w:val="20"/>
                <w:szCs w:val="20"/>
                <w:lang w:val="es-ES_tradnl"/>
              </w:rPr>
              <w:t>Papeles de Trabajo de la Metodología MMD-EFS</w:t>
            </w:r>
          </w:p>
          <w:p w:rsidR="00233205" w:rsidRPr="00A52A63" w:rsidRDefault="00233205" w:rsidP="00E30BEC">
            <w:pPr>
              <w:pStyle w:val="NoSpacing"/>
              <w:ind w:left="357"/>
              <w:contextualSpacing/>
              <w:rPr>
                <w:rFonts w:cs="Arial"/>
                <w:sz w:val="20"/>
                <w:szCs w:val="20"/>
                <w:lang w:val="es-ES_tradnl"/>
              </w:rPr>
            </w:pPr>
          </w:p>
        </w:tc>
      </w:tr>
      <w:tr w:rsidR="00233205" w:rsidRPr="00B27B5A" w:rsidTr="00E30BEC">
        <w:tc>
          <w:tcPr>
            <w:tcW w:w="1101" w:type="dxa"/>
            <w:vAlign w:val="center"/>
          </w:tcPr>
          <w:p w:rsidR="00233205" w:rsidRPr="00A52A63" w:rsidRDefault="00233205" w:rsidP="00E30BEC">
            <w:pPr>
              <w:pStyle w:val="NoSpacing"/>
              <w:rPr>
                <w:rFonts w:cs="Arial"/>
                <w:b/>
                <w:sz w:val="20"/>
                <w:szCs w:val="20"/>
                <w:lang w:val="es-ES_tradnl"/>
              </w:rPr>
            </w:pPr>
            <w:r w:rsidRPr="00A52A63">
              <w:rPr>
                <w:b/>
                <w:sz w:val="20"/>
                <w:szCs w:val="20"/>
                <w:lang w:val="es-ES_tradnl"/>
              </w:rPr>
              <w:t>EFS-7</w:t>
            </w:r>
          </w:p>
        </w:tc>
        <w:tc>
          <w:tcPr>
            <w:tcW w:w="8646" w:type="dxa"/>
            <w:vAlign w:val="center"/>
          </w:tcPr>
          <w:p w:rsidR="00233205" w:rsidRPr="00A52A63" w:rsidRDefault="00233205" w:rsidP="00E30BEC">
            <w:pPr>
              <w:pStyle w:val="NoSpacing"/>
              <w:ind w:left="360"/>
              <w:contextualSpacing/>
              <w:rPr>
                <w:rFonts w:cs="Arial"/>
                <w:sz w:val="20"/>
                <w:szCs w:val="20"/>
                <w:lang w:val="es-ES_tradnl"/>
              </w:rPr>
            </w:pPr>
          </w:p>
          <w:p w:rsidR="00233205" w:rsidRPr="00B27B5A" w:rsidRDefault="00233205" w:rsidP="00233205">
            <w:pPr>
              <w:pStyle w:val="NoSpacing"/>
              <w:widowControl w:val="0"/>
              <w:numPr>
                <w:ilvl w:val="0"/>
                <w:numId w:val="101"/>
              </w:numPr>
              <w:contextualSpacing/>
              <w:rPr>
                <w:rFonts w:cs="Arial"/>
                <w:sz w:val="20"/>
                <w:szCs w:val="20"/>
                <w:lang w:val="es-ES_tradnl"/>
              </w:rPr>
            </w:pPr>
            <w:r w:rsidRPr="00B27B5A">
              <w:rPr>
                <w:rFonts w:cs="Arial"/>
                <w:sz w:val="20"/>
                <w:szCs w:val="20"/>
                <w:lang w:val="es-ES_tradnl"/>
              </w:rPr>
              <w:t xml:space="preserve">Constitución Política de Colombia </w:t>
            </w:r>
          </w:p>
          <w:p w:rsidR="00233205" w:rsidRPr="00B27B5A" w:rsidRDefault="00233205" w:rsidP="00233205">
            <w:pPr>
              <w:pStyle w:val="NoSpacing"/>
              <w:widowControl w:val="0"/>
              <w:numPr>
                <w:ilvl w:val="0"/>
                <w:numId w:val="101"/>
              </w:numPr>
              <w:contextualSpacing/>
              <w:rPr>
                <w:sz w:val="20"/>
                <w:szCs w:val="20"/>
                <w:lang w:val="es-ES_tradnl"/>
              </w:rPr>
            </w:pPr>
            <w:r w:rsidRPr="00B27B5A">
              <w:rPr>
                <w:sz w:val="20"/>
                <w:szCs w:val="20"/>
                <w:lang w:val="es-ES_tradnl"/>
              </w:rPr>
              <w:t>Contraloría General de la República, Guía de Auditoria Ajustada al Contexto SICA 2013.</w:t>
            </w:r>
          </w:p>
          <w:p w:rsidR="00233205" w:rsidRPr="00B27B5A" w:rsidRDefault="00233205" w:rsidP="00233205">
            <w:pPr>
              <w:pStyle w:val="NoSpacing"/>
              <w:widowControl w:val="0"/>
              <w:numPr>
                <w:ilvl w:val="0"/>
                <w:numId w:val="101"/>
              </w:numPr>
              <w:contextualSpacing/>
              <w:rPr>
                <w:rFonts w:cs="Arial"/>
                <w:sz w:val="20"/>
                <w:szCs w:val="20"/>
                <w:lang w:val="es-ES_tradnl"/>
              </w:rPr>
            </w:pPr>
            <w:r w:rsidRPr="00B27B5A">
              <w:rPr>
                <w:rFonts w:cs="Arial"/>
                <w:sz w:val="20"/>
                <w:szCs w:val="20"/>
                <w:lang w:val="es-ES_tradnl"/>
              </w:rPr>
              <w:t>Decreto 267 de 2000</w:t>
            </w:r>
          </w:p>
          <w:p w:rsidR="00233205" w:rsidRPr="00B27B5A" w:rsidRDefault="00233205" w:rsidP="00233205">
            <w:pPr>
              <w:pStyle w:val="NoSpacing"/>
              <w:widowControl w:val="0"/>
              <w:numPr>
                <w:ilvl w:val="0"/>
                <w:numId w:val="101"/>
              </w:numPr>
              <w:contextualSpacing/>
              <w:rPr>
                <w:rFonts w:cs="Arial"/>
                <w:sz w:val="20"/>
                <w:szCs w:val="20"/>
                <w:lang w:val="es-ES_tradnl"/>
              </w:rPr>
            </w:pPr>
            <w:r w:rsidRPr="00B27B5A">
              <w:rPr>
                <w:rFonts w:cstheme="majorHAnsi"/>
                <w:bCs/>
                <w:sz w:val="20"/>
                <w:szCs w:val="20"/>
                <w:lang w:val="es-ES_tradnl"/>
              </w:rPr>
              <w:t xml:space="preserve">Entrevistas con Contralores Delegados, </w:t>
            </w:r>
            <w:r w:rsidRPr="00B27B5A">
              <w:rPr>
                <w:rFonts w:cs="Arial"/>
                <w:sz w:val="20"/>
                <w:szCs w:val="20"/>
                <w:lang w:val="es-ES_tradnl"/>
              </w:rPr>
              <w:t>17 de febrero de 2015.</w:t>
            </w:r>
          </w:p>
          <w:p w:rsidR="00233205" w:rsidRPr="00B27B5A" w:rsidRDefault="00233205" w:rsidP="00233205">
            <w:pPr>
              <w:pStyle w:val="NoSpacing"/>
              <w:numPr>
                <w:ilvl w:val="0"/>
                <w:numId w:val="101"/>
              </w:numPr>
              <w:contextualSpacing/>
              <w:rPr>
                <w:rFonts w:cs="Arial"/>
                <w:sz w:val="20"/>
                <w:szCs w:val="20"/>
                <w:lang w:val="es-ES_tradnl"/>
              </w:rPr>
            </w:pPr>
            <w:r w:rsidRPr="00B27B5A">
              <w:rPr>
                <w:rFonts w:cstheme="majorHAnsi"/>
                <w:bCs/>
                <w:sz w:val="20"/>
                <w:szCs w:val="20"/>
                <w:lang w:val="es-ES_tradnl"/>
              </w:rPr>
              <w:t xml:space="preserve">Entrevistas con funcionarios de la Oficina de Planeación, </w:t>
            </w:r>
            <w:r w:rsidRPr="00B27B5A">
              <w:rPr>
                <w:rFonts w:cs="Arial"/>
                <w:sz w:val="20"/>
                <w:szCs w:val="20"/>
                <w:lang w:val="es-ES_tradnl"/>
              </w:rPr>
              <w:t>17 de febrero de 2015.</w:t>
            </w:r>
          </w:p>
          <w:p w:rsidR="00233205" w:rsidRPr="00B27B5A" w:rsidRDefault="00233205" w:rsidP="00233205">
            <w:pPr>
              <w:pStyle w:val="ListParagraph"/>
              <w:numPr>
                <w:ilvl w:val="0"/>
                <w:numId w:val="101"/>
              </w:numPr>
              <w:rPr>
                <w:rFonts w:cs="Arial"/>
                <w:sz w:val="20"/>
                <w:szCs w:val="20"/>
              </w:rPr>
            </w:pPr>
            <w:r w:rsidRPr="00B27B5A">
              <w:rPr>
                <w:sz w:val="20"/>
                <w:szCs w:val="20"/>
              </w:rPr>
              <w:t>Informe de Evaluación Integral de los Sistemas de Gestión Financiera Pública, GUS-Colombia, Diciembre 2012,  Evaluación de escritorio</w:t>
            </w:r>
          </w:p>
          <w:p w:rsidR="00233205" w:rsidRPr="00B27B5A" w:rsidRDefault="00233205" w:rsidP="00233205">
            <w:pPr>
              <w:pStyle w:val="ListParagraph"/>
              <w:numPr>
                <w:ilvl w:val="0"/>
                <w:numId w:val="101"/>
              </w:numPr>
              <w:rPr>
                <w:rFonts w:cs="Arial"/>
                <w:sz w:val="20"/>
                <w:szCs w:val="20"/>
              </w:rPr>
            </w:pPr>
            <w:r w:rsidRPr="00B27B5A">
              <w:rPr>
                <w:rFonts w:cs="Arial"/>
                <w:sz w:val="20"/>
                <w:szCs w:val="20"/>
              </w:rPr>
              <w:t>Informe de Gestión al Congreso de la Republica 2010-2014</w:t>
            </w:r>
          </w:p>
          <w:p w:rsidR="00233205" w:rsidRPr="00B27B5A" w:rsidRDefault="00233205" w:rsidP="00233205">
            <w:pPr>
              <w:pStyle w:val="ListParagraph"/>
              <w:numPr>
                <w:ilvl w:val="0"/>
                <w:numId w:val="101"/>
              </w:numPr>
              <w:rPr>
                <w:rFonts w:cs="Arial"/>
                <w:sz w:val="20"/>
                <w:szCs w:val="20"/>
              </w:rPr>
            </w:pPr>
            <w:r w:rsidRPr="00B27B5A">
              <w:rPr>
                <w:rFonts w:cs="Arial"/>
                <w:sz w:val="20"/>
                <w:szCs w:val="20"/>
              </w:rPr>
              <w:t>Ley 1474 del 2011</w:t>
            </w:r>
          </w:p>
          <w:p w:rsidR="00233205" w:rsidRPr="00B27B5A" w:rsidRDefault="00233205" w:rsidP="00233205">
            <w:pPr>
              <w:pStyle w:val="ListParagraph"/>
              <w:numPr>
                <w:ilvl w:val="0"/>
                <w:numId w:val="101"/>
              </w:numPr>
              <w:rPr>
                <w:rFonts w:cs="Arial"/>
                <w:sz w:val="20"/>
                <w:szCs w:val="20"/>
              </w:rPr>
            </w:pPr>
            <w:r w:rsidRPr="00B27B5A">
              <w:rPr>
                <w:rFonts w:cs="Arial"/>
                <w:sz w:val="20"/>
                <w:szCs w:val="20"/>
              </w:rPr>
              <w:t>Ley 42 del 1993</w:t>
            </w:r>
          </w:p>
          <w:p w:rsidR="00233205" w:rsidRPr="00B27B5A" w:rsidRDefault="00233205" w:rsidP="00233205">
            <w:pPr>
              <w:pStyle w:val="ListParagraph"/>
              <w:numPr>
                <w:ilvl w:val="0"/>
                <w:numId w:val="101"/>
              </w:numPr>
              <w:rPr>
                <w:rFonts w:cs="Arial"/>
                <w:sz w:val="20"/>
                <w:szCs w:val="20"/>
              </w:rPr>
            </w:pPr>
            <w:r w:rsidRPr="00B27B5A">
              <w:rPr>
                <w:rFonts w:cs="Arial"/>
                <w:sz w:val="20"/>
                <w:szCs w:val="20"/>
              </w:rPr>
              <w:t xml:space="preserve">Notas de prensa de medios impresos de Colombia: </w:t>
            </w:r>
            <w:hyperlink r:id="rId41" w:history="1">
              <w:r w:rsidRPr="00B27B5A">
                <w:rPr>
                  <w:rStyle w:val="Hyperlink"/>
                  <w:rFonts w:cs="Arial"/>
                  <w:sz w:val="20"/>
                  <w:szCs w:val="20"/>
                </w:rPr>
                <w:t>http://noticiasunolaredindependiente.com/2014/08/13/noticias/fiscalia-imputara-cargos-a-sandra-morelli/</w:t>
              </w:r>
            </w:hyperlink>
            <w:r w:rsidRPr="00B27B5A">
              <w:rPr>
                <w:rFonts w:cs="Arial"/>
                <w:sz w:val="20"/>
                <w:szCs w:val="20"/>
              </w:rPr>
              <w:t xml:space="preserve"> </w:t>
            </w:r>
          </w:p>
          <w:p w:rsidR="00233205" w:rsidRPr="00B27B5A" w:rsidRDefault="00233205" w:rsidP="00233205">
            <w:pPr>
              <w:pStyle w:val="ListParagraph"/>
              <w:numPr>
                <w:ilvl w:val="0"/>
                <w:numId w:val="101"/>
              </w:numPr>
              <w:rPr>
                <w:rFonts w:cs="Arial"/>
                <w:sz w:val="20"/>
                <w:szCs w:val="20"/>
              </w:rPr>
            </w:pPr>
            <w:r w:rsidRPr="00B27B5A">
              <w:rPr>
                <w:rFonts w:cs="Arial"/>
                <w:sz w:val="20"/>
                <w:szCs w:val="20"/>
              </w:rPr>
              <w:t xml:space="preserve">Página web de la CGRC: </w:t>
            </w:r>
            <w:hyperlink r:id="rId42" w:history="1">
              <w:r w:rsidRPr="00B27B5A">
                <w:rPr>
                  <w:rStyle w:val="Hyperlink"/>
                  <w:rFonts w:cs="Arial"/>
                  <w:sz w:val="20"/>
                  <w:szCs w:val="20"/>
                </w:rPr>
                <w:t>http://www.contraloriagen.gov.co/</w:t>
              </w:r>
            </w:hyperlink>
            <w:r w:rsidRPr="00B27B5A">
              <w:rPr>
                <w:rFonts w:cs="Arial"/>
                <w:sz w:val="20"/>
                <w:szCs w:val="20"/>
              </w:rPr>
              <w:t xml:space="preserve"> </w:t>
            </w:r>
          </w:p>
          <w:p w:rsidR="00233205" w:rsidRPr="00B27B5A" w:rsidRDefault="00233205" w:rsidP="00233205">
            <w:pPr>
              <w:pStyle w:val="ListParagraph"/>
              <w:numPr>
                <w:ilvl w:val="0"/>
                <w:numId w:val="101"/>
              </w:numPr>
              <w:rPr>
                <w:rStyle w:val="Hyperlink"/>
                <w:rFonts w:cs="Arial"/>
                <w:sz w:val="20"/>
                <w:szCs w:val="20"/>
              </w:rPr>
            </w:pPr>
            <w:r w:rsidRPr="00B27B5A">
              <w:rPr>
                <w:rFonts w:cs="Arial"/>
                <w:sz w:val="20"/>
                <w:szCs w:val="20"/>
              </w:rPr>
              <w:t xml:space="preserve">Página web del Congreso Nacional: </w:t>
            </w:r>
            <w:hyperlink r:id="rId43" w:history="1">
              <w:r w:rsidRPr="00B27B5A">
                <w:rPr>
                  <w:rStyle w:val="Hyperlink"/>
                  <w:sz w:val="20"/>
                  <w:szCs w:val="20"/>
                </w:rPr>
                <w:t>http://www.camara.gov.co/</w:t>
              </w:r>
            </w:hyperlink>
          </w:p>
          <w:p w:rsidR="00233205" w:rsidRPr="00B27B5A" w:rsidRDefault="00233205" w:rsidP="00233205">
            <w:pPr>
              <w:pStyle w:val="ListParagraph"/>
              <w:numPr>
                <w:ilvl w:val="0"/>
                <w:numId w:val="101"/>
              </w:numPr>
              <w:rPr>
                <w:rFonts w:cs="Arial"/>
                <w:sz w:val="20"/>
                <w:szCs w:val="20"/>
              </w:rPr>
            </w:pPr>
            <w:r w:rsidRPr="00B27B5A">
              <w:rPr>
                <w:sz w:val="20"/>
                <w:szCs w:val="20"/>
              </w:rPr>
              <w:t>Papeles de Trabajo de la Metodología MMD-EFS</w:t>
            </w:r>
            <w:r w:rsidRPr="00B27B5A">
              <w:rPr>
                <w:rFonts w:cs="Arial"/>
                <w:sz w:val="20"/>
                <w:szCs w:val="20"/>
              </w:rPr>
              <w:t xml:space="preserve"> </w:t>
            </w:r>
          </w:p>
          <w:p w:rsidR="00233205" w:rsidRPr="00B27B5A" w:rsidRDefault="00233205" w:rsidP="00233205">
            <w:pPr>
              <w:pStyle w:val="ListParagraph"/>
              <w:numPr>
                <w:ilvl w:val="0"/>
                <w:numId w:val="101"/>
              </w:numPr>
              <w:rPr>
                <w:rFonts w:cs="Arial"/>
                <w:sz w:val="20"/>
                <w:szCs w:val="20"/>
              </w:rPr>
            </w:pPr>
            <w:r w:rsidRPr="00B27B5A">
              <w:rPr>
                <w:rFonts w:cs="Arial"/>
                <w:sz w:val="20"/>
                <w:szCs w:val="20"/>
              </w:rPr>
              <w:t>Políticas Institucionales y Lineamientos Estratégicos para el Plan de Vigilancia y Control Fiscal – PVCF 2015</w:t>
            </w:r>
          </w:p>
          <w:p w:rsidR="00233205" w:rsidRPr="00B27B5A" w:rsidRDefault="00233205" w:rsidP="00233205">
            <w:pPr>
              <w:pStyle w:val="ListParagraph"/>
              <w:numPr>
                <w:ilvl w:val="0"/>
                <w:numId w:val="101"/>
              </w:numPr>
              <w:rPr>
                <w:rFonts w:cs="Arial"/>
                <w:sz w:val="20"/>
                <w:szCs w:val="20"/>
              </w:rPr>
            </w:pPr>
            <w:r w:rsidRPr="00B27B5A">
              <w:rPr>
                <w:sz w:val="20"/>
                <w:szCs w:val="20"/>
              </w:rPr>
              <w:t>Reporte PEFA – Colombia, Junio 30, 2009</w:t>
            </w:r>
          </w:p>
          <w:p w:rsidR="00233205" w:rsidRPr="00B27B5A" w:rsidRDefault="00233205" w:rsidP="00233205">
            <w:pPr>
              <w:pStyle w:val="ListParagraph"/>
              <w:numPr>
                <w:ilvl w:val="0"/>
                <w:numId w:val="101"/>
              </w:numPr>
              <w:rPr>
                <w:rFonts w:cs="Arial"/>
                <w:sz w:val="20"/>
                <w:szCs w:val="20"/>
              </w:rPr>
            </w:pPr>
            <w:r w:rsidRPr="00B27B5A">
              <w:rPr>
                <w:rFonts w:cs="Arial"/>
                <w:sz w:val="20"/>
                <w:szCs w:val="20"/>
              </w:rPr>
              <w:t>Resolución 7350 del 29 de noviembre del 2013</w:t>
            </w:r>
          </w:p>
          <w:p w:rsidR="00233205" w:rsidRPr="00A52A63" w:rsidRDefault="00233205" w:rsidP="00E30BEC">
            <w:pPr>
              <w:pStyle w:val="ListParagraph"/>
              <w:ind w:left="360"/>
              <w:rPr>
                <w:rFonts w:cs="Arial"/>
                <w:sz w:val="20"/>
                <w:szCs w:val="20"/>
              </w:rPr>
            </w:pPr>
          </w:p>
        </w:tc>
      </w:tr>
      <w:tr w:rsidR="00233205" w:rsidRPr="00B27B5A" w:rsidTr="00E30BEC">
        <w:tc>
          <w:tcPr>
            <w:tcW w:w="1101" w:type="dxa"/>
            <w:shd w:val="clear" w:color="auto" w:fill="D9D9D9" w:themeFill="background1" w:themeFillShade="D9"/>
            <w:vAlign w:val="center"/>
          </w:tcPr>
          <w:p w:rsidR="00233205" w:rsidRPr="00A52A63" w:rsidRDefault="00233205" w:rsidP="00E30BEC">
            <w:pPr>
              <w:pStyle w:val="NoSpacing"/>
              <w:rPr>
                <w:rFonts w:cs="Arial"/>
                <w:b/>
                <w:sz w:val="20"/>
                <w:szCs w:val="20"/>
                <w:lang w:val="es-ES_tradnl"/>
              </w:rPr>
            </w:pPr>
            <w:r w:rsidRPr="00A52A63">
              <w:rPr>
                <w:b/>
                <w:sz w:val="20"/>
                <w:szCs w:val="20"/>
                <w:lang w:val="es-ES_tradnl"/>
              </w:rPr>
              <w:t>Dominio C</w:t>
            </w:r>
          </w:p>
        </w:tc>
        <w:tc>
          <w:tcPr>
            <w:tcW w:w="8646" w:type="dxa"/>
            <w:shd w:val="clear" w:color="auto" w:fill="D9D9D9" w:themeFill="background1" w:themeFillShade="D9"/>
            <w:vAlign w:val="center"/>
          </w:tcPr>
          <w:p w:rsidR="00233205" w:rsidRPr="00A52A63" w:rsidRDefault="00233205" w:rsidP="00E30BEC">
            <w:pPr>
              <w:pStyle w:val="NoSpacing"/>
              <w:contextualSpacing/>
              <w:rPr>
                <w:rFonts w:cs="Arial"/>
                <w:b/>
                <w:sz w:val="20"/>
                <w:szCs w:val="20"/>
                <w:lang w:val="es-ES_tradnl"/>
              </w:rPr>
            </w:pPr>
            <w:r w:rsidRPr="00A52A63">
              <w:rPr>
                <w:rFonts w:cs="Calibri"/>
                <w:b/>
                <w:sz w:val="20"/>
                <w:szCs w:val="20"/>
                <w:lang w:val="es-ES_tradnl"/>
              </w:rPr>
              <w:t>Estrategia para el Desarrollo Organizacional</w:t>
            </w:r>
          </w:p>
        </w:tc>
      </w:tr>
      <w:tr w:rsidR="00233205" w:rsidRPr="00B27B5A" w:rsidTr="00E30BEC">
        <w:tc>
          <w:tcPr>
            <w:tcW w:w="1101" w:type="dxa"/>
            <w:vAlign w:val="center"/>
          </w:tcPr>
          <w:p w:rsidR="00233205" w:rsidRPr="00A52A63" w:rsidRDefault="00233205" w:rsidP="00E30BEC">
            <w:pPr>
              <w:pStyle w:val="NoSpacing"/>
              <w:rPr>
                <w:rFonts w:cs="Arial"/>
                <w:b/>
                <w:sz w:val="20"/>
                <w:szCs w:val="20"/>
                <w:lang w:val="es-ES_tradnl"/>
              </w:rPr>
            </w:pPr>
            <w:r w:rsidRPr="00A52A63">
              <w:rPr>
                <w:b/>
                <w:sz w:val="20"/>
                <w:szCs w:val="20"/>
                <w:lang w:val="es-ES_tradnl"/>
              </w:rPr>
              <w:t>EFS-8</w:t>
            </w:r>
          </w:p>
        </w:tc>
        <w:tc>
          <w:tcPr>
            <w:tcW w:w="8646" w:type="dxa"/>
            <w:vAlign w:val="center"/>
          </w:tcPr>
          <w:p w:rsidR="00233205" w:rsidRPr="00A52A63" w:rsidRDefault="00233205" w:rsidP="00E30BEC">
            <w:pPr>
              <w:pStyle w:val="NoSpacing"/>
              <w:ind w:left="357"/>
              <w:contextualSpacing/>
              <w:rPr>
                <w:sz w:val="20"/>
                <w:szCs w:val="20"/>
                <w:lang w:val="es-ES_tradnl"/>
              </w:rPr>
            </w:pPr>
          </w:p>
          <w:p w:rsidR="00233205" w:rsidRPr="00A52A63" w:rsidRDefault="00233205" w:rsidP="00233205">
            <w:pPr>
              <w:pStyle w:val="NoSpacing"/>
              <w:widowControl w:val="0"/>
              <w:numPr>
                <w:ilvl w:val="0"/>
                <w:numId w:val="101"/>
              </w:numPr>
              <w:ind w:left="357" w:hanging="357"/>
              <w:contextualSpacing/>
              <w:rPr>
                <w:sz w:val="20"/>
                <w:szCs w:val="20"/>
                <w:lang w:val="es-ES_tradnl"/>
              </w:rPr>
            </w:pPr>
            <w:r w:rsidRPr="00A52A63">
              <w:rPr>
                <w:sz w:val="20"/>
                <w:szCs w:val="20"/>
                <w:lang w:val="es-ES_tradnl"/>
              </w:rPr>
              <w:t>Contraloría General de la República, Informe de Gestión al Congreso de la República, 2010-2014.</w:t>
            </w:r>
          </w:p>
          <w:p w:rsidR="00233205" w:rsidRPr="00A52A63" w:rsidRDefault="00233205" w:rsidP="00233205">
            <w:pPr>
              <w:pStyle w:val="NoSpacing"/>
              <w:widowControl w:val="0"/>
              <w:numPr>
                <w:ilvl w:val="0"/>
                <w:numId w:val="101"/>
              </w:numPr>
              <w:contextualSpacing/>
              <w:rPr>
                <w:sz w:val="20"/>
                <w:szCs w:val="20"/>
                <w:lang w:val="es-ES_tradnl"/>
              </w:rPr>
            </w:pPr>
            <w:r w:rsidRPr="00A52A63">
              <w:rPr>
                <w:sz w:val="20"/>
                <w:szCs w:val="20"/>
                <w:lang w:val="es-ES_tradnl"/>
              </w:rPr>
              <w:t>Contraloría General de la República. Diagnóstico de la CGR</w:t>
            </w:r>
            <w:r>
              <w:rPr>
                <w:sz w:val="20"/>
                <w:szCs w:val="20"/>
                <w:lang w:val="es-ES_tradnl"/>
              </w:rPr>
              <w:t>C</w:t>
            </w:r>
            <w:r w:rsidRPr="00A52A63">
              <w:rPr>
                <w:sz w:val="20"/>
                <w:szCs w:val="20"/>
                <w:lang w:val="es-ES_tradnl"/>
              </w:rPr>
              <w:t>.  Documento Técnico de Apoyo, Oficina de Planeación de la CGR</w:t>
            </w:r>
            <w:r>
              <w:rPr>
                <w:sz w:val="20"/>
                <w:szCs w:val="20"/>
                <w:lang w:val="es-ES_tradnl"/>
              </w:rPr>
              <w:t>C</w:t>
            </w:r>
            <w:r w:rsidRPr="00A52A63">
              <w:rPr>
                <w:sz w:val="20"/>
                <w:szCs w:val="20"/>
                <w:lang w:val="es-ES_tradnl"/>
              </w:rPr>
              <w:t>. Noviembre 2014.</w:t>
            </w:r>
          </w:p>
          <w:p w:rsidR="00233205" w:rsidRPr="00A52A63" w:rsidRDefault="00233205" w:rsidP="00233205">
            <w:pPr>
              <w:pStyle w:val="NoSpacing"/>
              <w:widowControl w:val="0"/>
              <w:numPr>
                <w:ilvl w:val="0"/>
                <w:numId w:val="101"/>
              </w:numPr>
              <w:contextualSpacing/>
              <w:rPr>
                <w:sz w:val="20"/>
                <w:szCs w:val="20"/>
                <w:lang w:val="es-ES_tradnl"/>
              </w:rPr>
            </w:pPr>
            <w:r w:rsidRPr="00A52A63">
              <w:rPr>
                <w:sz w:val="20"/>
                <w:szCs w:val="20"/>
                <w:lang w:val="es-ES_tradnl"/>
              </w:rPr>
              <w:t>Contraloría General de la República. Informe de Logros Plan de Acción Macro proceso GTH. 2014.</w:t>
            </w:r>
          </w:p>
          <w:p w:rsidR="00233205" w:rsidRPr="00A52A63" w:rsidRDefault="00233205" w:rsidP="00233205">
            <w:pPr>
              <w:pStyle w:val="NoSpacing"/>
              <w:widowControl w:val="0"/>
              <w:numPr>
                <w:ilvl w:val="0"/>
                <w:numId w:val="101"/>
              </w:numPr>
              <w:contextualSpacing/>
              <w:rPr>
                <w:sz w:val="20"/>
                <w:szCs w:val="20"/>
                <w:lang w:val="es-ES_tradnl"/>
              </w:rPr>
            </w:pPr>
            <w:r w:rsidRPr="00A52A63">
              <w:rPr>
                <w:sz w:val="20"/>
                <w:szCs w:val="20"/>
                <w:lang w:val="es-ES_tradnl"/>
              </w:rPr>
              <w:t>Contraloría General de la República. Informe Final Logro Consolidado por Macro procesos. 2013.</w:t>
            </w:r>
          </w:p>
          <w:p w:rsidR="00233205" w:rsidRPr="00B27B5A" w:rsidRDefault="00233205" w:rsidP="00233205">
            <w:pPr>
              <w:pStyle w:val="NoSpacing"/>
              <w:widowControl w:val="0"/>
              <w:numPr>
                <w:ilvl w:val="0"/>
                <w:numId w:val="101"/>
              </w:numPr>
              <w:contextualSpacing/>
              <w:rPr>
                <w:sz w:val="20"/>
                <w:szCs w:val="20"/>
                <w:lang w:val="es-ES_tradnl"/>
              </w:rPr>
            </w:pPr>
            <w:r w:rsidRPr="00B27B5A">
              <w:rPr>
                <w:sz w:val="20"/>
                <w:szCs w:val="20"/>
                <w:lang w:val="es-ES_tradnl"/>
              </w:rPr>
              <w:lastRenderedPageBreak/>
              <w:t>Contraloría General de la República. Instructivo para Gestionar Riesgos Institucionales – Macro proceso Direccionamiento Estratégico SIGCC</w:t>
            </w:r>
          </w:p>
          <w:p w:rsidR="00233205" w:rsidRPr="00B27B5A" w:rsidRDefault="00233205" w:rsidP="00233205">
            <w:pPr>
              <w:pStyle w:val="NoSpacing"/>
              <w:widowControl w:val="0"/>
              <w:numPr>
                <w:ilvl w:val="0"/>
                <w:numId w:val="101"/>
              </w:numPr>
              <w:contextualSpacing/>
              <w:rPr>
                <w:sz w:val="20"/>
                <w:szCs w:val="20"/>
                <w:lang w:val="es-ES_tradnl"/>
              </w:rPr>
            </w:pPr>
            <w:r w:rsidRPr="00B27B5A">
              <w:rPr>
                <w:sz w:val="20"/>
                <w:szCs w:val="20"/>
                <w:lang w:val="es-ES_tradnl"/>
              </w:rPr>
              <w:t>Contraloría General de la República. Mapa de Riesgos. 2014</w:t>
            </w:r>
          </w:p>
          <w:p w:rsidR="00233205" w:rsidRPr="00B27B5A" w:rsidRDefault="00233205" w:rsidP="00233205">
            <w:pPr>
              <w:pStyle w:val="NoSpacing"/>
              <w:widowControl w:val="0"/>
              <w:numPr>
                <w:ilvl w:val="0"/>
                <w:numId w:val="101"/>
              </w:numPr>
              <w:contextualSpacing/>
              <w:rPr>
                <w:sz w:val="20"/>
                <w:szCs w:val="20"/>
                <w:lang w:val="es-ES_tradnl"/>
              </w:rPr>
            </w:pPr>
            <w:r w:rsidRPr="00B27B5A">
              <w:rPr>
                <w:sz w:val="20"/>
                <w:szCs w:val="20"/>
                <w:lang w:val="es-ES_tradnl"/>
              </w:rPr>
              <w:t>Contraloría General de la República. Matrices de Objetivos Corporativos – Productos – Indicadores 2015</w:t>
            </w:r>
          </w:p>
          <w:p w:rsidR="00233205" w:rsidRPr="00B27B5A" w:rsidRDefault="00233205" w:rsidP="00233205">
            <w:pPr>
              <w:pStyle w:val="NoSpacing"/>
              <w:widowControl w:val="0"/>
              <w:numPr>
                <w:ilvl w:val="0"/>
                <w:numId w:val="101"/>
              </w:numPr>
              <w:contextualSpacing/>
              <w:rPr>
                <w:sz w:val="20"/>
                <w:szCs w:val="20"/>
                <w:lang w:val="es-ES_tradnl"/>
              </w:rPr>
            </w:pPr>
            <w:r w:rsidRPr="00B27B5A">
              <w:rPr>
                <w:sz w:val="20"/>
                <w:szCs w:val="20"/>
                <w:lang w:val="es-ES_tradnl"/>
              </w:rPr>
              <w:t xml:space="preserve">Contraloría General de la República. Memorando de Invitación a las sesiones de preparación de la Planeación Estratégica. </w:t>
            </w:r>
          </w:p>
          <w:p w:rsidR="00233205" w:rsidRPr="00B27B5A" w:rsidRDefault="00233205" w:rsidP="00233205">
            <w:pPr>
              <w:pStyle w:val="NoSpacing"/>
              <w:keepNext/>
              <w:keepLines/>
              <w:widowControl w:val="0"/>
              <w:numPr>
                <w:ilvl w:val="0"/>
                <w:numId w:val="101"/>
              </w:numPr>
              <w:contextualSpacing/>
              <w:outlineLvl w:val="1"/>
              <w:rPr>
                <w:rFonts w:eastAsiaTheme="minorHAnsi"/>
                <w:sz w:val="20"/>
                <w:szCs w:val="20"/>
                <w:lang w:val="es-ES_tradnl"/>
              </w:rPr>
            </w:pPr>
            <w:r w:rsidRPr="00B27B5A">
              <w:rPr>
                <w:sz w:val="20"/>
                <w:szCs w:val="20"/>
                <w:lang w:val="es-ES_tradnl"/>
              </w:rPr>
              <w:t xml:space="preserve">Contraloría General de la República. Plan de Acción Consolidado 2015: </w:t>
            </w:r>
            <w:hyperlink r:id="rId44" w:history="1">
              <w:r w:rsidRPr="00B27B5A">
                <w:rPr>
                  <w:rStyle w:val="Hyperlink"/>
                  <w:sz w:val="20"/>
                  <w:szCs w:val="20"/>
                  <w:lang w:val="es-ES_tradnl"/>
                </w:rPr>
                <w:t>http://www.contraloria.gov.co/web/guest/plan-accion-2015</w:t>
              </w:r>
            </w:hyperlink>
          </w:p>
          <w:p w:rsidR="00233205" w:rsidRPr="00B27B5A" w:rsidRDefault="00233205" w:rsidP="00233205">
            <w:pPr>
              <w:pStyle w:val="NoSpacing"/>
              <w:numPr>
                <w:ilvl w:val="0"/>
                <w:numId w:val="101"/>
              </w:numPr>
              <w:contextualSpacing/>
              <w:rPr>
                <w:rFonts w:eastAsiaTheme="minorHAnsi"/>
                <w:sz w:val="20"/>
                <w:szCs w:val="20"/>
                <w:lang w:val="es-ES_tradnl"/>
              </w:rPr>
            </w:pPr>
            <w:r w:rsidRPr="00B27B5A">
              <w:rPr>
                <w:sz w:val="20"/>
                <w:szCs w:val="20"/>
                <w:lang w:val="es-ES_tradnl"/>
              </w:rPr>
              <w:t>Contraloría General de la República. Plan Estratégico 2010 – 2014, Versión 5.1</w:t>
            </w:r>
          </w:p>
          <w:p w:rsidR="00233205" w:rsidRPr="00B27B5A" w:rsidRDefault="00233205" w:rsidP="00233205">
            <w:pPr>
              <w:pStyle w:val="NoSpacing"/>
              <w:numPr>
                <w:ilvl w:val="0"/>
                <w:numId w:val="101"/>
              </w:numPr>
              <w:contextualSpacing/>
              <w:rPr>
                <w:rFonts w:eastAsiaTheme="minorHAnsi"/>
                <w:sz w:val="20"/>
                <w:szCs w:val="20"/>
                <w:lang w:val="es-ES_tradnl"/>
              </w:rPr>
            </w:pPr>
            <w:r w:rsidRPr="00B27B5A">
              <w:rPr>
                <w:sz w:val="20"/>
                <w:szCs w:val="20"/>
                <w:lang w:val="es-ES_tradnl"/>
              </w:rPr>
              <w:t xml:space="preserve">Contraloría General de la República. Plan Estratégico 2014 – 2018: </w:t>
            </w:r>
            <w:hyperlink r:id="rId45" w:history="1">
              <w:r w:rsidRPr="00B27B5A">
                <w:rPr>
                  <w:rStyle w:val="Hyperlink"/>
                  <w:sz w:val="20"/>
                  <w:szCs w:val="20"/>
                  <w:lang w:val="es-ES_tradnl"/>
                </w:rPr>
                <w:t>http://www.contraloria.gov.co/web/guest/plan-estrategico-2014-2018</w:t>
              </w:r>
            </w:hyperlink>
            <w:r w:rsidRPr="00B27B5A">
              <w:rPr>
                <w:sz w:val="20"/>
                <w:szCs w:val="20"/>
                <w:lang w:val="es-ES_tradnl"/>
              </w:rPr>
              <w:t xml:space="preserve"> </w:t>
            </w:r>
          </w:p>
          <w:p w:rsidR="00233205" w:rsidRPr="00B27B5A" w:rsidRDefault="00233205" w:rsidP="00233205">
            <w:pPr>
              <w:pStyle w:val="NoSpacing"/>
              <w:numPr>
                <w:ilvl w:val="0"/>
                <w:numId w:val="101"/>
              </w:numPr>
              <w:contextualSpacing/>
              <w:rPr>
                <w:rFonts w:eastAsiaTheme="minorHAnsi"/>
                <w:sz w:val="20"/>
                <w:szCs w:val="20"/>
                <w:lang w:val="es-ES_tradnl"/>
              </w:rPr>
            </w:pPr>
            <w:r w:rsidRPr="00B27B5A">
              <w:rPr>
                <w:sz w:val="20"/>
                <w:szCs w:val="20"/>
                <w:lang w:val="es-ES_tradnl"/>
              </w:rPr>
              <w:t>Contraloría General de la República. Procedimiento Plan de Acción – Macro proceso Direccionamiento Estratégico SIGCC</w:t>
            </w:r>
          </w:p>
          <w:p w:rsidR="00233205" w:rsidRPr="00B27B5A" w:rsidRDefault="00233205" w:rsidP="00233205">
            <w:pPr>
              <w:pStyle w:val="NoSpacing"/>
              <w:numPr>
                <w:ilvl w:val="0"/>
                <w:numId w:val="101"/>
              </w:numPr>
              <w:contextualSpacing/>
              <w:rPr>
                <w:rFonts w:eastAsiaTheme="minorHAnsi"/>
                <w:sz w:val="20"/>
                <w:szCs w:val="20"/>
                <w:lang w:val="es-ES_tradnl"/>
              </w:rPr>
            </w:pPr>
            <w:r w:rsidRPr="00B27B5A">
              <w:rPr>
                <w:rFonts w:cstheme="majorHAnsi"/>
                <w:bCs/>
                <w:sz w:val="20"/>
                <w:szCs w:val="20"/>
                <w:lang w:val="es-ES_tradnl"/>
              </w:rPr>
              <w:t xml:space="preserve">Entrevistas con funcionarios de la Oficina de Planeación, </w:t>
            </w:r>
            <w:r w:rsidRPr="00B27B5A">
              <w:rPr>
                <w:rFonts w:cs="Arial"/>
                <w:sz w:val="20"/>
                <w:szCs w:val="20"/>
                <w:lang w:val="es-ES_tradnl"/>
              </w:rPr>
              <w:t>16 de febrero de 2015.</w:t>
            </w:r>
          </w:p>
          <w:p w:rsidR="00233205" w:rsidRPr="00B27B5A" w:rsidRDefault="00233205" w:rsidP="00233205">
            <w:pPr>
              <w:pStyle w:val="NoSpacing"/>
              <w:numPr>
                <w:ilvl w:val="0"/>
                <w:numId w:val="101"/>
              </w:numPr>
              <w:contextualSpacing/>
              <w:rPr>
                <w:rFonts w:eastAsiaTheme="minorHAnsi"/>
                <w:sz w:val="20"/>
                <w:szCs w:val="20"/>
                <w:lang w:val="es-ES_tradnl"/>
              </w:rPr>
            </w:pPr>
            <w:r w:rsidRPr="00B27B5A">
              <w:rPr>
                <w:sz w:val="20"/>
                <w:szCs w:val="20"/>
                <w:lang w:val="es-ES_tradnl"/>
              </w:rPr>
              <w:t>Papeles de Trabajo de la Metodología MMD-EFS</w:t>
            </w:r>
          </w:p>
          <w:p w:rsidR="00233205" w:rsidRPr="00A52A63" w:rsidRDefault="00233205" w:rsidP="00E30BEC">
            <w:pPr>
              <w:pStyle w:val="NoSpacing"/>
              <w:ind w:left="360"/>
              <w:contextualSpacing/>
              <w:rPr>
                <w:rFonts w:eastAsiaTheme="minorHAnsi"/>
                <w:szCs w:val="20"/>
                <w:lang w:val="es-ES_tradnl"/>
              </w:rPr>
            </w:pPr>
          </w:p>
        </w:tc>
      </w:tr>
      <w:tr w:rsidR="00233205" w:rsidRPr="00B27B5A" w:rsidTr="00E30BEC">
        <w:tc>
          <w:tcPr>
            <w:tcW w:w="1101" w:type="dxa"/>
            <w:shd w:val="clear" w:color="auto" w:fill="D9D9D9" w:themeFill="background1" w:themeFillShade="D9"/>
            <w:vAlign w:val="center"/>
          </w:tcPr>
          <w:p w:rsidR="00233205" w:rsidRPr="00A52A63" w:rsidRDefault="00233205" w:rsidP="00E30BEC">
            <w:pPr>
              <w:pStyle w:val="NoSpacing"/>
              <w:rPr>
                <w:b/>
                <w:sz w:val="20"/>
                <w:szCs w:val="20"/>
                <w:lang w:val="es-ES_tradnl"/>
              </w:rPr>
            </w:pPr>
            <w:r w:rsidRPr="00A52A63">
              <w:rPr>
                <w:b/>
                <w:sz w:val="20"/>
                <w:szCs w:val="20"/>
                <w:lang w:val="es-ES_tradnl"/>
              </w:rPr>
              <w:lastRenderedPageBreak/>
              <w:t>Dominio D</w:t>
            </w:r>
          </w:p>
        </w:tc>
        <w:tc>
          <w:tcPr>
            <w:tcW w:w="8646" w:type="dxa"/>
            <w:shd w:val="clear" w:color="auto" w:fill="D9D9D9" w:themeFill="background1" w:themeFillShade="D9"/>
            <w:vAlign w:val="center"/>
          </w:tcPr>
          <w:p w:rsidR="00233205" w:rsidRPr="00A52A63" w:rsidRDefault="00233205" w:rsidP="00E30BEC">
            <w:pPr>
              <w:pStyle w:val="NoSpacing"/>
              <w:contextualSpacing/>
              <w:rPr>
                <w:rFonts w:cs="Arial"/>
                <w:b/>
                <w:sz w:val="20"/>
                <w:szCs w:val="20"/>
                <w:lang w:val="es-ES_tradnl"/>
              </w:rPr>
            </w:pPr>
            <w:r w:rsidRPr="00A52A63">
              <w:rPr>
                <w:rFonts w:cs="Calibri"/>
                <w:b/>
                <w:bCs/>
                <w:sz w:val="20"/>
                <w:szCs w:val="20"/>
                <w:lang w:val="es-ES_tradnl"/>
              </w:rPr>
              <w:t>Normas y Metodología de Auditoría</w:t>
            </w:r>
          </w:p>
        </w:tc>
      </w:tr>
      <w:tr w:rsidR="00233205" w:rsidRPr="00B27B5A" w:rsidTr="00E30BEC">
        <w:tc>
          <w:tcPr>
            <w:tcW w:w="1101" w:type="dxa"/>
            <w:vAlign w:val="center"/>
          </w:tcPr>
          <w:p w:rsidR="00233205" w:rsidRPr="00A52A63" w:rsidRDefault="00233205" w:rsidP="00E30BEC">
            <w:pPr>
              <w:pStyle w:val="NoSpacing"/>
              <w:rPr>
                <w:b/>
                <w:sz w:val="20"/>
                <w:szCs w:val="20"/>
                <w:lang w:val="es-ES_tradnl"/>
              </w:rPr>
            </w:pPr>
            <w:r w:rsidRPr="00A52A63">
              <w:rPr>
                <w:b/>
                <w:sz w:val="20"/>
                <w:szCs w:val="20"/>
                <w:lang w:val="es-ES_tradnl"/>
              </w:rPr>
              <w:t>EFS-9</w:t>
            </w:r>
          </w:p>
        </w:tc>
        <w:tc>
          <w:tcPr>
            <w:tcW w:w="8646" w:type="dxa"/>
            <w:vAlign w:val="center"/>
          </w:tcPr>
          <w:p w:rsidR="00233205" w:rsidRPr="00A52A63" w:rsidRDefault="00233205" w:rsidP="00E30BEC">
            <w:pPr>
              <w:pStyle w:val="NoSpacing"/>
              <w:ind w:left="360"/>
              <w:contextualSpacing/>
              <w:rPr>
                <w:rFonts w:cs="Arial"/>
                <w:szCs w:val="20"/>
                <w:lang w:val="es-ES_tradnl"/>
              </w:rPr>
            </w:pPr>
          </w:p>
          <w:p w:rsidR="00233205" w:rsidRPr="00B27B5A" w:rsidRDefault="00233205" w:rsidP="00233205">
            <w:pPr>
              <w:pStyle w:val="NoSpacing"/>
              <w:widowControl w:val="0"/>
              <w:numPr>
                <w:ilvl w:val="0"/>
                <w:numId w:val="109"/>
              </w:numPr>
              <w:contextualSpacing/>
              <w:rPr>
                <w:rFonts w:cs="Arial"/>
                <w:sz w:val="20"/>
                <w:szCs w:val="20"/>
                <w:lang w:val="es-ES_tradnl"/>
              </w:rPr>
            </w:pPr>
            <w:r w:rsidRPr="00B27B5A">
              <w:rPr>
                <w:rFonts w:cs="Arial"/>
                <w:sz w:val="20"/>
                <w:szCs w:val="20"/>
                <w:lang w:val="es-ES_tradnl"/>
              </w:rPr>
              <w:t xml:space="preserve">Contraloría General de la República, Guía de Auditoria </w:t>
            </w:r>
            <w:r w:rsidRPr="00B27B5A">
              <w:rPr>
                <w:color w:val="000000"/>
                <w:sz w:val="20"/>
                <w:szCs w:val="20"/>
                <w:lang w:val="es-ES_tradnl"/>
              </w:rPr>
              <w:t>Ajustada al contexto SICA</w:t>
            </w:r>
            <w:r w:rsidRPr="00B27B5A">
              <w:rPr>
                <w:rFonts w:cs="Arial"/>
                <w:sz w:val="20"/>
                <w:szCs w:val="20"/>
                <w:lang w:val="es-ES_tradnl"/>
              </w:rPr>
              <w:t xml:space="preserve"> Febrero 2013.</w:t>
            </w:r>
          </w:p>
          <w:p w:rsidR="00233205" w:rsidRPr="00B27B5A" w:rsidRDefault="00233205" w:rsidP="00233205">
            <w:pPr>
              <w:pStyle w:val="NoSpacing"/>
              <w:widowControl w:val="0"/>
              <w:numPr>
                <w:ilvl w:val="0"/>
                <w:numId w:val="109"/>
              </w:numPr>
              <w:contextualSpacing/>
              <w:rPr>
                <w:rFonts w:cs="Arial"/>
                <w:sz w:val="20"/>
                <w:szCs w:val="20"/>
                <w:lang w:val="es-ES_tradnl"/>
              </w:rPr>
            </w:pPr>
            <w:r w:rsidRPr="00B27B5A">
              <w:rPr>
                <w:rFonts w:cstheme="majorHAnsi"/>
                <w:bCs/>
                <w:sz w:val="20"/>
                <w:szCs w:val="20"/>
                <w:lang w:val="es-ES_tradnl"/>
              </w:rPr>
              <w:t xml:space="preserve">Entrevistas con Contralores Delegados, </w:t>
            </w:r>
            <w:r w:rsidRPr="00B27B5A">
              <w:rPr>
                <w:rFonts w:cs="Arial"/>
                <w:sz w:val="20"/>
                <w:szCs w:val="20"/>
                <w:lang w:val="es-ES_tradnl"/>
              </w:rPr>
              <w:t>19 de febrero de 2015.</w:t>
            </w:r>
          </w:p>
          <w:p w:rsidR="00233205" w:rsidRPr="00B27B5A" w:rsidRDefault="00233205" w:rsidP="00233205">
            <w:pPr>
              <w:pStyle w:val="NoSpacing"/>
              <w:numPr>
                <w:ilvl w:val="0"/>
                <w:numId w:val="109"/>
              </w:numPr>
              <w:contextualSpacing/>
              <w:rPr>
                <w:rFonts w:cs="Arial"/>
                <w:sz w:val="20"/>
                <w:szCs w:val="20"/>
                <w:lang w:val="es-ES_tradnl"/>
              </w:rPr>
            </w:pPr>
            <w:r w:rsidRPr="00B27B5A">
              <w:rPr>
                <w:rFonts w:cstheme="majorHAnsi"/>
                <w:bCs/>
                <w:sz w:val="20"/>
                <w:szCs w:val="20"/>
                <w:lang w:val="es-ES_tradnl"/>
              </w:rPr>
              <w:t xml:space="preserve">Entrevistas con funcionarios de la Oficina de Planeación, </w:t>
            </w:r>
            <w:r w:rsidRPr="00B27B5A">
              <w:rPr>
                <w:rFonts w:cs="Arial"/>
                <w:sz w:val="20"/>
                <w:szCs w:val="20"/>
                <w:lang w:val="es-ES_tradnl"/>
              </w:rPr>
              <w:t>19 de febrero de 2015.</w:t>
            </w:r>
          </w:p>
          <w:p w:rsidR="00233205" w:rsidRPr="00B27B5A" w:rsidRDefault="00233205" w:rsidP="00233205">
            <w:pPr>
              <w:pStyle w:val="NoSpacing"/>
              <w:widowControl w:val="0"/>
              <w:numPr>
                <w:ilvl w:val="0"/>
                <w:numId w:val="109"/>
              </w:numPr>
              <w:contextualSpacing/>
              <w:rPr>
                <w:rFonts w:cs="Arial"/>
                <w:sz w:val="20"/>
                <w:szCs w:val="20"/>
                <w:lang w:val="es-ES_tradnl"/>
              </w:rPr>
            </w:pPr>
            <w:r w:rsidRPr="00B27B5A">
              <w:rPr>
                <w:rFonts w:cs="Arial"/>
                <w:sz w:val="20"/>
                <w:szCs w:val="20"/>
                <w:lang w:val="es-ES_tradnl"/>
              </w:rPr>
              <w:t>Integración del PVCF 2014 (Auditoría Programadas versus Ejecutadas)</w:t>
            </w:r>
          </w:p>
          <w:p w:rsidR="00233205" w:rsidRPr="00B27B5A" w:rsidRDefault="00233205" w:rsidP="00233205">
            <w:pPr>
              <w:pStyle w:val="NoSpacing"/>
              <w:numPr>
                <w:ilvl w:val="0"/>
                <w:numId w:val="109"/>
              </w:numPr>
              <w:contextualSpacing/>
              <w:rPr>
                <w:rFonts w:cs="Arial"/>
                <w:sz w:val="20"/>
                <w:szCs w:val="20"/>
                <w:lang w:val="es-ES_tradnl"/>
              </w:rPr>
            </w:pPr>
            <w:r w:rsidRPr="00B27B5A">
              <w:rPr>
                <w:rFonts w:cs="Arial"/>
                <w:sz w:val="20"/>
                <w:szCs w:val="20"/>
                <w:lang w:val="es-ES_tradnl"/>
              </w:rPr>
              <w:t xml:space="preserve">Página web de la CGRC: </w:t>
            </w:r>
            <w:hyperlink r:id="rId46" w:history="1">
              <w:r w:rsidRPr="00B27B5A">
                <w:rPr>
                  <w:rStyle w:val="Hyperlink"/>
                  <w:rFonts w:cs="Arial"/>
                  <w:sz w:val="20"/>
                  <w:szCs w:val="20"/>
                  <w:lang w:val="es-ES_tradnl"/>
                </w:rPr>
                <w:t>http://www.contraloriagen.gov.co/</w:t>
              </w:r>
            </w:hyperlink>
          </w:p>
          <w:p w:rsidR="00233205" w:rsidRPr="00B27B5A" w:rsidRDefault="00233205" w:rsidP="00233205">
            <w:pPr>
              <w:pStyle w:val="NoSpacing"/>
              <w:numPr>
                <w:ilvl w:val="0"/>
                <w:numId w:val="109"/>
              </w:numPr>
              <w:contextualSpacing/>
              <w:rPr>
                <w:rFonts w:cs="Arial"/>
                <w:sz w:val="20"/>
                <w:szCs w:val="20"/>
                <w:lang w:val="es-ES_tradnl"/>
              </w:rPr>
            </w:pPr>
            <w:r w:rsidRPr="00B27B5A">
              <w:rPr>
                <w:sz w:val="20"/>
                <w:szCs w:val="20"/>
                <w:lang w:val="es-ES_tradnl"/>
              </w:rPr>
              <w:t>Papeles de Trabajo de la Metodología MMD-EFS</w:t>
            </w:r>
            <w:r w:rsidRPr="00B27B5A">
              <w:rPr>
                <w:rFonts w:cs="Arial"/>
                <w:sz w:val="20"/>
                <w:szCs w:val="20"/>
                <w:lang w:val="es-ES_tradnl"/>
              </w:rPr>
              <w:t xml:space="preserve"> </w:t>
            </w:r>
          </w:p>
          <w:p w:rsidR="00233205" w:rsidRPr="00B27B5A" w:rsidRDefault="00233205" w:rsidP="00233205">
            <w:pPr>
              <w:pStyle w:val="NoSpacing"/>
              <w:numPr>
                <w:ilvl w:val="0"/>
                <w:numId w:val="109"/>
              </w:numPr>
              <w:contextualSpacing/>
              <w:rPr>
                <w:rFonts w:cs="Arial"/>
                <w:sz w:val="20"/>
                <w:szCs w:val="20"/>
                <w:lang w:val="es-ES_tradnl"/>
              </w:rPr>
            </w:pPr>
            <w:r w:rsidRPr="00B27B5A">
              <w:rPr>
                <w:rFonts w:cs="Arial"/>
                <w:sz w:val="20"/>
                <w:szCs w:val="20"/>
                <w:lang w:val="es-ES_tradnl"/>
              </w:rPr>
              <w:t>Plan de Vigilancia y Control (PVCF)  2013, 2014 y 2015</w:t>
            </w:r>
          </w:p>
          <w:p w:rsidR="00233205" w:rsidRPr="00A52A63" w:rsidRDefault="00233205" w:rsidP="00E30BEC">
            <w:pPr>
              <w:pStyle w:val="NoSpacing"/>
              <w:ind w:left="360"/>
              <w:contextualSpacing/>
              <w:rPr>
                <w:rFonts w:cs="Arial"/>
                <w:sz w:val="20"/>
                <w:szCs w:val="20"/>
                <w:lang w:val="es-ES_tradnl"/>
              </w:rPr>
            </w:pPr>
          </w:p>
        </w:tc>
      </w:tr>
      <w:tr w:rsidR="00233205" w:rsidRPr="00B27B5A" w:rsidTr="00E30BEC">
        <w:tc>
          <w:tcPr>
            <w:tcW w:w="1101" w:type="dxa"/>
            <w:vAlign w:val="center"/>
          </w:tcPr>
          <w:p w:rsidR="00233205" w:rsidRPr="00A52A63" w:rsidRDefault="00233205" w:rsidP="00E30BEC">
            <w:pPr>
              <w:pStyle w:val="NoSpacing"/>
              <w:rPr>
                <w:b/>
                <w:sz w:val="20"/>
                <w:szCs w:val="20"/>
                <w:lang w:val="es-ES_tradnl"/>
              </w:rPr>
            </w:pPr>
            <w:r w:rsidRPr="00A52A63">
              <w:rPr>
                <w:b/>
                <w:sz w:val="20"/>
                <w:szCs w:val="20"/>
                <w:lang w:val="es-ES_tradnl"/>
              </w:rPr>
              <w:t>EFS-10</w:t>
            </w:r>
          </w:p>
        </w:tc>
        <w:tc>
          <w:tcPr>
            <w:tcW w:w="8646" w:type="dxa"/>
            <w:vAlign w:val="center"/>
          </w:tcPr>
          <w:p w:rsidR="00233205" w:rsidRPr="00A52A63" w:rsidRDefault="00233205" w:rsidP="00E30BEC">
            <w:pPr>
              <w:pStyle w:val="NoSpacing"/>
              <w:ind w:left="360"/>
              <w:contextualSpacing/>
              <w:rPr>
                <w:rFonts w:cs="Arial"/>
                <w:sz w:val="20"/>
                <w:szCs w:val="20"/>
                <w:lang w:val="es-ES_tradnl"/>
              </w:rPr>
            </w:pPr>
          </w:p>
          <w:p w:rsidR="00233205" w:rsidRPr="00B27B5A" w:rsidRDefault="00233205" w:rsidP="00233205">
            <w:pPr>
              <w:pStyle w:val="NoSpacing"/>
              <w:widowControl w:val="0"/>
              <w:numPr>
                <w:ilvl w:val="0"/>
                <w:numId w:val="109"/>
              </w:numPr>
              <w:contextualSpacing/>
              <w:rPr>
                <w:rFonts w:cs="Arial"/>
                <w:sz w:val="20"/>
                <w:szCs w:val="20"/>
                <w:lang w:val="es-ES_tradnl"/>
              </w:rPr>
            </w:pPr>
            <w:r w:rsidRPr="00B27B5A">
              <w:rPr>
                <w:rFonts w:cs="Arial"/>
                <w:sz w:val="20"/>
                <w:szCs w:val="20"/>
                <w:lang w:val="es-ES_tradnl"/>
              </w:rPr>
              <w:t xml:space="preserve">Contraloría General de la República, Guía de Auditoria </w:t>
            </w:r>
            <w:r w:rsidRPr="00B27B5A">
              <w:rPr>
                <w:color w:val="000000"/>
                <w:sz w:val="20"/>
                <w:szCs w:val="20"/>
                <w:lang w:val="es-ES_tradnl"/>
              </w:rPr>
              <w:t>Ajustada al contexto SICA</w:t>
            </w:r>
            <w:r w:rsidRPr="00B27B5A">
              <w:rPr>
                <w:rFonts w:cs="Arial"/>
                <w:sz w:val="20"/>
                <w:szCs w:val="20"/>
                <w:lang w:val="es-ES_tradnl"/>
              </w:rPr>
              <w:t xml:space="preserve"> Febrero 2013.</w:t>
            </w:r>
          </w:p>
          <w:p w:rsidR="00233205" w:rsidRPr="00B27B5A" w:rsidRDefault="00233205" w:rsidP="00233205">
            <w:pPr>
              <w:pStyle w:val="NoSpacing"/>
              <w:widowControl w:val="0"/>
              <w:numPr>
                <w:ilvl w:val="0"/>
                <w:numId w:val="109"/>
              </w:numPr>
              <w:contextualSpacing/>
              <w:rPr>
                <w:rFonts w:cs="Arial"/>
                <w:sz w:val="20"/>
                <w:szCs w:val="20"/>
                <w:lang w:val="es-ES_tradnl"/>
              </w:rPr>
            </w:pPr>
            <w:r w:rsidRPr="00B27B5A">
              <w:rPr>
                <w:rFonts w:cstheme="majorHAnsi"/>
                <w:bCs/>
                <w:sz w:val="20"/>
                <w:szCs w:val="20"/>
                <w:lang w:val="es-ES_tradnl"/>
              </w:rPr>
              <w:t xml:space="preserve">Entrevistas con Contralores Delegados, </w:t>
            </w:r>
            <w:r w:rsidRPr="00B27B5A">
              <w:rPr>
                <w:rFonts w:cs="Arial"/>
                <w:sz w:val="20"/>
                <w:szCs w:val="20"/>
                <w:lang w:val="es-ES_tradnl"/>
              </w:rPr>
              <w:t>19 de febrero de 2015.</w:t>
            </w:r>
          </w:p>
          <w:p w:rsidR="00233205" w:rsidRPr="00B27B5A" w:rsidRDefault="00233205" w:rsidP="00233205">
            <w:pPr>
              <w:pStyle w:val="NoSpacing"/>
              <w:numPr>
                <w:ilvl w:val="0"/>
                <w:numId w:val="109"/>
              </w:numPr>
              <w:contextualSpacing/>
              <w:rPr>
                <w:rFonts w:cs="Arial"/>
                <w:sz w:val="20"/>
                <w:szCs w:val="20"/>
                <w:lang w:val="es-ES_tradnl"/>
              </w:rPr>
            </w:pPr>
            <w:r w:rsidRPr="00B27B5A">
              <w:rPr>
                <w:rFonts w:cstheme="majorHAnsi"/>
                <w:bCs/>
                <w:sz w:val="20"/>
                <w:szCs w:val="20"/>
                <w:lang w:val="es-ES_tradnl"/>
              </w:rPr>
              <w:t xml:space="preserve">Entrevistas con funcionarios de la Oficina de Planeación, </w:t>
            </w:r>
            <w:r w:rsidRPr="00B27B5A">
              <w:rPr>
                <w:rFonts w:cs="Arial"/>
                <w:sz w:val="20"/>
                <w:szCs w:val="20"/>
                <w:lang w:val="es-ES_tradnl"/>
              </w:rPr>
              <w:t>19 de febrero de 2015.</w:t>
            </w:r>
          </w:p>
          <w:p w:rsidR="00233205" w:rsidRPr="00B27B5A" w:rsidRDefault="00233205" w:rsidP="00233205">
            <w:pPr>
              <w:pStyle w:val="NoSpacing"/>
              <w:widowControl w:val="0"/>
              <w:numPr>
                <w:ilvl w:val="0"/>
                <w:numId w:val="109"/>
              </w:numPr>
              <w:contextualSpacing/>
              <w:rPr>
                <w:rFonts w:cs="Arial"/>
                <w:sz w:val="20"/>
                <w:szCs w:val="20"/>
                <w:lang w:val="es-ES_tradnl"/>
              </w:rPr>
            </w:pPr>
            <w:r w:rsidRPr="00B27B5A">
              <w:rPr>
                <w:rFonts w:cs="Arial"/>
                <w:sz w:val="20"/>
                <w:szCs w:val="20"/>
                <w:lang w:val="es-ES_tradnl"/>
              </w:rPr>
              <w:t xml:space="preserve">Página web de la CGRC: </w:t>
            </w:r>
            <w:hyperlink r:id="rId47" w:history="1">
              <w:r w:rsidRPr="00B27B5A">
                <w:rPr>
                  <w:rStyle w:val="Hyperlink"/>
                  <w:rFonts w:cs="Arial"/>
                  <w:sz w:val="20"/>
                  <w:szCs w:val="20"/>
                  <w:lang w:val="es-ES_tradnl"/>
                </w:rPr>
                <w:t>http://www.contraloriagen.gov.co/</w:t>
              </w:r>
            </w:hyperlink>
            <w:r w:rsidRPr="00B27B5A">
              <w:rPr>
                <w:rFonts w:cs="Arial"/>
                <w:sz w:val="20"/>
                <w:szCs w:val="20"/>
                <w:lang w:val="es-ES_tradnl"/>
              </w:rPr>
              <w:t xml:space="preserve"> </w:t>
            </w:r>
          </w:p>
          <w:p w:rsidR="00233205" w:rsidRPr="00A52A63" w:rsidRDefault="00233205" w:rsidP="00E30BEC">
            <w:pPr>
              <w:pStyle w:val="NoSpacing"/>
              <w:spacing w:after="120"/>
              <w:ind w:left="360"/>
              <w:contextualSpacing/>
              <w:rPr>
                <w:rFonts w:cs="Arial"/>
                <w:sz w:val="20"/>
                <w:szCs w:val="20"/>
                <w:lang w:val="es-ES_tradnl"/>
              </w:rPr>
            </w:pPr>
          </w:p>
        </w:tc>
      </w:tr>
      <w:tr w:rsidR="00233205" w:rsidRPr="00B27B5A" w:rsidTr="00E30BEC">
        <w:trPr>
          <w:trHeight w:val="3972"/>
        </w:trPr>
        <w:tc>
          <w:tcPr>
            <w:tcW w:w="1101" w:type="dxa"/>
            <w:vAlign w:val="center"/>
          </w:tcPr>
          <w:p w:rsidR="00233205" w:rsidRPr="00A52A63" w:rsidRDefault="00233205" w:rsidP="00E30BEC">
            <w:pPr>
              <w:pStyle w:val="NoSpacing"/>
              <w:rPr>
                <w:b/>
                <w:sz w:val="20"/>
                <w:szCs w:val="20"/>
                <w:lang w:val="es-ES_tradnl"/>
              </w:rPr>
            </w:pPr>
            <w:r w:rsidRPr="00A52A63">
              <w:rPr>
                <w:b/>
                <w:sz w:val="20"/>
                <w:szCs w:val="20"/>
                <w:lang w:val="es-ES_tradnl"/>
              </w:rPr>
              <w:t>EFS-11</w:t>
            </w:r>
          </w:p>
        </w:tc>
        <w:tc>
          <w:tcPr>
            <w:tcW w:w="8646" w:type="dxa"/>
            <w:vAlign w:val="center"/>
          </w:tcPr>
          <w:p w:rsidR="00233205" w:rsidRPr="00A52A63" w:rsidRDefault="00233205" w:rsidP="00E30BEC">
            <w:pPr>
              <w:pStyle w:val="NoSpacing"/>
              <w:ind w:left="360"/>
              <w:contextualSpacing/>
              <w:rPr>
                <w:rFonts w:cs="Arial"/>
                <w:sz w:val="20"/>
                <w:szCs w:val="20"/>
                <w:lang w:val="es-ES_tradnl"/>
              </w:rPr>
            </w:pPr>
          </w:p>
          <w:p w:rsidR="00233205" w:rsidRPr="00B27B5A" w:rsidRDefault="00233205" w:rsidP="00233205">
            <w:pPr>
              <w:pStyle w:val="NoSpacing"/>
              <w:widowControl w:val="0"/>
              <w:numPr>
                <w:ilvl w:val="0"/>
                <w:numId w:val="109"/>
              </w:numPr>
              <w:contextualSpacing/>
              <w:rPr>
                <w:rFonts w:cs="Arial"/>
                <w:sz w:val="20"/>
                <w:szCs w:val="20"/>
                <w:lang w:val="es-ES_tradnl"/>
              </w:rPr>
            </w:pPr>
            <w:r w:rsidRPr="00B27B5A">
              <w:rPr>
                <w:rFonts w:cstheme="majorHAnsi"/>
                <w:bCs/>
                <w:sz w:val="20"/>
                <w:szCs w:val="20"/>
                <w:lang w:val="es-ES_tradnl"/>
              </w:rPr>
              <w:t>Código de Ética y de Buen Gobierno (Aprobado mediante Res. 073 Agosto 25/2008)</w:t>
            </w:r>
          </w:p>
          <w:p w:rsidR="00233205" w:rsidRPr="00B27B5A" w:rsidRDefault="00233205" w:rsidP="00233205">
            <w:pPr>
              <w:pStyle w:val="NoSpacing"/>
              <w:widowControl w:val="0"/>
              <w:numPr>
                <w:ilvl w:val="0"/>
                <w:numId w:val="109"/>
              </w:numPr>
              <w:contextualSpacing/>
              <w:rPr>
                <w:rFonts w:cs="Arial"/>
                <w:sz w:val="20"/>
                <w:szCs w:val="20"/>
                <w:lang w:val="es-ES_tradnl"/>
              </w:rPr>
            </w:pPr>
            <w:r w:rsidRPr="00B27B5A">
              <w:rPr>
                <w:rFonts w:cs="Arial"/>
                <w:sz w:val="20"/>
                <w:szCs w:val="20"/>
                <w:lang w:val="es-ES_tradnl"/>
              </w:rPr>
              <w:t>Constitución Política de Colombia</w:t>
            </w:r>
          </w:p>
          <w:p w:rsidR="00233205" w:rsidRPr="00B27B5A" w:rsidRDefault="00233205" w:rsidP="00233205">
            <w:pPr>
              <w:pStyle w:val="NoSpacing"/>
              <w:widowControl w:val="0"/>
              <w:numPr>
                <w:ilvl w:val="0"/>
                <w:numId w:val="109"/>
              </w:numPr>
              <w:contextualSpacing/>
              <w:rPr>
                <w:rFonts w:cs="Arial"/>
                <w:sz w:val="20"/>
                <w:szCs w:val="20"/>
                <w:lang w:val="es-ES_tradnl"/>
              </w:rPr>
            </w:pPr>
            <w:r w:rsidRPr="00B27B5A">
              <w:rPr>
                <w:rFonts w:cs="Arial"/>
                <w:sz w:val="20"/>
                <w:szCs w:val="20"/>
                <w:lang w:val="es-ES_tradnl"/>
              </w:rPr>
              <w:t>Contaduría General de la Nación. Normas contables</w:t>
            </w:r>
          </w:p>
          <w:p w:rsidR="00233205" w:rsidRPr="00B27B5A" w:rsidRDefault="00233205" w:rsidP="00233205">
            <w:pPr>
              <w:pStyle w:val="NoSpacing"/>
              <w:widowControl w:val="0"/>
              <w:numPr>
                <w:ilvl w:val="0"/>
                <w:numId w:val="101"/>
              </w:numPr>
              <w:contextualSpacing/>
              <w:rPr>
                <w:rFonts w:cs="Arial"/>
                <w:sz w:val="20"/>
                <w:szCs w:val="20"/>
                <w:lang w:val="es-ES_tradnl"/>
              </w:rPr>
            </w:pPr>
            <w:r w:rsidRPr="00B27B5A">
              <w:rPr>
                <w:rFonts w:cs="Arial"/>
                <w:sz w:val="20"/>
                <w:szCs w:val="20"/>
                <w:lang w:val="es-ES_tradnl"/>
              </w:rPr>
              <w:t xml:space="preserve">Contraloría General de la República, Guía de Auditoria </w:t>
            </w:r>
            <w:r w:rsidRPr="00B27B5A">
              <w:rPr>
                <w:color w:val="000000"/>
                <w:sz w:val="20"/>
                <w:szCs w:val="20"/>
                <w:lang w:val="es-ES_tradnl"/>
              </w:rPr>
              <w:t>Ajustada al contexto SICA</w:t>
            </w:r>
            <w:r w:rsidRPr="00B27B5A">
              <w:rPr>
                <w:rFonts w:cs="Arial"/>
                <w:sz w:val="20"/>
                <w:szCs w:val="20"/>
                <w:lang w:val="es-ES_tradnl"/>
              </w:rPr>
              <w:t xml:space="preserve"> Febrero 2013.</w:t>
            </w:r>
          </w:p>
          <w:p w:rsidR="00233205" w:rsidRPr="00B27B5A" w:rsidRDefault="00233205" w:rsidP="00233205">
            <w:pPr>
              <w:pStyle w:val="NoSpacing"/>
              <w:widowControl w:val="0"/>
              <w:numPr>
                <w:ilvl w:val="0"/>
                <w:numId w:val="109"/>
              </w:numPr>
              <w:contextualSpacing/>
              <w:rPr>
                <w:rFonts w:cs="Arial"/>
                <w:sz w:val="20"/>
                <w:szCs w:val="20"/>
                <w:lang w:val="es-ES_tradnl"/>
              </w:rPr>
            </w:pPr>
            <w:r w:rsidRPr="00B27B5A">
              <w:rPr>
                <w:rFonts w:cs="Arial"/>
                <w:sz w:val="20"/>
                <w:szCs w:val="20"/>
                <w:lang w:val="es-ES_tradnl"/>
              </w:rPr>
              <w:t>Contraloría General de la República. Programas de auditoría desarrollados para 21 entidades evaluadas.</w:t>
            </w:r>
          </w:p>
          <w:p w:rsidR="00233205" w:rsidRPr="00B27B5A" w:rsidRDefault="00233205" w:rsidP="00233205">
            <w:pPr>
              <w:pStyle w:val="NoSpacing"/>
              <w:numPr>
                <w:ilvl w:val="0"/>
                <w:numId w:val="109"/>
              </w:numPr>
              <w:contextualSpacing/>
              <w:rPr>
                <w:rFonts w:cs="Arial"/>
                <w:sz w:val="20"/>
                <w:szCs w:val="20"/>
                <w:lang w:val="es-ES_tradnl"/>
              </w:rPr>
            </w:pPr>
            <w:r w:rsidRPr="00B27B5A">
              <w:rPr>
                <w:rFonts w:cs="Arial"/>
                <w:sz w:val="20"/>
                <w:szCs w:val="20"/>
                <w:lang w:val="es-ES_tradnl"/>
              </w:rPr>
              <w:t>Entrevista con Delegada de Economía y Finanzas, 19 de febrero de 2015.</w:t>
            </w:r>
          </w:p>
          <w:p w:rsidR="00233205" w:rsidRPr="00B27B5A" w:rsidRDefault="00233205" w:rsidP="00233205">
            <w:pPr>
              <w:pStyle w:val="NoSpacing"/>
              <w:widowControl w:val="0"/>
              <w:numPr>
                <w:ilvl w:val="0"/>
                <w:numId w:val="109"/>
              </w:numPr>
              <w:contextualSpacing/>
              <w:rPr>
                <w:rFonts w:cs="Arial"/>
                <w:sz w:val="20"/>
                <w:szCs w:val="20"/>
                <w:lang w:val="es-ES_tradnl"/>
              </w:rPr>
            </w:pPr>
            <w:r w:rsidRPr="00B27B5A">
              <w:rPr>
                <w:rFonts w:cs="Arial"/>
                <w:sz w:val="20"/>
                <w:szCs w:val="20"/>
                <w:lang w:val="es-ES_tradnl"/>
              </w:rPr>
              <w:t>Entrevista con Directores y Supervisores de Auditoría, 19 de febrero de 2015.</w:t>
            </w:r>
          </w:p>
          <w:p w:rsidR="00233205" w:rsidRPr="00B27B5A" w:rsidRDefault="00233205" w:rsidP="00233205">
            <w:pPr>
              <w:pStyle w:val="NoSpacing"/>
              <w:widowControl w:val="0"/>
              <w:numPr>
                <w:ilvl w:val="0"/>
                <w:numId w:val="109"/>
              </w:numPr>
              <w:contextualSpacing/>
              <w:rPr>
                <w:rFonts w:cs="Arial"/>
                <w:sz w:val="20"/>
                <w:szCs w:val="20"/>
                <w:lang w:val="es-ES_tradnl"/>
              </w:rPr>
            </w:pPr>
            <w:r w:rsidRPr="00B27B5A">
              <w:rPr>
                <w:rFonts w:cstheme="majorHAnsi"/>
                <w:bCs/>
                <w:sz w:val="20"/>
                <w:szCs w:val="20"/>
                <w:lang w:val="es-ES_tradnl"/>
              </w:rPr>
              <w:t xml:space="preserve">Entrevistas con Contralores Delegados, </w:t>
            </w:r>
            <w:r w:rsidRPr="00B27B5A">
              <w:rPr>
                <w:rFonts w:cs="Arial"/>
                <w:sz w:val="20"/>
                <w:szCs w:val="20"/>
                <w:lang w:val="es-ES_tradnl"/>
              </w:rPr>
              <w:t>19 de febrero de 2015.</w:t>
            </w:r>
          </w:p>
          <w:p w:rsidR="00233205" w:rsidRPr="00B27B5A" w:rsidRDefault="00233205" w:rsidP="00233205">
            <w:pPr>
              <w:pStyle w:val="NoSpacing"/>
              <w:widowControl w:val="0"/>
              <w:numPr>
                <w:ilvl w:val="0"/>
                <w:numId w:val="109"/>
              </w:numPr>
              <w:contextualSpacing/>
              <w:rPr>
                <w:rFonts w:cs="Arial"/>
                <w:sz w:val="20"/>
                <w:szCs w:val="20"/>
                <w:lang w:val="es-ES_tradnl"/>
              </w:rPr>
            </w:pPr>
            <w:r w:rsidRPr="00B27B5A">
              <w:rPr>
                <w:rFonts w:cstheme="majorHAnsi"/>
                <w:bCs/>
                <w:sz w:val="20"/>
                <w:szCs w:val="20"/>
                <w:lang w:val="es-ES_tradnl"/>
              </w:rPr>
              <w:t xml:space="preserve">Entrevistas con funcionarios de la Oficina de Planeación, </w:t>
            </w:r>
            <w:r w:rsidRPr="00B27B5A">
              <w:rPr>
                <w:rFonts w:cs="Arial"/>
                <w:sz w:val="20"/>
                <w:szCs w:val="20"/>
                <w:lang w:val="es-ES_tradnl"/>
              </w:rPr>
              <w:t>19 de febrero de 2015.</w:t>
            </w:r>
          </w:p>
          <w:p w:rsidR="00233205" w:rsidRPr="00B27B5A" w:rsidRDefault="00233205" w:rsidP="00233205">
            <w:pPr>
              <w:pStyle w:val="NoSpacing"/>
              <w:widowControl w:val="0"/>
              <w:numPr>
                <w:ilvl w:val="0"/>
                <w:numId w:val="109"/>
              </w:numPr>
              <w:contextualSpacing/>
              <w:rPr>
                <w:rFonts w:cs="Arial"/>
                <w:sz w:val="20"/>
                <w:szCs w:val="20"/>
                <w:lang w:val="es-ES_tradnl"/>
              </w:rPr>
            </w:pPr>
            <w:r w:rsidRPr="00B27B5A">
              <w:rPr>
                <w:rFonts w:cs="Arial"/>
                <w:sz w:val="20"/>
                <w:szCs w:val="20"/>
                <w:lang w:val="es-ES_tradnl"/>
              </w:rPr>
              <w:t xml:space="preserve">Ley 42 de 1993 </w:t>
            </w:r>
          </w:p>
          <w:p w:rsidR="00233205" w:rsidRPr="00B27B5A" w:rsidRDefault="00233205" w:rsidP="00233205">
            <w:pPr>
              <w:pStyle w:val="NoSpacing"/>
              <w:widowControl w:val="0"/>
              <w:numPr>
                <w:ilvl w:val="0"/>
                <w:numId w:val="109"/>
              </w:numPr>
              <w:contextualSpacing/>
              <w:rPr>
                <w:rFonts w:cs="Arial"/>
                <w:sz w:val="20"/>
                <w:szCs w:val="20"/>
                <w:lang w:val="es-ES_tradnl"/>
              </w:rPr>
            </w:pPr>
            <w:r w:rsidRPr="00B27B5A">
              <w:rPr>
                <w:rFonts w:cs="Arial"/>
                <w:sz w:val="20"/>
                <w:szCs w:val="20"/>
                <w:lang w:val="es-ES_tradnl"/>
              </w:rPr>
              <w:t>Ley 734 de 2002</w:t>
            </w:r>
          </w:p>
          <w:p w:rsidR="00233205" w:rsidRPr="00B27B5A" w:rsidRDefault="00233205" w:rsidP="00233205">
            <w:pPr>
              <w:pStyle w:val="NoSpacing"/>
              <w:numPr>
                <w:ilvl w:val="0"/>
                <w:numId w:val="109"/>
              </w:numPr>
              <w:contextualSpacing/>
              <w:rPr>
                <w:rStyle w:val="Hyperlink"/>
                <w:rFonts w:cs="Arial"/>
                <w:sz w:val="20"/>
                <w:szCs w:val="20"/>
                <w:lang w:val="es-ES_tradnl"/>
              </w:rPr>
            </w:pPr>
            <w:r w:rsidRPr="00B27B5A">
              <w:rPr>
                <w:rFonts w:cs="Arial"/>
                <w:sz w:val="20"/>
                <w:szCs w:val="20"/>
                <w:lang w:val="es-ES_tradnl"/>
              </w:rPr>
              <w:t xml:space="preserve">Página web de la CGN: </w:t>
            </w:r>
            <w:hyperlink r:id="rId48" w:history="1">
              <w:r w:rsidRPr="00B27B5A">
                <w:rPr>
                  <w:rStyle w:val="Hyperlink"/>
                  <w:rFonts w:cs="Arial"/>
                  <w:sz w:val="20"/>
                  <w:szCs w:val="20"/>
                  <w:lang w:val="es-ES_tradnl"/>
                </w:rPr>
                <w:t>http://www.contaduria.gov.co</w:t>
              </w:r>
            </w:hyperlink>
          </w:p>
          <w:p w:rsidR="00233205" w:rsidRPr="00B27B5A" w:rsidRDefault="00233205" w:rsidP="00233205">
            <w:pPr>
              <w:pStyle w:val="NoSpacing"/>
              <w:numPr>
                <w:ilvl w:val="0"/>
                <w:numId w:val="109"/>
              </w:numPr>
              <w:spacing w:after="240"/>
              <w:contextualSpacing/>
              <w:rPr>
                <w:rFonts w:cs="Arial"/>
                <w:sz w:val="20"/>
                <w:szCs w:val="20"/>
                <w:lang w:val="es-ES_tradnl"/>
              </w:rPr>
            </w:pPr>
            <w:r w:rsidRPr="00B27B5A">
              <w:rPr>
                <w:sz w:val="20"/>
                <w:szCs w:val="20"/>
                <w:lang w:val="es-ES_tradnl"/>
              </w:rPr>
              <w:t>Papeles de Trabajo de la Metodología MMD-EFS</w:t>
            </w:r>
          </w:p>
          <w:p w:rsidR="00233205" w:rsidRPr="00A52A63" w:rsidRDefault="00233205" w:rsidP="00E30BEC">
            <w:pPr>
              <w:pStyle w:val="NoSpacing"/>
              <w:spacing w:after="240"/>
              <w:ind w:left="360"/>
              <w:contextualSpacing/>
              <w:rPr>
                <w:rFonts w:cs="Arial"/>
                <w:sz w:val="20"/>
                <w:szCs w:val="20"/>
                <w:lang w:val="es-ES_tradnl"/>
              </w:rPr>
            </w:pPr>
          </w:p>
        </w:tc>
      </w:tr>
      <w:tr w:rsidR="00233205" w:rsidRPr="00A52A63" w:rsidTr="00E30BEC">
        <w:tc>
          <w:tcPr>
            <w:tcW w:w="1101" w:type="dxa"/>
            <w:vAlign w:val="center"/>
          </w:tcPr>
          <w:p w:rsidR="00233205" w:rsidRPr="00A52A63" w:rsidRDefault="00233205" w:rsidP="00E30BEC">
            <w:pPr>
              <w:pStyle w:val="NoSpacing"/>
              <w:rPr>
                <w:b/>
                <w:sz w:val="20"/>
                <w:szCs w:val="20"/>
                <w:lang w:val="es-ES_tradnl"/>
              </w:rPr>
            </w:pPr>
            <w:r w:rsidRPr="00A52A63">
              <w:rPr>
                <w:b/>
                <w:sz w:val="20"/>
                <w:szCs w:val="20"/>
                <w:lang w:val="es-ES_tradnl"/>
              </w:rPr>
              <w:lastRenderedPageBreak/>
              <w:t>EFS-12</w:t>
            </w:r>
          </w:p>
        </w:tc>
        <w:tc>
          <w:tcPr>
            <w:tcW w:w="8646" w:type="dxa"/>
            <w:vAlign w:val="center"/>
          </w:tcPr>
          <w:p w:rsidR="00233205" w:rsidRPr="00A52A63" w:rsidRDefault="00233205" w:rsidP="00E30BEC">
            <w:pPr>
              <w:pStyle w:val="NoSpacing"/>
              <w:ind w:left="360"/>
              <w:contextualSpacing/>
              <w:rPr>
                <w:sz w:val="20"/>
                <w:szCs w:val="20"/>
                <w:lang w:val="es-ES_tradnl"/>
              </w:rPr>
            </w:pPr>
          </w:p>
          <w:p w:rsidR="00233205" w:rsidRPr="00B27B5A" w:rsidRDefault="00233205" w:rsidP="00233205">
            <w:pPr>
              <w:pStyle w:val="NoSpacing"/>
              <w:widowControl w:val="0"/>
              <w:numPr>
                <w:ilvl w:val="0"/>
                <w:numId w:val="109"/>
              </w:numPr>
              <w:contextualSpacing/>
              <w:rPr>
                <w:sz w:val="20"/>
                <w:szCs w:val="20"/>
                <w:lang w:val="es-ES_tradnl"/>
              </w:rPr>
            </w:pPr>
            <w:r w:rsidRPr="00B27B5A">
              <w:rPr>
                <w:rFonts w:cs="Arial"/>
                <w:sz w:val="20"/>
                <w:szCs w:val="20"/>
                <w:lang w:val="es-ES_tradnl"/>
              </w:rPr>
              <w:t xml:space="preserve">Auditorías </w:t>
            </w:r>
            <w:r w:rsidRPr="00B27B5A">
              <w:rPr>
                <w:sz w:val="20"/>
                <w:szCs w:val="20"/>
                <w:lang w:val="es-ES_tradnl"/>
              </w:rPr>
              <w:t xml:space="preserve">CGRC: </w:t>
            </w:r>
            <w:hyperlink r:id="rId49" w:history="1">
              <w:r w:rsidRPr="00B27B5A">
                <w:rPr>
                  <w:rStyle w:val="Hyperlink"/>
                  <w:sz w:val="20"/>
                  <w:szCs w:val="20"/>
                  <w:lang w:val="es-ES_tradnl"/>
                </w:rPr>
                <w:t>http://www.contraloria.gov.co/web/guest/auditorias</w:t>
              </w:r>
            </w:hyperlink>
            <w:r w:rsidRPr="00B27B5A">
              <w:rPr>
                <w:sz w:val="20"/>
                <w:szCs w:val="20"/>
                <w:lang w:val="es-ES_tradnl"/>
              </w:rPr>
              <w:t xml:space="preserve"> </w:t>
            </w:r>
          </w:p>
          <w:p w:rsidR="00233205" w:rsidRPr="00B27B5A" w:rsidRDefault="00233205" w:rsidP="00233205">
            <w:pPr>
              <w:pStyle w:val="NoSpacing"/>
              <w:widowControl w:val="0"/>
              <w:numPr>
                <w:ilvl w:val="0"/>
                <w:numId w:val="109"/>
              </w:numPr>
              <w:contextualSpacing/>
              <w:rPr>
                <w:rFonts w:cs="Arial"/>
                <w:sz w:val="20"/>
                <w:szCs w:val="20"/>
                <w:lang w:val="es-ES_tradnl"/>
              </w:rPr>
            </w:pPr>
            <w:r w:rsidRPr="00B27B5A">
              <w:rPr>
                <w:rFonts w:cs="Arial"/>
                <w:sz w:val="20"/>
                <w:szCs w:val="20"/>
                <w:lang w:val="es-ES_tradnl"/>
              </w:rPr>
              <w:t xml:space="preserve">Constitución Política de Colombia </w:t>
            </w:r>
          </w:p>
          <w:p w:rsidR="00233205" w:rsidRPr="00B27B5A" w:rsidRDefault="00233205" w:rsidP="00233205">
            <w:pPr>
              <w:pStyle w:val="NoSpacing"/>
              <w:widowControl w:val="0"/>
              <w:numPr>
                <w:ilvl w:val="0"/>
                <w:numId w:val="109"/>
              </w:numPr>
              <w:contextualSpacing/>
              <w:rPr>
                <w:rFonts w:cs="Arial"/>
                <w:sz w:val="20"/>
                <w:szCs w:val="20"/>
                <w:lang w:val="es-ES_tradnl"/>
              </w:rPr>
            </w:pPr>
            <w:r w:rsidRPr="00B27B5A">
              <w:rPr>
                <w:rFonts w:cs="Arial"/>
                <w:sz w:val="20"/>
                <w:szCs w:val="20"/>
                <w:lang w:val="es-ES_tradnl"/>
              </w:rPr>
              <w:t>Contaduría General de la Nación, Situación Financiera  y de Resultados a Nivel Nacional. Años 2009-2013</w:t>
            </w:r>
          </w:p>
          <w:p w:rsidR="00233205" w:rsidRPr="00B27B5A" w:rsidRDefault="00233205" w:rsidP="00233205">
            <w:pPr>
              <w:pStyle w:val="NoSpacing"/>
              <w:widowControl w:val="0"/>
              <w:numPr>
                <w:ilvl w:val="0"/>
                <w:numId w:val="109"/>
              </w:numPr>
              <w:contextualSpacing/>
              <w:rPr>
                <w:rFonts w:cs="Arial"/>
                <w:sz w:val="20"/>
                <w:szCs w:val="20"/>
                <w:lang w:val="es-ES_tradnl"/>
              </w:rPr>
            </w:pPr>
            <w:r w:rsidRPr="00B27B5A">
              <w:rPr>
                <w:rFonts w:cs="Arial"/>
                <w:sz w:val="20"/>
                <w:szCs w:val="20"/>
                <w:lang w:val="es-ES_tradnl"/>
              </w:rPr>
              <w:t>Contraloría General de la República. Programas de auditoría desarrollados para 21 entidades evaluadas.</w:t>
            </w:r>
          </w:p>
          <w:p w:rsidR="00233205" w:rsidRPr="00B27B5A" w:rsidRDefault="00233205" w:rsidP="00233205">
            <w:pPr>
              <w:pStyle w:val="NoSpacing"/>
              <w:numPr>
                <w:ilvl w:val="0"/>
                <w:numId w:val="109"/>
              </w:numPr>
              <w:contextualSpacing/>
              <w:rPr>
                <w:rFonts w:cs="Arial"/>
                <w:sz w:val="20"/>
                <w:szCs w:val="20"/>
                <w:lang w:val="es-ES_tradnl"/>
              </w:rPr>
            </w:pPr>
            <w:r w:rsidRPr="00B27B5A">
              <w:rPr>
                <w:rFonts w:cs="Arial"/>
                <w:sz w:val="20"/>
                <w:szCs w:val="20"/>
                <w:lang w:val="es-ES_tradnl"/>
              </w:rPr>
              <w:t>Entrevista con Directores y Supervisores de Auditoría, 19 de febrero de 2015.</w:t>
            </w:r>
          </w:p>
          <w:p w:rsidR="00233205" w:rsidRPr="00B27B5A" w:rsidRDefault="00233205" w:rsidP="00233205">
            <w:pPr>
              <w:pStyle w:val="NoSpacing"/>
              <w:widowControl w:val="0"/>
              <w:numPr>
                <w:ilvl w:val="0"/>
                <w:numId w:val="109"/>
              </w:numPr>
              <w:contextualSpacing/>
              <w:rPr>
                <w:rFonts w:cs="Arial"/>
                <w:sz w:val="20"/>
                <w:szCs w:val="20"/>
                <w:lang w:val="es-ES_tradnl"/>
              </w:rPr>
            </w:pPr>
            <w:r w:rsidRPr="00B27B5A">
              <w:rPr>
                <w:rFonts w:cstheme="majorHAnsi"/>
                <w:bCs/>
                <w:sz w:val="20"/>
                <w:szCs w:val="20"/>
                <w:lang w:val="es-ES_tradnl"/>
              </w:rPr>
              <w:t xml:space="preserve">Entrevistas con Contralores Delegados, </w:t>
            </w:r>
            <w:r w:rsidRPr="00B27B5A">
              <w:rPr>
                <w:rFonts w:cs="Arial"/>
                <w:sz w:val="20"/>
                <w:szCs w:val="20"/>
                <w:lang w:val="es-ES_tradnl"/>
              </w:rPr>
              <w:t>19 de febrero de 2015.</w:t>
            </w:r>
          </w:p>
          <w:p w:rsidR="00233205" w:rsidRPr="00B27B5A" w:rsidRDefault="00233205" w:rsidP="00233205">
            <w:pPr>
              <w:pStyle w:val="NoSpacing"/>
              <w:widowControl w:val="0"/>
              <w:numPr>
                <w:ilvl w:val="0"/>
                <w:numId w:val="109"/>
              </w:numPr>
              <w:contextualSpacing/>
              <w:rPr>
                <w:rFonts w:cs="Arial"/>
                <w:sz w:val="20"/>
                <w:szCs w:val="20"/>
                <w:lang w:val="es-ES_tradnl"/>
              </w:rPr>
            </w:pPr>
            <w:r w:rsidRPr="00B27B5A">
              <w:rPr>
                <w:rFonts w:cstheme="majorHAnsi"/>
                <w:bCs/>
                <w:sz w:val="20"/>
                <w:szCs w:val="20"/>
                <w:lang w:val="es-ES_tradnl"/>
              </w:rPr>
              <w:t xml:space="preserve">Entrevistas con Contralores Delegados, </w:t>
            </w:r>
            <w:r w:rsidRPr="00B27B5A">
              <w:rPr>
                <w:rFonts w:cs="Arial"/>
                <w:sz w:val="20"/>
                <w:szCs w:val="20"/>
                <w:lang w:val="es-ES_tradnl"/>
              </w:rPr>
              <w:t>19 de febrero de 2015.</w:t>
            </w:r>
          </w:p>
          <w:p w:rsidR="00233205" w:rsidRPr="00B27B5A" w:rsidRDefault="00233205" w:rsidP="00233205">
            <w:pPr>
              <w:pStyle w:val="NoSpacing"/>
              <w:widowControl w:val="0"/>
              <w:numPr>
                <w:ilvl w:val="0"/>
                <w:numId w:val="109"/>
              </w:numPr>
              <w:contextualSpacing/>
              <w:rPr>
                <w:rFonts w:cs="Arial"/>
                <w:sz w:val="20"/>
                <w:szCs w:val="20"/>
                <w:lang w:val="es-ES_tradnl"/>
              </w:rPr>
            </w:pPr>
            <w:r w:rsidRPr="00B27B5A">
              <w:rPr>
                <w:rFonts w:cstheme="majorHAnsi"/>
                <w:bCs/>
                <w:sz w:val="20"/>
                <w:szCs w:val="20"/>
                <w:lang w:val="es-ES_tradnl"/>
              </w:rPr>
              <w:t xml:space="preserve">Entrevistas con funcionarios de la Oficina de Planeación, </w:t>
            </w:r>
            <w:r w:rsidRPr="00B27B5A">
              <w:rPr>
                <w:rFonts w:cs="Arial"/>
                <w:sz w:val="20"/>
                <w:szCs w:val="20"/>
                <w:lang w:val="es-ES_tradnl"/>
              </w:rPr>
              <w:t>19 de febrero de 2015.</w:t>
            </w:r>
          </w:p>
          <w:p w:rsidR="00233205" w:rsidRPr="00B27B5A" w:rsidRDefault="00233205" w:rsidP="00233205">
            <w:pPr>
              <w:pStyle w:val="NoSpacing"/>
              <w:widowControl w:val="0"/>
              <w:numPr>
                <w:ilvl w:val="0"/>
                <w:numId w:val="109"/>
              </w:numPr>
              <w:contextualSpacing/>
              <w:rPr>
                <w:rFonts w:cs="Arial"/>
                <w:sz w:val="20"/>
                <w:szCs w:val="20"/>
                <w:lang w:val="es-ES_tradnl"/>
              </w:rPr>
            </w:pPr>
            <w:r w:rsidRPr="00B27B5A">
              <w:rPr>
                <w:rFonts w:cstheme="majorHAnsi"/>
                <w:bCs/>
                <w:sz w:val="20"/>
                <w:szCs w:val="20"/>
                <w:lang w:val="es-ES_tradnl"/>
              </w:rPr>
              <w:t xml:space="preserve">Entrevistas con funcionarios de la Oficina de Planeación, </w:t>
            </w:r>
            <w:r w:rsidRPr="00B27B5A">
              <w:rPr>
                <w:rFonts w:cs="Arial"/>
                <w:sz w:val="20"/>
                <w:szCs w:val="20"/>
                <w:lang w:val="es-ES_tradnl"/>
              </w:rPr>
              <w:t>19 de febrero de 2015.</w:t>
            </w:r>
          </w:p>
          <w:p w:rsidR="00233205" w:rsidRPr="00B27B5A" w:rsidRDefault="00233205" w:rsidP="00233205">
            <w:pPr>
              <w:pStyle w:val="NoSpacing"/>
              <w:widowControl w:val="0"/>
              <w:numPr>
                <w:ilvl w:val="0"/>
                <w:numId w:val="109"/>
              </w:numPr>
              <w:contextualSpacing/>
              <w:rPr>
                <w:rFonts w:cs="Arial"/>
                <w:sz w:val="20"/>
                <w:szCs w:val="20"/>
                <w:lang w:val="es-ES_tradnl"/>
              </w:rPr>
            </w:pPr>
            <w:r w:rsidRPr="00B27B5A">
              <w:rPr>
                <w:rFonts w:cs="Arial"/>
                <w:sz w:val="20"/>
                <w:szCs w:val="20"/>
                <w:lang w:val="es-ES_tradnl"/>
              </w:rPr>
              <w:t>Ley 298 de 1998</w:t>
            </w:r>
          </w:p>
          <w:p w:rsidR="00233205" w:rsidRPr="00B27B5A" w:rsidRDefault="00233205" w:rsidP="00233205">
            <w:pPr>
              <w:pStyle w:val="NoSpacing"/>
              <w:widowControl w:val="0"/>
              <w:numPr>
                <w:ilvl w:val="0"/>
                <w:numId w:val="109"/>
              </w:numPr>
              <w:contextualSpacing/>
              <w:rPr>
                <w:rFonts w:cs="Arial"/>
                <w:sz w:val="20"/>
                <w:szCs w:val="20"/>
                <w:lang w:val="es-ES_tradnl"/>
              </w:rPr>
            </w:pPr>
            <w:r w:rsidRPr="00B27B5A">
              <w:rPr>
                <w:sz w:val="20"/>
                <w:szCs w:val="20"/>
                <w:lang w:val="es-ES_tradnl"/>
              </w:rPr>
              <w:t>Papeles de Trabajo de la Metodología MMD-EFS</w:t>
            </w:r>
          </w:p>
          <w:p w:rsidR="00233205" w:rsidRPr="00B27B5A" w:rsidRDefault="00233205" w:rsidP="00233205">
            <w:pPr>
              <w:pStyle w:val="NoSpacing"/>
              <w:widowControl w:val="0"/>
              <w:numPr>
                <w:ilvl w:val="0"/>
                <w:numId w:val="109"/>
              </w:numPr>
              <w:contextualSpacing/>
              <w:rPr>
                <w:rFonts w:cs="Arial"/>
                <w:sz w:val="20"/>
                <w:szCs w:val="20"/>
                <w:lang w:val="es-ES_tradnl"/>
              </w:rPr>
            </w:pPr>
            <w:r w:rsidRPr="00B27B5A">
              <w:rPr>
                <w:sz w:val="20"/>
                <w:szCs w:val="20"/>
                <w:lang w:val="es-ES_tradnl"/>
              </w:rPr>
              <w:t>Sistema Integrado de Control de Auditoria (SICA)</w:t>
            </w:r>
          </w:p>
          <w:p w:rsidR="00233205" w:rsidRPr="00A52A63" w:rsidRDefault="00233205" w:rsidP="00E30BEC">
            <w:pPr>
              <w:pStyle w:val="NoSpacing"/>
              <w:ind w:left="360"/>
              <w:contextualSpacing/>
              <w:rPr>
                <w:rFonts w:cs="Arial"/>
                <w:sz w:val="20"/>
                <w:szCs w:val="20"/>
                <w:lang w:val="es-ES_tradnl"/>
              </w:rPr>
            </w:pPr>
          </w:p>
        </w:tc>
      </w:tr>
      <w:tr w:rsidR="00233205" w:rsidRPr="00A52A63" w:rsidTr="00E30BEC">
        <w:tc>
          <w:tcPr>
            <w:tcW w:w="1101" w:type="dxa"/>
            <w:vAlign w:val="center"/>
          </w:tcPr>
          <w:p w:rsidR="00233205" w:rsidRPr="00A52A63" w:rsidRDefault="00233205" w:rsidP="00E30BEC">
            <w:pPr>
              <w:pStyle w:val="NoSpacing"/>
              <w:rPr>
                <w:b/>
                <w:sz w:val="20"/>
                <w:szCs w:val="20"/>
                <w:lang w:val="es-ES_tradnl"/>
              </w:rPr>
            </w:pPr>
            <w:r w:rsidRPr="00A52A63">
              <w:rPr>
                <w:b/>
                <w:sz w:val="20"/>
                <w:szCs w:val="20"/>
                <w:lang w:val="es-ES_tradnl"/>
              </w:rPr>
              <w:t>EFS-13</w:t>
            </w:r>
          </w:p>
        </w:tc>
        <w:tc>
          <w:tcPr>
            <w:tcW w:w="8646" w:type="dxa"/>
            <w:vAlign w:val="center"/>
          </w:tcPr>
          <w:p w:rsidR="00233205" w:rsidRPr="00A52A63" w:rsidRDefault="00233205" w:rsidP="00E30BEC">
            <w:pPr>
              <w:pStyle w:val="NoSpacing"/>
              <w:ind w:left="360"/>
              <w:contextualSpacing/>
              <w:rPr>
                <w:rFonts w:cstheme="majorHAnsi"/>
                <w:bCs/>
                <w:sz w:val="20"/>
                <w:szCs w:val="20"/>
                <w:lang w:val="es-ES_tradnl"/>
              </w:rPr>
            </w:pPr>
          </w:p>
          <w:p w:rsidR="00233205" w:rsidRPr="00B27B5A" w:rsidRDefault="00233205" w:rsidP="00233205">
            <w:pPr>
              <w:pStyle w:val="NoSpacing"/>
              <w:widowControl w:val="0"/>
              <w:numPr>
                <w:ilvl w:val="0"/>
                <w:numId w:val="109"/>
              </w:numPr>
              <w:contextualSpacing/>
              <w:rPr>
                <w:rFonts w:cstheme="majorHAnsi"/>
                <w:bCs/>
                <w:sz w:val="20"/>
                <w:szCs w:val="20"/>
                <w:lang w:val="es-ES_tradnl"/>
              </w:rPr>
            </w:pPr>
            <w:r w:rsidRPr="00B27B5A">
              <w:rPr>
                <w:rFonts w:cstheme="majorHAnsi"/>
                <w:bCs/>
                <w:sz w:val="20"/>
                <w:szCs w:val="20"/>
                <w:lang w:val="es-ES_tradnl"/>
              </w:rPr>
              <w:t>Código de Ética y de Buen Gobierno (Aprobado mediante Res. 073 Agosto 25/2008)</w:t>
            </w:r>
          </w:p>
          <w:p w:rsidR="00233205" w:rsidRPr="00B27B5A" w:rsidRDefault="00233205" w:rsidP="00233205">
            <w:pPr>
              <w:pStyle w:val="NoSpacing"/>
              <w:widowControl w:val="0"/>
              <w:numPr>
                <w:ilvl w:val="0"/>
                <w:numId w:val="109"/>
              </w:numPr>
              <w:contextualSpacing/>
              <w:rPr>
                <w:rFonts w:cs="Arial"/>
                <w:sz w:val="20"/>
                <w:szCs w:val="20"/>
                <w:lang w:val="es-ES_tradnl"/>
              </w:rPr>
            </w:pPr>
            <w:r w:rsidRPr="00B27B5A">
              <w:rPr>
                <w:rFonts w:cs="Arial"/>
                <w:sz w:val="20"/>
                <w:szCs w:val="20"/>
                <w:lang w:val="es-ES_tradnl"/>
              </w:rPr>
              <w:t xml:space="preserve">Constitución Política de Colombia </w:t>
            </w:r>
          </w:p>
          <w:p w:rsidR="00233205" w:rsidRPr="00B27B5A" w:rsidRDefault="00233205" w:rsidP="00233205">
            <w:pPr>
              <w:pStyle w:val="NoSpacing"/>
              <w:widowControl w:val="0"/>
              <w:numPr>
                <w:ilvl w:val="0"/>
                <w:numId w:val="109"/>
              </w:numPr>
              <w:contextualSpacing/>
              <w:rPr>
                <w:rFonts w:cs="Arial"/>
                <w:sz w:val="20"/>
                <w:szCs w:val="20"/>
                <w:lang w:val="es-ES_tradnl"/>
              </w:rPr>
            </w:pPr>
            <w:r w:rsidRPr="00B27B5A">
              <w:rPr>
                <w:rFonts w:cs="Arial"/>
                <w:sz w:val="20"/>
                <w:szCs w:val="20"/>
                <w:lang w:val="es-ES_tradnl"/>
              </w:rPr>
              <w:t xml:space="preserve">Contraloría General de la República, Guía de Auditoria </w:t>
            </w:r>
            <w:r w:rsidRPr="00B27B5A">
              <w:rPr>
                <w:color w:val="000000"/>
                <w:sz w:val="20"/>
                <w:szCs w:val="20"/>
                <w:lang w:val="es-ES_tradnl"/>
              </w:rPr>
              <w:t>Ajustada al contexto SICA</w:t>
            </w:r>
            <w:r w:rsidRPr="00B27B5A">
              <w:rPr>
                <w:rFonts w:cs="Arial"/>
                <w:sz w:val="20"/>
                <w:szCs w:val="20"/>
                <w:lang w:val="es-ES_tradnl"/>
              </w:rPr>
              <w:t xml:space="preserve"> Febrero 2013.</w:t>
            </w:r>
          </w:p>
          <w:p w:rsidR="00233205" w:rsidRPr="00B27B5A" w:rsidRDefault="00233205" w:rsidP="00233205">
            <w:pPr>
              <w:pStyle w:val="NoSpacing"/>
              <w:widowControl w:val="0"/>
              <w:numPr>
                <w:ilvl w:val="0"/>
                <w:numId w:val="109"/>
              </w:numPr>
              <w:contextualSpacing/>
              <w:rPr>
                <w:rFonts w:cs="Arial"/>
                <w:sz w:val="20"/>
                <w:szCs w:val="20"/>
                <w:lang w:val="es-ES_tradnl"/>
              </w:rPr>
            </w:pPr>
            <w:r w:rsidRPr="00B27B5A">
              <w:rPr>
                <w:rFonts w:cs="Arial"/>
                <w:sz w:val="20"/>
                <w:szCs w:val="20"/>
                <w:lang w:val="es-ES_tradnl"/>
              </w:rPr>
              <w:t>Contraloría General de la República. Programas de auditoría desarrollados para 21 entidades evaluadas.</w:t>
            </w:r>
          </w:p>
          <w:p w:rsidR="00233205" w:rsidRPr="00B27B5A" w:rsidRDefault="00233205" w:rsidP="00233205">
            <w:pPr>
              <w:pStyle w:val="NoSpacing"/>
              <w:widowControl w:val="0"/>
              <w:numPr>
                <w:ilvl w:val="0"/>
                <w:numId w:val="109"/>
              </w:numPr>
              <w:contextualSpacing/>
              <w:rPr>
                <w:color w:val="000000"/>
                <w:sz w:val="20"/>
                <w:szCs w:val="20"/>
                <w:lang w:val="es-ES_tradnl"/>
              </w:rPr>
            </w:pPr>
            <w:r w:rsidRPr="00B27B5A">
              <w:rPr>
                <w:color w:val="000000"/>
                <w:sz w:val="20"/>
                <w:szCs w:val="20"/>
                <w:lang w:val="es-ES_tradnl"/>
              </w:rPr>
              <w:t>Decreto 267 de 2000</w:t>
            </w:r>
          </w:p>
          <w:p w:rsidR="00233205" w:rsidRPr="00B27B5A" w:rsidRDefault="00233205" w:rsidP="00233205">
            <w:pPr>
              <w:pStyle w:val="NoSpacing"/>
              <w:widowControl w:val="0"/>
              <w:numPr>
                <w:ilvl w:val="0"/>
                <w:numId w:val="109"/>
              </w:numPr>
              <w:contextualSpacing/>
              <w:rPr>
                <w:color w:val="000000"/>
                <w:sz w:val="20"/>
                <w:szCs w:val="20"/>
                <w:lang w:val="pt-BR"/>
              </w:rPr>
            </w:pPr>
            <w:r w:rsidRPr="00B27B5A">
              <w:rPr>
                <w:color w:val="000000"/>
                <w:sz w:val="20"/>
                <w:szCs w:val="20"/>
                <w:lang w:val="pt-BR"/>
              </w:rPr>
              <w:t>Documento “Informes PVCF 2014, Programado BID”.</w:t>
            </w:r>
          </w:p>
          <w:p w:rsidR="00233205" w:rsidRPr="00B27B5A" w:rsidRDefault="00233205" w:rsidP="00233205">
            <w:pPr>
              <w:pStyle w:val="NoSpacing"/>
              <w:widowControl w:val="0"/>
              <w:numPr>
                <w:ilvl w:val="0"/>
                <w:numId w:val="109"/>
              </w:numPr>
              <w:contextualSpacing/>
              <w:rPr>
                <w:rFonts w:cstheme="majorHAnsi"/>
                <w:bCs/>
                <w:sz w:val="20"/>
                <w:szCs w:val="20"/>
                <w:lang w:val="es-ES_tradnl"/>
              </w:rPr>
            </w:pPr>
            <w:r w:rsidRPr="00B27B5A">
              <w:rPr>
                <w:rFonts w:cstheme="majorHAnsi"/>
                <w:bCs/>
                <w:sz w:val="20"/>
                <w:szCs w:val="20"/>
                <w:lang w:val="es-ES_tradnl"/>
              </w:rPr>
              <w:t>Entrevistas con Contralores Delegados, 19 de febrero de 2015.</w:t>
            </w:r>
          </w:p>
          <w:p w:rsidR="00233205" w:rsidRPr="00B27B5A" w:rsidRDefault="00233205" w:rsidP="00233205">
            <w:pPr>
              <w:pStyle w:val="NoSpacing"/>
              <w:widowControl w:val="0"/>
              <w:numPr>
                <w:ilvl w:val="0"/>
                <w:numId w:val="109"/>
              </w:numPr>
              <w:contextualSpacing/>
              <w:rPr>
                <w:rFonts w:cstheme="majorHAnsi"/>
                <w:bCs/>
                <w:sz w:val="20"/>
                <w:szCs w:val="20"/>
                <w:lang w:val="es-ES_tradnl"/>
              </w:rPr>
            </w:pPr>
            <w:r w:rsidRPr="00B27B5A">
              <w:rPr>
                <w:rFonts w:cstheme="majorHAnsi"/>
                <w:bCs/>
                <w:sz w:val="20"/>
                <w:szCs w:val="20"/>
                <w:lang w:val="es-ES_tradnl"/>
              </w:rPr>
              <w:t>Entrevistas con funcionarios de la Oficina de Planeación, 19 de febrero de 2015.</w:t>
            </w:r>
          </w:p>
          <w:p w:rsidR="00233205" w:rsidRPr="00B27B5A" w:rsidRDefault="00233205" w:rsidP="00233205">
            <w:pPr>
              <w:pStyle w:val="NoSpacing"/>
              <w:widowControl w:val="0"/>
              <w:numPr>
                <w:ilvl w:val="0"/>
                <w:numId w:val="109"/>
              </w:numPr>
              <w:contextualSpacing/>
              <w:rPr>
                <w:rFonts w:cstheme="majorHAnsi"/>
                <w:sz w:val="20"/>
                <w:szCs w:val="20"/>
                <w:lang w:val="es-ES_tradnl"/>
              </w:rPr>
            </w:pPr>
            <w:r w:rsidRPr="00B27B5A">
              <w:rPr>
                <w:rFonts w:cstheme="majorHAnsi"/>
                <w:bCs/>
                <w:sz w:val="20"/>
                <w:szCs w:val="20"/>
                <w:lang w:val="es-ES_tradnl"/>
              </w:rPr>
              <w:t>Indicaciones de la Organización Latinoamericana y del Caribe de Entidades Fiscalizadoras Superiores (OLACEFS).</w:t>
            </w:r>
          </w:p>
          <w:p w:rsidR="00233205" w:rsidRPr="00B27B5A" w:rsidRDefault="00233205" w:rsidP="00233205">
            <w:pPr>
              <w:pStyle w:val="NoSpacing"/>
              <w:widowControl w:val="0"/>
              <w:numPr>
                <w:ilvl w:val="0"/>
                <w:numId w:val="109"/>
              </w:numPr>
              <w:contextualSpacing/>
              <w:rPr>
                <w:rFonts w:cs="Arial"/>
                <w:sz w:val="20"/>
                <w:szCs w:val="20"/>
                <w:lang w:val="es-ES_tradnl"/>
              </w:rPr>
            </w:pPr>
            <w:r w:rsidRPr="00B27B5A">
              <w:rPr>
                <w:rFonts w:cs="Arial"/>
                <w:sz w:val="20"/>
                <w:szCs w:val="20"/>
                <w:lang w:val="es-ES_tradnl"/>
              </w:rPr>
              <w:t xml:space="preserve">Ley 42 de 1993 </w:t>
            </w:r>
          </w:p>
          <w:p w:rsidR="00233205" w:rsidRPr="00B27B5A" w:rsidRDefault="00233205" w:rsidP="00233205">
            <w:pPr>
              <w:pStyle w:val="NoSpacing"/>
              <w:widowControl w:val="0"/>
              <w:numPr>
                <w:ilvl w:val="0"/>
                <w:numId w:val="109"/>
              </w:numPr>
              <w:contextualSpacing/>
              <w:rPr>
                <w:rFonts w:cs="Arial"/>
                <w:sz w:val="20"/>
                <w:szCs w:val="20"/>
                <w:lang w:val="es-ES_tradnl"/>
              </w:rPr>
            </w:pPr>
            <w:r w:rsidRPr="00B27B5A">
              <w:rPr>
                <w:rFonts w:cs="Arial"/>
                <w:sz w:val="20"/>
                <w:szCs w:val="20"/>
                <w:lang w:val="es-ES_tradnl"/>
              </w:rPr>
              <w:t>Ley 734 de 2002</w:t>
            </w:r>
          </w:p>
          <w:p w:rsidR="00233205" w:rsidRPr="00B27B5A" w:rsidRDefault="00233205" w:rsidP="00233205">
            <w:pPr>
              <w:pStyle w:val="NoSpacing"/>
              <w:widowControl w:val="0"/>
              <w:numPr>
                <w:ilvl w:val="0"/>
                <w:numId w:val="109"/>
              </w:numPr>
              <w:contextualSpacing/>
              <w:rPr>
                <w:rFonts w:cstheme="majorHAnsi"/>
                <w:bCs/>
                <w:sz w:val="20"/>
                <w:szCs w:val="20"/>
                <w:lang w:val="es-ES_tradnl"/>
              </w:rPr>
            </w:pPr>
            <w:r w:rsidRPr="00B27B5A">
              <w:rPr>
                <w:rFonts w:cstheme="majorHAnsi"/>
                <w:bCs/>
                <w:sz w:val="20"/>
                <w:szCs w:val="20"/>
                <w:lang w:val="es-ES_tradnl"/>
              </w:rPr>
              <w:t>Normas Internacionales de Auditoría (NIAS).</w:t>
            </w:r>
          </w:p>
          <w:p w:rsidR="00233205" w:rsidRPr="00B27B5A" w:rsidRDefault="00233205" w:rsidP="00233205">
            <w:pPr>
              <w:pStyle w:val="NoSpacing"/>
              <w:widowControl w:val="0"/>
              <w:numPr>
                <w:ilvl w:val="0"/>
                <w:numId w:val="109"/>
              </w:numPr>
              <w:contextualSpacing/>
              <w:rPr>
                <w:rFonts w:cstheme="majorHAnsi"/>
                <w:bCs/>
                <w:sz w:val="20"/>
                <w:szCs w:val="20"/>
                <w:lang w:val="es-ES_tradnl"/>
              </w:rPr>
            </w:pPr>
            <w:r w:rsidRPr="00B27B5A">
              <w:rPr>
                <w:rFonts w:cstheme="majorHAnsi"/>
                <w:bCs/>
                <w:sz w:val="20"/>
                <w:szCs w:val="20"/>
                <w:lang w:val="es-ES_tradnl"/>
              </w:rPr>
              <w:t xml:space="preserve">Normas </w:t>
            </w:r>
            <w:proofErr w:type="spellStart"/>
            <w:r w:rsidRPr="00B27B5A">
              <w:rPr>
                <w:rFonts w:cstheme="majorHAnsi"/>
                <w:bCs/>
                <w:sz w:val="20"/>
                <w:szCs w:val="20"/>
                <w:lang w:val="es-ES_tradnl"/>
              </w:rPr>
              <w:t>ISSAIs</w:t>
            </w:r>
            <w:proofErr w:type="spellEnd"/>
            <w:r w:rsidRPr="00B27B5A">
              <w:rPr>
                <w:rFonts w:cstheme="majorHAnsi"/>
                <w:bCs/>
                <w:sz w:val="20"/>
                <w:szCs w:val="20"/>
                <w:lang w:val="es-ES_tradnl"/>
              </w:rPr>
              <w:t>.</w:t>
            </w:r>
          </w:p>
          <w:p w:rsidR="00233205" w:rsidRPr="00B27B5A" w:rsidRDefault="00233205" w:rsidP="00233205">
            <w:pPr>
              <w:pStyle w:val="NoSpacing"/>
              <w:widowControl w:val="0"/>
              <w:numPr>
                <w:ilvl w:val="0"/>
                <w:numId w:val="109"/>
              </w:numPr>
              <w:contextualSpacing/>
              <w:rPr>
                <w:rFonts w:cstheme="majorHAnsi"/>
                <w:bCs/>
                <w:sz w:val="20"/>
                <w:szCs w:val="20"/>
                <w:lang w:val="es-ES_tradnl"/>
              </w:rPr>
            </w:pPr>
            <w:r w:rsidRPr="00B27B5A">
              <w:rPr>
                <w:rFonts w:cstheme="majorHAnsi"/>
                <w:bCs/>
                <w:sz w:val="20"/>
                <w:szCs w:val="20"/>
                <w:lang w:val="es-ES_tradnl"/>
              </w:rPr>
              <w:t>Plan de Capacitación 2014.</w:t>
            </w:r>
          </w:p>
          <w:p w:rsidR="00233205" w:rsidRPr="00B27B5A" w:rsidRDefault="00233205" w:rsidP="00233205">
            <w:pPr>
              <w:pStyle w:val="NoSpacing"/>
              <w:widowControl w:val="0"/>
              <w:numPr>
                <w:ilvl w:val="0"/>
                <w:numId w:val="109"/>
              </w:numPr>
              <w:contextualSpacing/>
              <w:rPr>
                <w:rFonts w:cstheme="majorHAnsi"/>
                <w:bCs/>
                <w:sz w:val="20"/>
                <w:szCs w:val="20"/>
                <w:lang w:val="es-ES_tradnl"/>
              </w:rPr>
            </w:pPr>
            <w:r w:rsidRPr="00B27B5A">
              <w:rPr>
                <w:sz w:val="20"/>
                <w:szCs w:val="20"/>
                <w:lang w:val="es-ES_tradnl"/>
              </w:rPr>
              <w:t>Papeles de Trabajo de la Metodología MMD-EFS</w:t>
            </w:r>
          </w:p>
          <w:p w:rsidR="00233205" w:rsidRPr="00B27B5A" w:rsidRDefault="00233205" w:rsidP="00233205">
            <w:pPr>
              <w:pStyle w:val="NoSpacing"/>
              <w:widowControl w:val="0"/>
              <w:numPr>
                <w:ilvl w:val="0"/>
                <w:numId w:val="109"/>
              </w:numPr>
              <w:contextualSpacing/>
              <w:rPr>
                <w:rFonts w:cs="Arial"/>
                <w:sz w:val="20"/>
                <w:szCs w:val="20"/>
                <w:lang w:val="es-ES_tradnl"/>
              </w:rPr>
            </w:pPr>
            <w:r w:rsidRPr="00B27B5A">
              <w:rPr>
                <w:color w:val="000000"/>
                <w:sz w:val="20"/>
                <w:szCs w:val="20"/>
                <w:lang w:val="es-ES_tradnl"/>
              </w:rPr>
              <w:t>Sistema Integrado de Control de Auditoria (SICA).</w:t>
            </w:r>
          </w:p>
          <w:p w:rsidR="00233205" w:rsidRPr="00A52A63" w:rsidRDefault="00233205" w:rsidP="00E30BEC">
            <w:pPr>
              <w:pStyle w:val="NoSpacing"/>
              <w:ind w:left="360"/>
              <w:contextualSpacing/>
              <w:rPr>
                <w:rFonts w:cs="Arial"/>
                <w:sz w:val="16"/>
                <w:szCs w:val="20"/>
                <w:lang w:val="es-ES_tradnl"/>
              </w:rPr>
            </w:pPr>
          </w:p>
        </w:tc>
      </w:tr>
      <w:tr w:rsidR="00233205" w:rsidRPr="00A52A63" w:rsidTr="00E30BEC">
        <w:tc>
          <w:tcPr>
            <w:tcW w:w="1101" w:type="dxa"/>
            <w:vAlign w:val="center"/>
          </w:tcPr>
          <w:p w:rsidR="00233205" w:rsidRPr="00A52A63" w:rsidRDefault="00233205" w:rsidP="00E30BEC">
            <w:pPr>
              <w:pStyle w:val="NoSpacing"/>
              <w:rPr>
                <w:b/>
                <w:sz w:val="20"/>
                <w:szCs w:val="20"/>
                <w:lang w:val="es-ES_tradnl"/>
              </w:rPr>
            </w:pPr>
            <w:r w:rsidRPr="00A52A63">
              <w:rPr>
                <w:b/>
                <w:sz w:val="20"/>
                <w:szCs w:val="20"/>
                <w:lang w:val="es-ES_tradnl"/>
              </w:rPr>
              <w:t>EFS-14</w:t>
            </w:r>
          </w:p>
        </w:tc>
        <w:tc>
          <w:tcPr>
            <w:tcW w:w="8646" w:type="dxa"/>
            <w:vAlign w:val="center"/>
          </w:tcPr>
          <w:p w:rsidR="00233205" w:rsidRPr="00A52A63" w:rsidRDefault="00233205" w:rsidP="00E30BEC">
            <w:pPr>
              <w:pStyle w:val="NoSpacing"/>
              <w:ind w:left="360"/>
              <w:contextualSpacing/>
              <w:rPr>
                <w:rFonts w:cs="Arial"/>
                <w:sz w:val="16"/>
                <w:szCs w:val="20"/>
                <w:lang w:val="es-ES_tradnl"/>
              </w:rPr>
            </w:pPr>
          </w:p>
          <w:p w:rsidR="00233205" w:rsidRPr="00A52A63" w:rsidRDefault="00233205" w:rsidP="00233205">
            <w:pPr>
              <w:pStyle w:val="NoSpacing"/>
              <w:widowControl w:val="0"/>
              <w:numPr>
                <w:ilvl w:val="0"/>
                <w:numId w:val="109"/>
              </w:numPr>
              <w:contextualSpacing/>
              <w:rPr>
                <w:rFonts w:cs="Arial"/>
                <w:sz w:val="20"/>
                <w:szCs w:val="20"/>
                <w:lang w:val="es-ES_tradnl"/>
              </w:rPr>
            </w:pPr>
            <w:r w:rsidRPr="00A52A63">
              <w:rPr>
                <w:rFonts w:cs="Arial"/>
                <w:sz w:val="20"/>
                <w:szCs w:val="20"/>
                <w:lang w:val="es-ES_tradnl"/>
              </w:rPr>
              <w:t xml:space="preserve">Constitución Política de Colombia </w:t>
            </w:r>
          </w:p>
          <w:p w:rsidR="00233205" w:rsidRPr="00A52A63" w:rsidRDefault="00233205" w:rsidP="00233205">
            <w:pPr>
              <w:pStyle w:val="NoSpacing"/>
              <w:widowControl w:val="0"/>
              <w:numPr>
                <w:ilvl w:val="0"/>
                <w:numId w:val="109"/>
              </w:numPr>
              <w:contextualSpacing/>
              <w:rPr>
                <w:rFonts w:cs="Arial"/>
                <w:sz w:val="20"/>
                <w:szCs w:val="20"/>
                <w:lang w:val="es-ES_tradnl"/>
              </w:rPr>
            </w:pPr>
            <w:r w:rsidRPr="00A52A63">
              <w:rPr>
                <w:rFonts w:cs="Arial"/>
                <w:sz w:val="20"/>
                <w:szCs w:val="20"/>
                <w:lang w:val="es-ES_tradnl"/>
              </w:rPr>
              <w:t>Constitución Política de Colombia.</w:t>
            </w:r>
          </w:p>
          <w:p w:rsidR="00233205" w:rsidRPr="00A52A63" w:rsidRDefault="00233205" w:rsidP="00233205">
            <w:pPr>
              <w:pStyle w:val="NoSpacing"/>
              <w:widowControl w:val="0"/>
              <w:numPr>
                <w:ilvl w:val="0"/>
                <w:numId w:val="109"/>
              </w:numPr>
              <w:contextualSpacing/>
              <w:rPr>
                <w:rFonts w:cs="Arial"/>
                <w:sz w:val="20"/>
                <w:szCs w:val="20"/>
                <w:lang w:val="es-ES_tradnl"/>
              </w:rPr>
            </w:pPr>
            <w:r w:rsidRPr="00A52A63">
              <w:rPr>
                <w:rFonts w:cs="Arial"/>
                <w:sz w:val="20"/>
                <w:szCs w:val="20"/>
                <w:lang w:val="es-ES_tradnl"/>
              </w:rPr>
              <w:t xml:space="preserve">Contraloría General de la República, Guía de Auditoria </w:t>
            </w:r>
            <w:r w:rsidRPr="00A52A63">
              <w:rPr>
                <w:color w:val="000000"/>
                <w:sz w:val="20"/>
                <w:szCs w:val="20"/>
                <w:lang w:val="es-ES_tradnl"/>
              </w:rPr>
              <w:t>Ajustada al contexto SICA</w:t>
            </w:r>
            <w:r w:rsidRPr="00A52A63">
              <w:rPr>
                <w:rFonts w:cs="Arial"/>
                <w:sz w:val="20"/>
                <w:szCs w:val="20"/>
                <w:lang w:val="es-ES_tradnl"/>
              </w:rPr>
              <w:t xml:space="preserve"> Febrero 2013.</w:t>
            </w:r>
          </w:p>
          <w:p w:rsidR="00233205" w:rsidRPr="00A52A63" w:rsidRDefault="00233205" w:rsidP="00233205">
            <w:pPr>
              <w:pStyle w:val="NoSpacing"/>
              <w:widowControl w:val="0"/>
              <w:numPr>
                <w:ilvl w:val="0"/>
                <w:numId w:val="109"/>
              </w:numPr>
              <w:contextualSpacing/>
              <w:rPr>
                <w:rFonts w:cs="Arial"/>
                <w:sz w:val="20"/>
                <w:szCs w:val="20"/>
                <w:lang w:val="es-ES_tradnl"/>
              </w:rPr>
            </w:pPr>
            <w:r w:rsidRPr="00A52A63">
              <w:rPr>
                <w:rFonts w:cs="Arial"/>
                <w:sz w:val="20"/>
                <w:szCs w:val="20"/>
                <w:lang w:val="es-ES_tradnl"/>
              </w:rPr>
              <w:t>Contraloría General de la República. Programas de auditoría desarrollados para 21 entidades evaluadas</w:t>
            </w:r>
          </w:p>
          <w:p w:rsidR="00233205" w:rsidRPr="00747A0D" w:rsidRDefault="00233205" w:rsidP="00233205">
            <w:pPr>
              <w:pStyle w:val="NoSpacing"/>
              <w:widowControl w:val="0"/>
              <w:numPr>
                <w:ilvl w:val="0"/>
                <w:numId w:val="109"/>
              </w:numPr>
              <w:contextualSpacing/>
              <w:rPr>
                <w:rFonts w:cs="Arial"/>
                <w:sz w:val="20"/>
                <w:szCs w:val="20"/>
                <w:lang w:val="pt-BR"/>
              </w:rPr>
            </w:pPr>
            <w:r w:rsidRPr="00747A0D">
              <w:rPr>
                <w:color w:val="000000"/>
                <w:sz w:val="20"/>
                <w:szCs w:val="20"/>
                <w:lang w:val="pt-BR"/>
              </w:rPr>
              <w:t>Documento “Informes PVCF 2014, Programado BID”.</w:t>
            </w:r>
          </w:p>
          <w:p w:rsidR="00233205" w:rsidRPr="00A52A63" w:rsidRDefault="00233205" w:rsidP="00233205">
            <w:pPr>
              <w:pStyle w:val="NoSpacing"/>
              <w:widowControl w:val="0"/>
              <w:numPr>
                <w:ilvl w:val="0"/>
                <w:numId w:val="109"/>
              </w:numPr>
              <w:contextualSpacing/>
              <w:rPr>
                <w:rFonts w:cs="Arial"/>
                <w:sz w:val="20"/>
                <w:szCs w:val="20"/>
                <w:lang w:val="es-ES_tradnl"/>
              </w:rPr>
            </w:pPr>
            <w:r w:rsidRPr="00A52A63">
              <w:rPr>
                <w:rFonts w:cstheme="majorHAnsi"/>
                <w:bCs/>
                <w:sz w:val="20"/>
                <w:szCs w:val="20"/>
                <w:lang w:val="es-ES_tradnl"/>
              </w:rPr>
              <w:t xml:space="preserve">Entrevistas con Contralores Delegados, </w:t>
            </w:r>
            <w:r w:rsidRPr="00A52A63">
              <w:rPr>
                <w:rFonts w:cs="Arial"/>
                <w:sz w:val="20"/>
                <w:szCs w:val="20"/>
                <w:lang w:val="es-ES_tradnl"/>
              </w:rPr>
              <w:t>19 de febrero de 2015.</w:t>
            </w:r>
          </w:p>
          <w:p w:rsidR="00233205" w:rsidRPr="00A52A63" w:rsidRDefault="00233205" w:rsidP="00233205">
            <w:pPr>
              <w:pStyle w:val="NoSpacing"/>
              <w:widowControl w:val="0"/>
              <w:numPr>
                <w:ilvl w:val="0"/>
                <w:numId w:val="109"/>
              </w:numPr>
              <w:contextualSpacing/>
              <w:rPr>
                <w:rFonts w:cs="Arial"/>
                <w:sz w:val="20"/>
                <w:szCs w:val="20"/>
                <w:lang w:val="es-ES_tradnl"/>
              </w:rPr>
            </w:pPr>
            <w:r w:rsidRPr="00A52A63">
              <w:rPr>
                <w:rFonts w:cstheme="majorHAnsi"/>
                <w:bCs/>
                <w:sz w:val="20"/>
                <w:szCs w:val="20"/>
                <w:lang w:val="es-ES_tradnl"/>
              </w:rPr>
              <w:t xml:space="preserve">Entrevistas con funcionarios de la Oficina de Planeación, </w:t>
            </w:r>
            <w:r w:rsidRPr="00A52A63">
              <w:rPr>
                <w:rFonts w:cs="Arial"/>
                <w:sz w:val="20"/>
                <w:szCs w:val="20"/>
                <w:lang w:val="es-ES_tradnl"/>
              </w:rPr>
              <w:t>19 de febrero de 2015.</w:t>
            </w:r>
          </w:p>
          <w:p w:rsidR="00233205" w:rsidRPr="00A52A63" w:rsidRDefault="00233205" w:rsidP="00233205">
            <w:pPr>
              <w:pStyle w:val="NoSpacing"/>
              <w:widowControl w:val="0"/>
              <w:numPr>
                <w:ilvl w:val="0"/>
                <w:numId w:val="109"/>
              </w:numPr>
              <w:contextualSpacing/>
              <w:rPr>
                <w:rFonts w:cstheme="majorHAnsi"/>
                <w:sz w:val="20"/>
                <w:szCs w:val="20"/>
                <w:lang w:val="es-ES_tradnl"/>
              </w:rPr>
            </w:pPr>
            <w:r w:rsidRPr="00A52A63">
              <w:rPr>
                <w:rFonts w:cstheme="majorHAnsi"/>
                <w:bCs/>
                <w:sz w:val="20"/>
                <w:szCs w:val="20"/>
                <w:lang w:val="es-ES_tradnl"/>
              </w:rPr>
              <w:t>Indicaciones de la Organización Latinoamericana y del Caribe de Entidades Fiscalizadoras Superiores (OLACEFS).</w:t>
            </w:r>
          </w:p>
          <w:p w:rsidR="00233205" w:rsidRPr="00A52A63" w:rsidRDefault="00233205" w:rsidP="00233205">
            <w:pPr>
              <w:pStyle w:val="NoSpacing"/>
              <w:widowControl w:val="0"/>
              <w:numPr>
                <w:ilvl w:val="0"/>
                <w:numId w:val="109"/>
              </w:numPr>
              <w:contextualSpacing/>
              <w:rPr>
                <w:rFonts w:cstheme="majorHAnsi"/>
                <w:bCs/>
                <w:sz w:val="20"/>
                <w:szCs w:val="20"/>
                <w:lang w:val="es-ES_tradnl"/>
              </w:rPr>
            </w:pPr>
            <w:r w:rsidRPr="00A52A63">
              <w:rPr>
                <w:rFonts w:cstheme="majorHAnsi"/>
                <w:bCs/>
                <w:sz w:val="20"/>
                <w:szCs w:val="20"/>
                <w:lang w:val="es-ES_tradnl"/>
              </w:rPr>
              <w:t>Normas Internacionales de Auditoría (NIAS).</w:t>
            </w:r>
          </w:p>
          <w:p w:rsidR="00233205" w:rsidRPr="00A52A63" w:rsidRDefault="00233205" w:rsidP="00233205">
            <w:pPr>
              <w:pStyle w:val="NoSpacing"/>
              <w:widowControl w:val="0"/>
              <w:numPr>
                <w:ilvl w:val="0"/>
                <w:numId w:val="109"/>
              </w:numPr>
              <w:contextualSpacing/>
              <w:rPr>
                <w:rFonts w:cstheme="majorHAnsi"/>
                <w:bCs/>
                <w:sz w:val="20"/>
                <w:szCs w:val="20"/>
                <w:lang w:val="es-ES_tradnl"/>
              </w:rPr>
            </w:pPr>
            <w:r w:rsidRPr="00A52A63">
              <w:rPr>
                <w:rFonts w:cstheme="majorHAnsi"/>
                <w:bCs/>
                <w:sz w:val="20"/>
                <w:szCs w:val="20"/>
                <w:lang w:val="es-ES_tradnl"/>
              </w:rPr>
              <w:t xml:space="preserve">Normas </w:t>
            </w:r>
            <w:proofErr w:type="spellStart"/>
            <w:r w:rsidRPr="00A52A63">
              <w:rPr>
                <w:rFonts w:cstheme="majorHAnsi"/>
                <w:bCs/>
                <w:sz w:val="20"/>
                <w:szCs w:val="20"/>
                <w:lang w:val="es-ES_tradnl"/>
              </w:rPr>
              <w:t>ISSAIs</w:t>
            </w:r>
            <w:proofErr w:type="spellEnd"/>
            <w:r w:rsidRPr="00A52A63">
              <w:rPr>
                <w:rFonts w:cstheme="majorHAnsi"/>
                <w:bCs/>
                <w:sz w:val="20"/>
                <w:szCs w:val="20"/>
                <w:lang w:val="es-ES_tradnl"/>
              </w:rPr>
              <w:t>.</w:t>
            </w:r>
          </w:p>
          <w:p w:rsidR="00233205" w:rsidRPr="00A52A63" w:rsidRDefault="00233205" w:rsidP="00233205">
            <w:pPr>
              <w:pStyle w:val="NoSpacing"/>
              <w:widowControl w:val="0"/>
              <w:numPr>
                <w:ilvl w:val="0"/>
                <w:numId w:val="109"/>
              </w:numPr>
              <w:contextualSpacing/>
              <w:rPr>
                <w:rFonts w:cstheme="majorHAnsi"/>
                <w:bCs/>
                <w:sz w:val="20"/>
                <w:szCs w:val="20"/>
                <w:lang w:val="es-ES_tradnl"/>
              </w:rPr>
            </w:pPr>
            <w:r w:rsidRPr="00A52A63">
              <w:rPr>
                <w:sz w:val="20"/>
                <w:szCs w:val="20"/>
                <w:lang w:val="es-ES_tradnl"/>
              </w:rPr>
              <w:t>Papeles de Trabajo de la Metodología MMD-EFS</w:t>
            </w:r>
          </w:p>
          <w:p w:rsidR="00233205" w:rsidRPr="00A52A63" w:rsidRDefault="00233205" w:rsidP="00233205">
            <w:pPr>
              <w:pStyle w:val="NoSpacing"/>
              <w:widowControl w:val="0"/>
              <w:numPr>
                <w:ilvl w:val="0"/>
                <w:numId w:val="109"/>
              </w:numPr>
              <w:contextualSpacing/>
              <w:rPr>
                <w:rFonts w:cs="Arial"/>
                <w:sz w:val="20"/>
                <w:szCs w:val="20"/>
                <w:lang w:val="es-ES_tradnl"/>
              </w:rPr>
            </w:pPr>
            <w:r w:rsidRPr="00A52A63">
              <w:rPr>
                <w:color w:val="000000"/>
                <w:sz w:val="20"/>
                <w:szCs w:val="20"/>
                <w:lang w:val="es-ES_tradnl"/>
              </w:rPr>
              <w:t>Sistema Integrado de Control de Auditoria (SICA).</w:t>
            </w:r>
            <w:r w:rsidRPr="00A52A63">
              <w:rPr>
                <w:rFonts w:cs="Arial"/>
                <w:sz w:val="20"/>
                <w:szCs w:val="20"/>
                <w:lang w:val="es-ES_tradnl"/>
              </w:rPr>
              <w:t xml:space="preserve"> </w:t>
            </w:r>
          </w:p>
          <w:p w:rsidR="00233205" w:rsidRPr="00A52A63" w:rsidRDefault="00233205" w:rsidP="00E30BEC">
            <w:pPr>
              <w:pStyle w:val="NoSpacing"/>
              <w:ind w:left="360"/>
              <w:contextualSpacing/>
              <w:rPr>
                <w:rFonts w:cs="Arial"/>
                <w:sz w:val="16"/>
                <w:szCs w:val="20"/>
                <w:lang w:val="es-ES_tradnl"/>
              </w:rPr>
            </w:pPr>
          </w:p>
        </w:tc>
      </w:tr>
      <w:tr w:rsidR="00233205" w:rsidRPr="00A52A63" w:rsidTr="00E30BEC">
        <w:tc>
          <w:tcPr>
            <w:tcW w:w="1101" w:type="dxa"/>
            <w:vAlign w:val="center"/>
          </w:tcPr>
          <w:p w:rsidR="00233205" w:rsidRPr="00A52A63" w:rsidRDefault="00233205" w:rsidP="00E30BEC">
            <w:pPr>
              <w:pStyle w:val="NoSpacing"/>
              <w:rPr>
                <w:b/>
                <w:sz w:val="20"/>
                <w:szCs w:val="20"/>
                <w:lang w:val="es-ES_tradnl"/>
              </w:rPr>
            </w:pPr>
            <w:r w:rsidRPr="00A52A63">
              <w:rPr>
                <w:b/>
                <w:sz w:val="20"/>
                <w:szCs w:val="20"/>
                <w:lang w:val="es-ES_tradnl"/>
              </w:rPr>
              <w:lastRenderedPageBreak/>
              <w:t>EFS-15</w:t>
            </w:r>
          </w:p>
        </w:tc>
        <w:tc>
          <w:tcPr>
            <w:tcW w:w="8646" w:type="dxa"/>
            <w:vAlign w:val="center"/>
          </w:tcPr>
          <w:p w:rsidR="00233205" w:rsidRPr="00A52A63" w:rsidRDefault="00233205" w:rsidP="00E30BEC">
            <w:pPr>
              <w:pStyle w:val="NoSpacing"/>
              <w:ind w:left="360"/>
              <w:contextualSpacing/>
              <w:rPr>
                <w:rFonts w:cstheme="majorHAnsi"/>
                <w:bCs/>
                <w:sz w:val="20"/>
                <w:szCs w:val="20"/>
                <w:lang w:val="es-ES_tradnl"/>
              </w:rPr>
            </w:pPr>
          </w:p>
          <w:p w:rsidR="00233205" w:rsidRPr="00A52A63" w:rsidRDefault="00233205" w:rsidP="00233205">
            <w:pPr>
              <w:pStyle w:val="NoSpacing"/>
              <w:widowControl w:val="0"/>
              <w:numPr>
                <w:ilvl w:val="0"/>
                <w:numId w:val="109"/>
              </w:numPr>
              <w:contextualSpacing/>
              <w:rPr>
                <w:rFonts w:cstheme="majorHAnsi"/>
                <w:bCs/>
                <w:sz w:val="20"/>
                <w:szCs w:val="20"/>
                <w:lang w:val="es-ES_tradnl"/>
              </w:rPr>
            </w:pPr>
            <w:r w:rsidRPr="00A52A63">
              <w:rPr>
                <w:rFonts w:cstheme="majorHAnsi"/>
                <w:bCs/>
                <w:sz w:val="20"/>
                <w:szCs w:val="20"/>
                <w:lang w:val="es-ES_tradnl"/>
              </w:rPr>
              <w:t>Código de Ética y de Buen Gobierno (Aprobado mediante Res. 073 Agosto 25/2008)</w:t>
            </w:r>
          </w:p>
          <w:p w:rsidR="00233205" w:rsidRPr="00A52A63" w:rsidRDefault="00233205" w:rsidP="00233205">
            <w:pPr>
              <w:pStyle w:val="NoSpacing"/>
              <w:widowControl w:val="0"/>
              <w:numPr>
                <w:ilvl w:val="0"/>
                <w:numId w:val="109"/>
              </w:numPr>
              <w:contextualSpacing/>
              <w:rPr>
                <w:rFonts w:cs="Arial"/>
                <w:sz w:val="20"/>
                <w:szCs w:val="20"/>
                <w:lang w:val="es-ES_tradnl"/>
              </w:rPr>
            </w:pPr>
            <w:r w:rsidRPr="00A52A63">
              <w:rPr>
                <w:rFonts w:cs="Arial"/>
                <w:sz w:val="20"/>
                <w:szCs w:val="20"/>
                <w:lang w:val="es-ES_tradnl"/>
              </w:rPr>
              <w:t>Constitución Política de Colombia.</w:t>
            </w:r>
          </w:p>
          <w:p w:rsidR="00233205" w:rsidRPr="00A52A63" w:rsidRDefault="00233205" w:rsidP="00233205">
            <w:pPr>
              <w:pStyle w:val="NoSpacing"/>
              <w:widowControl w:val="0"/>
              <w:numPr>
                <w:ilvl w:val="0"/>
                <w:numId w:val="109"/>
              </w:numPr>
              <w:contextualSpacing/>
              <w:rPr>
                <w:rFonts w:cs="Arial"/>
                <w:sz w:val="20"/>
                <w:szCs w:val="20"/>
                <w:lang w:val="es-ES_tradnl"/>
              </w:rPr>
            </w:pPr>
            <w:r w:rsidRPr="00A52A63">
              <w:rPr>
                <w:rFonts w:cs="Arial"/>
                <w:sz w:val="20"/>
                <w:szCs w:val="20"/>
                <w:lang w:val="es-ES_tradnl"/>
              </w:rPr>
              <w:t xml:space="preserve">Contraloría General de la República, Guía de Auditoria </w:t>
            </w:r>
            <w:r w:rsidRPr="00A52A63">
              <w:rPr>
                <w:color w:val="000000"/>
                <w:sz w:val="20"/>
                <w:szCs w:val="20"/>
                <w:lang w:val="es-ES_tradnl"/>
              </w:rPr>
              <w:t>Ajustada al contexto SICA</w:t>
            </w:r>
            <w:r w:rsidRPr="00A52A63">
              <w:rPr>
                <w:rFonts w:cs="Arial"/>
                <w:sz w:val="20"/>
                <w:szCs w:val="20"/>
                <w:lang w:val="es-ES_tradnl"/>
              </w:rPr>
              <w:t xml:space="preserve"> Febrero 2013.</w:t>
            </w:r>
          </w:p>
          <w:p w:rsidR="00233205" w:rsidRPr="00A52A63" w:rsidRDefault="00233205" w:rsidP="00233205">
            <w:pPr>
              <w:pStyle w:val="NoSpacing"/>
              <w:widowControl w:val="0"/>
              <w:numPr>
                <w:ilvl w:val="0"/>
                <w:numId w:val="109"/>
              </w:numPr>
              <w:contextualSpacing/>
              <w:rPr>
                <w:rFonts w:cs="Arial"/>
                <w:sz w:val="20"/>
                <w:szCs w:val="20"/>
                <w:lang w:val="es-ES_tradnl"/>
              </w:rPr>
            </w:pPr>
            <w:r w:rsidRPr="00A52A63">
              <w:rPr>
                <w:rFonts w:cs="Arial"/>
                <w:sz w:val="20"/>
                <w:szCs w:val="20"/>
                <w:lang w:val="es-ES_tradnl"/>
              </w:rPr>
              <w:t>Contraloría General de la República. Programas de auditoría desarrollados para 21 entidades evaluadas.</w:t>
            </w:r>
          </w:p>
          <w:p w:rsidR="00233205" w:rsidRPr="00A52A63" w:rsidRDefault="00233205" w:rsidP="00233205">
            <w:pPr>
              <w:pStyle w:val="NoSpacing"/>
              <w:widowControl w:val="0"/>
              <w:numPr>
                <w:ilvl w:val="0"/>
                <w:numId w:val="109"/>
              </w:numPr>
              <w:contextualSpacing/>
              <w:rPr>
                <w:color w:val="000000"/>
                <w:sz w:val="20"/>
                <w:szCs w:val="20"/>
                <w:lang w:val="es-ES_tradnl"/>
              </w:rPr>
            </w:pPr>
            <w:r w:rsidRPr="00A52A63">
              <w:rPr>
                <w:color w:val="000000"/>
                <w:sz w:val="20"/>
                <w:szCs w:val="20"/>
                <w:lang w:val="es-ES_tradnl"/>
              </w:rPr>
              <w:t>Decreto 267 de 2000</w:t>
            </w:r>
          </w:p>
          <w:p w:rsidR="00233205" w:rsidRPr="00747A0D" w:rsidRDefault="00233205" w:rsidP="00233205">
            <w:pPr>
              <w:pStyle w:val="NoSpacing"/>
              <w:widowControl w:val="0"/>
              <w:numPr>
                <w:ilvl w:val="0"/>
                <w:numId w:val="109"/>
              </w:numPr>
              <w:contextualSpacing/>
              <w:rPr>
                <w:color w:val="000000"/>
                <w:sz w:val="20"/>
                <w:szCs w:val="20"/>
                <w:lang w:val="pt-BR"/>
              </w:rPr>
            </w:pPr>
            <w:r w:rsidRPr="00747A0D">
              <w:rPr>
                <w:color w:val="000000"/>
                <w:sz w:val="20"/>
                <w:szCs w:val="20"/>
                <w:lang w:val="pt-BR"/>
              </w:rPr>
              <w:t>Documento “Informes PVCF 2014, Programado BID”.</w:t>
            </w:r>
          </w:p>
          <w:p w:rsidR="00233205" w:rsidRPr="00A52A63" w:rsidRDefault="00233205" w:rsidP="00233205">
            <w:pPr>
              <w:pStyle w:val="NoSpacing"/>
              <w:widowControl w:val="0"/>
              <w:numPr>
                <w:ilvl w:val="0"/>
                <w:numId w:val="109"/>
              </w:numPr>
              <w:contextualSpacing/>
              <w:rPr>
                <w:rFonts w:cstheme="majorHAnsi"/>
                <w:bCs/>
                <w:sz w:val="20"/>
                <w:szCs w:val="20"/>
                <w:lang w:val="es-ES_tradnl"/>
              </w:rPr>
            </w:pPr>
            <w:r w:rsidRPr="00A52A63">
              <w:rPr>
                <w:rFonts w:cstheme="majorHAnsi"/>
                <w:bCs/>
                <w:sz w:val="20"/>
                <w:szCs w:val="20"/>
                <w:lang w:val="es-ES_tradnl"/>
              </w:rPr>
              <w:t>Entrevistas con Contralores Delegados, 19 de febrero de 2015.</w:t>
            </w:r>
          </w:p>
          <w:p w:rsidR="00233205" w:rsidRPr="00A52A63" w:rsidRDefault="00233205" w:rsidP="00233205">
            <w:pPr>
              <w:pStyle w:val="NoSpacing"/>
              <w:widowControl w:val="0"/>
              <w:numPr>
                <w:ilvl w:val="0"/>
                <w:numId w:val="109"/>
              </w:numPr>
              <w:contextualSpacing/>
              <w:rPr>
                <w:rFonts w:cstheme="majorHAnsi"/>
                <w:bCs/>
                <w:sz w:val="20"/>
                <w:szCs w:val="20"/>
                <w:lang w:val="es-ES_tradnl"/>
              </w:rPr>
            </w:pPr>
            <w:r w:rsidRPr="00A52A63">
              <w:rPr>
                <w:rFonts w:cstheme="majorHAnsi"/>
                <w:bCs/>
                <w:sz w:val="20"/>
                <w:szCs w:val="20"/>
                <w:lang w:val="es-ES_tradnl"/>
              </w:rPr>
              <w:t>Entrevistas con funcionarios de la Oficina de Planeación, 19 de febrero de 2015.</w:t>
            </w:r>
          </w:p>
          <w:p w:rsidR="00233205" w:rsidRPr="00A52A63" w:rsidRDefault="00233205" w:rsidP="00233205">
            <w:pPr>
              <w:pStyle w:val="NoSpacing"/>
              <w:widowControl w:val="0"/>
              <w:numPr>
                <w:ilvl w:val="0"/>
                <w:numId w:val="109"/>
              </w:numPr>
              <w:contextualSpacing/>
              <w:rPr>
                <w:rFonts w:cstheme="majorHAnsi"/>
                <w:sz w:val="20"/>
                <w:szCs w:val="20"/>
                <w:lang w:val="es-ES_tradnl"/>
              </w:rPr>
            </w:pPr>
            <w:r w:rsidRPr="00A52A63">
              <w:rPr>
                <w:rFonts w:cstheme="majorHAnsi"/>
                <w:bCs/>
                <w:sz w:val="20"/>
                <w:szCs w:val="20"/>
                <w:lang w:val="es-ES_tradnl"/>
              </w:rPr>
              <w:t>Indicaciones de la Organización Latinoamericana y del Caribe de Entidades Fiscalizadoras Superiores (OLACEFS).</w:t>
            </w:r>
          </w:p>
          <w:p w:rsidR="00233205" w:rsidRPr="00A52A63" w:rsidRDefault="00233205" w:rsidP="00233205">
            <w:pPr>
              <w:pStyle w:val="NoSpacing"/>
              <w:widowControl w:val="0"/>
              <w:numPr>
                <w:ilvl w:val="0"/>
                <w:numId w:val="109"/>
              </w:numPr>
              <w:contextualSpacing/>
              <w:rPr>
                <w:rFonts w:cs="Arial"/>
                <w:sz w:val="20"/>
                <w:szCs w:val="20"/>
                <w:lang w:val="es-ES_tradnl"/>
              </w:rPr>
            </w:pPr>
            <w:r w:rsidRPr="00A52A63">
              <w:rPr>
                <w:rFonts w:cs="Arial"/>
                <w:sz w:val="20"/>
                <w:szCs w:val="20"/>
                <w:lang w:val="es-ES_tradnl"/>
              </w:rPr>
              <w:t xml:space="preserve">Ley 42 de 1993 </w:t>
            </w:r>
          </w:p>
          <w:p w:rsidR="00233205" w:rsidRPr="00A52A63" w:rsidRDefault="00233205" w:rsidP="00233205">
            <w:pPr>
              <w:pStyle w:val="NoSpacing"/>
              <w:widowControl w:val="0"/>
              <w:numPr>
                <w:ilvl w:val="0"/>
                <w:numId w:val="109"/>
              </w:numPr>
              <w:contextualSpacing/>
              <w:rPr>
                <w:rFonts w:cs="Arial"/>
                <w:sz w:val="20"/>
                <w:szCs w:val="20"/>
                <w:lang w:val="es-ES_tradnl"/>
              </w:rPr>
            </w:pPr>
            <w:r w:rsidRPr="00A52A63">
              <w:rPr>
                <w:rFonts w:cs="Arial"/>
                <w:sz w:val="20"/>
                <w:szCs w:val="20"/>
                <w:lang w:val="es-ES_tradnl"/>
              </w:rPr>
              <w:t>Ley 734 de 2002</w:t>
            </w:r>
          </w:p>
          <w:p w:rsidR="00233205" w:rsidRPr="00A52A63" w:rsidRDefault="00233205" w:rsidP="00233205">
            <w:pPr>
              <w:pStyle w:val="NoSpacing"/>
              <w:widowControl w:val="0"/>
              <w:numPr>
                <w:ilvl w:val="0"/>
                <w:numId w:val="109"/>
              </w:numPr>
              <w:contextualSpacing/>
              <w:rPr>
                <w:rFonts w:cstheme="majorHAnsi"/>
                <w:bCs/>
                <w:sz w:val="20"/>
                <w:szCs w:val="20"/>
                <w:lang w:val="es-ES_tradnl"/>
              </w:rPr>
            </w:pPr>
            <w:r w:rsidRPr="00A52A63">
              <w:rPr>
                <w:rFonts w:cstheme="majorHAnsi"/>
                <w:bCs/>
                <w:sz w:val="20"/>
                <w:szCs w:val="20"/>
                <w:lang w:val="es-ES_tradnl"/>
              </w:rPr>
              <w:t>Normas Internacionales de Auditoría (NIA).</w:t>
            </w:r>
          </w:p>
          <w:p w:rsidR="00233205" w:rsidRPr="00A52A63" w:rsidRDefault="00233205" w:rsidP="00233205">
            <w:pPr>
              <w:pStyle w:val="NoSpacing"/>
              <w:widowControl w:val="0"/>
              <w:numPr>
                <w:ilvl w:val="0"/>
                <w:numId w:val="109"/>
              </w:numPr>
              <w:contextualSpacing/>
              <w:rPr>
                <w:rFonts w:cstheme="majorHAnsi"/>
                <w:bCs/>
                <w:sz w:val="20"/>
                <w:szCs w:val="20"/>
                <w:lang w:val="es-ES_tradnl"/>
              </w:rPr>
            </w:pPr>
            <w:r w:rsidRPr="00A52A63">
              <w:rPr>
                <w:rFonts w:cstheme="majorHAnsi"/>
                <w:bCs/>
                <w:sz w:val="20"/>
                <w:szCs w:val="20"/>
                <w:lang w:val="es-ES_tradnl"/>
              </w:rPr>
              <w:t xml:space="preserve">Normas </w:t>
            </w:r>
            <w:proofErr w:type="spellStart"/>
            <w:r w:rsidRPr="00A52A63">
              <w:rPr>
                <w:rFonts w:cstheme="majorHAnsi"/>
                <w:bCs/>
                <w:sz w:val="20"/>
                <w:szCs w:val="20"/>
                <w:lang w:val="es-ES_tradnl"/>
              </w:rPr>
              <w:t>ISSAIs</w:t>
            </w:r>
            <w:proofErr w:type="spellEnd"/>
            <w:r w:rsidRPr="00A52A63">
              <w:rPr>
                <w:rFonts w:cstheme="majorHAnsi"/>
                <w:bCs/>
                <w:sz w:val="20"/>
                <w:szCs w:val="20"/>
                <w:lang w:val="es-ES_tradnl"/>
              </w:rPr>
              <w:t>.</w:t>
            </w:r>
          </w:p>
          <w:p w:rsidR="00233205" w:rsidRPr="00A52A63" w:rsidRDefault="00233205" w:rsidP="00233205">
            <w:pPr>
              <w:pStyle w:val="NoSpacing"/>
              <w:widowControl w:val="0"/>
              <w:numPr>
                <w:ilvl w:val="0"/>
                <w:numId w:val="109"/>
              </w:numPr>
              <w:contextualSpacing/>
              <w:rPr>
                <w:rFonts w:cstheme="majorHAnsi"/>
                <w:bCs/>
                <w:sz w:val="20"/>
                <w:szCs w:val="20"/>
                <w:lang w:val="es-ES_tradnl"/>
              </w:rPr>
            </w:pPr>
            <w:r w:rsidRPr="00A52A63">
              <w:rPr>
                <w:rFonts w:cstheme="majorHAnsi"/>
                <w:bCs/>
                <w:sz w:val="20"/>
                <w:szCs w:val="20"/>
                <w:lang w:val="es-ES_tradnl"/>
              </w:rPr>
              <w:t>Plan de Capacitación 2014.</w:t>
            </w:r>
          </w:p>
          <w:p w:rsidR="00233205" w:rsidRPr="00A52A63" w:rsidRDefault="00233205" w:rsidP="00233205">
            <w:pPr>
              <w:pStyle w:val="NoSpacing"/>
              <w:widowControl w:val="0"/>
              <w:numPr>
                <w:ilvl w:val="0"/>
                <w:numId w:val="109"/>
              </w:numPr>
              <w:contextualSpacing/>
              <w:rPr>
                <w:rFonts w:cstheme="majorHAnsi"/>
                <w:bCs/>
                <w:sz w:val="20"/>
                <w:szCs w:val="20"/>
                <w:lang w:val="es-ES_tradnl"/>
              </w:rPr>
            </w:pPr>
            <w:r w:rsidRPr="00A52A63">
              <w:rPr>
                <w:sz w:val="20"/>
                <w:szCs w:val="20"/>
                <w:lang w:val="es-ES_tradnl"/>
              </w:rPr>
              <w:t>Papeles de Trabajo de la Metodología MMD-EFS</w:t>
            </w:r>
          </w:p>
          <w:p w:rsidR="00233205" w:rsidRPr="00A52A63" w:rsidRDefault="00233205" w:rsidP="00233205">
            <w:pPr>
              <w:pStyle w:val="NoSpacing"/>
              <w:widowControl w:val="0"/>
              <w:numPr>
                <w:ilvl w:val="0"/>
                <w:numId w:val="109"/>
              </w:numPr>
              <w:contextualSpacing/>
              <w:rPr>
                <w:rFonts w:cs="Arial"/>
                <w:sz w:val="20"/>
                <w:szCs w:val="20"/>
                <w:lang w:val="es-ES_tradnl"/>
              </w:rPr>
            </w:pPr>
            <w:r w:rsidRPr="00A52A63">
              <w:rPr>
                <w:color w:val="000000"/>
                <w:sz w:val="20"/>
                <w:szCs w:val="20"/>
                <w:lang w:val="es-ES_tradnl"/>
              </w:rPr>
              <w:t>Sistema Integrado de Control de Auditoria (SICA).</w:t>
            </w:r>
          </w:p>
          <w:p w:rsidR="00233205" w:rsidRPr="00A52A63" w:rsidRDefault="00233205" w:rsidP="00E30BEC">
            <w:pPr>
              <w:pStyle w:val="NoSpacing"/>
              <w:ind w:left="360"/>
              <w:contextualSpacing/>
              <w:rPr>
                <w:rFonts w:cs="Arial"/>
                <w:sz w:val="20"/>
                <w:szCs w:val="20"/>
                <w:lang w:val="es-ES_tradnl"/>
              </w:rPr>
            </w:pPr>
          </w:p>
        </w:tc>
      </w:tr>
      <w:tr w:rsidR="00233205" w:rsidRPr="00A52A63" w:rsidTr="00E30BEC">
        <w:tc>
          <w:tcPr>
            <w:tcW w:w="1101" w:type="dxa"/>
            <w:vAlign w:val="center"/>
          </w:tcPr>
          <w:p w:rsidR="00233205" w:rsidRPr="00A52A63" w:rsidRDefault="00233205" w:rsidP="00E30BEC">
            <w:pPr>
              <w:pStyle w:val="NoSpacing"/>
              <w:rPr>
                <w:b/>
                <w:sz w:val="20"/>
                <w:szCs w:val="20"/>
                <w:lang w:val="es-ES_tradnl"/>
              </w:rPr>
            </w:pPr>
            <w:r w:rsidRPr="00A52A63">
              <w:rPr>
                <w:b/>
                <w:sz w:val="20"/>
                <w:szCs w:val="20"/>
                <w:lang w:val="es-ES_tradnl"/>
              </w:rPr>
              <w:t>EFS-16</w:t>
            </w:r>
          </w:p>
        </w:tc>
        <w:tc>
          <w:tcPr>
            <w:tcW w:w="8646" w:type="dxa"/>
            <w:vAlign w:val="center"/>
          </w:tcPr>
          <w:p w:rsidR="00233205" w:rsidRPr="00A52A63" w:rsidRDefault="00233205" w:rsidP="00233205">
            <w:pPr>
              <w:pStyle w:val="NoSpacing"/>
              <w:widowControl w:val="0"/>
              <w:numPr>
                <w:ilvl w:val="0"/>
                <w:numId w:val="109"/>
              </w:numPr>
              <w:contextualSpacing/>
              <w:rPr>
                <w:rFonts w:cs="Arial"/>
                <w:sz w:val="20"/>
                <w:szCs w:val="20"/>
                <w:lang w:val="es-ES_tradnl"/>
              </w:rPr>
            </w:pPr>
          </w:p>
          <w:p w:rsidR="00233205" w:rsidRPr="00A52A63" w:rsidRDefault="00233205" w:rsidP="00E30BEC">
            <w:pPr>
              <w:pStyle w:val="NoSpacing"/>
              <w:ind w:left="360"/>
              <w:contextualSpacing/>
              <w:rPr>
                <w:rFonts w:cs="Arial"/>
                <w:sz w:val="20"/>
                <w:szCs w:val="20"/>
                <w:lang w:val="es-ES_tradnl"/>
              </w:rPr>
            </w:pPr>
            <w:r w:rsidRPr="00A52A63">
              <w:rPr>
                <w:rFonts w:cs="Arial"/>
                <w:sz w:val="20"/>
                <w:szCs w:val="20"/>
                <w:lang w:val="es-ES_tradnl"/>
              </w:rPr>
              <w:t>Constitución Política de Colombia.</w:t>
            </w:r>
          </w:p>
          <w:p w:rsidR="00233205" w:rsidRPr="00A52A63" w:rsidRDefault="00233205" w:rsidP="00233205">
            <w:pPr>
              <w:pStyle w:val="NoSpacing"/>
              <w:widowControl w:val="0"/>
              <w:numPr>
                <w:ilvl w:val="0"/>
                <w:numId w:val="109"/>
              </w:numPr>
              <w:contextualSpacing/>
              <w:rPr>
                <w:rFonts w:cs="Arial"/>
                <w:sz w:val="20"/>
                <w:szCs w:val="20"/>
                <w:lang w:val="es-ES_tradnl"/>
              </w:rPr>
            </w:pPr>
            <w:r w:rsidRPr="00A52A63">
              <w:rPr>
                <w:rFonts w:cs="Arial"/>
                <w:sz w:val="20"/>
                <w:szCs w:val="20"/>
                <w:lang w:val="es-ES_tradnl"/>
              </w:rPr>
              <w:t>Constitución Política de Colombia.</w:t>
            </w:r>
          </w:p>
          <w:p w:rsidR="00233205" w:rsidRPr="00A52A63" w:rsidRDefault="00233205" w:rsidP="00233205">
            <w:pPr>
              <w:pStyle w:val="NoSpacing"/>
              <w:widowControl w:val="0"/>
              <w:numPr>
                <w:ilvl w:val="0"/>
                <w:numId w:val="109"/>
              </w:numPr>
              <w:contextualSpacing/>
              <w:rPr>
                <w:rFonts w:cs="Arial"/>
                <w:sz w:val="20"/>
                <w:szCs w:val="20"/>
                <w:lang w:val="es-ES_tradnl"/>
              </w:rPr>
            </w:pPr>
            <w:r w:rsidRPr="00A52A63">
              <w:rPr>
                <w:rFonts w:cs="Arial"/>
                <w:sz w:val="20"/>
                <w:szCs w:val="20"/>
                <w:lang w:val="es-ES_tradnl"/>
              </w:rPr>
              <w:t xml:space="preserve">Contraloría General de la República, Guía de Auditoria </w:t>
            </w:r>
            <w:r w:rsidRPr="00A52A63">
              <w:rPr>
                <w:color w:val="000000"/>
                <w:sz w:val="20"/>
                <w:szCs w:val="20"/>
                <w:lang w:val="es-ES_tradnl"/>
              </w:rPr>
              <w:t>Ajustada al contexto SICA</w:t>
            </w:r>
            <w:r w:rsidRPr="00A52A63">
              <w:rPr>
                <w:rFonts w:cs="Arial"/>
                <w:sz w:val="20"/>
                <w:szCs w:val="20"/>
                <w:lang w:val="es-ES_tradnl"/>
              </w:rPr>
              <w:t xml:space="preserve"> Febrero 2013.</w:t>
            </w:r>
          </w:p>
          <w:p w:rsidR="00233205" w:rsidRPr="00A52A63" w:rsidRDefault="00233205" w:rsidP="00233205">
            <w:pPr>
              <w:pStyle w:val="NoSpacing"/>
              <w:widowControl w:val="0"/>
              <w:numPr>
                <w:ilvl w:val="0"/>
                <w:numId w:val="109"/>
              </w:numPr>
              <w:contextualSpacing/>
              <w:rPr>
                <w:rFonts w:cs="Arial"/>
                <w:sz w:val="20"/>
                <w:szCs w:val="20"/>
                <w:lang w:val="es-ES_tradnl"/>
              </w:rPr>
            </w:pPr>
            <w:r w:rsidRPr="00A52A63">
              <w:rPr>
                <w:rFonts w:cs="Arial"/>
                <w:sz w:val="20"/>
                <w:szCs w:val="20"/>
                <w:lang w:val="es-ES_tradnl"/>
              </w:rPr>
              <w:t>Contraloría General de la República. Programas de auditoría desarrollados para 21 entidades evaluadas.</w:t>
            </w:r>
          </w:p>
          <w:p w:rsidR="00233205" w:rsidRPr="00747A0D" w:rsidRDefault="00233205" w:rsidP="00233205">
            <w:pPr>
              <w:pStyle w:val="NoSpacing"/>
              <w:widowControl w:val="0"/>
              <w:numPr>
                <w:ilvl w:val="0"/>
                <w:numId w:val="109"/>
              </w:numPr>
              <w:contextualSpacing/>
              <w:rPr>
                <w:rFonts w:cs="Arial"/>
                <w:sz w:val="20"/>
                <w:szCs w:val="20"/>
                <w:lang w:val="pt-BR"/>
              </w:rPr>
            </w:pPr>
            <w:r w:rsidRPr="00747A0D">
              <w:rPr>
                <w:color w:val="000000"/>
                <w:sz w:val="20"/>
                <w:szCs w:val="20"/>
                <w:lang w:val="pt-BR"/>
              </w:rPr>
              <w:t>Documento “Informes PVCF 2014, Programado BID”.</w:t>
            </w:r>
          </w:p>
          <w:p w:rsidR="00233205" w:rsidRPr="00A52A63" w:rsidRDefault="00233205" w:rsidP="00233205">
            <w:pPr>
              <w:pStyle w:val="NoSpacing"/>
              <w:widowControl w:val="0"/>
              <w:numPr>
                <w:ilvl w:val="0"/>
                <w:numId w:val="109"/>
              </w:numPr>
              <w:contextualSpacing/>
              <w:rPr>
                <w:rFonts w:cs="Arial"/>
                <w:sz w:val="20"/>
                <w:szCs w:val="20"/>
                <w:lang w:val="es-ES_tradnl"/>
              </w:rPr>
            </w:pPr>
            <w:r w:rsidRPr="00A52A63">
              <w:rPr>
                <w:rFonts w:cstheme="majorHAnsi"/>
                <w:bCs/>
                <w:sz w:val="20"/>
                <w:szCs w:val="20"/>
                <w:lang w:val="es-ES_tradnl"/>
              </w:rPr>
              <w:t xml:space="preserve">Entrevistas con Contralores Delegados, </w:t>
            </w:r>
            <w:r w:rsidRPr="00A52A63">
              <w:rPr>
                <w:rFonts w:cs="Arial"/>
                <w:sz w:val="20"/>
                <w:szCs w:val="20"/>
                <w:lang w:val="es-ES_tradnl"/>
              </w:rPr>
              <w:t>19 de febrero de 2015.</w:t>
            </w:r>
          </w:p>
          <w:p w:rsidR="00233205" w:rsidRPr="00A52A63" w:rsidRDefault="00233205" w:rsidP="00233205">
            <w:pPr>
              <w:pStyle w:val="NoSpacing"/>
              <w:widowControl w:val="0"/>
              <w:numPr>
                <w:ilvl w:val="0"/>
                <w:numId w:val="109"/>
              </w:numPr>
              <w:contextualSpacing/>
              <w:rPr>
                <w:rFonts w:cs="Arial"/>
                <w:sz w:val="20"/>
                <w:szCs w:val="20"/>
                <w:lang w:val="es-ES_tradnl"/>
              </w:rPr>
            </w:pPr>
            <w:r w:rsidRPr="00A52A63">
              <w:rPr>
                <w:rFonts w:cstheme="majorHAnsi"/>
                <w:bCs/>
                <w:sz w:val="20"/>
                <w:szCs w:val="20"/>
                <w:lang w:val="es-ES_tradnl"/>
              </w:rPr>
              <w:t xml:space="preserve">Entrevistas con funcionarios de la Oficina de Planeación, </w:t>
            </w:r>
            <w:r w:rsidRPr="00A52A63">
              <w:rPr>
                <w:rFonts w:cs="Arial"/>
                <w:sz w:val="20"/>
                <w:szCs w:val="20"/>
                <w:lang w:val="es-ES_tradnl"/>
              </w:rPr>
              <w:t>19 de febrero de 2015.</w:t>
            </w:r>
          </w:p>
          <w:p w:rsidR="00233205" w:rsidRPr="00A52A63" w:rsidRDefault="00233205" w:rsidP="00233205">
            <w:pPr>
              <w:pStyle w:val="NoSpacing"/>
              <w:widowControl w:val="0"/>
              <w:numPr>
                <w:ilvl w:val="0"/>
                <w:numId w:val="109"/>
              </w:numPr>
              <w:contextualSpacing/>
              <w:rPr>
                <w:rFonts w:cstheme="majorHAnsi"/>
                <w:sz w:val="20"/>
                <w:szCs w:val="20"/>
                <w:lang w:val="es-ES_tradnl"/>
              </w:rPr>
            </w:pPr>
            <w:r w:rsidRPr="00A52A63">
              <w:rPr>
                <w:rFonts w:cstheme="majorHAnsi"/>
                <w:bCs/>
                <w:sz w:val="20"/>
                <w:szCs w:val="20"/>
                <w:lang w:val="es-ES_tradnl"/>
              </w:rPr>
              <w:t>Indicaciones de la Organización Latinoamericana y del Caribe de Entidades Fiscalizadoras Superiores (OLACEFS).</w:t>
            </w:r>
          </w:p>
          <w:p w:rsidR="00233205" w:rsidRPr="00A52A63" w:rsidRDefault="00233205" w:rsidP="00233205">
            <w:pPr>
              <w:pStyle w:val="NoSpacing"/>
              <w:widowControl w:val="0"/>
              <w:numPr>
                <w:ilvl w:val="0"/>
                <w:numId w:val="109"/>
              </w:numPr>
              <w:contextualSpacing/>
              <w:rPr>
                <w:rFonts w:cstheme="majorHAnsi"/>
                <w:bCs/>
                <w:sz w:val="20"/>
                <w:szCs w:val="20"/>
                <w:lang w:val="es-ES_tradnl"/>
              </w:rPr>
            </w:pPr>
            <w:r w:rsidRPr="00A52A63">
              <w:rPr>
                <w:rFonts w:cstheme="majorHAnsi"/>
                <w:bCs/>
                <w:sz w:val="20"/>
                <w:szCs w:val="20"/>
                <w:lang w:val="es-ES_tradnl"/>
              </w:rPr>
              <w:t>Normas Internacionales de Auditoría (NIA).</w:t>
            </w:r>
          </w:p>
          <w:p w:rsidR="00233205" w:rsidRPr="00A52A63" w:rsidRDefault="00233205" w:rsidP="00233205">
            <w:pPr>
              <w:pStyle w:val="NoSpacing"/>
              <w:widowControl w:val="0"/>
              <w:numPr>
                <w:ilvl w:val="0"/>
                <w:numId w:val="109"/>
              </w:numPr>
              <w:contextualSpacing/>
              <w:rPr>
                <w:rFonts w:cstheme="majorHAnsi"/>
                <w:bCs/>
                <w:sz w:val="20"/>
                <w:szCs w:val="20"/>
                <w:lang w:val="es-ES_tradnl"/>
              </w:rPr>
            </w:pPr>
            <w:r w:rsidRPr="00A52A63">
              <w:rPr>
                <w:rFonts w:cstheme="majorHAnsi"/>
                <w:bCs/>
                <w:sz w:val="20"/>
                <w:szCs w:val="20"/>
                <w:lang w:val="es-ES_tradnl"/>
              </w:rPr>
              <w:t xml:space="preserve">Normas </w:t>
            </w:r>
            <w:proofErr w:type="spellStart"/>
            <w:r w:rsidRPr="00A52A63">
              <w:rPr>
                <w:rFonts w:cstheme="majorHAnsi"/>
                <w:bCs/>
                <w:sz w:val="20"/>
                <w:szCs w:val="20"/>
                <w:lang w:val="es-ES_tradnl"/>
              </w:rPr>
              <w:t>ISSAIs</w:t>
            </w:r>
            <w:proofErr w:type="spellEnd"/>
            <w:r w:rsidRPr="00A52A63">
              <w:rPr>
                <w:rFonts w:cstheme="majorHAnsi"/>
                <w:bCs/>
                <w:sz w:val="20"/>
                <w:szCs w:val="20"/>
                <w:lang w:val="es-ES_tradnl"/>
              </w:rPr>
              <w:t>.</w:t>
            </w:r>
          </w:p>
          <w:p w:rsidR="00233205" w:rsidRPr="00A52A63" w:rsidRDefault="00233205" w:rsidP="00233205">
            <w:pPr>
              <w:pStyle w:val="NoSpacing"/>
              <w:widowControl w:val="0"/>
              <w:numPr>
                <w:ilvl w:val="0"/>
                <w:numId w:val="109"/>
              </w:numPr>
              <w:contextualSpacing/>
              <w:rPr>
                <w:rFonts w:cs="Arial"/>
                <w:sz w:val="20"/>
                <w:szCs w:val="20"/>
                <w:lang w:val="es-ES_tradnl"/>
              </w:rPr>
            </w:pPr>
            <w:r w:rsidRPr="00A52A63">
              <w:rPr>
                <w:sz w:val="20"/>
                <w:szCs w:val="20"/>
                <w:lang w:val="es-ES_tradnl"/>
              </w:rPr>
              <w:t>Papeles de Trabajo de la Metodología MMD-EFS</w:t>
            </w:r>
            <w:r w:rsidRPr="00A52A63">
              <w:rPr>
                <w:color w:val="000000"/>
                <w:sz w:val="20"/>
                <w:szCs w:val="20"/>
                <w:lang w:val="es-ES_tradnl"/>
              </w:rPr>
              <w:t xml:space="preserve"> </w:t>
            </w:r>
          </w:p>
          <w:p w:rsidR="00233205" w:rsidRPr="00A52A63" w:rsidRDefault="00233205" w:rsidP="00233205">
            <w:pPr>
              <w:pStyle w:val="NoSpacing"/>
              <w:widowControl w:val="0"/>
              <w:numPr>
                <w:ilvl w:val="0"/>
                <w:numId w:val="109"/>
              </w:numPr>
              <w:contextualSpacing/>
              <w:rPr>
                <w:rFonts w:cs="Arial"/>
                <w:sz w:val="20"/>
                <w:szCs w:val="20"/>
                <w:lang w:val="es-ES_tradnl"/>
              </w:rPr>
            </w:pPr>
            <w:r w:rsidRPr="00A52A63">
              <w:rPr>
                <w:color w:val="000000"/>
                <w:sz w:val="20"/>
                <w:szCs w:val="20"/>
                <w:lang w:val="es-ES_tradnl"/>
              </w:rPr>
              <w:t>Sistema Integrado de Control de Auditoria (SICA).</w:t>
            </w:r>
          </w:p>
          <w:p w:rsidR="00233205" w:rsidRPr="00A52A63" w:rsidRDefault="00233205" w:rsidP="00E30BEC">
            <w:pPr>
              <w:pStyle w:val="NoSpacing"/>
              <w:ind w:left="360"/>
              <w:contextualSpacing/>
              <w:rPr>
                <w:rFonts w:cs="Arial"/>
                <w:sz w:val="20"/>
                <w:szCs w:val="20"/>
                <w:lang w:val="es-ES_tradnl"/>
              </w:rPr>
            </w:pPr>
          </w:p>
        </w:tc>
      </w:tr>
      <w:tr w:rsidR="00233205" w:rsidRPr="00A52A63" w:rsidTr="00E30BEC">
        <w:trPr>
          <w:trHeight w:val="372"/>
        </w:trPr>
        <w:tc>
          <w:tcPr>
            <w:tcW w:w="1101" w:type="dxa"/>
            <w:vAlign w:val="center"/>
          </w:tcPr>
          <w:p w:rsidR="00233205" w:rsidRPr="00A52A63" w:rsidRDefault="00233205" w:rsidP="00E30BEC">
            <w:pPr>
              <w:pStyle w:val="NoSpacing"/>
              <w:rPr>
                <w:b/>
                <w:sz w:val="20"/>
                <w:szCs w:val="20"/>
                <w:lang w:val="es-ES_tradnl"/>
              </w:rPr>
            </w:pPr>
            <w:r w:rsidRPr="00A52A63">
              <w:rPr>
                <w:b/>
                <w:sz w:val="20"/>
                <w:szCs w:val="20"/>
                <w:lang w:val="es-ES_tradnl"/>
              </w:rPr>
              <w:t>EFS-17</w:t>
            </w:r>
          </w:p>
        </w:tc>
        <w:tc>
          <w:tcPr>
            <w:tcW w:w="8646" w:type="dxa"/>
            <w:vAlign w:val="center"/>
          </w:tcPr>
          <w:p w:rsidR="00233205" w:rsidRPr="00A52A63" w:rsidRDefault="00233205" w:rsidP="00E30BEC">
            <w:pPr>
              <w:pStyle w:val="NoSpacing"/>
              <w:contextualSpacing/>
              <w:rPr>
                <w:rFonts w:cs="Arial"/>
                <w:sz w:val="20"/>
                <w:szCs w:val="20"/>
                <w:lang w:val="es-ES_tradnl"/>
              </w:rPr>
            </w:pPr>
            <w:r w:rsidRPr="00A52A63">
              <w:rPr>
                <w:rFonts w:cs="Calibri"/>
                <w:sz w:val="20"/>
                <w:szCs w:val="20"/>
                <w:lang w:val="es-ES_tradnl"/>
              </w:rPr>
              <w:t>NA</w:t>
            </w:r>
          </w:p>
        </w:tc>
      </w:tr>
      <w:tr w:rsidR="00233205" w:rsidRPr="00B27B5A" w:rsidTr="00E30BEC">
        <w:tc>
          <w:tcPr>
            <w:tcW w:w="1101" w:type="dxa"/>
            <w:shd w:val="clear" w:color="auto" w:fill="D9D9D9" w:themeFill="background1" w:themeFillShade="D9"/>
            <w:vAlign w:val="center"/>
          </w:tcPr>
          <w:p w:rsidR="00233205" w:rsidRPr="00A52A63" w:rsidRDefault="00233205" w:rsidP="00E30BEC">
            <w:pPr>
              <w:pStyle w:val="NoSpacing"/>
              <w:rPr>
                <w:b/>
                <w:sz w:val="20"/>
                <w:szCs w:val="20"/>
                <w:lang w:val="es-ES_tradnl"/>
              </w:rPr>
            </w:pPr>
            <w:r w:rsidRPr="00A52A63">
              <w:rPr>
                <w:b/>
                <w:sz w:val="20"/>
                <w:szCs w:val="20"/>
                <w:lang w:val="es-ES_tradnl"/>
              </w:rPr>
              <w:t>Dominio E</w:t>
            </w:r>
          </w:p>
        </w:tc>
        <w:tc>
          <w:tcPr>
            <w:tcW w:w="8646" w:type="dxa"/>
            <w:shd w:val="clear" w:color="auto" w:fill="D9D9D9" w:themeFill="background1" w:themeFillShade="D9"/>
            <w:vAlign w:val="center"/>
          </w:tcPr>
          <w:p w:rsidR="00233205" w:rsidRPr="00A52A63" w:rsidRDefault="00233205" w:rsidP="00E30BEC">
            <w:pPr>
              <w:pStyle w:val="NoSpacing"/>
              <w:contextualSpacing/>
              <w:rPr>
                <w:rFonts w:cs="Arial"/>
                <w:b/>
                <w:sz w:val="20"/>
                <w:szCs w:val="20"/>
                <w:lang w:val="es-ES_tradnl"/>
              </w:rPr>
            </w:pPr>
            <w:r w:rsidRPr="00A52A63">
              <w:rPr>
                <w:b/>
                <w:sz w:val="20"/>
                <w:szCs w:val="20"/>
                <w:lang w:val="es-ES_tradnl"/>
              </w:rPr>
              <w:t xml:space="preserve">Estructuras de </w:t>
            </w:r>
            <w:r w:rsidRPr="00A52A63">
              <w:rPr>
                <w:rFonts w:cs="Calibri"/>
                <w:b/>
                <w:bCs/>
                <w:sz w:val="20"/>
                <w:szCs w:val="20"/>
                <w:lang w:val="es-ES_tradnl"/>
              </w:rPr>
              <w:t>Gestión y Apoyo</w:t>
            </w:r>
          </w:p>
        </w:tc>
      </w:tr>
      <w:tr w:rsidR="00233205" w:rsidRPr="00A52A63" w:rsidTr="00E30BEC">
        <w:tc>
          <w:tcPr>
            <w:tcW w:w="1101" w:type="dxa"/>
            <w:vAlign w:val="center"/>
          </w:tcPr>
          <w:p w:rsidR="00233205" w:rsidRPr="00A52A63" w:rsidRDefault="00233205" w:rsidP="00E30BEC">
            <w:pPr>
              <w:pStyle w:val="NoSpacing"/>
              <w:rPr>
                <w:b/>
                <w:sz w:val="20"/>
                <w:szCs w:val="20"/>
                <w:lang w:val="es-ES_tradnl"/>
              </w:rPr>
            </w:pPr>
            <w:r w:rsidRPr="00A52A63">
              <w:rPr>
                <w:b/>
                <w:sz w:val="20"/>
                <w:szCs w:val="20"/>
                <w:lang w:val="es-ES_tradnl"/>
              </w:rPr>
              <w:t>EFS-18</w:t>
            </w:r>
          </w:p>
        </w:tc>
        <w:tc>
          <w:tcPr>
            <w:tcW w:w="8646" w:type="dxa"/>
            <w:vAlign w:val="center"/>
          </w:tcPr>
          <w:p w:rsidR="00233205" w:rsidRPr="00A52A63" w:rsidRDefault="00233205" w:rsidP="00E30BEC">
            <w:pPr>
              <w:pStyle w:val="NoSpacing"/>
              <w:ind w:left="360"/>
              <w:contextualSpacing/>
              <w:rPr>
                <w:rFonts w:cstheme="majorHAnsi"/>
                <w:bCs/>
                <w:sz w:val="20"/>
                <w:szCs w:val="20"/>
                <w:lang w:val="es-ES_tradnl"/>
              </w:rPr>
            </w:pPr>
          </w:p>
          <w:p w:rsidR="00233205" w:rsidRPr="00A52A63" w:rsidRDefault="00233205" w:rsidP="00233205">
            <w:pPr>
              <w:pStyle w:val="NoSpacing"/>
              <w:widowControl w:val="0"/>
              <w:numPr>
                <w:ilvl w:val="0"/>
                <w:numId w:val="102"/>
              </w:numPr>
              <w:contextualSpacing/>
              <w:rPr>
                <w:rFonts w:cstheme="majorHAnsi"/>
                <w:bCs/>
                <w:sz w:val="20"/>
                <w:szCs w:val="20"/>
                <w:lang w:val="es-ES_tradnl"/>
              </w:rPr>
            </w:pPr>
            <w:r w:rsidRPr="00A52A63">
              <w:rPr>
                <w:rFonts w:cstheme="majorHAnsi"/>
                <w:bCs/>
                <w:sz w:val="20"/>
                <w:szCs w:val="20"/>
                <w:lang w:val="es-ES_tradnl"/>
              </w:rPr>
              <w:t>Código de Ética y de Buen Gobierno (Aprobado mediante Res. 073 Agosto 25/2008)</w:t>
            </w:r>
          </w:p>
          <w:p w:rsidR="00233205" w:rsidRPr="00A52A63" w:rsidRDefault="00233205" w:rsidP="00233205">
            <w:pPr>
              <w:pStyle w:val="NoSpacing"/>
              <w:widowControl w:val="0"/>
              <w:numPr>
                <w:ilvl w:val="0"/>
                <w:numId w:val="102"/>
              </w:numPr>
              <w:contextualSpacing/>
              <w:rPr>
                <w:rFonts w:cs="Arial"/>
                <w:sz w:val="20"/>
                <w:szCs w:val="20"/>
                <w:lang w:val="es-ES_tradnl"/>
              </w:rPr>
            </w:pPr>
            <w:r w:rsidRPr="00A52A63">
              <w:rPr>
                <w:rFonts w:cs="Arial"/>
                <w:sz w:val="20"/>
                <w:szCs w:val="20"/>
                <w:lang w:val="es-ES_tradnl"/>
              </w:rPr>
              <w:t>Constitución Política de Colombia.</w:t>
            </w:r>
            <w:r w:rsidRPr="00A52A63">
              <w:rPr>
                <w:sz w:val="20"/>
                <w:szCs w:val="20"/>
                <w:lang w:val="es-ES_tradnl"/>
              </w:rPr>
              <w:t xml:space="preserve"> </w:t>
            </w:r>
          </w:p>
          <w:p w:rsidR="00233205" w:rsidRPr="00A52A63" w:rsidRDefault="00233205" w:rsidP="00233205">
            <w:pPr>
              <w:pStyle w:val="NoSpacing"/>
              <w:widowControl w:val="0"/>
              <w:numPr>
                <w:ilvl w:val="0"/>
                <w:numId w:val="102"/>
              </w:numPr>
              <w:contextualSpacing/>
              <w:rPr>
                <w:color w:val="000000"/>
                <w:sz w:val="20"/>
                <w:szCs w:val="20"/>
                <w:lang w:val="es-ES_tradnl"/>
              </w:rPr>
            </w:pPr>
            <w:r w:rsidRPr="00A52A63">
              <w:rPr>
                <w:color w:val="000000"/>
                <w:sz w:val="20"/>
                <w:szCs w:val="20"/>
                <w:lang w:val="es-ES_tradnl"/>
              </w:rPr>
              <w:t>Contraloría General de la República, Certificado de Calidad 2010</w:t>
            </w:r>
          </w:p>
          <w:p w:rsidR="00233205" w:rsidRPr="00A52A63" w:rsidRDefault="00233205" w:rsidP="00233205">
            <w:pPr>
              <w:pStyle w:val="NoSpacing"/>
              <w:widowControl w:val="0"/>
              <w:numPr>
                <w:ilvl w:val="0"/>
                <w:numId w:val="102"/>
              </w:numPr>
              <w:contextualSpacing/>
              <w:rPr>
                <w:sz w:val="20"/>
                <w:szCs w:val="20"/>
                <w:lang w:val="es-ES_tradnl" w:eastAsia="es-ES"/>
              </w:rPr>
            </w:pPr>
            <w:r w:rsidRPr="00A52A63">
              <w:rPr>
                <w:sz w:val="20"/>
                <w:szCs w:val="20"/>
                <w:lang w:val="es-ES_tradnl" w:eastAsia="es-ES"/>
              </w:rPr>
              <w:t>Contraloría General de la República, Consolidado de las variaciones presupuestales 2012, 2013 y 2014. Dirección Financiera.</w:t>
            </w:r>
          </w:p>
          <w:p w:rsidR="00233205" w:rsidRPr="00A52A63" w:rsidRDefault="00233205" w:rsidP="00233205">
            <w:pPr>
              <w:pStyle w:val="NoSpacing"/>
              <w:numPr>
                <w:ilvl w:val="0"/>
                <w:numId w:val="102"/>
              </w:numPr>
              <w:contextualSpacing/>
              <w:rPr>
                <w:rFonts w:eastAsiaTheme="minorHAnsi"/>
                <w:sz w:val="20"/>
                <w:szCs w:val="20"/>
                <w:lang w:val="es-ES_tradnl" w:eastAsia="es-ES"/>
              </w:rPr>
            </w:pPr>
            <w:r w:rsidRPr="00A52A63">
              <w:rPr>
                <w:sz w:val="20"/>
                <w:szCs w:val="20"/>
                <w:lang w:val="es-ES_tradnl" w:eastAsia="es-ES"/>
              </w:rPr>
              <w:t>Contraloría General de la República, Estados Financieros, 2013</w:t>
            </w:r>
          </w:p>
          <w:p w:rsidR="00233205" w:rsidRPr="00A52A63" w:rsidRDefault="00233205" w:rsidP="00233205">
            <w:pPr>
              <w:pStyle w:val="NoSpacing"/>
              <w:numPr>
                <w:ilvl w:val="0"/>
                <w:numId w:val="102"/>
              </w:numPr>
              <w:contextualSpacing/>
              <w:rPr>
                <w:rFonts w:eastAsiaTheme="minorHAnsi"/>
                <w:color w:val="000000"/>
                <w:sz w:val="20"/>
                <w:szCs w:val="20"/>
                <w:lang w:val="es-ES_tradnl"/>
              </w:rPr>
            </w:pPr>
            <w:r w:rsidRPr="00A52A63">
              <w:rPr>
                <w:sz w:val="20"/>
                <w:szCs w:val="20"/>
                <w:lang w:val="es-ES_tradnl" w:eastAsia="es-ES"/>
              </w:rPr>
              <w:t>Contraloría General de la República,</w:t>
            </w:r>
            <w:r w:rsidRPr="00A52A63">
              <w:rPr>
                <w:sz w:val="20"/>
                <w:szCs w:val="20"/>
                <w:lang w:val="es-ES_tradnl"/>
              </w:rPr>
              <w:t xml:space="preserve"> Evaluaciones de Desempeño de la Dirección Financiera</w:t>
            </w:r>
          </w:p>
          <w:p w:rsidR="00233205" w:rsidRPr="00A52A63" w:rsidRDefault="00233205" w:rsidP="00233205">
            <w:pPr>
              <w:pStyle w:val="NoSpacing"/>
              <w:numPr>
                <w:ilvl w:val="0"/>
                <w:numId w:val="102"/>
              </w:numPr>
              <w:contextualSpacing/>
              <w:rPr>
                <w:rFonts w:eastAsiaTheme="minorHAnsi"/>
                <w:color w:val="000000"/>
                <w:sz w:val="20"/>
                <w:szCs w:val="20"/>
                <w:lang w:val="es-ES_tradnl"/>
              </w:rPr>
            </w:pPr>
            <w:r w:rsidRPr="00A52A63">
              <w:rPr>
                <w:sz w:val="20"/>
                <w:szCs w:val="20"/>
                <w:lang w:val="es-ES_tradnl" w:eastAsia="es-ES"/>
              </w:rPr>
              <w:t>Contraloría General de la República,</w:t>
            </w:r>
            <w:r w:rsidRPr="00A52A63">
              <w:rPr>
                <w:sz w:val="20"/>
                <w:szCs w:val="20"/>
                <w:lang w:val="es-ES_tradnl"/>
              </w:rPr>
              <w:t xml:space="preserve"> Ficha Técnica </w:t>
            </w:r>
            <w:r w:rsidRPr="00A52A63">
              <w:rPr>
                <w:color w:val="000000"/>
                <w:sz w:val="20"/>
                <w:szCs w:val="20"/>
                <w:lang w:val="es-ES_tradnl"/>
              </w:rPr>
              <w:t xml:space="preserve">Gerencia Administrativa Financiera - </w:t>
            </w:r>
            <w:r w:rsidRPr="00A52A63">
              <w:rPr>
                <w:sz w:val="20"/>
                <w:szCs w:val="20"/>
                <w:lang w:val="es-ES_tradnl"/>
              </w:rPr>
              <w:t>Recopilación de Información acerca de las capacidades institucionales de la Unidad</w:t>
            </w:r>
          </w:p>
          <w:p w:rsidR="00233205" w:rsidRPr="00A52A63" w:rsidRDefault="00233205" w:rsidP="00233205">
            <w:pPr>
              <w:pStyle w:val="NoSpacing"/>
              <w:numPr>
                <w:ilvl w:val="0"/>
                <w:numId w:val="102"/>
              </w:numPr>
              <w:contextualSpacing/>
              <w:rPr>
                <w:rFonts w:eastAsiaTheme="minorHAnsi" w:cs="Arial"/>
                <w:sz w:val="20"/>
                <w:szCs w:val="20"/>
                <w:lang w:val="es-ES_tradnl"/>
              </w:rPr>
            </w:pPr>
            <w:r w:rsidRPr="00A52A63">
              <w:rPr>
                <w:rFonts w:cs="Arial"/>
                <w:sz w:val="20"/>
                <w:szCs w:val="20"/>
                <w:lang w:val="es-ES_tradnl"/>
              </w:rPr>
              <w:t xml:space="preserve">Contraloría General de la República, Guía de Auditoria </w:t>
            </w:r>
            <w:r w:rsidRPr="00A52A63">
              <w:rPr>
                <w:color w:val="000000"/>
                <w:sz w:val="20"/>
                <w:szCs w:val="20"/>
                <w:lang w:val="es-ES_tradnl"/>
              </w:rPr>
              <w:t>Ajustada al contexto SICA</w:t>
            </w:r>
            <w:r w:rsidRPr="00A52A63">
              <w:rPr>
                <w:rFonts w:cs="Arial"/>
                <w:sz w:val="20"/>
                <w:szCs w:val="20"/>
                <w:lang w:val="es-ES_tradnl"/>
              </w:rPr>
              <w:t xml:space="preserve"> Febrero 2013.</w:t>
            </w:r>
          </w:p>
          <w:p w:rsidR="00233205" w:rsidRPr="00A52A63" w:rsidRDefault="00233205" w:rsidP="00233205">
            <w:pPr>
              <w:pStyle w:val="NoSpacing"/>
              <w:numPr>
                <w:ilvl w:val="0"/>
                <w:numId w:val="102"/>
              </w:numPr>
              <w:contextualSpacing/>
              <w:rPr>
                <w:rFonts w:eastAsiaTheme="minorHAnsi"/>
                <w:sz w:val="20"/>
                <w:szCs w:val="20"/>
                <w:lang w:val="es-ES_tradnl" w:eastAsia="es-ES"/>
              </w:rPr>
            </w:pPr>
            <w:r w:rsidRPr="00A52A63">
              <w:rPr>
                <w:sz w:val="20"/>
                <w:szCs w:val="20"/>
                <w:lang w:val="es-ES_tradnl" w:eastAsia="es-ES"/>
              </w:rPr>
              <w:t>Contraloría General de la República,</w:t>
            </w:r>
            <w:r w:rsidRPr="00A52A63">
              <w:rPr>
                <w:rFonts w:cs="Calibri"/>
                <w:sz w:val="20"/>
                <w:szCs w:val="20"/>
                <w:lang w:val="es-ES_tradnl"/>
              </w:rPr>
              <w:t xml:space="preserve"> Informe Control Interno Contable 2013</w:t>
            </w:r>
          </w:p>
          <w:p w:rsidR="00233205" w:rsidRPr="00A52A63" w:rsidRDefault="00233205" w:rsidP="00233205">
            <w:pPr>
              <w:pStyle w:val="NoSpacing"/>
              <w:numPr>
                <w:ilvl w:val="0"/>
                <w:numId w:val="102"/>
              </w:numPr>
              <w:contextualSpacing/>
              <w:rPr>
                <w:rFonts w:eastAsiaTheme="minorHAnsi"/>
                <w:sz w:val="20"/>
                <w:szCs w:val="20"/>
                <w:lang w:val="es-ES_tradnl" w:eastAsia="es-ES"/>
              </w:rPr>
            </w:pPr>
            <w:r w:rsidRPr="00A52A63">
              <w:rPr>
                <w:sz w:val="20"/>
                <w:szCs w:val="20"/>
                <w:lang w:val="es-ES_tradnl" w:eastAsia="es-ES"/>
              </w:rPr>
              <w:lastRenderedPageBreak/>
              <w:t>Contraloría General de la República,</w:t>
            </w:r>
            <w:r w:rsidRPr="00A52A63">
              <w:rPr>
                <w:rFonts w:cs="Calibri"/>
                <w:sz w:val="20"/>
                <w:szCs w:val="20"/>
                <w:lang w:val="es-ES_tradnl"/>
              </w:rPr>
              <w:t xml:space="preserve"> Informe de Auditoría Especial al Proceso Contable de la CGR</w:t>
            </w:r>
            <w:r>
              <w:rPr>
                <w:rFonts w:cs="Calibri"/>
                <w:sz w:val="20"/>
                <w:szCs w:val="20"/>
                <w:lang w:val="es-ES_tradnl"/>
              </w:rPr>
              <w:t>C</w:t>
            </w:r>
            <w:r w:rsidRPr="00A52A63">
              <w:rPr>
                <w:rFonts w:cs="Calibri"/>
                <w:sz w:val="20"/>
                <w:szCs w:val="20"/>
                <w:lang w:val="es-ES_tradnl"/>
              </w:rPr>
              <w:t xml:space="preserve"> vigencia 2013, emitido en Noviembre de 2014</w:t>
            </w:r>
          </w:p>
          <w:p w:rsidR="00233205" w:rsidRPr="00A52A63" w:rsidRDefault="00233205" w:rsidP="00233205">
            <w:pPr>
              <w:pStyle w:val="NoSpacing"/>
              <w:numPr>
                <w:ilvl w:val="0"/>
                <w:numId w:val="102"/>
              </w:numPr>
              <w:contextualSpacing/>
              <w:rPr>
                <w:rFonts w:eastAsiaTheme="minorHAnsi"/>
                <w:sz w:val="20"/>
                <w:szCs w:val="20"/>
                <w:lang w:val="es-ES_tradnl" w:eastAsia="es-ES"/>
              </w:rPr>
            </w:pPr>
            <w:r w:rsidRPr="00A52A63">
              <w:rPr>
                <w:sz w:val="20"/>
                <w:szCs w:val="20"/>
                <w:lang w:val="es-ES_tradnl" w:eastAsia="es-ES"/>
              </w:rPr>
              <w:t>Contraloría General de la República,</w:t>
            </w:r>
            <w:r w:rsidRPr="00A52A63">
              <w:rPr>
                <w:rFonts w:cs="Calibri"/>
                <w:sz w:val="20"/>
                <w:szCs w:val="20"/>
                <w:lang w:val="es-ES_tradnl"/>
              </w:rPr>
              <w:t xml:space="preserve"> Informe de Gestión 2010 – 2014</w:t>
            </w:r>
          </w:p>
          <w:p w:rsidR="00233205" w:rsidRPr="00A52A63" w:rsidRDefault="00233205" w:rsidP="00233205">
            <w:pPr>
              <w:pStyle w:val="NoSpacing"/>
              <w:numPr>
                <w:ilvl w:val="0"/>
                <w:numId w:val="102"/>
              </w:numPr>
              <w:contextualSpacing/>
              <w:rPr>
                <w:rFonts w:eastAsiaTheme="minorHAnsi"/>
                <w:sz w:val="20"/>
                <w:szCs w:val="20"/>
                <w:lang w:val="es-ES_tradnl" w:eastAsia="es-ES"/>
              </w:rPr>
            </w:pPr>
            <w:r w:rsidRPr="00A52A63">
              <w:rPr>
                <w:sz w:val="20"/>
                <w:szCs w:val="20"/>
                <w:lang w:val="es-ES_tradnl" w:eastAsia="es-ES"/>
              </w:rPr>
              <w:t>Contraloría General de la República,</w:t>
            </w:r>
            <w:r w:rsidRPr="00A52A63">
              <w:rPr>
                <w:rFonts w:cs="Calibri"/>
                <w:sz w:val="20"/>
                <w:szCs w:val="20"/>
                <w:lang w:val="es-ES_tradnl"/>
              </w:rPr>
              <w:t xml:space="preserve"> Informe Ejecutivo Anual SCI CGR</w:t>
            </w:r>
            <w:r>
              <w:rPr>
                <w:rFonts w:cs="Calibri"/>
                <w:sz w:val="20"/>
                <w:szCs w:val="20"/>
                <w:lang w:val="es-ES_tradnl"/>
              </w:rPr>
              <w:t>C</w:t>
            </w:r>
            <w:r w:rsidRPr="00A52A63">
              <w:rPr>
                <w:rFonts w:cs="Calibri"/>
                <w:sz w:val="20"/>
                <w:szCs w:val="20"/>
                <w:lang w:val="es-ES_tradnl"/>
              </w:rPr>
              <w:t xml:space="preserve"> 2014 y 2013</w:t>
            </w:r>
          </w:p>
          <w:p w:rsidR="00233205" w:rsidRPr="00A52A63" w:rsidRDefault="00233205" w:rsidP="00233205">
            <w:pPr>
              <w:pStyle w:val="NoSpacing"/>
              <w:numPr>
                <w:ilvl w:val="0"/>
                <w:numId w:val="102"/>
              </w:numPr>
              <w:contextualSpacing/>
              <w:rPr>
                <w:rFonts w:eastAsiaTheme="minorHAnsi"/>
                <w:color w:val="000000"/>
                <w:sz w:val="20"/>
                <w:szCs w:val="20"/>
                <w:lang w:val="es-ES_tradnl"/>
              </w:rPr>
            </w:pPr>
            <w:r w:rsidRPr="00A52A63">
              <w:rPr>
                <w:sz w:val="20"/>
                <w:szCs w:val="20"/>
                <w:lang w:val="es-ES_tradnl" w:eastAsia="es-ES"/>
              </w:rPr>
              <w:t>Contraloría General de la República,</w:t>
            </w:r>
            <w:r w:rsidRPr="00A52A63">
              <w:rPr>
                <w:color w:val="000000"/>
                <w:sz w:val="20"/>
                <w:szCs w:val="20"/>
                <w:lang w:val="es-ES_tradnl"/>
              </w:rPr>
              <w:t xml:space="preserve"> Informe Final de Logros del Plan de Acción Consolidado por Macro procesos</w:t>
            </w:r>
            <w:r w:rsidRPr="00A52A63">
              <w:rPr>
                <w:rFonts w:eastAsia="MS Gothic" w:cs="MS Gothic"/>
                <w:color w:val="000000"/>
                <w:sz w:val="20"/>
                <w:szCs w:val="20"/>
                <w:lang w:val="es-ES_tradnl"/>
              </w:rPr>
              <w:t xml:space="preserve">, </w:t>
            </w:r>
            <w:r w:rsidRPr="00A52A63">
              <w:rPr>
                <w:color w:val="000000"/>
                <w:sz w:val="20"/>
                <w:szCs w:val="20"/>
                <w:lang w:val="es-ES_tradnl"/>
              </w:rPr>
              <w:t>2013</w:t>
            </w:r>
          </w:p>
          <w:p w:rsidR="00233205" w:rsidRPr="00A52A63" w:rsidRDefault="00233205" w:rsidP="00233205">
            <w:pPr>
              <w:pStyle w:val="NoSpacing"/>
              <w:numPr>
                <w:ilvl w:val="0"/>
                <w:numId w:val="102"/>
              </w:numPr>
              <w:contextualSpacing/>
              <w:rPr>
                <w:rFonts w:eastAsiaTheme="minorHAnsi"/>
                <w:sz w:val="20"/>
                <w:szCs w:val="20"/>
                <w:lang w:val="es-ES_tradnl" w:eastAsia="es-ES"/>
              </w:rPr>
            </w:pPr>
            <w:r w:rsidRPr="00A52A63">
              <w:rPr>
                <w:sz w:val="20"/>
                <w:szCs w:val="20"/>
                <w:lang w:val="es-ES_tradnl" w:eastAsia="es-ES"/>
              </w:rPr>
              <w:t>Contraloría General de la República,</w:t>
            </w:r>
            <w:r w:rsidRPr="00A52A63">
              <w:rPr>
                <w:rFonts w:cs="Calibri"/>
                <w:sz w:val="20"/>
                <w:szCs w:val="20"/>
                <w:lang w:val="es-ES_tradnl"/>
              </w:rPr>
              <w:t xml:space="preserve"> Informe pormenorizado del Estado del Control Interno período Julio a Noviembre 2014. Oficina de Control Interno.</w:t>
            </w:r>
          </w:p>
          <w:p w:rsidR="00233205" w:rsidRPr="00A52A63" w:rsidRDefault="00233205" w:rsidP="00233205">
            <w:pPr>
              <w:pStyle w:val="NoSpacing"/>
              <w:numPr>
                <w:ilvl w:val="0"/>
                <w:numId w:val="102"/>
              </w:numPr>
              <w:contextualSpacing/>
              <w:rPr>
                <w:rFonts w:eastAsiaTheme="minorHAnsi"/>
                <w:sz w:val="20"/>
                <w:szCs w:val="20"/>
                <w:lang w:val="es-ES_tradnl" w:eastAsia="es-ES"/>
              </w:rPr>
            </w:pPr>
            <w:r w:rsidRPr="00A52A63">
              <w:rPr>
                <w:sz w:val="20"/>
                <w:szCs w:val="20"/>
                <w:lang w:val="es-ES_tradnl" w:eastAsia="es-ES"/>
              </w:rPr>
              <w:t>Contraloría General de la República, Informes de ejecución presupuestal 2012, 2013 y 2014</w:t>
            </w:r>
          </w:p>
          <w:p w:rsidR="00233205" w:rsidRPr="00A52A63" w:rsidRDefault="00233205" w:rsidP="00233205">
            <w:pPr>
              <w:pStyle w:val="NoSpacing"/>
              <w:numPr>
                <w:ilvl w:val="0"/>
                <w:numId w:val="102"/>
              </w:numPr>
              <w:contextualSpacing/>
              <w:rPr>
                <w:rFonts w:eastAsiaTheme="minorHAnsi"/>
                <w:sz w:val="20"/>
                <w:szCs w:val="20"/>
                <w:lang w:val="es-ES_tradnl" w:eastAsia="es-ES"/>
              </w:rPr>
            </w:pPr>
            <w:r w:rsidRPr="00A52A63">
              <w:rPr>
                <w:sz w:val="20"/>
                <w:szCs w:val="20"/>
                <w:lang w:val="es-ES_tradnl" w:eastAsia="es-ES"/>
              </w:rPr>
              <w:t>Contraloría General de la República,</w:t>
            </w:r>
            <w:r w:rsidRPr="00A52A63">
              <w:rPr>
                <w:rFonts w:cs="Calibri"/>
                <w:sz w:val="20"/>
                <w:szCs w:val="20"/>
                <w:lang w:val="es-ES_tradnl"/>
              </w:rPr>
              <w:t xml:space="preserve"> Instructivo para Gestionar los Riesgos – SIGCC CGR</w:t>
            </w:r>
            <w:r>
              <w:rPr>
                <w:rFonts w:cs="Calibri"/>
                <w:sz w:val="20"/>
                <w:szCs w:val="20"/>
                <w:lang w:val="es-ES_tradnl"/>
              </w:rPr>
              <w:t>C</w:t>
            </w:r>
          </w:p>
          <w:p w:rsidR="00233205" w:rsidRPr="00A52A63" w:rsidRDefault="00233205" w:rsidP="00233205">
            <w:pPr>
              <w:pStyle w:val="NoSpacing"/>
              <w:numPr>
                <w:ilvl w:val="0"/>
                <w:numId w:val="102"/>
              </w:numPr>
              <w:contextualSpacing/>
              <w:rPr>
                <w:rFonts w:eastAsiaTheme="minorHAnsi"/>
                <w:color w:val="000000"/>
                <w:sz w:val="20"/>
                <w:szCs w:val="20"/>
                <w:lang w:val="es-ES_tradnl"/>
              </w:rPr>
            </w:pPr>
            <w:r w:rsidRPr="00A52A63">
              <w:rPr>
                <w:sz w:val="20"/>
                <w:szCs w:val="20"/>
                <w:lang w:val="es-ES_tradnl" w:eastAsia="es-ES"/>
              </w:rPr>
              <w:t>Contraloría General de la República,</w:t>
            </w:r>
            <w:r w:rsidRPr="00A52A63">
              <w:rPr>
                <w:color w:val="000000"/>
                <w:sz w:val="20"/>
                <w:szCs w:val="20"/>
                <w:lang w:val="es-ES_tradnl"/>
              </w:rPr>
              <w:t xml:space="preserve"> Manual de Calidad – Versión 5.2 de Diciembre 2011</w:t>
            </w:r>
          </w:p>
          <w:p w:rsidR="00233205" w:rsidRPr="00A52A63" w:rsidRDefault="00233205" w:rsidP="00233205">
            <w:pPr>
              <w:pStyle w:val="NoSpacing"/>
              <w:numPr>
                <w:ilvl w:val="0"/>
                <w:numId w:val="102"/>
              </w:numPr>
              <w:contextualSpacing/>
              <w:rPr>
                <w:rFonts w:eastAsiaTheme="minorHAnsi"/>
                <w:color w:val="000000"/>
                <w:sz w:val="20"/>
                <w:szCs w:val="20"/>
                <w:lang w:val="es-ES_tradnl"/>
              </w:rPr>
            </w:pPr>
            <w:r w:rsidRPr="00A52A63">
              <w:rPr>
                <w:sz w:val="20"/>
                <w:szCs w:val="20"/>
                <w:lang w:val="es-ES_tradnl" w:eastAsia="es-ES"/>
              </w:rPr>
              <w:t>Contraloría General de la República,</w:t>
            </w:r>
            <w:r w:rsidRPr="00A52A63">
              <w:rPr>
                <w:color w:val="000000"/>
                <w:sz w:val="20"/>
                <w:szCs w:val="20"/>
                <w:lang w:val="es-ES_tradnl"/>
              </w:rPr>
              <w:t xml:space="preserve"> Manual Específico de Funciones y de Competencias Laborales de los empleos públicos de la planta global de la CGR</w:t>
            </w:r>
            <w:r>
              <w:rPr>
                <w:color w:val="000000"/>
                <w:sz w:val="20"/>
                <w:szCs w:val="20"/>
                <w:lang w:val="es-ES_tradnl"/>
              </w:rPr>
              <w:t>C</w:t>
            </w:r>
            <w:r w:rsidRPr="00A52A63">
              <w:rPr>
                <w:color w:val="000000"/>
                <w:sz w:val="20"/>
                <w:szCs w:val="20"/>
                <w:lang w:val="es-ES_tradnl"/>
              </w:rPr>
              <w:t xml:space="preserve">  (Resolución Reglamentaria  216/2013) </w:t>
            </w:r>
          </w:p>
          <w:p w:rsidR="00233205" w:rsidRPr="00A52A63" w:rsidRDefault="00233205" w:rsidP="00233205">
            <w:pPr>
              <w:pStyle w:val="NoSpacing"/>
              <w:widowControl w:val="0"/>
              <w:numPr>
                <w:ilvl w:val="0"/>
                <w:numId w:val="102"/>
              </w:numPr>
              <w:contextualSpacing/>
              <w:rPr>
                <w:color w:val="000000"/>
                <w:sz w:val="20"/>
                <w:szCs w:val="20"/>
                <w:lang w:val="es-ES_tradnl"/>
              </w:rPr>
            </w:pPr>
            <w:r w:rsidRPr="00A52A63">
              <w:rPr>
                <w:sz w:val="20"/>
                <w:szCs w:val="20"/>
                <w:lang w:val="es-ES_tradnl" w:eastAsia="es-ES"/>
              </w:rPr>
              <w:t>Contraloría General de la República,</w:t>
            </w:r>
            <w:r w:rsidRPr="00A52A63">
              <w:rPr>
                <w:color w:val="000000"/>
                <w:sz w:val="20"/>
                <w:szCs w:val="20"/>
                <w:lang w:val="es-ES_tradnl"/>
              </w:rPr>
              <w:t xml:space="preserve"> Plan Estratégico 2010 – 2014</w:t>
            </w:r>
          </w:p>
          <w:p w:rsidR="00233205" w:rsidRPr="00A52A63" w:rsidRDefault="00233205" w:rsidP="00233205">
            <w:pPr>
              <w:pStyle w:val="NoSpacing"/>
              <w:widowControl w:val="0"/>
              <w:numPr>
                <w:ilvl w:val="0"/>
                <w:numId w:val="102"/>
              </w:numPr>
              <w:contextualSpacing/>
              <w:rPr>
                <w:color w:val="000000"/>
                <w:sz w:val="20"/>
                <w:szCs w:val="20"/>
                <w:lang w:val="es-ES_tradnl"/>
              </w:rPr>
            </w:pPr>
            <w:r w:rsidRPr="00A52A63">
              <w:rPr>
                <w:sz w:val="20"/>
                <w:szCs w:val="20"/>
                <w:lang w:val="es-ES_tradnl" w:eastAsia="es-ES"/>
              </w:rPr>
              <w:t xml:space="preserve">Contraloría General de la República, </w:t>
            </w:r>
            <w:r w:rsidRPr="00A52A63">
              <w:rPr>
                <w:color w:val="000000"/>
                <w:sz w:val="20"/>
                <w:szCs w:val="20"/>
                <w:lang w:val="es-ES_tradnl"/>
              </w:rPr>
              <w:t>Plan Estratégico 2014 – 2018</w:t>
            </w:r>
          </w:p>
          <w:p w:rsidR="00233205" w:rsidRPr="00A52A63" w:rsidRDefault="00233205" w:rsidP="00233205">
            <w:pPr>
              <w:pStyle w:val="NoSpacing"/>
              <w:widowControl w:val="0"/>
              <w:numPr>
                <w:ilvl w:val="0"/>
                <w:numId w:val="102"/>
              </w:numPr>
              <w:contextualSpacing/>
              <w:rPr>
                <w:color w:val="000000"/>
                <w:sz w:val="20"/>
                <w:szCs w:val="20"/>
                <w:lang w:val="es-ES_tradnl"/>
              </w:rPr>
            </w:pPr>
            <w:r w:rsidRPr="00A52A63">
              <w:rPr>
                <w:sz w:val="20"/>
                <w:szCs w:val="20"/>
                <w:lang w:val="es-ES_tradnl" w:eastAsia="es-ES"/>
              </w:rPr>
              <w:t xml:space="preserve">Contraloría General de la República, </w:t>
            </w:r>
            <w:r w:rsidRPr="00A52A63">
              <w:rPr>
                <w:color w:val="000000"/>
                <w:sz w:val="20"/>
                <w:szCs w:val="20"/>
                <w:lang w:val="es-ES_tradnl"/>
              </w:rPr>
              <w:t>Planes de Acción 2013 y 2015</w:t>
            </w:r>
          </w:p>
          <w:p w:rsidR="00233205" w:rsidRPr="00A52A63" w:rsidRDefault="00233205" w:rsidP="00233205">
            <w:pPr>
              <w:pStyle w:val="NoSpacing"/>
              <w:widowControl w:val="0"/>
              <w:numPr>
                <w:ilvl w:val="0"/>
                <w:numId w:val="102"/>
              </w:numPr>
              <w:contextualSpacing/>
              <w:rPr>
                <w:color w:val="000000"/>
                <w:sz w:val="20"/>
                <w:szCs w:val="20"/>
                <w:lang w:val="es-ES_tradnl"/>
              </w:rPr>
            </w:pPr>
            <w:r w:rsidRPr="00A52A63">
              <w:rPr>
                <w:sz w:val="20"/>
                <w:szCs w:val="20"/>
                <w:lang w:val="es-ES_tradnl" w:eastAsia="es-ES"/>
              </w:rPr>
              <w:t xml:space="preserve">Contraloría General de la República, </w:t>
            </w:r>
            <w:r w:rsidRPr="00A52A63">
              <w:rPr>
                <w:color w:val="000000"/>
                <w:sz w:val="20"/>
                <w:szCs w:val="20"/>
                <w:lang w:val="es-ES_tradnl"/>
              </w:rPr>
              <w:t xml:space="preserve">Planes de Acción 2014 y 2015 – Macro proceso: Gerencia del Talento Humano </w:t>
            </w:r>
          </w:p>
          <w:p w:rsidR="00233205" w:rsidRPr="00A52A63" w:rsidRDefault="00233205" w:rsidP="00233205">
            <w:pPr>
              <w:pStyle w:val="NoSpacing"/>
              <w:widowControl w:val="0"/>
              <w:numPr>
                <w:ilvl w:val="0"/>
                <w:numId w:val="102"/>
              </w:numPr>
              <w:contextualSpacing/>
              <w:rPr>
                <w:rFonts w:cs="Calibri"/>
                <w:sz w:val="20"/>
                <w:szCs w:val="20"/>
                <w:lang w:val="es-ES_tradnl"/>
              </w:rPr>
            </w:pPr>
            <w:r w:rsidRPr="00A52A63">
              <w:rPr>
                <w:sz w:val="20"/>
                <w:szCs w:val="20"/>
                <w:lang w:val="es-ES_tradnl" w:eastAsia="es-ES"/>
              </w:rPr>
              <w:t xml:space="preserve">Contraloría General de la República, </w:t>
            </w:r>
            <w:r w:rsidRPr="00A52A63">
              <w:rPr>
                <w:rFonts w:cs="Calibri"/>
                <w:sz w:val="20"/>
                <w:szCs w:val="20"/>
                <w:lang w:val="es-ES_tradnl"/>
              </w:rPr>
              <w:t>Política de Seguridad de la Información de la CGR</w:t>
            </w:r>
            <w:r>
              <w:rPr>
                <w:rFonts w:cs="Calibri"/>
                <w:sz w:val="20"/>
                <w:szCs w:val="20"/>
                <w:lang w:val="es-ES_tradnl"/>
              </w:rPr>
              <w:t>C</w:t>
            </w:r>
          </w:p>
          <w:p w:rsidR="00233205" w:rsidRPr="00A52A63" w:rsidRDefault="00233205" w:rsidP="00233205">
            <w:pPr>
              <w:pStyle w:val="NoSpacing"/>
              <w:widowControl w:val="0"/>
              <w:numPr>
                <w:ilvl w:val="0"/>
                <w:numId w:val="102"/>
              </w:numPr>
              <w:contextualSpacing/>
              <w:rPr>
                <w:sz w:val="20"/>
                <w:szCs w:val="20"/>
                <w:lang w:val="es-ES_tradnl" w:eastAsia="es-ES"/>
              </w:rPr>
            </w:pPr>
            <w:r w:rsidRPr="00A52A63">
              <w:rPr>
                <w:sz w:val="20"/>
                <w:szCs w:val="20"/>
                <w:lang w:val="es-ES_tradnl" w:eastAsia="es-ES"/>
              </w:rPr>
              <w:t xml:space="preserve">Contraloría General de la República, </w:t>
            </w:r>
            <w:r w:rsidRPr="00A52A63">
              <w:rPr>
                <w:rFonts w:cs="Calibri"/>
                <w:sz w:val="20"/>
                <w:szCs w:val="20"/>
                <w:lang w:val="es-ES_tradnl"/>
              </w:rPr>
              <w:t>Procedimiento de Autoevaluación – Macro proceso Administrar Procesos y Procedimientos SIGCC</w:t>
            </w:r>
          </w:p>
          <w:p w:rsidR="00233205" w:rsidRPr="00A52A63" w:rsidRDefault="00233205" w:rsidP="00233205">
            <w:pPr>
              <w:pStyle w:val="NoSpacing"/>
              <w:widowControl w:val="0"/>
              <w:numPr>
                <w:ilvl w:val="0"/>
                <w:numId w:val="102"/>
              </w:numPr>
              <w:contextualSpacing/>
              <w:rPr>
                <w:color w:val="000000"/>
                <w:sz w:val="20"/>
                <w:szCs w:val="20"/>
                <w:lang w:val="es-ES_tradnl"/>
              </w:rPr>
            </w:pPr>
            <w:r w:rsidRPr="00A52A63">
              <w:rPr>
                <w:sz w:val="20"/>
                <w:szCs w:val="20"/>
                <w:lang w:val="es-ES_tradnl" w:eastAsia="es-ES"/>
              </w:rPr>
              <w:t xml:space="preserve">Contraloría General de la República, </w:t>
            </w:r>
            <w:r w:rsidRPr="00A52A63">
              <w:rPr>
                <w:color w:val="000000"/>
                <w:sz w:val="20"/>
                <w:szCs w:val="20"/>
                <w:lang w:val="es-ES_tradnl"/>
              </w:rPr>
              <w:t>Resultados de la encuesta Aplicación Principios, y Valores Éticos en la CGR</w:t>
            </w:r>
            <w:r>
              <w:rPr>
                <w:color w:val="000000"/>
                <w:sz w:val="20"/>
                <w:szCs w:val="20"/>
                <w:lang w:val="es-ES_tradnl"/>
              </w:rPr>
              <w:t>C</w:t>
            </w:r>
            <w:r w:rsidRPr="00A52A63">
              <w:rPr>
                <w:color w:val="000000"/>
                <w:sz w:val="20"/>
                <w:szCs w:val="20"/>
                <w:lang w:val="es-ES_tradnl"/>
              </w:rPr>
              <w:t xml:space="preserve"> en 2014</w:t>
            </w:r>
          </w:p>
          <w:p w:rsidR="00233205" w:rsidRPr="00A52A63" w:rsidRDefault="00233205" w:rsidP="00233205">
            <w:pPr>
              <w:pStyle w:val="NoSpacing"/>
              <w:numPr>
                <w:ilvl w:val="0"/>
                <w:numId w:val="102"/>
              </w:numPr>
              <w:contextualSpacing/>
              <w:rPr>
                <w:rFonts w:eastAsiaTheme="minorHAnsi"/>
                <w:color w:val="000000"/>
                <w:sz w:val="20"/>
                <w:szCs w:val="20"/>
                <w:lang w:val="es-ES_tradnl"/>
              </w:rPr>
            </w:pPr>
            <w:r w:rsidRPr="00A52A63">
              <w:rPr>
                <w:sz w:val="20"/>
                <w:szCs w:val="20"/>
                <w:lang w:val="es-ES_tradnl" w:eastAsia="es-ES"/>
              </w:rPr>
              <w:t>Contraloría General de la República.</w:t>
            </w:r>
            <w:r w:rsidRPr="00A52A63">
              <w:rPr>
                <w:rFonts w:cs="Calibri"/>
                <w:sz w:val="20"/>
                <w:szCs w:val="20"/>
                <w:lang w:val="es-ES_tradnl"/>
              </w:rPr>
              <w:t xml:space="preserve"> Diagnóstico de la Oficina de Control Interno. Octubre 2014</w:t>
            </w:r>
          </w:p>
          <w:p w:rsidR="00233205" w:rsidRPr="00A52A63" w:rsidRDefault="00233205" w:rsidP="00233205">
            <w:pPr>
              <w:pStyle w:val="NoSpacing"/>
              <w:numPr>
                <w:ilvl w:val="0"/>
                <w:numId w:val="102"/>
              </w:numPr>
              <w:contextualSpacing/>
              <w:rPr>
                <w:rFonts w:eastAsiaTheme="minorHAnsi"/>
                <w:color w:val="000000"/>
                <w:sz w:val="20"/>
                <w:szCs w:val="20"/>
                <w:lang w:val="es-ES_tradnl"/>
              </w:rPr>
            </w:pPr>
            <w:r w:rsidRPr="00A52A63">
              <w:rPr>
                <w:sz w:val="20"/>
                <w:szCs w:val="20"/>
                <w:lang w:val="es-ES_tradnl" w:eastAsia="es-ES"/>
              </w:rPr>
              <w:t>Contraloría General de la República.</w:t>
            </w:r>
            <w:r w:rsidRPr="00A52A63">
              <w:rPr>
                <w:color w:val="000000"/>
                <w:sz w:val="20"/>
                <w:szCs w:val="20"/>
                <w:lang w:val="es-ES_tradnl"/>
              </w:rPr>
              <w:t xml:space="preserve"> Diagnóstico sobre la función “consolidar el sistema de registro del costo de los recursos humanos, físicos y financieros de la CGR</w:t>
            </w:r>
            <w:r>
              <w:rPr>
                <w:color w:val="000000"/>
                <w:sz w:val="20"/>
                <w:szCs w:val="20"/>
                <w:lang w:val="es-ES_tradnl"/>
              </w:rPr>
              <w:t>C</w:t>
            </w:r>
            <w:r w:rsidRPr="00A52A63">
              <w:rPr>
                <w:color w:val="000000"/>
                <w:sz w:val="20"/>
                <w:szCs w:val="20"/>
                <w:lang w:val="es-ES_tradnl"/>
              </w:rPr>
              <w:t>”.</w:t>
            </w:r>
          </w:p>
          <w:p w:rsidR="00233205" w:rsidRPr="00A52A63" w:rsidRDefault="00233205" w:rsidP="00233205">
            <w:pPr>
              <w:pStyle w:val="NoSpacing"/>
              <w:numPr>
                <w:ilvl w:val="0"/>
                <w:numId w:val="102"/>
              </w:numPr>
              <w:contextualSpacing/>
              <w:rPr>
                <w:rFonts w:eastAsiaTheme="minorHAnsi"/>
                <w:color w:val="000000"/>
                <w:sz w:val="20"/>
                <w:szCs w:val="20"/>
                <w:lang w:val="es-ES_tradnl"/>
              </w:rPr>
            </w:pPr>
            <w:r w:rsidRPr="00A52A63">
              <w:rPr>
                <w:sz w:val="20"/>
                <w:szCs w:val="20"/>
                <w:lang w:val="es-ES_tradnl" w:eastAsia="es-ES"/>
              </w:rPr>
              <w:t>Contraloría General de la República.</w:t>
            </w:r>
            <w:r w:rsidRPr="00A52A63">
              <w:rPr>
                <w:sz w:val="20"/>
                <w:szCs w:val="20"/>
                <w:lang w:val="es-ES_tradnl"/>
              </w:rPr>
              <w:t xml:space="preserve"> Entregables Consultoría para la definición y establecimiento de estándares  para la Certificación Profesional Internacional en Control y Fiscalización Pública.</w:t>
            </w:r>
          </w:p>
          <w:p w:rsidR="00233205" w:rsidRPr="00A52A63" w:rsidRDefault="00233205" w:rsidP="00233205">
            <w:pPr>
              <w:pStyle w:val="NoSpacing"/>
              <w:numPr>
                <w:ilvl w:val="0"/>
                <w:numId w:val="102"/>
              </w:numPr>
              <w:contextualSpacing/>
              <w:rPr>
                <w:rFonts w:eastAsiaTheme="minorHAnsi"/>
                <w:sz w:val="20"/>
                <w:szCs w:val="20"/>
                <w:lang w:val="es-ES_tradnl" w:eastAsia="es-ES"/>
              </w:rPr>
            </w:pPr>
            <w:r w:rsidRPr="00A52A63">
              <w:rPr>
                <w:sz w:val="20"/>
                <w:szCs w:val="20"/>
                <w:lang w:val="es-ES_tradnl" w:eastAsia="es-ES"/>
              </w:rPr>
              <w:t>Decreto 111 de 1996</w:t>
            </w:r>
          </w:p>
          <w:p w:rsidR="00233205" w:rsidRPr="00A52A63" w:rsidRDefault="00233205" w:rsidP="00233205">
            <w:pPr>
              <w:pStyle w:val="NoSpacing"/>
              <w:numPr>
                <w:ilvl w:val="0"/>
                <w:numId w:val="102"/>
              </w:numPr>
              <w:contextualSpacing/>
              <w:rPr>
                <w:rFonts w:eastAsiaTheme="minorHAnsi"/>
                <w:sz w:val="20"/>
                <w:szCs w:val="20"/>
                <w:lang w:val="es-ES_tradnl" w:eastAsia="es-ES"/>
              </w:rPr>
            </w:pPr>
            <w:r w:rsidRPr="00A52A63">
              <w:rPr>
                <w:sz w:val="20"/>
                <w:szCs w:val="20"/>
                <w:lang w:val="es-ES_tradnl" w:eastAsia="es-ES"/>
              </w:rPr>
              <w:t>Decreto 943 de 2014</w:t>
            </w:r>
          </w:p>
          <w:p w:rsidR="00233205" w:rsidRPr="00A52A63" w:rsidRDefault="00233205" w:rsidP="00233205">
            <w:pPr>
              <w:pStyle w:val="NoSpacing"/>
              <w:widowControl w:val="0"/>
              <w:numPr>
                <w:ilvl w:val="0"/>
                <w:numId w:val="102"/>
              </w:numPr>
              <w:contextualSpacing/>
              <w:rPr>
                <w:color w:val="000000"/>
                <w:sz w:val="20"/>
                <w:szCs w:val="20"/>
                <w:lang w:val="es-ES_tradnl"/>
              </w:rPr>
            </w:pPr>
            <w:r w:rsidRPr="00A52A63">
              <w:rPr>
                <w:color w:val="000000"/>
                <w:sz w:val="20"/>
                <w:szCs w:val="20"/>
                <w:lang w:val="es-ES_tradnl"/>
              </w:rPr>
              <w:t>Entrevista con el Asesor de Gestión Oficina de Planeación encargado del HDA, 18 de febrero de 2015.</w:t>
            </w:r>
          </w:p>
          <w:p w:rsidR="00233205" w:rsidRPr="00A52A63" w:rsidRDefault="00233205" w:rsidP="00233205">
            <w:pPr>
              <w:pStyle w:val="NoSpacing"/>
              <w:widowControl w:val="0"/>
              <w:numPr>
                <w:ilvl w:val="0"/>
                <w:numId w:val="102"/>
              </w:numPr>
              <w:contextualSpacing/>
              <w:rPr>
                <w:color w:val="000000"/>
                <w:sz w:val="20"/>
                <w:szCs w:val="20"/>
                <w:lang w:val="es-ES_tradnl"/>
              </w:rPr>
            </w:pPr>
            <w:r w:rsidRPr="00A52A63">
              <w:rPr>
                <w:color w:val="000000"/>
                <w:sz w:val="20"/>
                <w:szCs w:val="20"/>
                <w:lang w:val="es-ES_tradnl"/>
              </w:rPr>
              <w:t>Entrevista con el Director y profesionales de la Oficina de Control Disciplinario, 18 de febrero de 2015.</w:t>
            </w:r>
          </w:p>
          <w:p w:rsidR="00233205" w:rsidRPr="00A52A63" w:rsidRDefault="00233205" w:rsidP="00233205">
            <w:pPr>
              <w:pStyle w:val="NoSpacing"/>
              <w:widowControl w:val="0"/>
              <w:numPr>
                <w:ilvl w:val="0"/>
                <w:numId w:val="102"/>
              </w:numPr>
              <w:contextualSpacing/>
              <w:rPr>
                <w:sz w:val="20"/>
                <w:szCs w:val="20"/>
                <w:lang w:val="es-ES_tradnl" w:eastAsia="es-ES"/>
              </w:rPr>
            </w:pPr>
            <w:r w:rsidRPr="00A52A63">
              <w:rPr>
                <w:color w:val="000000"/>
                <w:sz w:val="20"/>
                <w:szCs w:val="20"/>
                <w:lang w:val="es-ES_tradnl"/>
              </w:rPr>
              <w:t xml:space="preserve">Entrevista con el Gerente y Directores de la Gerencia Administrativa y Financiera, 18 de febrero de 2015.  </w:t>
            </w:r>
          </w:p>
          <w:p w:rsidR="00233205" w:rsidRPr="00A52A63" w:rsidRDefault="00233205" w:rsidP="00233205">
            <w:pPr>
              <w:pStyle w:val="NoSpacing"/>
              <w:widowControl w:val="0"/>
              <w:numPr>
                <w:ilvl w:val="0"/>
                <w:numId w:val="102"/>
              </w:numPr>
              <w:contextualSpacing/>
              <w:rPr>
                <w:color w:val="000000"/>
                <w:sz w:val="20"/>
                <w:szCs w:val="20"/>
                <w:lang w:val="es-ES_tradnl"/>
              </w:rPr>
            </w:pPr>
            <w:r w:rsidRPr="00A52A63">
              <w:rPr>
                <w:color w:val="000000"/>
                <w:sz w:val="20"/>
                <w:szCs w:val="20"/>
                <w:lang w:val="es-ES_tradnl"/>
              </w:rPr>
              <w:t>Entrevista con el Gerente y Directores de la Gerencia de Talento Humano, 18 de febrero de 2015.</w:t>
            </w:r>
          </w:p>
          <w:p w:rsidR="00233205" w:rsidRPr="00A52A63" w:rsidRDefault="00233205" w:rsidP="00233205">
            <w:pPr>
              <w:pStyle w:val="NoSpacing"/>
              <w:widowControl w:val="0"/>
              <w:numPr>
                <w:ilvl w:val="0"/>
                <w:numId w:val="102"/>
              </w:numPr>
              <w:contextualSpacing/>
              <w:rPr>
                <w:color w:val="000000"/>
                <w:sz w:val="20"/>
                <w:szCs w:val="20"/>
                <w:lang w:val="es-ES_tradnl"/>
              </w:rPr>
            </w:pPr>
            <w:r w:rsidRPr="00A52A63">
              <w:rPr>
                <w:rFonts w:cs="Calibri"/>
                <w:sz w:val="20"/>
                <w:szCs w:val="20"/>
                <w:lang w:val="es-ES_tradnl"/>
              </w:rPr>
              <w:t>Entrevista con la Directora de la Oficina de Control Interno</w:t>
            </w:r>
            <w:r w:rsidRPr="00A52A63">
              <w:rPr>
                <w:color w:val="000000"/>
                <w:sz w:val="20"/>
                <w:szCs w:val="20"/>
                <w:lang w:val="es-ES_tradnl"/>
              </w:rPr>
              <w:t>, 18 de febrero de 2015.</w:t>
            </w:r>
          </w:p>
          <w:p w:rsidR="00233205" w:rsidRPr="00A52A63" w:rsidRDefault="00233205" w:rsidP="00233205">
            <w:pPr>
              <w:pStyle w:val="NoSpacing"/>
              <w:widowControl w:val="0"/>
              <w:numPr>
                <w:ilvl w:val="0"/>
                <w:numId w:val="102"/>
              </w:numPr>
              <w:contextualSpacing/>
              <w:rPr>
                <w:sz w:val="20"/>
                <w:szCs w:val="20"/>
                <w:lang w:val="es-ES_tradnl" w:eastAsia="es-ES"/>
              </w:rPr>
            </w:pPr>
            <w:r w:rsidRPr="00A52A63">
              <w:rPr>
                <w:sz w:val="20"/>
                <w:szCs w:val="20"/>
                <w:lang w:val="es-ES_tradnl"/>
              </w:rPr>
              <w:t>Entrevista con la Directora y funcionarios de la Oficina de Planeación</w:t>
            </w:r>
            <w:r w:rsidRPr="00A52A63">
              <w:rPr>
                <w:color w:val="000000"/>
                <w:sz w:val="20"/>
                <w:szCs w:val="20"/>
                <w:lang w:val="es-ES_tradnl"/>
              </w:rPr>
              <w:t>, 18 de febrero de 2015.</w:t>
            </w:r>
          </w:p>
          <w:p w:rsidR="00233205" w:rsidRPr="00A52A63" w:rsidRDefault="00233205" w:rsidP="00233205">
            <w:pPr>
              <w:pStyle w:val="NoSpacing"/>
              <w:widowControl w:val="0"/>
              <w:numPr>
                <w:ilvl w:val="0"/>
                <w:numId w:val="102"/>
              </w:numPr>
              <w:contextualSpacing/>
              <w:rPr>
                <w:rFonts w:cs="Calibri"/>
                <w:sz w:val="20"/>
                <w:szCs w:val="20"/>
                <w:lang w:val="es-ES_tradnl"/>
              </w:rPr>
            </w:pPr>
            <w:r w:rsidRPr="00A52A63">
              <w:rPr>
                <w:color w:val="000000"/>
                <w:sz w:val="20"/>
                <w:szCs w:val="20"/>
                <w:lang w:val="es-ES_tradnl"/>
              </w:rPr>
              <w:t>Entrevista con los Directores de la Oficina de Sistemas e Informática y USATI, 18 de febrero de 2015.</w:t>
            </w:r>
          </w:p>
          <w:p w:rsidR="00233205" w:rsidRPr="00A52A63" w:rsidRDefault="00233205" w:rsidP="00233205">
            <w:pPr>
              <w:pStyle w:val="NoSpacing"/>
              <w:widowControl w:val="0"/>
              <w:numPr>
                <w:ilvl w:val="0"/>
                <w:numId w:val="102"/>
              </w:numPr>
              <w:contextualSpacing/>
              <w:rPr>
                <w:color w:val="000000"/>
                <w:sz w:val="20"/>
                <w:szCs w:val="20"/>
                <w:lang w:val="es-ES_tradnl"/>
              </w:rPr>
            </w:pPr>
            <w:r w:rsidRPr="00A52A63">
              <w:rPr>
                <w:color w:val="000000"/>
                <w:sz w:val="20"/>
                <w:szCs w:val="20"/>
                <w:lang w:val="es-ES_tradnl"/>
              </w:rPr>
              <w:t>Ley 1474 del 2011</w:t>
            </w:r>
          </w:p>
          <w:p w:rsidR="00233205" w:rsidRPr="00A52A63" w:rsidRDefault="00233205" w:rsidP="00233205">
            <w:pPr>
              <w:pStyle w:val="NoSpacing"/>
              <w:widowControl w:val="0"/>
              <w:numPr>
                <w:ilvl w:val="0"/>
                <w:numId w:val="102"/>
              </w:numPr>
              <w:contextualSpacing/>
              <w:rPr>
                <w:color w:val="000000"/>
                <w:sz w:val="20"/>
                <w:szCs w:val="20"/>
                <w:lang w:val="es-ES_tradnl"/>
              </w:rPr>
            </w:pPr>
            <w:r w:rsidRPr="00A52A63">
              <w:rPr>
                <w:color w:val="000000"/>
                <w:sz w:val="20"/>
                <w:szCs w:val="20"/>
                <w:lang w:val="es-ES_tradnl"/>
              </w:rPr>
              <w:t xml:space="preserve">Ley 267 del 2000 </w:t>
            </w:r>
          </w:p>
          <w:p w:rsidR="00233205" w:rsidRPr="00A52A63" w:rsidRDefault="00233205" w:rsidP="00233205">
            <w:pPr>
              <w:pStyle w:val="NoSpacing"/>
              <w:widowControl w:val="0"/>
              <w:numPr>
                <w:ilvl w:val="0"/>
                <w:numId w:val="102"/>
              </w:numPr>
              <w:contextualSpacing/>
              <w:rPr>
                <w:color w:val="000000"/>
                <w:sz w:val="20"/>
                <w:szCs w:val="20"/>
                <w:lang w:val="es-ES_tradnl"/>
              </w:rPr>
            </w:pPr>
            <w:r w:rsidRPr="00A52A63">
              <w:rPr>
                <w:color w:val="000000"/>
                <w:sz w:val="20"/>
                <w:szCs w:val="20"/>
                <w:lang w:val="es-ES_tradnl"/>
              </w:rPr>
              <w:t>Ley 269 de 2000</w:t>
            </w:r>
          </w:p>
          <w:p w:rsidR="00233205" w:rsidRPr="00A52A63" w:rsidRDefault="00233205" w:rsidP="00233205">
            <w:pPr>
              <w:pStyle w:val="NoSpacing"/>
              <w:widowControl w:val="0"/>
              <w:numPr>
                <w:ilvl w:val="0"/>
                <w:numId w:val="102"/>
              </w:numPr>
              <w:contextualSpacing/>
              <w:rPr>
                <w:color w:val="000000"/>
                <w:sz w:val="20"/>
                <w:szCs w:val="20"/>
                <w:lang w:val="es-ES_tradnl"/>
              </w:rPr>
            </w:pPr>
            <w:r w:rsidRPr="00A52A63">
              <w:rPr>
                <w:color w:val="000000"/>
                <w:sz w:val="20"/>
                <w:szCs w:val="20"/>
                <w:lang w:val="es-ES_tradnl"/>
              </w:rPr>
              <w:t>Ley 271 de 2000</w:t>
            </w:r>
          </w:p>
          <w:p w:rsidR="00233205" w:rsidRPr="00A52A63" w:rsidRDefault="00233205" w:rsidP="00233205">
            <w:pPr>
              <w:pStyle w:val="NoSpacing"/>
              <w:widowControl w:val="0"/>
              <w:numPr>
                <w:ilvl w:val="0"/>
                <w:numId w:val="102"/>
              </w:numPr>
              <w:contextualSpacing/>
              <w:rPr>
                <w:color w:val="000000"/>
                <w:sz w:val="20"/>
                <w:szCs w:val="20"/>
                <w:lang w:val="es-ES_tradnl"/>
              </w:rPr>
            </w:pPr>
            <w:r w:rsidRPr="00A52A63">
              <w:rPr>
                <w:color w:val="000000"/>
                <w:sz w:val="20"/>
                <w:szCs w:val="20"/>
                <w:lang w:val="es-ES_tradnl"/>
              </w:rPr>
              <w:t>Ley 734 de 2002</w:t>
            </w:r>
          </w:p>
          <w:p w:rsidR="00233205" w:rsidRPr="00A52A63" w:rsidRDefault="00233205" w:rsidP="00233205">
            <w:pPr>
              <w:pStyle w:val="NoSpacing"/>
              <w:numPr>
                <w:ilvl w:val="0"/>
                <w:numId w:val="102"/>
              </w:numPr>
              <w:contextualSpacing/>
              <w:rPr>
                <w:rFonts w:eastAsiaTheme="minorHAnsi"/>
                <w:sz w:val="20"/>
                <w:szCs w:val="20"/>
                <w:lang w:val="es-ES_tradnl"/>
              </w:rPr>
            </w:pPr>
            <w:r w:rsidRPr="00A52A63">
              <w:rPr>
                <w:sz w:val="20"/>
                <w:szCs w:val="20"/>
                <w:lang w:val="es-ES_tradnl"/>
              </w:rPr>
              <w:t>Manual del Proceso Auditor de la AGR -  Versión 6.0, Sección Seguimiento a los Planes de Mejoramiento</w:t>
            </w:r>
          </w:p>
          <w:p w:rsidR="00233205" w:rsidRPr="00A52A63" w:rsidRDefault="00233205" w:rsidP="00233205">
            <w:pPr>
              <w:pStyle w:val="NoSpacing"/>
              <w:numPr>
                <w:ilvl w:val="0"/>
                <w:numId w:val="102"/>
              </w:numPr>
              <w:contextualSpacing/>
              <w:rPr>
                <w:rFonts w:eastAsiaTheme="minorHAnsi"/>
                <w:sz w:val="20"/>
                <w:szCs w:val="20"/>
                <w:lang w:val="es-ES_tradnl" w:eastAsia="es-ES"/>
              </w:rPr>
            </w:pPr>
            <w:r w:rsidRPr="00A52A63">
              <w:rPr>
                <w:rFonts w:cs="Calibri"/>
                <w:sz w:val="20"/>
                <w:szCs w:val="20"/>
                <w:lang w:val="es-ES_tradnl"/>
              </w:rPr>
              <w:t>Manual Técnico del MECI 2014</w:t>
            </w:r>
          </w:p>
          <w:p w:rsidR="00233205" w:rsidRPr="00A52A63" w:rsidRDefault="00233205" w:rsidP="00233205">
            <w:pPr>
              <w:pStyle w:val="NoSpacing"/>
              <w:numPr>
                <w:ilvl w:val="0"/>
                <w:numId w:val="102"/>
              </w:numPr>
              <w:contextualSpacing/>
              <w:rPr>
                <w:rFonts w:eastAsiaTheme="minorHAnsi"/>
                <w:color w:val="000000"/>
                <w:sz w:val="20"/>
                <w:szCs w:val="20"/>
                <w:lang w:val="es-ES_tradnl"/>
              </w:rPr>
            </w:pPr>
            <w:r w:rsidRPr="00A52A63">
              <w:rPr>
                <w:color w:val="000000"/>
                <w:sz w:val="20"/>
                <w:szCs w:val="20"/>
                <w:lang w:val="es-ES_tradnl"/>
              </w:rPr>
              <w:t>Manual Usuario HDA</w:t>
            </w:r>
          </w:p>
          <w:p w:rsidR="00233205" w:rsidRPr="00A52A63" w:rsidRDefault="00233205" w:rsidP="00233205">
            <w:pPr>
              <w:pStyle w:val="NoSpacing"/>
              <w:numPr>
                <w:ilvl w:val="0"/>
                <w:numId w:val="102"/>
              </w:numPr>
              <w:contextualSpacing/>
              <w:rPr>
                <w:rFonts w:eastAsiaTheme="minorHAnsi"/>
                <w:color w:val="000000"/>
                <w:sz w:val="20"/>
                <w:szCs w:val="20"/>
                <w:lang w:val="es-ES_tradnl"/>
              </w:rPr>
            </w:pPr>
            <w:r w:rsidRPr="00A52A63">
              <w:rPr>
                <w:color w:val="000000"/>
                <w:sz w:val="20"/>
                <w:szCs w:val="20"/>
                <w:lang w:val="es-ES_tradnl"/>
              </w:rPr>
              <w:t>Mapa de Procesos de la CGR</w:t>
            </w:r>
            <w:r>
              <w:rPr>
                <w:color w:val="000000"/>
                <w:sz w:val="20"/>
                <w:szCs w:val="20"/>
                <w:lang w:val="es-ES_tradnl"/>
              </w:rPr>
              <w:t>C</w:t>
            </w:r>
          </w:p>
          <w:p w:rsidR="00233205" w:rsidRPr="00B27B5A" w:rsidRDefault="00233205" w:rsidP="00233205">
            <w:pPr>
              <w:pStyle w:val="NoSpacing"/>
              <w:numPr>
                <w:ilvl w:val="0"/>
                <w:numId w:val="102"/>
              </w:numPr>
              <w:contextualSpacing/>
              <w:rPr>
                <w:rFonts w:eastAsiaTheme="minorHAnsi"/>
                <w:sz w:val="20"/>
                <w:szCs w:val="20"/>
                <w:lang w:val="es-ES_tradnl" w:eastAsia="es-ES"/>
              </w:rPr>
            </w:pPr>
            <w:r w:rsidRPr="00B27B5A">
              <w:rPr>
                <w:rFonts w:cs="Calibri"/>
                <w:sz w:val="20"/>
                <w:szCs w:val="20"/>
                <w:lang w:val="es-ES_tradnl"/>
              </w:rPr>
              <w:lastRenderedPageBreak/>
              <w:t>Mapa de Riesgos CGRC, II Semestre 2014</w:t>
            </w:r>
          </w:p>
          <w:p w:rsidR="00233205" w:rsidRPr="00B27B5A" w:rsidRDefault="00233205" w:rsidP="00233205">
            <w:pPr>
              <w:pStyle w:val="NoSpacing"/>
              <w:numPr>
                <w:ilvl w:val="0"/>
                <w:numId w:val="102"/>
              </w:numPr>
              <w:contextualSpacing/>
              <w:rPr>
                <w:rFonts w:eastAsiaTheme="minorHAnsi"/>
                <w:color w:val="000000"/>
                <w:sz w:val="20"/>
                <w:szCs w:val="20"/>
                <w:lang w:val="es-ES_tradnl"/>
              </w:rPr>
            </w:pPr>
            <w:r w:rsidRPr="00B27B5A">
              <w:rPr>
                <w:color w:val="000000"/>
                <w:sz w:val="20"/>
                <w:szCs w:val="20"/>
                <w:lang w:val="es-ES_tradnl"/>
              </w:rPr>
              <w:t>Mapa de Riesgos de Corrupción CGRC, 2015</w:t>
            </w:r>
          </w:p>
          <w:p w:rsidR="00233205" w:rsidRPr="00B27B5A" w:rsidRDefault="00233205" w:rsidP="00233205">
            <w:pPr>
              <w:pStyle w:val="NoSpacing"/>
              <w:numPr>
                <w:ilvl w:val="0"/>
                <w:numId w:val="102"/>
              </w:numPr>
              <w:contextualSpacing/>
              <w:rPr>
                <w:rFonts w:eastAsiaTheme="minorHAnsi"/>
                <w:color w:val="000000"/>
                <w:sz w:val="20"/>
                <w:szCs w:val="20"/>
                <w:lang w:val="es-ES_tradnl"/>
              </w:rPr>
            </w:pPr>
            <w:r w:rsidRPr="00B27B5A">
              <w:rPr>
                <w:color w:val="000000"/>
                <w:sz w:val="20"/>
                <w:szCs w:val="20"/>
                <w:lang w:val="es-ES_tradnl"/>
              </w:rPr>
              <w:t>Memorando registro HDA, Enero 2015</w:t>
            </w:r>
          </w:p>
          <w:p w:rsidR="00233205" w:rsidRPr="00B27B5A" w:rsidRDefault="00233205" w:rsidP="00233205">
            <w:pPr>
              <w:pStyle w:val="NoSpacing"/>
              <w:numPr>
                <w:ilvl w:val="0"/>
                <w:numId w:val="102"/>
              </w:numPr>
              <w:contextualSpacing/>
              <w:rPr>
                <w:rFonts w:eastAsiaTheme="minorHAnsi"/>
                <w:color w:val="000000"/>
                <w:sz w:val="20"/>
                <w:szCs w:val="20"/>
                <w:lang w:val="es-ES_tradnl"/>
              </w:rPr>
            </w:pPr>
            <w:r w:rsidRPr="00B27B5A">
              <w:rPr>
                <w:color w:val="000000"/>
                <w:sz w:val="20"/>
                <w:szCs w:val="20"/>
                <w:lang w:val="es-ES_tradnl"/>
              </w:rPr>
              <w:t>Memorandos Informes mensuales emitidos por la Dirección Financiera (vigencia 2014)</w:t>
            </w:r>
          </w:p>
          <w:p w:rsidR="00233205" w:rsidRPr="00B27B5A" w:rsidRDefault="00233205" w:rsidP="00233205">
            <w:pPr>
              <w:pStyle w:val="NoSpacing"/>
              <w:numPr>
                <w:ilvl w:val="0"/>
                <w:numId w:val="102"/>
              </w:numPr>
              <w:contextualSpacing/>
              <w:rPr>
                <w:rFonts w:eastAsiaTheme="minorHAnsi"/>
                <w:color w:val="000000"/>
                <w:sz w:val="20"/>
                <w:szCs w:val="20"/>
                <w:lang w:val="es-ES_tradnl"/>
              </w:rPr>
            </w:pPr>
            <w:r w:rsidRPr="00B27B5A">
              <w:rPr>
                <w:color w:val="000000"/>
                <w:sz w:val="20"/>
                <w:szCs w:val="20"/>
                <w:lang w:val="es-ES_tradnl"/>
              </w:rPr>
              <w:t xml:space="preserve">Módulo de Planificación y Programación del SICA  </w:t>
            </w:r>
          </w:p>
          <w:p w:rsidR="00233205" w:rsidRPr="00B27B5A" w:rsidRDefault="00233205" w:rsidP="00233205">
            <w:pPr>
              <w:pStyle w:val="NoSpacing"/>
              <w:widowControl w:val="0"/>
              <w:numPr>
                <w:ilvl w:val="0"/>
                <w:numId w:val="102"/>
              </w:numPr>
              <w:contextualSpacing/>
              <w:rPr>
                <w:color w:val="000000"/>
                <w:sz w:val="20"/>
                <w:szCs w:val="20"/>
                <w:lang w:val="es-ES_tradnl"/>
              </w:rPr>
            </w:pPr>
            <w:r w:rsidRPr="00B27B5A">
              <w:rPr>
                <w:sz w:val="20"/>
                <w:szCs w:val="20"/>
                <w:lang w:val="es-ES_tradnl"/>
              </w:rPr>
              <w:t>Objetivos y Evaluaciones por Niveles Asistencial, Técnico y Ejecutivo.</w:t>
            </w:r>
          </w:p>
          <w:p w:rsidR="00233205" w:rsidRPr="00B27B5A" w:rsidRDefault="00233205" w:rsidP="00233205">
            <w:pPr>
              <w:pStyle w:val="NoSpacing"/>
              <w:numPr>
                <w:ilvl w:val="0"/>
                <w:numId w:val="102"/>
              </w:numPr>
              <w:contextualSpacing/>
              <w:rPr>
                <w:rFonts w:eastAsiaTheme="minorHAnsi"/>
                <w:color w:val="000000"/>
                <w:sz w:val="20"/>
                <w:szCs w:val="20"/>
                <w:lang w:val="es-ES_tradnl"/>
              </w:rPr>
            </w:pPr>
            <w:r w:rsidRPr="00B27B5A">
              <w:rPr>
                <w:color w:val="000000"/>
                <w:sz w:val="20"/>
                <w:szCs w:val="20"/>
                <w:lang w:val="es-ES_tradnl"/>
              </w:rPr>
              <w:t>Organigrama CGRC</w:t>
            </w:r>
          </w:p>
          <w:p w:rsidR="00233205" w:rsidRPr="00B27B5A" w:rsidRDefault="00233205" w:rsidP="00233205">
            <w:pPr>
              <w:pStyle w:val="NoSpacing"/>
              <w:numPr>
                <w:ilvl w:val="0"/>
                <w:numId w:val="102"/>
              </w:numPr>
              <w:contextualSpacing/>
              <w:rPr>
                <w:rFonts w:eastAsiaTheme="minorHAnsi"/>
                <w:sz w:val="20"/>
                <w:szCs w:val="20"/>
                <w:lang w:val="es-ES_tradnl" w:eastAsia="es-ES"/>
              </w:rPr>
            </w:pPr>
            <w:r w:rsidRPr="00B27B5A">
              <w:rPr>
                <w:sz w:val="20"/>
                <w:szCs w:val="20"/>
                <w:lang w:val="es-ES_tradnl" w:eastAsia="es-ES"/>
              </w:rPr>
              <w:t xml:space="preserve">Página web de la AGR </w:t>
            </w:r>
            <w:hyperlink r:id="rId50" w:history="1">
              <w:r w:rsidRPr="00B27B5A">
                <w:rPr>
                  <w:rStyle w:val="Hyperlink"/>
                  <w:sz w:val="20"/>
                  <w:szCs w:val="20"/>
                  <w:lang w:val="es-ES_tradnl" w:eastAsia="es-ES"/>
                </w:rPr>
                <w:t>http://www.auditoria.gov.co</w:t>
              </w:r>
            </w:hyperlink>
            <w:r w:rsidRPr="00B27B5A">
              <w:rPr>
                <w:sz w:val="20"/>
                <w:szCs w:val="20"/>
                <w:lang w:val="es-ES_tradnl" w:eastAsia="es-ES"/>
              </w:rPr>
              <w:t xml:space="preserve"> </w:t>
            </w:r>
          </w:p>
          <w:p w:rsidR="00233205" w:rsidRPr="00B27B5A" w:rsidRDefault="00233205" w:rsidP="00233205">
            <w:pPr>
              <w:pStyle w:val="NoSpacing"/>
              <w:widowControl w:val="0"/>
              <w:numPr>
                <w:ilvl w:val="0"/>
                <w:numId w:val="102"/>
              </w:numPr>
              <w:contextualSpacing/>
              <w:rPr>
                <w:rStyle w:val="Hyperlink"/>
                <w:rFonts w:eastAsiaTheme="minorHAnsi"/>
                <w:sz w:val="20"/>
                <w:szCs w:val="20"/>
                <w:lang w:val="es-ES_tradnl" w:eastAsia="es-ES"/>
              </w:rPr>
            </w:pPr>
            <w:r w:rsidRPr="00B27B5A">
              <w:rPr>
                <w:sz w:val="20"/>
                <w:szCs w:val="20"/>
                <w:lang w:val="es-ES_tradnl" w:eastAsia="es-ES"/>
              </w:rPr>
              <w:t xml:space="preserve">Página web de la CGN </w:t>
            </w:r>
            <w:hyperlink r:id="rId51" w:history="1">
              <w:r w:rsidRPr="00B27B5A">
                <w:rPr>
                  <w:rStyle w:val="Hyperlink"/>
                  <w:sz w:val="20"/>
                  <w:szCs w:val="20"/>
                  <w:lang w:val="es-ES_tradnl" w:eastAsia="es-ES"/>
                </w:rPr>
                <w:t>http://www.contaduria.gov.co</w:t>
              </w:r>
            </w:hyperlink>
          </w:p>
          <w:p w:rsidR="00233205" w:rsidRPr="00B27B5A" w:rsidRDefault="00233205" w:rsidP="00233205">
            <w:pPr>
              <w:pStyle w:val="NoSpacing"/>
              <w:widowControl w:val="0"/>
              <w:numPr>
                <w:ilvl w:val="0"/>
                <w:numId w:val="102"/>
              </w:numPr>
              <w:contextualSpacing/>
              <w:rPr>
                <w:sz w:val="20"/>
                <w:szCs w:val="20"/>
                <w:lang w:val="es-ES_tradnl" w:eastAsia="es-ES"/>
              </w:rPr>
            </w:pPr>
            <w:r w:rsidRPr="00B27B5A">
              <w:rPr>
                <w:sz w:val="20"/>
                <w:szCs w:val="20"/>
                <w:lang w:val="es-ES_tradnl" w:eastAsia="es-ES"/>
              </w:rPr>
              <w:t xml:space="preserve">Página web del DAFP   </w:t>
            </w:r>
            <w:hyperlink r:id="rId52" w:history="1">
              <w:r w:rsidRPr="00B27B5A">
                <w:rPr>
                  <w:rStyle w:val="Hyperlink"/>
                  <w:sz w:val="20"/>
                  <w:szCs w:val="20"/>
                  <w:lang w:val="es-ES_tradnl" w:eastAsia="es-ES"/>
                </w:rPr>
                <w:t>http://portal.dafp.gov.co/portal/page/portal/home</w:t>
              </w:r>
            </w:hyperlink>
          </w:p>
          <w:p w:rsidR="00233205" w:rsidRPr="00B27B5A" w:rsidRDefault="00233205" w:rsidP="00233205">
            <w:pPr>
              <w:pStyle w:val="NoSpacing"/>
              <w:widowControl w:val="0"/>
              <w:numPr>
                <w:ilvl w:val="0"/>
                <w:numId w:val="102"/>
              </w:numPr>
              <w:contextualSpacing/>
              <w:rPr>
                <w:sz w:val="20"/>
                <w:szCs w:val="20"/>
                <w:lang w:val="es-ES_tradnl" w:eastAsia="es-ES"/>
              </w:rPr>
            </w:pPr>
            <w:r w:rsidRPr="00B27B5A">
              <w:rPr>
                <w:sz w:val="20"/>
                <w:szCs w:val="20"/>
                <w:lang w:val="es-ES_tradnl" w:eastAsia="es-ES"/>
              </w:rPr>
              <w:t xml:space="preserve">Página web del MHCP - Aspectos generales de las etapas del ciclo presupuestal de los órganos que conforman el presupuesto general de la Nación </w:t>
            </w:r>
            <w:hyperlink r:id="rId53" w:history="1">
              <w:r w:rsidRPr="00B27B5A">
                <w:rPr>
                  <w:rStyle w:val="Hyperlink"/>
                  <w:rFonts w:cs="Helvetica Neue"/>
                  <w:sz w:val="20"/>
                  <w:szCs w:val="20"/>
                  <w:lang w:val="es-ES_tradnl"/>
                </w:rPr>
                <w:t>http://www.minhacienda.gov.co/HomeMinhacienda/presupuestogeneraldelanacion/AnteproyectoPGN</w:t>
              </w:r>
            </w:hyperlink>
            <w:r w:rsidRPr="00B27B5A">
              <w:rPr>
                <w:rFonts w:cs="Helvetica Neue"/>
                <w:sz w:val="20"/>
                <w:szCs w:val="20"/>
                <w:lang w:val="es-ES_tradnl"/>
              </w:rPr>
              <w:t xml:space="preserve"> </w:t>
            </w:r>
          </w:p>
          <w:p w:rsidR="00233205" w:rsidRPr="00B27B5A" w:rsidRDefault="00233205" w:rsidP="00233205">
            <w:pPr>
              <w:pStyle w:val="NoSpacing"/>
              <w:widowControl w:val="0"/>
              <w:numPr>
                <w:ilvl w:val="0"/>
                <w:numId w:val="102"/>
              </w:numPr>
              <w:contextualSpacing/>
              <w:rPr>
                <w:sz w:val="20"/>
                <w:szCs w:val="20"/>
                <w:lang w:val="es-ES_tradnl" w:eastAsia="es-ES"/>
              </w:rPr>
            </w:pPr>
            <w:r w:rsidRPr="00B27B5A">
              <w:rPr>
                <w:sz w:val="20"/>
                <w:szCs w:val="20"/>
                <w:lang w:val="es-ES_tradnl" w:eastAsia="es-ES"/>
              </w:rPr>
              <w:t xml:space="preserve">Página web del MHCP SIIF – Nación, </w:t>
            </w:r>
            <w:hyperlink r:id="rId54" w:history="1">
              <w:r w:rsidRPr="00B27B5A">
                <w:rPr>
                  <w:rStyle w:val="Hyperlink"/>
                  <w:rFonts w:cs="Helvetica Neue"/>
                  <w:sz w:val="20"/>
                  <w:szCs w:val="20"/>
                  <w:lang w:val="es-ES_tradnl"/>
                </w:rPr>
                <w:t>http://www.minhacienda.gov.co/HomeMinhacienda/siif</w:t>
              </w:r>
            </w:hyperlink>
            <w:r w:rsidRPr="00B27B5A">
              <w:rPr>
                <w:rFonts w:cs="Helvetica Neue"/>
                <w:sz w:val="20"/>
                <w:szCs w:val="20"/>
                <w:lang w:val="es-ES_tradnl"/>
              </w:rPr>
              <w:t xml:space="preserve"> </w:t>
            </w:r>
          </w:p>
          <w:p w:rsidR="00233205" w:rsidRPr="00B27B5A" w:rsidRDefault="00233205" w:rsidP="00233205">
            <w:pPr>
              <w:pStyle w:val="NoSpacing"/>
              <w:widowControl w:val="0"/>
              <w:numPr>
                <w:ilvl w:val="0"/>
                <w:numId w:val="102"/>
              </w:numPr>
              <w:contextualSpacing/>
              <w:rPr>
                <w:sz w:val="20"/>
                <w:szCs w:val="20"/>
                <w:lang w:val="es-ES_tradnl" w:eastAsia="es-ES"/>
              </w:rPr>
            </w:pPr>
            <w:r w:rsidRPr="00B27B5A">
              <w:rPr>
                <w:sz w:val="20"/>
                <w:szCs w:val="20"/>
                <w:lang w:val="es-ES_tradnl"/>
              </w:rPr>
              <w:t>Papeles de Trabajo de la Metodología MMD-EFS</w:t>
            </w:r>
            <w:r w:rsidRPr="00B27B5A">
              <w:rPr>
                <w:rFonts w:cs="Calibri"/>
                <w:sz w:val="20"/>
                <w:szCs w:val="20"/>
                <w:lang w:val="es-ES_tradnl"/>
              </w:rPr>
              <w:t xml:space="preserve"> </w:t>
            </w:r>
          </w:p>
          <w:p w:rsidR="00233205" w:rsidRPr="00B27B5A" w:rsidRDefault="00233205" w:rsidP="00233205">
            <w:pPr>
              <w:pStyle w:val="NoSpacing"/>
              <w:widowControl w:val="0"/>
              <w:numPr>
                <w:ilvl w:val="0"/>
                <w:numId w:val="102"/>
              </w:numPr>
              <w:contextualSpacing/>
              <w:rPr>
                <w:sz w:val="20"/>
                <w:szCs w:val="20"/>
                <w:lang w:val="es-ES_tradnl" w:eastAsia="es-ES"/>
              </w:rPr>
            </w:pPr>
            <w:r w:rsidRPr="00B27B5A">
              <w:rPr>
                <w:rFonts w:cs="Calibri"/>
                <w:sz w:val="20"/>
                <w:szCs w:val="20"/>
                <w:lang w:val="es-ES_tradnl"/>
              </w:rPr>
              <w:t>Plan de Manejo de Riesgos CGRC, II Semestre 2014</w:t>
            </w:r>
          </w:p>
          <w:p w:rsidR="00233205" w:rsidRPr="00B27B5A" w:rsidRDefault="00233205" w:rsidP="00233205">
            <w:pPr>
              <w:pStyle w:val="NoSpacing"/>
              <w:widowControl w:val="0"/>
              <w:numPr>
                <w:ilvl w:val="0"/>
                <w:numId w:val="102"/>
              </w:numPr>
              <w:contextualSpacing/>
              <w:rPr>
                <w:sz w:val="20"/>
                <w:szCs w:val="20"/>
                <w:lang w:val="es-ES_tradnl"/>
              </w:rPr>
            </w:pPr>
            <w:r w:rsidRPr="00B27B5A">
              <w:rPr>
                <w:sz w:val="20"/>
                <w:szCs w:val="20"/>
                <w:lang w:val="es-ES_tradnl"/>
              </w:rPr>
              <w:t>Plan de Mejoramiento Informes AGR Diciembre 2014</w:t>
            </w:r>
          </w:p>
          <w:p w:rsidR="00233205" w:rsidRPr="00B27B5A" w:rsidRDefault="00233205" w:rsidP="00233205">
            <w:pPr>
              <w:pStyle w:val="NoSpacing"/>
              <w:widowControl w:val="0"/>
              <w:numPr>
                <w:ilvl w:val="0"/>
                <w:numId w:val="102"/>
              </w:numPr>
              <w:contextualSpacing/>
              <w:rPr>
                <w:rFonts w:cs="Calibri"/>
                <w:sz w:val="20"/>
                <w:szCs w:val="20"/>
                <w:lang w:val="es-ES_tradnl"/>
              </w:rPr>
            </w:pPr>
            <w:r w:rsidRPr="00B27B5A">
              <w:rPr>
                <w:color w:val="000000"/>
                <w:sz w:val="20"/>
                <w:szCs w:val="20"/>
                <w:lang w:val="es-ES_tradnl"/>
              </w:rPr>
              <w:t>Resolución 0205 de 2015</w:t>
            </w:r>
          </w:p>
          <w:p w:rsidR="00233205" w:rsidRPr="00B27B5A" w:rsidRDefault="00233205" w:rsidP="00233205">
            <w:pPr>
              <w:pStyle w:val="NoSpacing"/>
              <w:widowControl w:val="0"/>
              <w:numPr>
                <w:ilvl w:val="0"/>
                <w:numId w:val="102"/>
              </w:numPr>
              <w:contextualSpacing/>
              <w:rPr>
                <w:color w:val="000000"/>
                <w:sz w:val="20"/>
                <w:szCs w:val="20"/>
                <w:lang w:val="es-ES_tradnl"/>
              </w:rPr>
            </w:pPr>
            <w:r w:rsidRPr="00B27B5A">
              <w:rPr>
                <w:color w:val="000000"/>
                <w:sz w:val="20"/>
                <w:szCs w:val="20"/>
                <w:lang w:val="es-ES_tradnl"/>
              </w:rPr>
              <w:t>Resolución 073 de 2008</w:t>
            </w:r>
          </w:p>
          <w:p w:rsidR="00233205" w:rsidRPr="00B27B5A" w:rsidRDefault="00233205" w:rsidP="00233205">
            <w:pPr>
              <w:pStyle w:val="NoSpacing"/>
              <w:widowControl w:val="0"/>
              <w:numPr>
                <w:ilvl w:val="0"/>
                <w:numId w:val="102"/>
              </w:numPr>
              <w:contextualSpacing/>
              <w:rPr>
                <w:color w:val="000000"/>
                <w:sz w:val="20"/>
                <w:szCs w:val="20"/>
                <w:lang w:val="es-ES_tradnl"/>
              </w:rPr>
            </w:pPr>
            <w:r w:rsidRPr="00B27B5A">
              <w:rPr>
                <w:color w:val="000000"/>
                <w:sz w:val="20"/>
                <w:szCs w:val="20"/>
                <w:lang w:val="es-ES_tradnl"/>
              </w:rPr>
              <w:t>Resolución 109 de 2010</w:t>
            </w:r>
          </w:p>
          <w:p w:rsidR="00233205" w:rsidRPr="00B27B5A" w:rsidRDefault="00233205" w:rsidP="00233205">
            <w:pPr>
              <w:pStyle w:val="NoSpacing"/>
              <w:widowControl w:val="0"/>
              <w:numPr>
                <w:ilvl w:val="0"/>
                <w:numId w:val="102"/>
              </w:numPr>
              <w:contextualSpacing/>
              <w:rPr>
                <w:sz w:val="20"/>
                <w:szCs w:val="20"/>
                <w:lang w:val="es-ES_tradnl" w:eastAsia="es-ES"/>
              </w:rPr>
            </w:pPr>
            <w:r w:rsidRPr="00B27B5A">
              <w:rPr>
                <w:sz w:val="20"/>
                <w:szCs w:val="20"/>
                <w:lang w:val="es-ES_tradnl" w:eastAsia="es-ES"/>
              </w:rPr>
              <w:t xml:space="preserve">Resolución Organizacional 0191 de 2015 </w:t>
            </w:r>
          </w:p>
          <w:p w:rsidR="00233205" w:rsidRPr="00B27B5A" w:rsidRDefault="00233205" w:rsidP="00233205">
            <w:pPr>
              <w:pStyle w:val="NoSpacing"/>
              <w:widowControl w:val="0"/>
              <w:numPr>
                <w:ilvl w:val="0"/>
                <w:numId w:val="102"/>
              </w:numPr>
              <w:contextualSpacing/>
              <w:rPr>
                <w:color w:val="000000"/>
                <w:sz w:val="20"/>
                <w:szCs w:val="20"/>
                <w:lang w:val="es-ES_tradnl"/>
              </w:rPr>
            </w:pPr>
            <w:r w:rsidRPr="00B27B5A">
              <w:rPr>
                <w:color w:val="000000"/>
                <w:sz w:val="20"/>
                <w:szCs w:val="20"/>
                <w:lang w:val="es-ES_tradnl"/>
              </w:rPr>
              <w:t>Resolución Reglamentaria 0107 de 2010</w:t>
            </w:r>
          </w:p>
          <w:p w:rsidR="00233205" w:rsidRPr="00B27B5A" w:rsidRDefault="00233205" w:rsidP="00233205">
            <w:pPr>
              <w:pStyle w:val="NoSpacing"/>
              <w:numPr>
                <w:ilvl w:val="0"/>
                <w:numId w:val="102"/>
              </w:numPr>
              <w:contextualSpacing/>
              <w:rPr>
                <w:sz w:val="20"/>
                <w:szCs w:val="20"/>
                <w:lang w:val="es-ES_tradnl" w:eastAsia="es-ES"/>
              </w:rPr>
            </w:pPr>
            <w:r w:rsidRPr="00B27B5A">
              <w:rPr>
                <w:color w:val="000000"/>
                <w:sz w:val="20"/>
                <w:szCs w:val="20"/>
                <w:lang w:val="es-ES_tradnl"/>
              </w:rPr>
              <w:t>Respuesta a consulta, suministrada po</w:t>
            </w:r>
            <w:r w:rsidRPr="00B27B5A">
              <w:rPr>
                <w:sz w:val="20"/>
                <w:szCs w:val="20"/>
                <w:lang w:val="es-ES_tradnl"/>
              </w:rPr>
              <w:t>r la Dra. María Judith Reyes, Asesora de Gestión de la Oficina de Planeación, integrante del equipo CF micro-SICA</w:t>
            </w:r>
            <w:r w:rsidRPr="00B27B5A">
              <w:rPr>
                <w:rFonts w:cs="Calibri"/>
                <w:sz w:val="20"/>
                <w:szCs w:val="20"/>
                <w:lang w:val="es-ES_tradnl"/>
              </w:rPr>
              <w:t xml:space="preserve"> </w:t>
            </w:r>
          </w:p>
          <w:p w:rsidR="00233205" w:rsidRPr="00B27B5A" w:rsidRDefault="00233205" w:rsidP="00233205">
            <w:pPr>
              <w:pStyle w:val="NoSpacing"/>
              <w:widowControl w:val="0"/>
              <w:numPr>
                <w:ilvl w:val="0"/>
                <w:numId w:val="102"/>
              </w:numPr>
              <w:contextualSpacing/>
              <w:rPr>
                <w:color w:val="000000"/>
                <w:sz w:val="20"/>
                <w:szCs w:val="20"/>
                <w:lang w:val="es-ES_tradnl"/>
              </w:rPr>
            </w:pPr>
            <w:r w:rsidRPr="00B27B5A">
              <w:rPr>
                <w:color w:val="000000"/>
                <w:sz w:val="20"/>
                <w:szCs w:val="20"/>
                <w:lang w:val="es-ES_tradnl"/>
              </w:rPr>
              <w:t xml:space="preserve">Sistema de Evaluación del Desempeño (SISED) - </w:t>
            </w:r>
            <w:r w:rsidRPr="00B27B5A">
              <w:rPr>
                <w:sz w:val="20"/>
                <w:szCs w:val="20"/>
                <w:lang w:val="es-ES_tradnl"/>
              </w:rPr>
              <w:t xml:space="preserve">Formularios de Concertación de </w:t>
            </w:r>
          </w:p>
          <w:p w:rsidR="00233205" w:rsidRPr="00B27B5A" w:rsidRDefault="00233205" w:rsidP="00233205">
            <w:pPr>
              <w:pStyle w:val="NoSpacing"/>
              <w:widowControl w:val="0"/>
              <w:numPr>
                <w:ilvl w:val="0"/>
                <w:numId w:val="102"/>
              </w:numPr>
              <w:contextualSpacing/>
              <w:rPr>
                <w:sz w:val="20"/>
                <w:szCs w:val="20"/>
                <w:lang w:val="es-ES_tradnl" w:eastAsia="es-ES"/>
              </w:rPr>
            </w:pPr>
            <w:r w:rsidRPr="00B27B5A">
              <w:rPr>
                <w:rFonts w:cs="Calibri"/>
                <w:sz w:val="20"/>
                <w:szCs w:val="20"/>
                <w:lang w:val="es-ES_tradnl"/>
              </w:rPr>
              <w:t>Validación OCI diagnóstico MECI 2014.</w:t>
            </w:r>
          </w:p>
          <w:p w:rsidR="00233205" w:rsidRPr="00A52A63" w:rsidRDefault="00233205" w:rsidP="00E30BEC">
            <w:pPr>
              <w:pStyle w:val="NoSpacing"/>
              <w:ind w:left="360"/>
              <w:contextualSpacing/>
              <w:rPr>
                <w:sz w:val="20"/>
                <w:szCs w:val="20"/>
                <w:lang w:val="es-ES_tradnl" w:eastAsia="es-ES"/>
              </w:rPr>
            </w:pPr>
          </w:p>
        </w:tc>
      </w:tr>
      <w:tr w:rsidR="00233205" w:rsidRPr="00B27B5A" w:rsidTr="00E30BEC">
        <w:tc>
          <w:tcPr>
            <w:tcW w:w="1101" w:type="dxa"/>
            <w:vAlign w:val="center"/>
          </w:tcPr>
          <w:p w:rsidR="00233205" w:rsidRPr="00A52A63" w:rsidRDefault="00233205" w:rsidP="00E30BEC">
            <w:pPr>
              <w:pStyle w:val="NoSpacing"/>
              <w:rPr>
                <w:b/>
                <w:sz w:val="20"/>
                <w:szCs w:val="20"/>
                <w:lang w:val="es-ES_tradnl"/>
              </w:rPr>
            </w:pPr>
            <w:r w:rsidRPr="00A52A63">
              <w:rPr>
                <w:b/>
                <w:sz w:val="20"/>
                <w:szCs w:val="20"/>
                <w:lang w:val="es-ES_tradnl"/>
              </w:rPr>
              <w:lastRenderedPageBreak/>
              <w:t>EFS-19</w:t>
            </w:r>
          </w:p>
        </w:tc>
        <w:tc>
          <w:tcPr>
            <w:tcW w:w="8646" w:type="dxa"/>
            <w:vAlign w:val="center"/>
          </w:tcPr>
          <w:p w:rsidR="00233205" w:rsidRPr="00A52A63" w:rsidRDefault="00233205" w:rsidP="00E30BEC">
            <w:pPr>
              <w:pStyle w:val="NoSpacing"/>
              <w:ind w:left="360"/>
              <w:contextualSpacing/>
              <w:rPr>
                <w:sz w:val="20"/>
                <w:szCs w:val="20"/>
                <w:lang w:val="es-ES_tradnl"/>
              </w:rPr>
            </w:pPr>
          </w:p>
          <w:p w:rsidR="00233205" w:rsidRPr="00B27B5A" w:rsidRDefault="00233205" w:rsidP="00233205">
            <w:pPr>
              <w:pStyle w:val="NoSpacing"/>
              <w:widowControl w:val="0"/>
              <w:numPr>
                <w:ilvl w:val="0"/>
                <w:numId w:val="103"/>
              </w:numPr>
              <w:contextualSpacing/>
              <w:rPr>
                <w:sz w:val="20"/>
                <w:szCs w:val="20"/>
                <w:lang w:val="es-ES_tradnl"/>
              </w:rPr>
            </w:pPr>
            <w:r w:rsidRPr="00B27B5A">
              <w:rPr>
                <w:sz w:val="20"/>
                <w:szCs w:val="20"/>
                <w:lang w:val="es-ES_tradnl"/>
              </w:rPr>
              <w:t>Contraloría General de la República Matriz  Objetivo Corporativo 1 – Productos; Matriz  Objetivo Corporativo 5 - Productos</w:t>
            </w:r>
          </w:p>
          <w:p w:rsidR="00233205" w:rsidRPr="00B27B5A" w:rsidRDefault="00233205" w:rsidP="00233205">
            <w:pPr>
              <w:pStyle w:val="NoSpacing"/>
              <w:widowControl w:val="0"/>
              <w:numPr>
                <w:ilvl w:val="0"/>
                <w:numId w:val="103"/>
              </w:numPr>
              <w:contextualSpacing/>
              <w:rPr>
                <w:sz w:val="20"/>
                <w:szCs w:val="20"/>
                <w:lang w:val="es-ES_tradnl"/>
              </w:rPr>
            </w:pPr>
            <w:r w:rsidRPr="00B27B5A">
              <w:rPr>
                <w:sz w:val="20"/>
                <w:szCs w:val="20"/>
                <w:lang w:val="es-ES_tradnl"/>
              </w:rPr>
              <w:t>Contraloría General de la República Plan de Acción 2015; Plan de Contingencias 2006 y 2012; Plan Estratégico 2010 – 2014; Plan Estratégico 2014 – 2018</w:t>
            </w:r>
          </w:p>
          <w:p w:rsidR="00233205" w:rsidRPr="00B27B5A" w:rsidRDefault="00233205" w:rsidP="00233205">
            <w:pPr>
              <w:pStyle w:val="NoSpacing"/>
              <w:widowControl w:val="0"/>
              <w:numPr>
                <w:ilvl w:val="0"/>
                <w:numId w:val="103"/>
              </w:numPr>
              <w:contextualSpacing/>
              <w:rPr>
                <w:sz w:val="20"/>
                <w:szCs w:val="20"/>
                <w:lang w:val="es-ES_tradnl"/>
              </w:rPr>
            </w:pPr>
            <w:r w:rsidRPr="00B27B5A">
              <w:rPr>
                <w:sz w:val="20"/>
                <w:szCs w:val="20"/>
                <w:lang w:val="es-ES_tradnl"/>
              </w:rPr>
              <w:t xml:space="preserve"> Contraloría General de la República, Datos de Análisis Financiero y Presupuesto de la CGRC, suministrado por la Gerencia Administrativa Financiera.</w:t>
            </w:r>
          </w:p>
          <w:p w:rsidR="00233205" w:rsidRPr="00B27B5A" w:rsidRDefault="00233205" w:rsidP="00233205">
            <w:pPr>
              <w:pStyle w:val="NoSpacing"/>
              <w:widowControl w:val="0"/>
              <w:numPr>
                <w:ilvl w:val="0"/>
                <w:numId w:val="103"/>
              </w:numPr>
              <w:contextualSpacing/>
              <w:rPr>
                <w:sz w:val="20"/>
                <w:szCs w:val="20"/>
                <w:lang w:val="es-ES_tradnl"/>
              </w:rPr>
            </w:pPr>
            <w:r w:rsidRPr="00B27B5A">
              <w:rPr>
                <w:sz w:val="20"/>
                <w:szCs w:val="20"/>
                <w:lang w:val="es-ES_tradnl"/>
              </w:rPr>
              <w:t>Contraloría General de la República, Evaluaciones de Desempeño - Formularios de Concertación de Objetivos y Evaluaciones por Niveles Asistencial, Técnico y Ejecutivo - Dirección de Recursos  Físicos y Dirección de Imprenta, Archivo y Correspondencia.</w:t>
            </w:r>
          </w:p>
          <w:p w:rsidR="00233205" w:rsidRPr="00B27B5A" w:rsidRDefault="00233205" w:rsidP="00233205">
            <w:pPr>
              <w:pStyle w:val="NoSpacing"/>
              <w:widowControl w:val="0"/>
              <w:numPr>
                <w:ilvl w:val="0"/>
                <w:numId w:val="103"/>
              </w:numPr>
              <w:contextualSpacing/>
              <w:rPr>
                <w:sz w:val="20"/>
                <w:szCs w:val="20"/>
                <w:lang w:val="es-ES_tradnl"/>
              </w:rPr>
            </w:pPr>
            <w:r w:rsidRPr="00B27B5A">
              <w:rPr>
                <w:sz w:val="20"/>
                <w:szCs w:val="20"/>
                <w:lang w:val="es-ES_tradnl"/>
              </w:rPr>
              <w:t xml:space="preserve">Contraloría General de la República, Ficha Técnica Gerencia Administrativa Financiera </w:t>
            </w:r>
          </w:p>
          <w:p w:rsidR="00233205" w:rsidRPr="00B27B5A" w:rsidRDefault="00233205" w:rsidP="00233205">
            <w:pPr>
              <w:pStyle w:val="NoSpacing"/>
              <w:widowControl w:val="0"/>
              <w:numPr>
                <w:ilvl w:val="0"/>
                <w:numId w:val="103"/>
              </w:numPr>
              <w:contextualSpacing/>
              <w:rPr>
                <w:sz w:val="20"/>
                <w:szCs w:val="20"/>
                <w:lang w:val="es-ES_tradnl"/>
              </w:rPr>
            </w:pPr>
            <w:r w:rsidRPr="00B27B5A">
              <w:rPr>
                <w:sz w:val="20"/>
                <w:szCs w:val="20"/>
                <w:lang w:val="es-ES_tradnl"/>
              </w:rPr>
              <w:t xml:space="preserve">Contraloría General de la República, Ficha Técnica Oficina de Sistemas e Informática </w:t>
            </w:r>
          </w:p>
          <w:p w:rsidR="00233205" w:rsidRPr="00B27B5A" w:rsidRDefault="00233205" w:rsidP="00233205">
            <w:pPr>
              <w:pStyle w:val="NoSpacing"/>
              <w:widowControl w:val="0"/>
              <w:numPr>
                <w:ilvl w:val="0"/>
                <w:numId w:val="103"/>
              </w:numPr>
              <w:contextualSpacing/>
              <w:rPr>
                <w:sz w:val="20"/>
                <w:szCs w:val="20"/>
                <w:lang w:val="es-ES_tradnl"/>
              </w:rPr>
            </w:pPr>
            <w:r w:rsidRPr="00B27B5A">
              <w:rPr>
                <w:sz w:val="20"/>
                <w:szCs w:val="20"/>
                <w:lang w:val="es-ES_tradnl"/>
              </w:rPr>
              <w:t xml:space="preserve">Contraloría General de la República, Ficha Técnica Unidad de Seguridad y Aseguramiento Tecnológico e Informático </w:t>
            </w:r>
          </w:p>
          <w:p w:rsidR="00233205" w:rsidRPr="00B27B5A" w:rsidRDefault="00233205" w:rsidP="00233205">
            <w:pPr>
              <w:pStyle w:val="NoSpacing"/>
              <w:widowControl w:val="0"/>
              <w:numPr>
                <w:ilvl w:val="0"/>
                <w:numId w:val="103"/>
              </w:numPr>
              <w:contextualSpacing/>
              <w:rPr>
                <w:sz w:val="20"/>
                <w:szCs w:val="20"/>
                <w:lang w:val="es-ES_tradnl"/>
              </w:rPr>
            </w:pPr>
            <w:r w:rsidRPr="00B27B5A">
              <w:rPr>
                <w:sz w:val="20"/>
                <w:szCs w:val="20"/>
                <w:lang w:val="es-ES_tradnl"/>
              </w:rPr>
              <w:t>Contraloría General de la República, Informe de Gestión 2010 – 2014, Modernización de la Sede de la CGRC (Pág. 383)</w:t>
            </w:r>
          </w:p>
          <w:p w:rsidR="00233205" w:rsidRPr="00B27B5A" w:rsidRDefault="00233205" w:rsidP="00233205">
            <w:pPr>
              <w:pStyle w:val="NoSpacing"/>
              <w:widowControl w:val="0"/>
              <w:numPr>
                <w:ilvl w:val="0"/>
                <w:numId w:val="103"/>
              </w:numPr>
              <w:contextualSpacing/>
              <w:rPr>
                <w:sz w:val="20"/>
                <w:szCs w:val="20"/>
                <w:lang w:val="es-ES_tradnl"/>
              </w:rPr>
            </w:pPr>
            <w:r w:rsidRPr="00B27B5A">
              <w:rPr>
                <w:sz w:val="20"/>
                <w:szCs w:val="20"/>
                <w:lang w:val="es-ES_tradnl"/>
              </w:rPr>
              <w:t xml:space="preserve">Contraloría General de la República, Manual Específico de Funciones y de Competencias Laborales de los empleos públicos de la planta global de la CGRC  (Establecido mediante Resolución Reglamentaria  216/2013) </w:t>
            </w:r>
          </w:p>
          <w:p w:rsidR="00233205" w:rsidRPr="00B27B5A" w:rsidRDefault="00233205" w:rsidP="00233205">
            <w:pPr>
              <w:pStyle w:val="NoSpacing"/>
              <w:widowControl w:val="0"/>
              <w:numPr>
                <w:ilvl w:val="0"/>
                <w:numId w:val="103"/>
              </w:numPr>
              <w:contextualSpacing/>
              <w:rPr>
                <w:sz w:val="20"/>
                <w:szCs w:val="20"/>
                <w:lang w:val="es-ES_tradnl"/>
              </w:rPr>
            </w:pPr>
            <w:r w:rsidRPr="00B27B5A">
              <w:rPr>
                <w:sz w:val="20"/>
                <w:szCs w:val="20"/>
                <w:lang w:val="es-ES_tradnl"/>
              </w:rPr>
              <w:t xml:space="preserve">Contraloría General de la República, Sistema de Gestión Documental </w:t>
            </w:r>
            <w:hyperlink r:id="rId55" w:history="1">
              <w:r w:rsidRPr="00B27B5A">
                <w:rPr>
                  <w:rStyle w:val="Hyperlink"/>
                  <w:sz w:val="20"/>
                  <w:szCs w:val="20"/>
                  <w:lang w:val="es-ES_tradnl"/>
                </w:rPr>
                <w:t>http://sigedoc.contraloria.gov.co/SGD_WEB/main/login.jsp</w:t>
              </w:r>
            </w:hyperlink>
          </w:p>
          <w:p w:rsidR="00233205" w:rsidRPr="00A52A63" w:rsidRDefault="00233205" w:rsidP="00233205">
            <w:pPr>
              <w:pStyle w:val="NoSpacing"/>
              <w:widowControl w:val="0"/>
              <w:numPr>
                <w:ilvl w:val="0"/>
                <w:numId w:val="103"/>
              </w:numPr>
              <w:contextualSpacing/>
              <w:rPr>
                <w:sz w:val="20"/>
                <w:szCs w:val="20"/>
                <w:lang w:val="es-ES_tradnl"/>
              </w:rPr>
            </w:pPr>
            <w:r w:rsidRPr="00B27B5A">
              <w:rPr>
                <w:sz w:val="20"/>
                <w:szCs w:val="20"/>
                <w:lang w:val="es-ES_tradnl"/>
              </w:rPr>
              <w:t>Contraloría General de la República. Necesidades Dirección de Imprenta, Archivo y Correspondencia; Necesidades Dirección de Recursos Físicos de Concertación de Objetivos;</w:t>
            </w:r>
            <w:r w:rsidRPr="00A52A63">
              <w:rPr>
                <w:sz w:val="20"/>
                <w:szCs w:val="20"/>
                <w:lang w:val="es-ES_tradnl"/>
              </w:rPr>
              <w:t xml:space="preserve"> </w:t>
            </w:r>
            <w:r w:rsidRPr="00A52A63">
              <w:rPr>
                <w:sz w:val="20"/>
                <w:szCs w:val="20"/>
                <w:lang w:val="es-ES_tradnl"/>
              </w:rPr>
              <w:lastRenderedPageBreak/>
              <w:t>Necesidades Dirección Financiera</w:t>
            </w:r>
          </w:p>
          <w:p w:rsidR="00233205" w:rsidRPr="00A52A63" w:rsidRDefault="00233205" w:rsidP="00233205">
            <w:pPr>
              <w:pStyle w:val="NoSpacing"/>
              <w:widowControl w:val="0"/>
              <w:numPr>
                <w:ilvl w:val="0"/>
                <w:numId w:val="103"/>
              </w:numPr>
              <w:contextualSpacing/>
              <w:rPr>
                <w:sz w:val="20"/>
                <w:szCs w:val="20"/>
                <w:lang w:val="es-ES_tradnl"/>
              </w:rPr>
            </w:pPr>
            <w:r w:rsidRPr="00A52A63">
              <w:rPr>
                <w:sz w:val="20"/>
                <w:szCs w:val="20"/>
                <w:lang w:val="es-ES_tradnl"/>
              </w:rPr>
              <w:t>Cronograma para la nueva sede</w:t>
            </w:r>
          </w:p>
          <w:p w:rsidR="00233205" w:rsidRPr="00A52A63" w:rsidRDefault="00233205" w:rsidP="00233205">
            <w:pPr>
              <w:pStyle w:val="NoSpacing"/>
              <w:widowControl w:val="0"/>
              <w:numPr>
                <w:ilvl w:val="0"/>
                <w:numId w:val="103"/>
              </w:numPr>
              <w:contextualSpacing/>
              <w:rPr>
                <w:sz w:val="20"/>
                <w:szCs w:val="20"/>
                <w:lang w:val="es-ES_tradnl"/>
              </w:rPr>
            </w:pPr>
            <w:r w:rsidRPr="00A52A63">
              <w:rPr>
                <w:sz w:val="20"/>
                <w:szCs w:val="20"/>
                <w:lang w:val="es-ES_tradnl"/>
              </w:rPr>
              <w:t>Declaración Urgencia Manifiesta, Contralor General, Diciembre 2014</w:t>
            </w:r>
          </w:p>
          <w:p w:rsidR="00233205" w:rsidRPr="00A52A63" w:rsidRDefault="00233205" w:rsidP="00233205">
            <w:pPr>
              <w:pStyle w:val="NoSpacing"/>
              <w:widowControl w:val="0"/>
              <w:numPr>
                <w:ilvl w:val="0"/>
                <w:numId w:val="103"/>
              </w:numPr>
              <w:contextualSpacing/>
              <w:rPr>
                <w:sz w:val="20"/>
                <w:szCs w:val="20"/>
                <w:lang w:val="es-ES_tradnl"/>
              </w:rPr>
            </w:pPr>
            <w:r w:rsidRPr="00A52A63">
              <w:rPr>
                <w:sz w:val="20"/>
                <w:szCs w:val="20"/>
                <w:lang w:val="es-ES_tradnl"/>
              </w:rPr>
              <w:t xml:space="preserve">Decreto 2573 de 2014 </w:t>
            </w:r>
          </w:p>
          <w:p w:rsidR="00233205" w:rsidRPr="00A52A63" w:rsidRDefault="00233205" w:rsidP="00233205">
            <w:pPr>
              <w:pStyle w:val="NoSpacing"/>
              <w:widowControl w:val="0"/>
              <w:numPr>
                <w:ilvl w:val="0"/>
                <w:numId w:val="103"/>
              </w:numPr>
              <w:contextualSpacing/>
              <w:rPr>
                <w:sz w:val="20"/>
                <w:szCs w:val="20"/>
                <w:lang w:val="es-ES_tradnl" w:eastAsia="es-ES"/>
              </w:rPr>
            </w:pPr>
            <w:r w:rsidRPr="00A52A63">
              <w:rPr>
                <w:sz w:val="20"/>
                <w:szCs w:val="20"/>
                <w:lang w:val="es-ES_tradnl"/>
              </w:rPr>
              <w:t>Entrevista Directora y Profesionales Oficina de Planeación</w:t>
            </w:r>
            <w:r w:rsidRPr="00A52A63">
              <w:rPr>
                <w:color w:val="000000"/>
                <w:sz w:val="20"/>
                <w:szCs w:val="20"/>
                <w:lang w:val="es-ES_tradnl"/>
              </w:rPr>
              <w:t>, 20 de febrero de 2015.</w:t>
            </w:r>
          </w:p>
          <w:p w:rsidR="00233205" w:rsidRPr="00A52A63" w:rsidRDefault="00233205" w:rsidP="00233205">
            <w:pPr>
              <w:pStyle w:val="NoSpacing"/>
              <w:widowControl w:val="0"/>
              <w:numPr>
                <w:ilvl w:val="0"/>
                <w:numId w:val="103"/>
              </w:numPr>
              <w:contextualSpacing/>
              <w:rPr>
                <w:sz w:val="20"/>
                <w:szCs w:val="20"/>
                <w:lang w:val="es-ES_tradnl" w:eastAsia="es-ES"/>
              </w:rPr>
            </w:pPr>
            <w:r w:rsidRPr="00A52A63">
              <w:rPr>
                <w:color w:val="000000"/>
                <w:sz w:val="20"/>
                <w:szCs w:val="20"/>
                <w:lang w:val="es-ES_tradnl"/>
              </w:rPr>
              <w:t>Entrevista Directores de la Oficina de Sistemas e Informática y USATI, 20 de febrero de 2015.</w:t>
            </w:r>
          </w:p>
          <w:p w:rsidR="00233205" w:rsidRPr="00A52A63" w:rsidRDefault="00233205" w:rsidP="00233205">
            <w:pPr>
              <w:pStyle w:val="NoSpacing"/>
              <w:numPr>
                <w:ilvl w:val="0"/>
                <w:numId w:val="103"/>
              </w:numPr>
              <w:contextualSpacing/>
              <w:rPr>
                <w:sz w:val="20"/>
                <w:szCs w:val="20"/>
                <w:lang w:val="es-ES_tradnl" w:eastAsia="es-ES"/>
              </w:rPr>
            </w:pPr>
            <w:r w:rsidRPr="00A52A63">
              <w:rPr>
                <w:color w:val="000000"/>
                <w:sz w:val="20"/>
                <w:szCs w:val="20"/>
                <w:lang w:val="es-ES_tradnl"/>
              </w:rPr>
              <w:t>Entrevista Gerente y Directores Gerencia Administrativa Financiera, 20 de febrero de 2015.</w:t>
            </w:r>
          </w:p>
          <w:p w:rsidR="00233205" w:rsidRPr="00A52A63" w:rsidRDefault="00233205" w:rsidP="00233205">
            <w:pPr>
              <w:pStyle w:val="NoSpacing"/>
              <w:widowControl w:val="0"/>
              <w:numPr>
                <w:ilvl w:val="0"/>
                <w:numId w:val="103"/>
              </w:numPr>
              <w:contextualSpacing/>
              <w:rPr>
                <w:sz w:val="20"/>
                <w:szCs w:val="20"/>
                <w:lang w:val="es-ES_tradnl"/>
              </w:rPr>
            </w:pPr>
            <w:r w:rsidRPr="00A52A63">
              <w:rPr>
                <w:sz w:val="20"/>
                <w:szCs w:val="20"/>
                <w:lang w:val="es-ES_tradnl"/>
              </w:rPr>
              <w:t>Ley 267 del 2000</w:t>
            </w:r>
          </w:p>
          <w:p w:rsidR="00233205" w:rsidRPr="00A52A63" w:rsidRDefault="00233205" w:rsidP="00233205">
            <w:pPr>
              <w:pStyle w:val="NoSpacing"/>
              <w:widowControl w:val="0"/>
              <w:numPr>
                <w:ilvl w:val="0"/>
                <w:numId w:val="103"/>
              </w:numPr>
              <w:contextualSpacing/>
              <w:rPr>
                <w:sz w:val="20"/>
                <w:szCs w:val="20"/>
                <w:lang w:val="es-ES_tradnl" w:eastAsia="es-ES"/>
              </w:rPr>
            </w:pPr>
            <w:r w:rsidRPr="00A52A63">
              <w:rPr>
                <w:sz w:val="20"/>
                <w:szCs w:val="20"/>
                <w:lang w:val="es-ES_tradnl"/>
              </w:rPr>
              <w:t xml:space="preserve">Papeles de Trabajo de la Metodología MMD-EFS </w:t>
            </w:r>
          </w:p>
          <w:p w:rsidR="00233205" w:rsidRPr="00A52A63" w:rsidRDefault="00233205" w:rsidP="00233205">
            <w:pPr>
              <w:pStyle w:val="NoSpacing"/>
              <w:widowControl w:val="0"/>
              <w:numPr>
                <w:ilvl w:val="0"/>
                <w:numId w:val="103"/>
              </w:numPr>
              <w:contextualSpacing/>
              <w:rPr>
                <w:sz w:val="20"/>
                <w:szCs w:val="20"/>
                <w:lang w:val="es-ES_tradnl" w:eastAsia="es-ES"/>
              </w:rPr>
            </w:pPr>
            <w:r w:rsidRPr="00A52A63">
              <w:rPr>
                <w:sz w:val="20"/>
                <w:szCs w:val="20"/>
                <w:lang w:val="es-ES_tradnl"/>
              </w:rPr>
              <w:t>Programa de Gestión Documental CGR</w:t>
            </w:r>
            <w:r>
              <w:rPr>
                <w:sz w:val="20"/>
                <w:szCs w:val="20"/>
                <w:lang w:val="es-ES_tradnl"/>
              </w:rPr>
              <w:t>C</w:t>
            </w:r>
            <w:r w:rsidRPr="00A52A63">
              <w:rPr>
                <w:sz w:val="20"/>
                <w:szCs w:val="20"/>
                <w:lang w:val="es-ES_tradnl"/>
              </w:rPr>
              <w:t xml:space="preserve">, Diciembre 2013 </w:t>
            </w:r>
          </w:p>
          <w:p w:rsidR="00233205" w:rsidRPr="00A52A63" w:rsidRDefault="00233205" w:rsidP="00E30BEC">
            <w:pPr>
              <w:pStyle w:val="NoSpacing"/>
              <w:ind w:left="360"/>
              <w:contextualSpacing/>
              <w:rPr>
                <w:sz w:val="20"/>
                <w:szCs w:val="20"/>
                <w:lang w:val="es-ES_tradnl" w:eastAsia="es-ES"/>
              </w:rPr>
            </w:pPr>
          </w:p>
        </w:tc>
      </w:tr>
      <w:tr w:rsidR="00233205" w:rsidRPr="00A52A63" w:rsidTr="00E30BEC">
        <w:tc>
          <w:tcPr>
            <w:tcW w:w="1101" w:type="dxa"/>
            <w:shd w:val="clear" w:color="auto" w:fill="D9D9D9" w:themeFill="background1" w:themeFillShade="D9"/>
            <w:vAlign w:val="center"/>
          </w:tcPr>
          <w:p w:rsidR="00233205" w:rsidRPr="00A52A63" w:rsidRDefault="00233205" w:rsidP="00E30BEC">
            <w:pPr>
              <w:pStyle w:val="NoSpacing"/>
              <w:rPr>
                <w:b/>
                <w:sz w:val="20"/>
                <w:szCs w:val="20"/>
                <w:lang w:val="es-ES_tradnl"/>
              </w:rPr>
            </w:pPr>
            <w:r w:rsidRPr="00A52A63">
              <w:rPr>
                <w:b/>
                <w:sz w:val="20"/>
                <w:szCs w:val="20"/>
                <w:lang w:val="es-ES_tradnl"/>
              </w:rPr>
              <w:lastRenderedPageBreak/>
              <w:t>Dominio F</w:t>
            </w:r>
          </w:p>
        </w:tc>
        <w:tc>
          <w:tcPr>
            <w:tcW w:w="8646" w:type="dxa"/>
            <w:shd w:val="clear" w:color="auto" w:fill="D9D9D9" w:themeFill="background1" w:themeFillShade="D9"/>
            <w:vAlign w:val="center"/>
          </w:tcPr>
          <w:p w:rsidR="00233205" w:rsidRPr="00A52A63" w:rsidRDefault="00233205" w:rsidP="00E30BEC">
            <w:pPr>
              <w:pStyle w:val="NoSpacing"/>
              <w:contextualSpacing/>
              <w:rPr>
                <w:rFonts w:cs="Arial"/>
                <w:b/>
                <w:sz w:val="20"/>
                <w:szCs w:val="20"/>
                <w:lang w:val="es-ES_tradnl"/>
              </w:rPr>
            </w:pPr>
            <w:r w:rsidRPr="00A52A63">
              <w:rPr>
                <w:rFonts w:cs="Calibri"/>
                <w:b/>
                <w:bCs/>
                <w:sz w:val="20"/>
                <w:szCs w:val="20"/>
                <w:lang w:val="es-ES_tradnl"/>
              </w:rPr>
              <w:t>Recursos Humanos y Liderazgo</w:t>
            </w:r>
          </w:p>
        </w:tc>
      </w:tr>
      <w:tr w:rsidR="00233205" w:rsidRPr="00B27B5A" w:rsidTr="00E30BEC">
        <w:tc>
          <w:tcPr>
            <w:tcW w:w="1101" w:type="dxa"/>
            <w:vAlign w:val="center"/>
          </w:tcPr>
          <w:p w:rsidR="00233205" w:rsidRPr="00A52A63" w:rsidRDefault="00233205" w:rsidP="00E30BEC">
            <w:pPr>
              <w:pStyle w:val="NoSpacing"/>
              <w:rPr>
                <w:b/>
                <w:sz w:val="20"/>
                <w:szCs w:val="20"/>
                <w:lang w:val="es-ES_tradnl"/>
              </w:rPr>
            </w:pPr>
            <w:r w:rsidRPr="00A52A63">
              <w:rPr>
                <w:b/>
                <w:sz w:val="20"/>
                <w:szCs w:val="20"/>
                <w:lang w:val="es-ES_tradnl"/>
              </w:rPr>
              <w:t>EFS-20</w:t>
            </w:r>
          </w:p>
        </w:tc>
        <w:tc>
          <w:tcPr>
            <w:tcW w:w="8646" w:type="dxa"/>
            <w:vAlign w:val="center"/>
          </w:tcPr>
          <w:p w:rsidR="00233205" w:rsidRPr="00A52A63" w:rsidRDefault="00233205" w:rsidP="00E30BEC">
            <w:pPr>
              <w:pStyle w:val="NoSpacing"/>
              <w:ind w:left="360"/>
              <w:contextualSpacing/>
              <w:rPr>
                <w:sz w:val="20"/>
                <w:szCs w:val="20"/>
                <w:lang w:val="es-ES_tradnl"/>
              </w:rPr>
            </w:pPr>
          </w:p>
          <w:p w:rsidR="00233205" w:rsidRPr="00B27B5A" w:rsidRDefault="00233205" w:rsidP="00233205">
            <w:pPr>
              <w:pStyle w:val="NoSpacing"/>
              <w:widowControl w:val="0"/>
              <w:numPr>
                <w:ilvl w:val="0"/>
                <w:numId w:val="104"/>
              </w:numPr>
              <w:contextualSpacing/>
              <w:rPr>
                <w:sz w:val="20"/>
                <w:szCs w:val="20"/>
                <w:lang w:val="es-ES_tradnl"/>
              </w:rPr>
            </w:pPr>
            <w:r w:rsidRPr="00B27B5A">
              <w:rPr>
                <w:sz w:val="20"/>
                <w:szCs w:val="20"/>
                <w:lang w:val="es-ES_tradnl"/>
              </w:rPr>
              <w:t>Acta 001 de 2015 – Consejo Superior de la Carrera Notarial</w:t>
            </w:r>
          </w:p>
          <w:p w:rsidR="00233205" w:rsidRPr="00B27B5A" w:rsidRDefault="00233205" w:rsidP="00233205">
            <w:pPr>
              <w:pStyle w:val="NoSpacing"/>
              <w:widowControl w:val="0"/>
              <w:numPr>
                <w:ilvl w:val="0"/>
                <w:numId w:val="104"/>
              </w:numPr>
              <w:contextualSpacing/>
              <w:rPr>
                <w:color w:val="000000"/>
                <w:sz w:val="20"/>
                <w:szCs w:val="20"/>
                <w:lang w:val="es-ES_tradnl"/>
              </w:rPr>
            </w:pPr>
            <w:r w:rsidRPr="00B27B5A">
              <w:rPr>
                <w:sz w:val="20"/>
                <w:szCs w:val="20"/>
                <w:lang w:val="es-ES_tradnl"/>
              </w:rPr>
              <w:t>Acta 002 de 2014 - Comité de Estímulos</w:t>
            </w:r>
          </w:p>
          <w:p w:rsidR="00233205" w:rsidRPr="00B27B5A" w:rsidRDefault="00233205" w:rsidP="00233205">
            <w:pPr>
              <w:pStyle w:val="NoSpacing"/>
              <w:widowControl w:val="0"/>
              <w:numPr>
                <w:ilvl w:val="0"/>
                <w:numId w:val="104"/>
              </w:numPr>
              <w:contextualSpacing/>
              <w:rPr>
                <w:sz w:val="20"/>
                <w:szCs w:val="20"/>
                <w:lang w:val="es-ES_tradnl"/>
              </w:rPr>
            </w:pPr>
            <w:r w:rsidRPr="00B27B5A">
              <w:rPr>
                <w:sz w:val="20"/>
                <w:szCs w:val="20"/>
                <w:lang w:val="es-ES_tradnl"/>
              </w:rPr>
              <w:t>Código Contencioso Administrativo, Artículo 3</w:t>
            </w:r>
          </w:p>
          <w:p w:rsidR="00233205" w:rsidRPr="00B27B5A" w:rsidRDefault="00233205" w:rsidP="00233205">
            <w:pPr>
              <w:pStyle w:val="NoSpacing"/>
              <w:widowControl w:val="0"/>
              <w:numPr>
                <w:ilvl w:val="0"/>
                <w:numId w:val="104"/>
              </w:numPr>
              <w:contextualSpacing/>
              <w:rPr>
                <w:rFonts w:cstheme="majorHAnsi"/>
                <w:bCs/>
                <w:sz w:val="20"/>
                <w:szCs w:val="20"/>
                <w:lang w:val="es-ES_tradnl"/>
              </w:rPr>
            </w:pPr>
            <w:r w:rsidRPr="00B27B5A">
              <w:rPr>
                <w:rFonts w:cstheme="majorHAnsi"/>
                <w:bCs/>
                <w:sz w:val="20"/>
                <w:szCs w:val="20"/>
                <w:lang w:val="es-ES_tradnl"/>
              </w:rPr>
              <w:t>Código de Ética y de Buen Gobierno (Aprobado mediante Res. 073 Agosto 25/2008)</w:t>
            </w:r>
          </w:p>
          <w:p w:rsidR="00233205" w:rsidRPr="00B27B5A" w:rsidRDefault="00233205" w:rsidP="00233205">
            <w:pPr>
              <w:pStyle w:val="NoSpacing"/>
              <w:widowControl w:val="0"/>
              <w:numPr>
                <w:ilvl w:val="0"/>
                <w:numId w:val="104"/>
              </w:numPr>
              <w:contextualSpacing/>
              <w:rPr>
                <w:sz w:val="20"/>
                <w:szCs w:val="20"/>
                <w:lang w:val="es-ES_tradnl"/>
              </w:rPr>
            </w:pPr>
            <w:r w:rsidRPr="00B27B5A">
              <w:rPr>
                <w:sz w:val="20"/>
                <w:szCs w:val="20"/>
                <w:lang w:val="es-ES_tradnl"/>
              </w:rPr>
              <w:t>Comunicación Universidad Nacional, Febrero 12 de 2006 – Concurso de Méritos</w:t>
            </w:r>
          </w:p>
          <w:p w:rsidR="00233205" w:rsidRPr="00B27B5A" w:rsidRDefault="00233205" w:rsidP="00233205">
            <w:pPr>
              <w:pStyle w:val="NoSpacing"/>
              <w:widowControl w:val="0"/>
              <w:numPr>
                <w:ilvl w:val="0"/>
                <w:numId w:val="104"/>
              </w:numPr>
              <w:contextualSpacing/>
              <w:rPr>
                <w:rFonts w:cs="Arial"/>
                <w:sz w:val="20"/>
                <w:szCs w:val="20"/>
                <w:lang w:val="es-ES_tradnl"/>
              </w:rPr>
            </w:pPr>
            <w:r w:rsidRPr="00B27B5A">
              <w:rPr>
                <w:rFonts w:cs="Arial"/>
                <w:sz w:val="20"/>
                <w:szCs w:val="20"/>
                <w:lang w:val="es-ES_tradnl"/>
              </w:rPr>
              <w:t xml:space="preserve">Constitución Política de Colombia </w:t>
            </w:r>
          </w:p>
          <w:p w:rsidR="00233205" w:rsidRPr="00B27B5A" w:rsidRDefault="00233205" w:rsidP="00233205">
            <w:pPr>
              <w:pStyle w:val="NoSpacing"/>
              <w:widowControl w:val="0"/>
              <w:numPr>
                <w:ilvl w:val="0"/>
                <w:numId w:val="104"/>
              </w:numPr>
              <w:contextualSpacing/>
              <w:rPr>
                <w:sz w:val="20"/>
                <w:szCs w:val="20"/>
                <w:lang w:val="es-ES_tradnl"/>
              </w:rPr>
            </w:pPr>
            <w:r w:rsidRPr="00B27B5A">
              <w:rPr>
                <w:sz w:val="20"/>
                <w:szCs w:val="20"/>
                <w:lang w:val="es-ES_tradnl"/>
              </w:rPr>
              <w:t xml:space="preserve">Contraloría General de la República - Concurso de Méritos Cargos de Carrera Administrativa: </w:t>
            </w:r>
            <w:hyperlink r:id="rId56" w:history="1">
              <w:r w:rsidRPr="00B27B5A">
                <w:rPr>
                  <w:rStyle w:val="Hyperlink"/>
                  <w:sz w:val="20"/>
                  <w:szCs w:val="20"/>
                  <w:lang w:val="es-ES_tradnl"/>
                </w:rPr>
                <w:t>https://concursocontraloria.co</w:t>
              </w:r>
            </w:hyperlink>
            <w:r w:rsidRPr="00B27B5A">
              <w:rPr>
                <w:sz w:val="20"/>
                <w:szCs w:val="20"/>
                <w:lang w:val="es-ES_tradnl"/>
              </w:rPr>
              <w:t xml:space="preserve"> </w:t>
            </w:r>
          </w:p>
          <w:p w:rsidR="00233205" w:rsidRPr="00B27B5A" w:rsidRDefault="00233205" w:rsidP="00233205">
            <w:pPr>
              <w:pStyle w:val="NoSpacing"/>
              <w:widowControl w:val="0"/>
              <w:numPr>
                <w:ilvl w:val="0"/>
                <w:numId w:val="104"/>
              </w:numPr>
              <w:contextualSpacing/>
              <w:rPr>
                <w:sz w:val="20"/>
                <w:szCs w:val="20"/>
                <w:lang w:val="es-ES_tradnl"/>
              </w:rPr>
            </w:pPr>
            <w:r w:rsidRPr="00B27B5A">
              <w:rPr>
                <w:sz w:val="20"/>
                <w:szCs w:val="20"/>
                <w:lang w:val="es-ES_tradnl"/>
              </w:rPr>
              <w:t>Contraloría General de la República, Actas Comité de Convivencia, Septiembre 2014 y Enero de 2015</w:t>
            </w:r>
          </w:p>
          <w:p w:rsidR="00233205" w:rsidRPr="00B27B5A" w:rsidRDefault="00233205" w:rsidP="00233205">
            <w:pPr>
              <w:pStyle w:val="NoSpacing"/>
              <w:widowControl w:val="0"/>
              <w:numPr>
                <w:ilvl w:val="0"/>
                <w:numId w:val="104"/>
              </w:numPr>
              <w:contextualSpacing/>
              <w:rPr>
                <w:sz w:val="20"/>
                <w:szCs w:val="20"/>
                <w:lang w:val="es-ES_tradnl"/>
              </w:rPr>
            </w:pPr>
            <w:r w:rsidRPr="00B27B5A">
              <w:rPr>
                <w:sz w:val="20"/>
                <w:szCs w:val="20"/>
                <w:lang w:val="es-ES_tradnl"/>
              </w:rPr>
              <w:t>Contraloría General de la República, Actas del Comité Directivo, Agosto y Septiembre 2014</w:t>
            </w:r>
          </w:p>
          <w:p w:rsidR="00233205" w:rsidRPr="00B27B5A" w:rsidRDefault="00233205" w:rsidP="00233205">
            <w:pPr>
              <w:pStyle w:val="NoSpacing"/>
              <w:widowControl w:val="0"/>
              <w:numPr>
                <w:ilvl w:val="0"/>
                <w:numId w:val="104"/>
              </w:numPr>
              <w:contextualSpacing/>
              <w:rPr>
                <w:sz w:val="20"/>
                <w:szCs w:val="20"/>
                <w:lang w:val="es-ES_tradnl"/>
              </w:rPr>
            </w:pPr>
            <w:r w:rsidRPr="00B27B5A">
              <w:rPr>
                <w:sz w:val="20"/>
                <w:szCs w:val="20"/>
                <w:lang w:val="es-ES_tradnl"/>
              </w:rPr>
              <w:t>Contraloría General de la República, Antecedentes Concurso Directivo, 2013</w:t>
            </w:r>
          </w:p>
          <w:p w:rsidR="00233205" w:rsidRPr="00B27B5A" w:rsidRDefault="00233205" w:rsidP="00233205">
            <w:pPr>
              <w:pStyle w:val="NoSpacing"/>
              <w:widowControl w:val="0"/>
              <w:numPr>
                <w:ilvl w:val="0"/>
                <w:numId w:val="104"/>
              </w:numPr>
              <w:contextualSpacing/>
              <w:rPr>
                <w:sz w:val="20"/>
                <w:szCs w:val="20"/>
                <w:lang w:val="es-ES_tradnl"/>
              </w:rPr>
            </w:pPr>
            <w:r w:rsidRPr="00B27B5A">
              <w:rPr>
                <w:sz w:val="20"/>
                <w:szCs w:val="20"/>
                <w:lang w:val="es-ES_tradnl"/>
              </w:rPr>
              <w:t>Contraloría General de la República, Cargos a convocar, Febrero 2015</w:t>
            </w:r>
          </w:p>
          <w:p w:rsidR="00233205" w:rsidRPr="00B27B5A" w:rsidRDefault="00233205" w:rsidP="00233205">
            <w:pPr>
              <w:pStyle w:val="NoSpacing"/>
              <w:numPr>
                <w:ilvl w:val="0"/>
                <w:numId w:val="104"/>
              </w:numPr>
              <w:contextualSpacing/>
              <w:rPr>
                <w:rFonts w:eastAsiaTheme="minorHAnsi"/>
                <w:sz w:val="20"/>
                <w:szCs w:val="20"/>
                <w:lang w:val="es-ES_tradnl"/>
              </w:rPr>
            </w:pPr>
            <w:r w:rsidRPr="00B27B5A">
              <w:rPr>
                <w:sz w:val="20"/>
                <w:szCs w:val="20"/>
                <w:lang w:val="es-ES_tradnl"/>
              </w:rPr>
              <w:t>Contraloría General de la República, Evaluaciones de Desempeño Gerencia Talento Humano</w:t>
            </w:r>
          </w:p>
          <w:p w:rsidR="00233205" w:rsidRPr="00B27B5A" w:rsidRDefault="00233205" w:rsidP="00233205">
            <w:pPr>
              <w:pStyle w:val="NoSpacing"/>
              <w:numPr>
                <w:ilvl w:val="0"/>
                <w:numId w:val="104"/>
              </w:numPr>
              <w:contextualSpacing/>
              <w:rPr>
                <w:rFonts w:eastAsiaTheme="minorHAnsi"/>
                <w:sz w:val="20"/>
                <w:szCs w:val="20"/>
                <w:lang w:val="es-ES_tradnl"/>
              </w:rPr>
            </w:pPr>
            <w:r w:rsidRPr="00B27B5A">
              <w:rPr>
                <w:sz w:val="20"/>
                <w:szCs w:val="20"/>
                <w:lang w:val="es-ES_tradnl"/>
              </w:rPr>
              <w:t xml:space="preserve">Contraloría General de la República, Evaluaciones de desempeño SISED </w:t>
            </w:r>
          </w:p>
          <w:p w:rsidR="00233205" w:rsidRPr="00B27B5A" w:rsidRDefault="00233205" w:rsidP="00233205">
            <w:pPr>
              <w:pStyle w:val="NoSpacing"/>
              <w:numPr>
                <w:ilvl w:val="0"/>
                <w:numId w:val="104"/>
              </w:numPr>
              <w:contextualSpacing/>
              <w:rPr>
                <w:rFonts w:eastAsiaTheme="minorHAnsi"/>
                <w:sz w:val="20"/>
                <w:szCs w:val="20"/>
                <w:lang w:val="es-ES_tradnl"/>
              </w:rPr>
            </w:pPr>
            <w:r w:rsidRPr="00B27B5A">
              <w:rPr>
                <w:sz w:val="20"/>
                <w:szCs w:val="20"/>
                <w:lang w:val="es-ES_tradnl"/>
              </w:rPr>
              <w:t xml:space="preserve">Contraloría General de la República, Ficha Técnica Gerencia de Talento Humano </w:t>
            </w:r>
          </w:p>
          <w:p w:rsidR="00233205" w:rsidRPr="00B27B5A" w:rsidRDefault="00233205" w:rsidP="00233205">
            <w:pPr>
              <w:pStyle w:val="NoSpacing"/>
              <w:numPr>
                <w:ilvl w:val="0"/>
                <w:numId w:val="104"/>
              </w:numPr>
              <w:contextualSpacing/>
              <w:rPr>
                <w:rFonts w:eastAsiaTheme="minorHAnsi"/>
                <w:sz w:val="20"/>
                <w:szCs w:val="20"/>
                <w:lang w:val="es-ES_tradnl"/>
              </w:rPr>
            </w:pPr>
            <w:r w:rsidRPr="00B27B5A">
              <w:rPr>
                <w:sz w:val="20"/>
                <w:szCs w:val="20"/>
                <w:lang w:val="es-ES_tradnl"/>
              </w:rPr>
              <w:t>Contraloría General de la República, Formularios evaluación SISED</w:t>
            </w:r>
          </w:p>
          <w:p w:rsidR="00233205" w:rsidRPr="00B27B5A" w:rsidRDefault="00233205" w:rsidP="00233205">
            <w:pPr>
              <w:pStyle w:val="NoSpacing"/>
              <w:widowControl w:val="0"/>
              <w:numPr>
                <w:ilvl w:val="0"/>
                <w:numId w:val="104"/>
              </w:numPr>
              <w:contextualSpacing/>
              <w:rPr>
                <w:sz w:val="20"/>
                <w:szCs w:val="20"/>
                <w:lang w:val="es-ES_tradnl"/>
              </w:rPr>
            </w:pPr>
            <w:r w:rsidRPr="00B27B5A">
              <w:rPr>
                <w:sz w:val="20"/>
                <w:szCs w:val="20"/>
                <w:lang w:val="es-ES_tradnl"/>
              </w:rPr>
              <w:t>Contraloría General de la República, Informe Final de Logros del Plan de Acción, Consolidado por Macro procesos</w:t>
            </w:r>
            <w:r w:rsidRPr="00B27B5A">
              <w:rPr>
                <w:rFonts w:ascii="MS Gothic" w:eastAsia="MS Gothic" w:hAnsi="MS Gothic" w:cs="MS Gothic" w:hint="eastAsia"/>
                <w:sz w:val="20"/>
                <w:szCs w:val="20"/>
                <w:lang w:val="es-ES_tradnl"/>
              </w:rPr>
              <w:t> </w:t>
            </w:r>
          </w:p>
          <w:p w:rsidR="00233205" w:rsidRPr="00B27B5A" w:rsidRDefault="00233205" w:rsidP="00233205">
            <w:pPr>
              <w:pStyle w:val="NoSpacing"/>
              <w:widowControl w:val="0"/>
              <w:numPr>
                <w:ilvl w:val="0"/>
                <w:numId w:val="104"/>
              </w:numPr>
              <w:contextualSpacing/>
              <w:rPr>
                <w:sz w:val="20"/>
                <w:szCs w:val="20"/>
                <w:lang w:val="es-ES_tradnl"/>
              </w:rPr>
            </w:pPr>
            <w:r w:rsidRPr="00B27B5A">
              <w:rPr>
                <w:sz w:val="20"/>
                <w:szCs w:val="20"/>
                <w:lang w:val="es-ES_tradnl"/>
              </w:rPr>
              <w:t>Contraloría General de la República, Informes Intervención Cultura Organizacional, 2011, 2012, 2013 y 2014</w:t>
            </w:r>
          </w:p>
          <w:p w:rsidR="00233205" w:rsidRPr="00B27B5A" w:rsidRDefault="00233205" w:rsidP="00233205">
            <w:pPr>
              <w:pStyle w:val="NoSpacing"/>
              <w:numPr>
                <w:ilvl w:val="0"/>
                <w:numId w:val="104"/>
              </w:numPr>
              <w:contextualSpacing/>
              <w:rPr>
                <w:rFonts w:eastAsiaTheme="minorHAnsi"/>
                <w:sz w:val="20"/>
                <w:szCs w:val="20"/>
                <w:lang w:val="es-ES_tradnl"/>
              </w:rPr>
            </w:pPr>
            <w:r w:rsidRPr="00B27B5A">
              <w:rPr>
                <w:sz w:val="20"/>
                <w:szCs w:val="20"/>
                <w:lang w:val="es-ES_tradnl"/>
              </w:rPr>
              <w:t>Contraloría General de la República, Manual de Comunicaciones</w:t>
            </w:r>
          </w:p>
          <w:p w:rsidR="00233205" w:rsidRPr="00B27B5A" w:rsidRDefault="00233205" w:rsidP="00233205">
            <w:pPr>
              <w:pStyle w:val="NoSpacing"/>
              <w:numPr>
                <w:ilvl w:val="0"/>
                <w:numId w:val="104"/>
              </w:numPr>
              <w:contextualSpacing/>
              <w:rPr>
                <w:rFonts w:eastAsiaTheme="minorHAnsi"/>
                <w:sz w:val="20"/>
                <w:szCs w:val="20"/>
                <w:lang w:val="es-ES_tradnl"/>
              </w:rPr>
            </w:pPr>
            <w:r w:rsidRPr="00B27B5A">
              <w:rPr>
                <w:sz w:val="20"/>
                <w:szCs w:val="20"/>
                <w:lang w:val="es-ES_tradnl"/>
              </w:rPr>
              <w:t>Contraloría General de la República, Manual de Procedimientos para Gestionar el Talento Humano, Macro proceso: Gestión del Talento Humano del SIGCC</w:t>
            </w:r>
          </w:p>
          <w:p w:rsidR="00233205" w:rsidRPr="00B27B5A" w:rsidRDefault="00233205" w:rsidP="00233205">
            <w:pPr>
              <w:pStyle w:val="NoSpacing"/>
              <w:numPr>
                <w:ilvl w:val="0"/>
                <w:numId w:val="104"/>
              </w:numPr>
              <w:contextualSpacing/>
              <w:rPr>
                <w:rFonts w:eastAsiaTheme="minorHAnsi"/>
                <w:sz w:val="20"/>
                <w:szCs w:val="20"/>
                <w:lang w:val="es-ES_tradnl"/>
              </w:rPr>
            </w:pPr>
            <w:r w:rsidRPr="00B27B5A">
              <w:rPr>
                <w:sz w:val="20"/>
                <w:szCs w:val="20"/>
                <w:lang w:val="es-ES_tradnl"/>
              </w:rPr>
              <w:t xml:space="preserve">Contraloría General de la República, Manual Específico de Funciones CGRC –  Sección Identificación de la entidad: Naturaleza y Objeto </w:t>
            </w:r>
          </w:p>
          <w:p w:rsidR="00233205" w:rsidRPr="00B27B5A" w:rsidRDefault="00233205" w:rsidP="00233205">
            <w:pPr>
              <w:pStyle w:val="NoSpacing"/>
              <w:numPr>
                <w:ilvl w:val="0"/>
                <w:numId w:val="104"/>
              </w:numPr>
              <w:contextualSpacing/>
              <w:rPr>
                <w:rFonts w:eastAsiaTheme="minorHAnsi"/>
                <w:color w:val="000000"/>
                <w:sz w:val="20"/>
                <w:szCs w:val="20"/>
                <w:lang w:val="es-ES_tradnl"/>
              </w:rPr>
            </w:pPr>
            <w:r w:rsidRPr="00B27B5A">
              <w:rPr>
                <w:sz w:val="20"/>
                <w:szCs w:val="20"/>
                <w:lang w:val="es-ES_tradnl"/>
              </w:rPr>
              <w:t xml:space="preserve">Contraloría General de la República, </w:t>
            </w:r>
            <w:r w:rsidRPr="00B27B5A">
              <w:rPr>
                <w:color w:val="000000"/>
                <w:sz w:val="20"/>
                <w:szCs w:val="20"/>
                <w:lang w:val="es-ES_tradnl"/>
              </w:rPr>
              <w:t xml:space="preserve">Manual Específico de Funciones y de Competencias Laborales de los empleos públicos de la planta global de la CGRC  (Resolución Reglamentaria  216/2013) </w:t>
            </w:r>
          </w:p>
          <w:p w:rsidR="00233205" w:rsidRPr="00B27B5A" w:rsidRDefault="00233205" w:rsidP="00233205">
            <w:pPr>
              <w:pStyle w:val="NoSpacing"/>
              <w:numPr>
                <w:ilvl w:val="0"/>
                <w:numId w:val="104"/>
              </w:numPr>
              <w:contextualSpacing/>
              <w:rPr>
                <w:rFonts w:eastAsiaTheme="minorHAnsi"/>
                <w:color w:val="000000"/>
                <w:sz w:val="20"/>
                <w:szCs w:val="20"/>
                <w:lang w:val="es-ES_tradnl"/>
              </w:rPr>
            </w:pPr>
            <w:r w:rsidRPr="00B27B5A">
              <w:rPr>
                <w:sz w:val="20"/>
                <w:szCs w:val="20"/>
                <w:lang w:val="es-ES_tradnl"/>
              </w:rPr>
              <w:t>Contraloría General de la República, Plan Estratégico 2010 – 2014</w:t>
            </w:r>
          </w:p>
          <w:p w:rsidR="00233205" w:rsidRPr="00B27B5A" w:rsidRDefault="00233205" w:rsidP="00233205">
            <w:pPr>
              <w:pStyle w:val="NoSpacing"/>
              <w:numPr>
                <w:ilvl w:val="0"/>
                <w:numId w:val="104"/>
              </w:numPr>
              <w:contextualSpacing/>
              <w:rPr>
                <w:rFonts w:eastAsiaTheme="minorHAnsi"/>
                <w:color w:val="000000"/>
                <w:sz w:val="20"/>
                <w:szCs w:val="20"/>
                <w:lang w:val="es-ES_tradnl"/>
              </w:rPr>
            </w:pPr>
            <w:r w:rsidRPr="00B27B5A">
              <w:rPr>
                <w:sz w:val="20"/>
                <w:szCs w:val="20"/>
                <w:lang w:val="es-ES_tradnl"/>
              </w:rPr>
              <w:t>Contraloría General de la República, Plan Estratégico</w:t>
            </w:r>
            <w:r w:rsidRPr="00B27B5A">
              <w:rPr>
                <w:rFonts w:ascii="MS Gothic" w:eastAsia="MS Gothic" w:hAnsi="MS Gothic" w:cs="MS Gothic" w:hint="eastAsia"/>
                <w:sz w:val="20"/>
                <w:szCs w:val="20"/>
                <w:lang w:val="es-ES_tradnl"/>
              </w:rPr>
              <w:t> </w:t>
            </w:r>
            <w:r w:rsidRPr="00B27B5A">
              <w:rPr>
                <w:sz w:val="20"/>
                <w:szCs w:val="20"/>
                <w:lang w:val="es-ES_tradnl"/>
              </w:rPr>
              <w:t>2014 – 2018</w:t>
            </w:r>
          </w:p>
          <w:p w:rsidR="00233205" w:rsidRPr="00B27B5A" w:rsidRDefault="00233205" w:rsidP="00233205">
            <w:pPr>
              <w:pStyle w:val="NoSpacing"/>
              <w:numPr>
                <w:ilvl w:val="0"/>
                <w:numId w:val="104"/>
              </w:numPr>
              <w:contextualSpacing/>
              <w:rPr>
                <w:rFonts w:eastAsiaTheme="minorHAnsi"/>
                <w:color w:val="000000"/>
                <w:sz w:val="20"/>
                <w:szCs w:val="20"/>
                <w:lang w:val="es-ES_tradnl"/>
              </w:rPr>
            </w:pPr>
            <w:r w:rsidRPr="00B27B5A">
              <w:rPr>
                <w:sz w:val="20"/>
                <w:szCs w:val="20"/>
                <w:lang w:val="es-ES_tradnl"/>
              </w:rPr>
              <w:t>Contraloría General de la República, Planes de Acción 2014 y 2015 – Macro proceso Gerencia de Talento Humano</w:t>
            </w:r>
          </w:p>
          <w:p w:rsidR="00233205" w:rsidRPr="00B27B5A" w:rsidRDefault="00233205" w:rsidP="00233205">
            <w:pPr>
              <w:pStyle w:val="NoSpacing"/>
              <w:numPr>
                <w:ilvl w:val="0"/>
                <w:numId w:val="104"/>
              </w:numPr>
              <w:contextualSpacing/>
              <w:rPr>
                <w:rFonts w:eastAsiaTheme="minorHAnsi"/>
                <w:sz w:val="20"/>
                <w:szCs w:val="20"/>
                <w:lang w:val="es-ES_tradnl"/>
              </w:rPr>
            </w:pPr>
            <w:r w:rsidRPr="00B27B5A">
              <w:rPr>
                <w:sz w:val="20"/>
                <w:szCs w:val="20"/>
                <w:lang w:val="es-ES_tradnl"/>
              </w:rPr>
              <w:t>Contraloría General de la República, Procedimientos de la Oficina de Comunicaciones y Publicaciones – Comunicar y Divulgar Internamente</w:t>
            </w:r>
          </w:p>
          <w:p w:rsidR="00233205" w:rsidRPr="00B27B5A" w:rsidRDefault="00233205" w:rsidP="00233205">
            <w:pPr>
              <w:pStyle w:val="NoSpacing"/>
              <w:widowControl w:val="0"/>
              <w:numPr>
                <w:ilvl w:val="0"/>
                <w:numId w:val="104"/>
              </w:numPr>
              <w:contextualSpacing/>
              <w:rPr>
                <w:color w:val="000000"/>
                <w:sz w:val="20"/>
                <w:szCs w:val="20"/>
                <w:lang w:val="es-ES_tradnl"/>
              </w:rPr>
            </w:pPr>
            <w:r w:rsidRPr="00B27B5A">
              <w:rPr>
                <w:sz w:val="20"/>
                <w:szCs w:val="20"/>
                <w:lang w:val="es-ES_tradnl"/>
              </w:rPr>
              <w:t>Decreto 182 de 2014</w:t>
            </w:r>
          </w:p>
          <w:p w:rsidR="00233205" w:rsidRPr="00B27B5A" w:rsidRDefault="00233205" w:rsidP="00233205">
            <w:pPr>
              <w:pStyle w:val="NoSpacing"/>
              <w:widowControl w:val="0"/>
              <w:numPr>
                <w:ilvl w:val="0"/>
                <w:numId w:val="104"/>
              </w:numPr>
              <w:contextualSpacing/>
              <w:rPr>
                <w:sz w:val="20"/>
                <w:szCs w:val="20"/>
                <w:lang w:val="es-ES_tradnl"/>
              </w:rPr>
            </w:pPr>
            <w:r w:rsidRPr="00B27B5A">
              <w:rPr>
                <w:sz w:val="20"/>
                <w:szCs w:val="20"/>
                <w:lang w:val="es-ES_tradnl"/>
              </w:rPr>
              <w:t>Decreto 268 de 2000</w:t>
            </w:r>
          </w:p>
          <w:p w:rsidR="00233205" w:rsidRPr="00B27B5A" w:rsidRDefault="00233205" w:rsidP="00233205">
            <w:pPr>
              <w:pStyle w:val="NoSpacing"/>
              <w:numPr>
                <w:ilvl w:val="0"/>
                <w:numId w:val="104"/>
              </w:numPr>
              <w:contextualSpacing/>
              <w:rPr>
                <w:rFonts w:eastAsiaTheme="minorHAnsi"/>
                <w:sz w:val="20"/>
                <w:szCs w:val="20"/>
                <w:lang w:val="es-ES_tradnl"/>
              </w:rPr>
            </w:pPr>
            <w:r w:rsidRPr="00B27B5A">
              <w:rPr>
                <w:color w:val="000000"/>
                <w:sz w:val="20"/>
                <w:szCs w:val="20"/>
                <w:lang w:val="es-ES_tradnl"/>
              </w:rPr>
              <w:t>Entrevista con Gerente y Directores de la Gerencia de Talento Humano, 20 de febrero de 2015.</w:t>
            </w:r>
          </w:p>
          <w:p w:rsidR="00233205" w:rsidRPr="00B27B5A" w:rsidRDefault="00233205" w:rsidP="00233205">
            <w:pPr>
              <w:pStyle w:val="NoSpacing"/>
              <w:widowControl w:val="0"/>
              <w:numPr>
                <w:ilvl w:val="0"/>
                <w:numId w:val="104"/>
              </w:numPr>
              <w:contextualSpacing/>
              <w:rPr>
                <w:sz w:val="20"/>
                <w:szCs w:val="20"/>
                <w:lang w:val="es-ES_tradnl"/>
              </w:rPr>
            </w:pPr>
            <w:r w:rsidRPr="00B27B5A">
              <w:rPr>
                <w:sz w:val="20"/>
                <w:szCs w:val="20"/>
                <w:lang w:val="es-ES_tradnl"/>
              </w:rPr>
              <w:t>Estudio técnico para utilización de listas de elegibles</w:t>
            </w:r>
            <w:r w:rsidRPr="00B27B5A">
              <w:rPr>
                <w:rFonts w:ascii="MS Gothic" w:eastAsia="MS Gothic" w:hAnsi="MS Gothic" w:cs="MS Gothic" w:hint="eastAsia"/>
                <w:sz w:val="20"/>
                <w:szCs w:val="20"/>
                <w:lang w:val="es-ES_tradnl"/>
              </w:rPr>
              <w:t> </w:t>
            </w:r>
            <w:r w:rsidRPr="00B27B5A">
              <w:rPr>
                <w:sz w:val="20"/>
                <w:szCs w:val="20"/>
                <w:lang w:val="es-ES_tradnl"/>
              </w:rPr>
              <w:t xml:space="preserve">concurso 2011-2012 </w:t>
            </w:r>
          </w:p>
          <w:p w:rsidR="00233205" w:rsidRPr="00747A0D" w:rsidRDefault="00233205" w:rsidP="00233205">
            <w:pPr>
              <w:pStyle w:val="NoSpacing"/>
              <w:numPr>
                <w:ilvl w:val="0"/>
                <w:numId w:val="104"/>
              </w:numPr>
              <w:contextualSpacing/>
              <w:rPr>
                <w:rFonts w:eastAsiaTheme="minorHAnsi"/>
                <w:color w:val="000000"/>
                <w:sz w:val="20"/>
                <w:szCs w:val="20"/>
                <w:lang w:val="pt-BR"/>
              </w:rPr>
            </w:pPr>
            <w:r w:rsidRPr="00747A0D">
              <w:rPr>
                <w:sz w:val="20"/>
                <w:szCs w:val="20"/>
                <w:lang w:val="pt-BR"/>
              </w:rPr>
              <w:lastRenderedPageBreak/>
              <w:t xml:space="preserve">Informe </w:t>
            </w:r>
            <w:proofErr w:type="spellStart"/>
            <w:r w:rsidRPr="00747A0D">
              <w:rPr>
                <w:sz w:val="20"/>
                <w:szCs w:val="20"/>
                <w:lang w:val="pt-BR"/>
              </w:rPr>
              <w:t>Ausentismo</w:t>
            </w:r>
            <w:proofErr w:type="spellEnd"/>
            <w:r w:rsidRPr="00747A0D">
              <w:rPr>
                <w:sz w:val="20"/>
                <w:szCs w:val="20"/>
                <w:lang w:val="pt-BR"/>
              </w:rPr>
              <w:t xml:space="preserve"> I Semestre 2014 – ARL Positiva</w:t>
            </w:r>
          </w:p>
          <w:p w:rsidR="00233205" w:rsidRPr="00A52A63" w:rsidRDefault="00233205" w:rsidP="00233205">
            <w:pPr>
              <w:pStyle w:val="NoSpacing"/>
              <w:numPr>
                <w:ilvl w:val="0"/>
                <w:numId w:val="104"/>
              </w:numPr>
              <w:contextualSpacing/>
              <w:rPr>
                <w:rFonts w:eastAsiaTheme="minorHAnsi"/>
                <w:sz w:val="20"/>
                <w:szCs w:val="20"/>
                <w:lang w:val="es-ES_tradnl"/>
              </w:rPr>
            </w:pPr>
            <w:r w:rsidRPr="00A52A63">
              <w:rPr>
                <w:sz w:val="20"/>
                <w:szCs w:val="20"/>
                <w:lang w:val="es-ES_tradnl"/>
              </w:rPr>
              <w:t>Informe de Logros Plan de Acción GTH, Mayo-Junio y Septiembre-Octubre, 2014</w:t>
            </w:r>
          </w:p>
          <w:p w:rsidR="00233205" w:rsidRPr="00A52A63" w:rsidRDefault="00233205" w:rsidP="00233205">
            <w:pPr>
              <w:pStyle w:val="NoSpacing"/>
              <w:widowControl w:val="0"/>
              <w:numPr>
                <w:ilvl w:val="0"/>
                <w:numId w:val="104"/>
              </w:numPr>
              <w:contextualSpacing/>
              <w:rPr>
                <w:sz w:val="20"/>
                <w:szCs w:val="20"/>
                <w:lang w:val="es-ES_tradnl"/>
              </w:rPr>
            </w:pPr>
            <w:r w:rsidRPr="00A52A63">
              <w:rPr>
                <w:sz w:val="20"/>
                <w:szCs w:val="20"/>
                <w:lang w:val="es-ES_tradnl"/>
              </w:rPr>
              <w:t>Ley 106 de 1993</w:t>
            </w:r>
          </w:p>
          <w:p w:rsidR="00233205" w:rsidRPr="00A52A63" w:rsidRDefault="00233205" w:rsidP="00233205">
            <w:pPr>
              <w:pStyle w:val="NoSpacing"/>
              <w:widowControl w:val="0"/>
              <w:numPr>
                <w:ilvl w:val="0"/>
                <w:numId w:val="104"/>
              </w:numPr>
              <w:contextualSpacing/>
              <w:rPr>
                <w:sz w:val="20"/>
                <w:szCs w:val="20"/>
                <w:lang w:val="es-ES_tradnl"/>
              </w:rPr>
            </w:pPr>
            <w:r w:rsidRPr="00A52A63">
              <w:rPr>
                <w:sz w:val="20"/>
                <w:szCs w:val="20"/>
                <w:lang w:val="es-ES_tradnl"/>
              </w:rPr>
              <w:t>Ley 1530 de 2012</w:t>
            </w:r>
          </w:p>
          <w:p w:rsidR="00233205" w:rsidRPr="00A52A63" w:rsidRDefault="00233205" w:rsidP="00233205">
            <w:pPr>
              <w:pStyle w:val="NoSpacing"/>
              <w:widowControl w:val="0"/>
              <w:numPr>
                <w:ilvl w:val="0"/>
                <w:numId w:val="104"/>
              </w:numPr>
              <w:contextualSpacing/>
              <w:rPr>
                <w:sz w:val="20"/>
                <w:szCs w:val="20"/>
                <w:lang w:val="es-ES_tradnl"/>
              </w:rPr>
            </w:pPr>
            <w:r w:rsidRPr="00A52A63">
              <w:rPr>
                <w:sz w:val="20"/>
                <w:szCs w:val="20"/>
                <w:lang w:val="es-ES_tradnl"/>
              </w:rPr>
              <w:t>Ley 267 de 2000</w:t>
            </w:r>
          </w:p>
          <w:p w:rsidR="00233205" w:rsidRPr="00A52A63" w:rsidRDefault="00233205" w:rsidP="00233205">
            <w:pPr>
              <w:pStyle w:val="NoSpacing"/>
              <w:widowControl w:val="0"/>
              <w:numPr>
                <w:ilvl w:val="0"/>
                <w:numId w:val="104"/>
              </w:numPr>
              <w:contextualSpacing/>
              <w:rPr>
                <w:sz w:val="20"/>
                <w:szCs w:val="20"/>
                <w:lang w:val="es-ES_tradnl"/>
              </w:rPr>
            </w:pPr>
            <w:r w:rsidRPr="00A52A63">
              <w:rPr>
                <w:sz w:val="20"/>
                <w:szCs w:val="20"/>
                <w:lang w:val="es-ES_tradnl"/>
              </w:rPr>
              <w:t>Ley 271 de 2000</w:t>
            </w:r>
          </w:p>
          <w:p w:rsidR="00233205" w:rsidRPr="00A52A63" w:rsidRDefault="00233205" w:rsidP="00233205">
            <w:pPr>
              <w:pStyle w:val="NoSpacing"/>
              <w:widowControl w:val="0"/>
              <w:numPr>
                <w:ilvl w:val="0"/>
                <w:numId w:val="104"/>
              </w:numPr>
              <w:contextualSpacing/>
              <w:rPr>
                <w:sz w:val="20"/>
                <w:szCs w:val="20"/>
                <w:lang w:val="es-ES_tradnl"/>
              </w:rPr>
            </w:pPr>
            <w:r w:rsidRPr="00A52A63">
              <w:rPr>
                <w:sz w:val="20"/>
                <w:szCs w:val="20"/>
                <w:lang w:val="es-ES_tradnl"/>
              </w:rPr>
              <w:t xml:space="preserve">Papeles de Trabajo de la Metodología MMD-EFS </w:t>
            </w:r>
          </w:p>
          <w:p w:rsidR="00233205" w:rsidRPr="00A52A63" w:rsidRDefault="00233205" w:rsidP="00233205">
            <w:pPr>
              <w:pStyle w:val="NoSpacing"/>
              <w:widowControl w:val="0"/>
              <w:numPr>
                <w:ilvl w:val="0"/>
                <w:numId w:val="104"/>
              </w:numPr>
              <w:contextualSpacing/>
              <w:rPr>
                <w:sz w:val="20"/>
                <w:szCs w:val="20"/>
                <w:lang w:val="es-ES_tradnl"/>
              </w:rPr>
            </w:pPr>
            <w:r w:rsidRPr="00A52A63">
              <w:rPr>
                <w:sz w:val="20"/>
                <w:szCs w:val="20"/>
                <w:lang w:val="es-ES_tradnl"/>
              </w:rPr>
              <w:t xml:space="preserve">Resolución 043 de 2006 </w:t>
            </w:r>
          </w:p>
          <w:p w:rsidR="00233205" w:rsidRPr="00A52A63" w:rsidRDefault="00233205" w:rsidP="00233205">
            <w:pPr>
              <w:pStyle w:val="NoSpacing"/>
              <w:widowControl w:val="0"/>
              <w:numPr>
                <w:ilvl w:val="0"/>
                <w:numId w:val="104"/>
              </w:numPr>
              <w:contextualSpacing/>
              <w:rPr>
                <w:sz w:val="20"/>
                <w:szCs w:val="20"/>
                <w:lang w:val="es-ES_tradnl"/>
              </w:rPr>
            </w:pPr>
            <w:r w:rsidRPr="00A52A63">
              <w:rPr>
                <w:sz w:val="20"/>
                <w:szCs w:val="20"/>
                <w:lang w:val="es-ES_tradnl"/>
              </w:rPr>
              <w:t>Resolución 043 de 2006 – Título IV: Programa de Estímulos, Incentivos y Reconocimiento</w:t>
            </w:r>
          </w:p>
          <w:p w:rsidR="00233205" w:rsidRPr="00A52A63" w:rsidRDefault="00233205" w:rsidP="00233205">
            <w:pPr>
              <w:pStyle w:val="NoSpacing"/>
              <w:widowControl w:val="0"/>
              <w:numPr>
                <w:ilvl w:val="0"/>
                <w:numId w:val="104"/>
              </w:numPr>
              <w:contextualSpacing/>
              <w:rPr>
                <w:sz w:val="20"/>
                <w:szCs w:val="20"/>
                <w:lang w:val="es-ES_tradnl"/>
              </w:rPr>
            </w:pPr>
            <w:r w:rsidRPr="00A52A63">
              <w:rPr>
                <w:sz w:val="20"/>
                <w:szCs w:val="20"/>
                <w:lang w:val="es-ES_tradnl"/>
              </w:rPr>
              <w:t xml:space="preserve">Resolución 213 de 2013 </w:t>
            </w:r>
          </w:p>
          <w:p w:rsidR="00233205" w:rsidRPr="00A52A63" w:rsidRDefault="00233205" w:rsidP="00233205">
            <w:pPr>
              <w:pStyle w:val="NoSpacing"/>
              <w:widowControl w:val="0"/>
              <w:numPr>
                <w:ilvl w:val="0"/>
                <w:numId w:val="104"/>
              </w:numPr>
              <w:contextualSpacing/>
              <w:rPr>
                <w:sz w:val="20"/>
                <w:szCs w:val="20"/>
                <w:lang w:val="es-ES_tradnl"/>
              </w:rPr>
            </w:pPr>
            <w:r w:rsidRPr="00A52A63">
              <w:rPr>
                <w:sz w:val="20"/>
                <w:szCs w:val="20"/>
                <w:lang w:val="es-ES_tradnl"/>
              </w:rPr>
              <w:t>Resolución 652 de 2012</w:t>
            </w:r>
          </w:p>
          <w:p w:rsidR="00233205" w:rsidRPr="00A52A63" w:rsidRDefault="00233205" w:rsidP="00233205">
            <w:pPr>
              <w:pStyle w:val="NoSpacing"/>
              <w:widowControl w:val="0"/>
              <w:numPr>
                <w:ilvl w:val="0"/>
                <w:numId w:val="104"/>
              </w:numPr>
              <w:contextualSpacing/>
              <w:rPr>
                <w:sz w:val="20"/>
                <w:szCs w:val="20"/>
                <w:lang w:val="es-ES_tradnl"/>
              </w:rPr>
            </w:pPr>
            <w:r w:rsidRPr="00A52A63">
              <w:rPr>
                <w:sz w:val="20"/>
                <w:szCs w:val="20"/>
                <w:lang w:val="es-ES_tradnl"/>
              </w:rPr>
              <w:t>Resolución Reglamentaria 0208 de 2012 por la cual integra el Comité de Convivencia Laboral</w:t>
            </w:r>
          </w:p>
          <w:p w:rsidR="00233205" w:rsidRPr="00A52A63" w:rsidRDefault="00233205" w:rsidP="00233205">
            <w:pPr>
              <w:pStyle w:val="NoSpacing"/>
              <w:numPr>
                <w:ilvl w:val="0"/>
                <w:numId w:val="104"/>
              </w:numPr>
              <w:contextualSpacing/>
              <w:rPr>
                <w:rFonts w:eastAsiaTheme="minorHAnsi"/>
                <w:sz w:val="20"/>
                <w:szCs w:val="20"/>
                <w:lang w:val="es-ES_tradnl"/>
              </w:rPr>
            </w:pPr>
            <w:r w:rsidRPr="00A52A63">
              <w:rPr>
                <w:sz w:val="20"/>
                <w:szCs w:val="20"/>
                <w:lang w:val="es-ES_tradnl"/>
              </w:rPr>
              <w:t>Resumen Contratos Prestación de Servicios 2013 y 2014</w:t>
            </w:r>
          </w:p>
          <w:p w:rsidR="00233205" w:rsidRPr="00A52A63" w:rsidRDefault="00233205" w:rsidP="00233205">
            <w:pPr>
              <w:pStyle w:val="NoSpacing"/>
              <w:numPr>
                <w:ilvl w:val="0"/>
                <w:numId w:val="104"/>
              </w:numPr>
              <w:contextualSpacing/>
              <w:rPr>
                <w:rFonts w:eastAsiaTheme="minorHAnsi"/>
                <w:sz w:val="20"/>
                <w:szCs w:val="20"/>
                <w:lang w:val="es-ES_tradnl"/>
              </w:rPr>
            </w:pPr>
            <w:r w:rsidRPr="00A52A63">
              <w:rPr>
                <w:sz w:val="20"/>
                <w:szCs w:val="20"/>
                <w:lang w:val="es-ES_tradnl"/>
              </w:rPr>
              <w:t xml:space="preserve">Sistema Integrado de Evaluación del Desempeño (SISED) - Título III Resolución </w:t>
            </w:r>
          </w:p>
          <w:p w:rsidR="00233205" w:rsidRPr="00A52A63" w:rsidRDefault="00233205" w:rsidP="00E30BEC">
            <w:pPr>
              <w:pStyle w:val="NoSpacing"/>
              <w:ind w:left="360"/>
              <w:contextualSpacing/>
              <w:rPr>
                <w:rFonts w:eastAsiaTheme="minorHAnsi"/>
                <w:sz w:val="18"/>
                <w:szCs w:val="20"/>
                <w:lang w:val="es-ES_tradnl"/>
              </w:rPr>
            </w:pPr>
          </w:p>
        </w:tc>
      </w:tr>
      <w:tr w:rsidR="00233205" w:rsidRPr="00A52A63" w:rsidTr="00E30BEC">
        <w:tc>
          <w:tcPr>
            <w:tcW w:w="1101" w:type="dxa"/>
            <w:vAlign w:val="center"/>
          </w:tcPr>
          <w:p w:rsidR="00233205" w:rsidRPr="00A52A63" w:rsidRDefault="00233205" w:rsidP="00E30BEC">
            <w:pPr>
              <w:pStyle w:val="NoSpacing"/>
              <w:rPr>
                <w:b/>
                <w:sz w:val="20"/>
                <w:szCs w:val="20"/>
                <w:lang w:val="es-ES_tradnl"/>
              </w:rPr>
            </w:pPr>
            <w:r w:rsidRPr="00A52A63">
              <w:rPr>
                <w:b/>
                <w:sz w:val="20"/>
                <w:szCs w:val="20"/>
                <w:lang w:val="es-ES_tradnl"/>
              </w:rPr>
              <w:lastRenderedPageBreak/>
              <w:t>EFS-21</w:t>
            </w:r>
          </w:p>
        </w:tc>
        <w:tc>
          <w:tcPr>
            <w:tcW w:w="8646" w:type="dxa"/>
            <w:vAlign w:val="center"/>
          </w:tcPr>
          <w:p w:rsidR="00233205" w:rsidRPr="00A52A63" w:rsidRDefault="00233205" w:rsidP="00E30BEC">
            <w:pPr>
              <w:pStyle w:val="NoSpacing"/>
              <w:ind w:left="360"/>
              <w:contextualSpacing/>
              <w:rPr>
                <w:sz w:val="16"/>
                <w:szCs w:val="20"/>
                <w:lang w:val="es-ES_tradnl"/>
              </w:rPr>
            </w:pPr>
          </w:p>
          <w:p w:rsidR="00233205" w:rsidRPr="00A52A63" w:rsidRDefault="00233205" w:rsidP="00233205">
            <w:pPr>
              <w:pStyle w:val="NoSpacing"/>
              <w:widowControl w:val="0"/>
              <w:numPr>
                <w:ilvl w:val="0"/>
                <w:numId w:val="105"/>
              </w:numPr>
              <w:contextualSpacing/>
              <w:rPr>
                <w:sz w:val="20"/>
                <w:szCs w:val="20"/>
                <w:lang w:val="es-ES_tradnl"/>
              </w:rPr>
            </w:pPr>
            <w:r w:rsidRPr="00A52A63">
              <w:rPr>
                <w:sz w:val="20"/>
                <w:szCs w:val="20"/>
                <w:lang w:val="es-ES_tradnl"/>
              </w:rPr>
              <w:t>Contraloría General de la República, Manual de Procedimientos Capacitación Curricular y Extracurricular, Macro proceso: Gestión del Talento Humano del SIGCC</w:t>
            </w:r>
          </w:p>
          <w:p w:rsidR="00233205" w:rsidRPr="00A52A63" w:rsidRDefault="00233205" w:rsidP="00233205">
            <w:pPr>
              <w:pStyle w:val="NoSpacing"/>
              <w:widowControl w:val="0"/>
              <w:numPr>
                <w:ilvl w:val="0"/>
                <w:numId w:val="105"/>
              </w:numPr>
              <w:contextualSpacing/>
              <w:rPr>
                <w:sz w:val="20"/>
                <w:szCs w:val="20"/>
                <w:lang w:val="es-ES_tradnl"/>
              </w:rPr>
            </w:pPr>
            <w:r w:rsidRPr="00A52A63">
              <w:rPr>
                <w:sz w:val="20"/>
                <w:szCs w:val="20"/>
                <w:lang w:val="es-ES_tradnl"/>
              </w:rPr>
              <w:t>Contraloría General de la República, Manual de Procedimientos para Gestionar el Talento Humano, Macro proceso: Gestión del Talento Humano del SIGCC</w:t>
            </w:r>
          </w:p>
          <w:p w:rsidR="00233205" w:rsidRPr="00A52A63" w:rsidRDefault="00233205" w:rsidP="00233205">
            <w:pPr>
              <w:pStyle w:val="NoSpacing"/>
              <w:widowControl w:val="0"/>
              <w:numPr>
                <w:ilvl w:val="0"/>
                <w:numId w:val="105"/>
              </w:numPr>
              <w:contextualSpacing/>
              <w:rPr>
                <w:color w:val="000000"/>
                <w:sz w:val="20"/>
                <w:szCs w:val="20"/>
                <w:lang w:val="es-ES_tradnl"/>
              </w:rPr>
            </w:pPr>
            <w:r w:rsidRPr="00A52A63">
              <w:rPr>
                <w:sz w:val="20"/>
                <w:szCs w:val="20"/>
                <w:lang w:val="es-ES_tradnl"/>
              </w:rPr>
              <w:t xml:space="preserve">Contraloría General de la República, </w:t>
            </w:r>
            <w:r w:rsidRPr="00A52A63">
              <w:rPr>
                <w:color w:val="000000"/>
                <w:sz w:val="20"/>
                <w:szCs w:val="20"/>
                <w:lang w:val="es-ES_tradnl"/>
              </w:rPr>
              <w:t>Manual Específico de Funciones y de Competencias Laborales de los empleos públicos de la planta global de la CGR</w:t>
            </w:r>
            <w:r>
              <w:rPr>
                <w:color w:val="000000"/>
                <w:sz w:val="20"/>
                <w:szCs w:val="20"/>
                <w:lang w:val="es-ES_tradnl"/>
              </w:rPr>
              <w:t>C</w:t>
            </w:r>
            <w:r w:rsidRPr="00A52A63">
              <w:rPr>
                <w:color w:val="000000"/>
                <w:sz w:val="20"/>
                <w:szCs w:val="20"/>
                <w:lang w:val="es-ES_tradnl"/>
              </w:rPr>
              <w:t xml:space="preserve">  (Establecido mediante Resolución Reglamentaria  216/2013) </w:t>
            </w:r>
          </w:p>
          <w:p w:rsidR="00233205" w:rsidRPr="00A52A63" w:rsidRDefault="00233205" w:rsidP="00233205">
            <w:pPr>
              <w:pStyle w:val="NoSpacing"/>
              <w:widowControl w:val="0"/>
              <w:numPr>
                <w:ilvl w:val="0"/>
                <w:numId w:val="105"/>
              </w:numPr>
              <w:contextualSpacing/>
              <w:rPr>
                <w:color w:val="000000"/>
                <w:sz w:val="20"/>
                <w:szCs w:val="20"/>
                <w:lang w:val="es-ES_tradnl"/>
              </w:rPr>
            </w:pPr>
            <w:r w:rsidRPr="00A52A63">
              <w:rPr>
                <w:sz w:val="20"/>
                <w:szCs w:val="20"/>
                <w:lang w:val="es-ES_tradnl"/>
              </w:rPr>
              <w:t>Contraloría General de la República, Memorando Necesidades de Capacitación 2010 – 2014</w:t>
            </w:r>
          </w:p>
          <w:p w:rsidR="00233205" w:rsidRPr="00A52A63" w:rsidRDefault="00233205" w:rsidP="00233205">
            <w:pPr>
              <w:pStyle w:val="NoSpacing"/>
              <w:widowControl w:val="0"/>
              <w:numPr>
                <w:ilvl w:val="0"/>
                <w:numId w:val="105"/>
              </w:numPr>
              <w:contextualSpacing/>
              <w:rPr>
                <w:color w:val="000000"/>
                <w:sz w:val="20"/>
                <w:szCs w:val="20"/>
                <w:lang w:val="es-ES_tradnl"/>
              </w:rPr>
            </w:pPr>
            <w:r w:rsidRPr="00A52A63">
              <w:rPr>
                <w:sz w:val="20"/>
                <w:szCs w:val="20"/>
                <w:lang w:val="es-ES_tradnl"/>
              </w:rPr>
              <w:t>Contraloría General de la República, Memorando Necesidades de Capacitación 2010 – 2014</w:t>
            </w:r>
          </w:p>
          <w:p w:rsidR="00233205" w:rsidRPr="00A52A63" w:rsidRDefault="00233205" w:rsidP="00233205">
            <w:pPr>
              <w:pStyle w:val="NoSpacing"/>
              <w:numPr>
                <w:ilvl w:val="0"/>
                <w:numId w:val="105"/>
              </w:numPr>
              <w:contextualSpacing/>
              <w:rPr>
                <w:sz w:val="20"/>
                <w:szCs w:val="20"/>
                <w:lang w:val="es-ES_tradnl"/>
              </w:rPr>
            </w:pPr>
            <w:r w:rsidRPr="00A52A63">
              <w:rPr>
                <w:sz w:val="20"/>
                <w:szCs w:val="20"/>
                <w:lang w:val="es-ES_tradnl"/>
              </w:rPr>
              <w:t xml:space="preserve">Contraloría General de la República, Programa Anual de Capacitación 2014 </w:t>
            </w:r>
          </w:p>
          <w:p w:rsidR="00233205" w:rsidRPr="00A52A63" w:rsidRDefault="00233205" w:rsidP="00233205">
            <w:pPr>
              <w:pStyle w:val="NoSpacing"/>
              <w:widowControl w:val="0"/>
              <w:numPr>
                <w:ilvl w:val="0"/>
                <w:numId w:val="105"/>
              </w:numPr>
              <w:contextualSpacing/>
              <w:rPr>
                <w:rFonts w:eastAsiaTheme="minorHAnsi"/>
                <w:color w:val="000000"/>
                <w:sz w:val="20"/>
                <w:szCs w:val="20"/>
                <w:lang w:val="es-ES_tradnl"/>
              </w:rPr>
            </w:pPr>
            <w:r w:rsidRPr="00A52A63">
              <w:rPr>
                <w:color w:val="000000"/>
                <w:sz w:val="20"/>
                <w:szCs w:val="20"/>
                <w:lang w:val="es-ES_tradnl"/>
              </w:rPr>
              <w:t>Entrevista Directora y Profesionales Oficina de Capacitación</w:t>
            </w:r>
            <w:r w:rsidRPr="00A52A63">
              <w:rPr>
                <w:sz w:val="20"/>
                <w:szCs w:val="20"/>
                <w:lang w:val="es-ES_tradnl"/>
              </w:rPr>
              <w:t>, 17 de febrero de 2015.</w:t>
            </w:r>
            <w:r w:rsidRPr="00A52A63">
              <w:rPr>
                <w:color w:val="000000"/>
                <w:sz w:val="20"/>
                <w:szCs w:val="20"/>
                <w:lang w:val="es-ES_tradnl"/>
              </w:rPr>
              <w:t xml:space="preserve"> </w:t>
            </w:r>
          </w:p>
          <w:p w:rsidR="00233205" w:rsidRPr="00A52A63" w:rsidRDefault="00233205" w:rsidP="00233205">
            <w:pPr>
              <w:pStyle w:val="NoSpacing"/>
              <w:numPr>
                <w:ilvl w:val="0"/>
                <w:numId w:val="105"/>
              </w:numPr>
              <w:contextualSpacing/>
              <w:rPr>
                <w:sz w:val="20"/>
                <w:szCs w:val="20"/>
                <w:lang w:val="es-ES_tradnl"/>
              </w:rPr>
            </w:pPr>
            <w:r w:rsidRPr="00A52A63">
              <w:rPr>
                <w:color w:val="000000"/>
                <w:sz w:val="20"/>
                <w:szCs w:val="20"/>
                <w:lang w:val="es-ES_tradnl"/>
              </w:rPr>
              <w:t>Entrevista Gerente y Directores Gerencia Talento Humano</w:t>
            </w:r>
            <w:r w:rsidRPr="00A52A63">
              <w:rPr>
                <w:sz w:val="20"/>
                <w:szCs w:val="20"/>
                <w:lang w:val="es-ES_tradnl"/>
              </w:rPr>
              <w:t>, 17 de febrero de 2015.</w:t>
            </w:r>
          </w:p>
          <w:p w:rsidR="00233205" w:rsidRPr="00A52A63" w:rsidRDefault="00233205" w:rsidP="00233205">
            <w:pPr>
              <w:pStyle w:val="NoSpacing"/>
              <w:widowControl w:val="0"/>
              <w:numPr>
                <w:ilvl w:val="0"/>
                <w:numId w:val="105"/>
              </w:numPr>
              <w:contextualSpacing/>
              <w:rPr>
                <w:sz w:val="20"/>
                <w:szCs w:val="20"/>
                <w:lang w:val="es-ES_tradnl"/>
              </w:rPr>
            </w:pPr>
            <w:r w:rsidRPr="00A52A63">
              <w:rPr>
                <w:rFonts w:cstheme="minorHAnsi"/>
                <w:sz w:val="20"/>
                <w:szCs w:val="20"/>
                <w:lang w:val="es-ES_tradnl"/>
              </w:rPr>
              <w:t>Estatuto de Capacitación para los servidores públicos de la Contraloría General de la República (</w:t>
            </w:r>
            <w:r w:rsidRPr="00A52A63">
              <w:rPr>
                <w:sz w:val="20"/>
                <w:szCs w:val="20"/>
                <w:lang w:val="es-ES_tradnl"/>
              </w:rPr>
              <w:t xml:space="preserve">Resolución Reglamentaria 0110 de 2010) </w:t>
            </w:r>
          </w:p>
          <w:p w:rsidR="00233205" w:rsidRPr="00A52A63" w:rsidRDefault="00233205" w:rsidP="00233205">
            <w:pPr>
              <w:pStyle w:val="NoSpacing"/>
              <w:widowControl w:val="0"/>
              <w:numPr>
                <w:ilvl w:val="0"/>
                <w:numId w:val="105"/>
              </w:numPr>
              <w:contextualSpacing/>
              <w:rPr>
                <w:sz w:val="20"/>
                <w:szCs w:val="20"/>
                <w:lang w:val="es-ES_tradnl"/>
              </w:rPr>
            </w:pPr>
            <w:r w:rsidRPr="00A52A63">
              <w:rPr>
                <w:sz w:val="20"/>
                <w:szCs w:val="20"/>
                <w:lang w:val="es-ES_tradnl"/>
              </w:rPr>
              <w:t>Papeles de Trabajo de la Metodología MMD-EFS</w:t>
            </w:r>
            <w:r w:rsidRPr="00A52A63">
              <w:rPr>
                <w:rFonts w:cs="Verdana"/>
                <w:color w:val="000000"/>
                <w:sz w:val="20"/>
                <w:szCs w:val="20"/>
                <w:lang w:val="es-ES_tradnl"/>
              </w:rPr>
              <w:t xml:space="preserve"> </w:t>
            </w:r>
          </w:p>
          <w:p w:rsidR="00233205" w:rsidRPr="00A52A63" w:rsidRDefault="00233205" w:rsidP="00233205">
            <w:pPr>
              <w:pStyle w:val="NoSpacing"/>
              <w:widowControl w:val="0"/>
              <w:numPr>
                <w:ilvl w:val="0"/>
                <w:numId w:val="105"/>
              </w:numPr>
              <w:contextualSpacing/>
              <w:rPr>
                <w:sz w:val="20"/>
                <w:szCs w:val="20"/>
                <w:lang w:val="es-ES_tradnl"/>
              </w:rPr>
            </w:pPr>
            <w:r w:rsidRPr="00A52A63">
              <w:rPr>
                <w:rFonts w:cs="Verdana"/>
                <w:color w:val="000000"/>
                <w:sz w:val="20"/>
                <w:szCs w:val="20"/>
                <w:lang w:val="es-ES_tradnl"/>
              </w:rPr>
              <w:t>Resolución 0067 de 2008</w:t>
            </w:r>
          </w:p>
          <w:p w:rsidR="00233205" w:rsidRPr="00A52A63" w:rsidRDefault="00233205" w:rsidP="00E30BEC">
            <w:pPr>
              <w:pStyle w:val="NoSpacing"/>
              <w:ind w:left="360"/>
              <w:contextualSpacing/>
              <w:rPr>
                <w:sz w:val="16"/>
                <w:szCs w:val="20"/>
                <w:lang w:val="es-ES_tradnl"/>
              </w:rPr>
            </w:pPr>
          </w:p>
        </w:tc>
      </w:tr>
      <w:tr w:rsidR="00233205" w:rsidRPr="00B27B5A" w:rsidTr="00E30BEC">
        <w:tc>
          <w:tcPr>
            <w:tcW w:w="1101" w:type="dxa"/>
            <w:shd w:val="clear" w:color="auto" w:fill="D9D9D9" w:themeFill="background1" w:themeFillShade="D9"/>
            <w:vAlign w:val="center"/>
          </w:tcPr>
          <w:p w:rsidR="00233205" w:rsidRPr="00A52A63" w:rsidRDefault="00233205" w:rsidP="00E30BEC">
            <w:pPr>
              <w:pStyle w:val="NoSpacing"/>
              <w:rPr>
                <w:b/>
                <w:sz w:val="20"/>
                <w:szCs w:val="20"/>
                <w:lang w:val="es-ES_tradnl"/>
              </w:rPr>
            </w:pPr>
            <w:r w:rsidRPr="00A52A63">
              <w:rPr>
                <w:b/>
                <w:sz w:val="20"/>
                <w:szCs w:val="20"/>
                <w:lang w:val="es-ES_tradnl"/>
              </w:rPr>
              <w:t>Dominio G</w:t>
            </w:r>
          </w:p>
        </w:tc>
        <w:tc>
          <w:tcPr>
            <w:tcW w:w="8646" w:type="dxa"/>
            <w:shd w:val="clear" w:color="auto" w:fill="D9D9D9" w:themeFill="background1" w:themeFillShade="D9"/>
            <w:vAlign w:val="center"/>
          </w:tcPr>
          <w:p w:rsidR="00233205" w:rsidRPr="00A52A63" w:rsidRDefault="00233205" w:rsidP="00E30BEC">
            <w:pPr>
              <w:pStyle w:val="NoSpacing"/>
              <w:contextualSpacing/>
              <w:rPr>
                <w:rFonts w:cs="Arial"/>
                <w:b/>
                <w:sz w:val="20"/>
                <w:szCs w:val="20"/>
                <w:lang w:val="es-ES_tradnl"/>
              </w:rPr>
            </w:pPr>
            <w:r w:rsidRPr="00A52A63">
              <w:rPr>
                <w:rFonts w:cs="Calibri"/>
                <w:b/>
                <w:bCs/>
                <w:sz w:val="20"/>
                <w:szCs w:val="20"/>
                <w:lang w:val="es-ES_tradnl"/>
              </w:rPr>
              <w:t>Comunicación y Gestión de las Partes Interesadas</w:t>
            </w:r>
          </w:p>
        </w:tc>
      </w:tr>
      <w:tr w:rsidR="00233205" w:rsidRPr="00A52A63" w:rsidTr="00E30BEC">
        <w:tc>
          <w:tcPr>
            <w:tcW w:w="1101" w:type="dxa"/>
            <w:vAlign w:val="center"/>
          </w:tcPr>
          <w:p w:rsidR="00233205" w:rsidRPr="00A52A63" w:rsidRDefault="00233205" w:rsidP="00E30BEC">
            <w:pPr>
              <w:pStyle w:val="NoSpacing"/>
              <w:rPr>
                <w:b/>
                <w:sz w:val="20"/>
                <w:szCs w:val="20"/>
                <w:lang w:val="es-ES_tradnl"/>
              </w:rPr>
            </w:pPr>
            <w:r w:rsidRPr="00A52A63">
              <w:rPr>
                <w:b/>
                <w:sz w:val="20"/>
                <w:szCs w:val="20"/>
                <w:lang w:val="es-ES_tradnl"/>
              </w:rPr>
              <w:t>EFS-22</w:t>
            </w:r>
          </w:p>
        </w:tc>
        <w:tc>
          <w:tcPr>
            <w:tcW w:w="8646" w:type="dxa"/>
            <w:vAlign w:val="center"/>
          </w:tcPr>
          <w:p w:rsidR="00233205" w:rsidRPr="00A52A63" w:rsidRDefault="00233205" w:rsidP="00E30BEC">
            <w:pPr>
              <w:pStyle w:val="NoSpacing"/>
              <w:ind w:left="360"/>
              <w:contextualSpacing/>
              <w:rPr>
                <w:rFonts w:eastAsiaTheme="minorHAnsi"/>
                <w:sz w:val="16"/>
                <w:szCs w:val="20"/>
                <w:lang w:val="es-ES_tradnl"/>
              </w:rPr>
            </w:pPr>
          </w:p>
          <w:p w:rsidR="00233205" w:rsidRPr="00A52A63" w:rsidRDefault="00233205" w:rsidP="00233205">
            <w:pPr>
              <w:pStyle w:val="NoSpacing"/>
              <w:numPr>
                <w:ilvl w:val="0"/>
                <w:numId w:val="106"/>
              </w:numPr>
              <w:contextualSpacing/>
              <w:rPr>
                <w:rFonts w:eastAsiaTheme="minorHAnsi"/>
                <w:sz w:val="20"/>
                <w:szCs w:val="20"/>
                <w:lang w:val="es-ES_tradnl"/>
              </w:rPr>
            </w:pPr>
            <w:r w:rsidRPr="00A52A63">
              <w:rPr>
                <w:sz w:val="20"/>
                <w:szCs w:val="20"/>
                <w:lang w:val="es-ES_tradnl"/>
              </w:rPr>
              <w:t>Contraloría General de la República, Acta No. 6  Comité Directivo, Septiembre 2014</w:t>
            </w:r>
          </w:p>
          <w:p w:rsidR="00233205" w:rsidRPr="00A52A63" w:rsidRDefault="00233205" w:rsidP="00233205">
            <w:pPr>
              <w:pStyle w:val="NoSpacing"/>
              <w:widowControl w:val="0"/>
              <w:numPr>
                <w:ilvl w:val="0"/>
                <w:numId w:val="106"/>
              </w:numPr>
              <w:contextualSpacing/>
              <w:rPr>
                <w:sz w:val="20"/>
                <w:szCs w:val="20"/>
                <w:lang w:val="es-ES_tradnl"/>
              </w:rPr>
            </w:pPr>
            <w:r w:rsidRPr="00A52A63">
              <w:rPr>
                <w:sz w:val="20"/>
                <w:szCs w:val="20"/>
                <w:lang w:val="es-ES_tradnl"/>
              </w:rPr>
              <w:t>Contraloría General de la República, Informe Consolidado Logros por Macro proceso 2013, Sección 2.6</w:t>
            </w:r>
          </w:p>
          <w:p w:rsidR="00233205" w:rsidRPr="00A52A63" w:rsidRDefault="00233205" w:rsidP="00233205">
            <w:pPr>
              <w:pStyle w:val="NoSpacing"/>
              <w:widowControl w:val="0"/>
              <w:numPr>
                <w:ilvl w:val="0"/>
                <w:numId w:val="106"/>
              </w:numPr>
              <w:contextualSpacing/>
              <w:rPr>
                <w:sz w:val="20"/>
                <w:szCs w:val="20"/>
                <w:lang w:val="es-ES_tradnl"/>
              </w:rPr>
            </w:pPr>
            <w:r w:rsidRPr="00A52A63">
              <w:rPr>
                <w:sz w:val="20"/>
                <w:szCs w:val="20"/>
                <w:lang w:val="es-ES_tradnl"/>
              </w:rPr>
              <w:t>Contraloría General de la República, Manual de Comunicaciones</w:t>
            </w:r>
          </w:p>
          <w:p w:rsidR="00233205" w:rsidRPr="00A52A63" w:rsidRDefault="00233205" w:rsidP="00233205">
            <w:pPr>
              <w:pStyle w:val="NoSpacing"/>
              <w:widowControl w:val="0"/>
              <w:numPr>
                <w:ilvl w:val="0"/>
                <w:numId w:val="106"/>
              </w:numPr>
              <w:contextualSpacing/>
              <w:rPr>
                <w:sz w:val="20"/>
                <w:szCs w:val="20"/>
                <w:lang w:val="es-ES_tradnl"/>
              </w:rPr>
            </w:pPr>
            <w:r w:rsidRPr="00A52A63">
              <w:rPr>
                <w:sz w:val="20"/>
                <w:szCs w:val="20"/>
                <w:lang w:val="es-ES_tradnl"/>
              </w:rPr>
              <w:t>Contraloría General de la República, Manual de Procedimientos Oficina de Comunicaciones y Publicaciones  - Proceso: Comunicar y Divulgar Externamente</w:t>
            </w:r>
          </w:p>
          <w:p w:rsidR="00233205" w:rsidRPr="00A52A63" w:rsidRDefault="00233205" w:rsidP="00233205">
            <w:pPr>
              <w:pStyle w:val="NoSpacing"/>
              <w:widowControl w:val="0"/>
              <w:numPr>
                <w:ilvl w:val="0"/>
                <w:numId w:val="106"/>
              </w:numPr>
              <w:contextualSpacing/>
              <w:rPr>
                <w:sz w:val="20"/>
                <w:szCs w:val="20"/>
                <w:lang w:val="es-ES_tradnl"/>
              </w:rPr>
            </w:pPr>
            <w:r w:rsidRPr="00A52A63">
              <w:rPr>
                <w:sz w:val="20"/>
                <w:szCs w:val="20"/>
                <w:lang w:val="es-ES_tradnl"/>
              </w:rPr>
              <w:t>Contraloría General de la República, Manual de Procedimientos Oficina de Comunicaciones y Publicaciones  - Proceso: Comunicar y Divulgar Internamente</w:t>
            </w:r>
          </w:p>
          <w:p w:rsidR="00233205" w:rsidRPr="00A52A63" w:rsidRDefault="00233205" w:rsidP="00233205">
            <w:pPr>
              <w:pStyle w:val="NoSpacing"/>
              <w:widowControl w:val="0"/>
              <w:numPr>
                <w:ilvl w:val="0"/>
                <w:numId w:val="106"/>
              </w:numPr>
              <w:contextualSpacing/>
              <w:rPr>
                <w:sz w:val="20"/>
                <w:szCs w:val="20"/>
                <w:lang w:val="es-ES_tradnl"/>
              </w:rPr>
            </w:pPr>
            <w:r w:rsidRPr="00A52A63">
              <w:rPr>
                <w:sz w:val="20"/>
                <w:szCs w:val="20"/>
                <w:lang w:val="es-ES_tradnl"/>
              </w:rPr>
              <w:t>Contraloría General de la República, Plan de Acción 2015 – Plan de Acción Comunicaciones</w:t>
            </w:r>
          </w:p>
          <w:p w:rsidR="00233205" w:rsidRPr="00A52A63" w:rsidRDefault="00233205" w:rsidP="00233205">
            <w:pPr>
              <w:pStyle w:val="NoSpacing"/>
              <w:widowControl w:val="0"/>
              <w:numPr>
                <w:ilvl w:val="0"/>
                <w:numId w:val="106"/>
              </w:numPr>
              <w:contextualSpacing/>
              <w:rPr>
                <w:sz w:val="20"/>
                <w:szCs w:val="20"/>
                <w:lang w:val="es-ES_tradnl"/>
              </w:rPr>
            </w:pPr>
            <w:r w:rsidRPr="00A52A63">
              <w:rPr>
                <w:sz w:val="20"/>
                <w:szCs w:val="20"/>
                <w:lang w:val="es-ES_tradnl"/>
              </w:rPr>
              <w:t>Contraloría General de la República, Plan de Comunicaciones 2014</w:t>
            </w:r>
          </w:p>
          <w:p w:rsidR="00233205" w:rsidRPr="00A52A63" w:rsidRDefault="00233205" w:rsidP="00233205">
            <w:pPr>
              <w:pStyle w:val="NoSpacing"/>
              <w:widowControl w:val="0"/>
              <w:numPr>
                <w:ilvl w:val="0"/>
                <w:numId w:val="106"/>
              </w:numPr>
              <w:contextualSpacing/>
              <w:rPr>
                <w:sz w:val="20"/>
                <w:szCs w:val="20"/>
                <w:lang w:val="es-ES_tradnl"/>
              </w:rPr>
            </w:pPr>
            <w:r w:rsidRPr="00A52A63">
              <w:rPr>
                <w:sz w:val="20"/>
                <w:szCs w:val="20"/>
                <w:lang w:val="es-ES_tradnl"/>
              </w:rPr>
              <w:t>Contraloría General de la República, Plan Estratégico 2010 – 2014 y Plan Estratégico 2014 – 2018</w:t>
            </w:r>
          </w:p>
          <w:p w:rsidR="00233205" w:rsidRPr="00A52A63" w:rsidRDefault="00233205" w:rsidP="00233205">
            <w:pPr>
              <w:pStyle w:val="NoSpacing"/>
              <w:widowControl w:val="0"/>
              <w:numPr>
                <w:ilvl w:val="0"/>
                <w:numId w:val="106"/>
              </w:numPr>
              <w:contextualSpacing/>
              <w:rPr>
                <w:sz w:val="20"/>
                <w:szCs w:val="20"/>
                <w:lang w:val="es-ES_tradnl"/>
              </w:rPr>
            </w:pPr>
            <w:r w:rsidRPr="00A52A63">
              <w:rPr>
                <w:sz w:val="20"/>
                <w:szCs w:val="20"/>
                <w:lang w:val="es-ES_tradnl"/>
              </w:rPr>
              <w:t>Contraloría General de la República, Procedimiento Divulgación Plan Estratégico, Proceso: Administrar Planes y Programas del  Macro proceso: Direccionamiento Estratégico del SIGCC</w:t>
            </w:r>
          </w:p>
          <w:p w:rsidR="00233205" w:rsidRPr="00A52A63" w:rsidRDefault="00233205" w:rsidP="00233205">
            <w:pPr>
              <w:pStyle w:val="NoSpacing"/>
              <w:numPr>
                <w:ilvl w:val="0"/>
                <w:numId w:val="106"/>
              </w:numPr>
              <w:contextualSpacing/>
              <w:rPr>
                <w:color w:val="000000"/>
                <w:sz w:val="20"/>
                <w:szCs w:val="20"/>
                <w:lang w:val="es-ES_tradnl"/>
              </w:rPr>
            </w:pPr>
            <w:r w:rsidRPr="00A52A63">
              <w:rPr>
                <w:color w:val="000000"/>
                <w:sz w:val="20"/>
                <w:szCs w:val="20"/>
                <w:lang w:val="es-ES_tradnl"/>
              </w:rPr>
              <w:t>Entrevista Directora y Profesionales Oficina de Comunicaciones y Publicaciones</w:t>
            </w:r>
            <w:r w:rsidRPr="00A52A63">
              <w:rPr>
                <w:sz w:val="20"/>
                <w:szCs w:val="20"/>
                <w:lang w:val="es-ES_tradnl"/>
              </w:rPr>
              <w:t>.</w:t>
            </w:r>
          </w:p>
          <w:p w:rsidR="00233205" w:rsidRPr="00A52A63" w:rsidRDefault="00233205" w:rsidP="00233205">
            <w:pPr>
              <w:pStyle w:val="NoSpacing"/>
              <w:widowControl w:val="0"/>
              <w:numPr>
                <w:ilvl w:val="0"/>
                <w:numId w:val="106"/>
              </w:numPr>
              <w:contextualSpacing/>
              <w:rPr>
                <w:color w:val="000000"/>
                <w:sz w:val="20"/>
                <w:szCs w:val="20"/>
                <w:lang w:val="es-ES_tradnl"/>
              </w:rPr>
            </w:pPr>
            <w:r w:rsidRPr="00A52A63">
              <w:rPr>
                <w:sz w:val="20"/>
                <w:szCs w:val="20"/>
                <w:lang w:val="es-ES_tradnl"/>
              </w:rPr>
              <w:t xml:space="preserve">Papeles de Trabajo de la Metodología MMD-EFS </w:t>
            </w:r>
          </w:p>
          <w:p w:rsidR="00233205" w:rsidRPr="00A52A63" w:rsidRDefault="00233205" w:rsidP="00233205">
            <w:pPr>
              <w:pStyle w:val="NoSpacing"/>
              <w:widowControl w:val="0"/>
              <w:numPr>
                <w:ilvl w:val="0"/>
                <w:numId w:val="106"/>
              </w:numPr>
              <w:contextualSpacing/>
              <w:rPr>
                <w:color w:val="000000"/>
                <w:sz w:val="20"/>
                <w:szCs w:val="20"/>
                <w:lang w:val="es-ES_tradnl"/>
              </w:rPr>
            </w:pPr>
            <w:r w:rsidRPr="00A52A63">
              <w:rPr>
                <w:sz w:val="20"/>
                <w:szCs w:val="20"/>
                <w:lang w:val="es-ES_tradnl"/>
              </w:rPr>
              <w:t>Resolución 0213 de 2013</w:t>
            </w:r>
          </w:p>
          <w:p w:rsidR="00233205" w:rsidRPr="00A52A63" w:rsidRDefault="00233205" w:rsidP="00E30BEC">
            <w:pPr>
              <w:pStyle w:val="NoSpacing"/>
              <w:ind w:left="360"/>
              <w:contextualSpacing/>
              <w:rPr>
                <w:color w:val="000000"/>
                <w:sz w:val="16"/>
                <w:szCs w:val="20"/>
                <w:lang w:val="es-ES_tradnl"/>
              </w:rPr>
            </w:pPr>
          </w:p>
        </w:tc>
      </w:tr>
      <w:tr w:rsidR="00233205" w:rsidRPr="00B27B5A" w:rsidTr="00E30BEC">
        <w:tc>
          <w:tcPr>
            <w:tcW w:w="1101" w:type="dxa"/>
            <w:vAlign w:val="center"/>
          </w:tcPr>
          <w:p w:rsidR="00233205" w:rsidRPr="00A52A63" w:rsidRDefault="00233205" w:rsidP="00E30BEC">
            <w:pPr>
              <w:pStyle w:val="NoSpacing"/>
              <w:rPr>
                <w:b/>
                <w:sz w:val="20"/>
                <w:szCs w:val="20"/>
                <w:lang w:val="es-ES_tradnl"/>
              </w:rPr>
            </w:pPr>
            <w:r w:rsidRPr="00A52A63">
              <w:rPr>
                <w:b/>
                <w:sz w:val="20"/>
                <w:szCs w:val="20"/>
                <w:lang w:val="es-ES_tradnl"/>
              </w:rPr>
              <w:lastRenderedPageBreak/>
              <w:t>EFS-23</w:t>
            </w:r>
          </w:p>
        </w:tc>
        <w:tc>
          <w:tcPr>
            <w:tcW w:w="8646" w:type="dxa"/>
            <w:vAlign w:val="center"/>
          </w:tcPr>
          <w:p w:rsidR="00233205" w:rsidRPr="00A52A63" w:rsidRDefault="00233205" w:rsidP="00E30BEC">
            <w:pPr>
              <w:pStyle w:val="NoSpacing"/>
              <w:ind w:left="360"/>
              <w:contextualSpacing/>
              <w:rPr>
                <w:rFonts w:cs="Calibri"/>
                <w:color w:val="000000"/>
                <w:sz w:val="16"/>
                <w:szCs w:val="20"/>
                <w:lang w:val="es-ES_tradnl"/>
              </w:rPr>
            </w:pPr>
          </w:p>
          <w:p w:rsidR="00233205" w:rsidRPr="00B27B5A" w:rsidRDefault="00233205" w:rsidP="00233205">
            <w:pPr>
              <w:pStyle w:val="NoSpacing"/>
              <w:widowControl w:val="0"/>
              <w:numPr>
                <w:ilvl w:val="0"/>
                <w:numId w:val="107"/>
              </w:numPr>
              <w:contextualSpacing/>
              <w:rPr>
                <w:rFonts w:cs="Calibri"/>
                <w:color w:val="000000"/>
                <w:sz w:val="20"/>
                <w:szCs w:val="20"/>
                <w:lang w:val="es-ES_tradnl"/>
              </w:rPr>
            </w:pPr>
            <w:r w:rsidRPr="00B27B5A">
              <w:rPr>
                <w:rFonts w:cs="Calibri"/>
                <w:color w:val="000000"/>
                <w:sz w:val="20"/>
                <w:szCs w:val="20"/>
                <w:lang w:val="es-ES_tradnl"/>
              </w:rPr>
              <w:t xml:space="preserve">Análisis Proyectos de Ley y Actos Legislativos: </w:t>
            </w:r>
            <w:hyperlink r:id="rId57" w:history="1">
              <w:r w:rsidRPr="00B27B5A">
                <w:rPr>
                  <w:rStyle w:val="Hyperlink"/>
                  <w:rFonts w:cs="Calibri"/>
                  <w:sz w:val="20"/>
                  <w:szCs w:val="20"/>
                  <w:lang w:val="es-ES_tradnl"/>
                </w:rPr>
                <w:t>http://www.contraloria.gov.co/web/guest/analisis-proyectos-de-ley-y-actos-legislativos</w:t>
              </w:r>
            </w:hyperlink>
            <w:r w:rsidRPr="00B27B5A">
              <w:rPr>
                <w:rFonts w:cs="Calibri"/>
                <w:color w:val="000000"/>
                <w:sz w:val="20"/>
                <w:szCs w:val="20"/>
                <w:lang w:val="es-ES_tradnl"/>
              </w:rPr>
              <w:t xml:space="preserve"> </w:t>
            </w:r>
          </w:p>
          <w:p w:rsidR="00233205" w:rsidRPr="00B27B5A" w:rsidRDefault="00233205" w:rsidP="00233205">
            <w:pPr>
              <w:pStyle w:val="NoSpacing"/>
              <w:widowControl w:val="0"/>
              <w:numPr>
                <w:ilvl w:val="0"/>
                <w:numId w:val="107"/>
              </w:numPr>
              <w:contextualSpacing/>
              <w:rPr>
                <w:rFonts w:cs="Arial"/>
                <w:sz w:val="20"/>
                <w:szCs w:val="20"/>
                <w:lang w:val="es-ES_tradnl"/>
              </w:rPr>
            </w:pPr>
            <w:r w:rsidRPr="00B27B5A">
              <w:rPr>
                <w:sz w:val="20"/>
                <w:szCs w:val="20"/>
                <w:lang w:val="es-ES_tradnl"/>
              </w:rPr>
              <w:t>Ayudas Memoria Instalación Auditoría ICBF – IGAC – CAPRECOM</w:t>
            </w:r>
          </w:p>
          <w:p w:rsidR="00233205" w:rsidRPr="00B27B5A" w:rsidRDefault="00233205" w:rsidP="00233205">
            <w:pPr>
              <w:pStyle w:val="NoSpacing"/>
              <w:widowControl w:val="0"/>
              <w:numPr>
                <w:ilvl w:val="0"/>
                <w:numId w:val="107"/>
              </w:numPr>
              <w:contextualSpacing/>
              <w:rPr>
                <w:rFonts w:cs="Arial"/>
                <w:sz w:val="20"/>
                <w:szCs w:val="20"/>
                <w:lang w:val="es-ES_tradnl"/>
              </w:rPr>
            </w:pPr>
            <w:r w:rsidRPr="00B27B5A">
              <w:rPr>
                <w:rFonts w:cs="Arial"/>
                <w:sz w:val="20"/>
                <w:szCs w:val="20"/>
                <w:lang w:val="es-ES_tradnl"/>
              </w:rPr>
              <w:t xml:space="preserve">Constitución Política de Colombia </w:t>
            </w:r>
          </w:p>
          <w:p w:rsidR="00233205" w:rsidRPr="00B27B5A" w:rsidRDefault="00233205" w:rsidP="00233205">
            <w:pPr>
              <w:pStyle w:val="NoSpacing"/>
              <w:widowControl w:val="0"/>
              <w:numPr>
                <w:ilvl w:val="0"/>
                <w:numId w:val="107"/>
              </w:numPr>
              <w:contextualSpacing/>
              <w:rPr>
                <w:rFonts w:cs="Arial"/>
                <w:sz w:val="20"/>
                <w:szCs w:val="20"/>
                <w:lang w:val="es-ES_tradnl"/>
              </w:rPr>
            </w:pPr>
            <w:r w:rsidRPr="00B27B5A">
              <w:rPr>
                <w:rFonts w:cs="Arial"/>
                <w:sz w:val="20"/>
                <w:szCs w:val="20"/>
                <w:lang w:val="es-ES_tradnl"/>
              </w:rPr>
              <w:t>Contraloría General de la República, Guía de Auditoría Ajustada al Contexto SICA. Colombia, Febrero 2013.</w:t>
            </w:r>
          </w:p>
          <w:p w:rsidR="00233205" w:rsidRPr="00B27B5A" w:rsidRDefault="00233205" w:rsidP="00233205">
            <w:pPr>
              <w:pStyle w:val="NoSpacing"/>
              <w:numPr>
                <w:ilvl w:val="0"/>
                <w:numId w:val="107"/>
              </w:numPr>
              <w:contextualSpacing/>
              <w:rPr>
                <w:rFonts w:eastAsiaTheme="minorHAnsi"/>
                <w:sz w:val="20"/>
                <w:szCs w:val="20"/>
                <w:lang w:val="es-ES_tradnl"/>
              </w:rPr>
            </w:pPr>
            <w:r w:rsidRPr="00B27B5A">
              <w:rPr>
                <w:rFonts w:cs="Calibri"/>
                <w:color w:val="000000"/>
                <w:sz w:val="20"/>
                <w:szCs w:val="20"/>
                <w:lang w:val="es-ES_tradnl"/>
              </w:rPr>
              <w:t>Contraloría General de la República, Informe de Gestión, CGRC, 2010 – 2014</w:t>
            </w:r>
          </w:p>
          <w:p w:rsidR="00233205" w:rsidRPr="00B27B5A" w:rsidRDefault="00233205" w:rsidP="00233205">
            <w:pPr>
              <w:pStyle w:val="NoSpacing"/>
              <w:widowControl w:val="0"/>
              <w:numPr>
                <w:ilvl w:val="0"/>
                <w:numId w:val="107"/>
              </w:numPr>
              <w:contextualSpacing/>
              <w:rPr>
                <w:rFonts w:cs="Calibri"/>
                <w:color w:val="000000"/>
                <w:sz w:val="20"/>
                <w:szCs w:val="20"/>
                <w:lang w:val="es-ES_tradnl"/>
              </w:rPr>
            </w:pPr>
            <w:r w:rsidRPr="00B27B5A">
              <w:rPr>
                <w:bCs/>
                <w:color w:val="000000"/>
                <w:sz w:val="20"/>
                <w:szCs w:val="20"/>
                <w:lang w:val="es-ES_tradnl"/>
              </w:rPr>
              <w:t xml:space="preserve">Contraloría General de la República, </w:t>
            </w:r>
            <w:r w:rsidRPr="00B27B5A">
              <w:rPr>
                <w:rFonts w:cs="Calibri"/>
                <w:color w:val="000000"/>
                <w:sz w:val="20"/>
                <w:szCs w:val="20"/>
                <w:lang w:val="es-ES_tradnl"/>
              </w:rPr>
              <w:t xml:space="preserve">Manual Específico de Funciones CGRC, Pág. 49 </w:t>
            </w:r>
          </w:p>
          <w:p w:rsidR="00233205" w:rsidRPr="00B27B5A" w:rsidRDefault="00233205" w:rsidP="00233205">
            <w:pPr>
              <w:pStyle w:val="NoSpacing"/>
              <w:widowControl w:val="0"/>
              <w:numPr>
                <w:ilvl w:val="0"/>
                <w:numId w:val="107"/>
              </w:numPr>
              <w:contextualSpacing/>
              <w:rPr>
                <w:rFonts w:cs="Arial"/>
                <w:sz w:val="20"/>
                <w:szCs w:val="20"/>
                <w:lang w:val="es-ES_tradnl"/>
              </w:rPr>
            </w:pPr>
            <w:r w:rsidRPr="00B27B5A">
              <w:rPr>
                <w:rFonts w:cs="Calibri"/>
                <w:color w:val="000000"/>
                <w:sz w:val="20"/>
                <w:szCs w:val="20"/>
                <w:lang w:val="es-ES_tradnl"/>
              </w:rPr>
              <w:t>Contraloría General de la República, Resultados de la Encuesta al Congreso, 2013 y 2014</w:t>
            </w:r>
          </w:p>
          <w:p w:rsidR="00233205" w:rsidRPr="00B27B5A" w:rsidRDefault="00233205" w:rsidP="00233205">
            <w:pPr>
              <w:pStyle w:val="NoSpacing"/>
              <w:numPr>
                <w:ilvl w:val="0"/>
                <w:numId w:val="107"/>
              </w:numPr>
              <w:contextualSpacing/>
              <w:rPr>
                <w:rFonts w:cs="Arial"/>
                <w:sz w:val="20"/>
                <w:szCs w:val="20"/>
                <w:lang w:val="es-ES_tradnl"/>
              </w:rPr>
            </w:pPr>
            <w:r w:rsidRPr="00B27B5A">
              <w:rPr>
                <w:color w:val="000000"/>
                <w:sz w:val="20"/>
                <w:szCs w:val="20"/>
                <w:lang w:val="es-ES_tradnl"/>
              </w:rPr>
              <w:t>Entrevista al Director de la UATC, 16 de febrero de 2015</w:t>
            </w:r>
          </w:p>
          <w:p w:rsidR="00233205" w:rsidRPr="00B27B5A" w:rsidRDefault="00233205" w:rsidP="00233205">
            <w:pPr>
              <w:pStyle w:val="NoSpacing"/>
              <w:widowControl w:val="0"/>
              <w:numPr>
                <w:ilvl w:val="0"/>
                <w:numId w:val="107"/>
              </w:numPr>
              <w:contextualSpacing/>
              <w:rPr>
                <w:sz w:val="20"/>
                <w:szCs w:val="20"/>
                <w:lang w:val="es-ES_tradnl"/>
              </w:rPr>
            </w:pPr>
            <w:r w:rsidRPr="00B27B5A">
              <w:rPr>
                <w:rFonts w:cs="Calibri"/>
                <w:color w:val="000000"/>
                <w:sz w:val="20"/>
                <w:szCs w:val="20"/>
                <w:lang w:val="es-ES_tradnl"/>
              </w:rPr>
              <w:t xml:space="preserve">Herramienta virtual Congreso: </w:t>
            </w:r>
            <w:hyperlink r:id="rId58" w:history="1">
              <w:r w:rsidRPr="00B27B5A">
                <w:rPr>
                  <w:rStyle w:val="Hyperlink"/>
                  <w:sz w:val="20"/>
                  <w:szCs w:val="20"/>
                  <w:lang w:val="es-ES_tradnl"/>
                </w:rPr>
                <w:t>http://www.contraloria.gov.co/web/guest/rtcongreso</w:t>
              </w:r>
            </w:hyperlink>
            <w:r w:rsidRPr="00B27B5A">
              <w:rPr>
                <w:sz w:val="20"/>
                <w:szCs w:val="20"/>
                <w:lang w:val="es-ES_tradnl"/>
              </w:rPr>
              <w:t xml:space="preserve"> </w:t>
            </w:r>
          </w:p>
          <w:p w:rsidR="00233205" w:rsidRPr="00B27B5A" w:rsidRDefault="00233205" w:rsidP="00233205">
            <w:pPr>
              <w:pStyle w:val="NoSpacing"/>
              <w:widowControl w:val="0"/>
              <w:numPr>
                <w:ilvl w:val="0"/>
                <w:numId w:val="107"/>
              </w:numPr>
              <w:contextualSpacing/>
              <w:rPr>
                <w:sz w:val="20"/>
                <w:szCs w:val="20"/>
                <w:lang w:val="es-ES_tradnl"/>
              </w:rPr>
            </w:pPr>
            <w:r w:rsidRPr="00B27B5A">
              <w:rPr>
                <w:rFonts w:cs="Calibri"/>
                <w:color w:val="000000"/>
                <w:sz w:val="20"/>
                <w:szCs w:val="20"/>
                <w:lang w:val="es-ES_tradnl"/>
              </w:rPr>
              <w:t>Informe de Gestión, UATC, 2010 – 2014</w:t>
            </w:r>
          </w:p>
          <w:p w:rsidR="00233205" w:rsidRPr="00B27B5A" w:rsidRDefault="00233205" w:rsidP="00233205">
            <w:pPr>
              <w:pStyle w:val="NoSpacing"/>
              <w:widowControl w:val="0"/>
              <w:numPr>
                <w:ilvl w:val="0"/>
                <w:numId w:val="107"/>
              </w:numPr>
              <w:contextualSpacing/>
              <w:rPr>
                <w:rFonts w:cs="Calibri"/>
                <w:bCs/>
                <w:color w:val="000000"/>
                <w:sz w:val="20"/>
                <w:szCs w:val="20"/>
                <w:lang w:val="es-ES_tradnl"/>
              </w:rPr>
            </w:pPr>
            <w:r w:rsidRPr="00B27B5A">
              <w:rPr>
                <w:bCs/>
                <w:color w:val="000000"/>
                <w:sz w:val="20"/>
                <w:szCs w:val="20"/>
                <w:lang w:val="es-ES_tradnl"/>
              </w:rPr>
              <w:t>L</w:t>
            </w:r>
            <w:r w:rsidRPr="00B27B5A">
              <w:rPr>
                <w:rFonts w:cs="Calibri"/>
                <w:bCs/>
                <w:color w:val="000000"/>
                <w:sz w:val="20"/>
                <w:szCs w:val="20"/>
                <w:lang w:val="es-ES_tradnl"/>
              </w:rPr>
              <w:t>ey  610 de 2000 - Trámite de procesos de responsabilidad fiscal de competencia de Contralorías</w:t>
            </w:r>
          </w:p>
          <w:p w:rsidR="00233205" w:rsidRPr="00B27B5A" w:rsidRDefault="00233205" w:rsidP="00233205">
            <w:pPr>
              <w:pStyle w:val="NoSpacing"/>
              <w:widowControl w:val="0"/>
              <w:numPr>
                <w:ilvl w:val="0"/>
                <w:numId w:val="107"/>
              </w:numPr>
              <w:contextualSpacing/>
              <w:rPr>
                <w:rFonts w:cs="Calibri"/>
                <w:bCs/>
                <w:color w:val="000000"/>
                <w:sz w:val="20"/>
                <w:szCs w:val="20"/>
                <w:lang w:val="es-ES_tradnl"/>
              </w:rPr>
            </w:pPr>
            <w:r w:rsidRPr="00B27B5A">
              <w:rPr>
                <w:rFonts w:cs="Calibri"/>
                <w:bCs/>
                <w:color w:val="000000"/>
                <w:sz w:val="20"/>
                <w:szCs w:val="20"/>
                <w:lang w:val="es-ES_tradnl"/>
              </w:rPr>
              <w:t>Ley 1474 del 2011</w:t>
            </w:r>
          </w:p>
          <w:p w:rsidR="00233205" w:rsidRPr="00B27B5A" w:rsidRDefault="00233205" w:rsidP="00233205">
            <w:pPr>
              <w:pStyle w:val="NoSpacing"/>
              <w:widowControl w:val="0"/>
              <w:numPr>
                <w:ilvl w:val="0"/>
                <w:numId w:val="107"/>
              </w:numPr>
              <w:contextualSpacing/>
              <w:rPr>
                <w:rFonts w:cs="Arial"/>
                <w:sz w:val="20"/>
                <w:szCs w:val="20"/>
                <w:lang w:val="es-ES_tradnl"/>
              </w:rPr>
            </w:pPr>
            <w:r w:rsidRPr="00B27B5A">
              <w:rPr>
                <w:sz w:val="20"/>
                <w:szCs w:val="20"/>
                <w:lang w:val="es-ES_tradnl"/>
              </w:rPr>
              <w:t>Papeles de Trabajo de la Metodología MMD-EFS</w:t>
            </w:r>
            <w:r w:rsidRPr="00B27B5A">
              <w:rPr>
                <w:rFonts w:cs="Calibri"/>
                <w:bCs/>
                <w:color w:val="000000"/>
                <w:sz w:val="20"/>
                <w:szCs w:val="20"/>
                <w:lang w:val="es-ES_tradnl"/>
              </w:rPr>
              <w:t xml:space="preserve"> </w:t>
            </w:r>
          </w:p>
          <w:p w:rsidR="00233205" w:rsidRPr="00B27B5A" w:rsidRDefault="00233205" w:rsidP="00233205">
            <w:pPr>
              <w:pStyle w:val="NoSpacing"/>
              <w:widowControl w:val="0"/>
              <w:numPr>
                <w:ilvl w:val="0"/>
                <w:numId w:val="107"/>
              </w:numPr>
              <w:contextualSpacing/>
              <w:rPr>
                <w:rFonts w:cs="Arial"/>
                <w:sz w:val="20"/>
                <w:szCs w:val="20"/>
                <w:lang w:val="es-ES_tradnl"/>
              </w:rPr>
            </w:pPr>
            <w:r w:rsidRPr="00B27B5A">
              <w:rPr>
                <w:rFonts w:cs="Calibri"/>
                <w:bCs/>
                <w:color w:val="000000"/>
                <w:sz w:val="20"/>
                <w:szCs w:val="20"/>
                <w:lang w:val="es-ES_tradnl"/>
              </w:rPr>
              <w:t>Resolución 6518 de 2012 - Normas para el funcionamiento de la Unidad de Apoyo Técnic</w:t>
            </w:r>
            <w:r w:rsidRPr="00B27B5A">
              <w:rPr>
                <w:rFonts w:cs="Calibri"/>
                <w:color w:val="000000"/>
                <w:sz w:val="20"/>
                <w:szCs w:val="20"/>
                <w:lang w:val="es-ES_tradnl"/>
              </w:rPr>
              <w:t>o al Congreso</w:t>
            </w:r>
          </w:p>
          <w:p w:rsidR="00233205" w:rsidRPr="00A52A63" w:rsidRDefault="00233205" w:rsidP="00E30BEC">
            <w:pPr>
              <w:pStyle w:val="NoSpacing"/>
              <w:ind w:left="360"/>
              <w:contextualSpacing/>
              <w:rPr>
                <w:rFonts w:cs="Arial"/>
                <w:sz w:val="16"/>
                <w:szCs w:val="20"/>
                <w:lang w:val="es-ES_tradnl"/>
              </w:rPr>
            </w:pPr>
          </w:p>
        </w:tc>
      </w:tr>
      <w:tr w:rsidR="00233205" w:rsidRPr="00B27B5A" w:rsidTr="00E30BEC">
        <w:tc>
          <w:tcPr>
            <w:tcW w:w="1101" w:type="dxa"/>
            <w:vAlign w:val="center"/>
          </w:tcPr>
          <w:p w:rsidR="00233205" w:rsidRPr="00A52A63" w:rsidRDefault="00233205" w:rsidP="00E30BEC">
            <w:pPr>
              <w:pStyle w:val="NoSpacing"/>
              <w:rPr>
                <w:b/>
                <w:sz w:val="20"/>
                <w:szCs w:val="20"/>
                <w:lang w:val="es-ES_tradnl"/>
              </w:rPr>
            </w:pPr>
            <w:r w:rsidRPr="00A52A63">
              <w:rPr>
                <w:b/>
                <w:sz w:val="20"/>
                <w:szCs w:val="20"/>
                <w:lang w:val="es-ES_tradnl"/>
              </w:rPr>
              <w:t>EFS-24</w:t>
            </w:r>
          </w:p>
        </w:tc>
        <w:tc>
          <w:tcPr>
            <w:tcW w:w="8646" w:type="dxa"/>
            <w:vAlign w:val="center"/>
          </w:tcPr>
          <w:p w:rsidR="00233205" w:rsidRPr="00A52A63" w:rsidRDefault="00233205" w:rsidP="00E30BEC">
            <w:pPr>
              <w:pStyle w:val="NoSpacing"/>
              <w:ind w:left="360"/>
              <w:contextualSpacing/>
              <w:rPr>
                <w:rFonts w:cs="Calibri"/>
                <w:color w:val="000000"/>
                <w:sz w:val="14"/>
                <w:szCs w:val="20"/>
                <w:lang w:val="es-ES_tradnl"/>
              </w:rPr>
            </w:pPr>
          </w:p>
          <w:p w:rsidR="00233205" w:rsidRPr="00B27B5A" w:rsidRDefault="00233205" w:rsidP="00233205">
            <w:pPr>
              <w:pStyle w:val="NoSpacing"/>
              <w:widowControl w:val="0"/>
              <w:numPr>
                <w:ilvl w:val="0"/>
                <w:numId w:val="108"/>
              </w:numPr>
              <w:contextualSpacing/>
              <w:rPr>
                <w:rFonts w:cs="Calibri"/>
                <w:color w:val="000000"/>
                <w:sz w:val="20"/>
                <w:szCs w:val="20"/>
                <w:lang w:val="es-ES_tradnl"/>
              </w:rPr>
            </w:pPr>
            <w:r w:rsidRPr="00B27B5A">
              <w:rPr>
                <w:bCs/>
                <w:color w:val="000000"/>
                <w:sz w:val="20"/>
                <w:szCs w:val="20"/>
                <w:lang w:val="es-ES_tradnl"/>
              </w:rPr>
              <w:t>Análisis Proyectos de Ley y Actos Legislativos</w:t>
            </w:r>
            <w:r w:rsidRPr="00B27B5A">
              <w:rPr>
                <w:rFonts w:cs="Calibri"/>
                <w:color w:val="000000"/>
                <w:sz w:val="20"/>
                <w:szCs w:val="20"/>
                <w:lang w:val="es-ES_tradnl"/>
              </w:rPr>
              <w:t xml:space="preserve">: </w:t>
            </w:r>
            <w:hyperlink r:id="rId59" w:history="1">
              <w:r w:rsidRPr="00B27B5A">
                <w:rPr>
                  <w:rStyle w:val="Hyperlink"/>
                  <w:rFonts w:cs="Calibri"/>
                  <w:sz w:val="20"/>
                  <w:szCs w:val="20"/>
                  <w:lang w:val="es-ES_tradnl"/>
                </w:rPr>
                <w:t>http://www.contraloria.gov.co/web/guest/analisis-proyectos-de-ley-y-actos-legislativos</w:t>
              </w:r>
            </w:hyperlink>
            <w:r w:rsidRPr="00B27B5A">
              <w:rPr>
                <w:rFonts w:cs="Calibri"/>
                <w:color w:val="000000"/>
                <w:sz w:val="20"/>
                <w:szCs w:val="20"/>
                <w:lang w:val="es-ES_tradnl"/>
              </w:rPr>
              <w:t xml:space="preserve"> </w:t>
            </w:r>
          </w:p>
          <w:p w:rsidR="00233205" w:rsidRPr="00B27B5A" w:rsidRDefault="00233205" w:rsidP="00233205">
            <w:pPr>
              <w:pStyle w:val="NoSpacing"/>
              <w:widowControl w:val="0"/>
              <w:numPr>
                <w:ilvl w:val="0"/>
                <w:numId w:val="108"/>
              </w:numPr>
              <w:contextualSpacing/>
              <w:rPr>
                <w:sz w:val="20"/>
                <w:szCs w:val="20"/>
                <w:lang w:val="pt-BR"/>
              </w:rPr>
            </w:pPr>
            <w:r w:rsidRPr="00B27B5A">
              <w:rPr>
                <w:sz w:val="20"/>
                <w:szCs w:val="20"/>
                <w:lang w:val="pt-BR"/>
              </w:rPr>
              <w:t xml:space="preserve">Auditorias CGRC: </w:t>
            </w:r>
            <w:hyperlink r:id="rId60" w:history="1">
              <w:r w:rsidRPr="00B27B5A">
                <w:rPr>
                  <w:rStyle w:val="Hyperlink"/>
                  <w:sz w:val="20"/>
                  <w:szCs w:val="20"/>
                  <w:lang w:val="pt-BR"/>
                </w:rPr>
                <w:t>http://www.contraloria.gov.co/web/guest/auditorias</w:t>
              </w:r>
            </w:hyperlink>
            <w:r w:rsidRPr="00B27B5A">
              <w:rPr>
                <w:sz w:val="20"/>
                <w:szCs w:val="20"/>
                <w:lang w:val="pt-BR"/>
              </w:rPr>
              <w:t xml:space="preserve"> </w:t>
            </w:r>
          </w:p>
          <w:p w:rsidR="00233205" w:rsidRPr="00B27B5A" w:rsidRDefault="00233205" w:rsidP="00233205">
            <w:pPr>
              <w:pStyle w:val="NoSpacing"/>
              <w:widowControl w:val="0"/>
              <w:numPr>
                <w:ilvl w:val="0"/>
                <w:numId w:val="108"/>
              </w:numPr>
              <w:contextualSpacing/>
              <w:rPr>
                <w:rStyle w:val="Hyperlink"/>
                <w:rFonts w:eastAsiaTheme="minorHAnsi"/>
                <w:sz w:val="20"/>
                <w:szCs w:val="20"/>
                <w:lang w:val="es-ES_tradnl"/>
              </w:rPr>
            </w:pPr>
            <w:r w:rsidRPr="00B27B5A">
              <w:rPr>
                <w:sz w:val="20"/>
                <w:szCs w:val="20"/>
                <w:lang w:val="es-ES_tradnl"/>
              </w:rPr>
              <w:t xml:space="preserve">Boletines de Prensa 2014: </w:t>
            </w:r>
            <w:hyperlink r:id="rId61" w:history="1">
              <w:r w:rsidRPr="00B27B5A">
                <w:rPr>
                  <w:rStyle w:val="Hyperlink"/>
                  <w:sz w:val="20"/>
                  <w:szCs w:val="20"/>
                  <w:lang w:val="es-ES_tradnl"/>
                </w:rPr>
                <w:t>http://www.contraloria.gov.co/web/guest/boletines-2014</w:t>
              </w:r>
            </w:hyperlink>
          </w:p>
          <w:p w:rsidR="00233205" w:rsidRPr="00B27B5A" w:rsidRDefault="00233205" w:rsidP="00233205">
            <w:pPr>
              <w:pStyle w:val="NoSpacing"/>
              <w:widowControl w:val="0"/>
              <w:numPr>
                <w:ilvl w:val="0"/>
                <w:numId w:val="108"/>
              </w:numPr>
              <w:contextualSpacing/>
              <w:rPr>
                <w:rStyle w:val="Hyperlink"/>
                <w:rFonts w:cs="Arial"/>
                <w:sz w:val="20"/>
                <w:szCs w:val="20"/>
                <w:lang w:val="es-ES_tradnl"/>
              </w:rPr>
            </w:pPr>
            <w:r w:rsidRPr="00B27B5A">
              <w:rPr>
                <w:sz w:val="20"/>
                <w:szCs w:val="20"/>
                <w:lang w:val="es-ES_tradnl"/>
              </w:rPr>
              <w:t xml:space="preserve">Boletines de Prensa 2015: </w:t>
            </w:r>
            <w:hyperlink r:id="rId62" w:history="1">
              <w:r w:rsidRPr="00B27B5A">
                <w:rPr>
                  <w:rStyle w:val="Hyperlink"/>
                  <w:sz w:val="20"/>
                  <w:szCs w:val="20"/>
                  <w:lang w:val="es-ES_tradnl"/>
                </w:rPr>
                <w:t>http://www.contraloriagen.gov.co/web/guest/boletinprensa</w:t>
              </w:r>
            </w:hyperlink>
            <w:r w:rsidRPr="00B27B5A">
              <w:rPr>
                <w:rStyle w:val="Hyperlink"/>
                <w:sz w:val="20"/>
                <w:szCs w:val="20"/>
                <w:lang w:val="es-ES_tradnl"/>
              </w:rPr>
              <w:t xml:space="preserve"> </w:t>
            </w:r>
          </w:p>
          <w:p w:rsidR="00233205" w:rsidRPr="00B27B5A" w:rsidRDefault="00233205" w:rsidP="00233205">
            <w:pPr>
              <w:pStyle w:val="NoSpacing"/>
              <w:widowControl w:val="0"/>
              <w:numPr>
                <w:ilvl w:val="0"/>
                <w:numId w:val="108"/>
              </w:numPr>
              <w:contextualSpacing/>
              <w:rPr>
                <w:rStyle w:val="Hyperlink"/>
                <w:rFonts w:eastAsiaTheme="minorHAnsi" w:cs="Arial"/>
                <w:sz w:val="20"/>
                <w:szCs w:val="20"/>
                <w:lang w:val="es-ES_tradnl"/>
              </w:rPr>
            </w:pPr>
            <w:r w:rsidRPr="00B27B5A">
              <w:rPr>
                <w:sz w:val="20"/>
                <w:szCs w:val="20"/>
                <w:lang w:val="es-ES_tradnl"/>
              </w:rPr>
              <w:t xml:space="preserve">CGRC en Facebook: </w:t>
            </w:r>
            <w:hyperlink r:id="rId63" w:history="1">
              <w:r w:rsidRPr="00B27B5A">
                <w:rPr>
                  <w:rStyle w:val="Hyperlink"/>
                  <w:sz w:val="20"/>
                  <w:szCs w:val="20"/>
                  <w:lang w:val="es-ES_tradnl"/>
                </w:rPr>
                <w:t>https://www.facebook.com/contraloriacolombia</w:t>
              </w:r>
            </w:hyperlink>
            <w:r w:rsidRPr="00B27B5A">
              <w:rPr>
                <w:rStyle w:val="Hyperlink"/>
                <w:rFonts w:cs="Arial"/>
                <w:sz w:val="20"/>
                <w:szCs w:val="20"/>
                <w:lang w:val="es-ES_tradnl"/>
              </w:rPr>
              <w:t xml:space="preserve"> </w:t>
            </w:r>
          </w:p>
          <w:p w:rsidR="00233205" w:rsidRPr="00B27B5A" w:rsidRDefault="00233205" w:rsidP="00233205">
            <w:pPr>
              <w:pStyle w:val="NoSpacing"/>
              <w:widowControl w:val="0"/>
              <w:numPr>
                <w:ilvl w:val="0"/>
                <w:numId w:val="108"/>
              </w:numPr>
              <w:contextualSpacing/>
              <w:rPr>
                <w:rStyle w:val="Hyperlink"/>
                <w:rFonts w:eastAsiaTheme="minorHAnsi"/>
                <w:sz w:val="20"/>
                <w:szCs w:val="20"/>
                <w:lang w:val="es-ES_tradnl"/>
              </w:rPr>
            </w:pPr>
            <w:r w:rsidRPr="00B27B5A">
              <w:rPr>
                <w:sz w:val="20"/>
                <w:szCs w:val="20"/>
                <w:lang w:val="es-ES_tradnl"/>
              </w:rPr>
              <w:t xml:space="preserve">CGRC en Twitter: </w:t>
            </w:r>
            <w:hyperlink r:id="rId64" w:history="1">
              <w:r w:rsidRPr="00B27B5A">
                <w:rPr>
                  <w:rStyle w:val="Hyperlink"/>
                  <w:sz w:val="20"/>
                  <w:szCs w:val="20"/>
                  <w:lang w:val="es-ES_tradnl"/>
                </w:rPr>
                <w:t>https://twitter.com/CGR_Colombia</w:t>
              </w:r>
            </w:hyperlink>
          </w:p>
          <w:p w:rsidR="00233205" w:rsidRPr="00B27B5A" w:rsidRDefault="00233205" w:rsidP="00233205">
            <w:pPr>
              <w:pStyle w:val="NoSpacing"/>
              <w:widowControl w:val="0"/>
              <w:numPr>
                <w:ilvl w:val="0"/>
                <w:numId w:val="108"/>
              </w:numPr>
              <w:contextualSpacing/>
              <w:rPr>
                <w:rStyle w:val="Hyperlink"/>
                <w:rFonts w:cs="Arial"/>
                <w:sz w:val="20"/>
                <w:szCs w:val="20"/>
                <w:lang w:val="es-ES_tradnl"/>
              </w:rPr>
            </w:pPr>
            <w:r w:rsidRPr="00B27B5A">
              <w:rPr>
                <w:sz w:val="20"/>
                <w:szCs w:val="20"/>
                <w:lang w:val="es-ES_tradnl"/>
              </w:rPr>
              <w:t xml:space="preserve">CGRC en YouTube: </w:t>
            </w:r>
            <w:hyperlink r:id="rId65" w:history="1">
              <w:r w:rsidRPr="00B27B5A">
                <w:rPr>
                  <w:rStyle w:val="Hyperlink"/>
                  <w:sz w:val="20"/>
                  <w:szCs w:val="20"/>
                  <w:lang w:val="es-ES_tradnl"/>
                </w:rPr>
                <w:t>https://www.youtube.com/user/ContraloriaColombia/featured</w:t>
              </w:r>
            </w:hyperlink>
            <w:r w:rsidRPr="00B27B5A">
              <w:rPr>
                <w:rStyle w:val="Hyperlink"/>
                <w:sz w:val="20"/>
                <w:szCs w:val="20"/>
                <w:lang w:val="es-ES_tradnl"/>
              </w:rPr>
              <w:t xml:space="preserve"> </w:t>
            </w:r>
          </w:p>
          <w:p w:rsidR="00233205" w:rsidRPr="00B27B5A" w:rsidRDefault="00233205" w:rsidP="00233205">
            <w:pPr>
              <w:pStyle w:val="NoSpacing"/>
              <w:numPr>
                <w:ilvl w:val="0"/>
                <w:numId w:val="108"/>
              </w:numPr>
              <w:contextualSpacing/>
              <w:rPr>
                <w:rFonts w:eastAsiaTheme="minorHAnsi" w:cs="Calibri"/>
                <w:color w:val="000000"/>
                <w:sz w:val="20"/>
                <w:szCs w:val="20"/>
                <w:lang w:val="es-ES_tradnl"/>
              </w:rPr>
            </w:pPr>
            <w:r w:rsidRPr="00B27B5A">
              <w:rPr>
                <w:rFonts w:cs="Calibri"/>
                <w:color w:val="000000"/>
                <w:sz w:val="20"/>
                <w:szCs w:val="20"/>
                <w:lang w:val="es-ES_tradnl"/>
              </w:rPr>
              <w:t>Contraloría General de la República, Guía para el Control Fiscal Participativo</w:t>
            </w:r>
          </w:p>
          <w:p w:rsidR="00233205" w:rsidRPr="00B27B5A" w:rsidRDefault="00233205" w:rsidP="00233205">
            <w:pPr>
              <w:pStyle w:val="NoSpacing"/>
              <w:numPr>
                <w:ilvl w:val="0"/>
                <w:numId w:val="108"/>
              </w:numPr>
              <w:contextualSpacing/>
              <w:rPr>
                <w:rFonts w:eastAsiaTheme="minorHAnsi"/>
                <w:sz w:val="20"/>
                <w:szCs w:val="20"/>
                <w:lang w:val="es-ES_tradnl"/>
              </w:rPr>
            </w:pPr>
            <w:r w:rsidRPr="00B27B5A">
              <w:rPr>
                <w:rFonts w:cs="Calibri"/>
                <w:color w:val="000000"/>
                <w:sz w:val="20"/>
                <w:szCs w:val="20"/>
                <w:lang w:val="es-ES_tradnl"/>
              </w:rPr>
              <w:t xml:space="preserve">Contraloría General de la República, </w:t>
            </w:r>
            <w:r w:rsidRPr="00B27B5A">
              <w:rPr>
                <w:sz w:val="20"/>
                <w:szCs w:val="20"/>
                <w:lang w:val="es-ES_tradnl"/>
              </w:rPr>
              <w:t>Informe Consolidado Logros por Macro proceso, 2013</w:t>
            </w:r>
          </w:p>
          <w:p w:rsidR="00233205" w:rsidRPr="00B27B5A" w:rsidRDefault="00233205" w:rsidP="00233205">
            <w:pPr>
              <w:pStyle w:val="NoSpacing"/>
              <w:numPr>
                <w:ilvl w:val="0"/>
                <w:numId w:val="108"/>
              </w:numPr>
              <w:contextualSpacing/>
              <w:rPr>
                <w:rFonts w:eastAsiaTheme="minorHAnsi"/>
                <w:sz w:val="20"/>
                <w:szCs w:val="20"/>
                <w:lang w:val="es-ES_tradnl"/>
              </w:rPr>
            </w:pPr>
            <w:r w:rsidRPr="00B27B5A">
              <w:rPr>
                <w:rFonts w:cs="Calibri"/>
                <w:color w:val="000000"/>
                <w:sz w:val="20"/>
                <w:szCs w:val="20"/>
                <w:lang w:val="es-ES_tradnl"/>
              </w:rPr>
              <w:t xml:space="preserve">Contraloría General de la República, </w:t>
            </w:r>
            <w:r w:rsidRPr="00B27B5A">
              <w:rPr>
                <w:sz w:val="20"/>
                <w:szCs w:val="20"/>
                <w:lang w:val="es-ES_tradnl"/>
              </w:rPr>
              <w:t xml:space="preserve">Informe de Gestión 2010 – 2014 </w:t>
            </w:r>
          </w:p>
          <w:p w:rsidR="00233205" w:rsidRPr="00B27B5A" w:rsidRDefault="00233205" w:rsidP="00233205">
            <w:pPr>
              <w:pStyle w:val="NoSpacing"/>
              <w:numPr>
                <w:ilvl w:val="0"/>
                <w:numId w:val="108"/>
              </w:numPr>
              <w:contextualSpacing/>
              <w:rPr>
                <w:rFonts w:eastAsiaTheme="minorHAnsi" w:cs="Calibri"/>
                <w:color w:val="000000"/>
                <w:sz w:val="20"/>
                <w:szCs w:val="20"/>
                <w:lang w:val="es-ES_tradnl"/>
              </w:rPr>
            </w:pPr>
            <w:r w:rsidRPr="00B27B5A">
              <w:rPr>
                <w:rFonts w:cs="Calibri"/>
                <w:color w:val="000000"/>
                <w:sz w:val="20"/>
                <w:szCs w:val="20"/>
                <w:lang w:val="es-ES_tradnl"/>
              </w:rPr>
              <w:t>Contraloría General de la República, Manual Específico de Funciones CGRC, Pág. 29 y 49</w:t>
            </w:r>
          </w:p>
          <w:p w:rsidR="00233205" w:rsidRPr="00B27B5A" w:rsidRDefault="00233205" w:rsidP="00233205">
            <w:pPr>
              <w:pStyle w:val="NoSpacing"/>
              <w:numPr>
                <w:ilvl w:val="0"/>
                <w:numId w:val="108"/>
              </w:numPr>
              <w:contextualSpacing/>
              <w:rPr>
                <w:rFonts w:eastAsiaTheme="minorHAnsi" w:cs="Calibri"/>
                <w:color w:val="000000"/>
                <w:sz w:val="20"/>
                <w:szCs w:val="20"/>
                <w:lang w:val="es-ES_tradnl"/>
              </w:rPr>
            </w:pPr>
            <w:r w:rsidRPr="00B27B5A">
              <w:rPr>
                <w:rFonts w:cs="Calibri"/>
                <w:color w:val="000000"/>
                <w:sz w:val="20"/>
                <w:szCs w:val="20"/>
                <w:lang w:val="es-ES_tradnl"/>
              </w:rPr>
              <w:t xml:space="preserve">Contraloría General de la República, </w:t>
            </w:r>
            <w:hyperlink r:id="rId66" w:history="1">
              <w:r w:rsidRPr="00B27B5A">
                <w:rPr>
                  <w:rFonts w:cs="Calibri"/>
                  <w:color w:val="000000"/>
                  <w:sz w:val="20"/>
                  <w:szCs w:val="20"/>
                  <w:lang w:val="es-ES_tradnl"/>
                </w:rPr>
                <w:t>Reglamento de la Red Institucional de Apoyo a las Veedurías Ciudadanas.</w:t>
              </w:r>
            </w:hyperlink>
          </w:p>
          <w:p w:rsidR="00233205" w:rsidRPr="00B27B5A" w:rsidRDefault="00233205" w:rsidP="00233205">
            <w:pPr>
              <w:pStyle w:val="NoSpacing"/>
              <w:widowControl w:val="0"/>
              <w:numPr>
                <w:ilvl w:val="0"/>
                <w:numId w:val="108"/>
              </w:numPr>
              <w:contextualSpacing/>
              <w:rPr>
                <w:rFonts w:cs="Calibri"/>
                <w:color w:val="000000"/>
                <w:sz w:val="20"/>
                <w:szCs w:val="20"/>
                <w:lang w:val="es-ES_tradnl"/>
              </w:rPr>
            </w:pPr>
            <w:hyperlink r:id="rId67" w:history="1">
              <w:r w:rsidRPr="00B27B5A">
                <w:rPr>
                  <w:rFonts w:cs="Calibri"/>
                  <w:color w:val="000000"/>
                  <w:sz w:val="20"/>
                  <w:szCs w:val="20"/>
                  <w:lang w:val="es-ES_tradnl"/>
                </w:rPr>
                <w:t>Curso Virtual: Control Social a la Gestión Pública - Defensoría del Pueblo </w:t>
              </w:r>
            </w:hyperlink>
          </w:p>
          <w:p w:rsidR="00233205" w:rsidRPr="00B27B5A" w:rsidRDefault="00233205" w:rsidP="00233205">
            <w:pPr>
              <w:pStyle w:val="NoSpacing"/>
              <w:widowControl w:val="0"/>
              <w:numPr>
                <w:ilvl w:val="0"/>
                <w:numId w:val="108"/>
              </w:numPr>
              <w:contextualSpacing/>
              <w:rPr>
                <w:rFonts w:cs="Calibri"/>
                <w:color w:val="000000"/>
                <w:sz w:val="20"/>
                <w:szCs w:val="20"/>
                <w:lang w:val="es-ES_tradnl"/>
              </w:rPr>
            </w:pPr>
            <w:r w:rsidRPr="00B27B5A">
              <w:rPr>
                <w:rFonts w:cs="Calibri"/>
                <w:color w:val="000000"/>
                <w:sz w:val="20"/>
                <w:szCs w:val="20"/>
                <w:lang w:val="es-ES_tradnl"/>
              </w:rPr>
              <w:t>Decreto 267 de 2000</w:t>
            </w:r>
          </w:p>
          <w:p w:rsidR="00233205" w:rsidRPr="00B27B5A" w:rsidRDefault="00233205" w:rsidP="00233205">
            <w:pPr>
              <w:pStyle w:val="NoSpacing"/>
              <w:numPr>
                <w:ilvl w:val="0"/>
                <w:numId w:val="108"/>
              </w:numPr>
              <w:contextualSpacing/>
              <w:rPr>
                <w:rFonts w:cs="Calibri"/>
                <w:color w:val="000000"/>
                <w:sz w:val="20"/>
                <w:szCs w:val="20"/>
                <w:lang w:val="es-ES_tradnl"/>
              </w:rPr>
            </w:pPr>
            <w:r w:rsidRPr="00B27B5A">
              <w:rPr>
                <w:rFonts w:cs="Calibri"/>
                <w:color w:val="000000"/>
                <w:sz w:val="20"/>
                <w:szCs w:val="20"/>
                <w:lang w:val="es-ES_tradnl"/>
              </w:rPr>
              <w:t>Entrevista Directora Contraloría Participación Ciudadana, 16 de febrero de 2015</w:t>
            </w:r>
          </w:p>
          <w:p w:rsidR="00233205" w:rsidRPr="00B27B5A" w:rsidRDefault="00233205" w:rsidP="00233205">
            <w:pPr>
              <w:pStyle w:val="NoSpacing"/>
              <w:widowControl w:val="0"/>
              <w:numPr>
                <w:ilvl w:val="0"/>
                <w:numId w:val="108"/>
              </w:numPr>
              <w:contextualSpacing/>
              <w:rPr>
                <w:rStyle w:val="Hyperlink"/>
                <w:rFonts w:cs="Calibri"/>
                <w:color w:val="000000"/>
                <w:sz w:val="20"/>
                <w:szCs w:val="20"/>
                <w:lang w:val="es-ES_tradnl"/>
              </w:rPr>
            </w:pPr>
            <w:r w:rsidRPr="00B27B5A">
              <w:rPr>
                <w:rFonts w:cs="Calibri"/>
                <w:color w:val="000000"/>
                <w:sz w:val="20"/>
                <w:szCs w:val="20"/>
                <w:lang w:val="es-ES_tradnl"/>
              </w:rPr>
              <w:t xml:space="preserve">Estrategias en Control Fiscal: </w:t>
            </w:r>
            <w:hyperlink r:id="rId68" w:history="1">
              <w:r w:rsidRPr="00B27B5A">
                <w:rPr>
                  <w:rStyle w:val="Hyperlink"/>
                  <w:rFonts w:cs="Calibri"/>
                  <w:sz w:val="20"/>
                  <w:szCs w:val="20"/>
                  <w:lang w:val="es-ES_tradnl"/>
                </w:rPr>
                <w:t>http://www.contraloriagen.gov.co/web/guest/participacion-ciudadana-estrategias-del-control-fiscal</w:t>
              </w:r>
            </w:hyperlink>
          </w:p>
          <w:p w:rsidR="00233205" w:rsidRPr="00B27B5A" w:rsidRDefault="00233205" w:rsidP="00233205">
            <w:pPr>
              <w:pStyle w:val="NoSpacing"/>
              <w:widowControl w:val="0"/>
              <w:numPr>
                <w:ilvl w:val="0"/>
                <w:numId w:val="108"/>
              </w:numPr>
              <w:contextualSpacing/>
              <w:rPr>
                <w:sz w:val="20"/>
                <w:szCs w:val="20"/>
                <w:lang w:val="fr-FR"/>
              </w:rPr>
            </w:pPr>
            <w:r w:rsidRPr="00B27B5A">
              <w:rPr>
                <w:sz w:val="20"/>
                <w:szCs w:val="20"/>
                <w:lang w:val="fr-FR"/>
              </w:rPr>
              <w:t xml:space="preserve">Informes CGRC: </w:t>
            </w:r>
            <w:hyperlink r:id="rId69" w:history="1">
              <w:r w:rsidRPr="00B27B5A">
                <w:rPr>
                  <w:rStyle w:val="Hyperlink"/>
                  <w:sz w:val="20"/>
                  <w:szCs w:val="20"/>
                  <w:lang w:val="fr-FR"/>
                </w:rPr>
                <w:t>http://www.contraloria.gov.co/web/guest/informes</w:t>
              </w:r>
            </w:hyperlink>
          </w:p>
          <w:p w:rsidR="00233205" w:rsidRPr="00B27B5A" w:rsidRDefault="00233205" w:rsidP="00233205">
            <w:pPr>
              <w:pStyle w:val="NoSpacing"/>
              <w:numPr>
                <w:ilvl w:val="0"/>
                <w:numId w:val="108"/>
              </w:numPr>
              <w:contextualSpacing/>
              <w:rPr>
                <w:rFonts w:eastAsiaTheme="minorHAnsi" w:cs="Calibri"/>
                <w:color w:val="000000"/>
                <w:sz w:val="20"/>
                <w:szCs w:val="20"/>
                <w:lang w:val="es-ES_tradnl"/>
              </w:rPr>
            </w:pPr>
            <w:hyperlink r:id="rId70" w:history="1">
              <w:r w:rsidRPr="00B27B5A">
                <w:rPr>
                  <w:rFonts w:cs="Calibri"/>
                  <w:color w:val="000000"/>
                  <w:sz w:val="20"/>
                  <w:szCs w:val="20"/>
                  <w:lang w:val="es-ES_tradnl"/>
                </w:rPr>
                <w:t>Módulos: Participación en el Control Social a la Gestión Pública</w:t>
              </w:r>
            </w:hyperlink>
          </w:p>
          <w:p w:rsidR="00233205" w:rsidRPr="00B27B5A" w:rsidRDefault="00233205" w:rsidP="00233205">
            <w:pPr>
              <w:pStyle w:val="NoSpacing"/>
              <w:widowControl w:val="0"/>
              <w:numPr>
                <w:ilvl w:val="0"/>
                <w:numId w:val="108"/>
              </w:numPr>
              <w:contextualSpacing/>
              <w:rPr>
                <w:rFonts w:cs="Arial"/>
                <w:sz w:val="20"/>
                <w:szCs w:val="20"/>
                <w:lang w:val="es-ES_tradnl"/>
              </w:rPr>
            </w:pPr>
            <w:r w:rsidRPr="00B27B5A">
              <w:rPr>
                <w:rFonts w:cs="Arial"/>
                <w:sz w:val="20"/>
                <w:szCs w:val="20"/>
                <w:lang w:val="es-ES_tradnl"/>
              </w:rPr>
              <w:t xml:space="preserve">Página web de la CGRC: </w:t>
            </w:r>
            <w:hyperlink r:id="rId71" w:history="1">
              <w:r w:rsidRPr="00B27B5A">
                <w:rPr>
                  <w:rStyle w:val="Hyperlink"/>
                  <w:rFonts w:cs="Arial"/>
                  <w:sz w:val="20"/>
                  <w:szCs w:val="20"/>
                  <w:lang w:val="es-ES_tradnl"/>
                </w:rPr>
                <w:t>http://www.contraloriagen.gov.co/</w:t>
              </w:r>
            </w:hyperlink>
            <w:r w:rsidRPr="00B27B5A">
              <w:rPr>
                <w:rFonts w:cs="Arial"/>
                <w:sz w:val="20"/>
                <w:szCs w:val="20"/>
                <w:lang w:val="es-ES_tradnl"/>
              </w:rPr>
              <w:t xml:space="preserve"> </w:t>
            </w:r>
          </w:p>
          <w:p w:rsidR="00233205" w:rsidRPr="00B27B5A" w:rsidRDefault="00233205" w:rsidP="00233205">
            <w:pPr>
              <w:pStyle w:val="NoSpacing"/>
              <w:widowControl w:val="0"/>
              <w:numPr>
                <w:ilvl w:val="0"/>
                <w:numId w:val="108"/>
              </w:numPr>
              <w:contextualSpacing/>
              <w:rPr>
                <w:sz w:val="20"/>
                <w:szCs w:val="20"/>
                <w:lang w:val="es-ES_tradnl"/>
              </w:rPr>
            </w:pPr>
            <w:r w:rsidRPr="00B27B5A">
              <w:rPr>
                <w:sz w:val="20"/>
                <w:szCs w:val="20"/>
                <w:lang w:val="es-ES_tradnl"/>
              </w:rPr>
              <w:t xml:space="preserve">Papeles de Trabajo de la Metodología MMD-EFS </w:t>
            </w:r>
          </w:p>
          <w:p w:rsidR="00233205" w:rsidRPr="00B27B5A" w:rsidRDefault="00233205" w:rsidP="00233205">
            <w:pPr>
              <w:pStyle w:val="NoSpacing"/>
              <w:widowControl w:val="0"/>
              <w:numPr>
                <w:ilvl w:val="0"/>
                <w:numId w:val="108"/>
              </w:numPr>
              <w:contextualSpacing/>
              <w:rPr>
                <w:sz w:val="20"/>
                <w:szCs w:val="20"/>
                <w:lang w:val="es-ES_tradnl"/>
              </w:rPr>
            </w:pPr>
            <w:r w:rsidRPr="00B27B5A">
              <w:rPr>
                <w:sz w:val="20"/>
                <w:szCs w:val="20"/>
                <w:lang w:val="es-ES_tradnl"/>
              </w:rPr>
              <w:t xml:space="preserve">Registros de Prensa 2015: </w:t>
            </w:r>
            <w:hyperlink r:id="rId72" w:history="1">
              <w:r w:rsidRPr="00B27B5A">
                <w:rPr>
                  <w:rStyle w:val="Hyperlink"/>
                  <w:sz w:val="20"/>
                  <w:szCs w:val="20"/>
                  <w:lang w:val="es-ES_tradnl"/>
                </w:rPr>
                <w:t>http://www.contraloriagen.gov.co/web/guest/registrodeprensa</w:t>
              </w:r>
            </w:hyperlink>
            <w:r w:rsidRPr="00B27B5A">
              <w:rPr>
                <w:sz w:val="20"/>
                <w:szCs w:val="20"/>
                <w:lang w:val="es-ES_tradnl"/>
              </w:rPr>
              <w:t xml:space="preserve"> </w:t>
            </w:r>
          </w:p>
          <w:p w:rsidR="00233205" w:rsidRPr="00B27B5A" w:rsidRDefault="00233205" w:rsidP="00233205">
            <w:pPr>
              <w:pStyle w:val="NoSpacing"/>
              <w:widowControl w:val="0"/>
              <w:numPr>
                <w:ilvl w:val="0"/>
                <w:numId w:val="108"/>
              </w:numPr>
              <w:contextualSpacing/>
              <w:rPr>
                <w:rFonts w:cs="Calibri"/>
                <w:color w:val="000000"/>
                <w:sz w:val="20"/>
                <w:szCs w:val="20"/>
                <w:lang w:val="es-ES_tradnl"/>
              </w:rPr>
            </w:pPr>
            <w:r w:rsidRPr="00B27B5A">
              <w:rPr>
                <w:rFonts w:cs="Calibri"/>
                <w:color w:val="000000"/>
                <w:sz w:val="20"/>
                <w:szCs w:val="20"/>
                <w:lang w:val="es-ES_tradnl"/>
              </w:rPr>
              <w:t xml:space="preserve">Resolución 6518 de 2012 </w:t>
            </w:r>
          </w:p>
          <w:p w:rsidR="00233205" w:rsidRPr="00B27B5A" w:rsidRDefault="00233205" w:rsidP="00233205">
            <w:pPr>
              <w:pStyle w:val="NoSpacing"/>
              <w:widowControl w:val="0"/>
              <w:numPr>
                <w:ilvl w:val="0"/>
                <w:numId w:val="108"/>
              </w:numPr>
              <w:contextualSpacing/>
              <w:rPr>
                <w:rFonts w:cs="Calibri"/>
                <w:color w:val="000000"/>
                <w:sz w:val="20"/>
                <w:szCs w:val="20"/>
                <w:lang w:val="es-ES_tradnl"/>
              </w:rPr>
            </w:pPr>
            <w:r w:rsidRPr="00B27B5A">
              <w:rPr>
                <w:rFonts w:cs="Calibri"/>
                <w:bCs/>
                <w:color w:val="000000"/>
                <w:sz w:val="20"/>
                <w:szCs w:val="20"/>
                <w:lang w:val="es-ES_tradnl"/>
              </w:rPr>
              <w:t xml:space="preserve">Resolución 6867 de 2012 </w:t>
            </w:r>
            <w:r w:rsidRPr="00B27B5A">
              <w:rPr>
                <w:sz w:val="20"/>
                <w:szCs w:val="20"/>
                <w:lang w:val="es-ES_tradnl"/>
              </w:rPr>
              <w:t xml:space="preserve"> </w:t>
            </w:r>
          </w:p>
          <w:p w:rsidR="00233205" w:rsidRPr="00B27B5A" w:rsidRDefault="00233205" w:rsidP="00233205">
            <w:pPr>
              <w:pStyle w:val="NoSpacing"/>
              <w:widowControl w:val="0"/>
              <w:numPr>
                <w:ilvl w:val="0"/>
                <w:numId w:val="108"/>
              </w:numPr>
              <w:contextualSpacing/>
              <w:rPr>
                <w:rStyle w:val="Hyperlink"/>
                <w:rFonts w:eastAsiaTheme="minorHAnsi" w:cs="Arial"/>
                <w:sz w:val="20"/>
                <w:szCs w:val="20"/>
                <w:lang w:val="es-ES_tradnl"/>
              </w:rPr>
            </w:pPr>
            <w:r w:rsidRPr="00B27B5A">
              <w:rPr>
                <w:sz w:val="20"/>
                <w:szCs w:val="20"/>
                <w:lang w:val="es-ES_tradnl"/>
              </w:rPr>
              <w:t xml:space="preserve">Sección sobre Atención al Ciudadano en la página web de la CGRC: </w:t>
            </w:r>
            <w:hyperlink r:id="rId73" w:history="1">
              <w:r w:rsidRPr="00B27B5A">
                <w:rPr>
                  <w:rStyle w:val="Hyperlink"/>
                  <w:rFonts w:cs="Calibri"/>
                  <w:sz w:val="20"/>
                  <w:szCs w:val="20"/>
                  <w:lang w:val="es-ES_tradnl"/>
                </w:rPr>
                <w:t>http://www.contraloriagen.gov.co/web/guest/atencion-al-ciudadano</w:t>
              </w:r>
            </w:hyperlink>
          </w:p>
          <w:p w:rsidR="00233205" w:rsidRPr="00B27B5A" w:rsidRDefault="00233205" w:rsidP="00233205">
            <w:pPr>
              <w:pStyle w:val="NoSpacing"/>
              <w:numPr>
                <w:ilvl w:val="0"/>
                <w:numId w:val="108"/>
              </w:numPr>
              <w:contextualSpacing/>
              <w:rPr>
                <w:rStyle w:val="Hyperlink"/>
                <w:rFonts w:cs="Calibri"/>
                <w:color w:val="000000"/>
                <w:sz w:val="20"/>
                <w:szCs w:val="20"/>
                <w:lang w:val="es-ES_tradnl"/>
              </w:rPr>
            </w:pPr>
            <w:r w:rsidRPr="00B27B5A">
              <w:rPr>
                <w:sz w:val="20"/>
                <w:szCs w:val="20"/>
                <w:lang w:val="es-ES_tradnl"/>
              </w:rPr>
              <w:t xml:space="preserve">Videos Rendición de Cuentas, YouTube: </w:t>
            </w:r>
            <w:hyperlink r:id="rId74" w:history="1">
              <w:r w:rsidRPr="00B27B5A">
                <w:rPr>
                  <w:rStyle w:val="Hyperlink"/>
                  <w:sz w:val="20"/>
                  <w:szCs w:val="20"/>
                  <w:lang w:val="es-ES_tradnl"/>
                </w:rPr>
                <w:t>htps://www.youtube.com/playlist?list=PLiaI7oI-849QiCVDnTKPx1rB17hv6c6HM</w:t>
              </w:r>
            </w:hyperlink>
          </w:p>
          <w:p w:rsidR="00233205" w:rsidRPr="00A52A63" w:rsidRDefault="00233205" w:rsidP="00E30BEC">
            <w:pPr>
              <w:pStyle w:val="NoSpacing"/>
              <w:ind w:left="360"/>
              <w:contextualSpacing/>
              <w:rPr>
                <w:rFonts w:cs="Calibri"/>
                <w:color w:val="000000"/>
                <w:sz w:val="14"/>
                <w:szCs w:val="20"/>
                <w:lang w:val="es-ES_tradnl"/>
              </w:rPr>
            </w:pPr>
          </w:p>
        </w:tc>
      </w:tr>
    </w:tbl>
    <w:p w:rsidR="00233205" w:rsidRDefault="00233205" w:rsidP="00233205">
      <w:pPr>
        <w:spacing w:after="0" w:line="240" w:lineRule="auto"/>
        <w:jc w:val="both"/>
        <w:rPr>
          <w:lang w:eastAsia="es-MX"/>
        </w:rPr>
      </w:pPr>
      <w:bookmarkStart w:id="55" w:name="_GoBack"/>
      <w:bookmarkEnd w:id="55"/>
    </w:p>
    <w:sectPr w:rsidR="00233205" w:rsidSect="00233205">
      <w:headerReference w:type="default" r:id="rId75"/>
      <w:footerReference w:type="even" r:id="rId76"/>
      <w:footerReference w:type="default" r:id="rId77"/>
      <w:pgSz w:w="12240" w:h="15840"/>
      <w:pgMar w:top="1418" w:right="1304" w:bottom="1304" w:left="1304" w:header="737" w:footer="73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1C4" w:rsidRDefault="001471C4" w:rsidP="0086690D">
      <w:pPr>
        <w:spacing w:after="0" w:line="240" w:lineRule="auto"/>
      </w:pPr>
      <w:r>
        <w:separator/>
      </w:r>
    </w:p>
  </w:endnote>
  <w:endnote w:type="continuationSeparator" w:id="0">
    <w:p w:rsidR="001471C4" w:rsidRDefault="001471C4" w:rsidP="0086690D">
      <w:pPr>
        <w:spacing w:after="0" w:line="240" w:lineRule="auto"/>
      </w:pPr>
      <w:r>
        <w:continuationSeparator/>
      </w:r>
    </w:p>
  </w:endnote>
  <w:endnote w:type="continuationNotice" w:id="1">
    <w:p w:rsidR="001471C4" w:rsidRDefault="001471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ple Symbols">
    <w:altName w:val="Times New Roman"/>
    <w:charset w:val="00"/>
    <w:family w:val="auto"/>
    <w:pitch w:val="variable"/>
    <w:sig w:usb0="00000000" w:usb1="08007BEB" w:usb2="01840034" w:usb3="00000000" w:csb0="000001FB"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Calibri (Títulos de tema)">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Neue">
    <w:altName w:val="Malgun Gothic"/>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1C4" w:rsidRDefault="001471C4" w:rsidP="00D173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471C4" w:rsidRDefault="001471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5774874"/>
      <w:docPartObj>
        <w:docPartGallery w:val="Page Numbers (Bottom of Page)"/>
        <w:docPartUnique/>
      </w:docPartObj>
    </w:sdtPr>
    <w:sdtEndPr>
      <w:rPr>
        <w:noProof/>
      </w:rPr>
    </w:sdtEndPr>
    <w:sdtContent>
      <w:p w:rsidR="001471C4" w:rsidRDefault="001471C4">
        <w:pPr>
          <w:pStyle w:val="Footer"/>
          <w:pBdr>
            <w:bottom w:val="single" w:sz="6" w:space="1" w:color="auto"/>
          </w:pBdr>
          <w:jc w:val="right"/>
        </w:pPr>
      </w:p>
      <w:p w:rsidR="001471C4" w:rsidRPr="001852A9" w:rsidRDefault="001471C4" w:rsidP="00D17347">
        <w:pPr>
          <w:pStyle w:val="Footer"/>
          <w:framePr w:wrap="around" w:vAnchor="text" w:hAnchor="margin" w:xAlign="center" w:y="1"/>
          <w:rPr>
            <w:rStyle w:val="PageNumber"/>
            <w:b/>
            <w:sz w:val="20"/>
          </w:rPr>
        </w:pPr>
        <w:r w:rsidRPr="001852A9">
          <w:rPr>
            <w:rStyle w:val="PageNumber"/>
            <w:b/>
            <w:sz w:val="20"/>
          </w:rPr>
          <w:fldChar w:fldCharType="begin"/>
        </w:r>
        <w:r w:rsidRPr="001852A9">
          <w:rPr>
            <w:rStyle w:val="PageNumber"/>
            <w:b/>
            <w:sz w:val="20"/>
          </w:rPr>
          <w:instrText xml:space="preserve">PAGE  </w:instrText>
        </w:r>
        <w:r w:rsidRPr="001852A9">
          <w:rPr>
            <w:rStyle w:val="PageNumber"/>
            <w:b/>
            <w:sz w:val="20"/>
          </w:rPr>
          <w:fldChar w:fldCharType="separate"/>
        </w:r>
        <w:r w:rsidR="00233205">
          <w:rPr>
            <w:rStyle w:val="PageNumber"/>
            <w:b/>
            <w:noProof/>
            <w:sz w:val="20"/>
          </w:rPr>
          <w:t>72</w:t>
        </w:r>
        <w:r w:rsidRPr="001852A9">
          <w:rPr>
            <w:rStyle w:val="PageNumber"/>
            <w:b/>
            <w:sz w:val="20"/>
          </w:rPr>
          <w:fldChar w:fldCharType="end"/>
        </w:r>
      </w:p>
      <w:p w:rsidR="001471C4" w:rsidRDefault="00233205">
        <w:pPr>
          <w:pStyle w:val="Footer"/>
          <w:jc w:val="right"/>
        </w:pPr>
      </w:p>
    </w:sdtContent>
  </w:sdt>
  <w:p w:rsidR="001471C4" w:rsidRDefault="00233205" w:rsidP="00233205">
    <w:pPr>
      <w:pStyle w:val="Footer"/>
      <w:tabs>
        <w:tab w:val="clear" w:pos="4680"/>
        <w:tab w:val="clear" w:pos="9360"/>
        <w:tab w:val="left" w:pos="2010"/>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205" w:rsidRDefault="00233205" w:rsidP="00A84B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33205" w:rsidRDefault="0023320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582171"/>
      <w:docPartObj>
        <w:docPartGallery w:val="Page Numbers (Bottom of Page)"/>
        <w:docPartUnique/>
      </w:docPartObj>
    </w:sdtPr>
    <w:sdtEndPr>
      <w:rPr>
        <w:noProof/>
      </w:rPr>
    </w:sdtEndPr>
    <w:sdtContent>
      <w:p w:rsidR="00233205" w:rsidRDefault="00233205">
        <w:pPr>
          <w:pStyle w:val="Footer"/>
          <w:pBdr>
            <w:bottom w:val="single" w:sz="6" w:space="1" w:color="auto"/>
          </w:pBdr>
          <w:jc w:val="right"/>
        </w:pPr>
      </w:p>
      <w:p w:rsidR="00233205" w:rsidRPr="00B542C1" w:rsidRDefault="00233205" w:rsidP="00B542C1">
        <w:pPr>
          <w:pStyle w:val="Footer"/>
          <w:framePr w:wrap="around" w:vAnchor="text" w:hAnchor="page" w:x="7795" w:y="47"/>
          <w:rPr>
            <w:rStyle w:val="PageNumber"/>
            <w:b/>
            <w:sz w:val="20"/>
          </w:rPr>
        </w:pPr>
        <w:r w:rsidRPr="00B542C1">
          <w:rPr>
            <w:rStyle w:val="PageNumber"/>
            <w:b/>
            <w:sz w:val="20"/>
          </w:rPr>
          <w:fldChar w:fldCharType="begin"/>
        </w:r>
        <w:r w:rsidRPr="00B542C1">
          <w:rPr>
            <w:rStyle w:val="PageNumber"/>
            <w:b/>
            <w:sz w:val="20"/>
          </w:rPr>
          <w:instrText xml:space="preserve">PAGE  </w:instrText>
        </w:r>
        <w:r w:rsidRPr="00B542C1">
          <w:rPr>
            <w:rStyle w:val="PageNumber"/>
            <w:b/>
            <w:sz w:val="20"/>
          </w:rPr>
          <w:fldChar w:fldCharType="separate"/>
        </w:r>
        <w:r>
          <w:rPr>
            <w:rStyle w:val="PageNumber"/>
            <w:b/>
            <w:noProof/>
            <w:sz w:val="20"/>
          </w:rPr>
          <w:t>22</w:t>
        </w:r>
        <w:r w:rsidRPr="00B542C1">
          <w:rPr>
            <w:rStyle w:val="PageNumber"/>
            <w:b/>
            <w:sz w:val="20"/>
          </w:rPr>
          <w:fldChar w:fldCharType="end"/>
        </w:r>
      </w:p>
      <w:p w:rsidR="00233205" w:rsidRDefault="00233205">
        <w:pPr>
          <w:pStyle w:val="Footer"/>
          <w:jc w:val="right"/>
        </w:pPr>
      </w:p>
    </w:sdtContent>
  </w:sdt>
  <w:p w:rsidR="00233205" w:rsidRDefault="0023320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F0A" w:rsidRDefault="00233205" w:rsidP="00B05F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05F0A" w:rsidRDefault="00233205">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6290910"/>
      <w:docPartObj>
        <w:docPartGallery w:val="Page Numbers (Bottom of Page)"/>
        <w:docPartUnique/>
      </w:docPartObj>
    </w:sdtPr>
    <w:sdtEndPr>
      <w:rPr>
        <w:noProof/>
      </w:rPr>
    </w:sdtEndPr>
    <w:sdtContent>
      <w:p w:rsidR="00B05F0A" w:rsidRDefault="00233205">
        <w:pPr>
          <w:pStyle w:val="Footer"/>
          <w:pBdr>
            <w:bottom w:val="single" w:sz="6" w:space="1" w:color="auto"/>
          </w:pBdr>
          <w:jc w:val="right"/>
        </w:pPr>
      </w:p>
      <w:p w:rsidR="00B05F0A" w:rsidRPr="00BD37A0" w:rsidRDefault="00233205" w:rsidP="00BD37A0">
        <w:pPr>
          <w:pStyle w:val="Footer"/>
          <w:framePr w:wrap="around" w:vAnchor="text" w:hAnchor="page" w:x="5985" w:y="62"/>
          <w:rPr>
            <w:rStyle w:val="PageNumber"/>
            <w:b/>
            <w:sz w:val="20"/>
          </w:rPr>
        </w:pPr>
        <w:r w:rsidRPr="00BD37A0">
          <w:rPr>
            <w:rStyle w:val="PageNumber"/>
            <w:b/>
            <w:sz w:val="20"/>
          </w:rPr>
          <w:fldChar w:fldCharType="begin"/>
        </w:r>
        <w:r w:rsidRPr="00BD37A0">
          <w:rPr>
            <w:rStyle w:val="PageNumber"/>
            <w:b/>
            <w:sz w:val="20"/>
          </w:rPr>
          <w:instrText xml:space="preserve">PAGE  </w:instrText>
        </w:r>
        <w:r w:rsidRPr="00BD37A0">
          <w:rPr>
            <w:rStyle w:val="PageNumber"/>
            <w:b/>
            <w:sz w:val="20"/>
          </w:rPr>
          <w:fldChar w:fldCharType="separate"/>
        </w:r>
        <w:r>
          <w:rPr>
            <w:rStyle w:val="PageNumber"/>
            <w:b/>
            <w:noProof/>
            <w:sz w:val="20"/>
          </w:rPr>
          <w:t>11</w:t>
        </w:r>
        <w:r w:rsidRPr="00BD37A0">
          <w:rPr>
            <w:rStyle w:val="PageNumber"/>
            <w:b/>
            <w:sz w:val="20"/>
          </w:rPr>
          <w:fldChar w:fldCharType="end"/>
        </w:r>
      </w:p>
      <w:p w:rsidR="00B05F0A" w:rsidRDefault="00233205">
        <w:pPr>
          <w:pStyle w:val="Footer"/>
          <w:jc w:val="right"/>
        </w:pPr>
      </w:p>
    </w:sdtContent>
  </w:sdt>
  <w:p w:rsidR="00B05F0A" w:rsidRDefault="002332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1C4" w:rsidRDefault="001471C4" w:rsidP="0086690D">
      <w:pPr>
        <w:spacing w:after="0" w:line="240" w:lineRule="auto"/>
      </w:pPr>
      <w:r>
        <w:separator/>
      </w:r>
    </w:p>
  </w:footnote>
  <w:footnote w:type="continuationSeparator" w:id="0">
    <w:p w:rsidR="001471C4" w:rsidRDefault="001471C4" w:rsidP="0086690D">
      <w:pPr>
        <w:spacing w:after="0" w:line="240" w:lineRule="auto"/>
      </w:pPr>
      <w:r>
        <w:continuationSeparator/>
      </w:r>
    </w:p>
  </w:footnote>
  <w:footnote w:type="continuationNotice" w:id="1">
    <w:p w:rsidR="001471C4" w:rsidRDefault="001471C4">
      <w:pPr>
        <w:spacing w:after="0" w:line="240" w:lineRule="auto"/>
      </w:pPr>
    </w:p>
  </w:footnote>
  <w:footnote w:id="2">
    <w:p w:rsidR="001471C4" w:rsidRPr="00E17391" w:rsidRDefault="001471C4" w:rsidP="004A77E3">
      <w:pPr>
        <w:pStyle w:val="FootnoteText"/>
        <w:jc w:val="both"/>
        <w:rPr>
          <w:sz w:val="16"/>
          <w:szCs w:val="16"/>
          <w:lang w:val="es-EC"/>
        </w:rPr>
      </w:pPr>
      <w:r w:rsidRPr="00712384">
        <w:rPr>
          <w:rStyle w:val="FootnoteReference"/>
          <w:sz w:val="18"/>
          <w:szCs w:val="18"/>
        </w:rPr>
        <w:footnoteRef/>
      </w:r>
      <w:r w:rsidRPr="00712384">
        <w:rPr>
          <w:sz w:val="18"/>
          <w:szCs w:val="18"/>
        </w:rPr>
        <w:t xml:space="preserve"> </w:t>
      </w:r>
      <w:r w:rsidRPr="00E17391">
        <w:rPr>
          <w:rFonts w:cs="Calibri"/>
          <w:bCs/>
          <w:sz w:val="16"/>
          <w:szCs w:val="16"/>
          <w:lang w:val="es-ES_tradnl"/>
        </w:rPr>
        <w:t xml:space="preserve">El puntaje está basado en los lineamientos establecidos en la </w:t>
      </w:r>
      <w:r w:rsidRPr="00E17391">
        <w:rPr>
          <w:sz w:val="16"/>
          <w:szCs w:val="16"/>
          <w:lang w:val="es-EC"/>
        </w:rPr>
        <w:t>Versión Piloto del MMD-EFS del 12 de Julio de 2013 (Pág. 32) Ver significado de los puntajes  en la sección 2, metodología de este informe.</w:t>
      </w:r>
    </w:p>
  </w:footnote>
  <w:footnote w:id="3">
    <w:p w:rsidR="001471C4" w:rsidRPr="00B4265E" w:rsidRDefault="001471C4" w:rsidP="007339A4">
      <w:pPr>
        <w:pStyle w:val="FootnoteText"/>
        <w:jc w:val="both"/>
        <w:rPr>
          <w:sz w:val="18"/>
          <w:szCs w:val="18"/>
          <w:lang w:val="es-ES_tradnl"/>
        </w:rPr>
      </w:pPr>
      <w:r w:rsidRPr="00B4265E">
        <w:rPr>
          <w:rStyle w:val="FootnoteReference"/>
          <w:sz w:val="18"/>
          <w:szCs w:val="18"/>
          <w:lang w:val="es-ES_tradnl"/>
        </w:rPr>
        <w:footnoteRef/>
      </w:r>
      <w:r w:rsidRPr="00B4265E">
        <w:rPr>
          <w:sz w:val="18"/>
          <w:szCs w:val="18"/>
          <w:lang w:val="es-ES_tradnl"/>
        </w:rPr>
        <w:t xml:space="preserve"> </w:t>
      </w:r>
      <w:r w:rsidRPr="00A06F21">
        <w:rPr>
          <w:sz w:val="16"/>
          <w:szCs w:val="16"/>
          <w:lang w:val="es-ES_tradnl"/>
        </w:rPr>
        <w:t xml:space="preserve">Las 9 auditorías restantes a las cuales no fue posible acceder corresponden a </w:t>
      </w:r>
      <w:r w:rsidRPr="00A06F21">
        <w:rPr>
          <w:rFonts w:cs="Arial"/>
          <w:color w:val="000000"/>
          <w:sz w:val="16"/>
          <w:szCs w:val="16"/>
          <w:lang w:val="es-ES_tradnl" w:eastAsia="es-GT"/>
        </w:rPr>
        <w:t>6 “actuaciones especiales” y 3 de “carácter reservado”.</w:t>
      </w:r>
    </w:p>
  </w:footnote>
  <w:footnote w:id="4">
    <w:p w:rsidR="001471C4" w:rsidRPr="001471C4" w:rsidRDefault="001471C4" w:rsidP="003C3372">
      <w:pPr>
        <w:pStyle w:val="FootnoteText"/>
        <w:jc w:val="both"/>
        <w:rPr>
          <w:sz w:val="16"/>
          <w:szCs w:val="16"/>
          <w:lang w:val="es-ES_tradnl"/>
        </w:rPr>
      </w:pPr>
      <w:r w:rsidRPr="00A06F21">
        <w:rPr>
          <w:rStyle w:val="FootnoteReference"/>
          <w:szCs w:val="18"/>
        </w:rPr>
        <w:footnoteRef/>
      </w:r>
      <w:r w:rsidRPr="00A06F21">
        <w:rPr>
          <w:szCs w:val="18"/>
          <w:lang w:val="es-MX"/>
        </w:rPr>
        <w:t xml:space="preserve"> </w:t>
      </w:r>
      <w:r w:rsidRPr="001471C4">
        <w:rPr>
          <w:sz w:val="16"/>
          <w:szCs w:val="16"/>
          <w:lang w:val="es-MX"/>
        </w:rPr>
        <w:t xml:space="preserve">Por ejemplo, el Programa 3i (Iniciativa para la Implementación de las </w:t>
      </w:r>
      <w:proofErr w:type="spellStart"/>
      <w:r w:rsidRPr="001471C4">
        <w:rPr>
          <w:sz w:val="16"/>
          <w:szCs w:val="16"/>
          <w:lang w:val="es-MX"/>
        </w:rPr>
        <w:t>ISSAIs</w:t>
      </w:r>
      <w:proofErr w:type="spellEnd"/>
      <w:r w:rsidRPr="001471C4">
        <w:rPr>
          <w:sz w:val="16"/>
          <w:szCs w:val="16"/>
          <w:lang w:val="es-MX"/>
        </w:rPr>
        <w:t>) de la Iniciativa de Desarrollo de la  INTOSAI (IDI), contempla una Herramienta para la Evaluación del Cumplimiento de las Normas Internacionales (</w:t>
      </w:r>
      <w:proofErr w:type="spellStart"/>
      <w:r w:rsidRPr="001471C4">
        <w:rPr>
          <w:sz w:val="16"/>
          <w:szCs w:val="16"/>
          <w:lang w:val="es-MX"/>
        </w:rPr>
        <w:t>iCAT</w:t>
      </w:r>
      <w:proofErr w:type="spellEnd"/>
      <w:r w:rsidRPr="001471C4">
        <w:rPr>
          <w:sz w:val="16"/>
          <w:szCs w:val="16"/>
          <w:lang w:val="es-MX"/>
        </w:rPr>
        <w:t>, por sus siglas en inglés), la cual facilita la verificación del cumplimiento a detalle en comparación con los niveles 2 y 4 del marco de las ISSAI, para la auditoría financiera, de cumplimiento y de desempeño.</w:t>
      </w:r>
    </w:p>
  </w:footnote>
  <w:footnote w:id="5">
    <w:p w:rsidR="001471C4" w:rsidRPr="001471C4" w:rsidRDefault="001471C4" w:rsidP="004A77E3">
      <w:pPr>
        <w:pStyle w:val="FootnoteText"/>
        <w:jc w:val="both"/>
        <w:rPr>
          <w:sz w:val="16"/>
          <w:szCs w:val="16"/>
          <w:lang w:val="es-ES_tradnl"/>
        </w:rPr>
      </w:pPr>
      <w:r w:rsidRPr="001471C4">
        <w:rPr>
          <w:rStyle w:val="FootnoteReference"/>
          <w:sz w:val="16"/>
          <w:szCs w:val="16"/>
          <w:lang w:val="es-ES_tradnl"/>
        </w:rPr>
        <w:footnoteRef/>
      </w:r>
      <w:r w:rsidRPr="001471C4">
        <w:rPr>
          <w:sz w:val="16"/>
          <w:szCs w:val="16"/>
          <w:lang w:val="es-ES_tradnl"/>
        </w:rPr>
        <w:t xml:space="preserve"> Artículo 241 de la Constitución Nacional (CN)</w:t>
      </w:r>
    </w:p>
  </w:footnote>
  <w:footnote w:id="6">
    <w:p w:rsidR="001471C4" w:rsidRPr="001471C4" w:rsidRDefault="001471C4" w:rsidP="00903FB4">
      <w:pPr>
        <w:pStyle w:val="FootnoteText"/>
        <w:jc w:val="both"/>
        <w:rPr>
          <w:sz w:val="16"/>
          <w:szCs w:val="16"/>
          <w:lang w:val="es-ES_tradnl"/>
        </w:rPr>
      </w:pPr>
      <w:r w:rsidRPr="001471C4">
        <w:rPr>
          <w:rStyle w:val="FootnoteReference"/>
          <w:sz w:val="16"/>
          <w:szCs w:val="16"/>
          <w:lang w:val="es-ES_tradnl"/>
        </w:rPr>
        <w:footnoteRef/>
      </w:r>
      <w:r w:rsidRPr="001471C4">
        <w:rPr>
          <w:sz w:val="16"/>
          <w:szCs w:val="16"/>
          <w:lang w:val="es-ES_tradnl"/>
        </w:rPr>
        <w:t xml:space="preserve"> </w:t>
      </w:r>
      <w:hyperlink r:id="rId1" w:history="1">
        <w:r w:rsidRPr="001471C4">
          <w:rPr>
            <w:rStyle w:val="Hyperlink"/>
            <w:sz w:val="16"/>
            <w:szCs w:val="16"/>
            <w:lang w:val="es-ES_tradnl"/>
          </w:rPr>
          <w:t>http://www.contraloriagen.gov.co/web/guest/estructura-del-estado</w:t>
        </w:r>
      </w:hyperlink>
      <w:r w:rsidRPr="001471C4">
        <w:rPr>
          <w:sz w:val="16"/>
          <w:szCs w:val="16"/>
          <w:lang w:val="es-ES_tradnl"/>
        </w:rPr>
        <w:t xml:space="preserve"> </w:t>
      </w:r>
    </w:p>
  </w:footnote>
  <w:footnote w:id="7">
    <w:p w:rsidR="001471C4" w:rsidRPr="001471C4" w:rsidRDefault="001471C4" w:rsidP="004A77E3">
      <w:pPr>
        <w:pStyle w:val="FootnoteText"/>
        <w:jc w:val="both"/>
        <w:rPr>
          <w:sz w:val="16"/>
          <w:szCs w:val="16"/>
          <w:lang w:val="es-ES_tradnl"/>
        </w:rPr>
      </w:pPr>
      <w:r w:rsidRPr="001471C4">
        <w:rPr>
          <w:rStyle w:val="FootnoteReference"/>
          <w:sz w:val="16"/>
          <w:szCs w:val="16"/>
          <w:lang w:val="es-ES_tradnl"/>
        </w:rPr>
        <w:footnoteRef/>
      </w:r>
      <w:r w:rsidRPr="001471C4">
        <w:rPr>
          <w:sz w:val="16"/>
          <w:szCs w:val="16"/>
          <w:lang w:val="es-ES_tradnl"/>
        </w:rPr>
        <w:t xml:space="preserve"> Artículo 267 de la </w:t>
      </w:r>
      <w:r w:rsidRPr="001471C4">
        <w:rPr>
          <w:noProof/>
          <w:sz w:val="16"/>
          <w:szCs w:val="16"/>
          <w:lang w:val="es-ES_tradnl"/>
        </w:rPr>
        <w:t xml:space="preserve"> CN </w:t>
      </w:r>
    </w:p>
  </w:footnote>
  <w:footnote w:id="8">
    <w:p w:rsidR="001471C4" w:rsidRPr="001471C4" w:rsidRDefault="001471C4" w:rsidP="004A77E3">
      <w:pPr>
        <w:pStyle w:val="FootnoteText"/>
        <w:jc w:val="both"/>
        <w:rPr>
          <w:sz w:val="16"/>
          <w:szCs w:val="16"/>
          <w:lang w:val="es-ES_tradnl"/>
        </w:rPr>
      </w:pPr>
      <w:r w:rsidRPr="001471C4">
        <w:rPr>
          <w:rStyle w:val="FootnoteReference"/>
          <w:sz w:val="16"/>
          <w:szCs w:val="16"/>
          <w:lang w:val="es-ES_tradnl"/>
        </w:rPr>
        <w:footnoteRef/>
      </w:r>
      <w:r w:rsidRPr="001471C4">
        <w:rPr>
          <w:sz w:val="16"/>
          <w:szCs w:val="16"/>
          <w:lang w:val="es-ES_tradnl"/>
        </w:rPr>
        <w:t xml:space="preserve"> Artículo 241 de la CN</w:t>
      </w:r>
    </w:p>
  </w:footnote>
  <w:footnote w:id="9">
    <w:p w:rsidR="001471C4" w:rsidRPr="001471C4" w:rsidRDefault="001471C4" w:rsidP="00C318A6">
      <w:pPr>
        <w:pStyle w:val="FootnoteText"/>
        <w:jc w:val="both"/>
        <w:rPr>
          <w:sz w:val="16"/>
          <w:szCs w:val="16"/>
          <w:lang w:val="es-ES_tradnl"/>
        </w:rPr>
      </w:pPr>
      <w:r w:rsidRPr="001471C4">
        <w:rPr>
          <w:rStyle w:val="FootnoteReference"/>
          <w:sz w:val="16"/>
          <w:szCs w:val="16"/>
          <w:lang w:val="es-ES_tradnl"/>
        </w:rPr>
        <w:footnoteRef/>
      </w:r>
      <w:r w:rsidRPr="001471C4">
        <w:rPr>
          <w:sz w:val="16"/>
          <w:szCs w:val="16"/>
          <w:lang w:val="es-ES_tradnl"/>
        </w:rPr>
        <w:t xml:space="preserve"> </w:t>
      </w:r>
      <w:hyperlink r:id="rId2" w:history="1">
        <w:r w:rsidRPr="001471C4">
          <w:rPr>
            <w:rStyle w:val="Hyperlink"/>
            <w:sz w:val="16"/>
            <w:szCs w:val="16"/>
            <w:lang w:val="es-ES_tradnl"/>
          </w:rPr>
          <w:t>http://www.auditoria.gov.co/Objetivos-Y-funciones</w:t>
        </w:r>
      </w:hyperlink>
      <w:r w:rsidRPr="001471C4">
        <w:rPr>
          <w:sz w:val="16"/>
          <w:szCs w:val="16"/>
          <w:lang w:val="es-ES_tradnl"/>
        </w:rPr>
        <w:t xml:space="preserve"> </w:t>
      </w:r>
    </w:p>
  </w:footnote>
  <w:footnote w:id="10">
    <w:p w:rsidR="001471C4" w:rsidRPr="001471C4" w:rsidRDefault="001471C4" w:rsidP="005F49AC">
      <w:pPr>
        <w:pStyle w:val="FootnoteText"/>
        <w:jc w:val="both"/>
        <w:rPr>
          <w:sz w:val="16"/>
          <w:szCs w:val="16"/>
          <w:lang w:val="es-ES_tradnl"/>
        </w:rPr>
      </w:pPr>
      <w:r w:rsidRPr="001471C4">
        <w:rPr>
          <w:rStyle w:val="FootnoteReference"/>
          <w:sz w:val="16"/>
          <w:szCs w:val="16"/>
          <w:lang w:val="es-ES_tradnl"/>
        </w:rPr>
        <w:footnoteRef/>
      </w:r>
      <w:r w:rsidRPr="001471C4">
        <w:rPr>
          <w:sz w:val="16"/>
          <w:szCs w:val="16"/>
          <w:lang w:val="es-ES_tradnl"/>
        </w:rPr>
        <w:t xml:space="preserve"> </w:t>
      </w:r>
      <w:hyperlink r:id="rId3" w:history="1">
        <w:r w:rsidRPr="001471C4">
          <w:rPr>
            <w:rStyle w:val="Hyperlink"/>
            <w:sz w:val="16"/>
            <w:szCs w:val="16"/>
            <w:lang w:val="es-ES_tradnl"/>
          </w:rPr>
          <w:t>http://bit.ly/fallocorteCGRC</w:t>
        </w:r>
      </w:hyperlink>
      <w:r w:rsidRPr="001471C4">
        <w:rPr>
          <w:sz w:val="16"/>
          <w:szCs w:val="16"/>
          <w:lang w:val="es-ES_tradnl"/>
        </w:rPr>
        <w:t xml:space="preserve"> </w:t>
      </w:r>
    </w:p>
  </w:footnote>
  <w:footnote w:id="11">
    <w:p w:rsidR="001471C4" w:rsidRPr="001471C4" w:rsidRDefault="001471C4" w:rsidP="005429A6">
      <w:pPr>
        <w:pStyle w:val="FootnoteText"/>
        <w:rPr>
          <w:sz w:val="16"/>
          <w:szCs w:val="16"/>
        </w:rPr>
      </w:pPr>
      <w:r w:rsidRPr="001471C4">
        <w:rPr>
          <w:rStyle w:val="FootnoteReference"/>
          <w:sz w:val="16"/>
          <w:szCs w:val="16"/>
        </w:rPr>
        <w:footnoteRef/>
      </w:r>
      <w:r w:rsidRPr="001471C4">
        <w:rPr>
          <w:sz w:val="16"/>
          <w:szCs w:val="16"/>
        </w:rPr>
        <w:t xml:space="preserve"> </w:t>
      </w:r>
      <w:hyperlink r:id="rId4" w:history="1">
        <w:r w:rsidRPr="001471C4">
          <w:rPr>
            <w:rStyle w:val="Hyperlink"/>
            <w:sz w:val="16"/>
            <w:szCs w:val="16"/>
          </w:rPr>
          <w:t>http://www.contraloriagen.gov.co/web/guest/organigrama</w:t>
        </w:r>
      </w:hyperlink>
      <w:r w:rsidRPr="001471C4">
        <w:rPr>
          <w:sz w:val="16"/>
          <w:szCs w:val="16"/>
        </w:rPr>
        <w:t xml:space="preserve"> </w:t>
      </w:r>
    </w:p>
  </w:footnote>
  <w:footnote w:id="12">
    <w:p w:rsidR="001471C4" w:rsidRPr="001471C4" w:rsidRDefault="001471C4" w:rsidP="005429A6">
      <w:pPr>
        <w:pStyle w:val="FootnoteText"/>
        <w:rPr>
          <w:sz w:val="16"/>
          <w:szCs w:val="16"/>
        </w:rPr>
      </w:pPr>
      <w:r w:rsidRPr="001471C4">
        <w:rPr>
          <w:rStyle w:val="FootnoteReference"/>
          <w:sz w:val="16"/>
          <w:szCs w:val="16"/>
        </w:rPr>
        <w:footnoteRef/>
      </w:r>
      <w:r w:rsidRPr="001471C4">
        <w:rPr>
          <w:sz w:val="16"/>
          <w:szCs w:val="16"/>
        </w:rPr>
        <w:t xml:space="preserve"> </w:t>
      </w:r>
      <w:hyperlink r:id="rId5" w:history="1">
        <w:r w:rsidRPr="001471C4">
          <w:rPr>
            <w:rStyle w:val="Hyperlink"/>
            <w:sz w:val="16"/>
            <w:szCs w:val="16"/>
          </w:rPr>
          <w:t>http://www.icbf.gov.co/cargues/avance/docs/resolucion_Contraloria_0009_2014.htm</w:t>
        </w:r>
      </w:hyperlink>
      <w:r w:rsidRPr="001471C4">
        <w:rPr>
          <w:sz w:val="16"/>
          <w:szCs w:val="16"/>
        </w:rPr>
        <w:t xml:space="preserve">  </w:t>
      </w:r>
    </w:p>
  </w:footnote>
  <w:footnote w:id="13">
    <w:p w:rsidR="001471C4" w:rsidRPr="001471C4" w:rsidRDefault="001471C4" w:rsidP="009826C0">
      <w:pPr>
        <w:pStyle w:val="FootnoteText"/>
        <w:jc w:val="both"/>
        <w:rPr>
          <w:sz w:val="16"/>
          <w:szCs w:val="16"/>
        </w:rPr>
      </w:pPr>
      <w:r w:rsidRPr="001471C4">
        <w:rPr>
          <w:rStyle w:val="FootnoteReference"/>
          <w:sz w:val="16"/>
          <w:szCs w:val="16"/>
        </w:rPr>
        <w:footnoteRef/>
      </w:r>
      <w:r w:rsidRPr="001471C4">
        <w:rPr>
          <w:sz w:val="16"/>
          <w:szCs w:val="16"/>
        </w:rPr>
        <w:t xml:space="preserve"> </w:t>
      </w:r>
      <w:r w:rsidRPr="001471C4">
        <w:rPr>
          <w:sz w:val="16"/>
          <w:szCs w:val="16"/>
          <w:lang w:val="es-EC"/>
        </w:rPr>
        <w:t>Para ver detalle de las Normas y Metodología de Auditoría consultar el Dominio D de este informe.</w:t>
      </w:r>
    </w:p>
  </w:footnote>
  <w:footnote w:id="14">
    <w:p w:rsidR="001471C4" w:rsidRPr="001471C4" w:rsidRDefault="001471C4" w:rsidP="00FB1954">
      <w:pPr>
        <w:pStyle w:val="Normaltabletext"/>
        <w:spacing w:after="0"/>
        <w:rPr>
          <w:sz w:val="16"/>
          <w:szCs w:val="16"/>
          <w:lang w:val="es-EC"/>
        </w:rPr>
      </w:pPr>
      <w:r w:rsidRPr="001471C4">
        <w:rPr>
          <w:rStyle w:val="FootnoteReference"/>
          <w:sz w:val="16"/>
          <w:szCs w:val="16"/>
        </w:rPr>
        <w:footnoteRef/>
      </w:r>
      <w:r w:rsidRPr="001471C4">
        <w:rPr>
          <w:sz w:val="16"/>
          <w:szCs w:val="16"/>
          <w:lang w:val="es-EC"/>
        </w:rPr>
        <w:t xml:space="preserve"> Las “Entidades Principales” son todos aquellos organismos de naturaleza jurídica exclusivamente pública del nivel nacional, sobre los cuales tiene competencia la Contraloría General de la República y que cuentan con algunas de las siguientes características: 1) Son una sección del Presupuesto General de la Nación o una persona jurídica pública del Orden Nacional; y 2) Cuentan con un código de entidad en la Contaduría y por tanto están obligadas a presentar Estados Contables</w:t>
      </w:r>
    </w:p>
  </w:footnote>
  <w:footnote w:id="15">
    <w:p w:rsidR="001471C4" w:rsidRPr="001471C4" w:rsidRDefault="001471C4" w:rsidP="00FB1954">
      <w:pPr>
        <w:pStyle w:val="FootnoteText"/>
        <w:jc w:val="both"/>
        <w:rPr>
          <w:sz w:val="16"/>
          <w:szCs w:val="16"/>
        </w:rPr>
      </w:pPr>
      <w:r w:rsidRPr="001471C4">
        <w:rPr>
          <w:rStyle w:val="FootnoteReference"/>
          <w:sz w:val="16"/>
          <w:szCs w:val="16"/>
        </w:rPr>
        <w:footnoteRef/>
      </w:r>
      <w:r w:rsidRPr="001471C4">
        <w:rPr>
          <w:sz w:val="16"/>
          <w:szCs w:val="16"/>
        </w:rPr>
        <w:t xml:space="preserve"> </w:t>
      </w:r>
      <w:r w:rsidRPr="001471C4">
        <w:rPr>
          <w:sz w:val="16"/>
          <w:szCs w:val="16"/>
          <w:lang w:val="es-CO"/>
        </w:rPr>
        <w:t xml:space="preserve">SIRECI: </w:t>
      </w:r>
      <w:hyperlink r:id="rId6" w:history="1">
        <w:r w:rsidRPr="001471C4">
          <w:rPr>
            <w:rStyle w:val="Hyperlink"/>
            <w:sz w:val="16"/>
            <w:szCs w:val="16"/>
            <w:lang w:val="es-CO"/>
          </w:rPr>
          <w:t>http://www.contraloriagen.gov.co/web/sireci/inicio</w:t>
        </w:r>
      </w:hyperlink>
    </w:p>
  </w:footnote>
  <w:footnote w:id="16">
    <w:p w:rsidR="001471C4" w:rsidRPr="001471C4" w:rsidRDefault="001471C4" w:rsidP="00B4265E">
      <w:pPr>
        <w:pStyle w:val="FootnoteText"/>
        <w:jc w:val="both"/>
        <w:rPr>
          <w:rStyle w:val="FootnoteReference"/>
          <w:rFonts w:asciiTheme="minorHAnsi" w:hAnsiTheme="minorHAnsi"/>
          <w:sz w:val="16"/>
          <w:szCs w:val="16"/>
        </w:rPr>
      </w:pPr>
      <w:r w:rsidRPr="001471C4">
        <w:rPr>
          <w:rStyle w:val="FootnoteReference"/>
          <w:rFonts w:asciiTheme="minorHAnsi" w:hAnsiTheme="minorHAnsi"/>
          <w:sz w:val="16"/>
          <w:szCs w:val="16"/>
        </w:rPr>
        <w:footnoteRef/>
      </w:r>
      <w:r w:rsidRPr="001471C4">
        <w:rPr>
          <w:rStyle w:val="FootnoteReference"/>
          <w:rFonts w:asciiTheme="minorHAnsi" w:hAnsiTheme="minorHAnsi"/>
          <w:sz w:val="16"/>
          <w:szCs w:val="16"/>
        </w:rPr>
        <w:t xml:space="preserve"> </w:t>
      </w:r>
      <w:r w:rsidRPr="001471C4">
        <w:rPr>
          <w:sz w:val="16"/>
          <w:szCs w:val="16"/>
          <w:lang w:val="es-EC"/>
        </w:rPr>
        <w:t>Ley 42 de 1993 y  Ley 267 de 2000</w:t>
      </w:r>
    </w:p>
  </w:footnote>
  <w:footnote w:id="17">
    <w:p w:rsidR="001471C4" w:rsidRPr="001471C4" w:rsidRDefault="001471C4" w:rsidP="00B4265E">
      <w:pPr>
        <w:pStyle w:val="FootnoteText"/>
        <w:jc w:val="both"/>
        <w:rPr>
          <w:rStyle w:val="FootnoteReference"/>
          <w:rFonts w:asciiTheme="minorHAnsi" w:hAnsiTheme="minorHAnsi"/>
          <w:sz w:val="16"/>
          <w:szCs w:val="16"/>
        </w:rPr>
      </w:pPr>
      <w:r w:rsidRPr="001471C4">
        <w:rPr>
          <w:rStyle w:val="FootnoteReference"/>
          <w:rFonts w:asciiTheme="minorHAnsi" w:hAnsiTheme="minorHAnsi"/>
          <w:sz w:val="16"/>
          <w:szCs w:val="16"/>
        </w:rPr>
        <w:footnoteRef/>
      </w:r>
      <w:r w:rsidRPr="001471C4">
        <w:rPr>
          <w:rStyle w:val="FootnoteReference"/>
          <w:rFonts w:asciiTheme="minorHAnsi" w:hAnsiTheme="minorHAnsi"/>
          <w:sz w:val="16"/>
          <w:szCs w:val="16"/>
        </w:rPr>
        <w:t xml:space="preserve"> </w:t>
      </w:r>
      <w:r w:rsidRPr="001471C4">
        <w:rPr>
          <w:sz w:val="16"/>
          <w:szCs w:val="16"/>
          <w:lang w:val="es-EC"/>
        </w:rPr>
        <w:t xml:space="preserve">Equipo especializado responsable de llevar a cabo la </w:t>
      </w:r>
      <w:r w:rsidRPr="001471C4">
        <w:rPr>
          <w:sz w:val="16"/>
          <w:szCs w:val="16"/>
          <w:lang w:val="es-ES_tradnl"/>
        </w:rPr>
        <w:t>auditoría</w:t>
      </w:r>
    </w:p>
  </w:footnote>
  <w:footnote w:id="18">
    <w:p w:rsidR="001471C4" w:rsidRPr="001471C4" w:rsidRDefault="001471C4" w:rsidP="001D5594">
      <w:pPr>
        <w:pStyle w:val="FootnoteText"/>
        <w:jc w:val="both"/>
        <w:rPr>
          <w:sz w:val="16"/>
          <w:szCs w:val="16"/>
        </w:rPr>
      </w:pPr>
      <w:r w:rsidRPr="001471C4">
        <w:rPr>
          <w:rStyle w:val="FootnoteReference"/>
          <w:sz w:val="16"/>
          <w:szCs w:val="16"/>
        </w:rPr>
        <w:footnoteRef/>
      </w:r>
      <w:r w:rsidRPr="001471C4">
        <w:rPr>
          <w:sz w:val="16"/>
          <w:szCs w:val="16"/>
        </w:rPr>
        <w:t xml:space="preserve"> </w:t>
      </w:r>
      <w:r w:rsidRPr="001471C4">
        <w:rPr>
          <w:sz w:val="16"/>
          <w:szCs w:val="16"/>
          <w:lang w:val="es-EC"/>
        </w:rPr>
        <w:t>El total planificado incluyó: 313 auditorías integrales, 82 revisiones de regalías y 21 revisiones de política pública. Las revisiones de regalías y política pública tienen un enfoque de cumplimiento y desempeño, solamente.</w:t>
      </w:r>
    </w:p>
  </w:footnote>
  <w:footnote w:id="19">
    <w:p w:rsidR="001471C4" w:rsidRPr="001471C4" w:rsidRDefault="001471C4" w:rsidP="004255A8">
      <w:pPr>
        <w:pStyle w:val="FootnoteText"/>
        <w:rPr>
          <w:sz w:val="16"/>
          <w:szCs w:val="16"/>
        </w:rPr>
      </w:pPr>
      <w:r w:rsidRPr="001471C4">
        <w:rPr>
          <w:rStyle w:val="FootnoteReference"/>
          <w:sz w:val="16"/>
          <w:szCs w:val="16"/>
        </w:rPr>
        <w:footnoteRef/>
      </w:r>
      <w:r w:rsidRPr="001471C4">
        <w:rPr>
          <w:rStyle w:val="FootnoteReference"/>
          <w:sz w:val="16"/>
          <w:szCs w:val="16"/>
        </w:rPr>
        <w:t xml:space="preserve"> </w:t>
      </w:r>
      <w:r w:rsidRPr="001471C4">
        <w:rPr>
          <w:sz w:val="16"/>
          <w:szCs w:val="16"/>
          <w:lang w:val="es-EC"/>
        </w:rPr>
        <w:t xml:space="preserve">Aquellas que pudieran contener información que afecte la seguridad nacional. La muestra de auditorías reservadas no incluyo </w:t>
      </w:r>
      <w:r w:rsidRPr="001471C4">
        <w:rPr>
          <w:sz w:val="16"/>
          <w:szCs w:val="16"/>
          <w:lang w:val="es-ES_tradnl"/>
        </w:rPr>
        <w:t>auditorías</w:t>
      </w:r>
      <w:r w:rsidRPr="001471C4">
        <w:rPr>
          <w:sz w:val="16"/>
          <w:szCs w:val="16"/>
          <w:lang w:val="es-EC"/>
        </w:rPr>
        <w:t xml:space="preserve"> financieras.</w:t>
      </w:r>
    </w:p>
  </w:footnote>
  <w:footnote w:id="20">
    <w:p w:rsidR="001471C4" w:rsidRPr="001471C4" w:rsidRDefault="001471C4" w:rsidP="007F2E5A">
      <w:pPr>
        <w:pStyle w:val="FootnoteText"/>
        <w:rPr>
          <w:sz w:val="16"/>
          <w:szCs w:val="16"/>
        </w:rPr>
      </w:pPr>
      <w:r w:rsidRPr="001471C4">
        <w:rPr>
          <w:rStyle w:val="FootnoteReference"/>
          <w:sz w:val="16"/>
          <w:szCs w:val="16"/>
        </w:rPr>
        <w:footnoteRef/>
      </w:r>
      <w:r w:rsidRPr="001471C4">
        <w:rPr>
          <w:sz w:val="16"/>
          <w:szCs w:val="16"/>
        </w:rPr>
        <w:t xml:space="preserve"> </w:t>
      </w:r>
      <w:r w:rsidRPr="001471C4">
        <w:rPr>
          <w:sz w:val="16"/>
          <w:szCs w:val="16"/>
          <w:lang w:val="es-CO"/>
        </w:rPr>
        <w:t>Conocida</w:t>
      </w:r>
      <w:r w:rsidRPr="001471C4">
        <w:rPr>
          <w:sz w:val="16"/>
          <w:szCs w:val="16"/>
          <w:lang w:val="es-EC"/>
        </w:rPr>
        <w:t xml:space="preserve"> como auditoría de gestión dentro de la herramienta SICA.</w:t>
      </w:r>
    </w:p>
  </w:footnote>
  <w:footnote w:id="21">
    <w:p w:rsidR="001471C4" w:rsidRPr="001471C4" w:rsidRDefault="001471C4" w:rsidP="00B4265E">
      <w:pPr>
        <w:pStyle w:val="FootnoteText"/>
        <w:jc w:val="both"/>
        <w:rPr>
          <w:sz w:val="16"/>
          <w:szCs w:val="16"/>
        </w:rPr>
      </w:pPr>
      <w:r w:rsidRPr="001471C4">
        <w:rPr>
          <w:rStyle w:val="FootnoteReference"/>
          <w:sz w:val="16"/>
          <w:szCs w:val="16"/>
        </w:rPr>
        <w:footnoteRef/>
      </w:r>
      <w:hyperlink r:id="rId7" w:history="1">
        <w:r w:rsidRPr="001471C4">
          <w:rPr>
            <w:rStyle w:val="Hyperlink"/>
            <w:sz w:val="16"/>
            <w:szCs w:val="16"/>
          </w:rPr>
          <w:t>http://www.contraloriagen.gov.co/documents/10136/21259937/Informe+de+Gesti%C3%B3n+2010+-2014/ed46e2ad-be03-4c65-9c5d-3b00d9e27611?version=1.0</w:t>
        </w:r>
      </w:hyperlink>
      <w:r w:rsidRPr="001471C4">
        <w:rPr>
          <w:sz w:val="16"/>
          <w:szCs w:val="16"/>
        </w:rPr>
        <w:t xml:space="preserve"> </w:t>
      </w:r>
    </w:p>
  </w:footnote>
  <w:footnote w:id="22">
    <w:p w:rsidR="001471C4" w:rsidRPr="001471C4" w:rsidRDefault="001471C4" w:rsidP="00FD000E">
      <w:pPr>
        <w:pStyle w:val="FootnoteText"/>
        <w:jc w:val="both"/>
        <w:rPr>
          <w:sz w:val="16"/>
          <w:szCs w:val="16"/>
        </w:rPr>
      </w:pPr>
      <w:r w:rsidRPr="001471C4">
        <w:rPr>
          <w:rStyle w:val="FootnoteReference"/>
          <w:sz w:val="16"/>
          <w:szCs w:val="16"/>
        </w:rPr>
        <w:footnoteRef/>
      </w:r>
      <w:r w:rsidRPr="001471C4">
        <w:rPr>
          <w:sz w:val="16"/>
          <w:szCs w:val="16"/>
        </w:rPr>
        <w:t xml:space="preserve"> </w:t>
      </w:r>
      <w:r w:rsidRPr="001471C4">
        <w:rPr>
          <w:sz w:val="16"/>
          <w:szCs w:val="16"/>
          <w:lang w:val="es-EC"/>
        </w:rPr>
        <w:t>Auditoría del Balance General de la Nación,  Auditoría de la Deuda Pública, Auditoría de la Situación de las Finanzas de la Nación, Informe anual sobre el estado de los recursos naturales y del medio ambiente, Informe sobre la calidad y eficiencia del sistema de control interno, e Informe de cuenta general del Presupuesto y el Tesoro</w:t>
      </w:r>
    </w:p>
  </w:footnote>
  <w:footnote w:id="23">
    <w:p w:rsidR="001471C4" w:rsidRPr="001471C4" w:rsidRDefault="001471C4" w:rsidP="00B4265E">
      <w:pPr>
        <w:pStyle w:val="FootnoteText"/>
        <w:jc w:val="both"/>
        <w:rPr>
          <w:sz w:val="16"/>
          <w:szCs w:val="16"/>
        </w:rPr>
      </w:pPr>
      <w:r w:rsidRPr="001471C4">
        <w:rPr>
          <w:rStyle w:val="FootnoteReference"/>
          <w:sz w:val="16"/>
          <w:szCs w:val="16"/>
        </w:rPr>
        <w:footnoteRef/>
      </w:r>
      <w:r w:rsidRPr="001471C4">
        <w:rPr>
          <w:sz w:val="16"/>
          <w:szCs w:val="16"/>
        </w:rPr>
        <w:t xml:space="preserve"> </w:t>
      </w:r>
      <w:hyperlink r:id="rId8" w:history="1">
        <w:r w:rsidRPr="001471C4">
          <w:rPr>
            <w:rStyle w:val="Hyperlink"/>
            <w:sz w:val="16"/>
            <w:szCs w:val="16"/>
          </w:rPr>
          <w:t>http://www.auditoria.gov.co/Objetivos-Y-funciones</w:t>
        </w:r>
      </w:hyperlink>
      <w:r w:rsidRPr="001471C4">
        <w:rPr>
          <w:sz w:val="16"/>
          <w:szCs w:val="16"/>
        </w:rPr>
        <w:t xml:space="preserve"> </w:t>
      </w:r>
    </w:p>
  </w:footnote>
  <w:footnote w:id="24">
    <w:p w:rsidR="001471C4" w:rsidRPr="007F19FA" w:rsidRDefault="001471C4" w:rsidP="00314D85">
      <w:pPr>
        <w:pStyle w:val="FootnoteText"/>
        <w:jc w:val="both"/>
        <w:rPr>
          <w:sz w:val="16"/>
          <w:szCs w:val="16"/>
        </w:rPr>
      </w:pPr>
      <w:r w:rsidRPr="007F19FA">
        <w:rPr>
          <w:rStyle w:val="FootnoteReference"/>
          <w:sz w:val="16"/>
          <w:szCs w:val="16"/>
        </w:rPr>
        <w:footnoteRef/>
      </w:r>
      <w:r w:rsidRPr="007F19FA">
        <w:rPr>
          <w:sz w:val="16"/>
          <w:szCs w:val="16"/>
        </w:rPr>
        <w:t xml:space="preserve"> </w:t>
      </w:r>
      <w:r w:rsidRPr="007F19FA">
        <w:rPr>
          <w:sz w:val="16"/>
          <w:szCs w:val="16"/>
          <w:lang w:val="es-EC"/>
        </w:rPr>
        <w:t>Si un criterio dentro de una dimensión se calificase No Aplica (NA) o Sin Calificación (SC), debe considerarse al criterio como satisfecho al contabilizar en una lista el número de criterios satisfechos. SAI PMF versión Piloto, pg. 36</w:t>
      </w:r>
    </w:p>
  </w:footnote>
  <w:footnote w:id="25">
    <w:p w:rsidR="001471C4" w:rsidRPr="001471C4" w:rsidRDefault="001471C4" w:rsidP="004F3599">
      <w:pPr>
        <w:pStyle w:val="FootnoteText"/>
        <w:jc w:val="both"/>
        <w:rPr>
          <w:sz w:val="16"/>
          <w:szCs w:val="16"/>
        </w:rPr>
      </w:pPr>
      <w:r w:rsidRPr="001471C4">
        <w:rPr>
          <w:rStyle w:val="FootnoteReference"/>
          <w:sz w:val="16"/>
          <w:szCs w:val="16"/>
        </w:rPr>
        <w:footnoteRef/>
      </w:r>
      <w:r w:rsidRPr="001471C4">
        <w:rPr>
          <w:sz w:val="16"/>
          <w:szCs w:val="16"/>
        </w:rPr>
        <w:t xml:space="preserve"> </w:t>
      </w:r>
      <w:hyperlink r:id="rId9" w:history="1">
        <w:r w:rsidRPr="001471C4">
          <w:rPr>
            <w:rStyle w:val="Hyperlink"/>
            <w:sz w:val="16"/>
            <w:szCs w:val="16"/>
          </w:rPr>
          <w:t>http://bit.ly/fallocorteCGRC</w:t>
        </w:r>
      </w:hyperlink>
      <w:r w:rsidRPr="001471C4">
        <w:rPr>
          <w:sz w:val="16"/>
          <w:szCs w:val="16"/>
        </w:rPr>
        <w:t xml:space="preserve"> </w:t>
      </w:r>
    </w:p>
  </w:footnote>
  <w:footnote w:id="26">
    <w:p w:rsidR="001471C4" w:rsidRPr="00EA1355" w:rsidRDefault="001471C4" w:rsidP="00A54788">
      <w:pPr>
        <w:pStyle w:val="FootnoteText"/>
        <w:rPr>
          <w:sz w:val="16"/>
          <w:szCs w:val="16"/>
        </w:rPr>
      </w:pPr>
      <w:r w:rsidRPr="00EA1355">
        <w:rPr>
          <w:rStyle w:val="FootnoteReference"/>
          <w:sz w:val="16"/>
          <w:szCs w:val="16"/>
        </w:rPr>
        <w:footnoteRef/>
      </w:r>
      <w:r w:rsidRPr="00EA1355">
        <w:rPr>
          <w:sz w:val="16"/>
          <w:szCs w:val="16"/>
        </w:rPr>
        <w:t xml:space="preserve"> </w:t>
      </w:r>
      <w:hyperlink r:id="rId10" w:history="1">
        <w:r w:rsidRPr="00EA1355">
          <w:rPr>
            <w:rStyle w:val="Hyperlink"/>
            <w:sz w:val="16"/>
            <w:szCs w:val="16"/>
          </w:rPr>
          <w:t>http://www.contraloriagen.gov.co/web/guest/estructura-del-estado</w:t>
        </w:r>
      </w:hyperlink>
      <w:r w:rsidRPr="00EA1355">
        <w:rPr>
          <w:sz w:val="16"/>
          <w:szCs w:val="16"/>
        </w:rPr>
        <w:t xml:space="preserve"> </w:t>
      </w:r>
    </w:p>
  </w:footnote>
  <w:footnote w:id="27">
    <w:p w:rsidR="001471C4" w:rsidRPr="00EA1355" w:rsidRDefault="001471C4" w:rsidP="00A54788">
      <w:pPr>
        <w:pStyle w:val="FootnoteText"/>
        <w:rPr>
          <w:sz w:val="16"/>
          <w:szCs w:val="16"/>
        </w:rPr>
      </w:pPr>
      <w:r w:rsidRPr="00EA1355">
        <w:rPr>
          <w:rStyle w:val="FootnoteReference"/>
          <w:sz w:val="16"/>
          <w:szCs w:val="16"/>
        </w:rPr>
        <w:footnoteRef/>
      </w:r>
      <w:r w:rsidRPr="00EA1355">
        <w:rPr>
          <w:sz w:val="16"/>
          <w:szCs w:val="16"/>
        </w:rPr>
        <w:t xml:space="preserve"> </w:t>
      </w:r>
      <w:hyperlink r:id="rId11" w:history="1">
        <w:r w:rsidRPr="00EA1355">
          <w:rPr>
            <w:rStyle w:val="Hyperlink"/>
            <w:sz w:val="16"/>
            <w:szCs w:val="16"/>
          </w:rPr>
          <w:t>http://www.contraloriagen.gov.co/web/guest/organigrama</w:t>
        </w:r>
      </w:hyperlink>
      <w:r w:rsidRPr="00EA1355">
        <w:rPr>
          <w:sz w:val="16"/>
          <w:szCs w:val="16"/>
        </w:rPr>
        <w:t xml:space="preserve"> </w:t>
      </w:r>
    </w:p>
  </w:footnote>
  <w:footnote w:id="28">
    <w:p w:rsidR="001471C4" w:rsidRPr="00EA1355" w:rsidRDefault="001471C4" w:rsidP="005561D8">
      <w:pPr>
        <w:widowControl/>
        <w:autoSpaceDE w:val="0"/>
        <w:autoSpaceDN w:val="0"/>
        <w:adjustRightInd w:val="0"/>
        <w:spacing w:after="0" w:line="240" w:lineRule="auto"/>
        <w:jc w:val="both"/>
        <w:rPr>
          <w:sz w:val="16"/>
          <w:szCs w:val="16"/>
        </w:rPr>
      </w:pPr>
      <w:r w:rsidRPr="00EA1355">
        <w:rPr>
          <w:rStyle w:val="FootnoteReference"/>
          <w:sz w:val="16"/>
          <w:szCs w:val="16"/>
        </w:rPr>
        <w:footnoteRef/>
      </w:r>
      <w:r w:rsidRPr="00EA1355">
        <w:rPr>
          <w:sz w:val="16"/>
          <w:szCs w:val="16"/>
        </w:rPr>
        <w:t xml:space="preserve"> El Sistema Integrado de Información Financiera - SIIF Nación permite a la Nación consolidar la información financiera de las Entidades que conforman el Presupuesto General de la Nación y ejercer el control de la ejecución presupuestal y financiera de las Entidades pertenecientes a la Administración Central Nacional y sus subunidades descentralizada, con el fin de propiciar una mayor eficiencia en el uso de los recursos de la Nación y de brindar información oportuna y confiable.</w:t>
      </w:r>
    </w:p>
  </w:footnote>
  <w:footnote w:id="29">
    <w:p w:rsidR="001471C4" w:rsidRPr="00CF5512" w:rsidRDefault="001471C4">
      <w:pPr>
        <w:pStyle w:val="FootnoteText"/>
        <w:rPr>
          <w:sz w:val="16"/>
          <w:szCs w:val="16"/>
        </w:rPr>
      </w:pPr>
      <w:r w:rsidRPr="00CF5512">
        <w:rPr>
          <w:rStyle w:val="FootnoteReference"/>
          <w:sz w:val="16"/>
          <w:szCs w:val="16"/>
        </w:rPr>
        <w:footnoteRef/>
      </w:r>
      <w:r w:rsidRPr="00CF5512">
        <w:rPr>
          <w:sz w:val="16"/>
          <w:szCs w:val="16"/>
        </w:rPr>
        <w:t xml:space="preserve"> </w:t>
      </w:r>
      <w:r w:rsidRPr="00CF5512">
        <w:rPr>
          <w:sz w:val="16"/>
          <w:szCs w:val="16"/>
          <w:lang w:val="es-ES_tradnl"/>
        </w:rPr>
        <w:t>Artículo 123 Ley 1474 de 2011 - Estatuto Anticorrupción</w:t>
      </w:r>
    </w:p>
  </w:footnote>
  <w:footnote w:id="30">
    <w:p w:rsidR="001471C4" w:rsidRPr="00EA1355" w:rsidRDefault="001471C4" w:rsidP="005561D8">
      <w:pPr>
        <w:pStyle w:val="NoSpacing"/>
        <w:rPr>
          <w:sz w:val="16"/>
          <w:szCs w:val="16"/>
          <w:lang w:val="nb-NO"/>
        </w:rPr>
      </w:pPr>
      <w:r w:rsidRPr="00EA1355">
        <w:rPr>
          <w:rStyle w:val="FootnoteReference"/>
          <w:sz w:val="16"/>
          <w:szCs w:val="16"/>
        </w:rPr>
        <w:footnoteRef/>
      </w:r>
      <w:r w:rsidRPr="00EA1355">
        <w:rPr>
          <w:sz w:val="16"/>
          <w:szCs w:val="16"/>
          <w:lang w:val="nb-NO"/>
        </w:rPr>
        <w:t xml:space="preserve"> </w:t>
      </w:r>
      <w:r w:rsidR="00233205">
        <w:fldChar w:fldCharType="begin"/>
      </w:r>
      <w:r w:rsidR="00233205" w:rsidRPr="00233205">
        <w:rPr>
          <w:lang w:val="es-ES_tradnl"/>
        </w:rPr>
        <w:instrText xml:space="preserve"> HYPERLINK "http://www.Contraloria.gov.co/web/guest/plan-estrategico-2014-2018" </w:instrText>
      </w:r>
      <w:r w:rsidR="00233205">
        <w:fldChar w:fldCharType="separate"/>
      </w:r>
      <w:r w:rsidRPr="00EA1355">
        <w:rPr>
          <w:rStyle w:val="Hyperlink"/>
          <w:sz w:val="16"/>
          <w:szCs w:val="16"/>
          <w:lang w:val="nb-NO"/>
        </w:rPr>
        <w:t>http://www.Contraloria.gov.co/web/guest/plan-estrategico-2014-2018</w:t>
      </w:r>
      <w:r w:rsidR="00233205">
        <w:rPr>
          <w:rStyle w:val="Hyperlink"/>
          <w:sz w:val="16"/>
          <w:szCs w:val="16"/>
          <w:lang w:val="nb-NO"/>
        </w:rPr>
        <w:fldChar w:fldCharType="end"/>
      </w:r>
      <w:r w:rsidRPr="00EA1355">
        <w:rPr>
          <w:sz w:val="16"/>
          <w:szCs w:val="16"/>
          <w:lang w:val="nb-NO"/>
        </w:rPr>
        <w:t xml:space="preserve"> </w:t>
      </w:r>
    </w:p>
  </w:footnote>
  <w:footnote w:id="31">
    <w:p w:rsidR="001471C4" w:rsidRPr="00EA1355" w:rsidRDefault="001471C4" w:rsidP="001C7E3B">
      <w:pPr>
        <w:pStyle w:val="FootnoteText"/>
        <w:rPr>
          <w:sz w:val="16"/>
          <w:szCs w:val="16"/>
        </w:rPr>
      </w:pPr>
      <w:r w:rsidRPr="00EA1355">
        <w:rPr>
          <w:rStyle w:val="FootnoteReference"/>
          <w:sz w:val="16"/>
          <w:szCs w:val="16"/>
        </w:rPr>
        <w:footnoteRef/>
      </w:r>
      <w:r w:rsidRPr="00EA1355">
        <w:rPr>
          <w:sz w:val="16"/>
          <w:szCs w:val="16"/>
        </w:rPr>
        <w:t xml:space="preserve">  </w:t>
      </w:r>
      <w:hyperlink r:id="rId12" w:history="1">
        <w:r w:rsidRPr="00EA1355">
          <w:rPr>
            <w:rStyle w:val="Hyperlink"/>
            <w:sz w:val="16"/>
            <w:szCs w:val="16"/>
          </w:rPr>
          <w:t>http://www.Contraloria.gov.co/web/guest/plan-accion-2015</w:t>
        </w:r>
      </w:hyperlink>
    </w:p>
  </w:footnote>
  <w:footnote w:id="32">
    <w:p w:rsidR="001471C4" w:rsidRPr="00EA1355" w:rsidRDefault="001471C4" w:rsidP="00B0687A">
      <w:pPr>
        <w:pStyle w:val="FootnoteText"/>
        <w:rPr>
          <w:sz w:val="16"/>
          <w:szCs w:val="16"/>
          <w:lang w:val="es-ES_tradnl"/>
        </w:rPr>
      </w:pPr>
      <w:r w:rsidRPr="00EA1355">
        <w:rPr>
          <w:rStyle w:val="FootnoteReference"/>
          <w:sz w:val="16"/>
          <w:szCs w:val="16"/>
        </w:rPr>
        <w:footnoteRef/>
      </w:r>
      <w:r w:rsidRPr="00EA1355">
        <w:rPr>
          <w:sz w:val="16"/>
          <w:szCs w:val="16"/>
        </w:rPr>
        <w:t xml:space="preserve"> </w:t>
      </w:r>
      <w:r w:rsidRPr="00EA1355">
        <w:rPr>
          <w:sz w:val="16"/>
          <w:szCs w:val="16"/>
          <w:lang w:val="es-ES_tradnl"/>
        </w:rPr>
        <w:t>Control de Calidad de la EFS</w:t>
      </w:r>
    </w:p>
  </w:footnote>
  <w:footnote w:id="33">
    <w:p w:rsidR="001471C4" w:rsidRPr="00EA1355" w:rsidRDefault="001471C4" w:rsidP="00CC08C8">
      <w:pPr>
        <w:pStyle w:val="FootnoteText"/>
        <w:rPr>
          <w:sz w:val="16"/>
          <w:szCs w:val="16"/>
          <w:lang w:val="es-ES_tradnl"/>
        </w:rPr>
      </w:pPr>
      <w:r w:rsidRPr="00EA1355">
        <w:rPr>
          <w:rStyle w:val="FootnoteReference"/>
          <w:sz w:val="16"/>
          <w:szCs w:val="16"/>
          <w:lang w:val="es-ES_tradnl"/>
        </w:rPr>
        <w:footnoteRef/>
      </w:r>
      <w:r w:rsidRPr="00EA1355">
        <w:rPr>
          <w:sz w:val="16"/>
          <w:szCs w:val="16"/>
          <w:lang w:val="es-ES_tradnl"/>
        </w:rPr>
        <w:t xml:space="preserve"> </w:t>
      </w:r>
      <w:r w:rsidRPr="00EA1355">
        <w:rPr>
          <w:rFonts w:cs="Calibri"/>
          <w:sz w:val="16"/>
          <w:szCs w:val="16"/>
          <w:lang w:val="es-ES_tradnl"/>
        </w:rPr>
        <w:t xml:space="preserve">Capítulo 5.4 - Aseguramiento de la Calidad de la </w:t>
      </w:r>
      <w:r w:rsidRPr="00EA1355">
        <w:rPr>
          <w:rFonts w:cs="Calibri"/>
          <w:i/>
          <w:sz w:val="16"/>
          <w:szCs w:val="16"/>
          <w:lang w:val="es-ES_tradnl"/>
        </w:rPr>
        <w:t>Guía de Auditoría Ajustada al SICA</w:t>
      </w:r>
    </w:p>
  </w:footnote>
  <w:footnote w:id="34">
    <w:p w:rsidR="001471C4" w:rsidRPr="00EA1355" w:rsidRDefault="001471C4" w:rsidP="006C2B1F">
      <w:pPr>
        <w:pStyle w:val="FootnoteText"/>
        <w:jc w:val="both"/>
        <w:rPr>
          <w:sz w:val="16"/>
          <w:szCs w:val="16"/>
        </w:rPr>
      </w:pPr>
      <w:r w:rsidRPr="00EA1355">
        <w:rPr>
          <w:rStyle w:val="FootnoteReference"/>
          <w:sz w:val="16"/>
          <w:szCs w:val="16"/>
        </w:rPr>
        <w:footnoteRef/>
      </w:r>
      <w:r w:rsidRPr="00EA1355">
        <w:rPr>
          <w:sz w:val="16"/>
          <w:szCs w:val="16"/>
        </w:rPr>
        <w:t xml:space="preserve"> </w:t>
      </w:r>
      <w:r w:rsidRPr="00EA1355">
        <w:rPr>
          <w:sz w:val="16"/>
          <w:szCs w:val="16"/>
          <w:lang w:val="es-EC"/>
        </w:rPr>
        <w:t>Si un criterio dentro de una dimensión se calificase NA o SC, debe considerarse al criterio como satisfecho al contabilizar en una lista el número de criterios satisfechos. SAI PMF versión Piloto, pg. 36</w:t>
      </w:r>
    </w:p>
  </w:footnote>
  <w:footnote w:id="35">
    <w:p w:rsidR="001471C4" w:rsidRPr="00EA1355" w:rsidRDefault="001471C4" w:rsidP="00BD25EE">
      <w:pPr>
        <w:pStyle w:val="FootnoteText"/>
        <w:rPr>
          <w:sz w:val="16"/>
          <w:szCs w:val="16"/>
          <w:lang w:val="es-ES_tradnl"/>
        </w:rPr>
      </w:pPr>
      <w:r w:rsidRPr="00EA1355">
        <w:rPr>
          <w:rStyle w:val="FootnoteReference"/>
          <w:sz w:val="16"/>
          <w:szCs w:val="16"/>
        </w:rPr>
        <w:footnoteRef/>
      </w:r>
      <w:r w:rsidRPr="00EA1355">
        <w:rPr>
          <w:sz w:val="16"/>
          <w:szCs w:val="16"/>
        </w:rPr>
        <w:t xml:space="preserve"> </w:t>
      </w:r>
      <w:r w:rsidRPr="00EA1355">
        <w:rPr>
          <w:sz w:val="16"/>
          <w:szCs w:val="16"/>
          <w:lang w:val="es-MX"/>
        </w:rPr>
        <w:t>Principios Fundamentales de Auditoría Financiera</w:t>
      </w:r>
    </w:p>
  </w:footnote>
  <w:footnote w:id="36">
    <w:p w:rsidR="001471C4" w:rsidRPr="00EA1355" w:rsidRDefault="001471C4" w:rsidP="00BD25EE">
      <w:pPr>
        <w:pStyle w:val="FootnoteText"/>
        <w:rPr>
          <w:sz w:val="16"/>
          <w:szCs w:val="16"/>
          <w:lang w:val="es-ES_tradnl"/>
        </w:rPr>
      </w:pPr>
      <w:r w:rsidRPr="00EA1355">
        <w:rPr>
          <w:rStyle w:val="FootnoteReference"/>
          <w:sz w:val="16"/>
          <w:szCs w:val="16"/>
        </w:rPr>
        <w:footnoteRef/>
      </w:r>
      <w:r w:rsidRPr="00EA1355">
        <w:rPr>
          <w:sz w:val="16"/>
          <w:szCs w:val="16"/>
        </w:rPr>
        <w:t xml:space="preserve"> </w:t>
      </w:r>
      <w:r w:rsidRPr="00EA1355">
        <w:rPr>
          <w:sz w:val="16"/>
          <w:szCs w:val="16"/>
          <w:lang w:val="es-MX"/>
        </w:rPr>
        <w:t>Directrices de Auditoría Financiera</w:t>
      </w:r>
    </w:p>
  </w:footnote>
  <w:footnote w:id="37">
    <w:p w:rsidR="001471C4" w:rsidRPr="00EA1355" w:rsidRDefault="001471C4" w:rsidP="00526D4B">
      <w:pPr>
        <w:pStyle w:val="FootnoteText"/>
        <w:jc w:val="both"/>
        <w:rPr>
          <w:rFonts w:asciiTheme="minorHAnsi" w:hAnsiTheme="minorHAnsi"/>
          <w:sz w:val="16"/>
          <w:szCs w:val="16"/>
          <w:lang w:val="es-ES_tradnl"/>
        </w:rPr>
      </w:pPr>
      <w:r w:rsidRPr="00EA1355">
        <w:rPr>
          <w:rStyle w:val="FootnoteReference"/>
          <w:rFonts w:asciiTheme="minorHAnsi" w:hAnsiTheme="minorHAnsi"/>
          <w:sz w:val="16"/>
          <w:szCs w:val="16"/>
        </w:rPr>
        <w:footnoteRef/>
      </w:r>
      <w:r w:rsidRPr="00EA1355">
        <w:rPr>
          <w:rFonts w:asciiTheme="minorHAnsi" w:hAnsiTheme="minorHAnsi"/>
          <w:sz w:val="16"/>
          <w:szCs w:val="16"/>
        </w:rPr>
        <w:t xml:space="preserve"> </w:t>
      </w:r>
      <w:r w:rsidRPr="00EA1355">
        <w:rPr>
          <w:rFonts w:asciiTheme="minorHAnsi" w:hAnsiTheme="minorHAnsi"/>
          <w:sz w:val="16"/>
          <w:szCs w:val="16"/>
          <w:lang w:val="es-EC"/>
        </w:rPr>
        <w:t>Código de Ética internacional para los auditores pertenecientes al sector público</w:t>
      </w:r>
    </w:p>
  </w:footnote>
  <w:footnote w:id="38">
    <w:p w:rsidR="001471C4" w:rsidRPr="00EA1355" w:rsidRDefault="001471C4" w:rsidP="00CB5D2F">
      <w:pPr>
        <w:pStyle w:val="FootnoteText"/>
        <w:rPr>
          <w:sz w:val="16"/>
          <w:szCs w:val="16"/>
          <w:lang w:val="es-ES_tradnl"/>
        </w:rPr>
      </w:pPr>
      <w:r w:rsidRPr="00EA1355">
        <w:rPr>
          <w:rStyle w:val="FootnoteReference"/>
          <w:sz w:val="16"/>
          <w:szCs w:val="16"/>
        </w:rPr>
        <w:footnoteRef/>
      </w:r>
      <w:r w:rsidRPr="00EA1355">
        <w:rPr>
          <w:sz w:val="16"/>
          <w:szCs w:val="16"/>
        </w:rPr>
        <w:t xml:space="preserve"> </w:t>
      </w:r>
      <w:r w:rsidRPr="00EA1355">
        <w:rPr>
          <w:sz w:val="16"/>
          <w:szCs w:val="16"/>
          <w:lang w:val="es-EC"/>
        </w:rPr>
        <w:t>Si un criterio dentro de una dimensión se calificase NA  o SC, debe considerarse al criterio como satisfecho al contabilizar en una lista el número de criterios satisfechos. SAI PMF versión Piloto, pg. 36</w:t>
      </w:r>
    </w:p>
  </w:footnote>
  <w:footnote w:id="39">
    <w:p w:rsidR="001471C4" w:rsidRPr="00EA1355" w:rsidRDefault="001471C4" w:rsidP="0053252D">
      <w:pPr>
        <w:pStyle w:val="FootnoteText"/>
        <w:rPr>
          <w:sz w:val="16"/>
          <w:szCs w:val="16"/>
          <w:lang w:val="es-ES_tradnl"/>
        </w:rPr>
      </w:pPr>
      <w:r w:rsidRPr="00EA1355">
        <w:rPr>
          <w:rStyle w:val="FootnoteReference"/>
          <w:sz w:val="16"/>
          <w:szCs w:val="16"/>
        </w:rPr>
        <w:footnoteRef/>
      </w:r>
      <w:r w:rsidRPr="00EA1355">
        <w:rPr>
          <w:sz w:val="16"/>
          <w:szCs w:val="16"/>
        </w:rPr>
        <w:t xml:space="preserve"> </w:t>
      </w:r>
      <w:r w:rsidRPr="00EA1355">
        <w:rPr>
          <w:sz w:val="16"/>
          <w:szCs w:val="16"/>
          <w:lang w:val="es-ES_tradnl"/>
        </w:rPr>
        <w:t>Principios Fundamentales de la Auditoría de Cumplimiento</w:t>
      </w:r>
    </w:p>
  </w:footnote>
  <w:footnote w:id="40">
    <w:p w:rsidR="001471C4" w:rsidRPr="00EA1355" w:rsidRDefault="001471C4" w:rsidP="0053252D">
      <w:pPr>
        <w:pStyle w:val="FootnoteText"/>
        <w:rPr>
          <w:sz w:val="16"/>
          <w:szCs w:val="16"/>
          <w:lang w:val="es-ES_tradnl"/>
        </w:rPr>
      </w:pPr>
      <w:r w:rsidRPr="00EA1355">
        <w:rPr>
          <w:rStyle w:val="FootnoteReference"/>
          <w:sz w:val="16"/>
          <w:szCs w:val="16"/>
        </w:rPr>
        <w:footnoteRef/>
      </w:r>
      <w:r w:rsidRPr="00EA1355">
        <w:rPr>
          <w:sz w:val="16"/>
          <w:szCs w:val="16"/>
        </w:rPr>
        <w:t xml:space="preserve"> </w:t>
      </w:r>
      <w:r w:rsidRPr="00EA1355">
        <w:rPr>
          <w:sz w:val="16"/>
          <w:szCs w:val="16"/>
          <w:lang w:val="es-ES_tradnl"/>
        </w:rPr>
        <w:t>Directrices para la Auditoría de Cumplimiento</w:t>
      </w:r>
    </w:p>
  </w:footnote>
  <w:footnote w:id="41">
    <w:p w:rsidR="001471C4" w:rsidRPr="00EA1355" w:rsidRDefault="001471C4" w:rsidP="008A1CE5">
      <w:pPr>
        <w:pStyle w:val="FootnoteText"/>
        <w:rPr>
          <w:sz w:val="16"/>
          <w:szCs w:val="16"/>
        </w:rPr>
      </w:pPr>
      <w:r w:rsidRPr="00EA1355">
        <w:rPr>
          <w:rStyle w:val="FootnoteReference"/>
          <w:sz w:val="16"/>
          <w:szCs w:val="16"/>
        </w:rPr>
        <w:footnoteRef/>
      </w:r>
      <w:r w:rsidRPr="00EA1355">
        <w:rPr>
          <w:sz w:val="16"/>
          <w:szCs w:val="16"/>
        </w:rPr>
        <w:t xml:space="preserve"> </w:t>
      </w:r>
      <w:r w:rsidRPr="00EA1355">
        <w:rPr>
          <w:sz w:val="16"/>
          <w:szCs w:val="16"/>
          <w:lang w:val="es-EC"/>
        </w:rPr>
        <w:t>Si un criterio dentro de una dimensión se calificase NA o SC, debe considerarse al criterio como satisfecho al contabilizar en una lista el número de criterios satisfechos. SAI PMF versión Piloto, pg. 36</w:t>
      </w:r>
    </w:p>
  </w:footnote>
  <w:footnote w:id="42">
    <w:p w:rsidR="001471C4" w:rsidRPr="00EA1355" w:rsidRDefault="001471C4" w:rsidP="001D307C">
      <w:pPr>
        <w:pStyle w:val="FootnoteText"/>
        <w:rPr>
          <w:sz w:val="16"/>
          <w:szCs w:val="16"/>
          <w:lang w:val="es-ES_tradnl"/>
        </w:rPr>
      </w:pPr>
      <w:r w:rsidRPr="00EA1355">
        <w:rPr>
          <w:rStyle w:val="FootnoteReference"/>
          <w:sz w:val="16"/>
          <w:szCs w:val="16"/>
        </w:rPr>
        <w:footnoteRef/>
      </w:r>
      <w:r w:rsidRPr="00EA1355">
        <w:rPr>
          <w:sz w:val="16"/>
          <w:szCs w:val="16"/>
        </w:rPr>
        <w:t xml:space="preserve"> </w:t>
      </w:r>
      <w:r w:rsidRPr="00EA1355">
        <w:rPr>
          <w:sz w:val="16"/>
          <w:szCs w:val="16"/>
          <w:lang w:val="es-ES_tradnl"/>
        </w:rPr>
        <w:t>Principios Fundamentales de la Auditoría de Cumplimiento</w:t>
      </w:r>
    </w:p>
  </w:footnote>
  <w:footnote w:id="43">
    <w:p w:rsidR="001471C4" w:rsidRPr="00EA1355" w:rsidRDefault="001471C4" w:rsidP="001D307C">
      <w:pPr>
        <w:pStyle w:val="FootnoteText"/>
        <w:rPr>
          <w:sz w:val="16"/>
          <w:szCs w:val="16"/>
          <w:lang w:val="es-ES_tradnl"/>
        </w:rPr>
      </w:pPr>
      <w:r w:rsidRPr="00EA1355">
        <w:rPr>
          <w:rStyle w:val="FootnoteReference"/>
          <w:sz w:val="16"/>
          <w:szCs w:val="16"/>
        </w:rPr>
        <w:footnoteRef/>
      </w:r>
      <w:r w:rsidRPr="00EA1355">
        <w:rPr>
          <w:sz w:val="16"/>
          <w:szCs w:val="16"/>
        </w:rPr>
        <w:t xml:space="preserve"> </w:t>
      </w:r>
      <w:r w:rsidRPr="00EA1355">
        <w:rPr>
          <w:sz w:val="16"/>
          <w:szCs w:val="16"/>
          <w:lang w:val="es-ES_tradnl"/>
        </w:rPr>
        <w:t>Directrices para la Auditoría de Cumplimiento</w:t>
      </w:r>
    </w:p>
  </w:footnote>
  <w:footnote w:id="44">
    <w:p w:rsidR="001471C4" w:rsidRPr="00EA1355" w:rsidRDefault="001471C4" w:rsidP="00E20251">
      <w:pPr>
        <w:pStyle w:val="FootnoteText"/>
        <w:rPr>
          <w:sz w:val="16"/>
          <w:szCs w:val="16"/>
          <w:lang w:val="es-ES_tradnl"/>
        </w:rPr>
      </w:pPr>
      <w:r w:rsidRPr="00EA1355">
        <w:rPr>
          <w:rStyle w:val="FootnoteReference"/>
          <w:sz w:val="16"/>
          <w:szCs w:val="16"/>
        </w:rPr>
        <w:footnoteRef/>
      </w:r>
      <w:r w:rsidRPr="00EA1355">
        <w:rPr>
          <w:sz w:val="16"/>
          <w:szCs w:val="16"/>
        </w:rPr>
        <w:t xml:space="preserve"> </w:t>
      </w:r>
      <w:r w:rsidRPr="00EA1355">
        <w:rPr>
          <w:sz w:val="16"/>
          <w:szCs w:val="16"/>
          <w:lang w:val="es-EC"/>
        </w:rPr>
        <w:t>Adoptado mediante la Resolución Reglamentaria 0073 del 25 de Agosto de 2008</w:t>
      </w:r>
    </w:p>
  </w:footnote>
  <w:footnote w:id="45">
    <w:p w:rsidR="001471C4" w:rsidRPr="00EA1355" w:rsidRDefault="001471C4" w:rsidP="00E20251">
      <w:pPr>
        <w:pStyle w:val="FootnoteText"/>
        <w:jc w:val="both"/>
        <w:rPr>
          <w:sz w:val="16"/>
          <w:szCs w:val="16"/>
          <w:lang w:val="es-ES_tradnl"/>
        </w:rPr>
      </w:pPr>
      <w:r w:rsidRPr="00EA1355">
        <w:rPr>
          <w:rStyle w:val="FootnoteReference"/>
          <w:sz w:val="16"/>
          <w:szCs w:val="16"/>
        </w:rPr>
        <w:footnoteRef/>
      </w:r>
      <w:r w:rsidRPr="00EA1355">
        <w:rPr>
          <w:sz w:val="16"/>
          <w:szCs w:val="16"/>
        </w:rPr>
        <w:t xml:space="preserve"> </w:t>
      </w:r>
      <w:r w:rsidRPr="00EA1355">
        <w:rPr>
          <w:sz w:val="16"/>
          <w:szCs w:val="16"/>
          <w:lang w:val="es-EC"/>
        </w:rPr>
        <w:t xml:space="preserve">Código Disciplinario Único  - Ley </w:t>
      </w:r>
      <w:hyperlink r:id="rId13" w:anchor="0" w:history="1">
        <w:r w:rsidRPr="00EA1355">
          <w:rPr>
            <w:sz w:val="16"/>
            <w:szCs w:val="16"/>
            <w:lang w:val="es-EC"/>
          </w:rPr>
          <w:t>734</w:t>
        </w:r>
      </w:hyperlink>
      <w:r w:rsidRPr="00EA1355">
        <w:rPr>
          <w:sz w:val="16"/>
          <w:szCs w:val="16"/>
          <w:lang w:val="es-EC"/>
        </w:rPr>
        <w:t xml:space="preserve"> de 2002, Artículos 34 y 76</w:t>
      </w:r>
      <w:r w:rsidRPr="00EA1355">
        <w:rPr>
          <w:color w:val="000000"/>
          <w:sz w:val="16"/>
          <w:szCs w:val="16"/>
          <w:lang w:val="es-ES_tradnl"/>
        </w:rPr>
        <w:t xml:space="preserve"> </w:t>
      </w:r>
    </w:p>
  </w:footnote>
  <w:footnote w:id="46">
    <w:p w:rsidR="001471C4" w:rsidRPr="00EA1355" w:rsidRDefault="001471C4" w:rsidP="003E0106">
      <w:pPr>
        <w:pStyle w:val="NoSpacing"/>
        <w:jc w:val="both"/>
        <w:rPr>
          <w:color w:val="000000"/>
          <w:sz w:val="16"/>
          <w:szCs w:val="16"/>
          <w:lang w:val="es-ES_tradnl"/>
        </w:rPr>
      </w:pPr>
      <w:r w:rsidRPr="00EA1355">
        <w:rPr>
          <w:rStyle w:val="FootnoteReference"/>
          <w:sz w:val="16"/>
          <w:szCs w:val="16"/>
        </w:rPr>
        <w:footnoteRef/>
      </w:r>
      <w:r w:rsidRPr="00EA1355">
        <w:rPr>
          <w:sz w:val="16"/>
          <w:szCs w:val="16"/>
          <w:lang w:val="es-CO"/>
        </w:rPr>
        <w:t xml:space="preserve"> </w:t>
      </w:r>
      <w:r w:rsidRPr="00EA1355">
        <w:rPr>
          <w:rFonts w:ascii="Calibri" w:eastAsia="Times New Roman" w:hAnsi="Calibri" w:cs="Times New Roman"/>
          <w:sz w:val="16"/>
          <w:szCs w:val="16"/>
          <w:lang w:val="es-EC" w:eastAsia="nb-NO"/>
        </w:rPr>
        <w:t xml:space="preserve">Capítulo Segundo – Título IV – Derechos , Deberes, Prohibiciones, Incompatibilidad, Impedimentos, Inhabilidades y Conflictos de Intereses del Servidor Público  </w:t>
      </w:r>
    </w:p>
  </w:footnote>
  <w:footnote w:id="47">
    <w:p w:rsidR="001471C4" w:rsidRPr="00EA1355" w:rsidRDefault="001471C4" w:rsidP="00B4265E">
      <w:pPr>
        <w:pStyle w:val="FootnoteText"/>
        <w:jc w:val="both"/>
        <w:rPr>
          <w:sz w:val="16"/>
          <w:szCs w:val="16"/>
          <w:lang w:val="es-ES_tradnl"/>
        </w:rPr>
      </w:pPr>
      <w:r w:rsidRPr="00EA1355">
        <w:rPr>
          <w:rStyle w:val="FootnoteReference"/>
          <w:sz w:val="16"/>
          <w:szCs w:val="16"/>
        </w:rPr>
        <w:footnoteRef/>
      </w:r>
      <w:r w:rsidRPr="00EA1355">
        <w:rPr>
          <w:sz w:val="16"/>
          <w:szCs w:val="16"/>
        </w:rPr>
        <w:t xml:space="preserve"> </w:t>
      </w:r>
      <w:r w:rsidRPr="00EA1355">
        <w:rPr>
          <w:sz w:val="16"/>
          <w:szCs w:val="16"/>
          <w:lang w:val="es-EC"/>
        </w:rPr>
        <w:t>Guía de Auditoría ajustada al contexto SICA,  sección 2.3.3. Declaración de Impedimentos Éticos y Conflictos de Intereses</w:t>
      </w:r>
    </w:p>
  </w:footnote>
  <w:footnote w:id="48">
    <w:p w:rsidR="001471C4" w:rsidRPr="00EA1355" w:rsidRDefault="001471C4" w:rsidP="00B4265E">
      <w:pPr>
        <w:pStyle w:val="FootnoteText"/>
        <w:jc w:val="both"/>
        <w:rPr>
          <w:sz w:val="16"/>
          <w:szCs w:val="16"/>
          <w:lang w:val="es-ES_tradnl"/>
        </w:rPr>
      </w:pPr>
      <w:r w:rsidRPr="00EA1355">
        <w:rPr>
          <w:rStyle w:val="FootnoteReference"/>
          <w:sz w:val="16"/>
          <w:szCs w:val="16"/>
        </w:rPr>
        <w:footnoteRef/>
      </w:r>
      <w:r w:rsidRPr="00EA1355">
        <w:rPr>
          <w:sz w:val="16"/>
          <w:szCs w:val="16"/>
        </w:rPr>
        <w:t xml:space="preserve"> </w:t>
      </w:r>
      <w:r w:rsidRPr="00EA1355">
        <w:rPr>
          <w:sz w:val="16"/>
          <w:szCs w:val="16"/>
          <w:lang w:val="es-EC"/>
        </w:rPr>
        <w:t>Código de Ética internacional para los auditores pertenecientes al sector público</w:t>
      </w:r>
    </w:p>
  </w:footnote>
  <w:footnote w:id="49">
    <w:p w:rsidR="001471C4" w:rsidRPr="00EA1355" w:rsidRDefault="001471C4" w:rsidP="003E0106">
      <w:pPr>
        <w:pStyle w:val="NoSpacing"/>
        <w:jc w:val="both"/>
        <w:rPr>
          <w:sz w:val="16"/>
          <w:szCs w:val="16"/>
          <w:lang w:val="es-EC"/>
        </w:rPr>
      </w:pPr>
      <w:r w:rsidRPr="00EA1355">
        <w:rPr>
          <w:rStyle w:val="FootnoteReference"/>
          <w:sz w:val="16"/>
          <w:szCs w:val="16"/>
        </w:rPr>
        <w:footnoteRef/>
      </w:r>
      <w:r w:rsidRPr="00EA1355">
        <w:rPr>
          <w:sz w:val="16"/>
          <w:szCs w:val="16"/>
          <w:lang w:val="es-EC"/>
        </w:rPr>
        <w:t xml:space="preserve"> </w:t>
      </w:r>
      <w:r w:rsidRPr="00EA1355">
        <w:rPr>
          <w:rFonts w:ascii="Calibri" w:eastAsia="Times New Roman" w:hAnsi="Calibri" w:cs="Times New Roman"/>
          <w:sz w:val="16"/>
          <w:szCs w:val="16"/>
          <w:lang w:val="es-EC" w:eastAsia="nb-NO"/>
        </w:rPr>
        <w:t>Decreto - Ley 267 de 2000 dicta las normas sobre organización y funcionamiento de la CGRC y establece su estructura orgánica y las funciones</w:t>
      </w:r>
      <w:r w:rsidRPr="00EA1355">
        <w:rPr>
          <w:rFonts w:ascii="MS Gothic" w:eastAsia="MS Gothic" w:hAnsi="MS Gothic" w:cs="MS Gothic"/>
          <w:sz w:val="16"/>
          <w:szCs w:val="16"/>
          <w:lang w:val="es-EC" w:eastAsia="nb-NO"/>
        </w:rPr>
        <w:t> </w:t>
      </w:r>
      <w:r w:rsidRPr="00EA1355">
        <w:rPr>
          <w:rFonts w:ascii="Calibri" w:eastAsia="Times New Roman" w:hAnsi="Calibri" w:cs="Times New Roman"/>
          <w:sz w:val="16"/>
          <w:szCs w:val="16"/>
          <w:lang w:val="es-EC" w:eastAsia="nb-NO"/>
        </w:rPr>
        <w:t xml:space="preserve">de sus dependencias, Decreto </w:t>
      </w:r>
      <w:r w:rsidRPr="00EA1355">
        <w:rPr>
          <w:rFonts w:ascii="Calibri" w:eastAsia="Times New Roman" w:hAnsi="Calibri" w:cs="Calibri"/>
          <w:sz w:val="16"/>
          <w:szCs w:val="16"/>
          <w:lang w:val="es-EC" w:eastAsia="nb-NO"/>
        </w:rPr>
        <w:t>–</w:t>
      </w:r>
      <w:r w:rsidRPr="00EA1355">
        <w:rPr>
          <w:rFonts w:ascii="Calibri" w:eastAsia="Times New Roman" w:hAnsi="Calibri" w:cs="Times New Roman"/>
          <w:sz w:val="16"/>
          <w:szCs w:val="16"/>
          <w:lang w:val="es-EC" w:eastAsia="nb-NO"/>
        </w:rPr>
        <w:t xml:space="preserve"> Ley 269 de 2000 establece la nomenclatura y clasificaci</w:t>
      </w:r>
      <w:r w:rsidRPr="00EA1355">
        <w:rPr>
          <w:rFonts w:ascii="Calibri" w:eastAsia="Times New Roman" w:hAnsi="Calibri" w:cs="Calibri"/>
          <w:sz w:val="16"/>
          <w:szCs w:val="16"/>
          <w:lang w:val="es-EC" w:eastAsia="nb-NO"/>
        </w:rPr>
        <w:t>ó</w:t>
      </w:r>
      <w:r w:rsidRPr="00EA1355">
        <w:rPr>
          <w:rFonts w:ascii="Calibri" w:eastAsia="Times New Roman" w:hAnsi="Calibri" w:cs="Times New Roman"/>
          <w:sz w:val="16"/>
          <w:szCs w:val="16"/>
          <w:lang w:val="es-EC" w:eastAsia="nb-NO"/>
        </w:rPr>
        <w:t>n de los empleos de la CGRC y el Decreto-Ley 271 de 2000, establece su planta de personal.</w:t>
      </w:r>
      <w:r w:rsidRPr="00EA1355">
        <w:rPr>
          <w:sz w:val="16"/>
          <w:szCs w:val="16"/>
          <w:lang w:val="es-EC"/>
        </w:rPr>
        <w:t xml:space="preserve"> </w:t>
      </w:r>
    </w:p>
  </w:footnote>
  <w:footnote w:id="50">
    <w:p w:rsidR="001471C4" w:rsidRPr="00EA1355" w:rsidRDefault="001471C4" w:rsidP="00354F80">
      <w:pPr>
        <w:pStyle w:val="NoSpacing"/>
        <w:rPr>
          <w:sz w:val="16"/>
          <w:szCs w:val="16"/>
          <w:lang w:val="es-ES_tradnl"/>
        </w:rPr>
      </w:pPr>
      <w:r w:rsidRPr="00EA1355">
        <w:rPr>
          <w:rStyle w:val="FootnoteReference"/>
          <w:sz w:val="16"/>
          <w:szCs w:val="16"/>
        </w:rPr>
        <w:footnoteRef/>
      </w:r>
      <w:r w:rsidRPr="00EA1355">
        <w:rPr>
          <w:sz w:val="16"/>
          <w:szCs w:val="16"/>
          <w:lang w:val="es-EC"/>
        </w:rPr>
        <w:t xml:space="preserve"> </w:t>
      </w:r>
      <w:r w:rsidRPr="00EA1355">
        <w:rPr>
          <w:rFonts w:ascii="Calibri" w:eastAsia="Times New Roman" w:hAnsi="Calibri" w:cs="Times New Roman"/>
          <w:sz w:val="16"/>
          <w:szCs w:val="16"/>
          <w:lang w:val="es-EC" w:eastAsia="nb-NO"/>
        </w:rPr>
        <w:t>Adoptado mediante Resolución Reglamentaria  216/2013</w:t>
      </w:r>
    </w:p>
  </w:footnote>
  <w:footnote w:id="51">
    <w:p w:rsidR="001471C4" w:rsidRPr="00EA1355" w:rsidRDefault="001471C4" w:rsidP="00354F80">
      <w:pPr>
        <w:pStyle w:val="FootnoteText"/>
        <w:rPr>
          <w:sz w:val="16"/>
          <w:szCs w:val="16"/>
          <w:lang w:val="es-EC"/>
        </w:rPr>
      </w:pPr>
      <w:r w:rsidRPr="00EA1355">
        <w:rPr>
          <w:rStyle w:val="FootnoteReference"/>
          <w:sz w:val="16"/>
          <w:szCs w:val="16"/>
        </w:rPr>
        <w:footnoteRef/>
      </w:r>
      <w:r w:rsidRPr="00EA1355">
        <w:rPr>
          <w:sz w:val="16"/>
          <w:szCs w:val="16"/>
        </w:rPr>
        <w:t xml:space="preserve"> </w:t>
      </w:r>
      <w:r w:rsidRPr="00EA1355">
        <w:rPr>
          <w:sz w:val="16"/>
          <w:szCs w:val="16"/>
          <w:lang w:val="es-EC"/>
        </w:rPr>
        <w:t>Decreto - Ley 267 de 2000 – Sección III, Art. 65 y 67</w:t>
      </w:r>
    </w:p>
  </w:footnote>
  <w:footnote w:id="52">
    <w:p w:rsidR="001471C4" w:rsidRPr="00EA1355" w:rsidRDefault="001471C4" w:rsidP="00354F80">
      <w:pPr>
        <w:pStyle w:val="FootnoteText"/>
        <w:rPr>
          <w:sz w:val="16"/>
          <w:szCs w:val="16"/>
          <w:lang w:val="es-ES_tradnl"/>
        </w:rPr>
      </w:pPr>
      <w:r w:rsidRPr="00EA1355">
        <w:rPr>
          <w:rStyle w:val="FootnoteReference"/>
          <w:sz w:val="16"/>
          <w:szCs w:val="16"/>
        </w:rPr>
        <w:footnoteRef/>
      </w:r>
      <w:r w:rsidRPr="00EA1355">
        <w:rPr>
          <w:sz w:val="16"/>
          <w:szCs w:val="16"/>
        </w:rPr>
        <w:t xml:space="preserve"> </w:t>
      </w:r>
      <w:r w:rsidRPr="00EA1355">
        <w:rPr>
          <w:sz w:val="16"/>
          <w:szCs w:val="16"/>
          <w:lang w:val="es-EC"/>
        </w:rPr>
        <w:t>Decreto 111 de 1996</w:t>
      </w:r>
    </w:p>
  </w:footnote>
  <w:footnote w:id="53">
    <w:p w:rsidR="001471C4" w:rsidRPr="00EA1355" w:rsidRDefault="001471C4" w:rsidP="004E756C">
      <w:pPr>
        <w:pStyle w:val="FootnoteText"/>
        <w:rPr>
          <w:sz w:val="16"/>
          <w:szCs w:val="16"/>
        </w:rPr>
      </w:pPr>
      <w:r w:rsidRPr="00EA1355">
        <w:rPr>
          <w:rStyle w:val="FootnoteReference"/>
          <w:sz w:val="16"/>
          <w:szCs w:val="16"/>
        </w:rPr>
        <w:footnoteRef/>
      </w:r>
      <w:r w:rsidRPr="00EA1355">
        <w:rPr>
          <w:sz w:val="16"/>
          <w:szCs w:val="16"/>
        </w:rPr>
        <w:t xml:space="preserve"> </w:t>
      </w:r>
      <w:hyperlink r:id="rId14" w:history="1">
        <w:r w:rsidRPr="00EA1355">
          <w:rPr>
            <w:rStyle w:val="Hyperlink"/>
            <w:sz w:val="16"/>
            <w:szCs w:val="16"/>
          </w:rPr>
          <w:t>http://www.auditoria.gov.co/Objetivos-Y-funciones</w:t>
        </w:r>
      </w:hyperlink>
      <w:r w:rsidRPr="00EA1355">
        <w:rPr>
          <w:sz w:val="16"/>
          <w:szCs w:val="16"/>
        </w:rPr>
        <w:t xml:space="preserve"> </w:t>
      </w:r>
    </w:p>
  </w:footnote>
  <w:footnote w:id="54">
    <w:p w:rsidR="001471C4" w:rsidRPr="00EA1355" w:rsidRDefault="001471C4" w:rsidP="002761DF">
      <w:pPr>
        <w:pStyle w:val="FootnoteText"/>
        <w:rPr>
          <w:sz w:val="16"/>
          <w:szCs w:val="16"/>
        </w:rPr>
      </w:pPr>
      <w:r w:rsidRPr="00EA1355">
        <w:rPr>
          <w:rStyle w:val="FootnoteReference"/>
          <w:sz w:val="16"/>
          <w:szCs w:val="16"/>
        </w:rPr>
        <w:footnoteRef/>
      </w:r>
      <w:r w:rsidRPr="00EA1355">
        <w:rPr>
          <w:sz w:val="16"/>
          <w:szCs w:val="16"/>
        </w:rPr>
        <w:t xml:space="preserve"> </w:t>
      </w:r>
      <w:r w:rsidRPr="00EA1355">
        <w:rPr>
          <w:sz w:val="16"/>
          <w:szCs w:val="16"/>
          <w:lang w:val="es-EC"/>
        </w:rPr>
        <w:t>Si un criterio dentro de una dimensión se calificase NA o SC, debe considerarse al criterio como satisfecho al contabilizar en una lista el número de criterios satisfechos. SAI PMF versión Piloto, pg. 36</w:t>
      </w:r>
    </w:p>
  </w:footnote>
  <w:footnote w:id="55">
    <w:p w:rsidR="001471C4" w:rsidRPr="00EA1355" w:rsidRDefault="001471C4" w:rsidP="00B4265E">
      <w:pPr>
        <w:pStyle w:val="FootnoteText"/>
        <w:jc w:val="both"/>
        <w:rPr>
          <w:sz w:val="16"/>
          <w:szCs w:val="16"/>
        </w:rPr>
      </w:pPr>
      <w:r w:rsidRPr="00EA1355">
        <w:rPr>
          <w:rStyle w:val="FootnoteReference"/>
          <w:sz w:val="16"/>
          <w:szCs w:val="16"/>
        </w:rPr>
        <w:footnoteRef/>
      </w:r>
      <w:r w:rsidRPr="00EA1355">
        <w:rPr>
          <w:sz w:val="16"/>
          <w:szCs w:val="16"/>
        </w:rPr>
        <w:t xml:space="preserve"> </w:t>
      </w:r>
      <w:r w:rsidRPr="00EA1355">
        <w:rPr>
          <w:sz w:val="16"/>
          <w:szCs w:val="16"/>
          <w:lang w:val="es-EC"/>
        </w:rPr>
        <w:t>Si un criterio dentro de una dimensión se calificase NA o SC, debe considerarse al criterio como satisfecho al contabilizar en una lista el número de criterios satisfechos. Si más de dos criterios son calificados como NA o SC, el indicador global debe calificarse como NA o SC. SAI PMF Piloto, pg. 36</w:t>
      </w:r>
    </w:p>
  </w:footnote>
  <w:footnote w:id="56">
    <w:p w:rsidR="00EA1355" w:rsidRDefault="00EA1355" w:rsidP="00F45668">
      <w:pPr>
        <w:pStyle w:val="FootnoteText"/>
        <w:rPr>
          <w:sz w:val="16"/>
          <w:szCs w:val="16"/>
        </w:rPr>
      </w:pPr>
    </w:p>
    <w:p w:rsidR="001471C4" w:rsidRPr="00607ACE" w:rsidRDefault="001471C4" w:rsidP="00F45668">
      <w:pPr>
        <w:pStyle w:val="FootnoteText"/>
        <w:rPr>
          <w:sz w:val="16"/>
          <w:szCs w:val="16"/>
          <w:lang w:val="es-ES_tradnl"/>
        </w:rPr>
      </w:pPr>
      <w:r w:rsidRPr="00607ACE">
        <w:rPr>
          <w:rStyle w:val="FootnoteReference"/>
          <w:sz w:val="16"/>
          <w:szCs w:val="16"/>
        </w:rPr>
        <w:footnoteRef/>
      </w:r>
      <w:r w:rsidRPr="00607ACE">
        <w:rPr>
          <w:sz w:val="16"/>
          <w:szCs w:val="16"/>
        </w:rPr>
        <w:t xml:space="preserve"> </w:t>
      </w:r>
      <w:r w:rsidRPr="00607ACE">
        <w:rPr>
          <w:sz w:val="16"/>
          <w:szCs w:val="16"/>
          <w:lang w:val="es-EC"/>
        </w:rPr>
        <w:t>Art. 21 del Decreto 267 de 2000</w:t>
      </w:r>
    </w:p>
  </w:footnote>
  <w:footnote w:id="57">
    <w:p w:rsidR="001471C4" w:rsidRPr="00607ACE" w:rsidRDefault="001471C4" w:rsidP="00F45668">
      <w:pPr>
        <w:pStyle w:val="FootnoteText"/>
        <w:rPr>
          <w:sz w:val="16"/>
          <w:szCs w:val="16"/>
          <w:lang w:val="es-ES_tradnl"/>
        </w:rPr>
      </w:pPr>
      <w:r w:rsidRPr="00607ACE">
        <w:rPr>
          <w:rStyle w:val="FootnoteReference"/>
          <w:sz w:val="16"/>
          <w:szCs w:val="16"/>
        </w:rPr>
        <w:footnoteRef/>
      </w:r>
      <w:r w:rsidRPr="00607ACE">
        <w:rPr>
          <w:sz w:val="16"/>
          <w:szCs w:val="16"/>
        </w:rPr>
        <w:t xml:space="preserve"> </w:t>
      </w:r>
      <w:r w:rsidRPr="00607ACE">
        <w:rPr>
          <w:sz w:val="16"/>
          <w:szCs w:val="16"/>
          <w:lang w:val="es-EC"/>
        </w:rPr>
        <w:t>Título IV de la Resolución 043 de 2006</w:t>
      </w:r>
    </w:p>
  </w:footnote>
  <w:footnote w:id="58">
    <w:p w:rsidR="001471C4" w:rsidRPr="00607ACE" w:rsidRDefault="001471C4" w:rsidP="00313C59">
      <w:pPr>
        <w:pStyle w:val="FootnoteText"/>
        <w:rPr>
          <w:sz w:val="16"/>
          <w:szCs w:val="16"/>
          <w:lang w:val="es-ES_tradnl"/>
        </w:rPr>
      </w:pPr>
      <w:r w:rsidRPr="00607ACE">
        <w:rPr>
          <w:rStyle w:val="FootnoteReference"/>
          <w:sz w:val="16"/>
          <w:szCs w:val="16"/>
        </w:rPr>
        <w:footnoteRef/>
      </w:r>
      <w:r w:rsidRPr="00607ACE">
        <w:rPr>
          <w:sz w:val="16"/>
          <w:szCs w:val="16"/>
        </w:rPr>
        <w:t xml:space="preserve"> </w:t>
      </w:r>
      <w:r w:rsidRPr="00607ACE">
        <w:rPr>
          <w:sz w:val="16"/>
          <w:szCs w:val="16"/>
          <w:lang w:val="es-EC"/>
        </w:rPr>
        <w:t>Decreto 271 de 2000</w:t>
      </w:r>
    </w:p>
  </w:footnote>
  <w:footnote w:id="59">
    <w:p w:rsidR="001471C4" w:rsidRPr="00607ACE" w:rsidRDefault="001471C4" w:rsidP="00F45668">
      <w:pPr>
        <w:pStyle w:val="FootnoteText"/>
        <w:rPr>
          <w:sz w:val="16"/>
          <w:szCs w:val="16"/>
          <w:lang w:val="es-ES_tradnl"/>
        </w:rPr>
      </w:pPr>
      <w:r w:rsidRPr="00607ACE">
        <w:rPr>
          <w:rStyle w:val="FootnoteReference"/>
          <w:sz w:val="16"/>
          <w:szCs w:val="16"/>
        </w:rPr>
        <w:footnoteRef/>
      </w:r>
      <w:r w:rsidRPr="00607ACE">
        <w:rPr>
          <w:sz w:val="16"/>
          <w:szCs w:val="16"/>
        </w:rPr>
        <w:t xml:space="preserve"> </w:t>
      </w:r>
      <w:r w:rsidRPr="00607ACE">
        <w:rPr>
          <w:sz w:val="16"/>
          <w:szCs w:val="16"/>
          <w:lang w:val="es-EC"/>
        </w:rPr>
        <w:t>Numeral 10 del artículo 268 de la Constitución Política y Decreto 268 de 2000</w:t>
      </w:r>
      <w:r w:rsidRPr="00607ACE">
        <w:rPr>
          <w:sz w:val="16"/>
          <w:szCs w:val="16"/>
          <w:lang w:val="es-ES_tradnl"/>
        </w:rPr>
        <w:t xml:space="preserve">   </w:t>
      </w:r>
    </w:p>
  </w:footnote>
  <w:footnote w:id="60">
    <w:p w:rsidR="001471C4" w:rsidRPr="00EA1355" w:rsidRDefault="001471C4" w:rsidP="00F45668">
      <w:pPr>
        <w:pStyle w:val="NoSpacing"/>
        <w:rPr>
          <w:sz w:val="16"/>
          <w:szCs w:val="16"/>
          <w:lang w:val="es-ES_tradnl"/>
        </w:rPr>
      </w:pPr>
      <w:r w:rsidRPr="00EA1355">
        <w:rPr>
          <w:rStyle w:val="FootnoteReference"/>
          <w:sz w:val="16"/>
          <w:szCs w:val="16"/>
        </w:rPr>
        <w:footnoteRef/>
      </w:r>
      <w:r w:rsidRPr="00EA1355">
        <w:rPr>
          <w:sz w:val="16"/>
          <w:szCs w:val="16"/>
          <w:lang w:val="es-EC"/>
        </w:rPr>
        <w:t xml:space="preserve"> </w:t>
      </w:r>
      <w:r w:rsidRPr="00EA1355">
        <w:rPr>
          <w:rFonts w:ascii="Calibri" w:eastAsia="Times New Roman" w:hAnsi="Calibri" w:cs="Times New Roman"/>
          <w:sz w:val="16"/>
          <w:szCs w:val="16"/>
          <w:lang w:val="es-EC" w:eastAsia="nb-NO"/>
        </w:rPr>
        <w:t>Art. 209 Constitución Política, Artículo 3 del Código Contencioso Administrativo</w:t>
      </w:r>
    </w:p>
  </w:footnote>
  <w:footnote w:id="61">
    <w:p w:rsidR="001471C4" w:rsidRPr="00EA1355" w:rsidRDefault="001471C4" w:rsidP="00F45668">
      <w:pPr>
        <w:pStyle w:val="FootnoteText"/>
        <w:rPr>
          <w:sz w:val="16"/>
          <w:szCs w:val="16"/>
          <w:lang w:val="es-ES_tradnl"/>
        </w:rPr>
      </w:pPr>
      <w:r w:rsidRPr="00EA1355">
        <w:rPr>
          <w:rStyle w:val="FootnoteReference"/>
          <w:sz w:val="16"/>
          <w:szCs w:val="16"/>
        </w:rPr>
        <w:footnoteRef/>
      </w:r>
      <w:r w:rsidRPr="00EA1355">
        <w:rPr>
          <w:sz w:val="16"/>
          <w:szCs w:val="16"/>
        </w:rPr>
        <w:t xml:space="preserve"> </w:t>
      </w:r>
      <w:r w:rsidRPr="00EA1355">
        <w:rPr>
          <w:sz w:val="16"/>
          <w:szCs w:val="16"/>
          <w:lang w:val="es-EC"/>
        </w:rPr>
        <w:t>Resolución 043 de 2006</w:t>
      </w:r>
    </w:p>
  </w:footnote>
  <w:footnote w:id="62">
    <w:p w:rsidR="001471C4" w:rsidRPr="00EA1355" w:rsidRDefault="001471C4" w:rsidP="0032698C">
      <w:pPr>
        <w:spacing w:after="0" w:line="240" w:lineRule="auto"/>
        <w:jc w:val="both"/>
        <w:rPr>
          <w:b/>
          <w:sz w:val="16"/>
          <w:szCs w:val="16"/>
          <w:lang w:val="es-EC"/>
        </w:rPr>
      </w:pPr>
      <w:r w:rsidRPr="00EA1355">
        <w:rPr>
          <w:rStyle w:val="FootnoteReference"/>
          <w:sz w:val="16"/>
          <w:szCs w:val="16"/>
        </w:rPr>
        <w:footnoteRef/>
      </w:r>
      <w:r w:rsidRPr="00EA1355">
        <w:rPr>
          <w:sz w:val="16"/>
          <w:szCs w:val="16"/>
          <w:lang w:val="es-EC"/>
        </w:rPr>
        <w:t xml:space="preserve"> </w:t>
      </w:r>
      <w:hyperlink r:id="rId15" w:history="1">
        <w:r w:rsidRPr="00EA1355">
          <w:rPr>
            <w:rStyle w:val="Hyperlink"/>
            <w:sz w:val="16"/>
            <w:szCs w:val="16"/>
          </w:rPr>
          <w:t>https://concursocontraloria.co</w:t>
        </w:r>
      </w:hyperlink>
    </w:p>
  </w:footnote>
  <w:footnote w:id="63">
    <w:p w:rsidR="001471C4" w:rsidRPr="00EA1355" w:rsidRDefault="001471C4" w:rsidP="0032698C">
      <w:pPr>
        <w:pStyle w:val="NoSpacing"/>
        <w:jc w:val="both"/>
        <w:rPr>
          <w:sz w:val="16"/>
          <w:szCs w:val="16"/>
          <w:lang w:val="es-ES_tradnl"/>
        </w:rPr>
      </w:pPr>
      <w:r w:rsidRPr="00EA1355">
        <w:rPr>
          <w:rStyle w:val="FootnoteReference"/>
          <w:rFonts w:eastAsiaTheme="minorHAnsi"/>
          <w:sz w:val="16"/>
          <w:szCs w:val="16"/>
        </w:rPr>
        <w:footnoteRef/>
      </w:r>
      <w:r w:rsidRPr="00EA1355">
        <w:rPr>
          <w:sz w:val="16"/>
          <w:szCs w:val="16"/>
          <w:lang w:val="es-ES_tradnl"/>
        </w:rPr>
        <w:t xml:space="preserve"> </w:t>
      </w:r>
      <w:r w:rsidRPr="00EA1355">
        <w:rPr>
          <w:rFonts w:ascii="Calibri" w:eastAsia="Times New Roman" w:hAnsi="Calibri" w:cs="Times New Roman"/>
          <w:sz w:val="16"/>
          <w:szCs w:val="16"/>
          <w:lang w:val="es-EC" w:eastAsia="nb-NO"/>
        </w:rPr>
        <w:t>Si un criterio dentro de una dimensión se calificase NA o SC, debe considerarse al criterio como satisfecho al contabilizar en una lista el número de criterios satisfechos. Si más de dos criterios son calificados como NA o SC, el indicador global debe calificarse como NA o SC. SAI PMF Piloto, pg. 36</w:t>
      </w:r>
    </w:p>
  </w:footnote>
  <w:footnote w:id="64">
    <w:p w:rsidR="001471C4" w:rsidRPr="00EA1355" w:rsidRDefault="001471C4" w:rsidP="00B4265E">
      <w:pPr>
        <w:pStyle w:val="FootnoteText"/>
        <w:jc w:val="both"/>
        <w:rPr>
          <w:sz w:val="16"/>
          <w:szCs w:val="16"/>
          <w:lang w:val="es-ES_tradnl"/>
        </w:rPr>
      </w:pPr>
      <w:r w:rsidRPr="00EA1355">
        <w:rPr>
          <w:rStyle w:val="FootnoteReference"/>
          <w:sz w:val="16"/>
          <w:szCs w:val="16"/>
        </w:rPr>
        <w:footnoteRef/>
      </w:r>
      <w:r w:rsidRPr="00EA1355">
        <w:rPr>
          <w:sz w:val="16"/>
          <w:szCs w:val="16"/>
        </w:rPr>
        <w:t xml:space="preserve"> </w:t>
      </w:r>
      <w:r w:rsidRPr="00EA1355">
        <w:rPr>
          <w:sz w:val="16"/>
          <w:szCs w:val="16"/>
          <w:lang w:val="es-EC"/>
        </w:rPr>
        <w:t>Reglamentado en el Título III de la Resolución 043 de 2006</w:t>
      </w:r>
    </w:p>
  </w:footnote>
  <w:footnote w:id="65">
    <w:p w:rsidR="001471C4" w:rsidRPr="00EA1355" w:rsidRDefault="001471C4" w:rsidP="00B4265E">
      <w:pPr>
        <w:pStyle w:val="FootnoteText"/>
        <w:jc w:val="both"/>
        <w:rPr>
          <w:sz w:val="16"/>
          <w:szCs w:val="16"/>
          <w:lang w:val="es-ES_tradnl"/>
        </w:rPr>
      </w:pPr>
      <w:r w:rsidRPr="00EA1355">
        <w:rPr>
          <w:rStyle w:val="FootnoteReference"/>
          <w:sz w:val="16"/>
          <w:szCs w:val="16"/>
        </w:rPr>
        <w:footnoteRef/>
      </w:r>
      <w:r w:rsidRPr="00EA1355">
        <w:rPr>
          <w:sz w:val="16"/>
          <w:szCs w:val="16"/>
        </w:rPr>
        <w:t xml:space="preserve"> </w:t>
      </w:r>
      <w:r w:rsidRPr="00EA1355">
        <w:rPr>
          <w:sz w:val="16"/>
          <w:szCs w:val="16"/>
          <w:lang w:val="es-EC"/>
        </w:rPr>
        <w:t>Título IV de la Ley 106 de 1993</w:t>
      </w:r>
    </w:p>
  </w:footnote>
  <w:footnote w:id="66">
    <w:p w:rsidR="001471C4" w:rsidRPr="00EA1355" w:rsidRDefault="001471C4" w:rsidP="00B4265E">
      <w:pPr>
        <w:pStyle w:val="FootnoteText"/>
        <w:jc w:val="both"/>
        <w:rPr>
          <w:sz w:val="16"/>
          <w:szCs w:val="16"/>
          <w:lang w:val="es-ES_tradnl"/>
        </w:rPr>
      </w:pPr>
      <w:r w:rsidRPr="00EA1355">
        <w:rPr>
          <w:rStyle w:val="FootnoteReference"/>
          <w:sz w:val="16"/>
          <w:szCs w:val="16"/>
        </w:rPr>
        <w:footnoteRef/>
      </w:r>
      <w:r w:rsidRPr="00EA1355">
        <w:rPr>
          <w:sz w:val="16"/>
          <w:szCs w:val="16"/>
        </w:rPr>
        <w:t xml:space="preserve"> </w:t>
      </w:r>
      <w:r w:rsidRPr="00EA1355">
        <w:rPr>
          <w:sz w:val="16"/>
          <w:szCs w:val="16"/>
          <w:lang w:val="es-EC"/>
        </w:rPr>
        <w:t>Artículo 18 del Decreto Ley 268 de 2000</w:t>
      </w:r>
    </w:p>
  </w:footnote>
  <w:footnote w:id="67">
    <w:p w:rsidR="001471C4" w:rsidRPr="00EA1355" w:rsidRDefault="001471C4" w:rsidP="00B93BCD">
      <w:pPr>
        <w:pStyle w:val="NoSpacing"/>
        <w:rPr>
          <w:sz w:val="16"/>
          <w:szCs w:val="16"/>
          <w:lang w:val="es-ES_tradnl"/>
        </w:rPr>
      </w:pPr>
      <w:r w:rsidRPr="00EA1355">
        <w:rPr>
          <w:rStyle w:val="FootnoteReference"/>
          <w:sz w:val="16"/>
          <w:szCs w:val="16"/>
        </w:rPr>
        <w:footnoteRef/>
      </w:r>
      <w:r w:rsidRPr="00EA1355">
        <w:rPr>
          <w:sz w:val="16"/>
          <w:szCs w:val="16"/>
          <w:lang w:val="es-CO"/>
        </w:rPr>
        <w:t xml:space="preserve"> </w:t>
      </w:r>
      <w:r w:rsidRPr="00EA1355">
        <w:rPr>
          <w:rFonts w:ascii="Calibri" w:eastAsia="Times New Roman" w:hAnsi="Calibri" w:cs="Times New Roman"/>
          <w:sz w:val="16"/>
          <w:szCs w:val="16"/>
          <w:lang w:val="es-EC" w:eastAsia="nb-NO"/>
        </w:rPr>
        <w:t xml:space="preserve">Manual de Procedimientos Capacitación Curricular y Extracurricular, Estatuto de Capacitación para los servidores públicos de la CGRC (Resolución Reglamentaria 0110 de 2010)  </w:t>
      </w:r>
    </w:p>
    <w:p w:rsidR="001471C4" w:rsidRPr="007C4C52" w:rsidRDefault="001471C4" w:rsidP="00B93BCD">
      <w:pPr>
        <w:pStyle w:val="FootnoteText"/>
        <w:rPr>
          <w:lang w:val="es-ES_tradnl"/>
        </w:rPr>
      </w:pPr>
    </w:p>
  </w:footnote>
  <w:footnote w:id="68">
    <w:p w:rsidR="001471C4" w:rsidRPr="00B02C0F" w:rsidRDefault="001471C4" w:rsidP="00B93BCD">
      <w:pPr>
        <w:pStyle w:val="FootnoteText"/>
        <w:rPr>
          <w:sz w:val="16"/>
          <w:szCs w:val="16"/>
          <w:lang w:val="es-ES_tradnl"/>
        </w:rPr>
      </w:pPr>
      <w:r w:rsidRPr="00B02C0F">
        <w:rPr>
          <w:rStyle w:val="FootnoteReference"/>
          <w:sz w:val="16"/>
          <w:szCs w:val="16"/>
        </w:rPr>
        <w:footnoteRef/>
      </w:r>
      <w:r w:rsidRPr="00B02C0F">
        <w:rPr>
          <w:rStyle w:val="FootnoteReference"/>
          <w:sz w:val="16"/>
          <w:szCs w:val="16"/>
        </w:rPr>
        <w:t xml:space="preserve"> </w:t>
      </w:r>
      <w:r w:rsidRPr="00B02C0F">
        <w:rPr>
          <w:sz w:val="16"/>
          <w:szCs w:val="16"/>
          <w:lang w:val="es-EC"/>
        </w:rPr>
        <w:t>Resolución Reglamentaria 0067 de 2008</w:t>
      </w:r>
    </w:p>
  </w:footnote>
  <w:footnote w:id="69">
    <w:p w:rsidR="001471C4" w:rsidRPr="00EA1355" w:rsidRDefault="001471C4" w:rsidP="00745506">
      <w:pPr>
        <w:pStyle w:val="FootnoteText"/>
        <w:rPr>
          <w:sz w:val="16"/>
          <w:szCs w:val="16"/>
          <w:lang w:val="es-ES_tradnl"/>
        </w:rPr>
      </w:pPr>
      <w:r w:rsidRPr="00EA1355">
        <w:rPr>
          <w:rStyle w:val="FootnoteReference"/>
          <w:sz w:val="16"/>
          <w:szCs w:val="16"/>
        </w:rPr>
        <w:footnoteRef/>
      </w:r>
      <w:r w:rsidRPr="00EA1355">
        <w:rPr>
          <w:sz w:val="16"/>
          <w:szCs w:val="16"/>
        </w:rPr>
        <w:t xml:space="preserve"> </w:t>
      </w:r>
      <w:hyperlink r:id="rId16" w:history="1">
        <w:r w:rsidRPr="00EA1355">
          <w:rPr>
            <w:rStyle w:val="Hyperlink"/>
            <w:sz w:val="16"/>
            <w:szCs w:val="16"/>
            <w:lang w:val="es-ES_tradnl"/>
          </w:rPr>
          <w:t>http://www.Contraloria.gov.co/web/guest/plan-estrategico-2014-2018</w:t>
        </w:r>
      </w:hyperlink>
    </w:p>
  </w:footnote>
  <w:footnote w:id="70">
    <w:p w:rsidR="001471C4" w:rsidRPr="00EA1355" w:rsidRDefault="001471C4" w:rsidP="00B02C0F">
      <w:pPr>
        <w:pStyle w:val="NoSpacing"/>
        <w:rPr>
          <w:sz w:val="16"/>
          <w:szCs w:val="16"/>
          <w:lang w:val="es-ES_tradnl"/>
        </w:rPr>
      </w:pPr>
      <w:r w:rsidRPr="00EA1355">
        <w:rPr>
          <w:rStyle w:val="FootnoteReference"/>
          <w:sz w:val="16"/>
          <w:szCs w:val="16"/>
        </w:rPr>
        <w:footnoteRef/>
      </w:r>
      <w:r w:rsidRPr="00EA1355">
        <w:rPr>
          <w:sz w:val="16"/>
          <w:szCs w:val="16"/>
          <w:lang w:val="es-ES_tradnl"/>
        </w:rPr>
        <w:t xml:space="preserve"> </w:t>
      </w:r>
      <w:r w:rsidR="00233205">
        <w:fldChar w:fldCharType="begin"/>
      </w:r>
      <w:r w:rsidR="00233205" w:rsidRPr="00233205">
        <w:rPr>
          <w:lang w:val="es-ES_tradnl"/>
        </w:rPr>
        <w:instrText xml:space="preserve"> HYPERLINK "http://www.Contraloria.gov.co/web/guest/rtcongreso" </w:instrText>
      </w:r>
      <w:r w:rsidR="00233205">
        <w:fldChar w:fldCharType="separate"/>
      </w:r>
      <w:r w:rsidRPr="00EA1355">
        <w:rPr>
          <w:rStyle w:val="Hyperlink"/>
          <w:sz w:val="16"/>
          <w:szCs w:val="16"/>
          <w:lang w:val="es-ES_tradnl"/>
        </w:rPr>
        <w:t>http://www.Contraloria.gov.co/web/guest/rtcongreso</w:t>
      </w:r>
      <w:r w:rsidR="00233205">
        <w:rPr>
          <w:rStyle w:val="Hyperlink"/>
          <w:sz w:val="16"/>
          <w:szCs w:val="16"/>
          <w:lang w:val="es-ES_tradnl"/>
        </w:rPr>
        <w:fldChar w:fldCharType="end"/>
      </w:r>
      <w:r w:rsidRPr="00EA1355">
        <w:rPr>
          <w:sz w:val="16"/>
          <w:szCs w:val="16"/>
          <w:lang w:val="es-ES_tradnl"/>
        </w:rPr>
        <w:t xml:space="preserve">   </w:t>
      </w:r>
    </w:p>
  </w:footnote>
  <w:footnote w:id="71">
    <w:p w:rsidR="001471C4" w:rsidRPr="00EA1355" w:rsidRDefault="001471C4" w:rsidP="004C5483">
      <w:pPr>
        <w:pStyle w:val="FootnoteText"/>
        <w:rPr>
          <w:sz w:val="16"/>
          <w:szCs w:val="16"/>
          <w:lang w:val="es-ES_tradnl"/>
        </w:rPr>
      </w:pPr>
      <w:r w:rsidRPr="00EA1355">
        <w:rPr>
          <w:rStyle w:val="FootnoteReference"/>
          <w:sz w:val="16"/>
          <w:szCs w:val="16"/>
        </w:rPr>
        <w:footnoteRef/>
      </w:r>
      <w:r w:rsidRPr="00EA1355">
        <w:rPr>
          <w:sz w:val="16"/>
          <w:szCs w:val="16"/>
        </w:rPr>
        <w:t xml:space="preserve"> Art. 267, </w:t>
      </w:r>
      <w:r w:rsidRPr="00EA1355">
        <w:rPr>
          <w:sz w:val="16"/>
          <w:szCs w:val="16"/>
          <w:lang w:val="es-ES_tradnl"/>
        </w:rPr>
        <w:t>Constitución Política de Colombia</w:t>
      </w:r>
    </w:p>
  </w:footnote>
  <w:footnote w:id="72">
    <w:p w:rsidR="001471C4" w:rsidRPr="00EA1355" w:rsidRDefault="001471C4" w:rsidP="00E43108">
      <w:pPr>
        <w:spacing w:after="0" w:line="240" w:lineRule="auto"/>
        <w:rPr>
          <w:color w:val="0000FF" w:themeColor="hyperlink"/>
          <w:sz w:val="16"/>
          <w:szCs w:val="16"/>
          <w:u w:val="single"/>
          <w:lang w:val="es-CO"/>
        </w:rPr>
      </w:pPr>
      <w:r w:rsidRPr="00EA1355">
        <w:rPr>
          <w:rStyle w:val="FootnoteReference"/>
          <w:sz w:val="16"/>
          <w:szCs w:val="16"/>
        </w:rPr>
        <w:footnoteRef/>
      </w:r>
      <w:r w:rsidRPr="00EA1355">
        <w:rPr>
          <w:sz w:val="16"/>
          <w:szCs w:val="16"/>
          <w:lang w:val="es-CO"/>
        </w:rPr>
        <w:t xml:space="preserve"> </w:t>
      </w:r>
      <w:hyperlink r:id="rId17" w:history="1">
        <w:r w:rsidRPr="00EA1355">
          <w:rPr>
            <w:rStyle w:val="Hyperlink"/>
            <w:sz w:val="16"/>
            <w:szCs w:val="16"/>
            <w:lang w:val="es-CO"/>
          </w:rPr>
          <w:t>https://www.youtube.com/user/ContraloriaColombia/featured</w:t>
        </w:r>
      </w:hyperlink>
      <w:r w:rsidRPr="00EA1355">
        <w:rPr>
          <w:rStyle w:val="Hyperlink"/>
          <w:sz w:val="16"/>
          <w:szCs w:val="16"/>
          <w:lang w:val="es-CO"/>
        </w:rPr>
        <w:t xml:space="preserve"> </w:t>
      </w:r>
    </w:p>
  </w:footnote>
  <w:footnote w:id="73">
    <w:p w:rsidR="001471C4" w:rsidRPr="00EA1355" w:rsidRDefault="001471C4" w:rsidP="00846EA3">
      <w:pPr>
        <w:spacing w:after="0" w:line="240" w:lineRule="auto"/>
        <w:rPr>
          <w:color w:val="0000FF" w:themeColor="hyperlink"/>
          <w:sz w:val="16"/>
          <w:szCs w:val="16"/>
          <w:u w:val="single"/>
          <w:lang w:val="es-CO"/>
        </w:rPr>
      </w:pPr>
      <w:r w:rsidRPr="00EA1355">
        <w:rPr>
          <w:rStyle w:val="FootnoteReference"/>
          <w:sz w:val="16"/>
          <w:szCs w:val="16"/>
        </w:rPr>
        <w:footnoteRef/>
      </w:r>
      <w:r w:rsidRPr="00EA1355">
        <w:rPr>
          <w:sz w:val="16"/>
          <w:szCs w:val="16"/>
          <w:lang w:val="es-CO"/>
        </w:rPr>
        <w:t xml:space="preserve"> </w:t>
      </w:r>
      <w:hyperlink r:id="rId18" w:history="1">
        <w:r w:rsidRPr="00EA1355">
          <w:rPr>
            <w:rStyle w:val="Hyperlink"/>
            <w:sz w:val="16"/>
            <w:szCs w:val="16"/>
            <w:lang w:val="es-CO"/>
          </w:rPr>
          <w:t>http://www.Contraloria.gov.co/web/guest/boletines-2014</w:t>
        </w:r>
      </w:hyperlink>
    </w:p>
  </w:footnote>
  <w:footnote w:id="74">
    <w:p w:rsidR="001471C4" w:rsidRPr="00EA1355" w:rsidRDefault="001471C4" w:rsidP="00E43108">
      <w:pPr>
        <w:pStyle w:val="NoSpacing"/>
        <w:rPr>
          <w:sz w:val="16"/>
          <w:szCs w:val="16"/>
          <w:lang w:val="es-ES_tradnl"/>
        </w:rPr>
      </w:pPr>
      <w:r w:rsidRPr="00EA1355">
        <w:rPr>
          <w:rStyle w:val="FootnoteReference"/>
          <w:sz w:val="16"/>
          <w:szCs w:val="16"/>
        </w:rPr>
        <w:footnoteRef/>
      </w:r>
      <w:r w:rsidRPr="00EA1355">
        <w:rPr>
          <w:sz w:val="16"/>
          <w:szCs w:val="16"/>
          <w:lang w:val="es-CO"/>
        </w:rPr>
        <w:t xml:space="preserve"> </w:t>
      </w:r>
      <w:r w:rsidR="00233205">
        <w:fldChar w:fldCharType="begin"/>
      </w:r>
      <w:r w:rsidR="00233205" w:rsidRPr="00233205">
        <w:rPr>
          <w:lang w:val="es-CO"/>
        </w:rPr>
        <w:instrText xml:space="preserve"> HYPERLIN</w:instrText>
      </w:r>
      <w:r w:rsidR="00233205" w:rsidRPr="00233205">
        <w:rPr>
          <w:lang w:val="es-CO"/>
        </w:rPr>
        <w:instrText xml:space="preserve">K "http://www.Contraloria.gov.co/web/guest/informes" </w:instrText>
      </w:r>
      <w:r w:rsidR="00233205">
        <w:fldChar w:fldCharType="separate"/>
      </w:r>
      <w:r w:rsidRPr="00EA1355">
        <w:rPr>
          <w:rStyle w:val="Hyperlink"/>
          <w:sz w:val="16"/>
          <w:szCs w:val="16"/>
          <w:lang w:val="es-ES_tradnl"/>
        </w:rPr>
        <w:t>http://www.Contraloria.gov.co/web/guest/informes</w:t>
      </w:r>
      <w:r w:rsidR="00233205">
        <w:rPr>
          <w:rStyle w:val="Hyperlink"/>
          <w:sz w:val="16"/>
          <w:szCs w:val="16"/>
          <w:lang w:val="es-ES_tradnl"/>
        </w:rPr>
        <w:fldChar w:fldCharType="end"/>
      </w:r>
    </w:p>
  </w:footnote>
  <w:footnote w:id="75">
    <w:p w:rsidR="001471C4" w:rsidRPr="00EA1355" w:rsidRDefault="001471C4" w:rsidP="00E60CFB">
      <w:pPr>
        <w:pStyle w:val="FootnoteText"/>
        <w:rPr>
          <w:sz w:val="16"/>
          <w:szCs w:val="16"/>
          <w:lang w:val="es-ES_tradnl"/>
        </w:rPr>
      </w:pPr>
      <w:r w:rsidRPr="00EA1355">
        <w:rPr>
          <w:rStyle w:val="FootnoteReference"/>
          <w:sz w:val="16"/>
          <w:szCs w:val="16"/>
          <w:lang w:val="es-ES_tradnl"/>
        </w:rPr>
        <w:footnoteRef/>
      </w:r>
      <w:r w:rsidRPr="00EA1355">
        <w:rPr>
          <w:sz w:val="16"/>
          <w:szCs w:val="16"/>
          <w:lang w:val="es-ES_tradnl"/>
        </w:rPr>
        <w:t xml:space="preserve"> </w:t>
      </w:r>
      <w:r w:rsidRPr="00EA1355">
        <w:rPr>
          <w:rFonts w:cs="Calibri"/>
          <w:color w:val="000000"/>
          <w:sz w:val="16"/>
          <w:szCs w:val="16"/>
          <w:lang w:val="es-ES_tradnl"/>
        </w:rPr>
        <w:t>Constituida mediante el Decreto 267 de 2000</w:t>
      </w:r>
    </w:p>
  </w:footnote>
  <w:footnote w:id="76">
    <w:p w:rsidR="001471C4" w:rsidRPr="00EA1355" w:rsidRDefault="001471C4" w:rsidP="00FA61A9">
      <w:pPr>
        <w:pStyle w:val="NoSpacing"/>
        <w:rPr>
          <w:sz w:val="16"/>
          <w:szCs w:val="16"/>
          <w:lang w:val="es-ES_tradnl"/>
        </w:rPr>
      </w:pPr>
      <w:r w:rsidRPr="00EA1355">
        <w:rPr>
          <w:rStyle w:val="FootnoteReference"/>
          <w:sz w:val="16"/>
          <w:szCs w:val="16"/>
        </w:rPr>
        <w:footnoteRef/>
      </w:r>
      <w:r w:rsidRPr="00EA1355">
        <w:rPr>
          <w:sz w:val="16"/>
          <w:szCs w:val="16"/>
          <w:lang w:val="es-ES_tradnl"/>
        </w:rPr>
        <w:t xml:space="preserve"> </w:t>
      </w:r>
      <w:r w:rsidR="00233205">
        <w:fldChar w:fldCharType="begin"/>
      </w:r>
      <w:r w:rsidR="00233205" w:rsidRPr="00233205">
        <w:rPr>
          <w:lang w:val="es-ES_tradnl"/>
        </w:rPr>
        <w:instrText xml:space="preserve"> HYPERLINK "http://www.contraloriagen.gov.co/web/guest/participacion-ciudadana-estrategias-del-control-fiscal" </w:instrText>
      </w:r>
      <w:r w:rsidR="00233205">
        <w:fldChar w:fldCharType="separate"/>
      </w:r>
      <w:r w:rsidRPr="00EA1355">
        <w:rPr>
          <w:rStyle w:val="Hyperlink"/>
          <w:rFonts w:ascii="Calibri" w:hAnsi="Calibri" w:cs="Calibri"/>
          <w:sz w:val="16"/>
          <w:szCs w:val="16"/>
          <w:lang w:val="es-ES_tradnl"/>
        </w:rPr>
        <w:t>http://www.contraloriagen.gov.co/web/guest/participacion-ciudadana-estrategias-del-control-fiscal</w:t>
      </w:r>
      <w:r w:rsidR="00233205">
        <w:rPr>
          <w:rStyle w:val="Hyperlink"/>
          <w:rFonts w:ascii="Calibri" w:hAnsi="Calibri" w:cs="Calibri"/>
          <w:sz w:val="16"/>
          <w:szCs w:val="16"/>
          <w:lang w:val="es-ES_tradnl"/>
        </w:rPr>
        <w:fldChar w:fldCharType="end"/>
      </w:r>
    </w:p>
  </w:footnote>
  <w:footnote w:id="77">
    <w:p w:rsidR="001471C4" w:rsidRPr="00EA1355" w:rsidRDefault="001471C4" w:rsidP="00E60CFB">
      <w:pPr>
        <w:pStyle w:val="NoSpacing"/>
        <w:rPr>
          <w:sz w:val="16"/>
          <w:szCs w:val="16"/>
          <w:lang w:val="es-ES_tradnl"/>
        </w:rPr>
      </w:pPr>
      <w:r w:rsidRPr="00EA1355">
        <w:rPr>
          <w:rStyle w:val="FootnoteReference"/>
          <w:sz w:val="16"/>
          <w:szCs w:val="16"/>
        </w:rPr>
        <w:footnoteRef/>
      </w:r>
      <w:r w:rsidRPr="00EA1355">
        <w:rPr>
          <w:sz w:val="16"/>
          <w:szCs w:val="16"/>
          <w:lang w:val="es-ES_tradnl"/>
        </w:rPr>
        <w:t xml:space="preserve"> </w:t>
      </w:r>
      <w:r w:rsidR="00233205">
        <w:fldChar w:fldCharType="begin"/>
      </w:r>
      <w:r w:rsidR="00233205" w:rsidRPr="00233205">
        <w:rPr>
          <w:lang w:val="es-ES_tradnl"/>
        </w:rPr>
        <w:instrText xml:space="preserve"> HYPERLINK "http://www.contraloriagen.gov.</w:instrText>
      </w:r>
      <w:r w:rsidR="00233205" w:rsidRPr="00233205">
        <w:rPr>
          <w:lang w:val="es-ES_tradnl"/>
        </w:rPr>
        <w:instrText xml:space="preserve">co/web/guest/inicio" </w:instrText>
      </w:r>
      <w:r w:rsidR="00233205">
        <w:fldChar w:fldCharType="separate"/>
      </w:r>
      <w:r w:rsidRPr="00EA1355">
        <w:rPr>
          <w:rStyle w:val="Hyperlink"/>
          <w:sz w:val="16"/>
          <w:szCs w:val="16"/>
          <w:lang w:val="es-ES_tradnl"/>
        </w:rPr>
        <w:t>http://www.contraloriagen.gov.co/web/guest/inicio</w:t>
      </w:r>
      <w:r w:rsidR="00233205">
        <w:rPr>
          <w:rStyle w:val="Hyperlink"/>
          <w:sz w:val="16"/>
          <w:szCs w:val="16"/>
          <w:lang w:val="es-ES_tradnl"/>
        </w:rPr>
        <w:fldChar w:fldCharType="end"/>
      </w:r>
      <w:r w:rsidRPr="00EA1355">
        <w:rPr>
          <w:sz w:val="16"/>
          <w:szCs w:val="16"/>
          <w:lang w:val="es-ES_tradn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1C4" w:rsidRDefault="001471C4">
    <w:pPr>
      <w:pStyle w:val="Header"/>
    </w:pPr>
    <w:r>
      <w:rPr>
        <w:noProof/>
        <w:lang w:val="en-US"/>
      </w:rPr>
      <w:drawing>
        <wp:anchor distT="0" distB="0" distL="114300" distR="114300" simplePos="0" relativeHeight="251658240" behindDoc="0" locked="0" layoutInCell="1" allowOverlap="1" wp14:anchorId="33E3DA66" wp14:editId="473E4515">
          <wp:simplePos x="0" y="0"/>
          <wp:positionH relativeFrom="column">
            <wp:posOffset>4260850</wp:posOffset>
          </wp:positionH>
          <wp:positionV relativeFrom="paragraph">
            <wp:posOffset>-36830</wp:posOffset>
          </wp:positionV>
          <wp:extent cx="2019300" cy="393700"/>
          <wp:effectExtent l="0" t="0" r="0" b="6350"/>
          <wp:wrapSquare wrapText="bothSides"/>
          <wp:docPr id="2" name="Imagen 1" descr="\\localhost\Users\ulisesg\Library\Caches\IDBLogo_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calhost\Users\ulisesg\Library\Caches\IDBLogo_es.gif"/>
                  <pic:cNvPicPr>
                    <a:picLocks noChangeAspect="1" noChangeArrowheads="1"/>
                  </pic:cNvPicPr>
                </pic:nvPicPr>
                <pic:blipFill>
                  <a:blip r:embed="rId1">
                    <a:extLst>
                      <a:ext uri="{28A0092B-C50C-407E-A947-70E740481C1C}">
                        <a14:useLocalDpi xmlns:a14="http://schemas.microsoft.com/office/drawing/2010/main" val="0"/>
                      </a:ext>
                    </a:extLst>
                  </a:blip>
                  <a:srcRect r="12396"/>
                  <a:stretch>
                    <a:fillRect/>
                  </a:stretch>
                </pic:blipFill>
                <pic:spPr bwMode="auto">
                  <a:xfrm>
                    <a:off x="0" y="0"/>
                    <a:ext cx="2019300" cy="393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71C4" w:rsidRDefault="001471C4">
    <w:pPr>
      <w:pStyle w:val="Header"/>
    </w:pPr>
  </w:p>
  <w:p w:rsidR="001471C4" w:rsidRDefault="001471C4" w:rsidP="00B4265E">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205" w:rsidRDefault="00233205" w:rsidP="00BD41D2">
    <w:pPr>
      <w:pStyle w:val="Header"/>
      <w:jc w:val="right"/>
    </w:pPr>
    <w:r>
      <w:rPr>
        <w:noProof/>
        <w:lang w:val="en-US"/>
      </w:rPr>
      <w:drawing>
        <wp:inline distT="0" distB="0" distL="0" distR="0" wp14:anchorId="779985B8" wp14:editId="57ABD429">
          <wp:extent cx="2019300" cy="393700"/>
          <wp:effectExtent l="0" t="0" r="0" b="6350"/>
          <wp:docPr id="3" name="Imagen 2" descr="\\localhost\Users\ulisesg\Library\Caches\IDBLogo_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calhost\Users\ulisesg\Library\Caches\IDBLogo_es.gif"/>
                  <pic:cNvPicPr>
                    <a:picLocks noChangeAspect="1" noChangeArrowheads="1"/>
                  </pic:cNvPicPr>
                </pic:nvPicPr>
                <pic:blipFill>
                  <a:blip r:embed="rId1">
                    <a:extLst>
                      <a:ext uri="{28A0092B-C50C-407E-A947-70E740481C1C}">
                        <a14:useLocalDpi xmlns:a14="http://schemas.microsoft.com/office/drawing/2010/main" val="0"/>
                      </a:ext>
                    </a:extLst>
                  </a:blip>
                  <a:srcRect r="12396"/>
                  <a:stretch>
                    <a:fillRect/>
                  </a:stretch>
                </pic:blipFill>
                <pic:spPr bwMode="auto">
                  <a:xfrm>
                    <a:off x="0" y="0"/>
                    <a:ext cx="2019300" cy="393700"/>
                  </a:xfrm>
                  <a:prstGeom prst="rect">
                    <a:avLst/>
                  </a:prstGeom>
                  <a:noFill/>
                  <a:ln>
                    <a:noFill/>
                  </a:ln>
                </pic:spPr>
              </pic:pic>
            </a:graphicData>
          </a:graphic>
        </wp:inline>
      </w:drawing>
    </w:r>
  </w:p>
  <w:p w:rsidR="00233205" w:rsidRDefault="00233205" w:rsidP="00BD41D2">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F0A" w:rsidRDefault="00233205">
    <w:pPr>
      <w:pStyle w:val="Header"/>
    </w:pPr>
    <w:r>
      <w:rPr>
        <w:noProof/>
      </w:rPr>
      <w:drawing>
        <wp:anchor distT="0" distB="0" distL="114300" distR="114300" simplePos="0" relativeHeight="251660288" behindDoc="0" locked="0" layoutInCell="1" allowOverlap="1" wp14:anchorId="4D71F760" wp14:editId="282BFA30">
          <wp:simplePos x="0" y="0"/>
          <wp:positionH relativeFrom="column">
            <wp:posOffset>4152900</wp:posOffset>
          </wp:positionH>
          <wp:positionV relativeFrom="paragraph">
            <wp:posOffset>-97155</wp:posOffset>
          </wp:positionV>
          <wp:extent cx="2019300" cy="393700"/>
          <wp:effectExtent l="0" t="0" r="12700" b="12700"/>
          <wp:wrapSquare wrapText="bothSides"/>
          <wp:docPr id="5" name="Imagen 2" descr="\\localhost\Users\ulisesg\Library\Caches\IDBLogo_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calhost\Users\ulisesg\Library\Caches\IDBLogo_es.gif"/>
                  <pic:cNvPicPr>
                    <a:picLocks noChangeAspect="1" noChangeArrowheads="1"/>
                  </pic:cNvPicPr>
                </pic:nvPicPr>
                <pic:blipFill>
                  <a:blip r:embed="rId1">
                    <a:extLst>
                      <a:ext uri="{28A0092B-C50C-407E-A947-70E740481C1C}">
                        <a14:useLocalDpi xmlns:a14="http://schemas.microsoft.com/office/drawing/2010/main" val="0"/>
                      </a:ext>
                    </a:extLst>
                  </a:blip>
                  <a:srcRect r="12396"/>
                  <a:stretch>
                    <a:fillRect/>
                  </a:stretch>
                </pic:blipFill>
                <pic:spPr bwMode="auto">
                  <a:xfrm>
                    <a:off x="0" y="0"/>
                    <a:ext cx="2019300" cy="393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5B7E"/>
    <w:multiLevelType w:val="hybridMultilevel"/>
    <w:tmpl w:val="9CE44940"/>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01072544"/>
    <w:multiLevelType w:val="hybridMultilevel"/>
    <w:tmpl w:val="DA686DC0"/>
    <w:lvl w:ilvl="0" w:tplc="0C0A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F6520B"/>
    <w:multiLevelType w:val="hybridMultilevel"/>
    <w:tmpl w:val="2DF67F26"/>
    <w:lvl w:ilvl="0" w:tplc="2758C0E8">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03370EDF"/>
    <w:multiLevelType w:val="multilevel"/>
    <w:tmpl w:val="C4CEB99C"/>
    <w:lvl w:ilvl="0">
      <w:start w:val="1"/>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nsid w:val="059E3092"/>
    <w:multiLevelType w:val="hybridMultilevel"/>
    <w:tmpl w:val="3424AF58"/>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nsid w:val="06D42FC4"/>
    <w:multiLevelType w:val="hybridMultilevel"/>
    <w:tmpl w:val="7D7A4562"/>
    <w:lvl w:ilvl="0" w:tplc="48845CAE">
      <w:start w:val="1"/>
      <w:numFmt w:val="bullet"/>
      <w:lvlText w:val="»"/>
      <w:lvlJc w:val="left"/>
      <w:pPr>
        <w:ind w:left="360" w:hanging="360"/>
      </w:pPr>
      <w:rPr>
        <w:rFonts w:ascii="Apple Symbols" w:hAnsi="Apple Symbols" w:hint="default"/>
        <w:w w:val="150"/>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73B139D"/>
    <w:multiLevelType w:val="hybridMultilevel"/>
    <w:tmpl w:val="1400BBC4"/>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0762750B"/>
    <w:multiLevelType w:val="multilevel"/>
    <w:tmpl w:val="321003A2"/>
    <w:lvl w:ilvl="0">
      <w:start w:val="1"/>
      <w:numFmt w:val="decimal"/>
      <w:lvlText w:val="%1."/>
      <w:lvlJc w:val="left"/>
      <w:pPr>
        <w:ind w:left="360" w:hanging="360"/>
      </w:pPr>
      <w:rPr>
        <w:rFonts w:hint="default"/>
      </w:rPr>
    </w:lvl>
    <w:lvl w:ilvl="1">
      <w:start w:val="1"/>
      <w:numFmt w:val="upperLetter"/>
      <w:pStyle w:val="Heading1"/>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nsid w:val="09650AC5"/>
    <w:multiLevelType w:val="hybridMultilevel"/>
    <w:tmpl w:val="A45A8956"/>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nsid w:val="0B9B5C91"/>
    <w:multiLevelType w:val="hybridMultilevel"/>
    <w:tmpl w:val="CBCCDA50"/>
    <w:lvl w:ilvl="0" w:tplc="CD48E178">
      <w:start w:val="1"/>
      <w:numFmt w:val="bullet"/>
      <w:lvlText w:val="»"/>
      <w:lvlJc w:val="left"/>
      <w:pPr>
        <w:ind w:left="720" w:hanging="360"/>
      </w:pPr>
      <w:rPr>
        <w:rFonts w:ascii="Apple Symbols" w:hAnsi="Apple Symbols" w:hint="default"/>
        <w:color w:val="auto"/>
        <w:w w:val="150"/>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0CB352C5"/>
    <w:multiLevelType w:val="hybridMultilevel"/>
    <w:tmpl w:val="417EE1F8"/>
    <w:lvl w:ilvl="0" w:tplc="0C0A0019">
      <w:start w:val="1"/>
      <w:numFmt w:val="lowerLetter"/>
      <w:lvlText w:val="%1."/>
      <w:lvlJc w:val="left"/>
      <w:pPr>
        <w:ind w:left="579" w:hanging="360"/>
      </w:pPr>
    </w:lvl>
    <w:lvl w:ilvl="1" w:tplc="0C0A0019" w:tentative="1">
      <w:start w:val="1"/>
      <w:numFmt w:val="lowerLetter"/>
      <w:lvlText w:val="%2."/>
      <w:lvlJc w:val="left"/>
      <w:pPr>
        <w:ind w:left="1299" w:hanging="360"/>
      </w:pPr>
    </w:lvl>
    <w:lvl w:ilvl="2" w:tplc="0C0A001B" w:tentative="1">
      <w:start w:val="1"/>
      <w:numFmt w:val="lowerRoman"/>
      <w:lvlText w:val="%3."/>
      <w:lvlJc w:val="right"/>
      <w:pPr>
        <w:ind w:left="2019" w:hanging="180"/>
      </w:pPr>
    </w:lvl>
    <w:lvl w:ilvl="3" w:tplc="0C0A000F" w:tentative="1">
      <w:start w:val="1"/>
      <w:numFmt w:val="decimal"/>
      <w:lvlText w:val="%4."/>
      <w:lvlJc w:val="left"/>
      <w:pPr>
        <w:ind w:left="2739" w:hanging="360"/>
      </w:pPr>
    </w:lvl>
    <w:lvl w:ilvl="4" w:tplc="0C0A0019" w:tentative="1">
      <w:start w:val="1"/>
      <w:numFmt w:val="lowerLetter"/>
      <w:lvlText w:val="%5."/>
      <w:lvlJc w:val="left"/>
      <w:pPr>
        <w:ind w:left="3459" w:hanging="360"/>
      </w:pPr>
    </w:lvl>
    <w:lvl w:ilvl="5" w:tplc="0C0A001B" w:tentative="1">
      <w:start w:val="1"/>
      <w:numFmt w:val="lowerRoman"/>
      <w:lvlText w:val="%6."/>
      <w:lvlJc w:val="right"/>
      <w:pPr>
        <w:ind w:left="4179" w:hanging="180"/>
      </w:pPr>
    </w:lvl>
    <w:lvl w:ilvl="6" w:tplc="0C0A000F" w:tentative="1">
      <w:start w:val="1"/>
      <w:numFmt w:val="decimal"/>
      <w:lvlText w:val="%7."/>
      <w:lvlJc w:val="left"/>
      <w:pPr>
        <w:ind w:left="4899" w:hanging="360"/>
      </w:pPr>
    </w:lvl>
    <w:lvl w:ilvl="7" w:tplc="0C0A0019" w:tentative="1">
      <w:start w:val="1"/>
      <w:numFmt w:val="lowerLetter"/>
      <w:lvlText w:val="%8."/>
      <w:lvlJc w:val="left"/>
      <w:pPr>
        <w:ind w:left="5619" w:hanging="360"/>
      </w:pPr>
    </w:lvl>
    <w:lvl w:ilvl="8" w:tplc="0C0A001B" w:tentative="1">
      <w:start w:val="1"/>
      <w:numFmt w:val="lowerRoman"/>
      <w:lvlText w:val="%9."/>
      <w:lvlJc w:val="right"/>
      <w:pPr>
        <w:ind w:left="6339" w:hanging="180"/>
      </w:pPr>
    </w:lvl>
  </w:abstractNum>
  <w:abstractNum w:abstractNumId="11">
    <w:nsid w:val="0D9126FE"/>
    <w:multiLevelType w:val="hybridMultilevel"/>
    <w:tmpl w:val="24F4123A"/>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nsid w:val="0DE419E2"/>
    <w:multiLevelType w:val="hybridMultilevel"/>
    <w:tmpl w:val="4B0A4B7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nsid w:val="0E3077FE"/>
    <w:multiLevelType w:val="hybridMultilevel"/>
    <w:tmpl w:val="1A12824C"/>
    <w:lvl w:ilvl="0" w:tplc="48845CAE">
      <w:start w:val="1"/>
      <w:numFmt w:val="bullet"/>
      <w:lvlText w:val="»"/>
      <w:lvlJc w:val="left"/>
      <w:pPr>
        <w:ind w:left="720" w:hanging="360"/>
      </w:pPr>
      <w:rPr>
        <w:rFonts w:ascii="Apple Symbols" w:hAnsi="Apple Symbols" w:hint="default"/>
        <w:w w:val="150"/>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0F084A82"/>
    <w:multiLevelType w:val="hybridMultilevel"/>
    <w:tmpl w:val="4044EAC8"/>
    <w:lvl w:ilvl="0" w:tplc="0C0A0015">
      <w:start w:val="1"/>
      <w:numFmt w:val="upp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nsid w:val="10147E08"/>
    <w:multiLevelType w:val="hybridMultilevel"/>
    <w:tmpl w:val="2E4692D2"/>
    <w:lvl w:ilvl="0" w:tplc="02A6F18C">
      <w:start w:val="1"/>
      <w:numFmt w:val="decimal"/>
      <w:lvlText w:val="%1."/>
      <w:lvlJc w:val="left"/>
      <w:pPr>
        <w:ind w:left="360" w:hanging="360"/>
      </w:pPr>
      <w:rPr>
        <w:rFonts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1A17303"/>
    <w:multiLevelType w:val="hybridMultilevel"/>
    <w:tmpl w:val="F1C017AA"/>
    <w:lvl w:ilvl="0" w:tplc="0C0A0019">
      <w:start w:val="1"/>
      <w:numFmt w:val="lowerLetter"/>
      <w:lvlText w:val="%1."/>
      <w:lvlJc w:val="left"/>
      <w:pPr>
        <w:ind w:left="579" w:hanging="360"/>
      </w:pPr>
    </w:lvl>
    <w:lvl w:ilvl="1" w:tplc="0C0A0019" w:tentative="1">
      <w:start w:val="1"/>
      <w:numFmt w:val="lowerLetter"/>
      <w:lvlText w:val="%2."/>
      <w:lvlJc w:val="left"/>
      <w:pPr>
        <w:ind w:left="1299" w:hanging="360"/>
      </w:pPr>
    </w:lvl>
    <w:lvl w:ilvl="2" w:tplc="0C0A001B" w:tentative="1">
      <w:start w:val="1"/>
      <w:numFmt w:val="lowerRoman"/>
      <w:lvlText w:val="%3."/>
      <w:lvlJc w:val="right"/>
      <w:pPr>
        <w:ind w:left="2019" w:hanging="180"/>
      </w:pPr>
    </w:lvl>
    <w:lvl w:ilvl="3" w:tplc="0C0A000F" w:tentative="1">
      <w:start w:val="1"/>
      <w:numFmt w:val="decimal"/>
      <w:lvlText w:val="%4."/>
      <w:lvlJc w:val="left"/>
      <w:pPr>
        <w:ind w:left="2739" w:hanging="360"/>
      </w:pPr>
    </w:lvl>
    <w:lvl w:ilvl="4" w:tplc="0C0A0019" w:tentative="1">
      <w:start w:val="1"/>
      <w:numFmt w:val="lowerLetter"/>
      <w:lvlText w:val="%5."/>
      <w:lvlJc w:val="left"/>
      <w:pPr>
        <w:ind w:left="3459" w:hanging="360"/>
      </w:pPr>
    </w:lvl>
    <w:lvl w:ilvl="5" w:tplc="0C0A001B" w:tentative="1">
      <w:start w:val="1"/>
      <w:numFmt w:val="lowerRoman"/>
      <w:lvlText w:val="%6."/>
      <w:lvlJc w:val="right"/>
      <w:pPr>
        <w:ind w:left="4179" w:hanging="180"/>
      </w:pPr>
    </w:lvl>
    <w:lvl w:ilvl="6" w:tplc="0C0A000F" w:tentative="1">
      <w:start w:val="1"/>
      <w:numFmt w:val="decimal"/>
      <w:lvlText w:val="%7."/>
      <w:lvlJc w:val="left"/>
      <w:pPr>
        <w:ind w:left="4899" w:hanging="360"/>
      </w:pPr>
    </w:lvl>
    <w:lvl w:ilvl="7" w:tplc="0C0A0019" w:tentative="1">
      <w:start w:val="1"/>
      <w:numFmt w:val="lowerLetter"/>
      <w:lvlText w:val="%8."/>
      <w:lvlJc w:val="left"/>
      <w:pPr>
        <w:ind w:left="5619" w:hanging="360"/>
      </w:pPr>
    </w:lvl>
    <w:lvl w:ilvl="8" w:tplc="0C0A001B" w:tentative="1">
      <w:start w:val="1"/>
      <w:numFmt w:val="lowerRoman"/>
      <w:lvlText w:val="%9."/>
      <w:lvlJc w:val="right"/>
      <w:pPr>
        <w:ind w:left="6339" w:hanging="180"/>
      </w:pPr>
    </w:lvl>
  </w:abstractNum>
  <w:abstractNum w:abstractNumId="17">
    <w:nsid w:val="14117B20"/>
    <w:multiLevelType w:val="hybridMultilevel"/>
    <w:tmpl w:val="B15A3CFA"/>
    <w:lvl w:ilvl="0" w:tplc="48845CAE">
      <w:start w:val="1"/>
      <w:numFmt w:val="bullet"/>
      <w:lvlText w:val="»"/>
      <w:lvlJc w:val="left"/>
      <w:pPr>
        <w:ind w:left="360" w:hanging="360"/>
      </w:pPr>
      <w:rPr>
        <w:rFonts w:ascii="Apple Symbols" w:hAnsi="Apple Symbols" w:hint="default"/>
        <w:w w:val="150"/>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nsid w:val="15BA2815"/>
    <w:multiLevelType w:val="hybridMultilevel"/>
    <w:tmpl w:val="CFC0749A"/>
    <w:lvl w:ilvl="0" w:tplc="0C0A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6672348"/>
    <w:multiLevelType w:val="multilevel"/>
    <w:tmpl w:val="C4CE91C6"/>
    <w:lvl w:ilvl="0">
      <w:start w:val="1"/>
      <w:numFmt w:val="decimal"/>
      <w:lvlText w:val="%1."/>
      <w:lvlJc w:val="left"/>
      <w:pPr>
        <w:ind w:left="360" w:hanging="360"/>
      </w:pPr>
      <w:rPr>
        <w:rFonts w:hint="default"/>
      </w:rPr>
    </w:lvl>
    <w:lvl w:ilvl="1">
      <w:start w:val="1"/>
      <w:numFmt w:val="upp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0">
    <w:nsid w:val="17570E62"/>
    <w:multiLevelType w:val="hybridMultilevel"/>
    <w:tmpl w:val="E63E83F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193E14D4"/>
    <w:multiLevelType w:val="hybridMultilevel"/>
    <w:tmpl w:val="7D6E7AE8"/>
    <w:lvl w:ilvl="0" w:tplc="0C0A0017">
      <w:start w:val="1"/>
      <w:numFmt w:val="lowerLetter"/>
      <w:lvlText w:val="%1)"/>
      <w:lvlJc w:val="left"/>
      <w:pPr>
        <w:ind w:left="585" w:hanging="360"/>
      </w:pPr>
    </w:lvl>
    <w:lvl w:ilvl="1" w:tplc="0C0A0019">
      <w:start w:val="1"/>
      <w:numFmt w:val="lowerLetter"/>
      <w:lvlText w:val="%2."/>
      <w:lvlJc w:val="left"/>
      <w:pPr>
        <w:ind w:left="1305" w:hanging="360"/>
      </w:pPr>
    </w:lvl>
    <w:lvl w:ilvl="2" w:tplc="0C0A001B" w:tentative="1">
      <w:start w:val="1"/>
      <w:numFmt w:val="lowerRoman"/>
      <w:lvlText w:val="%3."/>
      <w:lvlJc w:val="right"/>
      <w:pPr>
        <w:ind w:left="2025" w:hanging="180"/>
      </w:pPr>
    </w:lvl>
    <w:lvl w:ilvl="3" w:tplc="0C0A000F" w:tentative="1">
      <w:start w:val="1"/>
      <w:numFmt w:val="decimal"/>
      <w:lvlText w:val="%4."/>
      <w:lvlJc w:val="left"/>
      <w:pPr>
        <w:ind w:left="2745" w:hanging="360"/>
      </w:pPr>
    </w:lvl>
    <w:lvl w:ilvl="4" w:tplc="0C0A0019" w:tentative="1">
      <w:start w:val="1"/>
      <w:numFmt w:val="lowerLetter"/>
      <w:lvlText w:val="%5."/>
      <w:lvlJc w:val="left"/>
      <w:pPr>
        <w:ind w:left="3465" w:hanging="360"/>
      </w:pPr>
    </w:lvl>
    <w:lvl w:ilvl="5" w:tplc="0C0A001B" w:tentative="1">
      <w:start w:val="1"/>
      <w:numFmt w:val="lowerRoman"/>
      <w:lvlText w:val="%6."/>
      <w:lvlJc w:val="right"/>
      <w:pPr>
        <w:ind w:left="4185" w:hanging="180"/>
      </w:pPr>
    </w:lvl>
    <w:lvl w:ilvl="6" w:tplc="0C0A000F" w:tentative="1">
      <w:start w:val="1"/>
      <w:numFmt w:val="decimal"/>
      <w:lvlText w:val="%7."/>
      <w:lvlJc w:val="left"/>
      <w:pPr>
        <w:ind w:left="4905" w:hanging="360"/>
      </w:pPr>
    </w:lvl>
    <w:lvl w:ilvl="7" w:tplc="0C0A0019" w:tentative="1">
      <w:start w:val="1"/>
      <w:numFmt w:val="lowerLetter"/>
      <w:lvlText w:val="%8."/>
      <w:lvlJc w:val="left"/>
      <w:pPr>
        <w:ind w:left="5625" w:hanging="360"/>
      </w:pPr>
    </w:lvl>
    <w:lvl w:ilvl="8" w:tplc="0C0A001B" w:tentative="1">
      <w:start w:val="1"/>
      <w:numFmt w:val="lowerRoman"/>
      <w:lvlText w:val="%9."/>
      <w:lvlJc w:val="right"/>
      <w:pPr>
        <w:ind w:left="6345" w:hanging="180"/>
      </w:pPr>
    </w:lvl>
  </w:abstractNum>
  <w:abstractNum w:abstractNumId="22">
    <w:nsid w:val="19947709"/>
    <w:multiLevelType w:val="hybridMultilevel"/>
    <w:tmpl w:val="BAA84CC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19C25EDE"/>
    <w:multiLevelType w:val="hybridMultilevel"/>
    <w:tmpl w:val="616A7BD6"/>
    <w:lvl w:ilvl="0" w:tplc="08DA1198">
      <w:start w:val="1"/>
      <w:numFmt w:val="upperRoman"/>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4">
    <w:nsid w:val="1AC82F22"/>
    <w:multiLevelType w:val="hybridMultilevel"/>
    <w:tmpl w:val="D58E421A"/>
    <w:lvl w:ilvl="0" w:tplc="48845CAE">
      <w:start w:val="1"/>
      <w:numFmt w:val="bullet"/>
      <w:lvlText w:val="»"/>
      <w:lvlJc w:val="left"/>
      <w:pPr>
        <w:ind w:left="360" w:hanging="360"/>
      </w:pPr>
      <w:rPr>
        <w:rFonts w:ascii="Apple Symbols" w:hAnsi="Apple Symbols" w:hint="default"/>
        <w:w w:val="150"/>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5">
    <w:nsid w:val="1CD66170"/>
    <w:multiLevelType w:val="hybridMultilevel"/>
    <w:tmpl w:val="BEE4C9CE"/>
    <w:lvl w:ilvl="0" w:tplc="48845CAE">
      <w:start w:val="1"/>
      <w:numFmt w:val="bullet"/>
      <w:lvlText w:val="»"/>
      <w:lvlJc w:val="left"/>
      <w:pPr>
        <w:ind w:left="720" w:hanging="360"/>
      </w:pPr>
      <w:rPr>
        <w:rFonts w:ascii="Apple Symbols" w:hAnsi="Apple Symbols" w:hint="default"/>
        <w:w w:val="150"/>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1CFE6899"/>
    <w:multiLevelType w:val="hybridMultilevel"/>
    <w:tmpl w:val="1E0E4E74"/>
    <w:lvl w:ilvl="0" w:tplc="48845CAE">
      <w:start w:val="1"/>
      <w:numFmt w:val="bullet"/>
      <w:lvlText w:val="»"/>
      <w:lvlJc w:val="left"/>
      <w:pPr>
        <w:ind w:left="360" w:hanging="360"/>
      </w:pPr>
      <w:rPr>
        <w:rFonts w:ascii="Apple Symbols" w:hAnsi="Apple Symbols" w:hint="default"/>
        <w:w w:val="150"/>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nsid w:val="22EA266B"/>
    <w:multiLevelType w:val="hybridMultilevel"/>
    <w:tmpl w:val="3D8A4C84"/>
    <w:lvl w:ilvl="0" w:tplc="48845CAE">
      <w:start w:val="1"/>
      <w:numFmt w:val="bullet"/>
      <w:lvlText w:val="»"/>
      <w:lvlJc w:val="left"/>
      <w:pPr>
        <w:ind w:left="720" w:hanging="360"/>
      </w:pPr>
      <w:rPr>
        <w:rFonts w:ascii="Apple Symbols" w:hAnsi="Apple Symbols" w:hint="default"/>
        <w:w w:val="150"/>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23DF4D32"/>
    <w:multiLevelType w:val="hybridMultilevel"/>
    <w:tmpl w:val="49C6C24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24213DEC"/>
    <w:multiLevelType w:val="hybridMultilevel"/>
    <w:tmpl w:val="ACACF468"/>
    <w:lvl w:ilvl="0" w:tplc="48845CAE">
      <w:start w:val="1"/>
      <w:numFmt w:val="bullet"/>
      <w:lvlText w:val="»"/>
      <w:lvlJc w:val="left"/>
      <w:pPr>
        <w:ind w:left="360" w:hanging="360"/>
      </w:pPr>
      <w:rPr>
        <w:rFonts w:ascii="Apple Symbols" w:hAnsi="Apple Symbols" w:hint="default"/>
        <w:w w:val="150"/>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0">
    <w:nsid w:val="259B6EB1"/>
    <w:multiLevelType w:val="hybridMultilevel"/>
    <w:tmpl w:val="866A1268"/>
    <w:lvl w:ilvl="0" w:tplc="48845CAE">
      <w:start w:val="1"/>
      <w:numFmt w:val="bullet"/>
      <w:lvlText w:val="»"/>
      <w:lvlJc w:val="left"/>
      <w:pPr>
        <w:ind w:left="360" w:hanging="360"/>
      </w:pPr>
      <w:rPr>
        <w:rFonts w:ascii="Apple Symbols" w:hAnsi="Apple Symbols" w:hint="default"/>
        <w:w w:val="150"/>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1">
    <w:nsid w:val="266E0C38"/>
    <w:multiLevelType w:val="hybridMultilevel"/>
    <w:tmpl w:val="F66069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8E75DA9"/>
    <w:multiLevelType w:val="hybridMultilevel"/>
    <w:tmpl w:val="ACB05802"/>
    <w:lvl w:ilvl="0" w:tplc="0C0A000F">
      <w:start w:val="1"/>
      <w:numFmt w:val="decimal"/>
      <w:lvlText w:val="%1."/>
      <w:lvlJc w:val="left"/>
      <w:pPr>
        <w:ind w:left="360" w:hanging="360"/>
      </w:pPr>
      <w:rPr>
        <w:rFonts w:hint="default"/>
      </w:rPr>
    </w:lvl>
    <w:lvl w:ilvl="1" w:tplc="100A0003" w:tentative="1">
      <w:start w:val="1"/>
      <w:numFmt w:val="bullet"/>
      <w:lvlText w:val="o"/>
      <w:lvlJc w:val="left"/>
      <w:pPr>
        <w:ind w:left="1800" w:hanging="360"/>
      </w:pPr>
      <w:rPr>
        <w:rFonts w:ascii="Courier New" w:hAnsi="Courier New" w:cs="Courier New" w:hint="default"/>
      </w:rPr>
    </w:lvl>
    <w:lvl w:ilvl="2" w:tplc="100A0005" w:tentative="1">
      <w:start w:val="1"/>
      <w:numFmt w:val="bullet"/>
      <w:lvlText w:val=""/>
      <w:lvlJc w:val="left"/>
      <w:pPr>
        <w:ind w:left="2520" w:hanging="360"/>
      </w:pPr>
      <w:rPr>
        <w:rFonts w:ascii="Wingdings" w:hAnsi="Wingdings" w:hint="default"/>
      </w:rPr>
    </w:lvl>
    <w:lvl w:ilvl="3" w:tplc="100A0001" w:tentative="1">
      <w:start w:val="1"/>
      <w:numFmt w:val="bullet"/>
      <w:lvlText w:val=""/>
      <w:lvlJc w:val="left"/>
      <w:pPr>
        <w:ind w:left="3240" w:hanging="360"/>
      </w:pPr>
      <w:rPr>
        <w:rFonts w:ascii="Symbol" w:hAnsi="Symbol" w:hint="default"/>
      </w:rPr>
    </w:lvl>
    <w:lvl w:ilvl="4" w:tplc="100A0003" w:tentative="1">
      <w:start w:val="1"/>
      <w:numFmt w:val="bullet"/>
      <w:lvlText w:val="o"/>
      <w:lvlJc w:val="left"/>
      <w:pPr>
        <w:ind w:left="3960" w:hanging="360"/>
      </w:pPr>
      <w:rPr>
        <w:rFonts w:ascii="Courier New" w:hAnsi="Courier New" w:cs="Courier New" w:hint="default"/>
      </w:rPr>
    </w:lvl>
    <w:lvl w:ilvl="5" w:tplc="100A0005" w:tentative="1">
      <w:start w:val="1"/>
      <w:numFmt w:val="bullet"/>
      <w:lvlText w:val=""/>
      <w:lvlJc w:val="left"/>
      <w:pPr>
        <w:ind w:left="4680" w:hanging="360"/>
      </w:pPr>
      <w:rPr>
        <w:rFonts w:ascii="Wingdings" w:hAnsi="Wingdings" w:hint="default"/>
      </w:rPr>
    </w:lvl>
    <w:lvl w:ilvl="6" w:tplc="100A0001" w:tentative="1">
      <w:start w:val="1"/>
      <w:numFmt w:val="bullet"/>
      <w:lvlText w:val=""/>
      <w:lvlJc w:val="left"/>
      <w:pPr>
        <w:ind w:left="5400" w:hanging="360"/>
      </w:pPr>
      <w:rPr>
        <w:rFonts w:ascii="Symbol" w:hAnsi="Symbol" w:hint="default"/>
      </w:rPr>
    </w:lvl>
    <w:lvl w:ilvl="7" w:tplc="100A0003" w:tentative="1">
      <w:start w:val="1"/>
      <w:numFmt w:val="bullet"/>
      <w:lvlText w:val="o"/>
      <w:lvlJc w:val="left"/>
      <w:pPr>
        <w:ind w:left="6120" w:hanging="360"/>
      </w:pPr>
      <w:rPr>
        <w:rFonts w:ascii="Courier New" w:hAnsi="Courier New" w:cs="Courier New" w:hint="default"/>
      </w:rPr>
    </w:lvl>
    <w:lvl w:ilvl="8" w:tplc="100A0005" w:tentative="1">
      <w:start w:val="1"/>
      <w:numFmt w:val="bullet"/>
      <w:lvlText w:val=""/>
      <w:lvlJc w:val="left"/>
      <w:pPr>
        <w:ind w:left="6840" w:hanging="360"/>
      </w:pPr>
      <w:rPr>
        <w:rFonts w:ascii="Wingdings" w:hAnsi="Wingdings" w:hint="default"/>
      </w:rPr>
    </w:lvl>
  </w:abstractNum>
  <w:abstractNum w:abstractNumId="33">
    <w:nsid w:val="29347A08"/>
    <w:multiLevelType w:val="hybridMultilevel"/>
    <w:tmpl w:val="4EC8DB76"/>
    <w:lvl w:ilvl="0" w:tplc="4218E0E4">
      <w:start w:val="1"/>
      <w:numFmt w:val="decimal"/>
      <w:lvlText w:val="%1."/>
      <w:lvlJc w:val="left"/>
      <w:pPr>
        <w:ind w:left="380" w:hanging="38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4">
    <w:nsid w:val="29F96C1C"/>
    <w:multiLevelType w:val="hybridMultilevel"/>
    <w:tmpl w:val="5E8A31FC"/>
    <w:lvl w:ilvl="0" w:tplc="48845CAE">
      <w:start w:val="1"/>
      <w:numFmt w:val="bullet"/>
      <w:lvlText w:val="»"/>
      <w:lvlJc w:val="left"/>
      <w:pPr>
        <w:ind w:left="720" w:hanging="360"/>
      </w:pPr>
      <w:rPr>
        <w:rFonts w:ascii="Apple Symbols" w:hAnsi="Apple Symbols" w:hint="default"/>
        <w:w w:val="150"/>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2E3E4D77"/>
    <w:multiLevelType w:val="hybridMultilevel"/>
    <w:tmpl w:val="3CFCDD2A"/>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2EB75128"/>
    <w:multiLevelType w:val="hybridMultilevel"/>
    <w:tmpl w:val="6A4C67D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F78485B"/>
    <w:multiLevelType w:val="hybridMultilevel"/>
    <w:tmpl w:val="099CE208"/>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8">
    <w:nsid w:val="2FB619F4"/>
    <w:multiLevelType w:val="hybridMultilevel"/>
    <w:tmpl w:val="FE9A06F6"/>
    <w:lvl w:ilvl="0" w:tplc="C66A617A">
      <w:start w:val="1"/>
      <w:numFmt w:val="decimal"/>
      <w:lvlText w:val="%1."/>
      <w:lvlJc w:val="left"/>
      <w:pPr>
        <w:ind w:left="360" w:hanging="360"/>
      </w:pPr>
      <w:rPr>
        <w:rFonts w:eastAsiaTheme="minorEastAsia" w:cstheme="minorBidi"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9">
    <w:nsid w:val="2FB73A46"/>
    <w:multiLevelType w:val="hybridMultilevel"/>
    <w:tmpl w:val="B06CC7D2"/>
    <w:lvl w:ilvl="0" w:tplc="D0E68654">
      <w:start w:val="1"/>
      <w:numFmt w:val="bullet"/>
      <w:lvlText w:val="»"/>
      <w:lvlJc w:val="left"/>
      <w:pPr>
        <w:ind w:left="360" w:hanging="360"/>
      </w:pPr>
      <w:rPr>
        <w:rFonts w:ascii="Lucida Sans Unicode" w:hAnsi="Lucida Sans Unicode"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31C03D8F"/>
    <w:multiLevelType w:val="hybridMultilevel"/>
    <w:tmpl w:val="A84E2AC0"/>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1">
    <w:nsid w:val="3236006B"/>
    <w:multiLevelType w:val="hybridMultilevel"/>
    <w:tmpl w:val="586A6B34"/>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2">
    <w:nsid w:val="34BB2009"/>
    <w:multiLevelType w:val="hybridMultilevel"/>
    <w:tmpl w:val="5A7E1E2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3">
    <w:nsid w:val="392F76D6"/>
    <w:multiLevelType w:val="hybridMultilevel"/>
    <w:tmpl w:val="42FE981E"/>
    <w:lvl w:ilvl="0" w:tplc="3E9438AA">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4">
    <w:nsid w:val="394A1229"/>
    <w:multiLevelType w:val="hybridMultilevel"/>
    <w:tmpl w:val="BCA6A236"/>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5">
    <w:nsid w:val="3A05055F"/>
    <w:multiLevelType w:val="hybridMultilevel"/>
    <w:tmpl w:val="6F2202D0"/>
    <w:lvl w:ilvl="0" w:tplc="48845CAE">
      <w:start w:val="1"/>
      <w:numFmt w:val="bullet"/>
      <w:lvlText w:val="»"/>
      <w:lvlJc w:val="left"/>
      <w:pPr>
        <w:ind w:left="720" w:hanging="360"/>
      </w:pPr>
      <w:rPr>
        <w:rFonts w:ascii="Apple Symbols" w:hAnsi="Apple Symbols" w:hint="default"/>
        <w:w w:val="150"/>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nsid w:val="3BA20827"/>
    <w:multiLevelType w:val="hybridMultilevel"/>
    <w:tmpl w:val="E3306EA2"/>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7">
    <w:nsid w:val="3BFE36B0"/>
    <w:multiLevelType w:val="hybridMultilevel"/>
    <w:tmpl w:val="6F3273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nsid w:val="3C3F6C54"/>
    <w:multiLevelType w:val="hybridMultilevel"/>
    <w:tmpl w:val="213C67C6"/>
    <w:lvl w:ilvl="0" w:tplc="48845CAE">
      <w:start w:val="1"/>
      <w:numFmt w:val="bullet"/>
      <w:lvlText w:val="»"/>
      <w:lvlJc w:val="left"/>
      <w:pPr>
        <w:ind w:left="720" w:hanging="360"/>
      </w:pPr>
      <w:rPr>
        <w:rFonts w:ascii="Apple Symbols" w:hAnsi="Apple Symbols" w:hint="default"/>
        <w:w w:val="150"/>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nsid w:val="3C733554"/>
    <w:multiLevelType w:val="hybridMultilevel"/>
    <w:tmpl w:val="4DDA22AA"/>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0">
    <w:nsid w:val="3CB10DBE"/>
    <w:multiLevelType w:val="multilevel"/>
    <w:tmpl w:val="239EBB98"/>
    <w:lvl w:ilvl="0">
      <w:start w:val="1"/>
      <w:numFmt w:val="none"/>
      <w:pStyle w:val="Heading1a"/>
      <w:lvlText w:val="%1."/>
      <w:lvlJc w:val="left"/>
      <w:pPr>
        <w:ind w:left="0"/>
      </w:pPr>
    </w:lvl>
    <w:lvl w:ilvl="1">
      <w:start w:val="3"/>
      <w:numFmt w:val="decimal"/>
      <w:pStyle w:val="MainParanoChapter"/>
      <w:lvlText w:val="%2."/>
      <w:lvlJc w:val="left"/>
      <w:pPr>
        <w:tabs>
          <w:tab w:val="num" w:pos="720"/>
        </w:tabs>
        <w:ind w:left="720" w:hanging="720"/>
      </w:pPr>
      <w:rPr>
        <w:i w:val="0"/>
      </w:rPr>
    </w:lvl>
    <w:lvl w:ilvl="2">
      <w:start w:val="1"/>
      <w:numFmt w:val="lowerLetter"/>
      <w:pStyle w:val="Sub-Para1underX"/>
      <w:lvlText w:val=""/>
      <w:lvlJc w:val="left"/>
      <w:pPr>
        <w:tabs>
          <w:tab w:val="num" w:pos="1080"/>
        </w:tabs>
        <w:ind w:left="720" w:hanging="360"/>
      </w:pPr>
    </w:lvl>
    <w:lvl w:ilvl="3">
      <w:start w:val="1"/>
      <w:numFmt w:val="lowerRoman"/>
      <w:pStyle w:val="Sub-Para2underX"/>
      <w:lvlText w:val=""/>
      <w:lvlJc w:val="left"/>
      <w:pPr>
        <w:tabs>
          <w:tab w:val="num" w:pos="1800"/>
        </w:tabs>
        <w:ind w:left="1080" w:hanging="360"/>
      </w:pPr>
    </w:lvl>
    <w:lvl w:ilvl="4">
      <w:start w:val="1"/>
      <w:numFmt w:val="lowerLetter"/>
      <w:pStyle w:val="Sub-Para3underX"/>
      <w:lvlText w:val="%5."/>
      <w:lvlJc w:val="left"/>
      <w:pPr>
        <w:tabs>
          <w:tab w:val="num" w:pos="1440"/>
        </w:tabs>
        <w:ind w:left="1440" w:hanging="360"/>
      </w:pPr>
    </w:lvl>
    <w:lvl w:ilvl="5">
      <w:start w:val="1"/>
      <w:numFmt w:val="lowerRoman"/>
      <w:pStyle w:val="Sub-Para4underX"/>
      <w:lvlText w:val="%6."/>
      <w:lvlJc w:val="left"/>
      <w:pPr>
        <w:tabs>
          <w:tab w:val="num" w:pos="2160"/>
        </w:tabs>
        <w:ind w:left="180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1">
    <w:nsid w:val="3D0537B3"/>
    <w:multiLevelType w:val="hybridMultilevel"/>
    <w:tmpl w:val="75BC1B0C"/>
    <w:lvl w:ilvl="0" w:tplc="ECFE60A4">
      <w:start w:val="1"/>
      <w:numFmt w:val="decimal"/>
      <w:lvlText w:val="%1."/>
      <w:lvlJc w:val="left"/>
      <w:pPr>
        <w:ind w:left="360" w:hanging="360"/>
      </w:pPr>
      <w:rPr>
        <w:rFonts w:hint="default"/>
        <w:b w:val="0"/>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nsid w:val="3EE045C7"/>
    <w:multiLevelType w:val="hybridMultilevel"/>
    <w:tmpl w:val="9BC07EE0"/>
    <w:lvl w:ilvl="0" w:tplc="D55A67A8">
      <w:start w:val="1"/>
      <w:numFmt w:val="lowerLetter"/>
      <w:lvlText w:val="%1."/>
      <w:lvlJc w:val="left"/>
      <w:pPr>
        <w:ind w:left="579" w:hanging="360"/>
      </w:pPr>
      <w:rPr>
        <w:b w:val="0"/>
        <w:i w:val="0"/>
      </w:rPr>
    </w:lvl>
    <w:lvl w:ilvl="1" w:tplc="0C0A0019" w:tentative="1">
      <w:start w:val="1"/>
      <w:numFmt w:val="lowerLetter"/>
      <w:lvlText w:val="%2."/>
      <w:lvlJc w:val="left"/>
      <w:pPr>
        <w:ind w:left="1299" w:hanging="360"/>
      </w:pPr>
    </w:lvl>
    <w:lvl w:ilvl="2" w:tplc="0C0A001B" w:tentative="1">
      <w:start w:val="1"/>
      <w:numFmt w:val="lowerRoman"/>
      <w:lvlText w:val="%3."/>
      <w:lvlJc w:val="right"/>
      <w:pPr>
        <w:ind w:left="2019" w:hanging="180"/>
      </w:pPr>
    </w:lvl>
    <w:lvl w:ilvl="3" w:tplc="0C0A000F" w:tentative="1">
      <w:start w:val="1"/>
      <w:numFmt w:val="decimal"/>
      <w:lvlText w:val="%4."/>
      <w:lvlJc w:val="left"/>
      <w:pPr>
        <w:ind w:left="2739" w:hanging="360"/>
      </w:pPr>
    </w:lvl>
    <w:lvl w:ilvl="4" w:tplc="0C0A0019" w:tentative="1">
      <w:start w:val="1"/>
      <w:numFmt w:val="lowerLetter"/>
      <w:lvlText w:val="%5."/>
      <w:lvlJc w:val="left"/>
      <w:pPr>
        <w:ind w:left="3459" w:hanging="360"/>
      </w:pPr>
    </w:lvl>
    <w:lvl w:ilvl="5" w:tplc="0C0A001B" w:tentative="1">
      <w:start w:val="1"/>
      <w:numFmt w:val="lowerRoman"/>
      <w:lvlText w:val="%6."/>
      <w:lvlJc w:val="right"/>
      <w:pPr>
        <w:ind w:left="4179" w:hanging="180"/>
      </w:pPr>
    </w:lvl>
    <w:lvl w:ilvl="6" w:tplc="0C0A000F" w:tentative="1">
      <w:start w:val="1"/>
      <w:numFmt w:val="decimal"/>
      <w:lvlText w:val="%7."/>
      <w:lvlJc w:val="left"/>
      <w:pPr>
        <w:ind w:left="4899" w:hanging="360"/>
      </w:pPr>
    </w:lvl>
    <w:lvl w:ilvl="7" w:tplc="0C0A0019" w:tentative="1">
      <w:start w:val="1"/>
      <w:numFmt w:val="lowerLetter"/>
      <w:lvlText w:val="%8."/>
      <w:lvlJc w:val="left"/>
      <w:pPr>
        <w:ind w:left="5619" w:hanging="360"/>
      </w:pPr>
    </w:lvl>
    <w:lvl w:ilvl="8" w:tplc="0C0A001B" w:tentative="1">
      <w:start w:val="1"/>
      <w:numFmt w:val="lowerRoman"/>
      <w:lvlText w:val="%9."/>
      <w:lvlJc w:val="right"/>
      <w:pPr>
        <w:ind w:left="6339" w:hanging="180"/>
      </w:pPr>
    </w:lvl>
  </w:abstractNum>
  <w:abstractNum w:abstractNumId="53">
    <w:nsid w:val="3EEE7C3D"/>
    <w:multiLevelType w:val="hybridMultilevel"/>
    <w:tmpl w:val="AC8E67D2"/>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4">
    <w:nsid w:val="3F5D158F"/>
    <w:multiLevelType w:val="hybridMultilevel"/>
    <w:tmpl w:val="8D9C2992"/>
    <w:lvl w:ilvl="0" w:tplc="48845CAE">
      <w:start w:val="1"/>
      <w:numFmt w:val="bullet"/>
      <w:lvlText w:val="»"/>
      <w:lvlJc w:val="left"/>
      <w:pPr>
        <w:ind w:left="360" w:hanging="360"/>
      </w:pPr>
      <w:rPr>
        <w:rFonts w:ascii="Apple Symbols" w:hAnsi="Apple Symbols" w:hint="default"/>
        <w:w w:val="150"/>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5">
    <w:nsid w:val="40A11B8C"/>
    <w:multiLevelType w:val="hybridMultilevel"/>
    <w:tmpl w:val="2506B860"/>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6">
    <w:nsid w:val="433750CE"/>
    <w:multiLevelType w:val="hybridMultilevel"/>
    <w:tmpl w:val="874E1ABA"/>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7">
    <w:nsid w:val="43892645"/>
    <w:multiLevelType w:val="hybridMultilevel"/>
    <w:tmpl w:val="A31CEA44"/>
    <w:lvl w:ilvl="0" w:tplc="0C0A0019">
      <w:start w:val="1"/>
      <w:numFmt w:val="lowerLetter"/>
      <w:lvlText w:val="%1."/>
      <w:lvlJc w:val="left"/>
      <w:pPr>
        <w:ind w:left="360" w:hanging="360"/>
      </w:pPr>
      <w:rPr>
        <w:rFonts w:hint="default"/>
      </w:rPr>
    </w:lvl>
    <w:lvl w:ilvl="1" w:tplc="E7322BC4">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8">
    <w:nsid w:val="446D4102"/>
    <w:multiLevelType w:val="hybridMultilevel"/>
    <w:tmpl w:val="713437D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9">
    <w:nsid w:val="48BC13D3"/>
    <w:multiLevelType w:val="hybridMultilevel"/>
    <w:tmpl w:val="95CE92C0"/>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0">
    <w:nsid w:val="48F06FDE"/>
    <w:multiLevelType w:val="hybridMultilevel"/>
    <w:tmpl w:val="DDAEEFB2"/>
    <w:lvl w:ilvl="0" w:tplc="48845CAE">
      <w:start w:val="1"/>
      <w:numFmt w:val="bullet"/>
      <w:lvlText w:val="»"/>
      <w:lvlJc w:val="left"/>
      <w:pPr>
        <w:ind w:left="720" w:hanging="360"/>
      </w:pPr>
      <w:rPr>
        <w:rFonts w:ascii="Apple Symbols" w:hAnsi="Apple Symbols" w:hint="default"/>
        <w:w w:val="150"/>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1">
    <w:nsid w:val="4A876838"/>
    <w:multiLevelType w:val="hybridMultilevel"/>
    <w:tmpl w:val="EA185AA4"/>
    <w:lvl w:ilvl="0" w:tplc="0C0A0005">
      <w:start w:val="1"/>
      <w:numFmt w:val="bullet"/>
      <w:lvlText w:val=""/>
      <w:lvlJc w:val="left"/>
      <w:pPr>
        <w:ind w:left="720" w:hanging="360"/>
      </w:pPr>
      <w:rPr>
        <w:rFonts w:ascii="Wingdings" w:hAnsi="Wingdings" w:hint="default"/>
      </w:rPr>
    </w:lvl>
    <w:lvl w:ilvl="1" w:tplc="903495B2">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2">
    <w:nsid w:val="4B606F02"/>
    <w:multiLevelType w:val="hybridMultilevel"/>
    <w:tmpl w:val="031CB46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3">
    <w:nsid w:val="4BDF7DFE"/>
    <w:multiLevelType w:val="hybridMultilevel"/>
    <w:tmpl w:val="8DC43C30"/>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4">
    <w:nsid w:val="4CD66963"/>
    <w:multiLevelType w:val="hybridMultilevel"/>
    <w:tmpl w:val="FE5A5D9E"/>
    <w:lvl w:ilvl="0" w:tplc="CA188572">
      <w:start w:val="1"/>
      <w:numFmt w:val="decimal"/>
      <w:pStyle w:val="Title"/>
      <w:lvlText w:val="%1."/>
      <w:lvlJc w:val="left"/>
      <w:pPr>
        <w:tabs>
          <w:tab w:val="num" w:pos="360"/>
        </w:tabs>
        <w:ind w:left="360" w:hanging="360"/>
      </w:pPr>
      <w:rPr>
        <w:rFonts w:hint="default"/>
      </w:rPr>
    </w:lvl>
    <w:lvl w:ilvl="1" w:tplc="E7322BC4">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5">
    <w:nsid w:val="4E5D067C"/>
    <w:multiLevelType w:val="hybridMultilevel"/>
    <w:tmpl w:val="D6CE58E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6">
    <w:nsid w:val="4F3908CA"/>
    <w:multiLevelType w:val="hybridMultilevel"/>
    <w:tmpl w:val="CA5EF97E"/>
    <w:lvl w:ilvl="0" w:tplc="48845CAE">
      <w:start w:val="1"/>
      <w:numFmt w:val="bullet"/>
      <w:lvlText w:val="»"/>
      <w:lvlJc w:val="left"/>
      <w:pPr>
        <w:ind w:left="720" w:hanging="360"/>
      </w:pPr>
      <w:rPr>
        <w:rFonts w:ascii="Apple Symbols" w:hAnsi="Apple Symbols" w:hint="default"/>
        <w:w w:val="150"/>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7">
    <w:nsid w:val="54B30C36"/>
    <w:multiLevelType w:val="hybridMultilevel"/>
    <w:tmpl w:val="50E6FA94"/>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8">
    <w:nsid w:val="55706AA8"/>
    <w:multiLevelType w:val="hybridMultilevel"/>
    <w:tmpl w:val="ED50988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9">
    <w:nsid w:val="562F13D6"/>
    <w:multiLevelType w:val="hybridMultilevel"/>
    <w:tmpl w:val="AC4EE28E"/>
    <w:lvl w:ilvl="0" w:tplc="25AA436A">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0">
    <w:nsid w:val="575D6637"/>
    <w:multiLevelType w:val="hybridMultilevel"/>
    <w:tmpl w:val="26305C04"/>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1">
    <w:nsid w:val="57755A77"/>
    <w:multiLevelType w:val="hybridMultilevel"/>
    <w:tmpl w:val="FEC807D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2">
    <w:nsid w:val="595601C6"/>
    <w:multiLevelType w:val="hybridMultilevel"/>
    <w:tmpl w:val="91CCAB90"/>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3">
    <w:nsid w:val="59BA77F1"/>
    <w:multiLevelType w:val="hybridMultilevel"/>
    <w:tmpl w:val="504ABEC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4">
    <w:nsid w:val="5B2C6EC6"/>
    <w:multiLevelType w:val="hybridMultilevel"/>
    <w:tmpl w:val="EF726CCE"/>
    <w:lvl w:ilvl="0" w:tplc="0C0A0019">
      <w:start w:val="1"/>
      <w:numFmt w:val="lowerLetter"/>
      <w:lvlText w:val="%1."/>
      <w:lvlJc w:val="left"/>
      <w:pPr>
        <w:ind w:left="579" w:hanging="360"/>
      </w:pPr>
    </w:lvl>
    <w:lvl w:ilvl="1" w:tplc="0C0A0019" w:tentative="1">
      <w:start w:val="1"/>
      <w:numFmt w:val="lowerLetter"/>
      <w:lvlText w:val="%2."/>
      <w:lvlJc w:val="left"/>
      <w:pPr>
        <w:ind w:left="1299" w:hanging="360"/>
      </w:pPr>
    </w:lvl>
    <w:lvl w:ilvl="2" w:tplc="0C0A001B" w:tentative="1">
      <w:start w:val="1"/>
      <w:numFmt w:val="lowerRoman"/>
      <w:lvlText w:val="%3."/>
      <w:lvlJc w:val="right"/>
      <w:pPr>
        <w:ind w:left="2019" w:hanging="180"/>
      </w:pPr>
    </w:lvl>
    <w:lvl w:ilvl="3" w:tplc="0C0A000F" w:tentative="1">
      <w:start w:val="1"/>
      <w:numFmt w:val="decimal"/>
      <w:lvlText w:val="%4."/>
      <w:lvlJc w:val="left"/>
      <w:pPr>
        <w:ind w:left="2739" w:hanging="360"/>
      </w:pPr>
    </w:lvl>
    <w:lvl w:ilvl="4" w:tplc="0C0A0019" w:tentative="1">
      <w:start w:val="1"/>
      <w:numFmt w:val="lowerLetter"/>
      <w:lvlText w:val="%5."/>
      <w:lvlJc w:val="left"/>
      <w:pPr>
        <w:ind w:left="3459" w:hanging="360"/>
      </w:pPr>
    </w:lvl>
    <w:lvl w:ilvl="5" w:tplc="0C0A001B" w:tentative="1">
      <w:start w:val="1"/>
      <w:numFmt w:val="lowerRoman"/>
      <w:lvlText w:val="%6."/>
      <w:lvlJc w:val="right"/>
      <w:pPr>
        <w:ind w:left="4179" w:hanging="180"/>
      </w:pPr>
    </w:lvl>
    <w:lvl w:ilvl="6" w:tplc="0C0A000F" w:tentative="1">
      <w:start w:val="1"/>
      <w:numFmt w:val="decimal"/>
      <w:lvlText w:val="%7."/>
      <w:lvlJc w:val="left"/>
      <w:pPr>
        <w:ind w:left="4899" w:hanging="360"/>
      </w:pPr>
    </w:lvl>
    <w:lvl w:ilvl="7" w:tplc="0C0A0019" w:tentative="1">
      <w:start w:val="1"/>
      <w:numFmt w:val="lowerLetter"/>
      <w:lvlText w:val="%8."/>
      <w:lvlJc w:val="left"/>
      <w:pPr>
        <w:ind w:left="5619" w:hanging="360"/>
      </w:pPr>
    </w:lvl>
    <w:lvl w:ilvl="8" w:tplc="0C0A001B" w:tentative="1">
      <w:start w:val="1"/>
      <w:numFmt w:val="lowerRoman"/>
      <w:lvlText w:val="%9."/>
      <w:lvlJc w:val="right"/>
      <w:pPr>
        <w:ind w:left="6339" w:hanging="180"/>
      </w:pPr>
    </w:lvl>
  </w:abstractNum>
  <w:abstractNum w:abstractNumId="75">
    <w:nsid w:val="5D6E1390"/>
    <w:multiLevelType w:val="hybridMultilevel"/>
    <w:tmpl w:val="5F606594"/>
    <w:lvl w:ilvl="0" w:tplc="4E7C3B38">
      <w:start w:val="1"/>
      <w:numFmt w:val="decimal"/>
      <w:lvlText w:val="%1."/>
      <w:lvlJc w:val="left"/>
      <w:pPr>
        <w:ind w:left="720" w:hanging="360"/>
      </w:pPr>
      <w:rPr>
        <w:sz w:val="18"/>
      </w:rPr>
    </w:lvl>
    <w:lvl w:ilvl="1" w:tplc="1C0A0019">
      <w:start w:val="1"/>
      <w:numFmt w:val="lowerLetter"/>
      <w:lvlText w:val="%2."/>
      <w:lvlJc w:val="left"/>
      <w:pPr>
        <w:ind w:left="1440" w:hanging="360"/>
      </w:pPr>
    </w:lvl>
    <w:lvl w:ilvl="2" w:tplc="2EEC86D4">
      <w:start w:val="1"/>
      <w:numFmt w:val="decimal"/>
      <w:lvlText w:val="%3."/>
      <w:lvlJc w:val="left"/>
      <w:pPr>
        <w:ind w:left="2340" w:hanging="360"/>
      </w:pPr>
      <w:rPr>
        <w:rFonts w:hint="default"/>
      </w:r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76">
    <w:nsid w:val="5E7C7C1F"/>
    <w:multiLevelType w:val="hybridMultilevel"/>
    <w:tmpl w:val="0896DC28"/>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7">
    <w:nsid w:val="5E7D2AEF"/>
    <w:multiLevelType w:val="hybridMultilevel"/>
    <w:tmpl w:val="7C8A269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8">
    <w:nsid w:val="604E4FC9"/>
    <w:multiLevelType w:val="hybridMultilevel"/>
    <w:tmpl w:val="54965D8E"/>
    <w:lvl w:ilvl="0" w:tplc="0C0A0019">
      <w:start w:val="1"/>
      <w:numFmt w:val="lowerLetter"/>
      <w:lvlText w:val="%1."/>
      <w:lvlJc w:val="left"/>
      <w:pPr>
        <w:ind w:left="579" w:hanging="360"/>
      </w:pPr>
    </w:lvl>
    <w:lvl w:ilvl="1" w:tplc="0C0A0019">
      <w:start w:val="1"/>
      <w:numFmt w:val="lowerLetter"/>
      <w:lvlText w:val="%2."/>
      <w:lvlJc w:val="left"/>
      <w:pPr>
        <w:ind w:left="1299" w:hanging="360"/>
      </w:pPr>
    </w:lvl>
    <w:lvl w:ilvl="2" w:tplc="0C0A001B" w:tentative="1">
      <w:start w:val="1"/>
      <w:numFmt w:val="lowerRoman"/>
      <w:lvlText w:val="%3."/>
      <w:lvlJc w:val="right"/>
      <w:pPr>
        <w:ind w:left="2019" w:hanging="180"/>
      </w:pPr>
    </w:lvl>
    <w:lvl w:ilvl="3" w:tplc="0C0A000F" w:tentative="1">
      <w:start w:val="1"/>
      <w:numFmt w:val="decimal"/>
      <w:lvlText w:val="%4."/>
      <w:lvlJc w:val="left"/>
      <w:pPr>
        <w:ind w:left="2739" w:hanging="360"/>
      </w:pPr>
    </w:lvl>
    <w:lvl w:ilvl="4" w:tplc="0C0A0019" w:tentative="1">
      <w:start w:val="1"/>
      <w:numFmt w:val="lowerLetter"/>
      <w:lvlText w:val="%5."/>
      <w:lvlJc w:val="left"/>
      <w:pPr>
        <w:ind w:left="3459" w:hanging="360"/>
      </w:pPr>
    </w:lvl>
    <w:lvl w:ilvl="5" w:tplc="0C0A001B" w:tentative="1">
      <w:start w:val="1"/>
      <w:numFmt w:val="lowerRoman"/>
      <w:lvlText w:val="%6."/>
      <w:lvlJc w:val="right"/>
      <w:pPr>
        <w:ind w:left="4179" w:hanging="180"/>
      </w:pPr>
    </w:lvl>
    <w:lvl w:ilvl="6" w:tplc="0C0A000F" w:tentative="1">
      <w:start w:val="1"/>
      <w:numFmt w:val="decimal"/>
      <w:lvlText w:val="%7."/>
      <w:lvlJc w:val="left"/>
      <w:pPr>
        <w:ind w:left="4899" w:hanging="360"/>
      </w:pPr>
    </w:lvl>
    <w:lvl w:ilvl="7" w:tplc="0C0A0019" w:tentative="1">
      <w:start w:val="1"/>
      <w:numFmt w:val="lowerLetter"/>
      <w:lvlText w:val="%8."/>
      <w:lvlJc w:val="left"/>
      <w:pPr>
        <w:ind w:left="5619" w:hanging="360"/>
      </w:pPr>
    </w:lvl>
    <w:lvl w:ilvl="8" w:tplc="0C0A001B" w:tentative="1">
      <w:start w:val="1"/>
      <w:numFmt w:val="lowerRoman"/>
      <w:lvlText w:val="%9."/>
      <w:lvlJc w:val="right"/>
      <w:pPr>
        <w:ind w:left="6339" w:hanging="180"/>
      </w:pPr>
    </w:lvl>
  </w:abstractNum>
  <w:abstractNum w:abstractNumId="79">
    <w:nsid w:val="60AC76D2"/>
    <w:multiLevelType w:val="hybridMultilevel"/>
    <w:tmpl w:val="73088B2E"/>
    <w:lvl w:ilvl="0" w:tplc="48845CAE">
      <w:start w:val="1"/>
      <w:numFmt w:val="bullet"/>
      <w:lvlText w:val="»"/>
      <w:lvlJc w:val="left"/>
      <w:pPr>
        <w:ind w:left="360" w:hanging="360"/>
      </w:pPr>
      <w:rPr>
        <w:rFonts w:ascii="Apple Symbols" w:hAnsi="Apple Symbols" w:hint="default"/>
        <w:w w:val="150"/>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0">
    <w:nsid w:val="62F47121"/>
    <w:multiLevelType w:val="hybridMultilevel"/>
    <w:tmpl w:val="BD9CC244"/>
    <w:lvl w:ilvl="0" w:tplc="0C0A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nsid w:val="64055C8D"/>
    <w:multiLevelType w:val="hybridMultilevel"/>
    <w:tmpl w:val="B2F01B20"/>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2">
    <w:nsid w:val="65E30622"/>
    <w:multiLevelType w:val="hybridMultilevel"/>
    <w:tmpl w:val="519644FE"/>
    <w:lvl w:ilvl="0" w:tplc="64F44E1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3">
    <w:nsid w:val="672F464E"/>
    <w:multiLevelType w:val="hybridMultilevel"/>
    <w:tmpl w:val="D9C85A30"/>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4">
    <w:nsid w:val="67A03F8C"/>
    <w:multiLevelType w:val="hybridMultilevel"/>
    <w:tmpl w:val="2DBCFA26"/>
    <w:lvl w:ilvl="0" w:tplc="0C0A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nsid w:val="67CB240F"/>
    <w:multiLevelType w:val="hybridMultilevel"/>
    <w:tmpl w:val="3C808D40"/>
    <w:lvl w:ilvl="0" w:tplc="323A5832">
      <w:start w:val="1"/>
      <w:numFmt w:val="bullet"/>
      <w:pStyle w:val="List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nsid w:val="68973DA8"/>
    <w:multiLevelType w:val="multilevel"/>
    <w:tmpl w:val="0BCC09CA"/>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87">
    <w:nsid w:val="69DD0ABC"/>
    <w:multiLevelType w:val="hybridMultilevel"/>
    <w:tmpl w:val="DCAEA67E"/>
    <w:lvl w:ilvl="0" w:tplc="0C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8">
    <w:nsid w:val="6A5218DC"/>
    <w:multiLevelType w:val="hybridMultilevel"/>
    <w:tmpl w:val="B448B59A"/>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9">
    <w:nsid w:val="6CE13550"/>
    <w:multiLevelType w:val="hybridMultilevel"/>
    <w:tmpl w:val="EEC0D0F6"/>
    <w:lvl w:ilvl="0" w:tplc="62A82F02">
      <w:start w:val="1"/>
      <w:numFmt w:val="lowerLetter"/>
      <w:pStyle w:val="Heading2"/>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0">
    <w:nsid w:val="6D9E0644"/>
    <w:multiLevelType w:val="hybridMultilevel"/>
    <w:tmpl w:val="16BA2BD6"/>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1">
    <w:nsid w:val="7185596B"/>
    <w:multiLevelType w:val="hybridMultilevel"/>
    <w:tmpl w:val="36884762"/>
    <w:lvl w:ilvl="0" w:tplc="48845CAE">
      <w:start w:val="1"/>
      <w:numFmt w:val="bullet"/>
      <w:lvlText w:val="»"/>
      <w:lvlJc w:val="left"/>
      <w:pPr>
        <w:ind w:left="720" w:hanging="360"/>
      </w:pPr>
      <w:rPr>
        <w:rFonts w:ascii="Apple Symbols" w:hAnsi="Apple Symbols" w:hint="default"/>
        <w:w w:val="150"/>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2">
    <w:nsid w:val="71E53A21"/>
    <w:multiLevelType w:val="hybridMultilevel"/>
    <w:tmpl w:val="4410A7BC"/>
    <w:lvl w:ilvl="0" w:tplc="6F3E0374">
      <w:start w:val="1"/>
      <w:numFmt w:val="lowerLetter"/>
      <w:lvlText w:val="%1."/>
      <w:lvlJc w:val="left"/>
      <w:pPr>
        <w:ind w:left="579" w:hanging="360"/>
      </w:pPr>
      <w:rPr>
        <w:b w:val="0"/>
        <w:i w:val="0"/>
      </w:rPr>
    </w:lvl>
    <w:lvl w:ilvl="1" w:tplc="0C0A0019" w:tentative="1">
      <w:start w:val="1"/>
      <w:numFmt w:val="lowerLetter"/>
      <w:lvlText w:val="%2."/>
      <w:lvlJc w:val="left"/>
      <w:pPr>
        <w:ind w:left="1299" w:hanging="360"/>
      </w:pPr>
    </w:lvl>
    <w:lvl w:ilvl="2" w:tplc="0C0A001B" w:tentative="1">
      <w:start w:val="1"/>
      <w:numFmt w:val="lowerRoman"/>
      <w:lvlText w:val="%3."/>
      <w:lvlJc w:val="right"/>
      <w:pPr>
        <w:ind w:left="2019" w:hanging="180"/>
      </w:pPr>
    </w:lvl>
    <w:lvl w:ilvl="3" w:tplc="0C0A000F" w:tentative="1">
      <w:start w:val="1"/>
      <w:numFmt w:val="decimal"/>
      <w:lvlText w:val="%4."/>
      <w:lvlJc w:val="left"/>
      <w:pPr>
        <w:ind w:left="2739" w:hanging="360"/>
      </w:pPr>
    </w:lvl>
    <w:lvl w:ilvl="4" w:tplc="0C0A0019" w:tentative="1">
      <w:start w:val="1"/>
      <w:numFmt w:val="lowerLetter"/>
      <w:lvlText w:val="%5."/>
      <w:lvlJc w:val="left"/>
      <w:pPr>
        <w:ind w:left="3459" w:hanging="360"/>
      </w:pPr>
    </w:lvl>
    <w:lvl w:ilvl="5" w:tplc="0C0A001B" w:tentative="1">
      <w:start w:val="1"/>
      <w:numFmt w:val="lowerRoman"/>
      <w:lvlText w:val="%6."/>
      <w:lvlJc w:val="right"/>
      <w:pPr>
        <w:ind w:left="4179" w:hanging="180"/>
      </w:pPr>
    </w:lvl>
    <w:lvl w:ilvl="6" w:tplc="0C0A000F" w:tentative="1">
      <w:start w:val="1"/>
      <w:numFmt w:val="decimal"/>
      <w:lvlText w:val="%7."/>
      <w:lvlJc w:val="left"/>
      <w:pPr>
        <w:ind w:left="4899" w:hanging="360"/>
      </w:pPr>
    </w:lvl>
    <w:lvl w:ilvl="7" w:tplc="0C0A0019" w:tentative="1">
      <w:start w:val="1"/>
      <w:numFmt w:val="lowerLetter"/>
      <w:lvlText w:val="%8."/>
      <w:lvlJc w:val="left"/>
      <w:pPr>
        <w:ind w:left="5619" w:hanging="360"/>
      </w:pPr>
    </w:lvl>
    <w:lvl w:ilvl="8" w:tplc="0C0A001B" w:tentative="1">
      <w:start w:val="1"/>
      <w:numFmt w:val="lowerRoman"/>
      <w:lvlText w:val="%9."/>
      <w:lvlJc w:val="right"/>
      <w:pPr>
        <w:ind w:left="6339" w:hanging="180"/>
      </w:pPr>
    </w:lvl>
  </w:abstractNum>
  <w:abstractNum w:abstractNumId="93">
    <w:nsid w:val="732E718C"/>
    <w:multiLevelType w:val="hybridMultilevel"/>
    <w:tmpl w:val="C5EECA20"/>
    <w:lvl w:ilvl="0" w:tplc="0409000F">
      <w:start w:val="1"/>
      <w:numFmt w:val="decimal"/>
      <w:lvlText w:val="%1."/>
      <w:lvlJc w:val="left"/>
      <w:pPr>
        <w:tabs>
          <w:tab w:val="num" w:pos="360"/>
        </w:tabs>
        <w:ind w:left="360" w:hanging="360"/>
      </w:pPr>
      <w:rPr>
        <w:rFonts w:hint="default"/>
      </w:rPr>
    </w:lvl>
    <w:lvl w:ilvl="1" w:tplc="E7322BC4">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4">
    <w:nsid w:val="73606C71"/>
    <w:multiLevelType w:val="hybridMultilevel"/>
    <w:tmpl w:val="15F6EBB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5">
    <w:nsid w:val="75685A7E"/>
    <w:multiLevelType w:val="hybridMultilevel"/>
    <w:tmpl w:val="A408718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6">
    <w:nsid w:val="772D40A2"/>
    <w:multiLevelType w:val="hybridMultilevel"/>
    <w:tmpl w:val="86A29954"/>
    <w:lvl w:ilvl="0" w:tplc="0C0A0005">
      <w:start w:val="1"/>
      <w:numFmt w:val="bullet"/>
      <w:lvlText w:val=""/>
      <w:lvlJc w:val="left"/>
      <w:pPr>
        <w:ind w:left="360" w:hanging="360"/>
      </w:pPr>
      <w:rPr>
        <w:rFonts w:ascii="Wingdings" w:hAnsi="Wingdings"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97">
    <w:nsid w:val="77CE7A13"/>
    <w:multiLevelType w:val="hybridMultilevel"/>
    <w:tmpl w:val="E7705160"/>
    <w:lvl w:ilvl="0" w:tplc="78802DEE">
      <w:start w:val="1"/>
      <w:numFmt w:val="decimal"/>
      <w:lvlText w:val="%1."/>
      <w:lvlJc w:val="left"/>
      <w:pPr>
        <w:ind w:left="360" w:hanging="360"/>
      </w:pPr>
      <w:rPr>
        <w:rFonts w:ascii="Calibri (Títulos de tema)" w:hAnsi="Calibri (Títulos de tema)"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7BA0091A"/>
    <w:multiLevelType w:val="hybridMultilevel"/>
    <w:tmpl w:val="A9165080"/>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9">
    <w:nsid w:val="7C1F0046"/>
    <w:multiLevelType w:val="hybridMultilevel"/>
    <w:tmpl w:val="649C4CBC"/>
    <w:lvl w:ilvl="0" w:tplc="0409000F">
      <w:start w:val="1"/>
      <w:numFmt w:val="decimal"/>
      <w:lvlText w:val="%1."/>
      <w:lvlJc w:val="left"/>
      <w:pPr>
        <w:tabs>
          <w:tab w:val="num" w:pos="720"/>
        </w:tabs>
        <w:ind w:left="720" w:hanging="360"/>
      </w:pPr>
      <w:rPr>
        <w:rFonts w:hint="default"/>
      </w:rPr>
    </w:lvl>
    <w:lvl w:ilvl="1" w:tplc="E7322BC4">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nsid w:val="7C3F565B"/>
    <w:multiLevelType w:val="hybridMultilevel"/>
    <w:tmpl w:val="71623C38"/>
    <w:lvl w:ilvl="0" w:tplc="48845CAE">
      <w:start w:val="1"/>
      <w:numFmt w:val="bullet"/>
      <w:lvlText w:val="»"/>
      <w:lvlJc w:val="left"/>
      <w:pPr>
        <w:ind w:left="720" w:hanging="360"/>
      </w:pPr>
      <w:rPr>
        <w:rFonts w:ascii="Apple Symbols" w:hAnsi="Apple Symbols" w:hint="default"/>
        <w:w w:val="150"/>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1">
    <w:nsid w:val="7C5E79A2"/>
    <w:multiLevelType w:val="hybridMultilevel"/>
    <w:tmpl w:val="1A62A712"/>
    <w:lvl w:ilvl="0" w:tplc="D20EFEA0">
      <w:start w:val="1"/>
      <w:numFmt w:val="bullet"/>
      <w:pStyle w:val="Style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6"/>
  </w:num>
  <w:num w:numId="2">
    <w:abstractNumId w:val="85"/>
  </w:num>
  <w:num w:numId="3">
    <w:abstractNumId w:val="101"/>
  </w:num>
  <w:num w:numId="4">
    <w:abstractNumId w:val="64"/>
  </w:num>
  <w:num w:numId="5">
    <w:abstractNumId w:val="50"/>
  </w:num>
  <w:num w:numId="6">
    <w:abstractNumId w:val="99"/>
  </w:num>
  <w:num w:numId="7">
    <w:abstractNumId w:val="69"/>
  </w:num>
  <w:num w:numId="8">
    <w:abstractNumId w:val="43"/>
  </w:num>
  <w:num w:numId="9">
    <w:abstractNumId w:val="2"/>
  </w:num>
  <w:num w:numId="10">
    <w:abstractNumId w:val="3"/>
  </w:num>
  <w:num w:numId="11">
    <w:abstractNumId w:val="33"/>
  </w:num>
  <w:num w:numId="12">
    <w:abstractNumId w:val="82"/>
  </w:num>
  <w:num w:numId="13">
    <w:abstractNumId w:val="36"/>
  </w:num>
  <w:num w:numId="14">
    <w:abstractNumId w:val="20"/>
  </w:num>
  <w:num w:numId="15">
    <w:abstractNumId w:val="93"/>
  </w:num>
  <w:num w:numId="16">
    <w:abstractNumId w:val="7"/>
  </w:num>
  <w:num w:numId="17">
    <w:abstractNumId w:val="57"/>
  </w:num>
  <w:num w:numId="18">
    <w:abstractNumId w:val="39"/>
  </w:num>
  <w:num w:numId="19">
    <w:abstractNumId w:val="89"/>
  </w:num>
  <w:num w:numId="20">
    <w:abstractNumId w:val="89"/>
    <w:lvlOverride w:ilvl="0">
      <w:startOverride w:val="1"/>
    </w:lvlOverride>
  </w:num>
  <w:num w:numId="21">
    <w:abstractNumId w:val="89"/>
    <w:lvlOverride w:ilvl="0">
      <w:startOverride w:val="1"/>
    </w:lvlOverride>
  </w:num>
  <w:num w:numId="22">
    <w:abstractNumId w:val="89"/>
    <w:lvlOverride w:ilvl="0">
      <w:startOverride w:val="1"/>
    </w:lvlOverride>
  </w:num>
  <w:num w:numId="23">
    <w:abstractNumId w:val="75"/>
  </w:num>
  <w:num w:numId="24">
    <w:abstractNumId w:val="22"/>
  </w:num>
  <w:num w:numId="25">
    <w:abstractNumId w:val="62"/>
  </w:num>
  <w:num w:numId="26">
    <w:abstractNumId w:val="65"/>
  </w:num>
  <w:num w:numId="27">
    <w:abstractNumId w:val="51"/>
  </w:num>
  <w:num w:numId="28">
    <w:abstractNumId w:val="98"/>
  </w:num>
  <w:num w:numId="29">
    <w:abstractNumId w:val="32"/>
  </w:num>
  <w:num w:numId="30">
    <w:abstractNumId w:val="18"/>
  </w:num>
  <w:num w:numId="31">
    <w:abstractNumId w:val="1"/>
  </w:num>
  <w:num w:numId="32">
    <w:abstractNumId w:val="37"/>
  </w:num>
  <w:num w:numId="33">
    <w:abstractNumId w:val="80"/>
  </w:num>
  <w:num w:numId="34">
    <w:abstractNumId w:val="21"/>
  </w:num>
  <w:num w:numId="35">
    <w:abstractNumId w:val="96"/>
  </w:num>
  <w:num w:numId="36">
    <w:abstractNumId w:val="97"/>
  </w:num>
  <w:num w:numId="37">
    <w:abstractNumId w:val="89"/>
    <w:lvlOverride w:ilvl="0">
      <w:startOverride w:val="1"/>
    </w:lvlOverride>
  </w:num>
  <w:num w:numId="38">
    <w:abstractNumId w:val="89"/>
    <w:lvlOverride w:ilvl="0">
      <w:startOverride w:val="1"/>
    </w:lvlOverride>
  </w:num>
  <w:num w:numId="39">
    <w:abstractNumId w:val="89"/>
    <w:lvlOverride w:ilvl="0">
      <w:startOverride w:val="1"/>
    </w:lvlOverride>
  </w:num>
  <w:num w:numId="40">
    <w:abstractNumId w:val="15"/>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4"/>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0"/>
  </w:num>
  <w:num w:numId="46">
    <w:abstractNumId w:val="61"/>
  </w:num>
  <w:num w:numId="47">
    <w:abstractNumId w:val="31"/>
  </w:num>
  <w:num w:numId="48">
    <w:abstractNumId w:val="54"/>
  </w:num>
  <w:num w:numId="49">
    <w:abstractNumId w:val="5"/>
  </w:num>
  <w:num w:numId="50">
    <w:abstractNumId w:val="34"/>
  </w:num>
  <w:num w:numId="51">
    <w:abstractNumId w:val="100"/>
  </w:num>
  <w:num w:numId="52">
    <w:abstractNumId w:val="42"/>
  </w:num>
  <w:num w:numId="53">
    <w:abstractNumId w:val="46"/>
  </w:num>
  <w:num w:numId="54">
    <w:abstractNumId w:val="81"/>
  </w:num>
  <w:num w:numId="55">
    <w:abstractNumId w:val="0"/>
  </w:num>
  <w:num w:numId="56">
    <w:abstractNumId w:val="78"/>
  </w:num>
  <w:num w:numId="57">
    <w:abstractNumId w:val="52"/>
  </w:num>
  <w:num w:numId="58">
    <w:abstractNumId w:val="92"/>
  </w:num>
  <w:num w:numId="59">
    <w:abstractNumId w:val="38"/>
  </w:num>
  <w:num w:numId="60">
    <w:abstractNumId w:val="94"/>
  </w:num>
  <w:num w:numId="61">
    <w:abstractNumId w:val="71"/>
  </w:num>
  <w:num w:numId="62">
    <w:abstractNumId w:val="58"/>
  </w:num>
  <w:num w:numId="63">
    <w:abstractNumId w:val="53"/>
  </w:num>
  <w:num w:numId="64">
    <w:abstractNumId w:val="56"/>
  </w:num>
  <w:num w:numId="65">
    <w:abstractNumId w:val="35"/>
  </w:num>
  <w:num w:numId="66">
    <w:abstractNumId w:val="67"/>
  </w:num>
  <w:num w:numId="67">
    <w:abstractNumId w:val="73"/>
  </w:num>
  <w:num w:numId="68">
    <w:abstractNumId w:val="28"/>
  </w:num>
  <w:num w:numId="69">
    <w:abstractNumId w:val="16"/>
  </w:num>
  <w:num w:numId="70">
    <w:abstractNumId w:val="45"/>
  </w:num>
  <w:num w:numId="71">
    <w:abstractNumId w:val="83"/>
  </w:num>
  <w:num w:numId="72">
    <w:abstractNumId w:val="24"/>
  </w:num>
  <w:num w:numId="73">
    <w:abstractNumId w:val="47"/>
  </w:num>
  <w:num w:numId="74">
    <w:abstractNumId w:val="79"/>
  </w:num>
  <w:num w:numId="75">
    <w:abstractNumId w:val="26"/>
  </w:num>
  <w:num w:numId="76">
    <w:abstractNumId w:val="6"/>
  </w:num>
  <w:num w:numId="77">
    <w:abstractNumId w:val="10"/>
  </w:num>
  <w:num w:numId="78">
    <w:abstractNumId w:val="74"/>
  </w:num>
  <w:num w:numId="79">
    <w:abstractNumId w:val="27"/>
  </w:num>
  <w:num w:numId="80">
    <w:abstractNumId w:val="77"/>
  </w:num>
  <w:num w:numId="81">
    <w:abstractNumId w:val="25"/>
  </w:num>
  <w:num w:numId="82">
    <w:abstractNumId w:val="68"/>
  </w:num>
  <w:num w:numId="83">
    <w:abstractNumId w:val="48"/>
  </w:num>
  <w:num w:numId="84">
    <w:abstractNumId w:val="72"/>
  </w:num>
  <w:num w:numId="85">
    <w:abstractNumId w:val="66"/>
  </w:num>
  <w:num w:numId="86">
    <w:abstractNumId w:val="63"/>
  </w:num>
  <w:num w:numId="87">
    <w:abstractNumId w:val="13"/>
  </w:num>
  <w:num w:numId="88">
    <w:abstractNumId w:val="59"/>
  </w:num>
  <w:num w:numId="89">
    <w:abstractNumId w:val="60"/>
  </w:num>
  <w:num w:numId="90">
    <w:abstractNumId w:val="12"/>
  </w:num>
  <w:num w:numId="91">
    <w:abstractNumId w:val="91"/>
  </w:num>
  <w:num w:numId="92">
    <w:abstractNumId w:val="17"/>
  </w:num>
  <w:num w:numId="93">
    <w:abstractNumId w:val="88"/>
  </w:num>
  <w:num w:numId="94">
    <w:abstractNumId w:val="95"/>
  </w:num>
  <w:num w:numId="95">
    <w:abstractNumId w:val="30"/>
  </w:num>
  <w:num w:numId="96">
    <w:abstractNumId w:val="29"/>
  </w:num>
  <w:num w:numId="97">
    <w:abstractNumId w:val="9"/>
  </w:num>
  <w:num w:numId="98">
    <w:abstractNumId w:val="87"/>
  </w:num>
  <w:num w:numId="99">
    <w:abstractNumId w:val="14"/>
  </w:num>
  <w:num w:numId="100">
    <w:abstractNumId w:val="23"/>
  </w:num>
  <w:num w:numId="101">
    <w:abstractNumId w:val="49"/>
  </w:num>
  <w:num w:numId="102">
    <w:abstractNumId w:val="4"/>
  </w:num>
  <w:num w:numId="103">
    <w:abstractNumId w:val="76"/>
  </w:num>
  <w:num w:numId="104">
    <w:abstractNumId w:val="90"/>
  </w:num>
  <w:num w:numId="105">
    <w:abstractNumId w:val="8"/>
  </w:num>
  <w:num w:numId="106">
    <w:abstractNumId w:val="55"/>
  </w:num>
  <w:num w:numId="107">
    <w:abstractNumId w:val="44"/>
  </w:num>
  <w:num w:numId="108">
    <w:abstractNumId w:val="11"/>
  </w:num>
  <w:num w:numId="109">
    <w:abstractNumId w:val="40"/>
  </w:num>
  <w:num w:numId="110">
    <w:abstractNumId w:val="41"/>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90D"/>
    <w:rsid w:val="000008E1"/>
    <w:rsid w:val="000012F4"/>
    <w:rsid w:val="00001432"/>
    <w:rsid w:val="000047A3"/>
    <w:rsid w:val="00004E67"/>
    <w:rsid w:val="0000553C"/>
    <w:rsid w:val="00005AA1"/>
    <w:rsid w:val="00005CDD"/>
    <w:rsid w:val="00005E91"/>
    <w:rsid w:val="000101D7"/>
    <w:rsid w:val="00011A36"/>
    <w:rsid w:val="00013052"/>
    <w:rsid w:val="00014496"/>
    <w:rsid w:val="000154DB"/>
    <w:rsid w:val="00015849"/>
    <w:rsid w:val="00016708"/>
    <w:rsid w:val="00017B9D"/>
    <w:rsid w:val="00020244"/>
    <w:rsid w:val="00022EE3"/>
    <w:rsid w:val="00023086"/>
    <w:rsid w:val="00023542"/>
    <w:rsid w:val="00023B14"/>
    <w:rsid w:val="00024F4C"/>
    <w:rsid w:val="000262AB"/>
    <w:rsid w:val="00027FFE"/>
    <w:rsid w:val="00030388"/>
    <w:rsid w:val="0003093C"/>
    <w:rsid w:val="00032957"/>
    <w:rsid w:val="00033547"/>
    <w:rsid w:val="00033F39"/>
    <w:rsid w:val="00034E74"/>
    <w:rsid w:val="00034EC5"/>
    <w:rsid w:val="000369F5"/>
    <w:rsid w:val="00040468"/>
    <w:rsid w:val="00040B4F"/>
    <w:rsid w:val="00041BE1"/>
    <w:rsid w:val="0004238D"/>
    <w:rsid w:val="00042D9B"/>
    <w:rsid w:val="00042FAA"/>
    <w:rsid w:val="00043F1C"/>
    <w:rsid w:val="00044232"/>
    <w:rsid w:val="00045DDC"/>
    <w:rsid w:val="00046518"/>
    <w:rsid w:val="00046767"/>
    <w:rsid w:val="000501ED"/>
    <w:rsid w:val="00051915"/>
    <w:rsid w:val="00052A1A"/>
    <w:rsid w:val="00055817"/>
    <w:rsid w:val="00056AFC"/>
    <w:rsid w:val="00057E56"/>
    <w:rsid w:val="00061D03"/>
    <w:rsid w:val="00061EB0"/>
    <w:rsid w:val="0006289E"/>
    <w:rsid w:val="00064716"/>
    <w:rsid w:val="00064EAE"/>
    <w:rsid w:val="000666C8"/>
    <w:rsid w:val="00066755"/>
    <w:rsid w:val="00066F24"/>
    <w:rsid w:val="00070F3E"/>
    <w:rsid w:val="00071CF6"/>
    <w:rsid w:val="00071D0E"/>
    <w:rsid w:val="00071E72"/>
    <w:rsid w:val="00073D61"/>
    <w:rsid w:val="00074A8D"/>
    <w:rsid w:val="00075C5A"/>
    <w:rsid w:val="00075DCD"/>
    <w:rsid w:val="00075E90"/>
    <w:rsid w:val="00077049"/>
    <w:rsid w:val="00077E73"/>
    <w:rsid w:val="00080713"/>
    <w:rsid w:val="00081641"/>
    <w:rsid w:val="00081A48"/>
    <w:rsid w:val="00083A9D"/>
    <w:rsid w:val="00085561"/>
    <w:rsid w:val="000859AF"/>
    <w:rsid w:val="00086697"/>
    <w:rsid w:val="0008696F"/>
    <w:rsid w:val="00090972"/>
    <w:rsid w:val="00091318"/>
    <w:rsid w:val="00092B63"/>
    <w:rsid w:val="00092F03"/>
    <w:rsid w:val="00094304"/>
    <w:rsid w:val="000961CB"/>
    <w:rsid w:val="00096457"/>
    <w:rsid w:val="000A032A"/>
    <w:rsid w:val="000A0A27"/>
    <w:rsid w:val="000A21D3"/>
    <w:rsid w:val="000A22AE"/>
    <w:rsid w:val="000A3FD7"/>
    <w:rsid w:val="000B04ED"/>
    <w:rsid w:val="000B19AA"/>
    <w:rsid w:val="000B1A40"/>
    <w:rsid w:val="000B1C69"/>
    <w:rsid w:val="000B2F1F"/>
    <w:rsid w:val="000B3366"/>
    <w:rsid w:val="000B4F46"/>
    <w:rsid w:val="000B5280"/>
    <w:rsid w:val="000B5992"/>
    <w:rsid w:val="000C0566"/>
    <w:rsid w:val="000C0F42"/>
    <w:rsid w:val="000C1C2F"/>
    <w:rsid w:val="000C2474"/>
    <w:rsid w:val="000C3922"/>
    <w:rsid w:val="000C5A74"/>
    <w:rsid w:val="000C5C4F"/>
    <w:rsid w:val="000C705B"/>
    <w:rsid w:val="000D0780"/>
    <w:rsid w:val="000D1DEC"/>
    <w:rsid w:val="000D3726"/>
    <w:rsid w:val="000D37A0"/>
    <w:rsid w:val="000D4DC2"/>
    <w:rsid w:val="000D50CF"/>
    <w:rsid w:val="000D5607"/>
    <w:rsid w:val="000D60EC"/>
    <w:rsid w:val="000D632C"/>
    <w:rsid w:val="000D66B4"/>
    <w:rsid w:val="000D6954"/>
    <w:rsid w:val="000E0E93"/>
    <w:rsid w:val="000E2C04"/>
    <w:rsid w:val="000E30CB"/>
    <w:rsid w:val="000E4CE1"/>
    <w:rsid w:val="000E4D78"/>
    <w:rsid w:val="000E742C"/>
    <w:rsid w:val="000F0D68"/>
    <w:rsid w:val="000F36C0"/>
    <w:rsid w:val="000F3896"/>
    <w:rsid w:val="000F3F18"/>
    <w:rsid w:val="000F736B"/>
    <w:rsid w:val="000F741F"/>
    <w:rsid w:val="000F7D27"/>
    <w:rsid w:val="00100FE8"/>
    <w:rsid w:val="00104A7C"/>
    <w:rsid w:val="00104B60"/>
    <w:rsid w:val="00106EB3"/>
    <w:rsid w:val="0011111A"/>
    <w:rsid w:val="001111B7"/>
    <w:rsid w:val="00111739"/>
    <w:rsid w:val="0011269F"/>
    <w:rsid w:val="00112EE9"/>
    <w:rsid w:val="00115C67"/>
    <w:rsid w:val="001163F9"/>
    <w:rsid w:val="0011751D"/>
    <w:rsid w:val="00122211"/>
    <w:rsid w:val="001253AD"/>
    <w:rsid w:val="001254C7"/>
    <w:rsid w:val="00126271"/>
    <w:rsid w:val="001265BA"/>
    <w:rsid w:val="00127E7F"/>
    <w:rsid w:val="001314E3"/>
    <w:rsid w:val="001338B8"/>
    <w:rsid w:val="00134043"/>
    <w:rsid w:val="00134FF6"/>
    <w:rsid w:val="001351C5"/>
    <w:rsid w:val="00136162"/>
    <w:rsid w:val="00141C1F"/>
    <w:rsid w:val="0014375F"/>
    <w:rsid w:val="00145347"/>
    <w:rsid w:val="001471C4"/>
    <w:rsid w:val="001472D5"/>
    <w:rsid w:val="00150815"/>
    <w:rsid w:val="00150D59"/>
    <w:rsid w:val="0015122E"/>
    <w:rsid w:val="001517D8"/>
    <w:rsid w:val="00151E28"/>
    <w:rsid w:val="0015294B"/>
    <w:rsid w:val="00153562"/>
    <w:rsid w:val="00155188"/>
    <w:rsid w:val="001603E9"/>
    <w:rsid w:val="00160E6D"/>
    <w:rsid w:val="00160EA4"/>
    <w:rsid w:val="0016330D"/>
    <w:rsid w:val="0016630F"/>
    <w:rsid w:val="00166552"/>
    <w:rsid w:val="00167E50"/>
    <w:rsid w:val="00170703"/>
    <w:rsid w:val="001713E2"/>
    <w:rsid w:val="001715BA"/>
    <w:rsid w:val="00171B8F"/>
    <w:rsid w:val="00171D15"/>
    <w:rsid w:val="00174CA2"/>
    <w:rsid w:val="001753B9"/>
    <w:rsid w:val="00175540"/>
    <w:rsid w:val="00175ABD"/>
    <w:rsid w:val="00175D0F"/>
    <w:rsid w:val="00176587"/>
    <w:rsid w:val="00176A0C"/>
    <w:rsid w:val="0018047D"/>
    <w:rsid w:val="00180CC1"/>
    <w:rsid w:val="00181522"/>
    <w:rsid w:val="00184110"/>
    <w:rsid w:val="001852A9"/>
    <w:rsid w:val="0019150D"/>
    <w:rsid w:val="0019215E"/>
    <w:rsid w:val="00192575"/>
    <w:rsid w:val="0019395A"/>
    <w:rsid w:val="00194615"/>
    <w:rsid w:val="00196268"/>
    <w:rsid w:val="0019707E"/>
    <w:rsid w:val="00197CE8"/>
    <w:rsid w:val="001A0635"/>
    <w:rsid w:val="001A097A"/>
    <w:rsid w:val="001A1B87"/>
    <w:rsid w:val="001A203F"/>
    <w:rsid w:val="001A56C5"/>
    <w:rsid w:val="001A6C53"/>
    <w:rsid w:val="001A6DFF"/>
    <w:rsid w:val="001B01AD"/>
    <w:rsid w:val="001B13E9"/>
    <w:rsid w:val="001B1503"/>
    <w:rsid w:val="001B1FC7"/>
    <w:rsid w:val="001B2AFA"/>
    <w:rsid w:val="001B2F20"/>
    <w:rsid w:val="001B380F"/>
    <w:rsid w:val="001B429D"/>
    <w:rsid w:val="001B6D44"/>
    <w:rsid w:val="001B7204"/>
    <w:rsid w:val="001B765A"/>
    <w:rsid w:val="001B76C6"/>
    <w:rsid w:val="001C1A19"/>
    <w:rsid w:val="001C1C68"/>
    <w:rsid w:val="001C1ED9"/>
    <w:rsid w:val="001C2A6D"/>
    <w:rsid w:val="001C30F3"/>
    <w:rsid w:val="001C68CE"/>
    <w:rsid w:val="001C70A6"/>
    <w:rsid w:val="001C7BF6"/>
    <w:rsid w:val="001C7E3B"/>
    <w:rsid w:val="001D2023"/>
    <w:rsid w:val="001D307C"/>
    <w:rsid w:val="001D3FF2"/>
    <w:rsid w:val="001D5594"/>
    <w:rsid w:val="001D5AD4"/>
    <w:rsid w:val="001D6016"/>
    <w:rsid w:val="001D6248"/>
    <w:rsid w:val="001D6A8D"/>
    <w:rsid w:val="001E06FE"/>
    <w:rsid w:val="001E0947"/>
    <w:rsid w:val="001E1F5D"/>
    <w:rsid w:val="001E2277"/>
    <w:rsid w:val="001E280B"/>
    <w:rsid w:val="001E47B1"/>
    <w:rsid w:val="001E633C"/>
    <w:rsid w:val="001F0B9E"/>
    <w:rsid w:val="001F0E42"/>
    <w:rsid w:val="001F1093"/>
    <w:rsid w:val="001F2219"/>
    <w:rsid w:val="001F2980"/>
    <w:rsid w:val="001F2D8F"/>
    <w:rsid w:val="001F40AB"/>
    <w:rsid w:val="001F443A"/>
    <w:rsid w:val="001F447E"/>
    <w:rsid w:val="001F4B7C"/>
    <w:rsid w:val="001F4F32"/>
    <w:rsid w:val="001F781B"/>
    <w:rsid w:val="00200832"/>
    <w:rsid w:val="00200D2D"/>
    <w:rsid w:val="0020409C"/>
    <w:rsid w:val="002041DB"/>
    <w:rsid w:val="002046D0"/>
    <w:rsid w:val="0020684E"/>
    <w:rsid w:val="00207A21"/>
    <w:rsid w:val="00211C30"/>
    <w:rsid w:val="00212BEB"/>
    <w:rsid w:val="00214200"/>
    <w:rsid w:val="002147C4"/>
    <w:rsid w:val="00214B70"/>
    <w:rsid w:val="00214EA4"/>
    <w:rsid w:val="00216258"/>
    <w:rsid w:val="00216E28"/>
    <w:rsid w:val="0021753E"/>
    <w:rsid w:val="00217C39"/>
    <w:rsid w:val="00221485"/>
    <w:rsid w:val="002215F2"/>
    <w:rsid w:val="00221CA8"/>
    <w:rsid w:val="002221E0"/>
    <w:rsid w:val="00222219"/>
    <w:rsid w:val="0022279C"/>
    <w:rsid w:val="00222C5B"/>
    <w:rsid w:val="00222CAF"/>
    <w:rsid w:val="00222F24"/>
    <w:rsid w:val="00224652"/>
    <w:rsid w:val="002259D1"/>
    <w:rsid w:val="00227816"/>
    <w:rsid w:val="002320A1"/>
    <w:rsid w:val="00233205"/>
    <w:rsid w:val="00234BEA"/>
    <w:rsid w:val="00235029"/>
    <w:rsid w:val="00235DB1"/>
    <w:rsid w:val="00237310"/>
    <w:rsid w:val="002377D5"/>
    <w:rsid w:val="002378D1"/>
    <w:rsid w:val="00237EFC"/>
    <w:rsid w:val="002401E7"/>
    <w:rsid w:val="002404A6"/>
    <w:rsid w:val="00240E13"/>
    <w:rsid w:val="002414A7"/>
    <w:rsid w:val="00241CC7"/>
    <w:rsid w:val="00242386"/>
    <w:rsid w:val="0024247A"/>
    <w:rsid w:val="002427BC"/>
    <w:rsid w:val="002428FA"/>
    <w:rsid w:val="00243944"/>
    <w:rsid w:val="00244EA3"/>
    <w:rsid w:val="002450C1"/>
    <w:rsid w:val="0024550B"/>
    <w:rsid w:val="00245BBF"/>
    <w:rsid w:val="002506B5"/>
    <w:rsid w:val="0025162C"/>
    <w:rsid w:val="00251D3C"/>
    <w:rsid w:val="00252761"/>
    <w:rsid w:val="00253088"/>
    <w:rsid w:val="00254E0B"/>
    <w:rsid w:val="0025527D"/>
    <w:rsid w:val="002555F6"/>
    <w:rsid w:val="00255C25"/>
    <w:rsid w:val="00257BF7"/>
    <w:rsid w:val="00257D63"/>
    <w:rsid w:val="00260752"/>
    <w:rsid w:val="0026111B"/>
    <w:rsid w:val="00262A47"/>
    <w:rsid w:val="002630EF"/>
    <w:rsid w:val="00263534"/>
    <w:rsid w:val="00263745"/>
    <w:rsid w:val="002660F5"/>
    <w:rsid w:val="00266600"/>
    <w:rsid w:val="00266E21"/>
    <w:rsid w:val="00267CE5"/>
    <w:rsid w:val="00267DDD"/>
    <w:rsid w:val="002725CB"/>
    <w:rsid w:val="002746B5"/>
    <w:rsid w:val="00274785"/>
    <w:rsid w:val="00274D45"/>
    <w:rsid w:val="00275117"/>
    <w:rsid w:val="002755C3"/>
    <w:rsid w:val="00275C47"/>
    <w:rsid w:val="00275F68"/>
    <w:rsid w:val="002761DF"/>
    <w:rsid w:val="00276F55"/>
    <w:rsid w:val="00281018"/>
    <w:rsid w:val="00282E50"/>
    <w:rsid w:val="002837AB"/>
    <w:rsid w:val="002848C6"/>
    <w:rsid w:val="00285E26"/>
    <w:rsid w:val="00291465"/>
    <w:rsid w:val="00293BEB"/>
    <w:rsid w:val="00293C62"/>
    <w:rsid w:val="00293F1B"/>
    <w:rsid w:val="002A039F"/>
    <w:rsid w:val="002A5887"/>
    <w:rsid w:val="002A629F"/>
    <w:rsid w:val="002A694F"/>
    <w:rsid w:val="002A76C5"/>
    <w:rsid w:val="002A7B43"/>
    <w:rsid w:val="002A7EEE"/>
    <w:rsid w:val="002B0FF6"/>
    <w:rsid w:val="002B21A3"/>
    <w:rsid w:val="002B2500"/>
    <w:rsid w:val="002B36D5"/>
    <w:rsid w:val="002B563F"/>
    <w:rsid w:val="002B6D05"/>
    <w:rsid w:val="002B7301"/>
    <w:rsid w:val="002B7BBD"/>
    <w:rsid w:val="002C638D"/>
    <w:rsid w:val="002C714E"/>
    <w:rsid w:val="002C7449"/>
    <w:rsid w:val="002C78E2"/>
    <w:rsid w:val="002C7BF7"/>
    <w:rsid w:val="002D0F5E"/>
    <w:rsid w:val="002D20F8"/>
    <w:rsid w:val="002D27F8"/>
    <w:rsid w:val="002D3D52"/>
    <w:rsid w:val="002D3DF4"/>
    <w:rsid w:val="002D4128"/>
    <w:rsid w:val="002D45D5"/>
    <w:rsid w:val="002D5C5D"/>
    <w:rsid w:val="002D67E4"/>
    <w:rsid w:val="002D7654"/>
    <w:rsid w:val="002D77C1"/>
    <w:rsid w:val="002D7BCA"/>
    <w:rsid w:val="002E03C7"/>
    <w:rsid w:val="002E2EED"/>
    <w:rsid w:val="002E3143"/>
    <w:rsid w:val="002E4083"/>
    <w:rsid w:val="002E4392"/>
    <w:rsid w:val="002E580C"/>
    <w:rsid w:val="002E5D91"/>
    <w:rsid w:val="002E5F93"/>
    <w:rsid w:val="002E699C"/>
    <w:rsid w:val="002E6E98"/>
    <w:rsid w:val="002E6EB1"/>
    <w:rsid w:val="002E6F09"/>
    <w:rsid w:val="002F09FD"/>
    <w:rsid w:val="002F0AD2"/>
    <w:rsid w:val="002F1BAA"/>
    <w:rsid w:val="002F4A1D"/>
    <w:rsid w:val="002F5205"/>
    <w:rsid w:val="002F55E7"/>
    <w:rsid w:val="002F571B"/>
    <w:rsid w:val="002F5ED2"/>
    <w:rsid w:val="002F662D"/>
    <w:rsid w:val="002F7431"/>
    <w:rsid w:val="002F7563"/>
    <w:rsid w:val="002F7BA5"/>
    <w:rsid w:val="0030074F"/>
    <w:rsid w:val="00301B4E"/>
    <w:rsid w:val="00302879"/>
    <w:rsid w:val="003030B4"/>
    <w:rsid w:val="003033B9"/>
    <w:rsid w:val="00304083"/>
    <w:rsid w:val="00305E53"/>
    <w:rsid w:val="00305EA0"/>
    <w:rsid w:val="003069A3"/>
    <w:rsid w:val="003107BB"/>
    <w:rsid w:val="00310B20"/>
    <w:rsid w:val="00310CC4"/>
    <w:rsid w:val="00311BEE"/>
    <w:rsid w:val="00311E1C"/>
    <w:rsid w:val="00311FA7"/>
    <w:rsid w:val="00313C59"/>
    <w:rsid w:val="00314344"/>
    <w:rsid w:val="00314D85"/>
    <w:rsid w:val="003156B1"/>
    <w:rsid w:val="00315E40"/>
    <w:rsid w:val="00315E50"/>
    <w:rsid w:val="0031641A"/>
    <w:rsid w:val="00317425"/>
    <w:rsid w:val="003201DD"/>
    <w:rsid w:val="00320BAF"/>
    <w:rsid w:val="00320BD6"/>
    <w:rsid w:val="00321ADC"/>
    <w:rsid w:val="003222DB"/>
    <w:rsid w:val="00323E60"/>
    <w:rsid w:val="0032420A"/>
    <w:rsid w:val="003245DE"/>
    <w:rsid w:val="00324B4D"/>
    <w:rsid w:val="00324D49"/>
    <w:rsid w:val="003251D8"/>
    <w:rsid w:val="00325CD8"/>
    <w:rsid w:val="00325F4A"/>
    <w:rsid w:val="0032698C"/>
    <w:rsid w:val="00327515"/>
    <w:rsid w:val="00327656"/>
    <w:rsid w:val="00330E68"/>
    <w:rsid w:val="003315B1"/>
    <w:rsid w:val="00331AAA"/>
    <w:rsid w:val="00331F1A"/>
    <w:rsid w:val="003321D1"/>
    <w:rsid w:val="00332E6B"/>
    <w:rsid w:val="003352C1"/>
    <w:rsid w:val="003376CA"/>
    <w:rsid w:val="003409DE"/>
    <w:rsid w:val="003420B0"/>
    <w:rsid w:val="00342BFF"/>
    <w:rsid w:val="003430F0"/>
    <w:rsid w:val="0034337B"/>
    <w:rsid w:val="00343A58"/>
    <w:rsid w:val="00343CD7"/>
    <w:rsid w:val="0034491D"/>
    <w:rsid w:val="0034726A"/>
    <w:rsid w:val="00347B81"/>
    <w:rsid w:val="003504B8"/>
    <w:rsid w:val="00350E5C"/>
    <w:rsid w:val="0035103D"/>
    <w:rsid w:val="00351589"/>
    <w:rsid w:val="00352CEB"/>
    <w:rsid w:val="00353617"/>
    <w:rsid w:val="00353998"/>
    <w:rsid w:val="00354F80"/>
    <w:rsid w:val="003555C6"/>
    <w:rsid w:val="00355BD0"/>
    <w:rsid w:val="00356A5B"/>
    <w:rsid w:val="00356FAC"/>
    <w:rsid w:val="0035760A"/>
    <w:rsid w:val="003577FC"/>
    <w:rsid w:val="0036169A"/>
    <w:rsid w:val="00361EAC"/>
    <w:rsid w:val="003622D0"/>
    <w:rsid w:val="00362BAF"/>
    <w:rsid w:val="00363215"/>
    <w:rsid w:val="00363E4F"/>
    <w:rsid w:val="00365660"/>
    <w:rsid w:val="00367121"/>
    <w:rsid w:val="00367E2D"/>
    <w:rsid w:val="00370DF2"/>
    <w:rsid w:val="00372821"/>
    <w:rsid w:val="00374CC0"/>
    <w:rsid w:val="0037666D"/>
    <w:rsid w:val="00376A9D"/>
    <w:rsid w:val="00377042"/>
    <w:rsid w:val="00377EC4"/>
    <w:rsid w:val="003801B6"/>
    <w:rsid w:val="0038020E"/>
    <w:rsid w:val="0038118C"/>
    <w:rsid w:val="0038244C"/>
    <w:rsid w:val="00382CD0"/>
    <w:rsid w:val="00386A2E"/>
    <w:rsid w:val="00387926"/>
    <w:rsid w:val="00390A22"/>
    <w:rsid w:val="0039150A"/>
    <w:rsid w:val="00391A7D"/>
    <w:rsid w:val="00391C9D"/>
    <w:rsid w:val="0039215D"/>
    <w:rsid w:val="003947D8"/>
    <w:rsid w:val="00394F25"/>
    <w:rsid w:val="00394F44"/>
    <w:rsid w:val="00395894"/>
    <w:rsid w:val="00395C8C"/>
    <w:rsid w:val="003A05BD"/>
    <w:rsid w:val="003A263C"/>
    <w:rsid w:val="003A44D3"/>
    <w:rsid w:val="003A496C"/>
    <w:rsid w:val="003A4AB3"/>
    <w:rsid w:val="003A5E04"/>
    <w:rsid w:val="003A6196"/>
    <w:rsid w:val="003A7842"/>
    <w:rsid w:val="003B04AB"/>
    <w:rsid w:val="003B0626"/>
    <w:rsid w:val="003B175E"/>
    <w:rsid w:val="003B3A3D"/>
    <w:rsid w:val="003B3A9D"/>
    <w:rsid w:val="003B3CEE"/>
    <w:rsid w:val="003B3EC4"/>
    <w:rsid w:val="003B425C"/>
    <w:rsid w:val="003B4BA9"/>
    <w:rsid w:val="003B5967"/>
    <w:rsid w:val="003B6B47"/>
    <w:rsid w:val="003C00BB"/>
    <w:rsid w:val="003C0605"/>
    <w:rsid w:val="003C2EF1"/>
    <w:rsid w:val="003C3372"/>
    <w:rsid w:val="003C3FEB"/>
    <w:rsid w:val="003C4A7B"/>
    <w:rsid w:val="003C6AB2"/>
    <w:rsid w:val="003C7C54"/>
    <w:rsid w:val="003D0B5C"/>
    <w:rsid w:val="003D0DC5"/>
    <w:rsid w:val="003D0EA0"/>
    <w:rsid w:val="003D108B"/>
    <w:rsid w:val="003D11DB"/>
    <w:rsid w:val="003D129E"/>
    <w:rsid w:val="003D3E72"/>
    <w:rsid w:val="003D464C"/>
    <w:rsid w:val="003D5A75"/>
    <w:rsid w:val="003D5F16"/>
    <w:rsid w:val="003D7091"/>
    <w:rsid w:val="003E0106"/>
    <w:rsid w:val="003E1484"/>
    <w:rsid w:val="003E18A9"/>
    <w:rsid w:val="003E19FC"/>
    <w:rsid w:val="003E2C27"/>
    <w:rsid w:val="003E3571"/>
    <w:rsid w:val="003E4908"/>
    <w:rsid w:val="003E4F66"/>
    <w:rsid w:val="003E6B60"/>
    <w:rsid w:val="003E6DD5"/>
    <w:rsid w:val="003E6FAC"/>
    <w:rsid w:val="003E7137"/>
    <w:rsid w:val="003F0C29"/>
    <w:rsid w:val="003F0FE0"/>
    <w:rsid w:val="003F2868"/>
    <w:rsid w:val="003F2D83"/>
    <w:rsid w:val="003F39E2"/>
    <w:rsid w:val="003F56B5"/>
    <w:rsid w:val="003F5E3E"/>
    <w:rsid w:val="003F6677"/>
    <w:rsid w:val="003F6982"/>
    <w:rsid w:val="003F6ECF"/>
    <w:rsid w:val="00400C51"/>
    <w:rsid w:val="004015E3"/>
    <w:rsid w:val="00401B2E"/>
    <w:rsid w:val="00401E0B"/>
    <w:rsid w:val="00401ED2"/>
    <w:rsid w:val="00401F16"/>
    <w:rsid w:val="004024E8"/>
    <w:rsid w:val="00402FAD"/>
    <w:rsid w:val="00403D7A"/>
    <w:rsid w:val="00403F13"/>
    <w:rsid w:val="004068EB"/>
    <w:rsid w:val="00406D2B"/>
    <w:rsid w:val="004076D9"/>
    <w:rsid w:val="00410188"/>
    <w:rsid w:val="004109F3"/>
    <w:rsid w:val="00411643"/>
    <w:rsid w:val="00411C29"/>
    <w:rsid w:val="00411D2B"/>
    <w:rsid w:val="0041273E"/>
    <w:rsid w:val="00412C01"/>
    <w:rsid w:val="00414CC7"/>
    <w:rsid w:val="00416F8A"/>
    <w:rsid w:val="00416FCF"/>
    <w:rsid w:val="00420A25"/>
    <w:rsid w:val="00421D09"/>
    <w:rsid w:val="00422841"/>
    <w:rsid w:val="0042314D"/>
    <w:rsid w:val="004242AA"/>
    <w:rsid w:val="004247DD"/>
    <w:rsid w:val="004255A8"/>
    <w:rsid w:val="00426870"/>
    <w:rsid w:val="0042710F"/>
    <w:rsid w:val="00431389"/>
    <w:rsid w:val="00431CA4"/>
    <w:rsid w:val="00432208"/>
    <w:rsid w:val="00435FBF"/>
    <w:rsid w:val="00436BA7"/>
    <w:rsid w:val="004416F7"/>
    <w:rsid w:val="00441966"/>
    <w:rsid w:val="004419BB"/>
    <w:rsid w:val="00441BAA"/>
    <w:rsid w:val="00442075"/>
    <w:rsid w:val="004422EF"/>
    <w:rsid w:val="00444D45"/>
    <w:rsid w:val="00444D5B"/>
    <w:rsid w:val="00444F96"/>
    <w:rsid w:val="004453AC"/>
    <w:rsid w:val="0044592C"/>
    <w:rsid w:val="004465A4"/>
    <w:rsid w:val="004468A4"/>
    <w:rsid w:val="00446F9A"/>
    <w:rsid w:val="00447604"/>
    <w:rsid w:val="00447D78"/>
    <w:rsid w:val="004506C8"/>
    <w:rsid w:val="00450A39"/>
    <w:rsid w:val="00451358"/>
    <w:rsid w:val="0045244C"/>
    <w:rsid w:val="004528F8"/>
    <w:rsid w:val="00452F8B"/>
    <w:rsid w:val="00453319"/>
    <w:rsid w:val="00453701"/>
    <w:rsid w:val="00453BCA"/>
    <w:rsid w:val="00454DEE"/>
    <w:rsid w:val="004554E6"/>
    <w:rsid w:val="00455D3C"/>
    <w:rsid w:val="00456896"/>
    <w:rsid w:val="00460BA1"/>
    <w:rsid w:val="00462986"/>
    <w:rsid w:val="004660F6"/>
    <w:rsid w:val="00466F5B"/>
    <w:rsid w:val="0046768C"/>
    <w:rsid w:val="004677C7"/>
    <w:rsid w:val="00467C9C"/>
    <w:rsid w:val="00470777"/>
    <w:rsid w:val="004708F2"/>
    <w:rsid w:val="0047153A"/>
    <w:rsid w:val="00471896"/>
    <w:rsid w:val="00472321"/>
    <w:rsid w:val="00473093"/>
    <w:rsid w:val="00473396"/>
    <w:rsid w:val="00475029"/>
    <w:rsid w:val="00476CE0"/>
    <w:rsid w:val="00477CBC"/>
    <w:rsid w:val="00480031"/>
    <w:rsid w:val="00480704"/>
    <w:rsid w:val="0048241F"/>
    <w:rsid w:val="004827B1"/>
    <w:rsid w:val="00483194"/>
    <w:rsid w:val="00483A9A"/>
    <w:rsid w:val="0048408D"/>
    <w:rsid w:val="004844B0"/>
    <w:rsid w:val="004856B9"/>
    <w:rsid w:val="00485C4B"/>
    <w:rsid w:val="00487254"/>
    <w:rsid w:val="00487A89"/>
    <w:rsid w:val="00487EED"/>
    <w:rsid w:val="0049090E"/>
    <w:rsid w:val="0049104D"/>
    <w:rsid w:val="0049150A"/>
    <w:rsid w:val="00492281"/>
    <w:rsid w:val="004924AD"/>
    <w:rsid w:val="00492C9B"/>
    <w:rsid w:val="004944AD"/>
    <w:rsid w:val="00494FA3"/>
    <w:rsid w:val="004A114C"/>
    <w:rsid w:val="004A3F13"/>
    <w:rsid w:val="004A4001"/>
    <w:rsid w:val="004A591E"/>
    <w:rsid w:val="004A6ADA"/>
    <w:rsid w:val="004A6DBF"/>
    <w:rsid w:val="004A77E3"/>
    <w:rsid w:val="004A7B0B"/>
    <w:rsid w:val="004A7B30"/>
    <w:rsid w:val="004B173D"/>
    <w:rsid w:val="004B1864"/>
    <w:rsid w:val="004B1B25"/>
    <w:rsid w:val="004B2B29"/>
    <w:rsid w:val="004B2C83"/>
    <w:rsid w:val="004B358F"/>
    <w:rsid w:val="004B4495"/>
    <w:rsid w:val="004B44A4"/>
    <w:rsid w:val="004B6BBB"/>
    <w:rsid w:val="004C2674"/>
    <w:rsid w:val="004C2DD3"/>
    <w:rsid w:val="004C3AEC"/>
    <w:rsid w:val="004C4748"/>
    <w:rsid w:val="004C4765"/>
    <w:rsid w:val="004C5483"/>
    <w:rsid w:val="004D23B5"/>
    <w:rsid w:val="004D25F9"/>
    <w:rsid w:val="004D3E4A"/>
    <w:rsid w:val="004D432B"/>
    <w:rsid w:val="004D43FB"/>
    <w:rsid w:val="004D6E07"/>
    <w:rsid w:val="004E0854"/>
    <w:rsid w:val="004E14CC"/>
    <w:rsid w:val="004E3992"/>
    <w:rsid w:val="004E3DAE"/>
    <w:rsid w:val="004E4A1C"/>
    <w:rsid w:val="004E606A"/>
    <w:rsid w:val="004E756C"/>
    <w:rsid w:val="004E76B5"/>
    <w:rsid w:val="004E7899"/>
    <w:rsid w:val="004F22E6"/>
    <w:rsid w:val="004F22F4"/>
    <w:rsid w:val="004F3599"/>
    <w:rsid w:val="004F3ED3"/>
    <w:rsid w:val="004F42B9"/>
    <w:rsid w:val="004F686F"/>
    <w:rsid w:val="004F7317"/>
    <w:rsid w:val="004F78BD"/>
    <w:rsid w:val="004F797B"/>
    <w:rsid w:val="004F7D01"/>
    <w:rsid w:val="00500275"/>
    <w:rsid w:val="005005FF"/>
    <w:rsid w:val="00500FE4"/>
    <w:rsid w:val="00501F71"/>
    <w:rsid w:val="00502817"/>
    <w:rsid w:val="00502878"/>
    <w:rsid w:val="0050530F"/>
    <w:rsid w:val="00505419"/>
    <w:rsid w:val="005064AE"/>
    <w:rsid w:val="00506CDA"/>
    <w:rsid w:val="005103E2"/>
    <w:rsid w:val="005120A2"/>
    <w:rsid w:val="00514168"/>
    <w:rsid w:val="00514257"/>
    <w:rsid w:val="00514550"/>
    <w:rsid w:val="00517682"/>
    <w:rsid w:val="00517A95"/>
    <w:rsid w:val="00517E5C"/>
    <w:rsid w:val="005207F0"/>
    <w:rsid w:val="0052100B"/>
    <w:rsid w:val="00521110"/>
    <w:rsid w:val="00521A76"/>
    <w:rsid w:val="00521B1A"/>
    <w:rsid w:val="00522E88"/>
    <w:rsid w:val="00523BD2"/>
    <w:rsid w:val="00523DDB"/>
    <w:rsid w:val="00524567"/>
    <w:rsid w:val="00524DAB"/>
    <w:rsid w:val="00524F70"/>
    <w:rsid w:val="005257CE"/>
    <w:rsid w:val="005258E0"/>
    <w:rsid w:val="00526D4B"/>
    <w:rsid w:val="00530CE0"/>
    <w:rsid w:val="0053252D"/>
    <w:rsid w:val="005325D1"/>
    <w:rsid w:val="0053298E"/>
    <w:rsid w:val="005369F2"/>
    <w:rsid w:val="00540053"/>
    <w:rsid w:val="0054009A"/>
    <w:rsid w:val="00540BA1"/>
    <w:rsid w:val="00541C9D"/>
    <w:rsid w:val="005429A6"/>
    <w:rsid w:val="00543489"/>
    <w:rsid w:val="00545655"/>
    <w:rsid w:val="00545676"/>
    <w:rsid w:val="00545D94"/>
    <w:rsid w:val="00554362"/>
    <w:rsid w:val="00555158"/>
    <w:rsid w:val="005561D8"/>
    <w:rsid w:val="00557341"/>
    <w:rsid w:val="00557C0A"/>
    <w:rsid w:val="00562F31"/>
    <w:rsid w:val="00563191"/>
    <w:rsid w:val="00563E0E"/>
    <w:rsid w:val="0056444C"/>
    <w:rsid w:val="00566090"/>
    <w:rsid w:val="005671F5"/>
    <w:rsid w:val="00567CB6"/>
    <w:rsid w:val="00572120"/>
    <w:rsid w:val="005731E7"/>
    <w:rsid w:val="00573245"/>
    <w:rsid w:val="005732A6"/>
    <w:rsid w:val="005738C9"/>
    <w:rsid w:val="0057397F"/>
    <w:rsid w:val="00573B57"/>
    <w:rsid w:val="005740BB"/>
    <w:rsid w:val="00574A70"/>
    <w:rsid w:val="00574E3F"/>
    <w:rsid w:val="0057576D"/>
    <w:rsid w:val="00575DA3"/>
    <w:rsid w:val="00575F68"/>
    <w:rsid w:val="00576E9A"/>
    <w:rsid w:val="00577ED5"/>
    <w:rsid w:val="00581604"/>
    <w:rsid w:val="00581B49"/>
    <w:rsid w:val="00582A5A"/>
    <w:rsid w:val="00582BA5"/>
    <w:rsid w:val="00584B33"/>
    <w:rsid w:val="00584EB3"/>
    <w:rsid w:val="00585580"/>
    <w:rsid w:val="005863F3"/>
    <w:rsid w:val="005868F5"/>
    <w:rsid w:val="00586AB1"/>
    <w:rsid w:val="00590D69"/>
    <w:rsid w:val="00592573"/>
    <w:rsid w:val="005938BB"/>
    <w:rsid w:val="00594FE9"/>
    <w:rsid w:val="0059560D"/>
    <w:rsid w:val="00595B39"/>
    <w:rsid w:val="00595D97"/>
    <w:rsid w:val="005962C4"/>
    <w:rsid w:val="005A033E"/>
    <w:rsid w:val="005A08CB"/>
    <w:rsid w:val="005A164E"/>
    <w:rsid w:val="005A1A96"/>
    <w:rsid w:val="005A2627"/>
    <w:rsid w:val="005A285F"/>
    <w:rsid w:val="005A31F0"/>
    <w:rsid w:val="005A45E4"/>
    <w:rsid w:val="005A497E"/>
    <w:rsid w:val="005A6093"/>
    <w:rsid w:val="005A6539"/>
    <w:rsid w:val="005A75E1"/>
    <w:rsid w:val="005B0F45"/>
    <w:rsid w:val="005B164D"/>
    <w:rsid w:val="005B1C8B"/>
    <w:rsid w:val="005B3B80"/>
    <w:rsid w:val="005B3C6E"/>
    <w:rsid w:val="005B48EC"/>
    <w:rsid w:val="005B517A"/>
    <w:rsid w:val="005B5C31"/>
    <w:rsid w:val="005B707A"/>
    <w:rsid w:val="005C00CA"/>
    <w:rsid w:val="005C15F5"/>
    <w:rsid w:val="005C201F"/>
    <w:rsid w:val="005C2FF1"/>
    <w:rsid w:val="005C3791"/>
    <w:rsid w:val="005C3A8C"/>
    <w:rsid w:val="005C4CF3"/>
    <w:rsid w:val="005C54C5"/>
    <w:rsid w:val="005C5C98"/>
    <w:rsid w:val="005C5E1C"/>
    <w:rsid w:val="005C64A6"/>
    <w:rsid w:val="005D13DB"/>
    <w:rsid w:val="005D1E93"/>
    <w:rsid w:val="005D2FAC"/>
    <w:rsid w:val="005D333E"/>
    <w:rsid w:val="005D3ED1"/>
    <w:rsid w:val="005D5D32"/>
    <w:rsid w:val="005D66C6"/>
    <w:rsid w:val="005D718E"/>
    <w:rsid w:val="005E1F0F"/>
    <w:rsid w:val="005E22A5"/>
    <w:rsid w:val="005E2E2C"/>
    <w:rsid w:val="005E2E33"/>
    <w:rsid w:val="005E347B"/>
    <w:rsid w:val="005E404B"/>
    <w:rsid w:val="005E444C"/>
    <w:rsid w:val="005E54E6"/>
    <w:rsid w:val="005E5A09"/>
    <w:rsid w:val="005E5C65"/>
    <w:rsid w:val="005E5E23"/>
    <w:rsid w:val="005E7282"/>
    <w:rsid w:val="005E7DA1"/>
    <w:rsid w:val="005F0BC9"/>
    <w:rsid w:val="005F23BA"/>
    <w:rsid w:val="005F2A02"/>
    <w:rsid w:val="005F2E70"/>
    <w:rsid w:val="005F33AC"/>
    <w:rsid w:val="005F49AC"/>
    <w:rsid w:val="005F4C06"/>
    <w:rsid w:val="005F6E81"/>
    <w:rsid w:val="005F71AD"/>
    <w:rsid w:val="005F7F89"/>
    <w:rsid w:val="00600ED9"/>
    <w:rsid w:val="00601142"/>
    <w:rsid w:val="00601CF8"/>
    <w:rsid w:val="00601F7B"/>
    <w:rsid w:val="006036AD"/>
    <w:rsid w:val="0060405D"/>
    <w:rsid w:val="00604ACE"/>
    <w:rsid w:val="00606D9F"/>
    <w:rsid w:val="00607ACE"/>
    <w:rsid w:val="006115BA"/>
    <w:rsid w:val="00614E29"/>
    <w:rsid w:val="0061537E"/>
    <w:rsid w:val="006167D8"/>
    <w:rsid w:val="00616927"/>
    <w:rsid w:val="00616C2A"/>
    <w:rsid w:val="006177DD"/>
    <w:rsid w:val="00621A02"/>
    <w:rsid w:val="00621A79"/>
    <w:rsid w:val="00621AEE"/>
    <w:rsid w:val="00621C4F"/>
    <w:rsid w:val="00622EA2"/>
    <w:rsid w:val="00624441"/>
    <w:rsid w:val="006245E1"/>
    <w:rsid w:val="00624AE4"/>
    <w:rsid w:val="0062536C"/>
    <w:rsid w:val="0062620E"/>
    <w:rsid w:val="006278CB"/>
    <w:rsid w:val="00631571"/>
    <w:rsid w:val="0063323A"/>
    <w:rsid w:val="0063405A"/>
    <w:rsid w:val="0063460F"/>
    <w:rsid w:val="006351DA"/>
    <w:rsid w:val="006352EA"/>
    <w:rsid w:val="00635E46"/>
    <w:rsid w:val="00636EB2"/>
    <w:rsid w:val="00637471"/>
    <w:rsid w:val="006376C1"/>
    <w:rsid w:val="00637A59"/>
    <w:rsid w:val="00640EFF"/>
    <w:rsid w:val="00641BDA"/>
    <w:rsid w:val="00641F81"/>
    <w:rsid w:val="006445EB"/>
    <w:rsid w:val="00644D40"/>
    <w:rsid w:val="00644F56"/>
    <w:rsid w:val="0064659A"/>
    <w:rsid w:val="006467C1"/>
    <w:rsid w:val="00646CA5"/>
    <w:rsid w:val="006475FE"/>
    <w:rsid w:val="00647620"/>
    <w:rsid w:val="0065071F"/>
    <w:rsid w:val="00650931"/>
    <w:rsid w:val="00651F6F"/>
    <w:rsid w:val="00652936"/>
    <w:rsid w:val="00652CD1"/>
    <w:rsid w:val="00654280"/>
    <w:rsid w:val="00654880"/>
    <w:rsid w:val="00654AC4"/>
    <w:rsid w:val="00656B82"/>
    <w:rsid w:val="00656F56"/>
    <w:rsid w:val="00660AED"/>
    <w:rsid w:val="0066134C"/>
    <w:rsid w:val="00661B43"/>
    <w:rsid w:val="00662EA2"/>
    <w:rsid w:val="00663318"/>
    <w:rsid w:val="00663FC4"/>
    <w:rsid w:val="006641D7"/>
    <w:rsid w:val="00664923"/>
    <w:rsid w:val="006649E2"/>
    <w:rsid w:val="0066645E"/>
    <w:rsid w:val="00666DAA"/>
    <w:rsid w:val="00667BFB"/>
    <w:rsid w:val="00670CE6"/>
    <w:rsid w:val="00674DA4"/>
    <w:rsid w:val="00674DB3"/>
    <w:rsid w:val="00676811"/>
    <w:rsid w:val="00682332"/>
    <w:rsid w:val="00683560"/>
    <w:rsid w:val="00683FE2"/>
    <w:rsid w:val="0068563C"/>
    <w:rsid w:val="00687B80"/>
    <w:rsid w:val="0069089B"/>
    <w:rsid w:val="00692564"/>
    <w:rsid w:val="006937F3"/>
    <w:rsid w:val="00694402"/>
    <w:rsid w:val="006953EF"/>
    <w:rsid w:val="006968C0"/>
    <w:rsid w:val="00696EDC"/>
    <w:rsid w:val="00697378"/>
    <w:rsid w:val="006A182E"/>
    <w:rsid w:val="006A2468"/>
    <w:rsid w:val="006A2A1E"/>
    <w:rsid w:val="006A2A63"/>
    <w:rsid w:val="006A3AB5"/>
    <w:rsid w:val="006A46F2"/>
    <w:rsid w:val="006A4E48"/>
    <w:rsid w:val="006A596D"/>
    <w:rsid w:val="006B3E1B"/>
    <w:rsid w:val="006B4103"/>
    <w:rsid w:val="006B5860"/>
    <w:rsid w:val="006B5A38"/>
    <w:rsid w:val="006B6F66"/>
    <w:rsid w:val="006B7BBA"/>
    <w:rsid w:val="006C0275"/>
    <w:rsid w:val="006C0D0B"/>
    <w:rsid w:val="006C0EEB"/>
    <w:rsid w:val="006C0FC5"/>
    <w:rsid w:val="006C2B1F"/>
    <w:rsid w:val="006C306F"/>
    <w:rsid w:val="006C3161"/>
    <w:rsid w:val="006C4962"/>
    <w:rsid w:val="006C620F"/>
    <w:rsid w:val="006D045D"/>
    <w:rsid w:val="006D0ABD"/>
    <w:rsid w:val="006D17D4"/>
    <w:rsid w:val="006D1C90"/>
    <w:rsid w:val="006D20F6"/>
    <w:rsid w:val="006D4DA2"/>
    <w:rsid w:val="006D5B03"/>
    <w:rsid w:val="006D6D34"/>
    <w:rsid w:val="006D714C"/>
    <w:rsid w:val="006D7869"/>
    <w:rsid w:val="006E07B6"/>
    <w:rsid w:val="006E1484"/>
    <w:rsid w:val="006E1E28"/>
    <w:rsid w:val="006E307F"/>
    <w:rsid w:val="006E41A0"/>
    <w:rsid w:val="006E53A1"/>
    <w:rsid w:val="006E5F52"/>
    <w:rsid w:val="006E6781"/>
    <w:rsid w:val="006E6AFB"/>
    <w:rsid w:val="006E77D5"/>
    <w:rsid w:val="006E7EEB"/>
    <w:rsid w:val="006F0D98"/>
    <w:rsid w:val="006F1152"/>
    <w:rsid w:val="006F229A"/>
    <w:rsid w:val="006F4A97"/>
    <w:rsid w:val="006F4E9C"/>
    <w:rsid w:val="006F54F8"/>
    <w:rsid w:val="006F57FC"/>
    <w:rsid w:val="006F70CC"/>
    <w:rsid w:val="006F717B"/>
    <w:rsid w:val="00703369"/>
    <w:rsid w:val="00705350"/>
    <w:rsid w:val="00706C62"/>
    <w:rsid w:val="00710AA3"/>
    <w:rsid w:val="00710F33"/>
    <w:rsid w:val="00711C52"/>
    <w:rsid w:val="0071224F"/>
    <w:rsid w:val="00712766"/>
    <w:rsid w:val="00713D64"/>
    <w:rsid w:val="0071461B"/>
    <w:rsid w:val="00714E6A"/>
    <w:rsid w:val="00717C8B"/>
    <w:rsid w:val="007209AD"/>
    <w:rsid w:val="00720E42"/>
    <w:rsid w:val="00721A62"/>
    <w:rsid w:val="00722EB3"/>
    <w:rsid w:val="00723DAF"/>
    <w:rsid w:val="00724745"/>
    <w:rsid w:val="00730473"/>
    <w:rsid w:val="00730B11"/>
    <w:rsid w:val="00730EA9"/>
    <w:rsid w:val="00731107"/>
    <w:rsid w:val="007316C3"/>
    <w:rsid w:val="0073233F"/>
    <w:rsid w:val="007339A4"/>
    <w:rsid w:val="00735826"/>
    <w:rsid w:val="007416D4"/>
    <w:rsid w:val="00741B95"/>
    <w:rsid w:val="00742043"/>
    <w:rsid w:val="0074210C"/>
    <w:rsid w:val="00742538"/>
    <w:rsid w:val="00742630"/>
    <w:rsid w:val="00742BF0"/>
    <w:rsid w:val="0074315C"/>
    <w:rsid w:val="00743713"/>
    <w:rsid w:val="00744333"/>
    <w:rsid w:val="007454D1"/>
    <w:rsid w:val="00745506"/>
    <w:rsid w:val="00745A81"/>
    <w:rsid w:val="007465FA"/>
    <w:rsid w:val="00746CE2"/>
    <w:rsid w:val="007518DF"/>
    <w:rsid w:val="00752B39"/>
    <w:rsid w:val="00752C48"/>
    <w:rsid w:val="007543B9"/>
    <w:rsid w:val="007550E3"/>
    <w:rsid w:val="0075523C"/>
    <w:rsid w:val="00755750"/>
    <w:rsid w:val="0075721D"/>
    <w:rsid w:val="00757E2D"/>
    <w:rsid w:val="007600DC"/>
    <w:rsid w:val="00760CBC"/>
    <w:rsid w:val="00761080"/>
    <w:rsid w:val="0076183C"/>
    <w:rsid w:val="00761D59"/>
    <w:rsid w:val="00762420"/>
    <w:rsid w:val="0076286D"/>
    <w:rsid w:val="0076465B"/>
    <w:rsid w:val="00764811"/>
    <w:rsid w:val="0076514B"/>
    <w:rsid w:val="007707C0"/>
    <w:rsid w:val="00771CFC"/>
    <w:rsid w:val="00772590"/>
    <w:rsid w:val="00773F61"/>
    <w:rsid w:val="00775663"/>
    <w:rsid w:val="007767B8"/>
    <w:rsid w:val="00776903"/>
    <w:rsid w:val="00777229"/>
    <w:rsid w:val="00777E90"/>
    <w:rsid w:val="00780376"/>
    <w:rsid w:val="007808EB"/>
    <w:rsid w:val="00780C0A"/>
    <w:rsid w:val="00780EDA"/>
    <w:rsid w:val="00782830"/>
    <w:rsid w:val="00782ABF"/>
    <w:rsid w:val="007851D3"/>
    <w:rsid w:val="00787862"/>
    <w:rsid w:val="00790233"/>
    <w:rsid w:val="00790535"/>
    <w:rsid w:val="00790A97"/>
    <w:rsid w:val="007916E0"/>
    <w:rsid w:val="0079194A"/>
    <w:rsid w:val="00792234"/>
    <w:rsid w:val="0079237B"/>
    <w:rsid w:val="00792AC1"/>
    <w:rsid w:val="00793A3C"/>
    <w:rsid w:val="007942F1"/>
    <w:rsid w:val="007948FD"/>
    <w:rsid w:val="00795484"/>
    <w:rsid w:val="00795D4B"/>
    <w:rsid w:val="00795F6D"/>
    <w:rsid w:val="00796300"/>
    <w:rsid w:val="007964D5"/>
    <w:rsid w:val="007A032B"/>
    <w:rsid w:val="007A0981"/>
    <w:rsid w:val="007A1234"/>
    <w:rsid w:val="007A2759"/>
    <w:rsid w:val="007A2B4C"/>
    <w:rsid w:val="007A2E3B"/>
    <w:rsid w:val="007A3A5E"/>
    <w:rsid w:val="007A3A71"/>
    <w:rsid w:val="007A52D4"/>
    <w:rsid w:val="007A5535"/>
    <w:rsid w:val="007A5E80"/>
    <w:rsid w:val="007A5F90"/>
    <w:rsid w:val="007A635F"/>
    <w:rsid w:val="007B0632"/>
    <w:rsid w:val="007B1674"/>
    <w:rsid w:val="007B18D4"/>
    <w:rsid w:val="007C06DB"/>
    <w:rsid w:val="007C06FF"/>
    <w:rsid w:val="007C1272"/>
    <w:rsid w:val="007C1B0F"/>
    <w:rsid w:val="007C1CFC"/>
    <w:rsid w:val="007C2346"/>
    <w:rsid w:val="007C23C7"/>
    <w:rsid w:val="007C2B18"/>
    <w:rsid w:val="007C2BC6"/>
    <w:rsid w:val="007C473D"/>
    <w:rsid w:val="007C59D2"/>
    <w:rsid w:val="007C608B"/>
    <w:rsid w:val="007C6A73"/>
    <w:rsid w:val="007C6B89"/>
    <w:rsid w:val="007C78D6"/>
    <w:rsid w:val="007D1835"/>
    <w:rsid w:val="007D1AB8"/>
    <w:rsid w:val="007D21D6"/>
    <w:rsid w:val="007D27E2"/>
    <w:rsid w:val="007D30AE"/>
    <w:rsid w:val="007D356C"/>
    <w:rsid w:val="007D4471"/>
    <w:rsid w:val="007D4679"/>
    <w:rsid w:val="007D5C47"/>
    <w:rsid w:val="007D771C"/>
    <w:rsid w:val="007E0E38"/>
    <w:rsid w:val="007E1345"/>
    <w:rsid w:val="007E1D0D"/>
    <w:rsid w:val="007E2BCB"/>
    <w:rsid w:val="007E36C8"/>
    <w:rsid w:val="007E42D0"/>
    <w:rsid w:val="007E4ED0"/>
    <w:rsid w:val="007E53A2"/>
    <w:rsid w:val="007E545C"/>
    <w:rsid w:val="007E5F6B"/>
    <w:rsid w:val="007E69ED"/>
    <w:rsid w:val="007E69F8"/>
    <w:rsid w:val="007E781A"/>
    <w:rsid w:val="007F0A11"/>
    <w:rsid w:val="007F19FA"/>
    <w:rsid w:val="007F1B1E"/>
    <w:rsid w:val="007F27D4"/>
    <w:rsid w:val="007F284C"/>
    <w:rsid w:val="007F2E5A"/>
    <w:rsid w:val="007F3341"/>
    <w:rsid w:val="007F4FCC"/>
    <w:rsid w:val="007F5BBC"/>
    <w:rsid w:val="007F5E57"/>
    <w:rsid w:val="008009FB"/>
    <w:rsid w:val="00800F57"/>
    <w:rsid w:val="00801A6B"/>
    <w:rsid w:val="008022AD"/>
    <w:rsid w:val="00802B62"/>
    <w:rsid w:val="008041AB"/>
    <w:rsid w:val="0080482C"/>
    <w:rsid w:val="00804D29"/>
    <w:rsid w:val="00804D31"/>
    <w:rsid w:val="008050CA"/>
    <w:rsid w:val="00805719"/>
    <w:rsid w:val="00805FD4"/>
    <w:rsid w:val="008061CA"/>
    <w:rsid w:val="00806212"/>
    <w:rsid w:val="008067E4"/>
    <w:rsid w:val="00806D24"/>
    <w:rsid w:val="00807DCA"/>
    <w:rsid w:val="0081025C"/>
    <w:rsid w:val="00810566"/>
    <w:rsid w:val="008107FC"/>
    <w:rsid w:val="008109B6"/>
    <w:rsid w:val="00811253"/>
    <w:rsid w:val="00811395"/>
    <w:rsid w:val="008131C9"/>
    <w:rsid w:val="00814C5C"/>
    <w:rsid w:val="00815726"/>
    <w:rsid w:val="00816177"/>
    <w:rsid w:val="0081763F"/>
    <w:rsid w:val="00820737"/>
    <w:rsid w:val="0082105B"/>
    <w:rsid w:val="00821E65"/>
    <w:rsid w:val="00821F6E"/>
    <w:rsid w:val="00822A10"/>
    <w:rsid w:val="00823CB7"/>
    <w:rsid w:val="00825040"/>
    <w:rsid w:val="0082634D"/>
    <w:rsid w:val="0082757A"/>
    <w:rsid w:val="00830237"/>
    <w:rsid w:val="008306BC"/>
    <w:rsid w:val="00834BA6"/>
    <w:rsid w:val="00835B76"/>
    <w:rsid w:val="00836CE5"/>
    <w:rsid w:val="00840E2D"/>
    <w:rsid w:val="00841485"/>
    <w:rsid w:val="0084390D"/>
    <w:rsid w:val="00843B7F"/>
    <w:rsid w:val="00845280"/>
    <w:rsid w:val="008454F0"/>
    <w:rsid w:val="00845981"/>
    <w:rsid w:val="008461E3"/>
    <w:rsid w:val="0084699A"/>
    <w:rsid w:val="00846EA3"/>
    <w:rsid w:val="00850138"/>
    <w:rsid w:val="00850557"/>
    <w:rsid w:val="00851700"/>
    <w:rsid w:val="00852260"/>
    <w:rsid w:val="0085286B"/>
    <w:rsid w:val="00852D66"/>
    <w:rsid w:val="0085319D"/>
    <w:rsid w:val="00853617"/>
    <w:rsid w:val="00856566"/>
    <w:rsid w:val="00856F98"/>
    <w:rsid w:val="00857BB5"/>
    <w:rsid w:val="00860C2E"/>
    <w:rsid w:val="008610DF"/>
    <w:rsid w:val="0086179D"/>
    <w:rsid w:val="00862EAA"/>
    <w:rsid w:val="0086511E"/>
    <w:rsid w:val="0086690D"/>
    <w:rsid w:val="00871997"/>
    <w:rsid w:val="00872A7F"/>
    <w:rsid w:val="00872AB9"/>
    <w:rsid w:val="00873109"/>
    <w:rsid w:val="008738E6"/>
    <w:rsid w:val="00873940"/>
    <w:rsid w:val="008750A4"/>
    <w:rsid w:val="00875433"/>
    <w:rsid w:val="0087609D"/>
    <w:rsid w:val="00876159"/>
    <w:rsid w:val="00876317"/>
    <w:rsid w:val="008776C1"/>
    <w:rsid w:val="00877AFC"/>
    <w:rsid w:val="00880E77"/>
    <w:rsid w:val="00881986"/>
    <w:rsid w:val="00881A98"/>
    <w:rsid w:val="00881CBD"/>
    <w:rsid w:val="00881FE5"/>
    <w:rsid w:val="00882C58"/>
    <w:rsid w:val="00883669"/>
    <w:rsid w:val="00885766"/>
    <w:rsid w:val="00886984"/>
    <w:rsid w:val="00887467"/>
    <w:rsid w:val="00891CBD"/>
    <w:rsid w:val="00892188"/>
    <w:rsid w:val="008928C9"/>
    <w:rsid w:val="0089374B"/>
    <w:rsid w:val="00894F61"/>
    <w:rsid w:val="00895086"/>
    <w:rsid w:val="0089730A"/>
    <w:rsid w:val="0089758D"/>
    <w:rsid w:val="008A1CE5"/>
    <w:rsid w:val="008A3B8E"/>
    <w:rsid w:val="008A3C8E"/>
    <w:rsid w:val="008A5EA3"/>
    <w:rsid w:val="008A6BCC"/>
    <w:rsid w:val="008A6EB4"/>
    <w:rsid w:val="008A7E16"/>
    <w:rsid w:val="008A7EDF"/>
    <w:rsid w:val="008B0D64"/>
    <w:rsid w:val="008B15A0"/>
    <w:rsid w:val="008B23FD"/>
    <w:rsid w:val="008B29FE"/>
    <w:rsid w:val="008B4E3E"/>
    <w:rsid w:val="008B58AF"/>
    <w:rsid w:val="008B7737"/>
    <w:rsid w:val="008B7F52"/>
    <w:rsid w:val="008C0329"/>
    <w:rsid w:val="008C0A85"/>
    <w:rsid w:val="008C0C8E"/>
    <w:rsid w:val="008C0F58"/>
    <w:rsid w:val="008C187F"/>
    <w:rsid w:val="008C1DB9"/>
    <w:rsid w:val="008C57F0"/>
    <w:rsid w:val="008C69D6"/>
    <w:rsid w:val="008C7FDC"/>
    <w:rsid w:val="008D1398"/>
    <w:rsid w:val="008D2964"/>
    <w:rsid w:val="008D2B62"/>
    <w:rsid w:val="008D2FAD"/>
    <w:rsid w:val="008D30BA"/>
    <w:rsid w:val="008D6191"/>
    <w:rsid w:val="008D78D0"/>
    <w:rsid w:val="008E0D55"/>
    <w:rsid w:val="008E27B4"/>
    <w:rsid w:val="008E2A3C"/>
    <w:rsid w:val="008E32C7"/>
    <w:rsid w:val="008E376F"/>
    <w:rsid w:val="008E38C1"/>
    <w:rsid w:val="008E5077"/>
    <w:rsid w:val="008E50C0"/>
    <w:rsid w:val="008E6D6C"/>
    <w:rsid w:val="008E7750"/>
    <w:rsid w:val="008F10A2"/>
    <w:rsid w:val="008F3630"/>
    <w:rsid w:val="008F3DD6"/>
    <w:rsid w:val="008F4A6C"/>
    <w:rsid w:val="008F6670"/>
    <w:rsid w:val="008F7612"/>
    <w:rsid w:val="00901180"/>
    <w:rsid w:val="00901A9D"/>
    <w:rsid w:val="00901C53"/>
    <w:rsid w:val="00902297"/>
    <w:rsid w:val="00902782"/>
    <w:rsid w:val="00902799"/>
    <w:rsid w:val="00903CD7"/>
    <w:rsid w:val="00903FB4"/>
    <w:rsid w:val="00904B5C"/>
    <w:rsid w:val="0090549A"/>
    <w:rsid w:val="00907363"/>
    <w:rsid w:val="00907F1D"/>
    <w:rsid w:val="00911F70"/>
    <w:rsid w:val="0091242F"/>
    <w:rsid w:val="00912AD8"/>
    <w:rsid w:val="00915DAF"/>
    <w:rsid w:val="0091624A"/>
    <w:rsid w:val="00917531"/>
    <w:rsid w:val="00921958"/>
    <w:rsid w:val="009225CD"/>
    <w:rsid w:val="00926253"/>
    <w:rsid w:val="009262BB"/>
    <w:rsid w:val="0093085D"/>
    <w:rsid w:val="0093154A"/>
    <w:rsid w:val="00931B16"/>
    <w:rsid w:val="00932D1C"/>
    <w:rsid w:val="00933D78"/>
    <w:rsid w:val="00935134"/>
    <w:rsid w:val="00935511"/>
    <w:rsid w:val="00940770"/>
    <w:rsid w:val="00942504"/>
    <w:rsid w:val="00944406"/>
    <w:rsid w:val="009462CA"/>
    <w:rsid w:val="00946F40"/>
    <w:rsid w:val="00951247"/>
    <w:rsid w:val="009556EF"/>
    <w:rsid w:val="00957FC2"/>
    <w:rsid w:val="00960A1A"/>
    <w:rsid w:val="00960C06"/>
    <w:rsid w:val="00962ACA"/>
    <w:rsid w:val="00962C03"/>
    <w:rsid w:val="00963144"/>
    <w:rsid w:val="009636F3"/>
    <w:rsid w:val="00963F1D"/>
    <w:rsid w:val="009640A5"/>
    <w:rsid w:val="00970123"/>
    <w:rsid w:val="00970CDD"/>
    <w:rsid w:val="00971516"/>
    <w:rsid w:val="00971823"/>
    <w:rsid w:val="00972DDC"/>
    <w:rsid w:val="009739B2"/>
    <w:rsid w:val="00973B31"/>
    <w:rsid w:val="009756AC"/>
    <w:rsid w:val="0097574D"/>
    <w:rsid w:val="00975882"/>
    <w:rsid w:val="00975C0C"/>
    <w:rsid w:val="009762EB"/>
    <w:rsid w:val="0097743B"/>
    <w:rsid w:val="0098018F"/>
    <w:rsid w:val="0098125A"/>
    <w:rsid w:val="009821FA"/>
    <w:rsid w:val="0098244B"/>
    <w:rsid w:val="009825CF"/>
    <w:rsid w:val="009826C0"/>
    <w:rsid w:val="009827BC"/>
    <w:rsid w:val="00982E56"/>
    <w:rsid w:val="00983113"/>
    <w:rsid w:val="0098496C"/>
    <w:rsid w:val="00985E87"/>
    <w:rsid w:val="00986CBC"/>
    <w:rsid w:val="00986CFC"/>
    <w:rsid w:val="00987025"/>
    <w:rsid w:val="00987B07"/>
    <w:rsid w:val="009921F7"/>
    <w:rsid w:val="00992711"/>
    <w:rsid w:val="00994742"/>
    <w:rsid w:val="00995563"/>
    <w:rsid w:val="0099568E"/>
    <w:rsid w:val="009A13C7"/>
    <w:rsid w:val="009A2125"/>
    <w:rsid w:val="009A2A93"/>
    <w:rsid w:val="009A35A3"/>
    <w:rsid w:val="009A42D9"/>
    <w:rsid w:val="009A50B8"/>
    <w:rsid w:val="009A53B5"/>
    <w:rsid w:val="009A5919"/>
    <w:rsid w:val="009A5B54"/>
    <w:rsid w:val="009A62D2"/>
    <w:rsid w:val="009B284A"/>
    <w:rsid w:val="009B4A53"/>
    <w:rsid w:val="009B5E34"/>
    <w:rsid w:val="009B7245"/>
    <w:rsid w:val="009B7613"/>
    <w:rsid w:val="009C134C"/>
    <w:rsid w:val="009C19D6"/>
    <w:rsid w:val="009C1A32"/>
    <w:rsid w:val="009C2623"/>
    <w:rsid w:val="009C45E4"/>
    <w:rsid w:val="009C4687"/>
    <w:rsid w:val="009C4870"/>
    <w:rsid w:val="009C5904"/>
    <w:rsid w:val="009C6232"/>
    <w:rsid w:val="009C6261"/>
    <w:rsid w:val="009C6986"/>
    <w:rsid w:val="009D0234"/>
    <w:rsid w:val="009D326B"/>
    <w:rsid w:val="009D57C9"/>
    <w:rsid w:val="009D5C56"/>
    <w:rsid w:val="009D5E2C"/>
    <w:rsid w:val="009D7573"/>
    <w:rsid w:val="009E01FD"/>
    <w:rsid w:val="009E02B2"/>
    <w:rsid w:val="009E0B42"/>
    <w:rsid w:val="009E109A"/>
    <w:rsid w:val="009E16AA"/>
    <w:rsid w:val="009E1BF1"/>
    <w:rsid w:val="009E27A1"/>
    <w:rsid w:val="009E380F"/>
    <w:rsid w:val="009E5A24"/>
    <w:rsid w:val="009E5DCF"/>
    <w:rsid w:val="009E6620"/>
    <w:rsid w:val="009E71BF"/>
    <w:rsid w:val="009F1478"/>
    <w:rsid w:val="009F183E"/>
    <w:rsid w:val="009F1CAF"/>
    <w:rsid w:val="009F2850"/>
    <w:rsid w:val="009F34C5"/>
    <w:rsid w:val="009F4FE4"/>
    <w:rsid w:val="009F6A99"/>
    <w:rsid w:val="009F78CB"/>
    <w:rsid w:val="00A012DA"/>
    <w:rsid w:val="00A029E8"/>
    <w:rsid w:val="00A03755"/>
    <w:rsid w:val="00A03DFE"/>
    <w:rsid w:val="00A04219"/>
    <w:rsid w:val="00A0432D"/>
    <w:rsid w:val="00A05203"/>
    <w:rsid w:val="00A06AA4"/>
    <w:rsid w:val="00A06F21"/>
    <w:rsid w:val="00A077E0"/>
    <w:rsid w:val="00A10675"/>
    <w:rsid w:val="00A10703"/>
    <w:rsid w:val="00A1127C"/>
    <w:rsid w:val="00A11968"/>
    <w:rsid w:val="00A119E0"/>
    <w:rsid w:val="00A12CAD"/>
    <w:rsid w:val="00A1341F"/>
    <w:rsid w:val="00A143C1"/>
    <w:rsid w:val="00A14789"/>
    <w:rsid w:val="00A14D5E"/>
    <w:rsid w:val="00A15905"/>
    <w:rsid w:val="00A17B9B"/>
    <w:rsid w:val="00A17B9D"/>
    <w:rsid w:val="00A20799"/>
    <w:rsid w:val="00A2167F"/>
    <w:rsid w:val="00A22DBD"/>
    <w:rsid w:val="00A23156"/>
    <w:rsid w:val="00A25422"/>
    <w:rsid w:val="00A26130"/>
    <w:rsid w:val="00A26667"/>
    <w:rsid w:val="00A268E1"/>
    <w:rsid w:val="00A30EAF"/>
    <w:rsid w:val="00A31FB8"/>
    <w:rsid w:val="00A323C6"/>
    <w:rsid w:val="00A34153"/>
    <w:rsid w:val="00A35285"/>
    <w:rsid w:val="00A355EA"/>
    <w:rsid w:val="00A3562D"/>
    <w:rsid w:val="00A35BE3"/>
    <w:rsid w:val="00A35D74"/>
    <w:rsid w:val="00A3624A"/>
    <w:rsid w:val="00A3653D"/>
    <w:rsid w:val="00A373DD"/>
    <w:rsid w:val="00A37789"/>
    <w:rsid w:val="00A400AD"/>
    <w:rsid w:val="00A41291"/>
    <w:rsid w:val="00A4174D"/>
    <w:rsid w:val="00A41AA3"/>
    <w:rsid w:val="00A43F8F"/>
    <w:rsid w:val="00A446D3"/>
    <w:rsid w:val="00A44ECA"/>
    <w:rsid w:val="00A46F28"/>
    <w:rsid w:val="00A47777"/>
    <w:rsid w:val="00A50491"/>
    <w:rsid w:val="00A516B0"/>
    <w:rsid w:val="00A5178E"/>
    <w:rsid w:val="00A53AC7"/>
    <w:rsid w:val="00A53C83"/>
    <w:rsid w:val="00A544D2"/>
    <w:rsid w:val="00A54788"/>
    <w:rsid w:val="00A56ED2"/>
    <w:rsid w:val="00A570A4"/>
    <w:rsid w:val="00A57342"/>
    <w:rsid w:val="00A62B25"/>
    <w:rsid w:val="00A62FC2"/>
    <w:rsid w:val="00A6325D"/>
    <w:rsid w:val="00A64707"/>
    <w:rsid w:val="00A65D0A"/>
    <w:rsid w:val="00A66C0A"/>
    <w:rsid w:val="00A67559"/>
    <w:rsid w:val="00A6772C"/>
    <w:rsid w:val="00A67BBC"/>
    <w:rsid w:val="00A67F57"/>
    <w:rsid w:val="00A716E9"/>
    <w:rsid w:val="00A71C67"/>
    <w:rsid w:val="00A71E45"/>
    <w:rsid w:val="00A7220A"/>
    <w:rsid w:val="00A73AC5"/>
    <w:rsid w:val="00A81FAC"/>
    <w:rsid w:val="00A82279"/>
    <w:rsid w:val="00A8366A"/>
    <w:rsid w:val="00A84779"/>
    <w:rsid w:val="00A85E18"/>
    <w:rsid w:val="00A8658E"/>
    <w:rsid w:val="00A87342"/>
    <w:rsid w:val="00A8789E"/>
    <w:rsid w:val="00A91492"/>
    <w:rsid w:val="00A91830"/>
    <w:rsid w:val="00A940F5"/>
    <w:rsid w:val="00A941DD"/>
    <w:rsid w:val="00A94217"/>
    <w:rsid w:val="00A951EB"/>
    <w:rsid w:val="00A97AFD"/>
    <w:rsid w:val="00AA04BC"/>
    <w:rsid w:val="00AA0EB3"/>
    <w:rsid w:val="00AA1BE8"/>
    <w:rsid w:val="00AA263D"/>
    <w:rsid w:val="00AA2944"/>
    <w:rsid w:val="00AA43F9"/>
    <w:rsid w:val="00AA55B3"/>
    <w:rsid w:val="00AA5E50"/>
    <w:rsid w:val="00AA6829"/>
    <w:rsid w:val="00AB0260"/>
    <w:rsid w:val="00AB1B3F"/>
    <w:rsid w:val="00AB1E17"/>
    <w:rsid w:val="00AB2A80"/>
    <w:rsid w:val="00AB2E6E"/>
    <w:rsid w:val="00AB370B"/>
    <w:rsid w:val="00AB4AEC"/>
    <w:rsid w:val="00AB5CCB"/>
    <w:rsid w:val="00AB63AF"/>
    <w:rsid w:val="00AB7798"/>
    <w:rsid w:val="00AC11BC"/>
    <w:rsid w:val="00AC1638"/>
    <w:rsid w:val="00AC17CB"/>
    <w:rsid w:val="00AC1AA1"/>
    <w:rsid w:val="00AC2868"/>
    <w:rsid w:val="00AC37F3"/>
    <w:rsid w:val="00AD0ED8"/>
    <w:rsid w:val="00AD0F46"/>
    <w:rsid w:val="00AD2378"/>
    <w:rsid w:val="00AD349F"/>
    <w:rsid w:val="00AD356B"/>
    <w:rsid w:val="00AD3CEF"/>
    <w:rsid w:val="00AD4BFE"/>
    <w:rsid w:val="00AD4E0A"/>
    <w:rsid w:val="00AD71E4"/>
    <w:rsid w:val="00AD7CAA"/>
    <w:rsid w:val="00AE01AA"/>
    <w:rsid w:val="00AE0924"/>
    <w:rsid w:val="00AE104E"/>
    <w:rsid w:val="00AE1F8B"/>
    <w:rsid w:val="00AE2AB9"/>
    <w:rsid w:val="00AE31A6"/>
    <w:rsid w:val="00AE4F71"/>
    <w:rsid w:val="00AE6FF8"/>
    <w:rsid w:val="00AE71BE"/>
    <w:rsid w:val="00AF060B"/>
    <w:rsid w:val="00AF2D5F"/>
    <w:rsid w:val="00AF34FF"/>
    <w:rsid w:val="00AF548B"/>
    <w:rsid w:val="00AF6BEB"/>
    <w:rsid w:val="00AF6F44"/>
    <w:rsid w:val="00B003C6"/>
    <w:rsid w:val="00B018C1"/>
    <w:rsid w:val="00B020DE"/>
    <w:rsid w:val="00B02B88"/>
    <w:rsid w:val="00B02C0F"/>
    <w:rsid w:val="00B03F60"/>
    <w:rsid w:val="00B060EB"/>
    <w:rsid w:val="00B0687A"/>
    <w:rsid w:val="00B114DA"/>
    <w:rsid w:val="00B11E12"/>
    <w:rsid w:val="00B12993"/>
    <w:rsid w:val="00B13F3A"/>
    <w:rsid w:val="00B14D32"/>
    <w:rsid w:val="00B14E93"/>
    <w:rsid w:val="00B1654D"/>
    <w:rsid w:val="00B17B7B"/>
    <w:rsid w:val="00B21663"/>
    <w:rsid w:val="00B24624"/>
    <w:rsid w:val="00B24B72"/>
    <w:rsid w:val="00B25490"/>
    <w:rsid w:val="00B261A9"/>
    <w:rsid w:val="00B26966"/>
    <w:rsid w:val="00B3100A"/>
    <w:rsid w:val="00B312B8"/>
    <w:rsid w:val="00B31AE7"/>
    <w:rsid w:val="00B3211B"/>
    <w:rsid w:val="00B324D2"/>
    <w:rsid w:val="00B34054"/>
    <w:rsid w:val="00B359B8"/>
    <w:rsid w:val="00B36442"/>
    <w:rsid w:val="00B405C0"/>
    <w:rsid w:val="00B42194"/>
    <w:rsid w:val="00B42282"/>
    <w:rsid w:val="00B4265E"/>
    <w:rsid w:val="00B4334C"/>
    <w:rsid w:val="00B437F7"/>
    <w:rsid w:val="00B43CFD"/>
    <w:rsid w:val="00B468A0"/>
    <w:rsid w:val="00B47ED8"/>
    <w:rsid w:val="00B5190C"/>
    <w:rsid w:val="00B527EF"/>
    <w:rsid w:val="00B52AE5"/>
    <w:rsid w:val="00B5327E"/>
    <w:rsid w:val="00B5368B"/>
    <w:rsid w:val="00B53B4F"/>
    <w:rsid w:val="00B55A3E"/>
    <w:rsid w:val="00B615BA"/>
    <w:rsid w:val="00B62685"/>
    <w:rsid w:val="00B64297"/>
    <w:rsid w:val="00B65736"/>
    <w:rsid w:val="00B65C15"/>
    <w:rsid w:val="00B66F07"/>
    <w:rsid w:val="00B67125"/>
    <w:rsid w:val="00B7046B"/>
    <w:rsid w:val="00B70D48"/>
    <w:rsid w:val="00B717D2"/>
    <w:rsid w:val="00B726EF"/>
    <w:rsid w:val="00B72708"/>
    <w:rsid w:val="00B72782"/>
    <w:rsid w:val="00B7339E"/>
    <w:rsid w:val="00B741EE"/>
    <w:rsid w:val="00B75177"/>
    <w:rsid w:val="00B760F4"/>
    <w:rsid w:val="00B769FA"/>
    <w:rsid w:val="00B76E60"/>
    <w:rsid w:val="00B76E8A"/>
    <w:rsid w:val="00B8062C"/>
    <w:rsid w:val="00B82B20"/>
    <w:rsid w:val="00B83204"/>
    <w:rsid w:val="00B847FB"/>
    <w:rsid w:val="00B84893"/>
    <w:rsid w:val="00B84ACF"/>
    <w:rsid w:val="00B854A4"/>
    <w:rsid w:val="00B86E90"/>
    <w:rsid w:val="00B90391"/>
    <w:rsid w:val="00B92370"/>
    <w:rsid w:val="00B931DF"/>
    <w:rsid w:val="00B93BCD"/>
    <w:rsid w:val="00B948D6"/>
    <w:rsid w:val="00B95A27"/>
    <w:rsid w:val="00B9663F"/>
    <w:rsid w:val="00BA04EA"/>
    <w:rsid w:val="00BA0813"/>
    <w:rsid w:val="00BA0FB9"/>
    <w:rsid w:val="00BA241A"/>
    <w:rsid w:val="00BA2FB7"/>
    <w:rsid w:val="00BA30EE"/>
    <w:rsid w:val="00BA3522"/>
    <w:rsid w:val="00BA3DE8"/>
    <w:rsid w:val="00BA40FC"/>
    <w:rsid w:val="00BA4E2E"/>
    <w:rsid w:val="00BA50FC"/>
    <w:rsid w:val="00BA584B"/>
    <w:rsid w:val="00BA5F1A"/>
    <w:rsid w:val="00BA68F5"/>
    <w:rsid w:val="00BA6BF6"/>
    <w:rsid w:val="00BB1B94"/>
    <w:rsid w:val="00BB2390"/>
    <w:rsid w:val="00BB2888"/>
    <w:rsid w:val="00BB3E90"/>
    <w:rsid w:val="00BB48C5"/>
    <w:rsid w:val="00BB57B3"/>
    <w:rsid w:val="00BB73F6"/>
    <w:rsid w:val="00BC0D29"/>
    <w:rsid w:val="00BC1843"/>
    <w:rsid w:val="00BC1EC9"/>
    <w:rsid w:val="00BC2BD7"/>
    <w:rsid w:val="00BC474D"/>
    <w:rsid w:val="00BC63E8"/>
    <w:rsid w:val="00BD03AA"/>
    <w:rsid w:val="00BD12D6"/>
    <w:rsid w:val="00BD1652"/>
    <w:rsid w:val="00BD1F78"/>
    <w:rsid w:val="00BD23E3"/>
    <w:rsid w:val="00BD25E2"/>
    <w:rsid w:val="00BD25EE"/>
    <w:rsid w:val="00BD2720"/>
    <w:rsid w:val="00BD4278"/>
    <w:rsid w:val="00BD437E"/>
    <w:rsid w:val="00BD497F"/>
    <w:rsid w:val="00BD6117"/>
    <w:rsid w:val="00BD636D"/>
    <w:rsid w:val="00BD6F36"/>
    <w:rsid w:val="00BD7393"/>
    <w:rsid w:val="00BD7D43"/>
    <w:rsid w:val="00BE0920"/>
    <w:rsid w:val="00BE1C34"/>
    <w:rsid w:val="00BE262E"/>
    <w:rsid w:val="00BE2787"/>
    <w:rsid w:val="00BE2C2D"/>
    <w:rsid w:val="00BE2EAA"/>
    <w:rsid w:val="00BE30DA"/>
    <w:rsid w:val="00BE3608"/>
    <w:rsid w:val="00BE3683"/>
    <w:rsid w:val="00BE4F65"/>
    <w:rsid w:val="00BF0B16"/>
    <w:rsid w:val="00BF1D03"/>
    <w:rsid w:val="00BF1D9B"/>
    <w:rsid w:val="00BF2174"/>
    <w:rsid w:val="00BF4068"/>
    <w:rsid w:val="00BF481A"/>
    <w:rsid w:val="00BF55B8"/>
    <w:rsid w:val="00BF5F02"/>
    <w:rsid w:val="00BF613E"/>
    <w:rsid w:val="00BF7166"/>
    <w:rsid w:val="00C003D8"/>
    <w:rsid w:val="00C00C91"/>
    <w:rsid w:val="00C01EB1"/>
    <w:rsid w:val="00C023DB"/>
    <w:rsid w:val="00C036D9"/>
    <w:rsid w:val="00C04B6A"/>
    <w:rsid w:val="00C04C10"/>
    <w:rsid w:val="00C07377"/>
    <w:rsid w:val="00C153F7"/>
    <w:rsid w:val="00C16060"/>
    <w:rsid w:val="00C16435"/>
    <w:rsid w:val="00C16D3B"/>
    <w:rsid w:val="00C16F62"/>
    <w:rsid w:val="00C17E77"/>
    <w:rsid w:val="00C212B4"/>
    <w:rsid w:val="00C22823"/>
    <w:rsid w:val="00C2309B"/>
    <w:rsid w:val="00C23B24"/>
    <w:rsid w:val="00C23F94"/>
    <w:rsid w:val="00C25B94"/>
    <w:rsid w:val="00C25F4A"/>
    <w:rsid w:val="00C26F14"/>
    <w:rsid w:val="00C31456"/>
    <w:rsid w:val="00C318A6"/>
    <w:rsid w:val="00C33375"/>
    <w:rsid w:val="00C33A67"/>
    <w:rsid w:val="00C34120"/>
    <w:rsid w:val="00C34518"/>
    <w:rsid w:val="00C34809"/>
    <w:rsid w:val="00C35ACA"/>
    <w:rsid w:val="00C37401"/>
    <w:rsid w:val="00C3752E"/>
    <w:rsid w:val="00C37545"/>
    <w:rsid w:val="00C376E5"/>
    <w:rsid w:val="00C37BB9"/>
    <w:rsid w:val="00C37CB9"/>
    <w:rsid w:val="00C4128A"/>
    <w:rsid w:val="00C41D93"/>
    <w:rsid w:val="00C42E44"/>
    <w:rsid w:val="00C432A0"/>
    <w:rsid w:val="00C44095"/>
    <w:rsid w:val="00C442E4"/>
    <w:rsid w:val="00C44FE0"/>
    <w:rsid w:val="00C47569"/>
    <w:rsid w:val="00C47626"/>
    <w:rsid w:val="00C47638"/>
    <w:rsid w:val="00C47F89"/>
    <w:rsid w:val="00C5230F"/>
    <w:rsid w:val="00C53FE8"/>
    <w:rsid w:val="00C55989"/>
    <w:rsid w:val="00C5695E"/>
    <w:rsid w:val="00C60974"/>
    <w:rsid w:val="00C62509"/>
    <w:rsid w:val="00C62CFC"/>
    <w:rsid w:val="00C64426"/>
    <w:rsid w:val="00C70637"/>
    <w:rsid w:val="00C707CA"/>
    <w:rsid w:val="00C72CAA"/>
    <w:rsid w:val="00C72EE9"/>
    <w:rsid w:val="00C73A13"/>
    <w:rsid w:val="00C73E8B"/>
    <w:rsid w:val="00C749BF"/>
    <w:rsid w:val="00C7608F"/>
    <w:rsid w:val="00C774CB"/>
    <w:rsid w:val="00C80ECA"/>
    <w:rsid w:val="00C81C11"/>
    <w:rsid w:val="00C8327C"/>
    <w:rsid w:val="00C8327D"/>
    <w:rsid w:val="00C83802"/>
    <w:rsid w:val="00C83E7F"/>
    <w:rsid w:val="00C84C32"/>
    <w:rsid w:val="00C84D0B"/>
    <w:rsid w:val="00C91D56"/>
    <w:rsid w:val="00C92C8C"/>
    <w:rsid w:val="00C939E0"/>
    <w:rsid w:val="00C93DE9"/>
    <w:rsid w:val="00C93E11"/>
    <w:rsid w:val="00C94C41"/>
    <w:rsid w:val="00C95C81"/>
    <w:rsid w:val="00C96804"/>
    <w:rsid w:val="00C96A7E"/>
    <w:rsid w:val="00CA07ED"/>
    <w:rsid w:val="00CA134D"/>
    <w:rsid w:val="00CA3605"/>
    <w:rsid w:val="00CA369F"/>
    <w:rsid w:val="00CA380D"/>
    <w:rsid w:val="00CA3E61"/>
    <w:rsid w:val="00CA52D2"/>
    <w:rsid w:val="00CA59A3"/>
    <w:rsid w:val="00CA5CE8"/>
    <w:rsid w:val="00CA6486"/>
    <w:rsid w:val="00CA67E2"/>
    <w:rsid w:val="00CB2D6D"/>
    <w:rsid w:val="00CB476E"/>
    <w:rsid w:val="00CB53AE"/>
    <w:rsid w:val="00CB5D2F"/>
    <w:rsid w:val="00CB5FD8"/>
    <w:rsid w:val="00CB6116"/>
    <w:rsid w:val="00CB643E"/>
    <w:rsid w:val="00CB6628"/>
    <w:rsid w:val="00CB7119"/>
    <w:rsid w:val="00CC08C8"/>
    <w:rsid w:val="00CC0A60"/>
    <w:rsid w:val="00CC29D6"/>
    <w:rsid w:val="00CC48A9"/>
    <w:rsid w:val="00CC5878"/>
    <w:rsid w:val="00CD3B72"/>
    <w:rsid w:val="00CD3CC7"/>
    <w:rsid w:val="00CD4959"/>
    <w:rsid w:val="00CE4630"/>
    <w:rsid w:val="00CE606A"/>
    <w:rsid w:val="00CE6996"/>
    <w:rsid w:val="00CE7157"/>
    <w:rsid w:val="00CE768F"/>
    <w:rsid w:val="00CE779B"/>
    <w:rsid w:val="00CE7F85"/>
    <w:rsid w:val="00CF042C"/>
    <w:rsid w:val="00CF196E"/>
    <w:rsid w:val="00CF3530"/>
    <w:rsid w:val="00CF5512"/>
    <w:rsid w:val="00CF5B3C"/>
    <w:rsid w:val="00CF63B4"/>
    <w:rsid w:val="00CF63D8"/>
    <w:rsid w:val="00CF6800"/>
    <w:rsid w:val="00CF73EC"/>
    <w:rsid w:val="00D00D9B"/>
    <w:rsid w:val="00D0371C"/>
    <w:rsid w:val="00D03EBD"/>
    <w:rsid w:val="00D04F59"/>
    <w:rsid w:val="00D0539C"/>
    <w:rsid w:val="00D07FD9"/>
    <w:rsid w:val="00D105E9"/>
    <w:rsid w:val="00D1077B"/>
    <w:rsid w:val="00D133DA"/>
    <w:rsid w:val="00D13BBE"/>
    <w:rsid w:val="00D13EB4"/>
    <w:rsid w:val="00D143C4"/>
    <w:rsid w:val="00D15920"/>
    <w:rsid w:val="00D15C57"/>
    <w:rsid w:val="00D17347"/>
    <w:rsid w:val="00D22BCE"/>
    <w:rsid w:val="00D2342B"/>
    <w:rsid w:val="00D26474"/>
    <w:rsid w:val="00D27A17"/>
    <w:rsid w:val="00D30DA7"/>
    <w:rsid w:val="00D31D6A"/>
    <w:rsid w:val="00D3213E"/>
    <w:rsid w:val="00D32A51"/>
    <w:rsid w:val="00D32EDB"/>
    <w:rsid w:val="00D333FB"/>
    <w:rsid w:val="00D334EB"/>
    <w:rsid w:val="00D3488D"/>
    <w:rsid w:val="00D3659B"/>
    <w:rsid w:val="00D3714E"/>
    <w:rsid w:val="00D37658"/>
    <w:rsid w:val="00D40AB1"/>
    <w:rsid w:val="00D40D79"/>
    <w:rsid w:val="00D41027"/>
    <w:rsid w:val="00D4264D"/>
    <w:rsid w:val="00D42D17"/>
    <w:rsid w:val="00D43F67"/>
    <w:rsid w:val="00D4419A"/>
    <w:rsid w:val="00D44369"/>
    <w:rsid w:val="00D44AD8"/>
    <w:rsid w:val="00D45297"/>
    <w:rsid w:val="00D452CC"/>
    <w:rsid w:val="00D45F88"/>
    <w:rsid w:val="00D466E8"/>
    <w:rsid w:val="00D4705D"/>
    <w:rsid w:val="00D4723C"/>
    <w:rsid w:val="00D4792C"/>
    <w:rsid w:val="00D513EA"/>
    <w:rsid w:val="00D514BE"/>
    <w:rsid w:val="00D52C2A"/>
    <w:rsid w:val="00D55A1C"/>
    <w:rsid w:val="00D560CF"/>
    <w:rsid w:val="00D61B04"/>
    <w:rsid w:val="00D6298F"/>
    <w:rsid w:val="00D62C29"/>
    <w:rsid w:val="00D62CCE"/>
    <w:rsid w:val="00D62CF9"/>
    <w:rsid w:val="00D63737"/>
    <w:rsid w:val="00D6404D"/>
    <w:rsid w:val="00D65BF3"/>
    <w:rsid w:val="00D66C2A"/>
    <w:rsid w:val="00D66DFE"/>
    <w:rsid w:val="00D70E47"/>
    <w:rsid w:val="00D72F6E"/>
    <w:rsid w:val="00D737E7"/>
    <w:rsid w:val="00D74D3B"/>
    <w:rsid w:val="00D760EF"/>
    <w:rsid w:val="00D77369"/>
    <w:rsid w:val="00D774E2"/>
    <w:rsid w:val="00D775B6"/>
    <w:rsid w:val="00D804CD"/>
    <w:rsid w:val="00D8126D"/>
    <w:rsid w:val="00D81F21"/>
    <w:rsid w:val="00D82475"/>
    <w:rsid w:val="00D82733"/>
    <w:rsid w:val="00D8575F"/>
    <w:rsid w:val="00D86E6E"/>
    <w:rsid w:val="00D90B92"/>
    <w:rsid w:val="00D91061"/>
    <w:rsid w:val="00D91389"/>
    <w:rsid w:val="00D91E93"/>
    <w:rsid w:val="00D926BE"/>
    <w:rsid w:val="00D93A7E"/>
    <w:rsid w:val="00D943EA"/>
    <w:rsid w:val="00D94E25"/>
    <w:rsid w:val="00D97365"/>
    <w:rsid w:val="00DA0F88"/>
    <w:rsid w:val="00DA346C"/>
    <w:rsid w:val="00DA39A1"/>
    <w:rsid w:val="00DA3ECB"/>
    <w:rsid w:val="00DA5ECC"/>
    <w:rsid w:val="00DA6C06"/>
    <w:rsid w:val="00DA770B"/>
    <w:rsid w:val="00DB1197"/>
    <w:rsid w:val="00DB1B6E"/>
    <w:rsid w:val="00DB224C"/>
    <w:rsid w:val="00DB281A"/>
    <w:rsid w:val="00DB2892"/>
    <w:rsid w:val="00DB3FE0"/>
    <w:rsid w:val="00DB4199"/>
    <w:rsid w:val="00DB44DE"/>
    <w:rsid w:val="00DB5A47"/>
    <w:rsid w:val="00DB7008"/>
    <w:rsid w:val="00DB7309"/>
    <w:rsid w:val="00DC0185"/>
    <w:rsid w:val="00DC07FB"/>
    <w:rsid w:val="00DC0CB7"/>
    <w:rsid w:val="00DC0DC8"/>
    <w:rsid w:val="00DC2098"/>
    <w:rsid w:val="00DC2E8C"/>
    <w:rsid w:val="00DC454C"/>
    <w:rsid w:val="00DC6E22"/>
    <w:rsid w:val="00DD0275"/>
    <w:rsid w:val="00DD11FF"/>
    <w:rsid w:val="00DD26FA"/>
    <w:rsid w:val="00DD2F04"/>
    <w:rsid w:val="00DD3FF8"/>
    <w:rsid w:val="00DD4A3A"/>
    <w:rsid w:val="00DD7391"/>
    <w:rsid w:val="00DE0357"/>
    <w:rsid w:val="00DE11D5"/>
    <w:rsid w:val="00DE121E"/>
    <w:rsid w:val="00DE1B78"/>
    <w:rsid w:val="00DE29FF"/>
    <w:rsid w:val="00DE2FD9"/>
    <w:rsid w:val="00DE32D4"/>
    <w:rsid w:val="00DE4D27"/>
    <w:rsid w:val="00DE5853"/>
    <w:rsid w:val="00DE7023"/>
    <w:rsid w:val="00DE7CB5"/>
    <w:rsid w:val="00DF0569"/>
    <w:rsid w:val="00DF15BC"/>
    <w:rsid w:val="00DF2558"/>
    <w:rsid w:val="00DF2881"/>
    <w:rsid w:val="00DF40ED"/>
    <w:rsid w:val="00DF46C2"/>
    <w:rsid w:val="00DF67BB"/>
    <w:rsid w:val="00DF6E23"/>
    <w:rsid w:val="00DF7C14"/>
    <w:rsid w:val="00E00927"/>
    <w:rsid w:val="00E00E29"/>
    <w:rsid w:val="00E00F03"/>
    <w:rsid w:val="00E01C77"/>
    <w:rsid w:val="00E01FF9"/>
    <w:rsid w:val="00E029CB"/>
    <w:rsid w:val="00E03ABA"/>
    <w:rsid w:val="00E03BFF"/>
    <w:rsid w:val="00E0476A"/>
    <w:rsid w:val="00E062EC"/>
    <w:rsid w:val="00E0663B"/>
    <w:rsid w:val="00E06D0A"/>
    <w:rsid w:val="00E06D3A"/>
    <w:rsid w:val="00E11016"/>
    <w:rsid w:val="00E12943"/>
    <w:rsid w:val="00E12D7F"/>
    <w:rsid w:val="00E14113"/>
    <w:rsid w:val="00E148D7"/>
    <w:rsid w:val="00E14A51"/>
    <w:rsid w:val="00E16D65"/>
    <w:rsid w:val="00E17170"/>
    <w:rsid w:val="00E17391"/>
    <w:rsid w:val="00E17AC6"/>
    <w:rsid w:val="00E20251"/>
    <w:rsid w:val="00E20794"/>
    <w:rsid w:val="00E23014"/>
    <w:rsid w:val="00E2423E"/>
    <w:rsid w:val="00E24F9F"/>
    <w:rsid w:val="00E273A7"/>
    <w:rsid w:val="00E27482"/>
    <w:rsid w:val="00E30F37"/>
    <w:rsid w:val="00E315B3"/>
    <w:rsid w:val="00E32CD3"/>
    <w:rsid w:val="00E34474"/>
    <w:rsid w:val="00E34B98"/>
    <w:rsid w:val="00E34D09"/>
    <w:rsid w:val="00E34E41"/>
    <w:rsid w:val="00E35454"/>
    <w:rsid w:val="00E35E3A"/>
    <w:rsid w:val="00E3679D"/>
    <w:rsid w:val="00E37F59"/>
    <w:rsid w:val="00E404BC"/>
    <w:rsid w:val="00E407E3"/>
    <w:rsid w:val="00E40F56"/>
    <w:rsid w:val="00E4134C"/>
    <w:rsid w:val="00E43108"/>
    <w:rsid w:val="00E433E1"/>
    <w:rsid w:val="00E45968"/>
    <w:rsid w:val="00E47407"/>
    <w:rsid w:val="00E47C14"/>
    <w:rsid w:val="00E50F12"/>
    <w:rsid w:val="00E511EB"/>
    <w:rsid w:val="00E535DD"/>
    <w:rsid w:val="00E53B2A"/>
    <w:rsid w:val="00E550D2"/>
    <w:rsid w:val="00E55157"/>
    <w:rsid w:val="00E55CD0"/>
    <w:rsid w:val="00E56F30"/>
    <w:rsid w:val="00E60CFB"/>
    <w:rsid w:val="00E61290"/>
    <w:rsid w:val="00E61A0B"/>
    <w:rsid w:val="00E622DF"/>
    <w:rsid w:val="00E63B4D"/>
    <w:rsid w:val="00E64015"/>
    <w:rsid w:val="00E649E4"/>
    <w:rsid w:val="00E653E7"/>
    <w:rsid w:val="00E6565D"/>
    <w:rsid w:val="00E66977"/>
    <w:rsid w:val="00E676F4"/>
    <w:rsid w:val="00E706F4"/>
    <w:rsid w:val="00E70E03"/>
    <w:rsid w:val="00E7261E"/>
    <w:rsid w:val="00E732CA"/>
    <w:rsid w:val="00E73C51"/>
    <w:rsid w:val="00E751BA"/>
    <w:rsid w:val="00E772D7"/>
    <w:rsid w:val="00E77AF0"/>
    <w:rsid w:val="00E80685"/>
    <w:rsid w:val="00E80B21"/>
    <w:rsid w:val="00E813EC"/>
    <w:rsid w:val="00E835A8"/>
    <w:rsid w:val="00E83706"/>
    <w:rsid w:val="00E86805"/>
    <w:rsid w:val="00E87CAB"/>
    <w:rsid w:val="00E87F22"/>
    <w:rsid w:val="00E90661"/>
    <w:rsid w:val="00E90FB2"/>
    <w:rsid w:val="00E9234C"/>
    <w:rsid w:val="00E9241E"/>
    <w:rsid w:val="00E93199"/>
    <w:rsid w:val="00E934C0"/>
    <w:rsid w:val="00E93520"/>
    <w:rsid w:val="00E93810"/>
    <w:rsid w:val="00E964FE"/>
    <w:rsid w:val="00EA0FF4"/>
    <w:rsid w:val="00EA1355"/>
    <w:rsid w:val="00EA1F84"/>
    <w:rsid w:val="00EA3352"/>
    <w:rsid w:val="00EA3F13"/>
    <w:rsid w:val="00EA4F1D"/>
    <w:rsid w:val="00EA6A41"/>
    <w:rsid w:val="00EA738B"/>
    <w:rsid w:val="00EA779A"/>
    <w:rsid w:val="00EB2375"/>
    <w:rsid w:val="00EB3F30"/>
    <w:rsid w:val="00EB4DBD"/>
    <w:rsid w:val="00EB6CAB"/>
    <w:rsid w:val="00EB7640"/>
    <w:rsid w:val="00EC1166"/>
    <w:rsid w:val="00EC1823"/>
    <w:rsid w:val="00EC1E14"/>
    <w:rsid w:val="00EC2259"/>
    <w:rsid w:val="00EC260B"/>
    <w:rsid w:val="00EC2AF4"/>
    <w:rsid w:val="00EC325C"/>
    <w:rsid w:val="00EC4740"/>
    <w:rsid w:val="00EC4EF4"/>
    <w:rsid w:val="00EC5479"/>
    <w:rsid w:val="00EC5756"/>
    <w:rsid w:val="00EC7396"/>
    <w:rsid w:val="00EC76B8"/>
    <w:rsid w:val="00ED169E"/>
    <w:rsid w:val="00ED1DC0"/>
    <w:rsid w:val="00ED2C65"/>
    <w:rsid w:val="00ED371D"/>
    <w:rsid w:val="00ED67FC"/>
    <w:rsid w:val="00EE0DA9"/>
    <w:rsid w:val="00EE1EFC"/>
    <w:rsid w:val="00EE3FB5"/>
    <w:rsid w:val="00EF1AF8"/>
    <w:rsid w:val="00EF3745"/>
    <w:rsid w:val="00EF4068"/>
    <w:rsid w:val="00EF565E"/>
    <w:rsid w:val="00EF7544"/>
    <w:rsid w:val="00F00BE3"/>
    <w:rsid w:val="00F012D9"/>
    <w:rsid w:val="00F016CF"/>
    <w:rsid w:val="00F023F8"/>
    <w:rsid w:val="00F02988"/>
    <w:rsid w:val="00F03116"/>
    <w:rsid w:val="00F05A0A"/>
    <w:rsid w:val="00F05E8C"/>
    <w:rsid w:val="00F0789B"/>
    <w:rsid w:val="00F07F86"/>
    <w:rsid w:val="00F115F4"/>
    <w:rsid w:val="00F13251"/>
    <w:rsid w:val="00F168A0"/>
    <w:rsid w:val="00F17078"/>
    <w:rsid w:val="00F17083"/>
    <w:rsid w:val="00F20E16"/>
    <w:rsid w:val="00F2231F"/>
    <w:rsid w:val="00F25728"/>
    <w:rsid w:val="00F25A95"/>
    <w:rsid w:val="00F26902"/>
    <w:rsid w:val="00F26E8F"/>
    <w:rsid w:val="00F27DE9"/>
    <w:rsid w:val="00F300E2"/>
    <w:rsid w:val="00F3306E"/>
    <w:rsid w:val="00F33651"/>
    <w:rsid w:val="00F343E8"/>
    <w:rsid w:val="00F3481A"/>
    <w:rsid w:val="00F352E8"/>
    <w:rsid w:val="00F35540"/>
    <w:rsid w:val="00F370D6"/>
    <w:rsid w:val="00F37EFC"/>
    <w:rsid w:val="00F404C5"/>
    <w:rsid w:val="00F41EBD"/>
    <w:rsid w:val="00F43222"/>
    <w:rsid w:val="00F43826"/>
    <w:rsid w:val="00F44748"/>
    <w:rsid w:val="00F44D9D"/>
    <w:rsid w:val="00F45668"/>
    <w:rsid w:val="00F464D5"/>
    <w:rsid w:val="00F50590"/>
    <w:rsid w:val="00F50592"/>
    <w:rsid w:val="00F50A99"/>
    <w:rsid w:val="00F52186"/>
    <w:rsid w:val="00F554C9"/>
    <w:rsid w:val="00F55ACD"/>
    <w:rsid w:val="00F567BA"/>
    <w:rsid w:val="00F574D2"/>
    <w:rsid w:val="00F576EB"/>
    <w:rsid w:val="00F57F0F"/>
    <w:rsid w:val="00F60616"/>
    <w:rsid w:val="00F61139"/>
    <w:rsid w:val="00F639D4"/>
    <w:rsid w:val="00F669AF"/>
    <w:rsid w:val="00F67AEB"/>
    <w:rsid w:val="00F67E96"/>
    <w:rsid w:val="00F70395"/>
    <w:rsid w:val="00F70AA2"/>
    <w:rsid w:val="00F7353F"/>
    <w:rsid w:val="00F73DB7"/>
    <w:rsid w:val="00F74C33"/>
    <w:rsid w:val="00F74F0F"/>
    <w:rsid w:val="00F75367"/>
    <w:rsid w:val="00F75397"/>
    <w:rsid w:val="00F756FC"/>
    <w:rsid w:val="00F769E7"/>
    <w:rsid w:val="00F80F87"/>
    <w:rsid w:val="00F8282D"/>
    <w:rsid w:val="00F82BC6"/>
    <w:rsid w:val="00F8341D"/>
    <w:rsid w:val="00F83BA3"/>
    <w:rsid w:val="00F84D85"/>
    <w:rsid w:val="00F856CD"/>
    <w:rsid w:val="00F85CC3"/>
    <w:rsid w:val="00F85DB5"/>
    <w:rsid w:val="00F866E5"/>
    <w:rsid w:val="00F86F10"/>
    <w:rsid w:val="00F87644"/>
    <w:rsid w:val="00F904B2"/>
    <w:rsid w:val="00F90FAB"/>
    <w:rsid w:val="00F911A5"/>
    <w:rsid w:val="00F91484"/>
    <w:rsid w:val="00F916C1"/>
    <w:rsid w:val="00F92371"/>
    <w:rsid w:val="00F925B4"/>
    <w:rsid w:val="00F929B6"/>
    <w:rsid w:val="00F92F84"/>
    <w:rsid w:val="00F94362"/>
    <w:rsid w:val="00F96C9B"/>
    <w:rsid w:val="00F96D25"/>
    <w:rsid w:val="00F97A1A"/>
    <w:rsid w:val="00FA172C"/>
    <w:rsid w:val="00FA197E"/>
    <w:rsid w:val="00FA3197"/>
    <w:rsid w:val="00FA378A"/>
    <w:rsid w:val="00FA44AA"/>
    <w:rsid w:val="00FA49DF"/>
    <w:rsid w:val="00FA4AC6"/>
    <w:rsid w:val="00FA61A9"/>
    <w:rsid w:val="00FA644A"/>
    <w:rsid w:val="00FA7EB4"/>
    <w:rsid w:val="00FB067D"/>
    <w:rsid w:val="00FB10A9"/>
    <w:rsid w:val="00FB1954"/>
    <w:rsid w:val="00FB24DA"/>
    <w:rsid w:val="00FB5393"/>
    <w:rsid w:val="00FB5FDF"/>
    <w:rsid w:val="00FB651E"/>
    <w:rsid w:val="00FB6C13"/>
    <w:rsid w:val="00FB7180"/>
    <w:rsid w:val="00FB77FE"/>
    <w:rsid w:val="00FB7A11"/>
    <w:rsid w:val="00FB7CD3"/>
    <w:rsid w:val="00FC0728"/>
    <w:rsid w:val="00FC1838"/>
    <w:rsid w:val="00FC2F01"/>
    <w:rsid w:val="00FC2F85"/>
    <w:rsid w:val="00FC3B17"/>
    <w:rsid w:val="00FC6BD6"/>
    <w:rsid w:val="00FC6D94"/>
    <w:rsid w:val="00FC6FE0"/>
    <w:rsid w:val="00FD000E"/>
    <w:rsid w:val="00FD08C9"/>
    <w:rsid w:val="00FD0A33"/>
    <w:rsid w:val="00FD11D3"/>
    <w:rsid w:val="00FD1495"/>
    <w:rsid w:val="00FD2D70"/>
    <w:rsid w:val="00FD3FF1"/>
    <w:rsid w:val="00FD565F"/>
    <w:rsid w:val="00FE02A4"/>
    <w:rsid w:val="00FE0388"/>
    <w:rsid w:val="00FE042C"/>
    <w:rsid w:val="00FE16DE"/>
    <w:rsid w:val="00FE2D19"/>
    <w:rsid w:val="00FE3CDF"/>
    <w:rsid w:val="00FE3CF4"/>
    <w:rsid w:val="00FE4DB4"/>
    <w:rsid w:val="00FE4F5A"/>
    <w:rsid w:val="00FE5508"/>
    <w:rsid w:val="00FE7F0A"/>
    <w:rsid w:val="00FF0E07"/>
    <w:rsid w:val="00FF252A"/>
    <w:rsid w:val="00FF28D3"/>
    <w:rsid w:val="00FF2FAD"/>
    <w:rsid w:val="00FF4356"/>
    <w:rsid w:val="00FF45A3"/>
    <w:rsid w:val="00FF548F"/>
    <w:rsid w:val="00FF7E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endnote text"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rPr>
      <w:lang w:val="es-ES_tradnl"/>
    </w:rPr>
  </w:style>
  <w:style w:type="paragraph" w:styleId="Heading1">
    <w:name w:val="heading 1"/>
    <w:basedOn w:val="Normal"/>
    <w:link w:val="Heading1Char"/>
    <w:uiPriority w:val="9"/>
    <w:qFormat/>
    <w:rsid w:val="00F50592"/>
    <w:pPr>
      <w:widowControl/>
      <w:numPr>
        <w:ilvl w:val="1"/>
        <w:numId w:val="16"/>
      </w:numPr>
      <w:spacing w:after="0" w:line="264" w:lineRule="auto"/>
      <w:outlineLvl w:val="0"/>
    </w:pPr>
    <w:rPr>
      <w:rFonts w:eastAsia="Calibri" w:cs="Times New Roman"/>
      <w:b/>
      <w:bCs/>
      <w:noProof/>
      <w:spacing w:val="-10"/>
      <w:kern w:val="36"/>
      <w:sz w:val="32"/>
      <w:szCs w:val="32"/>
    </w:rPr>
  </w:style>
  <w:style w:type="paragraph" w:styleId="Heading2">
    <w:name w:val="heading 2"/>
    <w:basedOn w:val="Normal"/>
    <w:next w:val="Normal"/>
    <w:link w:val="Heading2Char"/>
    <w:uiPriority w:val="9"/>
    <w:unhideWhenUsed/>
    <w:qFormat/>
    <w:rsid w:val="00AF060B"/>
    <w:pPr>
      <w:keepNext/>
      <w:keepLines/>
      <w:numPr>
        <w:numId w:val="19"/>
      </w:numPr>
      <w:spacing w:before="200" w:after="0"/>
      <w:outlineLvl w:val="1"/>
    </w:pPr>
    <w:rPr>
      <w:rFonts w:eastAsiaTheme="majorEastAsia" w:cstheme="majorBidi"/>
      <w:b/>
      <w:bCs/>
      <w:sz w:val="24"/>
      <w:szCs w:val="24"/>
    </w:rPr>
  </w:style>
  <w:style w:type="paragraph" w:styleId="Heading3">
    <w:name w:val="heading 3"/>
    <w:basedOn w:val="Normal"/>
    <w:next w:val="Normal"/>
    <w:link w:val="Heading3Char"/>
    <w:uiPriority w:val="9"/>
    <w:unhideWhenUsed/>
    <w:qFormat/>
    <w:rsid w:val="000F0D6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105E9"/>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105E9"/>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105E9"/>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105E9"/>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105E9"/>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105E9"/>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62CCE"/>
    <w:pPr>
      <w:tabs>
        <w:tab w:val="center" w:pos="4680"/>
        <w:tab w:val="right" w:pos="9360"/>
      </w:tabs>
      <w:spacing w:after="0" w:line="240" w:lineRule="auto"/>
    </w:pPr>
  </w:style>
  <w:style w:type="character" w:customStyle="1" w:styleId="HeaderChar">
    <w:name w:val="Header Char"/>
    <w:basedOn w:val="DefaultParagraphFont"/>
    <w:link w:val="Header"/>
    <w:rsid w:val="00D62CCE"/>
  </w:style>
  <w:style w:type="paragraph" w:styleId="Footer">
    <w:name w:val="footer"/>
    <w:basedOn w:val="Normal"/>
    <w:link w:val="FooterChar"/>
    <w:uiPriority w:val="99"/>
    <w:unhideWhenUsed/>
    <w:rsid w:val="00D62C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2CCE"/>
  </w:style>
  <w:style w:type="paragraph" w:styleId="BalloonText">
    <w:name w:val="Balloon Text"/>
    <w:basedOn w:val="Normal"/>
    <w:link w:val="BalloonTextChar"/>
    <w:uiPriority w:val="99"/>
    <w:unhideWhenUsed/>
    <w:rsid w:val="00D62C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62CCE"/>
    <w:rPr>
      <w:rFonts w:ascii="Tahoma" w:hAnsi="Tahoma" w:cs="Tahoma"/>
      <w:sz w:val="16"/>
      <w:szCs w:val="16"/>
    </w:rPr>
  </w:style>
  <w:style w:type="character" w:styleId="Hyperlink">
    <w:name w:val="Hyperlink"/>
    <w:basedOn w:val="DefaultParagraphFont"/>
    <w:uiPriority w:val="99"/>
    <w:unhideWhenUsed/>
    <w:rsid w:val="006F0D98"/>
    <w:rPr>
      <w:color w:val="0000FF" w:themeColor="hyperlink"/>
      <w:u w:val="single"/>
    </w:rPr>
  </w:style>
  <w:style w:type="paragraph" w:styleId="ListParagraph">
    <w:name w:val="List Paragraph"/>
    <w:basedOn w:val="Normal"/>
    <w:link w:val="ListParagraphChar"/>
    <w:uiPriority w:val="34"/>
    <w:qFormat/>
    <w:rsid w:val="004D43FB"/>
    <w:pPr>
      <w:widowControl/>
      <w:ind w:left="720"/>
      <w:contextualSpacing/>
    </w:pPr>
    <w:rPr>
      <w:rFonts w:eastAsiaTheme="minorEastAsia"/>
    </w:rPr>
  </w:style>
  <w:style w:type="character" w:customStyle="1" w:styleId="Heading1Char">
    <w:name w:val="Heading 1 Char"/>
    <w:basedOn w:val="DefaultParagraphFont"/>
    <w:link w:val="Heading1"/>
    <w:uiPriority w:val="9"/>
    <w:rsid w:val="00F50592"/>
    <w:rPr>
      <w:rFonts w:eastAsia="Calibri" w:cs="Times New Roman"/>
      <w:b/>
      <w:bCs/>
      <w:noProof/>
      <w:spacing w:val="-10"/>
      <w:kern w:val="36"/>
      <w:sz w:val="32"/>
      <w:szCs w:val="32"/>
      <w:lang w:val="es-ES_tradnl"/>
    </w:rPr>
  </w:style>
  <w:style w:type="character" w:styleId="Strong">
    <w:name w:val="Strong"/>
    <w:basedOn w:val="DefaultParagraphFont"/>
    <w:uiPriority w:val="22"/>
    <w:qFormat/>
    <w:rsid w:val="009A50B8"/>
    <w:rPr>
      <w:b/>
      <w:bCs/>
    </w:rPr>
  </w:style>
  <w:style w:type="paragraph" w:styleId="NormalWeb">
    <w:name w:val="Normal (Web)"/>
    <w:basedOn w:val="Normal"/>
    <w:uiPriority w:val="99"/>
    <w:unhideWhenUsed/>
    <w:rsid w:val="009A50B8"/>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ia">
    <w:name w:val="dia"/>
    <w:basedOn w:val="DefaultParagraphFont"/>
    <w:rsid w:val="009A50B8"/>
  </w:style>
  <w:style w:type="character" w:customStyle="1" w:styleId="entry-title">
    <w:name w:val="entry-title"/>
    <w:basedOn w:val="DefaultParagraphFont"/>
    <w:rsid w:val="009A50B8"/>
  </w:style>
  <w:style w:type="character" w:customStyle="1" w:styleId="ttl">
    <w:name w:val="ttl"/>
    <w:basedOn w:val="DefaultParagraphFont"/>
    <w:rsid w:val="009A50B8"/>
  </w:style>
  <w:style w:type="character" w:customStyle="1" w:styleId="Heading2Char">
    <w:name w:val="Heading 2 Char"/>
    <w:basedOn w:val="DefaultParagraphFont"/>
    <w:link w:val="Heading2"/>
    <w:uiPriority w:val="9"/>
    <w:rsid w:val="00AF060B"/>
    <w:rPr>
      <w:rFonts w:eastAsiaTheme="majorEastAsia" w:cstheme="majorBidi"/>
      <w:b/>
      <w:bCs/>
      <w:sz w:val="24"/>
      <w:szCs w:val="24"/>
      <w:lang w:val="es-ES_tradnl"/>
    </w:rPr>
  </w:style>
  <w:style w:type="paragraph" w:styleId="TOCHeading">
    <w:name w:val="TOC Heading"/>
    <w:basedOn w:val="Heading1"/>
    <w:next w:val="Normal"/>
    <w:uiPriority w:val="39"/>
    <w:semiHidden/>
    <w:unhideWhenUsed/>
    <w:qFormat/>
    <w:rsid w:val="00304083"/>
    <w:pPr>
      <w:keepNext/>
      <w:keepLines/>
      <w:spacing w:before="480" w:line="276" w:lineRule="auto"/>
      <w:outlineLvl w:val="9"/>
    </w:pPr>
    <w:rPr>
      <w:rFonts w:asciiTheme="majorHAnsi" w:eastAsiaTheme="majorEastAsia" w:hAnsiTheme="majorHAnsi" w:cstheme="majorBidi"/>
      <w:color w:val="365F91" w:themeColor="accent1" w:themeShade="BF"/>
      <w:spacing w:val="0"/>
      <w:kern w:val="0"/>
      <w:sz w:val="28"/>
      <w:szCs w:val="28"/>
    </w:rPr>
  </w:style>
  <w:style w:type="paragraph" w:styleId="TOC2">
    <w:name w:val="toc 2"/>
    <w:basedOn w:val="Normal"/>
    <w:next w:val="Normal"/>
    <w:autoRedefine/>
    <w:uiPriority w:val="39"/>
    <w:unhideWhenUsed/>
    <w:qFormat/>
    <w:rsid w:val="00304083"/>
    <w:pPr>
      <w:spacing w:after="0"/>
      <w:ind w:left="220"/>
    </w:pPr>
    <w:rPr>
      <w:smallCaps/>
    </w:rPr>
  </w:style>
  <w:style w:type="paragraph" w:styleId="TOC1">
    <w:name w:val="toc 1"/>
    <w:basedOn w:val="Normal"/>
    <w:next w:val="Normal"/>
    <w:autoRedefine/>
    <w:uiPriority w:val="39"/>
    <w:unhideWhenUsed/>
    <w:qFormat/>
    <w:rsid w:val="00304083"/>
    <w:pPr>
      <w:spacing w:before="120" w:after="0"/>
    </w:pPr>
    <w:rPr>
      <w:b/>
      <w:caps/>
    </w:rPr>
  </w:style>
  <w:style w:type="paragraph" w:styleId="TOC3">
    <w:name w:val="toc 3"/>
    <w:basedOn w:val="Normal"/>
    <w:next w:val="Normal"/>
    <w:autoRedefine/>
    <w:uiPriority w:val="39"/>
    <w:unhideWhenUsed/>
    <w:qFormat/>
    <w:rsid w:val="00304083"/>
    <w:pPr>
      <w:spacing w:after="0"/>
      <w:ind w:left="440"/>
    </w:pPr>
    <w:rPr>
      <w:i/>
    </w:rPr>
  </w:style>
  <w:style w:type="table" w:styleId="TableGrid">
    <w:name w:val="Table Grid"/>
    <w:basedOn w:val="TableNormal"/>
    <w:uiPriority w:val="59"/>
    <w:rsid w:val="003040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nkNormal">
    <w:name w:val="BankNormal"/>
    <w:basedOn w:val="Normal"/>
    <w:rsid w:val="00251D3C"/>
    <w:pPr>
      <w:widowControl/>
      <w:spacing w:after="240" w:line="240" w:lineRule="auto"/>
    </w:pPr>
    <w:rPr>
      <w:rFonts w:ascii="Times New Roman" w:eastAsia="Times New Roman" w:hAnsi="Times New Roman" w:cs="Times New Roman"/>
      <w:sz w:val="24"/>
      <w:szCs w:val="20"/>
    </w:rPr>
  </w:style>
  <w:style w:type="character" w:customStyle="1" w:styleId="Heading3Char">
    <w:name w:val="Heading 3 Char"/>
    <w:basedOn w:val="DefaultParagraphFont"/>
    <w:link w:val="Heading3"/>
    <w:uiPriority w:val="9"/>
    <w:rsid w:val="000F0D6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105E9"/>
    <w:rPr>
      <w:rFonts w:asciiTheme="majorHAnsi" w:eastAsiaTheme="majorEastAsia" w:hAnsiTheme="majorHAnsi" w:cstheme="majorBidi"/>
      <w:b/>
      <w:bCs/>
      <w:i/>
      <w:iCs/>
      <w:color w:val="4F81BD" w:themeColor="accent1"/>
      <w:lang w:val="es-ES_tradnl"/>
    </w:rPr>
  </w:style>
  <w:style w:type="character" w:customStyle="1" w:styleId="Heading5Char">
    <w:name w:val="Heading 5 Char"/>
    <w:basedOn w:val="DefaultParagraphFont"/>
    <w:link w:val="Heading5"/>
    <w:uiPriority w:val="9"/>
    <w:semiHidden/>
    <w:rsid w:val="00D105E9"/>
    <w:rPr>
      <w:rFonts w:asciiTheme="majorHAnsi" w:eastAsiaTheme="majorEastAsia" w:hAnsiTheme="majorHAnsi" w:cstheme="majorBidi"/>
      <w:color w:val="243F60" w:themeColor="accent1" w:themeShade="7F"/>
      <w:lang w:val="es-ES_tradnl"/>
    </w:rPr>
  </w:style>
  <w:style w:type="character" w:customStyle="1" w:styleId="Heading6Char">
    <w:name w:val="Heading 6 Char"/>
    <w:basedOn w:val="DefaultParagraphFont"/>
    <w:link w:val="Heading6"/>
    <w:uiPriority w:val="9"/>
    <w:semiHidden/>
    <w:rsid w:val="00D105E9"/>
    <w:rPr>
      <w:rFonts w:asciiTheme="majorHAnsi" w:eastAsiaTheme="majorEastAsia" w:hAnsiTheme="majorHAnsi" w:cstheme="majorBidi"/>
      <w:i/>
      <w:iCs/>
      <w:color w:val="243F60" w:themeColor="accent1" w:themeShade="7F"/>
      <w:lang w:val="es-ES_tradnl"/>
    </w:rPr>
  </w:style>
  <w:style w:type="character" w:customStyle="1" w:styleId="Heading7Char">
    <w:name w:val="Heading 7 Char"/>
    <w:basedOn w:val="DefaultParagraphFont"/>
    <w:link w:val="Heading7"/>
    <w:uiPriority w:val="9"/>
    <w:semiHidden/>
    <w:rsid w:val="00D105E9"/>
    <w:rPr>
      <w:rFonts w:asciiTheme="majorHAnsi" w:eastAsiaTheme="majorEastAsia" w:hAnsiTheme="majorHAnsi" w:cstheme="majorBidi"/>
      <w:i/>
      <w:iCs/>
      <w:color w:val="404040" w:themeColor="text1" w:themeTint="BF"/>
      <w:lang w:val="es-ES_tradnl"/>
    </w:rPr>
  </w:style>
  <w:style w:type="character" w:customStyle="1" w:styleId="Heading8Char">
    <w:name w:val="Heading 8 Char"/>
    <w:basedOn w:val="DefaultParagraphFont"/>
    <w:link w:val="Heading8"/>
    <w:uiPriority w:val="9"/>
    <w:semiHidden/>
    <w:rsid w:val="00D105E9"/>
    <w:rPr>
      <w:rFonts w:asciiTheme="majorHAnsi" w:eastAsiaTheme="majorEastAsia" w:hAnsiTheme="majorHAnsi" w:cstheme="majorBidi"/>
      <w:color w:val="404040" w:themeColor="text1" w:themeTint="BF"/>
      <w:sz w:val="20"/>
      <w:szCs w:val="20"/>
      <w:lang w:val="es-ES_tradnl"/>
    </w:rPr>
  </w:style>
  <w:style w:type="character" w:customStyle="1" w:styleId="Heading9Char">
    <w:name w:val="Heading 9 Char"/>
    <w:basedOn w:val="DefaultParagraphFont"/>
    <w:link w:val="Heading9"/>
    <w:uiPriority w:val="9"/>
    <w:semiHidden/>
    <w:rsid w:val="00D105E9"/>
    <w:rPr>
      <w:rFonts w:asciiTheme="majorHAnsi" w:eastAsiaTheme="majorEastAsia" w:hAnsiTheme="majorHAnsi" w:cstheme="majorBidi"/>
      <w:i/>
      <w:iCs/>
      <w:color w:val="404040" w:themeColor="text1" w:themeTint="BF"/>
      <w:sz w:val="20"/>
      <w:szCs w:val="20"/>
      <w:lang w:val="es-ES_tradnl"/>
    </w:rPr>
  </w:style>
  <w:style w:type="paragraph" w:styleId="NoSpacing">
    <w:name w:val="No Spacing"/>
    <w:link w:val="NoSpacingChar"/>
    <w:uiPriority w:val="1"/>
    <w:qFormat/>
    <w:rsid w:val="009C134C"/>
    <w:pPr>
      <w:widowControl/>
      <w:spacing w:after="0" w:line="240" w:lineRule="auto"/>
    </w:pPr>
    <w:rPr>
      <w:rFonts w:eastAsiaTheme="minorEastAsia"/>
    </w:rPr>
  </w:style>
  <w:style w:type="character" w:customStyle="1" w:styleId="NoSpacingChar">
    <w:name w:val="No Spacing Char"/>
    <w:basedOn w:val="DefaultParagraphFont"/>
    <w:link w:val="NoSpacing"/>
    <w:uiPriority w:val="1"/>
    <w:rsid w:val="009C134C"/>
    <w:rPr>
      <w:rFonts w:eastAsiaTheme="minorEastAsia"/>
    </w:rPr>
  </w:style>
  <w:style w:type="paragraph" w:styleId="PlainText">
    <w:name w:val="Plain Text"/>
    <w:basedOn w:val="Normal"/>
    <w:link w:val="PlainTextChar"/>
    <w:uiPriority w:val="99"/>
    <w:rsid w:val="00C26F14"/>
    <w:pPr>
      <w:widowControl/>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C26F14"/>
    <w:rPr>
      <w:rFonts w:ascii="Courier New" w:eastAsia="Times New Roman" w:hAnsi="Courier New" w:cs="Courier New"/>
      <w:sz w:val="20"/>
      <w:szCs w:val="20"/>
    </w:rPr>
  </w:style>
  <w:style w:type="paragraph" w:customStyle="1" w:styleId="HeadingRunIn">
    <w:name w:val="HeadingRunIn"/>
    <w:next w:val="Normal"/>
    <w:rsid w:val="00963F1D"/>
    <w:pPr>
      <w:keepNext/>
      <w:widowControl/>
      <w:autoSpaceDE w:val="0"/>
      <w:autoSpaceDN w:val="0"/>
      <w:adjustRightInd w:val="0"/>
      <w:spacing w:before="120" w:after="0" w:line="280" w:lineRule="atLeast"/>
    </w:pPr>
    <w:rPr>
      <w:rFonts w:ascii="Times New Roman" w:hAnsi="Times New Roman" w:cs="Times New Roman"/>
      <w:b/>
      <w:bCs/>
      <w:color w:val="000000"/>
      <w:w w:val="0"/>
      <w:sz w:val="24"/>
      <w:szCs w:val="24"/>
    </w:rPr>
  </w:style>
  <w:style w:type="paragraph" w:styleId="ListBullet">
    <w:name w:val="List Bullet"/>
    <w:basedOn w:val="Normal"/>
    <w:autoRedefine/>
    <w:semiHidden/>
    <w:rsid w:val="00885766"/>
    <w:pPr>
      <w:widowControl/>
      <w:numPr>
        <w:numId w:val="2"/>
      </w:numPr>
      <w:spacing w:after="0" w:line="240" w:lineRule="auto"/>
    </w:pPr>
    <w:rPr>
      <w:rFonts w:ascii="Arial" w:eastAsia="Times New Roman" w:hAnsi="Arial" w:cs="Times New Roman"/>
      <w:sz w:val="24"/>
      <w:szCs w:val="20"/>
    </w:rPr>
  </w:style>
  <w:style w:type="paragraph" w:customStyle="1" w:styleId="Style1">
    <w:name w:val="Style1"/>
    <w:basedOn w:val="ListParagraph"/>
    <w:qFormat/>
    <w:rsid w:val="00885766"/>
    <w:pPr>
      <w:numPr>
        <w:numId w:val="3"/>
      </w:numPr>
      <w:spacing w:after="0" w:line="240" w:lineRule="auto"/>
      <w:ind w:firstLine="0"/>
      <w:contextualSpacing w:val="0"/>
    </w:pPr>
    <w:rPr>
      <w:rFonts w:ascii="Arial" w:eastAsia="Times New Roman" w:hAnsi="Arial" w:cs="Times New Roman"/>
      <w:sz w:val="24"/>
      <w:szCs w:val="20"/>
    </w:rPr>
  </w:style>
  <w:style w:type="character" w:customStyle="1" w:styleId="longtext">
    <w:name w:val="long_text"/>
    <w:basedOn w:val="DefaultParagraphFont"/>
    <w:rsid w:val="0024550B"/>
  </w:style>
  <w:style w:type="character" w:customStyle="1" w:styleId="hps">
    <w:name w:val="hps"/>
    <w:basedOn w:val="DefaultParagraphFont"/>
    <w:rsid w:val="0024550B"/>
  </w:style>
  <w:style w:type="paragraph" w:styleId="FootnoteText">
    <w:name w:val="footnote text"/>
    <w:aliases w:val="fn,footnote,Footnote Text Char Char Char,Footnote Text Char Char Char Char Char Char Char,Footnote Text Char Char Char Char Char,Footnote Text Char Char Char Char Char Char,Footnote Text Char Char Char Char Ch Char,Footnote Text Char1 Cha"/>
    <w:basedOn w:val="Normal"/>
    <w:link w:val="FootnoteTextChar"/>
    <w:unhideWhenUsed/>
    <w:rsid w:val="00C42E44"/>
    <w:pPr>
      <w:widowControl/>
      <w:spacing w:after="0" w:line="240" w:lineRule="auto"/>
    </w:pPr>
    <w:rPr>
      <w:rFonts w:ascii="Calibri" w:eastAsia="Times New Roman" w:hAnsi="Calibri" w:cs="Times New Roman"/>
      <w:sz w:val="20"/>
      <w:szCs w:val="20"/>
      <w:lang w:val="nb-NO" w:eastAsia="nb-NO"/>
    </w:rPr>
  </w:style>
  <w:style w:type="character" w:customStyle="1" w:styleId="FootnoteTextChar">
    <w:name w:val="Footnote Text Char"/>
    <w:aliases w:val="fn Char,footnote Char,Footnote Text Char Char Char Char,Footnote Text Char Char Char Char Char Char Char Char,Footnote Text Char Char Char Char Char Char1,Footnote Text Char Char Char Char Char Char Char1,Footnote Text Char1 Cha Char"/>
    <w:basedOn w:val="DefaultParagraphFont"/>
    <w:link w:val="FootnoteText"/>
    <w:rsid w:val="00C42E44"/>
    <w:rPr>
      <w:rFonts w:ascii="Calibri" w:eastAsia="Times New Roman" w:hAnsi="Calibri" w:cs="Times New Roman"/>
      <w:sz w:val="20"/>
      <w:szCs w:val="20"/>
      <w:lang w:val="nb-NO" w:eastAsia="nb-NO"/>
    </w:rPr>
  </w:style>
  <w:style w:type="character" w:styleId="FootnoteReference">
    <w:name w:val="footnote reference"/>
    <w:aliases w:val="BVI fnr,ftref,referencia nota al pie,FC"/>
    <w:unhideWhenUsed/>
    <w:rsid w:val="00C42E44"/>
    <w:rPr>
      <w:vertAlign w:val="superscript"/>
    </w:rPr>
  </w:style>
  <w:style w:type="paragraph" w:styleId="Title">
    <w:name w:val="Title"/>
    <w:basedOn w:val="Normal"/>
    <w:next w:val="Normal"/>
    <w:link w:val="TitleChar"/>
    <w:uiPriority w:val="10"/>
    <w:qFormat/>
    <w:rsid w:val="000047A3"/>
    <w:pPr>
      <w:numPr>
        <w:numId w:val="4"/>
      </w:numPr>
      <w:pBdr>
        <w:bottom w:val="single" w:sz="8" w:space="4" w:color="4F81BD" w:themeColor="accent1"/>
      </w:pBdr>
      <w:spacing w:after="300" w:line="240" w:lineRule="auto"/>
      <w:contextualSpacing/>
    </w:pPr>
    <w:rPr>
      <w:rFonts w:eastAsia="Tahoma" w:cstheme="majorBidi"/>
      <w:color w:val="365F91" w:themeColor="accent1" w:themeShade="BF"/>
      <w:spacing w:val="-3"/>
      <w:kern w:val="28"/>
      <w:sz w:val="52"/>
      <w:szCs w:val="52"/>
      <w:lang w:val="es-CO"/>
    </w:rPr>
  </w:style>
  <w:style w:type="character" w:customStyle="1" w:styleId="TitleChar">
    <w:name w:val="Title Char"/>
    <w:basedOn w:val="DefaultParagraphFont"/>
    <w:link w:val="Title"/>
    <w:uiPriority w:val="10"/>
    <w:rsid w:val="000047A3"/>
    <w:rPr>
      <w:rFonts w:eastAsia="Tahoma" w:cstheme="majorBidi"/>
      <w:color w:val="365F91" w:themeColor="accent1" w:themeShade="BF"/>
      <w:spacing w:val="-3"/>
      <w:kern w:val="28"/>
      <w:sz w:val="52"/>
      <w:szCs w:val="52"/>
      <w:lang w:val="es-CO"/>
    </w:rPr>
  </w:style>
  <w:style w:type="paragraph" w:customStyle="1" w:styleId="Default">
    <w:name w:val="Default"/>
    <w:uiPriority w:val="99"/>
    <w:rsid w:val="008B4E3E"/>
    <w:pPr>
      <w:widowControl/>
      <w:autoSpaceDE w:val="0"/>
      <w:autoSpaceDN w:val="0"/>
      <w:adjustRightInd w:val="0"/>
      <w:spacing w:after="0" w:line="240" w:lineRule="auto"/>
    </w:pPr>
    <w:rPr>
      <w:rFonts w:ascii="Times New Roman" w:eastAsiaTheme="minorEastAsia" w:hAnsi="Times New Roman" w:cs="Times New Roman"/>
      <w:color w:val="000000"/>
      <w:sz w:val="24"/>
      <w:szCs w:val="24"/>
      <w:lang w:val="es-MX" w:eastAsia="es-MX"/>
    </w:rPr>
  </w:style>
  <w:style w:type="paragraph" w:customStyle="1" w:styleId="Heading1a">
    <w:name w:val="Heading 1a"/>
    <w:basedOn w:val="Normal"/>
    <w:next w:val="Normal"/>
    <w:rsid w:val="00D30DA7"/>
    <w:pPr>
      <w:keepNext/>
      <w:keepLines/>
      <w:widowControl/>
      <w:numPr>
        <w:numId w:val="5"/>
      </w:numPr>
      <w:spacing w:before="1440" w:after="240" w:line="240" w:lineRule="auto"/>
      <w:jc w:val="center"/>
      <w:outlineLvl w:val="0"/>
    </w:pPr>
    <w:rPr>
      <w:rFonts w:ascii="Times New Roman" w:eastAsia="Times New Roman" w:hAnsi="Times New Roman" w:cs="Times New Roman"/>
      <w:b/>
      <w:caps/>
      <w:sz w:val="32"/>
      <w:szCs w:val="24"/>
    </w:rPr>
  </w:style>
  <w:style w:type="paragraph" w:customStyle="1" w:styleId="MainParanoChapter">
    <w:name w:val="Main Para no Chapter #"/>
    <w:basedOn w:val="Normal"/>
    <w:rsid w:val="00D30DA7"/>
    <w:pPr>
      <w:widowControl/>
      <w:numPr>
        <w:ilvl w:val="1"/>
        <w:numId w:val="5"/>
      </w:numPr>
      <w:spacing w:after="240" w:line="240" w:lineRule="auto"/>
      <w:jc w:val="both"/>
      <w:outlineLvl w:val="1"/>
    </w:pPr>
    <w:rPr>
      <w:rFonts w:ascii="Times New Roman" w:eastAsia="Times New Roman" w:hAnsi="Times New Roman" w:cs="Times New Roman"/>
      <w:sz w:val="24"/>
      <w:szCs w:val="24"/>
    </w:rPr>
  </w:style>
  <w:style w:type="paragraph" w:customStyle="1" w:styleId="Sub-Para1underX">
    <w:name w:val="Sub-Para 1 under X."/>
    <w:basedOn w:val="Normal"/>
    <w:rsid w:val="00D30DA7"/>
    <w:pPr>
      <w:widowControl/>
      <w:numPr>
        <w:ilvl w:val="2"/>
        <w:numId w:val="5"/>
      </w:numPr>
      <w:spacing w:after="120" w:line="240" w:lineRule="auto"/>
      <w:jc w:val="both"/>
      <w:outlineLvl w:val="2"/>
    </w:pPr>
    <w:rPr>
      <w:rFonts w:ascii="Times New Roman" w:eastAsia="Times New Roman" w:hAnsi="Times New Roman" w:cs="Times New Roman"/>
      <w:sz w:val="24"/>
      <w:szCs w:val="24"/>
    </w:rPr>
  </w:style>
  <w:style w:type="paragraph" w:customStyle="1" w:styleId="Sub-Para2underX">
    <w:name w:val="Sub-Para 2 under X."/>
    <w:basedOn w:val="Normal"/>
    <w:rsid w:val="00D30DA7"/>
    <w:pPr>
      <w:widowControl/>
      <w:numPr>
        <w:ilvl w:val="3"/>
        <w:numId w:val="5"/>
      </w:numPr>
      <w:spacing w:after="240" w:line="240" w:lineRule="auto"/>
      <w:outlineLvl w:val="3"/>
    </w:pPr>
    <w:rPr>
      <w:rFonts w:ascii="Times New Roman" w:eastAsia="Times New Roman" w:hAnsi="Times New Roman" w:cs="Times New Roman"/>
      <w:sz w:val="24"/>
      <w:szCs w:val="24"/>
    </w:rPr>
  </w:style>
  <w:style w:type="paragraph" w:customStyle="1" w:styleId="Sub-Para3underX">
    <w:name w:val="Sub-Para 3 under X."/>
    <w:basedOn w:val="Normal"/>
    <w:rsid w:val="00D30DA7"/>
    <w:pPr>
      <w:widowControl/>
      <w:numPr>
        <w:ilvl w:val="4"/>
        <w:numId w:val="5"/>
      </w:numPr>
      <w:spacing w:after="240" w:line="240" w:lineRule="auto"/>
      <w:outlineLvl w:val="4"/>
    </w:pPr>
    <w:rPr>
      <w:rFonts w:ascii="Times New Roman" w:eastAsia="Times New Roman" w:hAnsi="Times New Roman" w:cs="Times New Roman"/>
      <w:sz w:val="24"/>
      <w:szCs w:val="24"/>
    </w:rPr>
  </w:style>
  <w:style w:type="paragraph" w:customStyle="1" w:styleId="Sub-Para4underX">
    <w:name w:val="Sub-Para 4 under X."/>
    <w:basedOn w:val="Normal"/>
    <w:rsid w:val="00D30DA7"/>
    <w:pPr>
      <w:widowControl/>
      <w:numPr>
        <w:ilvl w:val="5"/>
        <w:numId w:val="5"/>
      </w:numPr>
      <w:spacing w:after="240" w:line="240" w:lineRule="auto"/>
      <w:outlineLvl w:val="5"/>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locked/>
    <w:rsid w:val="006B5A38"/>
    <w:rPr>
      <w:rFonts w:eastAsiaTheme="minorEastAsia"/>
    </w:rPr>
  </w:style>
  <w:style w:type="paragraph" w:styleId="EndnoteText">
    <w:name w:val="endnote text"/>
    <w:basedOn w:val="Normal"/>
    <w:link w:val="EndnoteTextChar"/>
    <w:semiHidden/>
    <w:unhideWhenUsed/>
    <w:rsid w:val="00BE0920"/>
    <w:pPr>
      <w:widowControl/>
      <w:spacing w:after="0" w:line="240" w:lineRule="auto"/>
    </w:pPr>
    <w:rPr>
      <w:rFonts w:ascii="Courier New" w:eastAsia="Times New Roman" w:hAnsi="Courier New" w:cs="Times New Roman"/>
      <w:sz w:val="20"/>
      <w:szCs w:val="20"/>
    </w:rPr>
  </w:style>
  <w:style w:type="character" w:customStyle="1" w:styleId="EndnoteTextChar">
    <w:name w:val="Endnote Text Char"/>
    <w:basedOn w:val="DefaultParagraphFont"/>
    <w:link w:val="EndnoteText"/>
    <w:semiHidden/>
    <w:rsid w:val="00BE0920"/>
    <w:rPr>
      <w:rFonts w:ascii="Courier New" w:eastAsia="Times New Roman" w:hAnsi="Courier New" w:cs="Times New Roman"/>
      <w:sz w:val="20"/>
      <w:szCs w:val="20"/>
      <w:lang w:val="es-ES_tradnl"/>
    </w:rPr>
  </w:style>
  <w:style w:type="character" w:customStyle="1" w:styleId="apple-converted-space">
    <w:name w:val="apple-converted-space"/>
    <w:basedOn w:val="DefaultParagraphFont"/>
    <w:rsid w:val="00761D59"/>
  </w:style>
  <w:style w:type="paragraph" w:customStyle="1" w:styleId="Normaltabletext">
    <w:name w:val="Normal table text"/>
    <w:basedOn w:val="Normal"/>
    <w:qFormat/>
    <w:rsid w:val="00B25490"/>
    <w:pPr>
      <w:widowControl/>
      <w:spacing w:after="120" w:line="240" w:lineRule="auto"/>
      <w:jc w:val="both"/>
    </w:pPr>
    <w:rPr>
      <w:rFonts w:eastAsiaTheme="minorEastAsia"/>
      <w:sz w:val="20"/>
      <w:szCs w:val="20"/>
      <w:lang w:val="en-GB" w:eastAsia="zh-TW"/>
    </w:rPr>
  </w:style>
  <w:style w:type="character" w:styleId="CommentReference">
    <w:name w:val="annotation reference"/>
    <w:uiPriority w:val="99"/>
    <w:semiHidden/>
    <w:unhideWhenUsed/>
    <w:rsid w:val="00720E42"/>
    <w:rPr>
      <w:sz w:val="16"/>
      <w:szCs w:val="16"/>
    </w:rPr>
  </w:style>
  <w:style w:type="paragraph" w:styleId="CommentText">
    <w:name w:val="annotation text"/>
    <w:basedOn w:val="Normal"/>
    <w:link w:val="CommentTextChar"/>
    <w:uiPriority w:val="99"/>
    <w:unhideWhenUsed/>
    <w:rsid w:val="000C2474"/>
    <w:pPr>
      <w:widowControl/>
      <w:spacing w:after="0" w:line="240" w:lineRule="auto"/>
    </w:pPr>
    <w:rPr>
      <w:rFonts w:ascii="Times New Roman" w:eastAsia="Times New Roman" w:hAnsi="Times New Roman" w:cs="Times New Roman"/>
      <w:sz w:val="20"/>
      <w:szCs w:val="20"/>
      <w:lang w:val="es-ES" w:eastAsia="es-ES"/>
    </w:rPr>
  </w:style>
  <w:style w:type="character" w:customStyle="1" w:styleId="CommentTextChar">
    <w:name w:val="Comment Text Char"/>
    <w:basedOn w:val="DefaultParagraphFont"/>
    <w:link w:val="CommentText"/>
    <w:uiPriority w:val="99"/>
    <w:rsid w:val="000C2474"/>
    <w:rPr>
      <w:rFonts w:ascii="Times New Roman" w:eastAsia="Times New Roman" w:hAnsi="Times New Roman" w:cs="Times New Roman"/>
      <w:sz w:val="20"/>
      <w:szCs w:val="20"/>
      <w:lang w:val="es-ES" w:eastAsia="es-ES"/>
    </w:rPr>
  </w:style>
  <w:style w:type="paragraph" w:styleId="CommentSubject">
    <w:name w:val="annotation subject"/>
    <w:basedOn w:val="CommentText"/>
    <w:next w:val="CommentText"/>
    <w:link w:val="CommentSubjectChar"/>
    <w:uiPriority w:val="99"/>
    <w:semiHidden/>
    <w:unhideWhenUsed/>
    <w:rsid w:val="00BE2C2D"/>
    <w:rPr>
      <w:b/>
      <w:bCs/>
    </w:rPr>
  </w:style>
  <w:style w:type="character" w:customStyle="1" w:styleId="CommentSubjectChar">
    <w:name w:val="Comment Subject Char"/>
    <w:basedOn w:val="CommentTextChar"/>
    <w:link w:val="CommentSubject"/>
    <w:uiPriority w:val="99"/>
    <w:semiHidden/>
    <w:rsid w:val="00BE2C2D"/>
    <w:rPr>
      <w:rFonts w:ascii="Times New Roman" w:eastAsia="Times New Roman" w:hAnsi="Times New Roman" w:cs="Times New Roman"/>
      <w:b/>
      <w:bCs/>
      <w:sz w:val="20"/>
      <w:szCs w:val="20"/>
      <w:lang w:val="es-ES" w:eastAsia="es-ES"/>
    </w:rPr>
  </w:style>
  <w:style w:type="paragraph" w:customStyle="1" w:styleId="Normal1">
    <w:name w:val="Normal1"/>
    <w:rsid w:val="0059560D"/>
    <w:pPr>
      <w:widowControl/>
    </w:pPr>
    <w:rPr>
      <w:rFonts w:ascii="Calibri" w:eastAsia="Calibri" w:hAnsi="Calibri" w:cs="Calibri"/>
      <w:color w:val="000000"/>
      <w:szCs w:val="20"/>
      <w:lang w:val="es-CO" w:eastAsia="es-ES"/>
    </w:rPr>
  </w:style>
  <w:style w:type="paragraph" w:customStyle="1" w:styleId="Text">
    <w:name w:val="•Text"/>
    <w:basedOn w:val="Normal"/>
    <w:next w:val="Normal"/>
    <w:uiPriority w:val="99"/>
    <w:rsid w:val="005F7F89"/>
    <w:pPr>
      <w:widowControl/>
      <w:autoSpaceDE w:val="0"/>
      <w:autoSpaceDN w:val="0"/>
      <w:adjustRightInd w:val="0"/>
      <w:spacing w:after="0" w:line="240" w:lineRule="auto"/>
    </w:pPr>
    <w:rPr>
      <w:rFonts w:ascii="Times New Roman" w:hAnsi="Times New Roman" w:cs="Times New Roman"/>
      <w:sz w:val="24"/>
      <w:szCs w:val="24"/>
    </w:rPr>
  </w:style>
  <w:style w:type="paragraph" w:styleId="Revision">
    <w:name w:val="Revision"/>
    <w:hidden/>
    <w:uiPriority w:val="99"/>
    <w:semiHidden/>
    <w:rsid w:val="00D774E2"/>
    <w:pPr>
      <w:widowControl/>
      <w:spacing w:after="0" w:line="240" w:lineRule="auto"/>
    </w:pPr>
  </w:style>
  <w:style w:type="paragraph" w:customStyle="1" w:styleId="ColorfulList-Accent11">
    <w:name w:val="Colorful List - Accent 11"/>
    <w:basedOn w:val="Normal"/>
    <w:link w:val="ColorfulList-Accent1Char"/>
    <w:uiPriority w:val="34"/>
    <w:qFormat/>
    <w:rsid w:val="004076D9"/>
    <w:pPr>
      <w:widowControl/>
      <w:ind w:left="720"/>
      <w:contextualSpacing/>
      <w:jc w:val="both"/>
    </w:pPr>
    <w:rPr>
      <w:rFonts w:ascii="Calibri" w:eastAsia="Times New Roman" w:hAnsi="Calibri" w:cs="Times New Roman"/>
      <w:lang w:val="x-none"/>
    </w:rPr>
  </w:style>
  <w:style w:type="character" w:customStyle="1" w:styleId="ColorfulList-Accent1Char">
    <w:name w:val="Colorful List - Accent 1 Char"/>
    <w:link w:val="ColorfulList-Accent11"/>
    <w:uiPriority w:val="34"/>
    <w:rsid w:val="004076D9"/>
    <w:rPr>
      <w:rFonts w:ascii="Calibri" w:eastAsia="Times New Roman" w:hAnsi="Calibri" w:cs="Times New Roman"/>
      <w:lang w:val="x-none"/>
    </w:rPr>
  </w:style>
  <w:style w:type="paragraph" w:styleId="TOC4">
    <w:name w:val="toc 4"/>
    <w:basedOn w:val="Normal"/>
    <w:next w:val="Normal"/>
    <w:autoRedefine/>
    <w:uiPriority w:val="39"/>
    <w:unhideWhenUsed/>
    <w:rsid w:val="00C5695E"/>
    <w:pPr>
      <w:spacing w:after="0"/>
      <w:ind w:left="660"/>
    </w:pPr>
    <w:rPr>
      <w:sz w:val="18"/>
      <w:szCs w:val="18"/>
    </w:rPr>
  </w:style>
  <w:style w:type="paragraph" w:styleId="TOC5">
    <w:name w:val="toc 5"/>
    <w:basedOn w:val="Normal"/>
    <w:next w:val="Normal"/>
    <w:autoRedefine/>
    <w:uiPriority w:val="39"/>
    <w:unhideWhenUsed/>
    <w:rsid w:val="00C5695E"/>
    <w:pPr>
      <w:spacing w:after="0"/>
      <w:ind w:left="880"/>
    </w:pPr>
    <w:rPr>
      <w:sz w:val="18"/>
      <w:szCs w:val="18"/>
    </w:rPr>
  </w:style>
  <w:style w:type="paragraph" w:styleId="TOC6">
    <w:name w:val="toc 6"/>
    <w:basedOn w:val="Normal"/>
    <w:next w:val="Normal"/>
    <w:autoRedefine/>
    <w:uiPriority w:val="39"/>
    <w:unhideWhenUsed/>
    <w:rsid w:val="00C5695E"/>
    <w:pPr>
      <w:spacing w:after="0"/>
      <w:ind w:left="1100"/>
    </w:pPr>
    <w:rPr>
      <w:sz w:val="18"/>
      <w:szCs w:val="18"/>
    </w:rPr>
  </w:style>
  <w:style w:type="paragraph" w:styleId="TOC7">
    <w:name w:val="toc 7"/>
    <w:basedOn w:val="Normal"/>
    <w:next w:val="Normal"/>
    <w:autoRedefine/>
    <w:uiPriority w:val="39"/>
    <w:unhideWhenUsed/>
    <w:rsid w:val="00C5695E"/>
    <w:pPr>
      <w:spacing w:after="0"/>
      <w:ind w:left="1320"/>
    </w:pPr>
    <w:rPr>
      <w:sz w:val="18"/>
      <w:szCs w:val="18"/>
    </w:rPr>
  </w:style>
  <w:style w:type="paragraph" w:styleId="TOC8">
    <w:name w:val="toc 8"/>
    <w:basedOn w:val="Normal"/>
    <w:next w:val="Normal"/>
    <w:autoRedefine/>
    <w:uiPriority w:val="39"/>
    <w:unhideWhenUsed/>
    <w:rsid w:val="00C5695E"/>
    <w:pPr>
      <w:spacing w:after="0"/>
      <w:ind w:left="1540"/>
    </w:pPr>
    <w:rPr>
      <w:sz w:val="18"/>
      <w:szCs w:val="18"/>
    </w:rPr>
  </w:style>
  <w:style w:type="paragraph" w:styleId="TOC9">
    <w:name w:val="toc 9"/>
    <w:basedOn w:val="Normal"/>
    <w:next w:val="Normal"/>
    <w:autoRedefine/>
    <w:uiPriority w:val="39"/>
    <w:unhideWhenUsed/>
    <w:rsid w:val="00C5695E"/>
    <w:pPr>
      <w:spacing w:after="0"/>
      <w:ind w:left="1760"/>
    </w:pPr>
    <w:rPr>
      <w:sz w:val="18"/>
      <w:szCs w:val="18"/>
    </w:rPr>
  </w:style>
  <w:style w:type="character" w:styleId="PageNumber">
    <w:name w:val="page number"/>
    <w:basedOn w:val="DefaultParagraphFont"/>
    <w:uiPriority w:val="99"/>
    <w:semiHidden/>
    <w:unhideWhenUsed/>
    <w:rsid w:val="005E54E6"/>
  </w:style>
  <w:style w:type="paragraph" w:styleId="DocumentMap">
    <w:name w:val="Document Map"/>
    <w:basedOn w:val="Normal"/>
    <w:link w:val="DocumentMapChar"/>
    <w:uiPriority w:val="99"/>
    <w:semiHidden/>
    <w:unhideWhenUsed/>
    <w:rsid w:val="00D04F59"/>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D04F59"/>
    <w:rPr>
      <w:rFonts w:ascii="Lucida Grande" w:hAnsi="Lucida Grande" w:cs="Lucida Grande"/>
      <w:sz w:val="24"/>
      <w:szCs w:val="24"/>
      <w:lang w:val="es-ES_tradnl"/>
    </w:rPr>
  </w:style>
  <w:style w:type="character" w:styleId="FollowedHyperlink">
    <w:name w:val="FollowedHyperlink"/>
    <w:basedOn w:val="DefaultParagraphFont"/>
    <w:uiPriority w:val="99"/>
    <w:semiHidden/>
    <w:unhideWhenUsed/>
    <w:rsid w:val="0023320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endnote text"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rPr>
      <w:lang w:val="es-ES_tradnl"/>
    </w:rPr>
  </w:style>
  <w:style w:type="paragraph" w:styleId="Heading1">
    <w:name w:val="heading 1"/>
    <w:basedOn w:val="Normal"/>
    <w:link w:val="Heading1Char"/>
    <w:uiPriority w:val="9"/>
    <w:qFormat/>
    <w:rsid w:val="00F50592"/>
    <w:pPr>
      <w:widowControl/>
      <w:numPr>
        <w:ilvl w:val="1"/>
        <w:numId w:val="16"/>
      </w:numPr>
      <w:spacing w:after="0" w:line="264" w:lineRule="auto"/>
      <w:outlineLvl w:val="0"/>
    </w:pPr>
    <w:rPr>
      <w:rFonts w:eastAsia="Calibri" w:cs="Times New Roman"/>
      <w:b/>
      <w:bCs/>
      <w:noProof/>
      <w:spacing w:val="-10"/>
      <w:kern w:val="36"/>
      <w:sz w:val="32"/>
      <w:szCs w:val="32"/>
    </w:rPr>
  </w:style>
  <w:style w:type="paragraph" w:styleId="Heading2">
    <w:name w:val="heading 2"/>
    <w:basedOn w:val="Normal"/>
    <w:next w:val="Normal"/>
    <w:link w:val="Heading2Char"/>
    <w:uiPriority w:val="9"/>
    <w:unhideWhenUsed/>
    <w:qFormat/>
    <w:rsid w:val="00AF060B"/>
    <w:pPr>
      <w:keepNext/>
      <w:keepLines/>
      <w:numPr>
        <w:numId w:val="19"/>
      </w:numPr>
      <w:spacing w:before="200" w:after="0"/>
      <w:outlineLvl w:val="1"/>
    </w:pPr>
    <w:rPr>
      <w:rFonts w:eastAsiaTheme="majorEastAsia" w:cstheme="majorBidi"/>
      <w:b/>
      <w:bCs/>
      <w:sz w:val="24"/>
      <w:szCs w:val="24"/>
    </w:rPr>
  </w:style>
  <w:style w:type="paragraph" w:styleId="Heading3">
    <w:name w:val="heading 3"/>
    <w:basedOn w:val="Normal"/>
    <w:next w:val="Normal"/>
    <w:link w:val="Heading3Char"/>
    <w:uiPriority w:val="9"/>
    <w:unhideWhenUsed/>
    <w:qFormat/>
    <w:rsid w:val="000F0D6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105E9"/>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105E9"/>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105E9"/>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105E9"/>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105E9"/>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105E9"/>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62CCE"/>
    <w:pPr>
      <w:tabs>
        <w:tab w:val="center" w:pos="4680"/>
        <w:tab w:val="right" w:pos="9360"/>
      </w:tabs>
      <w:spacing w:after="0" w:line="240" w:lineRule="auto"/>
    </w:pPr>
  </w:style>
  <w:style w:type="character" w:customStyle="1" w:styleId="HeaderChar">
    <w:name w:val="Header Char"/>
    <w:basedOn w:val="DefaultParagraphFont"/>
    <w:link w:val="Header"/>
    <w:rsid w:val="00D62CCE"/>
  </w:style>
  <w:style w:type="paragraph" w:styleId="Footer">
    <w:name w:val="footer"/>
    <w:basedOn w:val="Normal"/>
    <w:link w:val="FooterChar"/>
    <w:uiPriority w:val="99"/>
    <w:unhideWhenUsed/>
    <w:rsid w:val="00D62C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2CCE"/>
  </w:style>
  <w:style w:type="paragraph" w:styleId="BalloonText">
    <w:name w:val="Balloon Text"/>
    <w:basedOn w:val="Normal"/>
    <w:link w:val="BalloonTextChar"/>
    <w:uiPriority w:val="99"/>
    <w:unhideWhenUsed/>
    <w:rsid w:val="00D62C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62CCE"/>
    <w:rPr>
      <w:rFonts w:ascii="Tahoma" w:hAnsi="Tahoma" w:cs="Tahoma"/>
      <w:sz w:val="16"/>
      <w:szCs w:val="16"/>
    </w:rPr>
  </w:style>
  <w:style w:type="character" w:styleId="Hyperlink">
    <w:name w:val="Hyperlink"/>
    <w:basedOn w:val="DefaultParagraphFont"/>
    <w:uiPriority w:val="99"/>
    <w:unhideWhenUsed/>
    <w:rsid w:val="006F0D98"/>
    <w:rPr>
      <w:color w:val="0000FF" w:themeColor="hyperlink"/>
      <w:u w:val="single"/>
    </w:rPr>
  </w:style>
  <w:style w:type="paragraph" w:styleId="ListParagraph">
    <w:name w:val="List Paragraph"/>
    <w:basedOn w:val="Normal"/>
    <w:link w:val="ListParagraphChar"/>
    <w:uiPriority w:val="34"/>
    <w:qFormat/>
    <w:rsid w:val="004D43FB"/>
    <w:pPr>
      <w:widowControl/>
      <w:ind w:left="720"/>
      <w:contextualSpacing/>
    </w:pPr>
    <w:rPr>
      <w:rFonts w:eastAsiaTheme="minorEastAsia"/>
    </w:rPr>
  </w:style>
  <w:style w:type="character" w:customStyle="1" w:styleId="Heading1Char">
    <w:name w:val="Heading 1 Char"/>
    <w:basedOn w:val="DefaultParagraphFont"/>
    <w:link w:val="Heading1"/>
    <w:uiPriority w:val="9"/>
    <w:rsid w:val="00F50592"/>
    <w:rPr>
      <w:rFonts w:eastAsia="Calibri" w:cs="Times New Roman"/>
      <w:b/>
      <w:bCs/>
      <w:noProof/>
      <w:spacing w:val="-10"/>
      <w:kern w:val="36"/>
      <w:sz w:val="32"/>
      <w:szCs w:val="32"/>
      <w:lang w:val="es-ES_tradnl"/>
    </w:rPr>
  </w:style>
  <w:style w:type="character" w:styleId="Strong">
    <w:name w:val="Strong"/>
    <w:basedOn w:val="DefaultParagraphFont"/>
    <w:uiPriority w:val="22"/>
    <w:qFormat/>
    <w:rsid w:val="009A50B8"/>
    <w:rPr>
      <w:b/>
      <w:bCs/>
    </w:rPr>
  </w:style>
  <w:style w:type="paragraph" w:styleId="NormalWeb">
    <w:name w:val="Normal (Web)"/>
    <w:basedOn w:val="Normal"/>
    <w:uiPriority w:val="99"/>
    <w:unhideWhenUsed/>
    <w:rsid w:val="009A50B8"/>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ia">
    <w:name w:val="dia"/>
    <w:basedOn w:val="DefaultParagraphFont"/>
    <w:rsid w:val="009A50B8"/>
  </w:style>
  <w:style w:type="character" w:customStyle="1" w:styleId="entry-title">
    <w:name w:val="entry-title"/>
    <w:basedOn w:val="DefaultParagraphFont"/>
    <w:rsid w:val="009A50B8"/>
  </w:style>
  <w:style w:type="character" w:customStyle="1" w:styleId="ttl">
    <w:name w:val="ttl"/>
    <w:basedOn w:val="DefaultParagraphFont"/>
    <w:rsid w:val="009A50B8"/>
  </w:style>
  <w:style w:type="character" w:customStyle="1" w:styleId="Heading2Char">
    <w:name w:val="Heading 2 Char"/>
    <w:basedOn w:val="DefaultParagraphFont"/>
    <w:link w:val="Heading2"/>
    <w:uiPriority w:val="9"/>
    <w:rsid w:val="00AF060B"/>
    <w:rPr>
      <w:rFonts w:eastAsiaTheme="majorEastAsia" w:cstheme="majorBidi"/>
      <w:b/>
      <w:bCs/>
      <w:sz w:val="24"/>
      <w:szCs w:val="24"/>
      <w:lang w:val="es-ES_tradnl"/>
    </w:rPr>
  </w:style>
  <w:style w:type="paragraph" w:styleId="TOCHeading">
    <w:name w:val="TOC Heading"/>
    <w:basedOn w:val="Heading1"/>
    <w:next w:val="Normal"/>
    <w:uiPriority w:val="39"/>
    <w:semiHidden/>
    <w:unhideWhenUsed/>
    <w:qFormat/>
    <w:rsid w:val="00304083"/>
    <w:pPr>
      <w:keepNext/>
      <w:keepLines/>
      <w:spacing w:before="480" w:line="276" w:lineRule="auto"/>
      <w:outlineLvl w:val="9"/>
    </w:pPr>
    <w:rPr>
      <w:rFonts w:asciiTheme="majorHAnsi" w:eastAsiaTheme="majorEastAsia" w:hAnsiTheme="majorHAnsi" w:cstheme="majorBidi"/>
      <w:color w:val="365F91" w:themeColor="accent1" w:themeShade="BF"/>
      <w:spacing w:val="0"/>
      <w:kern w:val="0"/>
      <w:sz w:val="28"/>
      <w:szCs w:val="28"/>
    </w:rPr>
  </w:style>
  <w:style w:type="paragraph" w:styleId="TOC2">
    <w:name w:val="toc 2"/>
    <w:basedOn w:val="Normal"/>
    <w:next w:val="Normal"/>
    <w:autoRedefine/>
    <w:uiPriority w:val="39"/>
    <w:unhideWhenUsed/>
    <w:qFormat/>
    <w:rsid w:val="00304083"/>
    <w:pPr>
      <w:spacing w:after="0"/>
      <w:ind w:left="220"/>
    </w:pPr>
    <w:rPr>
      <w:smallCaps/>
    </w:rPr>
  </w:style>
  <w:style w:type="paragraph" w:styleId="TOC1">
    <w:name w:val="toc 1"/>
    <w:basedOn w:val="Normal"/>
    <w:next w:val="Normal"/>
    <w:autoRedefine/>
    <w:uiPriority w:val="39"/>
    <w:unhideWhenUsed/>
    <w:qFormat/>
    <w:rsid w:val="00304083"/>
    <w:pPr>
      <w:spacing w:before="120" w:after="0"/>
    </w:pPr>
    <w:rPr>
      <w:b/>
      <w:caps/>
    </w:rPr>
  </w:style>
  <w:style w:type="paragraph" w:styleId="TOC3">
    <w:name w:val="toc 3"/>
    <w:basedOn w:val="Normal"/>
    <w:next w:val="Normal"/>
    <w:autoRedefine/>
    <w:uiPriority w:val="39"/>
    <w:unhideWhenUsed/>
    <w:qFormat/>
    <w:rsid w:val="00304083"/>
    <w:pPr>
      <w:spacing w:after="0"/>
      <w:ind w:left="440"/>
    </w:pPr>
    <w:rPr>
      <w:i/>
    </w:rPr>
  </w:style>
  <w:style w:type="table" w:styleId="TableGrid">
    <w:name w:val="Table Grid"/>
    <w:basedOn w:val="TableNormal"/>
    <w:uiPriority w:val="59"/>
    <w:rsid w:val="003040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nkNormal">
    <w:name w:val="BankNormal"/>
    <w:basedOn w:val="Normal"/>
    <w:rsid w:val="00251D3C"/>
    <w:pPr>
      <w:widowControl/>
      <w:spacing w:after="240" w:line="240" w:lineRule="auto"/>
    </w:pPr>
    <w:rPr>
      <w:rFonts w:ascii="Times New Roman" w:eastAsia="Times New Roman" w:hAnsi="Times New Roman" w:cs="Times New Roman"/>
      <w:sz w:val="24"/>
      <w:szCs w:val="20"/>
    </w:rPr>
  </w:style>
  <w:style w:type="character" w:customStyle="1" w:styleId="Heading3Char">
    <w:name w:val="Heading 3 Char"/>
    <w:basedOn w:val="DefaultParagraphFont"/>
    <w:link w:val="Heading3"/>
    <w:uiPriority w:val="9"/>
    <w:rsid w:val="000F0D6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105E9"/>
    <w:rPr>
      <w:rFonts w:asciiTheme="majorHAnsi" w:eastAsiaTheme="majorEastAsia" w:hAnsiTheme="majorHAnsi" w:cstheme="majorBidi"/>
      <w:b/>
      <w:bCs/>
      <w:i/>
      <w:iCs/>
      <w:color w:val="4F81BD" w:themeColor="accent1"/>
      <w:lang w:val="es-ES_tradnl"/>
    </w:rPr>
  </w:style>
  <w:style w:type="character" w:customStyle="1" w:styleId="Heading5Char">
    <w:name w:val="Heading 5 Char"/>
    <w:basedOn w:val="DefaultParagraphFont"/>
    <w:link w:val="Heading5"/>
    <w:uiPriority w:val="9"/>
    <w:semiHidden/>
    <w:rsid w:val="00D105E9"/>
    <w:rPr>
      <w:rFonts w:asciiTheme="majorHAnsi" w:eastAsiaTheme="majorEastAsia" w:hAnsiTheme="majorHAnsi" w:cstheme="majorBidi"/>
      <w:color w:val="243F60" w:themeColor="accent1" w:themeShade="7F"/>
      <w:lang w:val="es-ES_tradnl"/>
    </w:rPr>
  </w:style>
  <w:style w:type="character" w:customStyle="1" w:styleId="Heading6Char">
    <w:name w:val="Heading 6 Char"/>
    <w:basedOn w:val="DefaultParagraphFont"/>
    <w:link w:val="Heading6"/>
    <w:uiPriority w:val="9"/>
    <w:semiHidden/>
    <w:rsid w:val="00D105E9"/>
    <w:rPr>
      <w:rFonts w:asciiTheme="majorHAnsi" w:eastAsiaTheme="majorEastAsia" w:hAnsiTheme="majorHAnsi" w:cstheme="majorBidi"/>
      <w:i/>
      <w:iCs/>
      <w:color w:val="243F60" w:themeColor="accent1" w:themeShade="7F"/>
      <w:lang w:val="es-ES_tradnl"/>
    </w:rPr>
  </w:style>
  <w:style w:type="character" w:customStyle="1" w:styleId="Heading7Char">
    <w:name w:val="Heading 7 Char"/>
    <w:basedOn w:val="DefaultParagraphFont"/>
    <w:link w:val="Heading7"/>
    <w:uiPriority w:val="9"/>
    <w:semiHidden/>
    <w:rsid w:val="00D105E9"/>
    <w:rPr>
      <w:rFonts w:asciiTheme="majorHAnsi" w:eastAsiaTheme="majorEastAsia" w:hAnsiTheme="majorHAnsi" w:cstheme="majorBidi"/>
      <w:i/>
      <w:iCs/>
      <w:color w:val="404040" w:themeColor="text1" w:themeTint="BF"/>
      <w:lang w:val="es-ES_tradnl"/>
    </w:rPr>
  </w:style>
  <w:style w:type="character" w:customStyle="1" w:styleId="Heading8Char">
    <w:name w:val="Heading 8 Char"/>
    <w:basedOn w:val="DefaultParagraphFont"/>
    <w:link w:val="Heading8"/>
    <w:uiPriority w:val="9"/>
    <w:semiHidden/>
    <w:rsid w:val="00D105E9"/>
    <w:rPr>
      <w:rFonts w:asciiTheme="majorHAnsi" w:eastAsiaTheme="majorEastAsia" w:hAnsiTheme="majorHAnsi" w:cstheme="majorBidi"/>
      <w:color w:val="404040" w:themeColor="text1" w:themeTint="BF"/>
      <w:sz w:val="20"/>
      <w:szCs w:val="20"/>
      <w:lang w:val="es-ES_tradnl"/>
    </w:rPr>
  </w:style>
  <w:style w:type="character" w:customStyle="1" w:styleId="Heading9Char">
    <w:name w:val="Heading 9 Char"/>
    <w:basedOn w:val="DefaultParagraphFont"/>
    <w:link w:val="Heading9"/>
    <w:uiPriority w:val="9"/>
    <w:semiHidden/>
    <w:rsid w:val="00D105E9"/>
    <w:rPr>
      <w:rFonts w:asciiTheme="majorHAnsi" w:eastAsiaTheme="majorEastAsia" w:hAnsiTheme="majorHAnsi" w:cstheme="majorBidi"/>
      <w:i/>
      <w:iCs/>
      <w:color w:val="404040" w:themeColor="text1" w:themeTint="BF"/>
      <w:sz w:val="20"/>
      <w:szCs w:val="20"/>
      <w:lang w:val="es-ES_tradnl"/>
    </w:rPr>
  </w:style>
  <w:style w:type="paragraph" w:styleId="NoSpacing">
    <w:name w:val="No Spacing"/>
    <w:link w:val="NoSpacingChar"/>
    <w:uiPriority w:val="1"/>
    <w:qFormat/>
    <w:rsid w:val="009C134C"/>
    <w:pPr>
      <w:widowControl/>
      <w:spacing w:after="0" w:line="240" w:lineRule="auto"/>
    </w:pPr>
    <w:rPr>
      <w:rFonts w:eastAsiaTheme="minorEastAsia"/>
    </w:rPr>
  </w:style>
  <w:style w:type="character" w:customStyle="1" w:styleId="NoSpacingChar">
    <w:name w:val="No Spacing Char"/>
    <w:basedOn w:val="DefaultParagraphFont"/>
    <w:link w:val="NoSpacing"/>
    <w:uiPriority w:val="1"/>
    <w:rsid w:val="009C134C"/>
    <w:rPr>
      <w:rFonts w:eastAsiaTheme="minorEastAsia"/>
    </w:rPr>
  </w:style>
  <w:style w:type="paragraph" w:styleId="PlainText">
    <w:name w:val="Plain Text"/>
    <w:basedOn w:val="Normal"/>
    <w:link w:val="PlainTextChar"/>
    <w:uiPriority w:val="99"/>
    <w:rsid w:val="00C26F14"/>
    <w:pPr>
      <w:widowControl/>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C26F14"/>
    <w:rPr>
      <w:rFonts w:ascii="Courier New" w:eastAsia="Times New Roman" w:hAnsi="Courier New" w:cs="Courier New"/>
      <w:sz w:val="20"/>
      <w:szCs w:val="20"/>
    </w:rPr>
  </w:style>
  <w:style w:type="paragraph" w:customStyle="1" w:styleId="HeadingRunIn">
    <w:name w:val="HeadingRunIn"/>
    <w:next w:val="Normal"/>
    <w:rsid w:val="00963F1D"/>
    <w:pPr>
      <w:keepNext/>
      <w:widowControl/>
      <w:autoSpaceDE w:val="0"/>
      <w:autoSpaceDN w:val="0"/>
      <w:adjustRightInd w:val="0"/>
      <w:spacing w:before="120" w:after="0" w:line="280" w:lineRule="atLeast"/>
    </w:pPr>
    <w:rPr>
      <w:rFonts w:ascii="Times New Roman" w:hAnsi="Times New Roman" w:cs="Times New Roman"/>
      <w:b/>
      <w:bCs/>
      <w:color w:val="000000"/>
      <w:w w:val="0"/>
      <w:sz w:val="24"/>
      <w:szCs w:val="24"/>
    </w:rPr>
  </w:style>
  <w:style w:type="paragraph" w:styleId="ListBullet">
    <w:name w:val="List Bullet"/>
    <w:basedOn w:val="Normal"/>
    <w:autoRedefine/>
    <w:semiHidden/>
    <w:rsid w:val="00885766"/>
    <w:pPr>
      <w:widowControl/>
      <w:numPr>
        <w:numId w:val="2"/>
      </w:numPr>
      <w:spacing w:after="0" w:line="240" w:lineRule="auto"/>
    </w:pPr>
    <w:rPr>
      <w:rFonts w:ascii="Arial" w:eastAsia="Times New Roman" w:hAnsi="Arial" w:cs="Times New Roman"/>
      <w:sz w:val="24"/>
      <w:szCs w:val="20"/>
    </w:rPr>
  </w:style>
  <w:style w:type="paragraph" w:customStyle="1" w:styleId="Style1">
    <w:name w:val="Style1"/>
    <w:basedOn w:val="ListParagraph"/>
    <w:qFormat/>
    <w:rsid w:val="00885766"/>
    <w:pPr>
      <w:numPr>
        <w:numId w:val="3"/>
      </w:numPr>
      <w:spacing w:after="0" w:line="240" w:lineRule="auto"/>
      <w:ind w:firstLine="0"/>
      <w:contextualSpacing w:val="0"/>
    </w:pPr>
    <w:rPr>
      <w:rFonts w:ascii="Arial" w:eastAsia="Times New Roman" w:hAnsi="Arial" w:cs="Times New Roman"/>
      <w:sz w:val="24"/>
      <w:szCs w:val="20"/>
    </w:rPr>
  </w:style>
  <w:style w:type="character" w:customStyle="1" w:styleId="longtext">
    <w:name w:val="long_text"/>
    <w:basedOn w:val="DefaultParagraphFont"/>
    <w:rsid w:val="0024550B"/>
  </w:style>
  <w:style w:type="character" w:customStyle="1" w:styleId="hps">
    <w:name w:val="hps"/>
    <w:basedOn w:val="DefaultParagraphFont"/>
    <w:rsid w:val="0024550B"/>
  </w:style>
  <w:style w:type="paragraph" w:styleId="FootnoteText">
    <w:name w:val="footnote text"/>
    <w:aliases w:val="fn,footnote,Footnote Text Char Char Char,Footnote Text Char Char Char Char Char Char Char,Footnote Text Char Char Char Char Char,Footnote Text Char Char Char Char Char Char,Footnote Text Char Char Char Char Ch Char,Footnote Text Char1 Cha"/>
    <w:basedOn w:val="Normal"/>
    <w:link w:val="FootnoteTextChar"/>
    <w:unhideWhenUsed/>
    <w:rsid w:val="00C42E44"/>
    <w:pPr>
      <w:widowControl/>
      <w:spacing w:after="0" w:line="240" w:lineRule="auto"/>
    </w:pPr>
    <w:rPr>
      <w:rFonts w:ascii="Calibri" w:eastAsia="Times New Roman" w:hAnsi="Calibri" w:cs="Times New Roman"/>
      <w:sz w:val="20"/>
      <w:szCs w:val="20"/>
      <w:lang w:val="nb-NO" w:eastAsia="nb-NO"/>
    </w:rPr>
  </w:style>
  <w:style w:type="character" w:customStyle="1" w:styleId="FootnoteTextChar">
    <w:name w:val="Footnote Text Char"/>
    <w:aliases w:val="fn Char,footnote Char,Footnote Text Char Char Char Char,Footnote Text Char Char Char Char Char Char Char Char,Footnote Text Char Char Char Char Char Char1,Footnote Text Char Char Char Char Char Char Char1,Footnote Text Char1 Cha Char"/>
    <w:basedOn w:val="DefaultParagraphFont"/>
    <w:link w:val="FootnoteText"/>
    <w:rsid w:val="00C42E44"/>
    <w:rPr>
      <w:rFonts w:ascii="Calibri" w:eastAsia="Times New Roman" w:hAnsi="Calibri" w:cs="Times New Roman"/>
      <w:sz w:val="20"/>
      <w:szCs w:val="20"/>
      <w:lang w:val="nb-NO" w:eastAsia="nb-NO"/>
    </w:rPr>
  </w:style>
  <w:style w:type="character" w:styleId="FootnoteReference">
    <w:name w:val="footnote reference"/>
    <w:aliases w:val="BVI fnr,ftref,referencia nota al pie,FC"/>
    <w:unhideWhenUsed/>
    <w:rsid w:val="00C42E44"/>
    <w:rPr>
      <w:vertAlign w:val="superscript"/>
    </w:rPr>
  </w:style>
  <w:style w:type="paragraph" w:styleId="Title">
    <w:name w:val="Title"/>
    <w:basedOn w:val="Normal"/>
    <w:next w:val="Normal"/>
    <w:link w:val="TitleChar"/>
    <w:uiPriority w:val="10"/>
    <w:qFormat/>
    <w:rsid w:val="000047A3"/>
    <w:pPr>
      <w:numPr>
        <w:numId w:val="4"/>
      </w:numPr>
      <w:pBdr>
        <w:bottom w:val="single" w:sz="8" w:space="4" w:color="4F81BD" w:themeColor="accent1"/>
      </w:pBdr>
      <w:spacing w:after="300" w:line="240" w:lineRule="auto"/>
      <w:contextualSpacing/>
    </w:pPr>
    <w:rPr>
      <w:rFonts w:eastAsia="Tahoma" w:cstheme="majorBidi"/>
      <w:color w:val="365F91" w:themeColor="accent1" w:themeShade="BF"/>
      <w:spacing w:val="-3"/>
      <w:kern w:val="28"/>
      <w:sz w:val="52"/>
      <w:szCs w:val="52"/>
      <w:lang w:val="es-CO"/>
    </w:rPr>
  </w:style>
  <w:style w:type="character" w:customStyle="1" w:styleId="TitleChar">
    <w:name w:val="Title Char"/>
    <w:basedOn w:val="DefaultParagraphFont"/>
    <w:link w:val="Title"/>
    <w:uiPriority w:val="10"/>
    <w:rsid w:val="000047A3"/>
    <w:rPr>
      <w:rFonts w:eastAsia="Tahoma" w:cstheme="majorBidi"/>
      <w:color w:val="365F91" w:themeColor="accent1" w:themeShade="BF"/>
      <w:spacing w:val="-3"/>
      <w:kern w:val="28"/>
      <w:sz w:val="52"/>
      <w:szCs w:val="52"/>
      <w:lang w:val="es-CO"/>
    </w:rPr>
  </w:style>
  <w:style w:type="paragraph" w:customStyle="1" w:styleId="Default">
    <w:name w:val="Default"/>
    <w:uiPriority w:val="99"/>
    <w:rsid w:val="008B4E3E"/>
    <w:pPr>
      <w:widowControl/>
      <w:autoSpaceDE w:val="0"/>
      <w:autoSpaceDN w:val="0"/>
      <w:adjustRightInd w:val="0"/>
      <w:spacing w:after="0" w:line="240" w:lineRule="auto"/>
    </w:pPr>
    <w:rPr>
      <w:rFonts w:ascii="Times New Roman" w:eastAsiaTheme="minorEastAsia" w:hAnsi="Times New Roman" w:cs="Times New Roman"/>
      <w:color w:val="000000"/>
      <w:sz w:val="24"/>
      <w:szCs w:val="24"/>
      <w:lang w:val="es-MX" w:eastAsia="es-MX"/>
    </w:rPr>
  </w:style>
  <w:style w:type="paragraph" w:customStyle="1" w:styleId="Heading1a">
    <w:name w:val="Heading 1a"/>
    <w:basedOn w:val="Normal"/>
    <w:next w:val="Normal"/>
    <w:rsid w:val="00D30DA7"/>
    <w:pPr>
      <w:keepNext/>
      <w:keepLines/>
      <w:widowControl/>
      <w:numPr>
        <w:numId w:val="5"/>
      </w:numPr>
      <w:spacing w:before="1440" w:after="240" w:line="240" w:lineRule="auto"/>
      <w:jc w:val="center"/>
      <w:outlineLvl w:val="0"/>
    </w:pPr>
    <w:rPr>
      <w:rFonts w:ascii="Times New Roman" w:eastAsia="Times New Roman" w:hAnsi="Times New Roman" w:cs="Times New Roman"/>
      <w:b/>
      <w:caps/>
      <w:sz w:val="32"/>
      <w:szCs w:val="24"/>
    </w:rPr>
  </w:style>
  <w:style w:type="paragraph" w:customStyle="1" w:styleId="MainParanoChapter">
    <w:name w:val="Main Para no Chapter #"/>
    <w:basedOn w:val="Normal"/>
    <w:rsid w:val="00D30DA7"/>
    <w:pPr>
      <w:widowControl/>
      <w:numPr>
        <w:ilvl w:val="1"/>
        <w:numId w:val="5"/>
      </w:numPr>
      <w:spacing w:after="240" w:line="240" w:lineRule="auto"/>
      <w:jc w:val="both"/>
      <w:outlineLvl w:val="1"/>
    </w:pPr>
    <w:rPr>
      <w:rFonts w:ascii="Times New Roman" w:eastAsia="Times New Roman" w:hAnsi="Times New Roman" w:cs="Times New Roman"/>
      <w:sz w:val="24"/>
      <w:szCs w:val="24"/>
    </w:rPr>
  </w:style>
  <w:style w:type="paragraph" w:customStyle="1" w:styleId="Sub-Para1underX">
    <w:name w:val="Sub-Para 1 under X."/>
    <w:basedOn w:val="Normal"/>
    <w:rsid w:val="00D30DA7"/>
    <w:pPr>
      <w:widowControl/>
      <w:numPr>
        <w:ilvl w:val="2"/>
        <w:numId w:val="5"/>
      </w:numPr>
      <w:spacing w:after="120" w:line="240" w:lineRule="auto"/>
      <w:jc w:val="both"/>
      <w:outlineLvl w:val="2"/>
    </w:pPr>
    <w:rPr>
      <w:rFonts w:ascii="Times New Roman" w:eastAsia="Times New Roman" w:hAnsi="Times New Roman" w:cs="Times New Roman"/>
      <w:sz w:val="24"/>
      <w:szCs w:val="24"/>
    </w:rPr>
  </w:style>
  <w:style w:type="paragraph" w:customStyle="1" w:styleId="Sub-Para2underX">
    <w:name w:val="Sub-Para 2 under X."/>
    <w:basedOn w:val="Normal"/>
    <w:rsid w:val="00D30DA7"/>
    <w:pPr>
      <w:widowControl/>
      <w:numPr>
        <w:ilvl w:val="3"/>
        <w:numId w:val="5"/>
      </w:numPr>
      <w:spacing w:after="240" w:line="240" w:lineRule="auto"/>
      <w:outlineLvl w:val="3"/>
    </w:pPr>
    <w:rPr>
      <w:rFonts w:ascii="Times New Roman" w:eastAsia="Times New Roman" w:hAnsi="Times New Roman" w:cs="Times New Roman"/>
      <w:sz w:val="24"/>
      <w:szCs w:val="24"/>
    </w:rPr>
  </w:style>
  <w:style w:type="paragraph" w:customStyle="1" w:styleId="Sub-Para3underX">
    <w:name w:val="Sub-Para 3 under X."/>
    <w:basedOn w:val="Normal"/>
    <w:rsid w:val="00D30DA7"/>
    <w:pPr>
      <w:widowControl/>
      <w:numPr>
        <w:ilvl w:val="4"/>
        <w:numId w:val="5"/>
      </w:numPr>
      <w:spacing w:after="240" w:line="240" w:lineRule="auto"/>
      <w:outlineLvl w:val="4"/>
    </w:pPr>
    <w:rPr>
      <w:rFonts w:ascii="Times New Roman" w:eastAsia="Times New Roman" w:hAnsi="Times New Roman" w:cs="Times New Roman"/>
      <w:sz w:val="24"/>
      <w:szCs w:val="24"/>
    </w:rPr>
  </w:style>
  <w:style w:type="paragraph" w:customStyle="1" w:styleId="Sub-Para4underX">
    <w:name w:val="Sub-Para 4 under X."/>
    <w:basedOn w:val="Normal"/>
    <w:rsid w:val="00D30DA7"/>
    <w:pPr>
      <w:widowControl/>
      <w:numPr>
        <w:ilvl w:val="5"/>
        <w:numId w:val="5"/>
      </w:numPr>
      <w:spacing w:after="240" w:line="240" w:lineRule="auto"/>
      <w:outlineLvl w:val="5"/>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locked/>
    <w:rsid w:val="006B5A38"/>
    <w:rPr>
      <w:rFonts w:eastAsiaTheme="minorEastAsia"/>
    </w:rPr>
  </w:style>
  <w:style w:type="paragraph" w:styleId="EndnoteText">
    <w:name w:val="endnote text"/>
    <w:basedOn w:val="Normal"/>
    <w:link w:val="EndnoteTextChar"/>
    <w:semiHidden/>
    <w:unhideWhenUsed/>
    <w:rsid w:val="00BE0920"/>
    <w:pPr>
      <w:widowControl/>
      <w:spacing w:after="0" w:line="240" w:lineRule="auto"/>
    </w:pPr>
    <w:rPr>
      <w:rFonts w:ascii="Courier New" w:eastAsia="Times New Roman" w:hAnsi="Courier New" w:cs="Times New Roman"/>
      <w:sz w:val="20"/>
      <w:szCs w:val="20"/>
    </w:rPr>
  </w:style>
  <w:style w:type="character" w:customStyle="1" w:styleId="EndnoteTextChar">
    <w:name w:val="Endnote Text Char"/>
    <w:basedOn w:val="DefaultParagraphFont"/>
    <w:link w:val="EndnoteText"/>
    <w:semiHidden/>
    <w:rsid w:val="00BE0920"/>
    <w:rPr>
      <w:rFonts w:ascii="Courier New" w:eastAsia="Times New Roman" w:hAnsi="Courier New" w:cs="Times New Roman"/>
      <w:sz w:val="20"/>
      <w:szCs w:val="20"/>
      <w:lang w:val="es-ES_tradnl"/>
    </w:rPr>
  </w:style>
  <w:style w:type="character" w:customStyle="1" w:styleId="apple-converted-space">
    <w:name w:val="apple-converted-space"/>
    <w:basedOn w:val="DefaultParagraphFont"/>
    <w:rsid w:val="00761D59"/>
  </w:style>
  <w:style w:type="paragraph" w:customStyle="1" w:styleId="Normaltabletext">
    <w:name w:val="Normal table text"/>
    <w:basedOn w:val="Normal"/>
    <w:qFormat/>
    <w:rsid w:val="00B25490"/>
    <w:pPr>
      <w:widowControl/>
      <w:spacing w:after="120" w:line="240" w:lineRule="auto"/>
      <w:jc w:val="both"/>
    </w:pPr>
    <w:rPr>
      <w:rFonts w:eastAsiaTheme="minorEastAsia"/>
      <w:sz w:val="20"/>
      <w:szCs w:val="20"/>
      <w:lang w:val="en-GB" w:eastAsia="zh-TW"/>
    </w:rPr>
  </w:style>
  <w:style w:type="character" w:styleId="CommentReference">
    <w:name w:val="annotation reference"/>
    <w:uiPriority w:val="99"/>
    <w:semiHidden/>
    <w:unhideWhenUsed/>
    <w:rsid w:val="00720E42"/>
    <w:rPr>
      <w:sz w:val="16"/>
      <w:szCs w:val="16"/>
    </w:rPr>
  </w:style>
  <w:style w:type="paragraph" w:styleId="CommentText">
    <w:name w:val="annotation text"/>
    <w:basedOn w:val="Normal"/>
    <w:link w:val="CommentTextChar"/>
    <w:uiPriority w:val="99"/>
    <w:unhideWhenUsed/>
    <w:rsid w:val="000C2474"/>
    <w:pPr>
      <w:widowControl/>
      <w:spacing w:after="0" w:line="240" w:lineRule="auto"/>
    </w:pPr>
    <w:rPr>
      <w:rFonts w:ascii="Times New Roman" w:eastAsia="Times New Roman" w:hAnsi="Times New Roman" w:cs="Times New Roman"/>
      <w:sz w:val="20"/>
      <w:szCs w:val="20"/>
      <w:lang w:val="es-ES" w:eastAsia="es-ES"/>
    </w:rPr>
  </w:style>
  <w:style w:type="character" w:customStyle="1" w:styleId="CommentTextChar">
    <w:name w:val="Comment Text Char"/>
    <w:basedOn w:val="DefaultParagraphFont"/>
    <w:link w:val="CommentText"/>
    <w:uiPriority w:val="99"/>
    <w:rsid w:val="000C2474"/>
    <w:rPr>
      <w:rFonts w:ascii="Times New Roman" w:eastAsia="Times New Roman" w:hAnsi="Times New Roman" w:cs="Times New Roman"/>
      <w:sz w:val="20"/>
      <w:szCs w:val="20"/>
      <w:lang w:val="es-ES" w:eastAsia="es-ES"/>
    </w:rPr>
  </w:style>
  <w:style w:type="paragraph" w:styleId="CommentSubject">
    <w:name w:val="annotation subject"/>
    <w:basedOn w:val="CommentText"/>
    <w:next w:val="CommentText"/>
    <w:link w:val="CommentSubjectChar"/>
    <w:uiPriority w:val="99"/>
    <w:semiHidden/>
    <w:unhideWhenUsed/>
    <w:rsid w:val="00BE2C2D"/>
    <w:rPr>
      <w:b/>
      <w:bCs/>
    </w:rPr>
  </w:style>
  <w:style w:type="character" w:customStyle="1" w:styleId="CommentSubjectChar">
    <w:name w:val="Comment Subject Char"/>
    <w:basedOn w:val="CommentTextChar"/>
    <w:link w:val="CommentSubject"/>
    <w:uiPriority w:val="99"/>
    <w:semiHidden/>
    <w:rsid w:val="00BE2C2D"/>
    <w:rPr>
      <w:rFonts w:ascii="Times New Roman" w:eastAsia="Times New Roman" w:hAnsi="Times New Roman" w:cs="Times New Roman"/>
      <w:b/>
      <w:bCs/>
      <w:sz w:val="20"/>
      <w:szCs w:val="20"/>
      <w:lang w:val="es-ES" w:eastAsia="es-ES"/>
    </w:rPr>
  </w:style>
  <w:style w:type="paragraph" w:customStyle="1" w:styleId="Normal1">
    <w:name w:val="Normal1"/>
    <w:rsid w:val="0059560D"/>
    <w:pPr>
      <w:widowControl/>
    </w:pPr>
    <w:rPr>
      <w:rFonts w:ascii="Calibri" w:eastAsia="Calibri" w:hAnsi="Calibri" w:cs="Calibri"/>
      <w:color w:val="000000"/>
      <w:szCs w:val="20"/>
      <w:lang w:val="es-CO" w:eastAsia="es-ES"/>
    </w:rPr>
  </w:style>
  <w:style w:type="paragraph" w:customStyle="1" w:styleId="Text">
    <w:name w:val="•Text"/>
    <w:basedOn w:val="Normal"/>
    <w:next w:val="Normal"/>
    <w:uiPriority w:val="99"/>
    <w:rsid w:val="005F7F89"/>
    <w:pPr>
      <w:widowControl/>
      <w:autoSpaceDE w:val="0"/>
      <w:autoSpaceDN w:val="0"/>
      <w:adjustRightInd w:val="0"/>
      <w:spacing w:after="0" w:line="240" w:lineRule="auto"/>
    </w:pPr>
    <w:rPr>
      <w:rFonts w:ascii="Times New Roman" w:hAnsi="Times New Roman" w:cs="Times New Roman"/>
      <w:sz w:val="24"/>
      <w:szCs w:val="24"/>
    </w:rPr>
  </w:style>
  <w:style w:type="paragraph" w:styleId="Revision">
    <w:name w:val="Revision"/>
    <w:hidden/>
    <w:uiPriority w:val="99"/>
    <w:semiHidden/>
    <w:rsid w:val="00D774E2"/>
    <w:pPr>
      <w:widowControl/>
      <w:spacing w:after="0" w:line="240" w:lineRule="auto"/>
    </w:pPr>
  </w:style>
  <w:style w:type="paragraph" w:customStyle="1" w:styleId="ColorfulList-Accent11">
    <w:name w:val="Colorful List - Accent 11"/>
    <w:basedOn w:val="Normal"/>
    <w:link w:val="ColorfulList-Accent1Char"/>
    <w:uiPriority w:val="34"/>
    <w:qFormat/>
    <w:rsid w:val="004076D9"/>
    <w:pPr>
      <w:widowControl/>
      <w:ind w:left="720"/>
      <w:contextualSpacing/>
      <w:jc w:val="both"/>
    </w:pPr>
    <w:rPr>
      <w:rFonts w:ascii="Calibri" w:eastAsia="Times New Roman" w:hAnsi="Calibri" w:cs="Times New Roman"/>
      <w:lang w:val="x-none"/>
    </w:rPr>
  </w:style>
  <w:style w:type="character" w:customStyle="1" w:styleId="ColorfulList-Accent1Char">
    <w:name w:val="Colorful List - Accent 1 Char"/>
    <w:link w:val="ColorfulList-Accent11"/>
    <w:uiPriority w:val="34"/>
    <w:rsid w:val="004076D9"/>
    <w:rPr>
      <w:rFonts w:ascii="Calibri" w:eastAsia="Times New Roman" w:hAnsi="Calibri" w:cs="Times New Roman"/>
      <w:lang w:val="x-none"/>
    </w:rPr>
  </w:style>
  <w:style w:type="paragraph" w:styleId="TOC4">
    <w:name w:val="toc 4"/>
    <w:basedOn w:val="Normal"/>
    <w:next w:val="Normal"/>
    <w:autoRedefine/>
    <w:uiPriority w:val="39"/>
    <w:unhideWhenUsed/>
    <w:rsid w:val="00C5695E"/>
    <w:pPr>
      <w:spacing w:after="0"/>
      <w:ind w:left="660"/>
    </w:pPr>
    <w:rPr>
      <w:sz w:val="18"/>
      <w:szCs w:val="18"/>
    </w:rPr>
  </w:style>
  <w:style w:type="paragraph" w:styleId="TOC5">
    <w:name w:val="toc 5"/>
    <w:basedOn w:val="Normal"/>
    <w:next w:val="Normal"/>
    <w:autoRedefine/>
    <w:uiPriority w:val="39"/>
    <w:unhideWhenUsed/>
    <w:rsid w:val="00C5695E"/>
    <w:pPr>
      <w:spacing w:after="0"/>
      <w:ind w:left="880"/>
    </w:pPr>
    <w:rPr>
      <w:sz w:val="18"/>
      <w:szCs w:val="18"/>
    </w:rPr>
  </w:style>
  <w:style w:type="paragraph" w:styleId="TOC6">
    <w:name w:val="toc 6"/>
    <w:basedOn w:val="Normal"/>
    <w:next w:val="Normal"/>
    <w:autoRedefine/>
    <w:uiPriority w:val="39"/>
    <w:unhideWhenUsed/>
    <w:rsid w:val="00C5695E"/>
    <w:pPr>
      <w:spacing w:after="0"/>
      <w:ind w:left="1100"/>
    </w:pPr>
    <w:rPr>
      <w:sz w:val="18"/>
      <w:szCs w:val="18"/>
    </w:rPr>
  </w:style>
  <w:style w:type="paragraph" w:styleId="TOC7">
    <w:name w:val="toc 7"/>
    <w:basedOn w:val="Normal"/>
    <w:next w:val="Normal"/>
    <w:autoRedefine/>
    <w:uiPriority w:val="39"/>
    <w:unhideWhenUsed/>
    <w:rsid w:val="00C5695E"/>
    <w:pPr>
      <w:spacing w:after="0"/>
      <w:ind w:left="1320"/>
    </w:pPr>
    <w:rPr>
      <w:sz w:val="18"/>
      <w:szCs w:val="18"/>
    </w:rPr>
  </w:style>
  <w:style w:type="paragraph" w:styleId="TOC8">
    <w:name w:val="toc 8"/>
    <w:basedOn w:val="Normal"/>
    <w:next w:val="Normal"/>
    <w:autoRedefine/>
    <w:uiPriority w:val="39"/>
    <w:unhideWhenUsed/>
    <w:rsid w:val="00C5695E"/>
    <w:pPr>
      <w:spacing w:after="0"/>
      <w:ind w:left="1540"/>
    </w:pPr>
    <w:rPr>
      <w:sz w:val="18"/>
      <w:szCs w:val="18"/>
    </w:rPr>
  </w:style>
  <w:style w:type="paragraph" w:styleId="TOC9">
    <w:name w:val="toc 9"/>
    <w:basedOn w:val="Normal"/>
    <w:next w:val="Normal"/>
    <w:autoRedefine/>
    <w:uiPriority w:val="39"/>
    <w:unhideWhenUsed/>
    <w:rsid w:val="00C5695E"/>
    <w:pPr>
      <w:spacing w:after="0"/>
      <w:ind w:left="1760"/>
    </w:pPr>
    <w:rPr>
      <w:sz w:val="18"/>
      <w:szCs w:val="18"/>
    </w:rPr>
  </w:style>
  <w:style w:type="character" w:styleId="PageNumber">
    <w:name w:val="page number"/>
    <w:basedOn w:val="DefaultParagraphFont"/>
    <w:uiPriority w:val="99"/>
    <w:semiHidden/>
    <w:unhideWhenUsed/>
    <w:rsid w:val="005E54E6"/>
  </w:style>
  <w:style w:type="paragraph" w:styleId="DocumentMap">
    <w:name w:val="Document Map"/>
    <w:basedOn w:val="Normal"/>
    <w:link w:val="DocumentMapChar"/>
    <w:uiPriority w:val="99"/>
    <w:semiHidden/>
    <w:unhideWhenUsed/>
    <w:rsid w:val="00D04F59"/>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D04F59"/>
    <w:rPr>
      <w:rFonts w:ascii="Lucida Grande" w:hAnsi="Lucida Grande" w:cs="Lucida Grande"/>
      <w:sz w:val="24"/>
      <w:szCs w:val="24"/>
      <w:lang w:val="es-ES_tradnl"/>
    </w:rPr>
  </w:style>
  <w:style w:type="character" w:styleId="FollowedHyperlink">
    <w:name w:val="FollowedHyperlink"/>
    <w:basedOn w:val="DefaultParagraphFont"/>
    <w:uiPriority w:val="99"/>
    <w:semiHidden/>
    <w:unhideWhenUsed/>
    <w:rsid w:val="002332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95191">
      <w:bodyDiv w:val="1"/>
      <w:marLeft w:val="0"/>
      <w:marRight w:val="0"/>
      <w:marTop w:val="0"/>
      <w:marBottom w:val="0"/>
      <w:divBdr>
        <w:top w:val="none" w:sz="0" w:space="0" w:color="auto"/>
        <w:left w:val="none" w:sz="0" w:space="0" w:color="auto"/>
        <w:bottom w:val="none" w:sz="0" w:space="0" w:color="auto"/>
        <w:right w:val="none" w:sz="0" w:space="0" w:color="auto"/>
      </w:divBdr>
    </w:div>
    <w:div w:id="30544746">
      <w:bodyDiv w:val="1"/>
      <w:marLeft w:val="0"/>
      <w:marRight w:val="0"/>
      <w:marTop w:val="0"/>
      <w:marBottom w:val="0"/>
      <w:divBdr>
        <w:top w:val="none" w:sz="0" w:space="0" w:color="auto"/>
        <w:left w:val="none" w:sz="0" w:space="0" w:color="auto"/>
        <w:bottom w:val="none" w:sz="0" w:space="0" w:color="auto"/>
        <w:right w:val="none" w:sz="0" w:space="0" w:color="auto"/>
      </w:divBdr>
    </w:div>
    <w:div w:id="57483250">
      <w:bodyDiv w:val="1"/>
      <w:marLeft w:val="0"/>
      <w:marRight w:val="0"/>
      <w:marTop w:val="0"/>
      <w:marBottom w:val="0"/>
      <w:divBdr>
        <w:top w:val="none" w:sz="0" w:space="0" w:color="auto"/>
        <w:left w:val="none" w:sz="0" w:space="0" w:color="auto"/>
        <w:bottom w:val="none" w:sz="0" w:space="0" w:color="auto"/>
        <w:right w:val="none" w:sz="0" w:space="0" w:color="auto"/>
      </w:divBdr>
      <w:divsChild>
        <w:div w:id="71389794">
          <w:marLeft w:val="1267"/>
          <w:marRight w:val="0"/>
          <w:marTop w:val="120"/>
          <w:marBottom w:val="0"/>
          <w:divBdr>
            <w:top w:val="none" w:sz="0" w:space="0" w:color="auto"/>
            <w:left w:val="none" w:sz="0" w:space="0" w:color="auto"/>
            <w:bottom w:val="none" w:sz="0" w:space="0" w:color="auto"/>
            <w:right w:val="none" w:sz="0" w:space="0" w:color="auto"/>
          </w:divBdr>
        </w:div>
        <w:div w:id="302391242">
          <w:marLeft w:val="1267"/>
          <w:marRight w:val="0"/>
          <w:marTop w:val="120"/>
          <w:marBottom w:val="0"/>
          <w:divBdr>
            <w:top w:val="none" w:sz="0" w:space="0" w:color="auto"/>
            <w:left w:val="none" w:sz="0" w:space="0" w:color="auto"/>
            <w:bottom w:val="none" w:sz="0" w:space="0" w:color="auto"/>
            <w:right w:val="none" w:sz="0" w:space="0" w:color="auto"/>
          </w:divBdr>
        </w:div>
        <w:div w:id="547961609">
          <w:marLeft w:val="1267"/>
          <w:marRight w:val="0"/>
          <w:marTop w:val="120"/>
          <w:marBottom w:val="0"/>
          <w:divBdr>
            <w:top w:val="none" w:sz="0" w:space="0" w:color="auto"/>
            <w:left w:val="none" w:sz="0" w:space="0" w:color="auto"/>
            <w:bottom w:val="none" w:sz="0" w:space="0" w:color="auto"/>
            <w:right w:val="none" w:sz="0" w:space="0" w:color="auto"/>
          </w:divBdr>
        </w:div>
        <w:div w:id="580333882">
          <w:marLeft w:val="1267"/>
          <w:marRight w:val="0"/>
          <w:marTop w:val="120"/>
          <w:marBottom w:val="0"/>
          <w:divBdr>
            <w:top w:val="none" w:sz="0" w:space="0" w:color="auto"/>
            <w:left w:val="none" w:sz="0" w:space="0" w:color="auto"/>
            <w:bottom w:val="none" w:sz="0" w:space="0" w:color="auto"/>
            <w:right w:val="none" w:sz="0" w:space="0" w:color="auto"/>
          </w:divBdr>
        </w:div>
        <w:div w:id="680547055">
          <w:marLeft w:val="1267"/>
          <w:marRight w:val="0"/>
          <w:marTop w:val="120"/>
          <w:marBottom w:val="0"/>
          <w:divBdr>
            <w:top w:val="none" w:sz="0" w:space="0" w:color="auto"/>
            <w:left w:val="none" w:sz="0" w:space="0" w:color="auto"/>
            <w:bottom w:val="none" w:sz="0" w:space="0" w:color="auto"/>
            <w:right w:val="none" w:sz="0" w:space="0" w:color="auto"/>
          </w:divBdr>
        </w:div>
        <w:div w:id="707948146">
          <w:marLeft w:val="1267"/>
          <w:marRight w:val="0"/>
          <w:marTop w:val="120"/>
          <w:marBottom w:val="0"/>
          <w:divBdr>
            <w:top w:val="none" w:sz="0" w:space="0" w:color="auto"/>
            <w:left w:val="none" w:sz="0" w:space="0" w:color="auto"/>
            <w:bottom w:val="none" w:sz="0" w:space="0" w:color="auto"/>
            <w:right w:val="none" w:sz="0" w:space="0" w:color="auto"/>
          </w:divBdr>
        </w:div>
        <w:div w:id="913927836">
          <w:marLeft w:val="1267"/>
          <w:marRight w:val="0"/>
          <w:marTop w:val="120"/>
          <w:marBottom w:val="0"/>
          <w:divBdr>
            <w:top w:val="none" w:sz="0" w:space="0" w:color="auto"/>
            <w:left w:val="none" w:sz="0" w:space="0" w:color="auto"/>
            <w:bottom w:val="none" w:sz="0" w:space="0" w:color="auto"/>
            <w:right w:val="none" w:sz="0" w:space="0" w:color="auto"/>
          </w:divBdr>
        </w:div>
        <w:div w:id="1383601600">
          <w:marLeft w:val="1267"/>
          <w:marRight w:val="0"/>
          <w:marTop w:val="120"/>
          <w:marBottom w:val="0"/>
          <w:divBdr>
            <w:top w:val="none" w:sz="0" w:space="0" w:color="auto"/>
            <w:left w:val="none" w:sz="0" w:space="0" w:color="auto"/>
            <w:bottom w:val="none" w:sz="0" w:space="0" w:color="auto"/>
            <w:right w:val="none" w:sz="0" w:space="0" w:color="auto"/>
          </w:divBdr>
        </w:div>
        <w:div w:id="2087191379">
          <w:marLeft w:val="1267"/>
          <w:marRight w:val="0"/>
          <w:marTop w:val="120"/>
          <w:marBottom w:val="0"/>
          <w:divBdr>
            <w:top w:val="none" w:sz="0" w:space="0" w:color="auto"/>
            <w:left w:val="none" w:sz="0" w:space="0" w:color="auto"/>
            <w:bottom w:val="none" w:sz="0" w:space="0" w:color="auto"/>
            <w:right w:val="none" w:sz="0" w:space="0" w:color="auto"/>
          </w:divBdr>
        </w:div>
      </w:divsChild>
    </w:div>
    <w:div w:id="92672869">
      <w:bodyDiv w:val="1"/>
      <w:marLeft w:val="0"/>
      <w:marRight w:val="0"/>
      <w:marTop w:val="0"/>
      <w:marBottom w:val="0"/>
      <w:divBdr>
        <w:top w:val="none" w:sz="0" w:space="0" w:color="auto"/>
        <w:left w:val="none" w:sz="0" w:space="0" w:color="auto"/>
        <w:bottom w:val="none" w:sz="0" w:space="0" w:color="auto"/>
        <w:right w:val="none" w:sz="0" w:space="0" w:color="auto"/>
      </w:divBdr>
      <w:divsChild>
        <w:div w:id="403794531">
          <w:marLeft w:val="0"/>
          <w:marRight w:val="0"/>
          <w:marTop w:val="0"/>
          <w:marBottom w:val="0"/>
          <w:divBdr>
            <w:top w:val="none" w:sz="0" w:space="0" w:color="auto"/>
            <w:left w:val="none" w:sz="0" w:space="0" w:color="auto"/>
            <w:bottom w:val="none" w:sz="0" w:space="0" w:color="auto"/>
            <w:right w:val="none" w:sz="0" w:space="0" w:color="auto"/>
          </w:divBdr>
        </w:div>
        <w:div w:id="1290017688">
          <w:marLeft w:val="0"/>
          <w:marRight w:val="0"/>
          <w:marTop w:val="0"/>
          <w:marBottom w:val="0"/>
          <w:divBdr>
            <w:top w:val="none" w:sz="0" w:space="0" w:color="auto"/>
            <w:left w:val="none" w:sz="0" w:space="0" w:color="auto"/>
            <w:bottom w:val="none" w:sz="0" w:space="0" w:color="auto"/>
            <w:right w:val="none" w:sz="0" w:space="0" w:color="auto"/>
          </w:divBdr>
          <w:divsChild>
            <w:div w:id="9537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96587">
      <w:bodyDiv w:val="1"/>
      <w:marLeft w:val="0"/>
      <w:marRight w:val="0"/>
      <w:marTop w:val="0"/>
      <w:marBottom w:val="0"/>
      <w:divBdr>
        <w:top w:val="none" w:sz="0" w:space="0" w:color="auto"/>
        <w:left w:val="none" w:sz="0" w:space="0" w:color="auto"/>
        <w:bottom w:val="none" w:sz="0" w:space="0" w:color="auto"/>
        <w:right w:val="none" w:sz="0" w:space="0" w:color="auto"/>
      </w:divBdr>
      <w:divsChild>
        <w:div w:id="568812809">
          <w:marLeft w:val="0"/>
          <w:marRight w:val="0"/>
          <w:marTop w:val="0"/>
          <w:marBottom w:val="0"/>
          <w:divBdr>
            <w:top w:val="none" w:sz="0" w:space="0" w:color="auto"/>
            <w:left w:val="none" w:sz="0" w:space="0" w:color="auto"/>
            <w:bottom w:val="none" w:sz="0" w:space="0" w:color="auto"/>
            <w:right w:val="none" w:sz="0" w:space="0" w:color="auto"/>
          </w:divBdr>
        </w:div>
        <w:div w:id="678853454">
          <w:marLeft w:val="0"/>
          <w:marRight w:val="0"/>
          <w:marTop w:val="0"/>
          <w:marBottom w:val="0"/>
          <w:divBdr>
            <w:top w:val="none" w:sz="0" w:space="0" w:color="auto"/>
            <w:left w:val="none" w:sz="0" w:space="0" w:color="auto"/>
            <w:bottom w:val="none" w:sz="0" w:space="0" w:color="auto"/>
            <w:right w:val="none" w:sz="0" w:space="0" w:color="auto"/>
          </w:divBdr>
        </w:div>
      </w:divsChild>
    </w:div>
    <w:div w:id="108285641">
      <w:bodyDiv w:val="1"/>
      <w:marLeft w:val="0"/>
      <w:marRight w:val="0"/>
      <w:marTop w:val="0"/>
      <w:marBottom w:val="0"/>
      <w:divBdr>
        <w:top w:val="none" w:sz="0" w:space="0" w:color="auto"/>
        <w:left w:val="none" w:sz="0" w:space="0" w:color="auto"/>
        <w:bottom w:val="none" w:sz="0" w:space="0" w:color="auto"/>
        <w:right w:val="none" w:sz="0" w:space="0" w:color="auto"/>
      </w:divBdr>
      <w:divsChild>
        <w:div w:id="236332813">
          <w:marLeft w:val="547"/>
          <w:marRight w:val="0"/>
          <w:marTop w:val="120"/>
          <w:marBottom w:val="0"/>
          <w:divBdr>
            <w:top w:val="none" w:sz="0" w:space="0" w:color="auto"/>
            <w:left w:val="none" w:sz="0" w:space="0" w:color="auto"/>
            <w:bottom w:val="none" w:sz="0" w:space="0" w:color="auto"/>
            <w:right w:val="none" w:sz="0" w:space="0" w:color="auto"/>
          </w:divBdr>
        </w:div>
        <w:div w:id="272638351">
          <w:marLeft w:val="547"/>
          <w:marRight w:val="0"/>
          <w:marTop w:val="120"/>
          <w:marBottom w:val="0"/>
          <w:divBdr>
            <w:top w:val="none" w:sz="0" w:space="0" w:color="auto"/>
            <w:left w:val="none" w:sz="0" w:space="0" w:color="auto"/>
            <w:bottom w:val="none" w:sz="0" w:space="0" w:color="auto"/>
            <w:right w:val="none" w:sz="0" w:space="0" w:color="auto"/>
          </w:divBdr>
        </w:div>
        <w:div w:id="432675749">
          <w:marLeft w:val="547"/>
          <w:marRight w:val="0"/>
          <w:marTop w:val="120"/>
          <w:marBottom w:val="0"/>
          <w:divBdr>
            <w:top w:val="none" w:sz="0" w:space="0" w:color="auto"/>
            <w:left w:val="none" w:sz="0" w:space="0" w:color="auto"/>
            <w:bottom w:val="none" w:sz="0" w:space="0" w:color="auto"/>
            <w:right w:val="none" w:sz="0" w:space="0" w:color="auto"/>
          </w:divBdr>
        </w:div>
        <w:div w:id="892497697">
          <w:marLeft w:val="547"/>
          <w:marRight w:val="0"/>
          <w:marTop w:val="120"/>
          <w:marBottom w:val="0"/>
          <w:divBdr>
            <w:top w:val="none" w:sz="0" w:space="0" w:color="auto"/>
            <w:left w:val="none" w:sz="0" w:space="0" w:color="auto"/>
            <w:bottom w:val="none" w:sz="0" w:space="0" w:color="auto"/>
            <w:right w:val="none" w:sz="0" w:space="0" w:color="auto"/>
          </w:divBdr>
        </w:div>
        <w:div w:id="1352802098">
          <w:marLeft w:val="547"/>
          <w:marRight w:val="0"/>
          <w:marTop w:val="120"/>
          <w:marBottom w:val="0"/>
          <w:divBdr>
            <w:top w:val="none" w:sz="0" w:space="0" w:color="auto"/>
            <w:left w:val="none" w:sz="0" w:space="0" w:color="auto"/>
            <w:bottom w:val="none" w:sz="0" w:space="0" w:color="auto"/>
            <w:right w:val="none" w:sz="0" w:space="0" w:color="auto"/>
          </w:divBdr>
        </w:div>
        <w:div w:id="1488129532">
          <w:marLeft w:val="547"/>
          <w:marRight w:val="0"/>
          <w:marTop w:val="120"/>
          <w:marBottom w:val="0"/>
          <w:divBdr>
            <w:top w:val="none" w:sz="0" w:space="0" w:color="auto"/>
            <w:left w:val="none" w:sz="0" w:space="0" w:color="auto"/>
            <w:bottom w:val="none" w:sz="0" w:space="0" w:color="auto"/>
            <w:right w:val="none" w:sz="0" w:space="0" w:color="auto"/>
          </w:divBdr>
        </w:div>
        <w:div w:id="1568497086">
          <w:marLeft w:val="547"/>
          <w:marRight w:val="0"/>
          <w:marTop w:val="120"/>
          <w:marBottom w:val="0"/>
          <w:divBdr>
            <w:top w:val="none" w:sz="0" w:space="0" w:color="auto"/>
            <w:left w:val="none" w:sz="0" w:space="0" w:color="auto"/>
            <w:bottom w:val="none" w:sz="0" w:space="0" w:color="auto"/>
            <w:right w:val="none" w:sz="0" w:space="0" w:color="auto"/>
          </w:divBdr>
        </w:div>
        <w:div w:id="1691100433">
          <w:marLeft w:val="547"/>
          <w:marRight w:val="0"/>
          <w:marTop w:val="120"/>
          <w:marBottom w:val="0"/>
          <w:divBdr>
            <w:top w:val="none" w:sz="0" w:space="0" w:color="auto"/>
            <w:left w:val="none" w:sz="0" w:space="0" w:color="auto"/>
            <w:bottom w:val="none" w:sz="0" w:space="0" w:color="auto"/>
            <w:right w:val="none" w:sz="0" w:space="0" w:color="auto"/>
          </w:divBdr>
        </w:div>
      </w:divsChild>
    </w:div>
    <w:div w:id="112527709">
      <w:bodyDiv w:val="1"/>
      <w:marLeft w:val="0"/>
      <w:marRight w:val="0"/>
      <w:marTop w:val="0"/>
      <w:marBottom w:val="0"/>
      <w:divBdr>
        <w:top w:val="none" w:sz="0" w:space="0" w:color="auto"/>
        <w:left w:val="none" w:sz="0" w:space="0" w:color="auto"/>
        <w:bottom w:val="none" w:sz="0" w:space="0" w:color="auto"/>
        <w:right w:val="none" w:sz="0" w:space="0" w:color="auto"/>
      </w:divBdr>
    </w:div>
    <w:div w:id="113982260">
      <w:bodyDiv w:val="1"/>
      <w:marLeft w:val="0"/>
      <w:marRight w:val="0"/>
      <w:marTop w:val="0"/>
      <w:marBottom w:val="0"/>
      <w:divBdr>
        <w:top w:val="none" w:sz="0" w:space="0" w:color="auto"/>
        <w:left w:val="none" w:sz="0" w:space="0" w:color="auto"/>
        <w:bottom w:val="none" w:sz="0" w:space="0" w:color="auto"/>
        <w:right w:val="none" w:sz="0" w:space="0" w:color="auto"/>
      </w:divBdr>
      <w:divsChild>
        <w:div w:id="815609331">
          <w:marLeft w:val="720"/>
          <w:marRight w:val="0"/>
          <w:marTop w:val="144"/>
          <w:marBottom w:val="96"/>
          <w:divBdr>
            <w:top w:val="none" w:sz="0" w:space="0" w:color="auto"/>
            <w:left w:val="none" w:sz="0" w:space="0" w:color="auto"/>
            <w:bottom w:val="none" w:sz="0" w:space="0" w:color="auto"/>
            <w:right w:val="none" w:sz="0" w:space="0" w:color="auto"/>
          </w:divBdr>
        </w:div>
        <w:div w:id="1265921248">
          <w:marLeft w:val="720"/>
          <w:marRight w:val="0"/>
          <w:marTop w:val="144"/>
          <w:marBottom w:val="96"/>
          <w:divBdr>
            <w:top w:val="none" w:sz="0" w:space="0" w:color="auto"/>
            <w:left w:val="none" w:sz="0" w:space="0" w:color="auto"/>
            <w:bottom w:val="none" w:sz="0" w:space="0" w:color="auto"/>
            <w:right w:val="none" w:sz="0" w:space="0" w:color="auto"/>
          </w:divBdr>
        </w:div>
        <w:div w:id="1270508683">
          <w:marLeft w:val="720"/>
          <w:marRight w:val="0"/>
          <w:marTop w:val="144"/>
          <w:marBottom w:val="96"/>
          <w:divBdr>
            <w:top w:val="none" w:sz="0" w:space="0" w:color="auto"/>
            <w:left w:val="none" w:sz="0" w:space="0" w:color="auto"/>
            <w:bottom w:val="none" w:sz="0" w:space="0" w:color="auto"/>
            <w:right w:val="none" w:sz="0" w:space="0" w:color="auto"/>
          </w:divBdr>
        </w:div>
      </w:divsChild>
    </w:div>
    <w:div w:id="131678684">
      <w:bodyDiv w:val="1"/>
      <w:marLeft w:val="0"/>
      <w:marRight w:val="0"/>
      <w:marTop w:val="0"/>
      <w:marBottom w:val="0"/>
      <w:divBdr>
        <w:top w:val="none" w:sz="0" w:space="0" w:color="auto"/>
        <w:left w:val="none" w:sz="0" w:space="0" w:color="auto"/>
        <w:bottom w:val="none" w:sz="0" w:space="0" w:color="auto"/>
        <w:right w:val="none" w:sz="0" w:space="0" w:color="auto"/>
      </w:divBdr>
      <w:divsChild>
        <w:div w:id="1453405561">
          <w:marLeft w:val="1080"/>
          <w:marRight w:val="0"/>
          <w:marTop w:val="120"/>
          <w:marBottom w:val="0"/>
          <w:divBdr>
            <w:top w:val="none" w:sz="0" w:space="0" w:color="auto"/>
            <w:left w:val="none" w:sz="0" w:space="0" w:color="auto"/>
            <w:bottom w:val="none" w:sz="0" w:space="0" w:color="auto"/>
            <w:right w:val="none" w:sz="0" w:space="0" w:color="auto"/>
          </w:divBdr>
        </w:div>
        <w:div w:id="1494636486">
          <w:marLeft w:val="1080"/>
          <w:marRight w:val="0"/>
          <w:marTop w:val="120"/>
          <w:marBottom w:val="0"/>
          <w:divBdr>
            <w:top w:val="none" w:sz="0" w:space="0" w:color="auto"/>
            <w:left w:val="none" w:sz="0" w:space="0" w:color="auto"/>
            <w:bottom w:val="none" w:sz="0" w:space="0" w:color="auto"/>
            <w:right w:val="none" w:sz="0" w:space="0" w:color="auto"/>
          </w:divBdr>
        </w:div>
        <w:div w:id="1773628256">
          <w:marLeft w:val="1080"/>
          <w:marRight w:val="0"/>
          <w:marTop w:val="120"/>
          <w:marBottom w:val="0"/>
          <w:divBdr>
            <w:top w:val="none" w:sz="0" w:space="0" w:color="auto"/>
            <w:left w:val="none" w:sz="0" w:space="0" w:color="auto"/>
            <w:bottom w:val="none" w:sz="0" w:space="0" w:color="auto"/>
            <w:right w:val="none" w:sz="0" w:space="0" w:color="auto"/>
          </w:divBdr>
        </w:div>
        <w:div w:id="1897086479">
          <w:marLeft w:val="1080"/>
          <w:marRight w:val="0"/>
          <w:marTop w:val="120"/>
          <w:marBottom w:val="0"/>
          <w:divBdr>
            <w:top w:val="none" w:sz="0" w:space="0" w:color="auto"/>
            <w:left w:val="none" w:sz="0" w:space="0" w:color="auto"/>
            <w:bottom w:val="none" w:sz="0" w:space="0" w:color="auto"/>
            <w:right w:val="none" w:sz="0" w:space="0" w:color="auto"/>
          </w:divBdr>
        </w:div>
      </w:divsChild>
    </w:div>
    <w:div w:id="140660907">
      <w:bodyDiv w:val="1"/>
      <w:marLeft w:val="0"/>
      <w:marRight w:val="0"/>
      <w:marTop w:val="0"/>
      <w:marBottom w:val="0"/>
      <w:divBdr>
        <w:top w:val="none" w:sz="0" w:space="0" w:color="auto"/>
        <w:left w:val="none" w:sz="0" w:space="0" w:color="auto"/>
        <w:bottom w:val="none" w:sz="0" w:space="0" w:color="auto"/>
        <w:right w:val="none" w:sz="0" w:space="0" w:color="auto"/>
      </w:divBdr>
    </w:div>
    <w:div w:id="175773270">
      <w:bodyDiv w:val="1"/>
      <w:marLeft w:val="0"/>
      <w:marRight w:val="0"/>
      <w:marTop w:val="0"/>
      <w:marBottom w:val="0"/>
      <w:divBdr>
        <w:top w:val="none" w:sz="0" w:space="0" w:color="auto"/>
        <w:left w:val="none" w:sz="0" w:space="0" w:color="auto"/>
        <w:bottom w:val="none" w:sz="0" w:space="0" w:color="auto"/>
        <w:right w:val="none" w:sz="0" w:space="0" w:color="auto"/>
      </w:divBdr>
    </w:div>
    <w:div w:id="184828277">
      <w:bodyDiv w:val="1"/>
      <w:marLeft w:val="0"/>
      <w:marRight w:val="0"/>
      <w:marTop w:val="0"/>
      <w:marBottom w:val="0"/>
      <w:divBdr>
        <w:top w:val="none" w:sz="0" w:space="0" w:color="auto"/>
        <w:left w:val="none" w:sz="0" w:space="0" w:color="auto"/>
        <w:bottom w:val="none" w:sz="0" w:space="0" w:color="auto"/>
        <w:right w:val="none" w:sz="0" w:space="0" w:color="auto"/>
      </w:divBdr>
      <w:divsChild>
        <w:div w:id="805051833">
          <w:marLeft w:val="547"/>
          <w:marRight w:val="0"/>
          <w:marTop w:val="120"/>
          <w:marBottom w:val="0"/>
          <w:divBdr>
            <w:top w:val="none" w:sz="0" w:space="0" w:color="auto"/>
            <w:left w:val="none" w:sz="0" w:space="0" w:color="auto"/>
            <w:bottom w:val="none" w:sz="0" w:space="0" w:color="auto"/>
            <w:right w:val="none" w:sz="0" w:space="0" w:color="auto"/>
          </w:divBdr>
        </w:div>
        <w:div w:id="1910770499">
          <w:marLeft w:val="547"/>
          <w:marRight w:val="0"/>
          <w:marTop w:val="120"/>
          <w:marBottom w:val="0"/>
          <w:divBdr>
            <w:top w:val="none" w:sz="0" w:space="0" w:color="auto"/>
            <w:left w:val="none" w:sz="0" w:space="0" w:color="auto"/>
            <w:bottom w:val="none" w:sz="0" w:space="0" w:color="auto"/>
            <w:right w:val="none" w:sz="0" w:space="0" w:color="auto"/>
          </w:divBdr>
        </w:div>
      </w:divsChild>
    </w:div>
    <w:div w:id="197939573">
      <w:bodyDiv w:val="1"/>
      <w:marLeft w:val="0"/>
      <w:marRight w:val="0"/>
      <w:marTop w:val="0"/>
      <w:marBottom w:val="0"/>
      <w:divBdr>
        <w:top w:val="none" w:sz="0" w:space="0" w:color="auto"/>
        <w:left w:val="none" w:sz="0" w:space="0" w:color="auto"/>
        <w:bottom w:val="none" w:sz="0" w:space="0" w:color="auto"/>
        <w:right w:val="none" w:sz="0" w:space="0" w:color="auto"/>
      </w:divBdr>
      <w:divsChild>
        <w:div w:id="777332128">
          <w:marLeft w:val="547"/>
          <w:marRight w:val="0"/>
          <w:marTop w:val="0"/>
          <w:marBottom w:val="0"/>
          <w:divBdr>
            <w:top w:val="none" w:sz="0" w:space="0" w:color="auto"/>
            <w:left w:val="none" w:sz="0" w:space="0" w:color="auto"/>
            <w:bottom w:val="none" w:sz="0" w:space="0" w:color="auto"/>
            <w:right w:val="none" w:sz="0" w:space="0" w:color="auto"/>
          </w:divBdr>
        </w:div>
        <w:div w:id="924146613">
          <w:marLeft w:val="547"/>
          <w:marRight w:val="0"/>
          <w:marTop w:val="0"/>
          <w:marBottom w:val="0"/>
          <w:divBdr>
            <w:top w:val="none" w:sz="0" w:space="0" w:color="auto"/>
            <w:left w:val="none" w:sz="0" w:space="0" w:color="auto"/>
            <w:bottom w:val="none" w:sz="0" w:space="0" w:color="auto"/>
            <w:right w:val="none" w:sz="0" w:space="0" w:color="auto"/>
          </w:divBdr>
        </w:div>
        <w:div w:id="1023556383">
          <w:marLeft w:val="547"/>
          <w:marRight w:val="0"/>
          <w:marTop w:val="0"/>
          <w:marBottom w:val="0"/>
          <w:divBdr>
            <w:top w:val="none" w:sz="0" w:space="0" w:color="auto"/>
            <w:left w:val="none" w:sz="0" w:space="0" w:color="auto"/>
            <w:bottom w:val="none" w:sz="0" w:space="0" w:color="auto"/>
            <w:right w:val="none" w:sz="0" w:space="0" w:color="auto"/>
          </w:divBdr>
        </w:div>
        <w:div w:id="1530223200">
          <w:marLeft w:val="547"/>
          <w:marRight w:val="0"/>
          <w:marTop w:val="0"/>
          <w:marBottom w:val="0"/>
          <w:divBdr>
            <w:top w:val="none" w:sz="0" w:space="0" w:color="auto"/>
            <w:left w:val="none" w:sz="0" w:space="0" w:color="auto"/>
            <w:bottom w:val="none" w:sz="0" w:space="0" w:color="auto"/>
            <w:right w:val="none" w:sz="0" w:space="0" w:color="auto"/>
          </w:divBdr>
        </w:div>
      </w:divsChild>
    </w:div>
    <w:div w:id="275411331">
      <w:bodyDiv w:val="1"/>
      <w:marLeft w:val="0"/>
      <w:marRight w:val="0"/>
      <w:marTop w:val="0"/>
      <w:marBottom w:val="0"/>
      <w:divBdr>
        <w:top w:val="none" w:sz="0" w:space="0" w:color="auto"/>
        <w:left w:val="none" w:sz="0" w:space="0" w:color="auto"/>
        <w:bottom w:val="none" w:sz="0" w:space="0" w:color="auto"/>
        <w:right w:val="none" w:sz="0" w:space="0" w:color="auto"/>
      </w:divBdr>
      <w:divsChild>
        <w:div w:id="38290070">
          <w:marLeft w:val="1267"/>
          <w:marRight w:val="0"/>
          <w:marTop w:val="120"/>
          <w:marBottom w:val="0"/>
          <w:divBdr>
            <w:top w:val="none" w:sz="0" w:space="0" w:color="auto"/>
            <w:left w:val="none" w:sz="0" w:space="0" w:color="auto"/>
            <w:bottom w:val="none" w:sz="0" w:space="0" w:color="auto"/>
            <w:right w:val="none" w:sz="0" w:space="0" w:color="auto"/>
          </w:divBdr>
        </w:div>
        <w:div w:id="100034006">
          <w:marLeft w:val="1267"/>
          <w:marRight w:val="0"/>
          <w:marTop w:val="120"/>
          <w:marBottom w:val="0"/>
          <w:divBdr>
            <w:top w:val="none" w:sz="0" w:space="0" w:color="auto"/>
            <w:left w:val="none" w:sz="0" w:space="0" w:color="auto"/>
            <w:bottom w:val="none" w:sz="0" w:space="0" w:color="auto"/>
            <w:right w:val="none" w:sz="0" w:space="0" w:color="auto"/>
          </w:divBdr>
        </w:div>
        <w:div w:id="405685893">
          <w:marLeft w:val="1267"/>
          <w:marRight w:val="0"/>
          <w:marTop w:val="120"/>
          <w:marBottom w:val="0"/>
          <w:divBdr>
            <w:top w:val="none" w:sz="0" w:space="0" w:color="auto"/>
            <w:left w:val="none" w:sz="0" w:space="0" w:color="auto"/>
            <w:bottom w:val="none" w:sz="0" w:space="0" w:color="auto"/>
            <w:right w:val="none" w:sz="0" w:space="0" w:color="auto"/>
          </w:divBdr>
        </w:div>
        <w:div w:id="827132865">
          <w:marLeft w:val="1267"/>
          <w:marRight w:val="0"/>
          <w:marTop w:val="120"/>
          <w:marBottom w:val="0"/>
          <w:divBdr>
            <w:top w:val="none" w:sz="0" w:space="0" w:color="auto"/>
            <w:left w:val="none" w:sz="0" w:space="0" w:color="auto"/>
            <w:bottom w:val="none" w:sz="0" w:space="0" w:color="auto"/>
            <w:right w:val="none" w:sz="0" w:space="0" w:color="auto"/>
          </w:divBdr>
        </w:div>
        <w:div w:id="1548489596">
          <w:marLeft w:val="1267"/>
          <w:marRight w:val="0"/>
          <w:marTop w:val="120"/>
          <w:marBottom w:val="0"/>
          <w:divBdr>
            <w:top w:val="none" w:sz="0" w:space="0" w:color="auto"/>
            <w:left w:val="none" w:sz="0" w:space="0" w:color="auto"/>
            <w:bottom w:val="none" w:sz="0" w:space="0" w:color="auto"/>
            <w:right w:val="none" w:sz="0" w:space="0" w:color="auto"/>
          </w:divBdr>
        </w:div>
        <w:div w:id="1994948217">
          <w:marLeft w:val="1267"/>
          <w:marRight w:val="0"/>
          <w:marTop w:val="120"/>
          <w:marBottom w:val="0"/>
          <w:divBdr>
            <w:top w:val="none" w:sz="0" w:space="0" w:color="auto"/>
            <w:left w:val="none" w:sz="0" w:space="0" w:color="auto"/>
            <w:bottom w:val="none" w:sz="0" w:space="0" w:color="auto"/>
            <w:right w:val="none" w:sz="0" w:space="0" w:color="auto"/>
          </w:divBdr>
        </w:div>
      </w:divsChild>
    </w:div>
    <w:div w:id="287247981">
      <w:bodyDiv w:val="1"/>
      <w:marLeft w:val="0"/>
      <w:marRight w:val="0"/>
      <w:marTop w:val="0"/>
      <w:marBottom w:val="0"/>
      <w:divBdr>
        <w:top w:val="none" w:sz="0" w:space="0" w:color="auto"/>
        <w:left w:val="none" w:sz="0" w:space="0" w:color="auto"/>
        <w:bottom w:val="none" w:sz="0" w:space="0" w:color="auto"/>
        <w:right w:val="none" w:sz="0" w:space="0" w:color="auto"/>
      </w:divBdr>
    </w:div>
    <w:div w:id="299654903">
      <w:bodyDiv w:val="1"/>
      <w:marLeft w:val="0"/>
      <w:marRight w:val="0"/>
      <w:marTop w:val="0"/>
      <w:marBottom w:val="0"/>
      <w:divBdr>
        <w:top w:val="none" w:sz="0" w:space="0" w:color="auto"/>
        <w:left w:val="none" w:sz="0" w:space="0" w:color="auto"/>
        <w:bottom w:val="none" w:sz="0" w:space="0" w:color="auto"/>
        <w:right w:val="none" w:sz="0" w:space="0" w:color="auto"/>
      </w:divBdr>
      <w:divsChild>
        <w:div w:id="237912129">
          <w:marLeft w:val="547"/>
          <w:marRight w:val="0"/>
          <w:marTop w:val="0"/>
          <w:marBottom w:val="0"/>
          <w:divBdr>
            <w:top w:val="none" w:sz="0" w:space="0" w:color="auto"/>
            <w:left w:val="none" w:sz="0" w:space="0" w:color="auto"/>
            <w:bottom w:val="none" w:sz="0" w:space="0" w:color="auto"/>
            <w:right w:val="none" w:sz="0" w:space="0" w:color="auto"/>
          </w:divBdr>
        </w:div>
        <w:div w:id="257955939">
          <w:marLeft w:val="547"/>
          <w:marRight w:val="0"/>
          <w:marTop w:val="0"/>
          <w:marBottom w:val="0"/>
          <w:divBdr>
            <w:top w:val="none" w:sz="0" w:space="0" w:color="auto"/>
            <w:left w:val="none" w:sz="0" w:space="0" w:color="auto"/>
            <w:bottom w:val="none" w:sz="0" w:space="0" w:color="auto"/>
            <w:right w:val="none" w:sz="0" w:space="0" w:color="auto"/>
          </w:divBdr>
        </w:div>
        <w:div w:id="530000716">
          <w:marLeft w:val="547"/>
          <w:marRight w:val="0"/>
          <w:marTop w:val="0"/>
          <w:marBottom w:val="0"/>
          <w:divBdr>
            <w:top w:val="none" w:sz="0" w:space="0" w:color="auto"/>
            <w:left w:val="none" w:sz="0" w:space="0" w:color="auto"/>
            <w:bottom w:val="none" w:sz="0" w:space="0" w:color="auto"/>
            <w:right w:val="none" w:sz="0" w:space="0" w:color="auto"/>
          </w:divBdr>
        </w:div>
      </w:divsChild>
    </w:div>
    <w:div w:id="354120253">
      <w:bodyDiv w:val="1"/>
      <w:marLeft w:val="0"/>
      <w:marRight w:val="0"/>
      <w:marTop w:val="0"/>
      <w:marBottom w:val="0"/>
      <w:divBdr>
        <w:top w:val="none" w:sz="0" w:space="0" w:color="auto"/>
        <w:left w:val="none" w:sz="0" w:space="0" w:color="auto"/>
        <w:bottom w:val="none" w:sz="0" w:space="0" w:color="auto"/>
        <w:right w:val="none" w:sz="0" w:space="0" w:color="auto"/>
      </w:divBdr>
      <w:divsChild>
        <w:div w:id="535121200">
          <w:marLeft w:val="720"/>
          <w:marRight w:val="0"/>
          <w:marTop w:val="0"/>
          <w:marBottom w:val="0"/>
          <w:divBdr>
            <w:top w:val="none" w:sz="0" w:space="0" w:color="auto"/>
            <w:left w:val="none" w:sz="0" w:space="0" w:color="auto"/>
            <w:bottom w:val="none" w:sz="0" w:space="0" w:color="auto"/>
            <w:right w:val="none" w:sz="0" w:space="0" w:color="auto"/>
          </w:divBdr>
        </w:div>
        <w:div w:id="609774075">
          <w:marLeft w:val="2160"/>
          <w:marRight w:val="0"/>
          <w:marTop w:val="0"/>
          <w:marBottom w:val="0"/>
          <w:divBdr>
            <w:top w:val="none" w:sz="0" w:space="0" w:color="auto"/>
            <w:left w:val="none" w:sz="0" w:space="0" w:color="auto"/>
            <w:bottom w:val="none" w:sz="0" w:space="0" w:color="auto"/>
            <w:right w:val="none" w:sz="0" w:space="0" w:color="auto"/>
          </w:divBdr>
        </w:div>
        <w:div w:id="755905144">
          <w:marLeft w:val="720"/>
          <w:marRight w:val="0"/>
          <w:marTop w:val="0"/>
          <w:marBottom w:val="0"/>
          <w:divBdr>
            <w:top w:val="none" w:sz="0" w:space="0" w:color="auto"/>
            <w:left w:val="none" w:sz="0" w:space="0" w:color="auto"/>
            <w:bottom w:val="none" w:sz="0" w:space="0" w:color="auto"/>
            <w:right w:val="none" w:sz="0" w:space="0" w:color="auto"/>
          </w:divBdr>
        </w:div>
        <w:div w:id="1143617765">
          <w:marLeft w:val="2160"/>
          <w:marRight w:val="0"/>
          <w:marTop w:val="0"/>
          <w:marBottom w:val="0"/>
          <w:divBdr>
            <w:top w:val="none" w:sz="0" w:space="0" w:color="auto"/>
            <w:left w:val="none" w:sz="0" w:space="0" w:color="auto"/>
            <w:bottom w:val="none" w:sz="0" w:space="0" w:color="auto"/>
            <w:right w:val="none" w:sz="0" w:space="0" w:color="auto"/>
          </w:divBdr>
        </w:div>
        <w:div w:id="1151369146">
          <w:marLeft w:val="2160"/>
          <w:marRight w:val="0"/>
          <w:marTop w:val="0"/>
          <w:marBottom w:val="0"/>
          <w:divBdr>
            <w:top w:val="none" w:sz="0" w:space="0" w:color="auto"/>
            <w:left w:val="none" w:sz="0" w:space="0" w:color="auto"/>
            <w:bottom w:val="none" w:sz="0" w:space="0" w:color="auto"/>
            <w:right w:val="none" w:sz="0" w:space="0" w:color="auto"/>
          </w:divBdr>
        </w:div>
        <w:div w:id="1379552607">
          <w:marLeft w:val="2160"/>
          <w:marRight w:val="0"/>
          <w:marTop w:val="0"/>
          <w:marBottom w:val="0"/>
          <w:divBdr>
            <w:top w:val="none" w:sz="0" w:space="0" w:color="auto"/>
            <w:left w:val="none" w:sz="0" w:space="0" w:color="auto"/>
            <w:bottom w:val="none" w:sz="0" w:space="0" w:color="auto"/>
            <w:right w:val="none" w:sz="0" w:space="0" w:color="auto"/>
          </w:divBdr>
        </w:div>
        <w:div w:id="1487238183">
          <w:marLeft w:val="720"/>
          <w:marRight w:val="0"/>
          <w:marTop w:val="0"/>
          <w:marBottom w:val="0"/>
          <w:divBdr>
            <w:top w:val="none" w:sz="0" w:space="0" w:color="auto"/>
            <w:left w:val="none" w:sz="0" w:space="0" w:color="auto"/>
            <w:bottom w:val="none" w:sz="0" w:space="0" w:color="auto"/>
            <w:right w:val="none" w:sz="0" w:space="0" w:color="auto"/>
          </w:divBdr>
        </w:div>
        <w:div w:id="2083747042">
          <w:marLeft w:val="2160"/>
          <w:marRight w:val="0"/>
          <w:marTop w:val="0"/>
          <w:marBottom w:val="0"/>
          <w:divBdr>
            <w:top w:val="none" w:sz="0" w:space="0" w:color="auto"/>
            <w:left w:val="none" w:sz="0" w:space="0" w:color="auto"/>
            <w:bottom w:val="none" w:sz="0" w:space="0" w:color="auto"/>
            <w:right w:val="none" w:sz="0" w:space="0" w:color="auto"/>
          </w:divBdr>
        </w:div>
      </w:divsChild>
    </w:div>
    <w:div w:id="384573412">
      <w:bodyDiv w:val="1"/>
      <w:marLeft w:val="0"/>
      <w:marRight w:val="0"/>
      <w:marTop w:val="0"/>
      <w:marBottom w:val="0"/>
      <w:divBdr>
        <w:top w:val="none" w:sz="0" w:space="0" w:color="auto"/>
        <w:left w:val="none" w:sz="0" w:space="0" w:color="auto"/>
        <w:bottom w:val="none" w:sz="0" w:space="0" w:color="auto"/>
        <w:right w:val="none" w:sz="0" w:space="0" w:color="auto"/>
      </w:divBdr>
    </w:div>
    <w:div w:id="392461829">
      <w:bodyDiv w:val="1"/>
      <w:marLeft w:val="0"/>
      <w:marRight w:val="0"/>
      <w:marTop w:val="0"/>
      <w:marBottom w:val="0"/>
      <w:divBdr>
        <w:top w:val="none" w:sz="0" w:space="0" w:color="auto"/>
        <w:left w:val="none" w:sz="0" w:space="0" w:color="auto"/>
        <w:bottom w:val="none" w:sz="0" w:space="0" w:color="auto"/>
        <w:right w:val="none" w:sz="0" w:space="0" w:color="auto"/>
      </w:divBdr>
      <w:divsChild>
        <w:div w:id="74741204">
          <w:marLeft w:val="533"/>
          <w:marRight w:val="0"/>
          <w:marTop w:val="120"/>
          <w:marBottom w:val="0"/>
          <w:divBdr>
            <w:top w:val="none" w:sz="0" w:space="0" w:color="auto"/>
            <w:left w:val="none" w:sz="0" w:space="0" w:color="auto"/>
            <w:bottom w:val="none" w:sz="0" w:space="0" w:color="auto"/>
            <w:right w:val="none" w:sz="0" w:space="0" w:color="auto"/>
          </w:divBdr>
        </w:div>
        <w:div w:id="88477900">
          <w:marLeft w:val="533"/>
          <w:marRight w:val="0"/>
          <w:marTop w:val="120"/>
          <w:marBottom w:val="0"/>
          <w:divBdr>
            <w:top w:val="none" w:sz="0" w:space="0" w:color="auto"/>
            <w:left w:val="none" w:sz="0" w:space="0" w:color="auto"/>
            <w:bottom w:val="none" w:sz="0" w:space="0" w:color="auto"/>
            <w:right w:val="none" w:sz="0" w:space="0" w:color="auto"/>
          </w:divBdr>
        </w:div>
        <w:div w:id="328142422">
          <w:marLeft w:val="533"/>
          <w:marRight w:val="0"/>
          <w:marTop w:val="120"/>
          <w:marBottom w:val="0"/>
          <w:divBdr>
            <w:top w:val="none" w:sz="0" w:space="0" w:color="auto"/>
            <w:left w:val="none" w:sz="0" w:space="0" w:color="auto"/>
            <w:bottom w:val="none" w:sz="0" w:space="0" w:color="auto"/>
            <w:right w:val="none" w:sz="0" w:space="0" w:color="auto"/>
          </w:divBdr>
        </w:div>
        <w:div w:id="628823576">
          <w:marLeft w:val="533"/>
          <w:marRight w:val="0"/>
          <w:marTop w:val="120"/>
          <w:marBottom w:val="0"/>
          <w:divBdr>
            <w:top w:val="none" w:sz="0" w:space="0" w:color="auto"/>
            <w:left w:val="none" w:sz="0" w:space="0" w:color="auto"/>
            <w:bottom w:val="none" w:sz="0" w:space="0" w:color="auto"/>
            <w:right w:val="none" w:sz="0" w:space="0" w:color="auto"/>
          </w:divBdr>
        </w:div>
        <w:div w:id="1028408201">
          <w:marLeft w:val="533"/>
          <w:marRight w:val="0"/>
          <w:marTop w:val="120"/>
          <w:marBottom w:val="0"/>
          <w:divBdr>
            <w:top w:val="none" w:sz="0" w:space="0" w:color="auto"/>
            <w:left w:val="none" w:sz="0" w:space="0" w:color="auto"/>
            <w:bottom w:val="none" w:sz="0" w:space="0" w:color="auto"/>
            <w:right w:val="none" w:sz="0" w:space="0" w:color="auto"/>
          </w:divBdr>
        </w:div>
        <w:div w:id="1303274258">
          <w:marLeft w:val="533"/>
          <w:marRight w:val="0"/>
          <w:marTop w:val="120"/>
          <w:marBottom w:val="0"/>
          <w:divBdr>
            <w:top w:val="none" w:sz="0" w:space="0" w:color="auto"/>
            <w:left w:val="none" w:sz="0" w:space="0" w:color="auto"/>
            <w:bottom w:val="none" w:sz="0" w:space="0" w:color="auto"/>
            <w:right w:val="none" w:sz="0" w:space="0" w:color="auto"/>
          </w:divBdr>
        </w:div>
        <w:div w:id="1831360139">
          <w:marLeft w:val="533"/>
          <w:marRight w:val="0"/>
          <w:marTop w:val="120"/>
          <w:marBottom w:val="0"/>
          <w:divBdr>
            <w:top w:val="none" w:sz="0" w:space="0" w:color="auto"/>
            <w:left w:val="none" w:sz="0" w:space="0" w:color="auto"/>
            <w:bottom w:val="none" w:sz="0" w:space="0" w:color="auto"/>
            <w:right w:val="none" w:sz="0" w:space="0" w:color="auto"/>
          </w:divBdr>
        </w:div>
        <w:div w:id="1990357480">
          <w:marLeft w:val="533"/>
          <w:marRight w:val="0"/>
          <w:marTop w:val="120"/>
          <w:marBottom w:val="0"/>
          <w:divBdr>
            <w:top w:val="none" w:sz="0" w:space="0" w:color="auto"/>
            <w:left w:val="none" w:sz="0" w:space="0" w:color="auto"/>
            <w:bottom w:val="none" w:sz="0" w:space="0" w:color="auto"/>
            <w:right w:val="none" w:sz="0" w:space="0" w:color="auto"/>
          </w:divBdr>
        </w:div>
        <w:div w:id="2012371801">
          <w:marLeft w:val="533"/>
          <w:marRight w:val="0"/>
          <w:marTop w:val="120"/>
          <w:marBottom w:val="0"/>
          <w:divBdr>
            <w:top w:val="none" w:sz="0" w:space="0" w:color="auto"/>
            <w:left w:val="none" w:sz="0" w:space="0" w:color="auto"/>
            <w:bottom w:val="none" w:sz="0" w:space="0" w:color="auto"/>
            <w:right w:val="none" w:sz="0" w:space="0" w:color="auto"/>
          </w:divBdr>
        </w:div>
      </w:divsChild>
    </w:div>
    <w:div w:id="398671267">
      <w:bodyDiv w:val="1"/>
      <w:marLeft w:val="0"/>
      <w:marRight w:val="0"/>
      <w:marTop w:val="0"/>
      <w:marBottom w:val="0"/>
      <w:divBdr>
        <w:top w:val="none" w:sz="0" w:space="0" w:color="auto"/>
        <w:left w:val="none" w:sz="0" w:space="0" w:color="auto"/>
        <w:bottom w:val="none" w:sz="0" w:space="0" w:color="auto"/>
        <w:right w:val="none" w:sz="0" w:space="0" w:color="auto"/>
      </w:divBdr>
      <w:divsChild>
        <w:div w:id="224922040">
          <w:marLeft w:val="547"/>
          <w:marRight w:val="0"/>
          <w:marTop w:val="120"/>
          <w:marBottom w:val="0"/>
          <w:divBdr>
            <w:top w:val="none" w:sz="0" w:space="0" w:color="auto"/>
            <w:left w:val="none" w:sz="0" w:space="0" w:color="auto"/>
            <w:bottom w:val="none" w:sz="0" w:space="0" w:color="auto"/>
            <w:right w:val="none" w:sz="0" w:space="0" w:color="auto"/>
          </w:divBdr>
        </w:div>
        <w:div w:id="509761978">
          <w:marLeft w:val="547"/>
          <w:marRight w:val="0"/>
          <w:marTop w:val="120"/>
          <w:marBottom w:val="0"/>
          <w:divBdr>
            <w:top w:val="none" w:sz="0" w:space="0" w:color="auto"/>
            <w:left w:val="none" w:sz="0" w:space="0" w:color="auto"/>
            <w:bottom w:val="none" w:sz="0" w:space="0" w:color="auto"/>
            <w:right w:val="none" w:sz="0" w:space="0" w:color="auto"/>
          </w:divBdr>
        </w:div>
        <w:div w:id="525560973">
          <w:marLeft w:val="547"/>
          <w:marRight w:val="0"/>
          <w:marTop w:val="120"/>
          <w:marBottom w:val="0"/>
          <w:divBdr>
            <w:top w:val="none" w:sz="0" w:space="0" w:color="auto"/>
            <w:left w:val="none" w:sz="0" w:space="0" w:color="auto"/>
            <w:bottom w:val="none" w:sz="0" w:space="0" w:color="auto"/>
            <w:right w:val="none" w:sz="0" w:space="0" w:color="auto"/>
          </w:divBdr>
        </w:div>
        <w:div w:id="819231286">
          <w:marLeft w:val="547"/>
          <w:marRight w:val="0"/>
          <w:marTop w:val="120"/>
          <w:marBottom w:val="0"/>
          <w:divBdr>
            <w:top w:val="none" w:sz="0" w:space="0" w:color="auto"/>
            <w:left w:val="none" w:sz="0" w:space="0" w:color="auto"/>
            <w:bottom w:val="none" w:sz="0" w:space="0" w:color="auto"/>
            <w:right w:val="none" w:sz="0" w:space="0" w:color="auto"/>
          </w:divBdr>
        </w:div>
        <w:div w:id="1052849338">
          <w:marLeft w:val="547"/>
          <w:marRight w:val="0"/>
          <w:marTop w:val="120"/>
          <w:marBottom w:val="0"/>
          <w:divBdr>
            <w:top w:val="none" w:sz="0" w:space="0" w:color="auto"/>
            <w:left w:val="none" w:sz="0" w:space="0" w:color="auto"/>
            <w:bottom w:val="none" w:sz="0" w:space="0" w:color="auto"/>
            <w:right w:val="none" w:sz="0" w:space="0" w:color="auto"/>
          </w:divBdr>
        </w:div>
        <w:div w:id="1204319916">
          <w:marLeft w:val="547"/>
          <w:marRight w:val="0"/>
          <w:marTop w:val="120"/>
          <w:marBottom w:val="0"/>
          <w:divBdr>
            <w:top w:val="none" w:sz="0" w:space="0" w:color="auto"/>
            <w:left w:val="none" w:sz="0" w:space="0" w:color="auto"/>
            <w:bottom w:val="none" w:sz="0" w:space="0" w:color="auto"/>
            <w:right w:val="none" w:sz="0" w:space="0" w:color="auto"/>
          </w:divBdr>
        </w:div>
        <w:div w:id="1502156773">
          <w:marLeft w:val="547"/>
          <w:marRight w:val="0"/>
          <w:marTop w:val="120"/>
          <w:marBottom w:val="0"/>
          <w:divBdr>
            <w:top w:val="none" w:sz="0" w:space="0" w:color="auto"/>
            <w:left w:val="none" w:sz="0" w:space="0" w:color="auto"/>
            <w:bottom w:val="none" w:sz="0" w:space="0" w:color="auto"/>
            <w:right w:val="none" w:sz="0" w:space="0" w:color="auto"/>
          </w:divBdr>
        </w:div>
        <w:div w:id="1537086853">
          <w:marLeft w:val="547"/>
          <w:marRight w:val="0"/>
          <w:marTop w:val="120"/>
          <w:marBottom w:val="0"/>
          <w:divBdr>
            <w:top w:val="none" w:sz="0" w:space="0" w:color="auto"/>
            <w:left w:val="none" w:sz="0" w:space="0" w:color="auto"/>
            <w:bottom w:val="none" w:sz="0" w:space="0" w:color="auto"/>
            <w:right w:val="none" w:sz="0" w:space="0" w:color="auto"/>
          </w:divBdr>
        </w:div>
        <w:div w:id="1687555647">
          <w:marLeft w:val="547"/>
          <w:marRight w:val="0"/>
          <w:marTop w:val="120"/>
          <w:marBottom w:val="0"/>
          <w:divBdr>
            <w:top w:val="none" w:sz="0" w:space="0" w:color="auto"/>
            <w:left w:val="none" w:sz="0" w:space="0" w:color="auto"/>
            <w:bottom w:val="none" w:sz="0" w:space="0" w:color="auto"/>
            <w:right w:val="none" w:sz="0" w:space="0" w:color="auto"/>
          </w:divBdr>
        </w:div>
        <w:div w:id="1924608999">
          <w:marLeft w:val="547"/>
          <w:marRight w:val="0"/>
          <w:marTop w:val="120"/>
          <w:marBottom w:val="0"/>
          <w:divBdr>
            <w:top w:val="none" w:sz="0" w:space="0" w:color="auto"/>
            <w:left w:val="none" w:sz="0" w:space="0" w:color="auto"/>
            <w:bottom w:val="none" w:sz="0" w:space="0" w:color="auto"/>
            <w:right w:val="none" w:sz="0" w:space="0" w:color="auto"/>
          </w:divBdr>
        </w:div>
      </w:divsChild>
    </w:div>
    <w:div w:id="415244703">
      <w:bodyDiv w:val="1"/>
      <w:marLeft w:val="0"/>
      <w:marRight w:val="0"/>
      <w:marTop w:val="0"/>
      <w:marBottom w:val="0"/>
      <w:divBdr>
        <w:top w:val="none" w:sz="0" w:space="0" w:color="auto"/>
        <w:left w:val="none" w:sz="0" w:space="0" w:color="auto"/>
        <w:bottom w:val="none" w:sz="0" w:space="0" w:color="auto"/>
        <w:right w:val="none" w:sz="0" w:space="0" w:color="auto"/>
      </w:divBdr>
    </w:div>
    <w:div w:id="433936386">
      <w:bodyDiv w:val="1"/>
      <w:marLeft w:val="0"/>
      <w:marRight w:val="0"/>
      <w:marTop w:val="0"/>
      <w:marBottom w:val="0"/>
      <w:divBdr>
        <w:top w:val="none" w:sz="0" w:space="0" w:color="auto"/>
        <w:left w:val="none" w:sz="0" w:space="0" w:color="auto"/>
        <w:bottom w:val="none" w:sz="0" w:space="0" w:color="auto"/>
        <w:right w:val="none" w:sz="0" w:space="0" w:color="auto"/>
      </w:divBdr>
    </w:div>
    <w:div w:id="477654982">
      <w:bodyDiv w:val="1"/>
      <w:marLeft w:val="0"/>
      <w:marRight w:val="0"/>
      <w:marTop w:val="0"/>
      <w:marBottom w:val="0"/>
      <w:divBdr>
        <w:top w:val="none" w:sz="0" w:space="0" w:color="auto"/>
        <w:left w:val="none" w:sz="0" w:space="0" w:color="auto"/>
        <w:bottom w:val="none" w:sz="0" w:space="0" w:color="auto"/>
        <w:right w:val="none" w:sz="0" w:space="0" w:color="auto"/>
      </w:divBdr>
      <w:divsChild>
        <w:div w:id="823473710">
          <w:marLeft w:val="0"/>
          <w:marRight w:val="0"/>
          <w:marTop w:val="0"/>
          <w:marBottom w:val="0"/>
          <w:divBdr>
            <w:top w:val="none" w:sz="0" w:space="0" w:color="auto"/>
            <w:left w:val="none" w:sz="0" w:space="0" w:color="auto"/>
            <w:bottom w:val="none" w:sz="0" w:space="0" w:color="auto"/>
            <w:right w:val="none" w:sz="0" w:space="0" w:color="auto"/>
          </w:divBdr>
        </w:div>
        <w:div w:id="1546453961">
          <w:marLeft w:val="0"/>
          <w:marRight w:val="0"/>
          <w:marTop w:val="0"/>
          <w:marBottom w:val="0"/>
          <w:divBdr>
            <w:top w:val="none" w:sz="0" w:space="0" w:color="auto"/>
            <w:left w:val="none" w:sz="0" w:space="0" w:color="auto"/>
            <w:bottom w:val="none" w:sz="0" w:space="0" w:color="auto"/>
            <w:right w:val="none" w:sz="0" w:space="0" w:color="auto"/>
          </w:divBdr>
        </w:div>
      </w:divsChild>
    </w:div>
    <w:div w:id="495077272">
      <w:bodyDiv w:val="1"/>
      <w:marLeft w:val="0"/>
      <w:marRight w:val="0"/>
      <w:marTop w:val="0"/>
      <w:marBottom w:val="0"/>
      <w:divBdr>
        <w:top w:val="none" w:sz="0" w:space="0" w:color="auto"/>
        <w:left w:val="none" w:sz="0" w:space="0" w:color="auto"/>
        <w:bottom w:val="none" w:sz="0" w:space="0" w:color="auto"/>
        <w:right w:val="none" w:sz="0" w:space="0" w:color="auto"/>
      </w:divBdr>
    </w:div>
    <w:div w:id="547500266">
      <w:bodyDiv w:val="1"/>
      <w:marLeft w:val="0"/>
      <w:marRight w:val="0"/>
      <w:marTop w:val="0"/>
      <w:marBottom w:val="0"/>
      <w:divBdr>
        <w:top w:val="none" w:sz="0" w:space="0" w:color="auto"/>
        <w:left w:val="none" w:sz="0" w:space="0" w:color="auto"/>
        <w:bottom w:val="none" w:sz="0" w:space="0" w:color="auto"/>
        <w:right w:val="none" w:sz="0" w:space="0" w:color="auto"/>
      </w:divBdr>
      <w:divsChild>
        <w:div w:id="32197715">
          <w:marLeft w:val="547"/>
          <w:marRight w:val="0"/>
          <w:marTop w:val="0"/>
          <w:marBottom w:val="0"/>
          <w:divBdr>
            <w:top w:val="none" w:sz="0" w:space="0" w:color="auto"/>
            <w:left w:val="none" w:sz="0" w:space="0" w:color="auto"/>
            <w:bottom w:val="none" w:sz="0" w:space="0" w:color="auto"/>
            <w:right w:val="none" w:sz="0" w:space="0" w:color="auto"/>
          </w:divBdr>
        </w:div>
        <w:div w:id="904336037">
          <w:marLeft w:val="547"/>
          <w:marRight w:val="0"/>
          <w:marTop w:val="0"/>
          <w:marBottom w:val="0"/>
          <w:divBdr>
            <w:top w:val="none" w:sz="0" w:space="0" w:color="auto"/>
            <w:left w:val="none" w:sz="0" w:space="0" w:color="auto"/>
            <w:bottom w:val="none" w:sz="0" w:space="0" w:color="auto"/>
            <w:right w:val="none" w:sz="0" w:space="0" w:color="auto"/>
          </w:divBdr>
        </w:div>
        <w:div w:id="994644080">
          <w:marLeft w:val="547"/>
          <w:marRight w:val="0"/>
          <w:marTop w:val="0"/>
          <w:marBottom w:val="0"/>
          <w:divBdr>
            <w:top w:val="none" w:sz="0" w:space="0" w:color="auto"/>
            <w:left w:val="none" w:sz="0" w:space="0" w:color="auto"/>
            <w:bottom w:val="none" w:sz="0" w:space="0" w:color="auto"/>
            <w:right w:val="none" w:sz="0" w:space="0" w:color="auto"/>
          </w:divBdr>
        </w:div>
        <w:div w:id="1048530459">
          <w:marLeft w:val="547"/>
          <w:marRight w:val="0"/>
          <w:marTop w:val="0"/>
          <w:marBottom w:val="0"/>
          <w:divBdr>
            <w:top w:val="none" w:sz="0" w:space="0" w:color="auto"/>
            <w:left w:val="none" w:sz="0" w:space="0" w:color="auto"/>
            <w:bottom w:val="none" w:sz="0" w:space="0" w:color="auto"/>
            <w:right w:val="none" w:sz="0" w:space="0" w:color="auto"/>
          </w:divBdr>
        </w:div>
      </w:divsChild>
    </w:div>
    <w:div w:id="548735128">
      <w:bodyDiv w:val="1"/>
      <w:marLeft w:val="0"/>
      <w:marRight w:val="0"/>
      <w:marTop w:val="0"/>
      <w:marBottom w:val="0"/>
      <w:divBdr>
        <w:top w:val="none" w:sz="0" w:space="0" w:color="auto"/>
        <w:left w:val="none" w:sz="0" w:space="0" w:color="auto"/>
        <w:bottom w:val="none" w:sz="0" w:space="0" w:color="auto"/>
        <w:right w:val="none" w:sz="0" w:space="0" w:color="auto"/>
      </w:divBdr>
    </w:div>
    <w:div w:id="627053516">
      <w:bodyDiv w:val="1"/>
      <w:marLeft w:val="0"/>
      <w:marRight w:val="0"/>
      <w:marTop w:val="0"/>
      <w:marBottom w:val="0"/>
      <w:divBdr>
        <w:top w:val="none" w:sz="0" w:space="0" w:color="auto"/>
        <w:left w:val="none" w:sz="0" w:space="0" w:color="auto"/>
        <w:bottom w:val="none" w:sz="0" w:space="0" w:color="auto"/>
        <w:right w:val="none" w:sz="0" w:space="0" w:color="auto"/>
      </w:divBdr>
      <w:divsChild>
        <w:div w:id="791823526">
          <w:marLeft w:val="547"/>
          <w:marRight w:val="0"/>
          <w:marTop w:val="0"/>
          <w:marBottom w:val="0"/>
          <w:divBdr>
            <w:top w:val="none" w:sz="0" w:space="0" w:color="auto"/>
            <w:left w:val="none" w:sz="0" w:space="0" w:color="auto"/>
            <w:bottom w:val="none" w:sz="0" w:space="0" w:color="auto"/>
            <w:right w:val="none" w:sz="0" w:space="0" w:color="auto"/>
          </w:divBdr>
        </w:div>
      </w:divsChild>
    </w:div>
    <w:div w:id="660741506">
      <w:bodyDiv w:val="1"/>
      <w:marLeft w:val="0"/>
      <w:marRight w:val="0"/>
      <w:marTop w:val="0"/>
      <w:marBottom w:val="0"/>
      <w:divBdr>
        <w:top w:val="none" w:sz="0" w:space="0" w:color="auto"/>
        <w:left w:val="none" w:sz="0" w:space="0" w:color="auto"/>
        <w:bottom w:val="none" w:sz="0" w:space="0" w:color="auto"/>
        <w:right w:val="none" w:sz="0" w:space="0" w:color="auto"/>
      </w:divBdr>
    </w:div>
    <w:div w:id="685063469">
      <w:bodyDiv w:val="1"/>
      <w:marLeft w:val="0"/>
      <w:marRight w:val="0"/>
      <w:marTop w:val="0"/>
      <w:marBottom w:val="0"/>
      <w:divBdr>
        <w:top w:val="none" w:sz="0" w:space="0" w:color="auto"/>
        <w:left w:val="none" w:sz="0" w:space="0" w:color="auto"/>
        <w:bottom w:val="none" w:sz="0" w:space="0" w:color="auto"/>
        <w:right w:val="none" w:sz="0" w:space="0" w:color="auto"/>
      </w:divBdr>
      <w:divsChild>
        <w:div w:id="193155122">
          <w:marLeft w:val="1267"/>
          <w:marRight w:val="0"/>
          <w:marTop w:val="120"/>
          <w:marBottom w:val="0"/>
          <w:divBdr>
            <w:top w:val="none" w:sz="0" w:space="0" w:color="auto"/>
            <w:left w:val="none" w:sz="0" w:space="0" w:color="auto"/>
            <w:bottom w:val="none" w:sz="0" w:space="0" w:color="auto"/>
            <w:right w:val="none" w:sz="0" w:space="0" w:color="auto"/>
          </w:divBdr>
        </w:div>
        <w:div w:id="487524540">
          <w:marLeft w:val="1267"/>
          <w:marRight w:val="0"/>
          <w:marTop w:val="120"/>
          <w:marBottom w:val="0"/>
          <w:divBdr>
            <w:top w:val="none" w:sz="0" w:space="0" w:color="auto"/>
            <w:left w:val="none" w:sz="0" w:space="0" w:color="auto"/>
            <w:bottom w:val="none" w:sz="0" w:space="0" w:color="auto"/>
            <w:right w:val="none" w:sz="0" w:space="0" w:color="auto"/>
          </w:divBdr>
        </w:div>
        <w:div w:id="704911520">
          <w:marLeft w:val="1267"/>
          <w:marRight w:val="0"/>
          <w:marTop w:val="120"/>
          <w:marBottom w:val="0"/>
          <w:divBdr>
            <w:top w:val="none" w:sz="0" w:space="0" w:color="auto"/>
            <w:left w:val="none" w:sz="0" w:space="0" w:color="auto"/>
            <w:bottom w:val="none" w:sz="0" w:space="0" w:color="auto"/>
            <w:right w:val="none" w:sz="0" w:space="0" w:color="auto"/>
          </w:divBdr>
        </w:div>
        <w:div w:id="719330150">
          <w:marLeft w:val="1267"/>
          <w:marRight w:val="0"/>
          <w:marTop w:val="120"/>
          <w:marBottom w:val="0"/>
          <w:divBdr>
            <w:top w:val="none" w:sz="0" w:space="0" w:color="auto"/>
            <w:left w:val="none" w:sz="0" w:space="0" w:color="auto"/>
            <w:bottom w:val="none" w:sz="0" w:space="0" w:color="auto"/>
            <w:right w:val="none" w:sz="0" w:space="0" w:color="auto"/>
          </w:divBdr>
        </w:div>
        <w:div w:id="816217069">
          <w:marLeft w:val="1267"/>
          <w:marRight w:val="0"/>
          <w:marTop w:val="120"/>
          <w:marBottom w:val="0"/>
          <w:divBdr>
            <w:top w:val="none" w:sz="0" w:space="0" w:color="auto"/>
            <w:left w:val="none" w:sz="0" w:space="0" w:color="auto"/>
            <w:bottom w:val="none" w:sz="0" w:space="0" w:color="auto"/>
            <w:right w:val="none" w:sz="0" w:space="0" w:color="auto"/>
          </w:divBdr>
        </w:div>
        <w:div w:id="891699863">
          <w:marLeft w:val="1267"/>
          <w:marRight w:val="0"/>
          <w:marTop w:val="120"/>
          <w:marBottom w:val="0"/>
          <w:divBdr>
            <w:top w:val="none" w:sz="0" w:space="0" w:color="auto"/>
            <w:left w:val="none" w:sz="0" w:space="0" w:color="auto"/>
            <w:bottom w:val="none" w:sz="0" w:space="0" w:color="auto"/>
            <w:right w:val="none" w:sz="0" w:space="0" w:color="auto"/>
          </w:divBdr>
        </w:div>
        <w:div w:id="1201672290">
          <w:marLeft w:val="1267"/>
          <w:marRight w:val="0"/>
          <w:marTop w:val="120"/>
          <w:marBottom w:val="0"/>
          <w:divBdr>
            <w:top w:val="none" w:sz="0" w:space="0" w:color="auto"/>
            <w:left w:val="none" w:sz="0" w:space="0" w:color="auto"/>
            <w:bottom w:val="none" w:sz="0" w:space="0" w:color="auto"/>
            <w:right w:val="none" w:sz="0" w:space="0" w:color="auto"/>
          </w:divBdr>
        </w:div>
        <w:div w:id="1266959493">
          <w:marLeft w:val="1267"/>
          <w:marRight w:val="0"/>
          <w:marTop w:val="120"/>
          <w:marBottom w:val="0"/>
          <w:divBdr>
            <w:top w:val="none" w:sz="0" w:space="0" w:color="auto"/>
            <w:left w:val="none" w:sz="0" w:space="0" w:color="auto"/>
            <w:bottom w:val="none" w:sz="0" w:space="0" w:color="auto"/>
            <w:right w:val="none" w:sz="0" w:space="0" w:color="auto"/>
          </w:divBdr>
        </w:div>
        <w:div w:id="1692143806">
          <w:marLeft w:val="1267"/>
          <w:marRight w:val="0"/>
          <w:marTop w:val="120"/>
          <w:marBottom w:val="0"/>
          <w:divBdr>
            <w:top w:val="none" w:sz="0" w:space="0" w:color="auto"/>
            <w:left w:val="none" w:sz="0" w:space="0" w:color="auto"/>
            <w:bottom w:val="none" w:sz="0" w:space="0" w:color="auto"/>
            <w:right w:val="none" w:sz="0" w:space="0" w:color="auto"/>
          </w:divBdr>
        </w:div>
      </w:divsChild>
    </w:div>
    <w:div w:id="687367665">
      <w:bodyDiv w:val="1"/>
      <w:marLeft w:val="0"/>
      <w:marRight w:val="0"/>
      <w:marTop w:val="0"/>
      <w:marBottom w:val="0"/>
      <w:divBdr>
        <w:top w:val="none" w:sz="0" w:space="0" w:color="auto"/>
        <w:left w:val="none" w:sz="0" w:space="0" w:color="auto"/>
        <w:bottom w:val="none" w:sz="0" w:space="0" w:color="auto"/>
        <w:right w:val="none" w:sz="0" w:space="0" w:color="auto"/>
      </w:divBdr>
    </w:div>
    <w:div w:id="723334918">
      <w:bodyDiv w:val="1"/>
      <w:marLeft w:val="0"/>
      <w:marRight w:val="0"/>
      <w:marTop w:val="0"/>
      <w:marBottom w:val="0"/>
      <w:divBdr>
        <w:top w:val="none" w:sz="0" w:space="0" w:color="auto"/>
        <w:left w:val="none" w:sz="0" w:space="0" w:color="auto"/>
        <w:bottom w:val="none" w:sz="0" w:space="0" w:color="auto"/>
        <w:right w:val="none" w:sz="0" w:space="0" w:color="auto"/>
      </w:divBdr>
    </w:div>
    <w:div w:id="741369509">
      <w:bodyDiv w:val="1"/>
      <w:marLeft w:val="0"/>
      <w:marRight w:val="0"/>
      <w:marTop w:val="0"/>
      <w:marBottom w:val="0"/>
      <w:divBdr>
        <w:top w:val="none" w:sz="0" w:space="0" w:color="auto"/>
        <w:left w:val="none" w:sz="0" w:space="0" w:color="auto"/>
        <w:bottom w:val="none" w:sz="0" w:space="0" w:color="auto"/>
        <w:right w:val="none" w:sz="0" w:space="0" w:color="auto"/>
      </w:divBdr>
    </w:div>
    <w:div w:id="784421632">
      <w:bodyDiv w:val="1"/>
      <w:marLeft w:val="0"/>
      <w:marRight w:val="0"/>
      <w:marTop w:val="0"/>
      <w:marBottom w:val="0"/>
      <w:divBdr>
        <w:top w:val="none" w:sz="0" w:space="0" w:color="auto"/>
        <w:left w:val="none" w:sz="0" w:space="0" w:color="auto"/>
        <w:bottom w:val="none" w:sz="0" w:space="0" w:color="auto"/>
        <w:right w:val="none" w:sz="0" w:space="0" w:color="auto"/>
      </w:divBdr>
    </w:div>
    <w:div w:id="801195125">
      <w:bodyDiv w:val="1"/>
      <w:marLeft w:val="0"/>
      <w:marRight w:val="0"/>
      <w:marTop w:val="0"/>
      <w:marBottom w:val="0"/>
      <w:divBdr>
        <w:top w:val="none" w:sz="0" w:space="0" w:color="auto"/>
        <w:left w:val="none" w:sz="0" w:space="0" w:color="auto"/>
        <w:bottom w:val="none" w:sz="0" w:space="0" w:color="auto"/>
        <w:right w:val="none" w:sz="0" w:space="0" w:color="auto"/>
      </w:divBdr>
    </w:div>
    <w:div w:id="803425009">
      <w:bodyDiv w:val="1"/>
      <w:marLeft w:val="0"/>
      <w:marRight w:val="0"/>
      <w:marTop w:val="0"/>
      <w:marBottom w:val="0"/>
      <w:divBdr>
        <w:top w:val="none" w:sz="0" w:space="0" w:color="auto"/>
        <w:left w:val="none" w:sz="0" w:space="0" w:color="auto"/>
        <w:bottom w:val="none" w:sz="0" w:space="0" w:color="auto"/>
        <w:right w:val="none" w:sz="0" w:space="0" w:color="auto"/>
      </w:divBdr>
    </w:div>
    <w:div w:id="806826291">
      <w:bodyDiv w:val="1"/>
      <w:marLeft w:val="0"/>
      <w:marRight w:val="0"/>
      <w:marTop w:val="0"/>
      <w:marBottom w:val="0"/>
      <w:divBdr>
        <w:top w:val="none" w:sz="0" w:space="0" w:color="auto"/>
        <w:left w:val="none" w:sz="0" w:space="0" w:color="auto"/>
        <w:bottom w:val="none" w:sz="0" w:space="0" w:color="auto"/>
        <w:right w:val="none" w:sz="0" w:space="0" w:color="auto"/>
      </w:divBdr>
      <w:divsChild>
        <w:div w:id="925652484">
          <w:marLeft w:val="547"/>
          <w:marRight w:val="0"/>
          <w:marTop w:val="0"/>
          <w:marBottom w:val="0"/>
          <w:divBdr>
            <w:top w:val="none" w:sz="0" w:space="0" w:color="auto"/>
            <w:left w:val="none" w:sz="0" w:space="0" w:color="auto"/>
            <w:bottom w:val="none" w:sz="0" w:space="0" w:color="auto"/>
            <w:right w:val="none" w:sz="0" w:space="0" w:color="auto"/>
          </w:divBdr>
        </w:div>
        <w:div w:id="940914818">
          <w:marLeft w:val="547"/>
          <w:marRight w:val="0"/>
          <w:marTop w:val="0"/>
          <w:marBottom w:val="0"/>
          <w:divBdr>
            <w:top w:val="none" w:sz="0" w:space="0" w:color="auto"/>
            <w:left w:val="none" w:sz="0" w:space="0" w:color="auto"/>
            <w:bottom w:val="none" w:sz="0" w:space="0" w:color="auto"/>
            <w:right w:val="none" w:sz="0" w:space="0" w:color="auto"/>
          </w:divBdr>
        </w:div>
        <w:div w:id="1298804924">
          <w:marLeft w:val="547"/>
          <w:marRight w:val="0"/>
          <w:marTop w:val="0"/>
          <w:marBottom w:val="0"/>
          <w:divBdr>
            <w:top w:val="none" w:sz="0" w:space="0" w:color="auto"/>
            <w:left w:val="none" w:sz="0" w:space="0" w:color="auto"/>
            <w:bottom w:val="none" w:sz="0" w:space="0" w:color="auto"/>
            <w:right w:val="none" w:sz="0" w:space="0" w:color="auto"/>
          </w:divBdr>
        </w:div>
        <w:div w:id="1960837522">
          <w:marLeft w:val="547"/>
          <w:marRight w:val="0"/>
          <w:marTop w:val="0"/>
          <w:marBottom w:val="0"/>
          <w:divBdr>
            <w:top w:val="none" w:sz="0" w:space="0" w:color="auto"/>
            <w:left w:val="none" w:sz="0" w:space="0" w:color="auto"/>
            <w:bottom w:val="none" w:sz="0" w:space="0" w:color="auto"/>
            <w:right w:val="none" w:sz="0" w:space="0" w:color="auto"/>
          </w:divBdr>
        </w:div>
        <w:div w:id="1991058374">
          <w:marLeft w:val="547"/>
          <w:marRight w:val="0"/>
          <w:marTop w:val="0"/>
          <w:marBottom w:val="0"/>
          <w:divBdr>
            <w:top w:val="none" w:sz="0" w:space="0" w:color="auto"/>
            <w:left w:val="none" w:sz="0" w:space="0" w:color="auto"/>
            <w:bottom w:val="none" w:sz="0" w:space="0" w:color="auto"/>
            <w:right w:val="none" w:sz="0" w:space="0" w:color="auto"/>
          </w:divBdr>
        </w:div>
        <w:div w:id="2011253760">
          <w:marLeft w:val="547"/>
          <w:marRight w:val="0"/>
          <w:marTop w:val="0"/>
          <w:marBottom w:val="0"/>
          <w:divBdr>
            <w:top w:val="none" w:sz="0" w:space="0" w:color="auto"/>
            <w:left w:val="none" w:sz="0" w:space="0" w:color="auto"/>
            <w:bottom w:val="none" w:sz="0" w:space="0" w:color="auto"/>
            <w:right w:val="none" w:sz="0" w:space="0" w:color="auto"/>
          </w:divBdr>
        </w:div>
      </w:divsChild>
    </w:div>
    <w:div w:id="810251668">
      <w:bodyDiv w:val="1"/>
      <w:marLeft w:val="0"/>
      <w:marRight w:val="0"/>
      <w:marTop w:val="0"/>
      <w:marBottom w:val="0"/>
      <w:divBdr>
        <w:top w:val="none" w:sz="0" w:space="0" w:color="auto"/>
        <w:left w:val="none" w:sz="0" w:space="0" w:color="auto"/>
        <w:bottom w:val="none" w:sz="0" w:space="0" w:color="auto"/>
        <w:right w:val="none" w:sz="0" w:space="0" w:color="auto"/>
      </w:divBdr>
    </w:div>
    <w:div w:id="817263021">
      <w:bodyDiv w:val="1"/>
      <w:marLeft w:val="0"/>
      <w:marRight w:val="0"/>
      <w:marTop w:val="0"/>
      <w:marBottom w:val="0"/>
      <w:divBdr>
        <w:top w:val="none" w:sz="0" w:space="0" w:color="auto"/>
        <w:left w:val="none" w:sz="0" w:space="0" w:color="auto"/>
        <w:bottom w:val="none" w:sz="0" w:space="0" w:color="auto"/>
        <w:right w:val="none" w:sz="0" w:space="0" w:color="auto"/>
      </w:divBdr>
      <w:divsChild>
        <w:div w:id="711275088">
          <w:marLeft w:val="547"/>
          <w:marRight w:val="0"/>
          <w:marTop w:val="0"/>
          <w:marBottom w:val="0"/>
          <w:divBdr>
            <w:top w:val="none" w:sz="0" w:space="0" w:color="auto"/>
            <w:left w:val="none" w:sz="0" w:space="0" w:color="auto"/>
            <w:bottom w:val="none" w:sz="0" w:space="0" w:color="auto"/>
            <w:right w:val="none" w:sz="0" w:space="0" w:color="auto"/>
          </w:divBdr>
        </w:div>
        <w:div w:id="921449417">
          <w:marLeft w:val="547"/>
          <w:marRight w:val="0"/>
          <w:marTop w:val="0"/>
          <w:marBottom w:val="0"/>
          <w:divBdr>
            <w:top w:val="none" w:sz="0" w:space="0" w:color="auto"/>
            <w:left w:val="none" w:sz="0" w:space="0" w:color="auto"/>
            <w:bottom w:val="none" w:sz="0" w:space="0" w:color="auto"/>
            <w:right w:val="none" w:sz="0" w:space="0" w:color="auto"/>
          </w:divBdr>
        </w:div>
        <w:div w:id="953101029">
          <w:marLeft w:val="547"/>
          <w:marRight w:val="0"/>
          <w:marTop w:val="0"/>
          <w:marBottom w:val="0"/>
          <w:divBdr>
            <w:top w:val="none" w:sz="0" w:space="0" w:color="auto"/>
            <w:left w:val="none" w:sz="0" w:space="0" w:color="auto"/>
            <w:bottom w:val="none" w:sz="0" w:space="0" w:color="auto"/>
            <w:right w:val="none" w:sz="0" w:space="0" w:color="auto"/>
          </w:divBdr>
        </w:div>
        <w:div w:id="1503008707">
          <w:marLeft w:val="547"/>
          <w:marRight w:val="0"/>
          <w:marTop w:val="0"/>
          <w:marBottom w:val="0"/>
          <w:divBdr>
            <w:top w:val="none" w:sz="0" w:space="0" w:color="auto"/>
            <w:left w:val="none" w:sz="0" w:space="0" w:color="auto"/>
            <w:bottom w:val="none" w:sz="0" w:space="0" w:color="auto"/>
            <w:right w:val="none" w:sz="0" w:space="0" w:color="auto"/>
          </w:divBdr>
        </w:div>
        <w:div w:id="2062626855">
          <w:marLeft w:val="547"/>
          <w:marRight w:val="0"/>
          <w:marTop w:val="0"/>
          <w:marBottom w:val="0"/>
          <w:divBdr>
            <w:top w:val="none" w:sz="0" w:space="0" w:color="auto"/>
            <w:left w:val="none" w:sz="0" w:space="0" w:color="auto"/>
            <w:bottom w:val="none" w:sz="0" w:space="0" w:color="auto"/>
            <w:right w:val="none" w:sz="0" w:space="0" w:color="auto"/>
          </w:divBdr>
        </w:div>
      </w:divsChild>
    </w:div>
    <w:div w:id="823665020">
      <w:bodyDiv w:val="1"/>
      <w:marLeft w:val="0"/>
      <w:marRight w:val="0"/>
      <w:marTop w:val="0"/>
      <w:marBottom w:val="0"/>
      <w:divBdr>
        <w:top w:val="none" w:sz="0" w:space="0" w:color="auto"/>
        <w:left w:val="none" w:sz="0" w:space="0" w:color="auto"/>
        <w:bottom w:val="none" w:sz="0" w:space="0" w:color="auto"/>
        <w:right w:val="none" w:sz="0" w:space="0" w:color="auto"/>
      </w:divBdr>
      <w:divsChild>
        <w:div w:id="7828870">
          <w:marLeft w:val="1267"/>
          <w:marRight w:val="0"/>
          <w:marTop w:val="120"/>
          <w:marBottom w:val="0"/>
          <w:divBdr>
            <w:top w:val="none" w:sz="0" w:space="0" w:color="auto"/>
            <w:left w:val="none" w:sz="0" w:space="0" w:color="auto"/>
            <w:bottom w:val="none" w:sz="0" w:space="0" w:color="auto"/>
            <w:right w:val="none" w:sz="0" w:space="0" w:color="auto"/>
          </w:divBdr>
        </w:div>
        <w:div w:id="224416727">
          <w:marLeft w:val="1267"/>
          <w:marRight w:val="0"/>
          <w:marTop w:val="120"/>
          <w:marBottom w:val="0"/>
          <w:divBdr>
            <w:top w:val="none" w:sz="0" w:space="0" w:color="auto"/>
            <w:left w:val="none" w:sz="0" w:space="0" w:color="auto"/>
            <w:bottom w:val="none" w:sz="0" w:space="0" w:color="auto"/>
            <w:right w:val="none" w:sz="0" w:space="0" w:color="auto"/>
          </w:divBdr>
        </w:div>
        <w:div w:id="564341079">
          <w:marLeft w:val="1267"/>
          <w:marRight w:val="0"/>
          <w:marTop w:val="120"/>
          <w:marBottom w:val="0"/>
          <w:divBdr>
            <w:top w:val="none" w:sz="0" w:space="0" w:color="auto"/>
            <w:left w:val="none" w:sz="0" w:space="0" w:color="auto"/>
            <w:bottom w:val="none" w:sz="0" w:space="0" w:color="auto"/>
            <w:right w:val="none" w:sz="0" w:space="0" w:color="auto"/>
          </w:divBdr>
        </w:div>
        <w:div w:id="832986990">
          <w:marLeft w:val="1267"/>
          <w:marRight w:val="0"/>
          <w:marTop w:val="120"/>
          <w:marBottom w:val="0"/>
          <w:divBdr>
            <w:top w:val="none" w:sz="0" w:space="0" w:color="auto"/>
            <w:left w:val="none" w:sz="0" w:space="0" w:color="auto"/>
            <w:bottom w:val="none" w:sz="0" w:space="0" w:color="auto"/>
            <w:right w:val="none" w:sz="0" w:space="0" w:color="auto"/>
          </w:divBdr>
        </w:div>
        <w:div w:id="1232345298">
          <w:marLeft w:val="1267"/>
          <w:marRight w:val="0"/>
          <w:marTop w:val="120"/>
          <w:marBottom w:val="0"/>
          <w:divBdr>
            <w:top w:val="none" w:sz="0" w:space="0" w:color="auto"/>
            <w:left w:val="none" w:sz="0" w:space="0" w:color="auto"/>
            <w:bottom w:val="none" w:sz="0" w:space="0" w:color="auto"/>
            <w:right w:val="none" w:sz="0" w:space="0" w:color="auto"/>
          </w:divBdr>
        </w:div>
        <w:div w:id="1862937227">
          <w:marLeft w:val="1267"/>
          <w:marRight w:val="0"/>
          <w:marTop w:val="120"/>
          <w:marBottom w:val="0"/>
          <w:divBdr>
            <w:top w:val="none" w:sz="0" w:space="0" w:color="auto"/>
            <w:left w:val="none" w:sz="0" w:space="0" w:color="auto"/>
            <w:bottom w:val="none" w:sz="0" w:space="0" w:color="auto"/>
            <w:right w:val="none" w:sz="0" w:space="0" w:color="auto"/>
          </w:divBdr>
        </w:div>
      </w:divsChild>
    </w:div>
    <w:div w:id="830292473">
      <w:bodyDiv w:val="1"/>
      <w:marLeft w:val="0"/>
      <w:marRight w:val="0"/>
      <w:marTop w:val="0"/>
      <w:marBottom w:val="0"/>
      <w:divBdr>
        <w:top w:val="none" w:sz="0" w:space="0" w:color="auto"/>
        <w:left w:val="none" w:sz="0" w:space="0" w:color="auto"/>
        <w:bottom w:val="none" w:sz="0" w:space="0" w:color="auto"/>
        <w:right w:val="none" w:sz="0" w:space="0" w:color="auto"/>
      </w:divBdr>
      <w:divsChild>
        <w:div w:id="170068000">
          <w:marLeft w:val="720"/>
          <w:marRight w:val="0"/>
          <w:marTop w:val="144"/>
          <w:marBottom w:val="96"/>
          <w:divBdr>
            <w:top w:val="none" w:sz="0" w:space="0" w:color="auto"/>
            <w:left w:val="none" w:sz="0" w:space="0" w:color="auto"/>
            <w:bottom w:val="none" w:sz="0" w:space="0" w:color="auto"/>
            <w:right w:val="none" w:sz="0" w:space="0" w:color="auto"/>
          </w:divBdr>
        </w:div>
        <w:div w:id="1172064463">
          <w:marLeft w:val="720"/>
          <w:marRight w:val="0"/>
          <w:marTop w:val="144"/>
          <w:marBottom w:val="96"/>
          <w:divBdr>
            <w:top w:val="none" w:sz="0" w:space="0" w:color="auto"/>
            <w:left w:val="none" w:sz="0" w:space="0" w:color="auto"/>
            <w:bottom w:val="none" w:sz="0" w:space="0" w:color="auto"/>
            <w:right w:val="none" w:sz="0" w:space="0" w:color="auto"/>
          </w:divBdr>
        </w:div>
        <w:div w:id="1309939027">
          <w:marLeft w:val="720"/>
          <w:marRight w:val="0"/>
          <w:marTop w:val="144"/>
          <w:marBottom w:val="96"/>
          <w:divBdr>
            <w:top w:val="none" w:sz="0" w:space="0" w:color="auto"/>
            <w:left w:val="none" w:sz="0" w:space="0" w:color="auto"/>
            <w:bottom w:val="none" w:sz="0" w:space="0" w:color="auto"/>
            <w:right w:val="none" w:sz="0" w:space="0" w:color="auto"/>
          </w:divBdr>
        </w:div>
      </w:divsChild>
    </w:div>
    <w:div w:id="840781648">
      <w:bodyDiv w:val="1"/>
      <w:marLeft w:val="0"/>
      <w:marRight w:val="0"/>
      <w:marTop w:val="0"/>
      <w:marBottom w:val="0"/>
      <w:divBdr>
        <w:top w:val="none" w:sz="0" w:space="0" w:color="auto"/>
        <w:left w:val="none" w:sz="0" w:space="0" w:color="auto"/>
        <w:bottom w:val="none" w:sz="0" w:space="0" w:color="auto"/>
        <w:right w:val="none" w:sz="0" w:space="0" w:color="auto"/>
      </w:divBdr>
      <w:divsChild>
        <w:div w:id="84227198">
          <w:marLeft w:val="547"/>
          <w:marRight w:val="0"/>
          <w:marTop w:val="0"/>
          <w:marBottom w:val="0"/>
          <w:divBdr>
            <w:top w:val="none" w:sz="0" w:space="0" w:color="auto"/>
            <w:left w:val="none" w:sz="0" w:space="0" w:color="auto"/>
            <w:bottom w:val="none" w:sz="0" w:space="0" w:color="auto"/>
            <w:right w:val="none" w:sz="0" w:space="0" w:color="auto"/>
          </w:divBdr>
        </w:div>
        <w:div w:id="549344090">
          <w:marLeft w:val="547"/>
          <w:marRight w:val="0"/>
          <w:marTop w:val="0"/>
          <w:marBottom w:val="0"/>
          <w:divBdr>
            <w:top w:val="none" w:sz="0" w:space="0" w:color="auto"/>
            <w:left w:val="none" w:sz="0" w:space="0" w:color="auto"/>
            <w:bottom w:val="none" w:sz="0" w:space="0" w:color="auto"/>
            <w:right w:val="none" w:sz="0" w:space="0" w:color="auto"/>
          </w:divBdr>
        </w:div>
        <w:div w:id="931471833">
          <w:marLeft w:val="547"/>
          <w:marRight w:val="0"/>
          <w:marTop w:val="0"/>
          <w:marBottom w:val="0"/>
          <w:divBdr>
            <w:top w:val="none" w:sz="0" w:space="0" w:color="auto"/>
            <w:left w:val="none" w:sz="0" w:space="0" w:color="auto"/>
            <w:bottom w:val="none" w:sz="0" w:space="0" w:color="auto"/>
            <w:right w:val="none" w:sz="0" w:space="0" w:color="auto"/>
          </w:divBdr>
        </w:div>
        <w:div w:id="1586181611">
          <w:marLeft w:val="547"/>
          <w:marRight w:val="0"/>
          <w:marTop w:val="0"/>
          <w:marBottom w:val="0"/>
          <w:divBdr>
            <w:top w:val="none" w:sz="0" w:space="0" w:color="auto"/>
            <w:left w:val="none" w:sz="0" w:space="0" w:color="auto"/>
            <w:bottom w:val="none" w:sz="0" w:space="0" w:color="auto"/>
            <w:right w:val="none" w:sz="0" w:space="0" w:color="auto"/>
          </w:divBdr>
        </w:div>
        <w:div w:id="1676028488">
          <w:marLeft w:val="547"/>
          <w:marRight w:val="0"/>
          <w:marTop w:val="0"/>
          <w:marBottom w:val="0"/>
          <w:divBdr>
            <w:top w:val="none" w:sz="0" w:space="0" w:color="auto"/>
            <w:left w:val="none" w:sz="0" w:space="0" w:color="auto"/>
            <w:bottom w:val="none" w:sz="0" w:space="0" w:color="auto"/>
            <w:right w:val="none" w:sz="0" w:space="0" w:color="auto"/>
          </w:divBdr>
        </w:div>
      </w:divsChild>
    </w:div>
    <w:div w:id="845676805">
      <w:bodyDiv w:val="1"/>
      <w:marLeft w:val="0"/>
      <w:marRight w:val="0"/>
      <w:marTop w:val="0"/>
      <w:marBottom w:val="0"/>
      <w:divBdr>
        <w:top w:val="none" w:sz="0" w:space="0" w:color="auto"/>
        <w:left w:val="none" w:sz="0" w:space="0" w:color="auto"/>
        <w:bottom w:val="none" w:sz="0" w:space="0" w:color="auto"/>
        <w:right w:val="none" w:sz="0" w:space="0" w:color="auto"/>
      </w:divBdr>
    </w:div>
    <w:div w:id="851601593">
      <w:bodyDiv w:val="1"/>
      <w:marLeft w:val="0"/>
      <w:marRight w:val="0"/>
      <w:marTop w:val="0"/>
      <w:marBottom w:val="0"/>
      <w:divBdr>
        <w:top w:val="none" w:sz="0" w:space="0" w:color="auto"/>
        <w:left w:val="none" w:sz="0" w:space="0" w:color="auto"/>
        <w:bottom w:val="none" w:sz="0" w:space="0" w:color="auto"/>
        <w:right w:val="none" w:sz="0" w:space="0" w:color="auto"/>
      </w:divBdr>
    </w:div>
    <w:div w:id="852912486">
      <w:bodyDiv w:val="1"/>
      <w:marLeft w:val="0"/>
      <w:marRight w:val="0"/>
      <w:marTop w:val="0"/>
      <w:marBottom w:val="0"/>
      <w:divBdr>
        <w:top w:val="none" w:sz="0" w:space="0" w:color="auto"/>
        <w:left w:val="none" w:sz="0" w:space="0" w:color="auto"/>
        <w:bottom w:val="none" w:sz="0" w:space="0" w:color="auto"/>
        <w:right w:val="none" w:sz="0" w:space="0" w:color="auto"/>
      </w:divBdr>
    </w:div>
    <w:div w:id="855579438">
      <w:bodyDiv w:val="1"/>
      <w:marLeft w:val="0"/>
      <w:marRight w:val="0"/>
      <w:marTop w:val="0"/>
      <w:marBottom w:val="0"/>
      <w:divBdr>
        <w:top w:val="none" w:sz="0" w:space="0" w:color="auto"/>
        <w:left w:val="none" w:sz="0" w:space="0" w:color="auto"/>
        <w:bottom w:val="none" w:sz="0" w:space="0" w:color="auto"/>
        <w:right w:val="none" w:sz="0" w:space="0" w:color="auto"/>
      </w:divBdr>
    </w:div>
    <w:div w:id="882837209">
      <w:bodyDiv w:val="1"/>
      <w:marLeft w:val="0"/>
      <w:marRight w:val="0"/>
      <w:marTop w:val="0"/>
      <w:marBottom w:val="0"/>
      <w:divBdr>
        <w:top w:val="none" w:sz="0" w:space="0" w:color="auto"/>
        <w:left w:val="none" w:sz="0" w:space="0" w:color="auto"/>
        <w:bottom w:val="none" w:sz="0" w:space="0" w:color="auto"/>
        <w:right w:val="none" w:sz="0" w:space="0" w:color="auto"/>
      </w:divBdr>
      <w:divsChild>
        <w:div w:id="525169530">
          <w:marLeft w:val="547"/>
          <w:marRight w:val="0"/>
          <w:marTop w:val="96"/>
          <w:marBottom w:val="0"/>
          <w:divBdr>
            <w:top w:val="none" w:sz="0" w:space="0" w:color="auto"/>
            <w:left w:val="none" w:sz="0" w:space="0" w:color="auto"/>
            <w:bottom w:val="none" w:sz="0" w:space="0" w:color="auto"/>
            <w:right w:val="none" w:sz="0" w:space="0" w:color="auto"/>
          </w:divBdr>
        </w:div>
        <w:div w:id="818309438">
          <w:marLeft w:val="547"/>
          <w:marRight w:val="0"/>
          <w:marTop w:val="96"/>
          <w:marBottom w:val="0"/>
          <w:divBdr>
            <w:top w:val="none" w:sz="0" w:space="0" w:color="auto"/>
            <w:left w:val="none" w:sz="0" w:space="0" w:color="auto"/>
            <w:bottom w:val="none" w:sz="0" w:space="0" w:color="auto"/>
            <w:right w:val="none" w:sz="0" w:space="0" w:color="auto"/>
          </w:divBdr>
        </w:div>
        <w:div w:id="861478824">
          <w:marLeft w:val="547"/>
          <w:marRight w:val="0"/>
          <w:marTop w:val="96"/>
          <w:marBottom w:val="0"/>
          <w:divBdr>
            <w:top w:val="none" w:sz="0" w:space="0" w:color="auto"/>
            <w:left w:val="none" w:sz="0" w:space="0" w:color="auto"/>
            <w:bottom w:val="none" w:sz="0" w:space="0" w:color="auto"/>
            <w:right w:val="none" w:sz="0" w:space="0" w:color="auto"/>
          </w:divBdr>
        </w:div>
        <w:div w:id="872035391">
          <w:marLeft w:val="547"/>
          <w:marRight w:val="0"/>
          <w:marTop w:val="96"/>
          <w:marBottom w:val="0"/>
          <w:divBdr>
            <w:top w:val="none" w:sz="0" w:space="0" w:color="auto"/>
            <w:left w:val="none" w:sz="0" w:space="0" w:color="auto"/>
            <w:bottom w:val="none" w:sz="0" w:space="0" w:color="auto"/>
            <w:right w:val="none" w:sz="0" w:space="0" w:color="auto"/>
          </w:divBdr>
        </w:div>
        <w:div w:id="1006397539">
          <w:marLeft w:val="547"/>
          <w:marRight w:val="0"/>
          <w:marTop w:val="96"/>
          <w:marBottom w:val="0"/>
          <w:divBdr>
            <w:top w:val="none" w:sz="0" w:space="0" w:color="auto"/>
            <w:left w:val="none" w:sz="0" w:space="0" w:color="auto"/>
            <w:bottom w:val="none" w:sz="0" w:space="0" w:color="auto"/>
            <w:right w:val="none" w:sz="0" w:space="0" w:color="auto"/>
          </w:divBdr>
        </w:div>
        <w:div w:id="1027213264">
          <w:marLeft w:val="547"/>
          <w:marRight w:val="0"/>
          <w:marTop w:val="96"/>
          <w:marBottom w:val="0"/>
          <w:divBdr>
            <w:top w:val="none" w:sz="0" w:space="0" w:color="auto"/>
            <w:left w:val="none" w:sz="0" w:space="0" w:color="auto"/>
            <w:bottom w:val="none" w:sz="0" w:space="0" w:color="auto"/>
            <w:right w:val="none" w:sz="0" w:space="0" w:color="auto"/>
          </w:divBdr>
        </w:div>
        <w:div w:id="1091464425">
          <w:marLeft w:val="547"/>
          <w:marRight w:val="0"/>
          <w:marTop w:val="96"/>
          <w:marBottom w:val="0"/>
          <w:divBdr>
            <w:top w:val="none" w:sz="0" w:space="0" w:color="auto"/>
            <w:left w:val="none" w:sz="0" w:space="0" w:color="auto"/>
            <w:bottom w:val="none" w:sz="0" w:space="0" w:color="auto"/>
            <w:right w:val="none" w:sz="0" w:space="0" w:color="auto"/>
          </w:divBdr>
        </w:div>
        <w:div w:id="1616719356">
          <w:marLeft w:val="547"/>
          <w:marRight w:val="0"/>
          <w:marTop w:val="96"/>
          <w:marBottom w:val="0"/>
          <w:divBdr>
            <w:top w:val="none" w:sz="0" w:space="0" w:color="auto"/>
            <w:left w:val="none" w:sz="0" w:space="0" w:color="auto"/>
            <w:bottom w:val="none" w:sz="0" w:space="0" w:color="auto"/>
            <w:right w:val="none" w:sz="0" w:space="0" w:color="auto"/>
          </w:divBdr>
        </w:div>
        <w:div w:id="1998148275">
          <w:marLeft w:val="547"/>
          <w:marRight w:val="0"/>
          <w:marTop w:val="96"/>
          <w:marBottom w:val="0"/>
          <w:divBdr>
            <w:top w:val="none" w:sz="0" w:space="0" w:color="auto"/>
            <w:left w:val="none" w:sz="0" w:space="0" w:color="auto"/>
            <w:bottom w:val="none" w:sz="0" w:space="0" w:color="auto"/>
            <w:right w:val="none" w:sz="0" w:space="0" w:color="auto"/>
          </w:divBdr>
        </w:div>
        <w:div w:id="2064676437">
          <w:marLeft w:val="547"/>
          <w:marRight w:val="0"/>
          <w:marTop w:val="96"/>
          <w:marBottom w:val="0"/>
          <w:divBdr>
            <w:top w:val="none" w:sz="0" w:space="0" w:color="auto"/>
            <w:left w:val="none" w:sz="0" w:space="0" w:color="auto"/>
            <w:bottom w:val="none" w:sz="0" w:space="0" w:color="auto"/>
            <w:right w:val="none" w:sz="0" w:space="0" w:color="auto"/>
          </w:divBdr>
        </w:div>
      </w:divsChild>
    </w:div>
    <w:div w:id="919172076">
      <w:bodyDiv w:val="1"/>
      <w:marLeft w:val="0"/>
      <w:marRight w:val="0"/>
      <w:marTop w:val="0"/>
      <w:marBottom w:val="0"/>
      <w:divBdr>
        <w:top w:val="none" w:sz="0" w:space="0" w:color="auto"/>
        <w:left w:val="none" w:sz="0" w:space="0" w:color="auto"/>
        <w:bottom w:val="none" w:sz="0" w:space="0" w:color="auto"/>
        <w:right w:val="none" w:sz="0" w:space="0" w:color="auto"/>
      </w:divBdr>
      <w:divsChild>
        <w:div w:id="1901941350">
          <w:marLeft w:val="547"/>
          <w:marRight w:val="0"/>
          <w:marTop w:val="0"/>
          <w:marBottom w:val="0"/>
          <w:divBdr>
            <w:top w:val="none" w:sz="0" w:space="0" w:color="auto"/>
            <w:left w:val="none" w:sz="0" w:space="0" w:color="auto"/>
            <w:bottom w:val="none" w:sz="0" w:space="0" w:color="auto"/>
            <w:right w:val="none" w:sz="0" w:space="0" w:color="auto"/>
          </w:divBdr>
        </w:div>
      </w:divsChild>
    </w:div>
    <w:div w:id="929198721">
      <w:bodyDiv w:val="1"/>
      <w:marLeft w:val="0"/>
      <w:marRight w:val="0"/>
      <w:marTop w:val="0"/>
      <w:marBottom w:val="0"/>
      <w:divBdr>
        <w:top w:val="none" w:sz="0" w:space="0" w:color="auto"/>
        <w:left w:val="none" w:sz="0" w:space="0" w:color="auto"/>
        <w:bottom w:val="none" w:sz="0" w:space="0" w:color="auto"/>
        <w:right w:val="none" w:sz="0" w:space="0" w:color="auto"/>
      </w:divBdr>
      <w:divsChild>
        <w:div w:id="1128284067">
          <w:marLeft w:val="547"/>
          <w:marRight w:val="0"/>
          <w:marTop w:val="240"/>
          <w:marBottom w:val="0"/>
          <w:divBdr>
            <w:top w:val="none" w:sz="0" w:space="0" w:color="auto"/>
            <w:left w:val="none" w:sz="0" w:space="0" w:color="auto"/>
            <w:bottom w:val="none" w:sz="0" w:space="0" w:color="auto"/>
            <w:right w:val="none" w:sz="0" w:space="0" w:color="auto"/>
          </w:divBdr>
        </w:div>
        <w:div w:id="1494176872">
          <w:marLeft w:val="547"/>
          <w:marRight w:val="0"/>
          <w:marTop w:val="240"/>
          <w:marBottom w:val="0"/>
          <w:divBdr>
            <w:top w:val="none" w:sz="0" w:space="0" w:color="auto"/>
            <w:left w:val="none" w:sz="0" w:space="0" w:color="auto"/>
            <w:bottom w:val="none" w:sz="0" w:space="0" w:color="auto"/>
            <w:right w:val="none" w:sz="0" w:space="0" w:color="auto"/>
          </w:divBdr>
        </w:div>
      </w:divsChild>
    </w:div>
    <w:div w:id="1025909828">
      <w:bodyDiv w:val="1"/>
      <w:marLeft w:val="0"/>
      <w:marRight w:val="0"/>
      <w:marTop w:val="0"/>
      <w:marBottom w:val="0"/>
      <w:divBdr>
        <w:top w:val="none" w:sz="0" w:space="0" w:color="auto"/>
        <w:left w:val="none" w:sz="0" w:space="0" w:color="auto"/>
        <w:bottom w:val="none" w:sz="0" w:space="0" w:color="auto"/>
        <w:right w:val="none" w:sz="0" w:space="0" w:color="auto"/>
      </w:divBdr>
      <w:divsChild>
        <w:div w:id="540174472">
          <w:marLeft w:val="1267"/>
          <w:marRight w:val="0"/>
          <w:marTop w:val="120"/>
          <w:marBottom w:val="0"/>
          <w:divBdr>
            <w:top w:val="none" w:sz="0" w:space="0" w:color="auto"/>
            <w:left w:val="none" w:sz="0" w:space="0" w:color="auto"/>
            <w:bottom w:val="none" w:sz="0" w:space="0" w:color="auto"/>
            <w:right w:val="none" w:sz="0" w:space="0" w:color="auto"/>
          </w:divBdr>
        </w:div>
        <w:div w:id="685638571">
          <w:marLeft w:val="1267"/>
          <w:marRight w:val="0"/>
          <w:marTop w:val="120"/>
          <w:marBottom w:val="0"/>
          <w:divBdr>
            <w:top w:val="none" w:sz="0" w:space="0" w:color="auto"/>
            <w:left w:val="none" w:sz="0" w:space="0" w:color="auto"/>
            <w:bottom w:val="none" w:sz="0" w:space="0" w:color="auto"/>
            <w:right w:val="none" w:sz="0" w:space="0" w:color="auto"/>
          </w:divBdr>
        </w:div>
        <w:div w:id="837385079">
          <w:marLeft w:val="1267"/>
          <w:marRight w:val="0"/>
          <w:marTop w:val="120"/>
          <w:marBottom w:val="0"/>
          <w:divBdr>
            <w:top w:val="none" w:sz="0" w:space="0" w:color="auto"/>
            <w:left w:val="none" w:sz="0" w:space="0" w:color="auto"/>
            <w:bottom w:val="none" w:sz="0" w:space="0" w:color="auto"/>
            <w:right w:val="none" w:sz="0" w:space="0" w:color="auto"/>
          </w:divBdr>
        </w:div>
        <w:div w:id="1535535280">
          <w:marLeft w:val="1267"/>
          <w:marRight w:val="0"/>
          <w:marTop w:val="120"/>
          <w:marBottom w:val="0"/>
          <w:divBdr>
            <w:top w:val="none" w:sz="0" w:space="0" w:color="auto"/>
            <w:left w:val="none" w:sz="0" w:space="0" w:color="auto"/>
            <w:bottom w:val="none" w:sz="0" w:space="0" w:color="auto"/>
            <w:right w:val="none" w:sz="0" w:space="0" w:color="auto"/>
          </w:divBdr>
        </w:div>
      </w:divsChild>
    </w:div>
    <w:div w:id="1047414004">
      <w:bodyDiv w:val="1"/>
      <w:marLeft w:val="0"/>
      <w:marRight w:val="0"/>
      <w:marTop w:val="0"/>
      <w:marBottom w:val="0"/>
      <w:divBdr>
        <w:top w:val="none" w:sz="0" w:space="0" w:color="auto"/>
        <w:left w:val="none" w:sz="0" w:space="0" w:color="auto"/>
        <w:bottom w:val="none" w:sz="0" w:space="0" w:color="auto"/>
        <w:right w:val="none" w:sz="0" w:space="0" w:color="auto"/>
      </w:divBdr>
    </w:div>
    <w:div w:id="1076172238">
      <w:bodyDiv w:val="1"/>
      <w:marLeft w:val="0"/>
      <w:marRight w:val="0"/>
      <w:marTop w:val="0"/>
      <w:marBottom w:val="0"/>
      <w:divBdr>
        <w:top w:val="none" w:sz="0" w:space="0" w:color="auto"/>
        <w:left w:val="none" w:sz="0" w:space="0" w:color="auto"/>
        <w:bottom w:val="none" w:sz="0" w:space="0" w:color="auto"/>
        <w:right w:val="none" w:sz="0" w:space="0" w:color="auto"/>
      </w:divBdr>
    </w:div>
    <w:div w:id="1120686730">
      <w:bodyDiv w:val="1"/>
      <w:marLeft w:val="0"/>
      <w:marRight w:val="0"/>
      <w:marTop w:val="0"/>
      <w:marBottom w:val="0"/>
      <w:divBdr>
        <w:top w:val="none" w:sz="0" w:space="0" w:color="auto"/>
        <w:left w:val="none" w:sz="0" w:space="0" w:color="auto"/>
        <w:bottom w:val="none" w:sz="0" w:space="0" w:color="auto"/>
        <w:right w:val="none" w:sz="0" w:space="0" w:color="auto"/>
      </w:divBdr>
    </w:div>
    <w:div w:id="1171218133">
      <w:bodyDiv w:val="1"/>
      <w:marLeft w:val="0"/>
      <w:marRight w:val="0"/>
      <w:marTop w:val="0"/>
      <w:marBottom w:val="0"/>
      <w:divBdr>
        <w:top w:val="none" w:sz="0" w:space="0" w:color="auto"/>
        <w:left w:val="none" w:sz="0" w:space="0" w:color="auto"/>
        <w:bottom w:val="none" w:sz="0" w:space="0" w:color="auto"/>
        <w:right w:val="none" w:sz="0" w:space="0" w:color="auto"/>
      </w:divBdr>
      <w:divsChild>
        <w:div w:id="979461597">
          <w:marLeft w:val="0"/>
          <w:marRight w:val="0"/>
          <w:marTop w:val="0"/>
          <w:marBottom w:val="0"/>
          <w:divBdr>
            <w:top w:val="none" w:sz="0" w:space="0" w:color="auto"/>
            <w:left w:val="none" w:sz="0" w:space="0" w:color="auto"/>
            <w:bottom w:val="none" w:sz="0" w:space="0" w:color="auto"/>
            <w:right w:val="none" w:sz="0" w:space="0" w:color="auto"/>
          </w:divBdr>
        </w:div>
        <w:div w:id="1656255819">
          <w:marLeft w:val="0"/>
          <w:marRight w:val="0"/>
          <w:marTop w:val="0"/>
          <w:marBottom w:val="0"/>
          <w:divBdr>
            <w:top w:val="none" w:sz="0" w:space="0" w:color="auto"/>
            <w:left w:val="none" w:sz="0" w:space="0" w:color="auto"/>
            <w:bottom w:val="none" w:sz="0" w:space="0" w:color="auto"/>
            <w:right w:val="none" w:sz="0" w:space="0" w:color="auto"/>
          </w:divBdr>
        </w:div>
        <w:div w:id="1827086006">
          <w:marLeft w:val="0"/>
          <w:marRight w:val="0"/>
          <w:marTop w:val="0"/>
          <w:marBottom w:val="0"/>
          <w:divBdr>
            <w:top w:val="none" w:sz="0" w:space="0" w:color="auto"/>
            <w:left w:val="none" w:sz="0" w:space="0" w:color="auto"/>
            <w:bottom w:val="none" w:sz="0" w:space="0" w:color="auto"/>
            <w:right w:val="none" w:sz="0" w:space="0" w:color="auto"/>
          </w:divBdr>
        </w:div>
      </w:divsChild>
    </w:div>
    <w:div w:id="1185896423">
      <w:bodyDiv w:val="1"/>
      <w:marLeft w:val="0"/>
      <w:marRight w:val="0"/>
      <w:marTop w:val="0"/>
      <w:marBottom w:val="0"/>
      <w:divBdr>
        <w:top w:val="none" w:sz="0" w:space="0" w:color="auto"/>
        <w:left w:val="none" w:sz="0" w:space="0" w:color="auto"/>
        <w:bottom w:val="none" w:sz="0" w:space="0" w:color="auto"/>
        <w:right w:val="none" w:sz="0" w:space="0" w:color="auto"/>
      </w:divBdr>
      <w:divsChild>
        <w:div w:id="4982649">
          <w:marLeft w:val="0"/>
          <w:marRight w:val="-18928"/>
          <w:marTop w:val="0"/>
          <w:marBottom w:val="0"/>
          <w:divBdr>
            <w:top w:val="none" w:sz="0" w:space="0" w:color="auto"/>
            <w:left w:val="none" w:sz="0" w:space="0" w:color="auto"/>
            <w:bottom w:val="none" w:sz="0" w:space="0" w:color="auto"/>
            <w:right w:val="none" w:sz="0" w:space="0" w:color="auto"/>
          </w:divBdr>
          <w:divsChild>
            <w:div w:id="117341973">
              <w:marLeft w:val="0"/>
              <w:marRight w:val="-18928"/>
              <w:marTop w:val="0"/>
              <w:marBottom w:val="0"/>
              <w:divBdr>
                <w:top w:val="none" w:sz="0" w:space="0" w:color="auto"/>
                <w:left w:val="none" w:sz="0" w:space="0" w:color="auto"/>
                <w:bottom w:val="none" w:sz="0" w:space="0" w:color="auto"/>
                <w:right w:val="none" w:sz="0" w:space="0" w:color="auto"/>
              </w:divBdr>
            </w:div>
          </w:divsChild>
        </w:div>
        <w:div w:id="46538192">
          <w:marLeft w:val="0"/>
          <w:marRight w:val="-18928"/>
          <w:marTop w:val="0"/>
          <w:marBottom w:val="0"/>
          <w:divBdr>
            <w:top w:val="none" w:sz="0" w:space="0" w:color="auto"/>
            <w:left w:val="none" w:sz="0" w:space="0" w:color="auto"/>
            <w:bottom w:val="none" w:sz="0" w:space="0" w:color="auto"/>
            <w:right w:val="none" w:sz="0" w:space="0" w:color="auto"/>
          </w:divBdr>
          <w:divsChild>
            <w:div w:id="178353377">
              <w:marLeft w:val="0"/>
              <w:marRight w:val="-18928"/>
              <w:marTop w:val="0"/>
              <w:marBottom w:val="0"/>
              <w:divBdr>
                <w:top w:val="none" w:sz="0" w:space="0" w:color="auto"/>
                <w:left w:val="none" w:sz="0" w:space="0" w:color="auto"/>
                <w:bottom w:val="none" w:sz="0" w:space="0" w:color="auto"/>
                <w:right w:val="none" w:sz="0" w:space="0" w:color="auto"/>
              </w:divBdr>
            </w:div>
          </w:divsChild>
        </w:div>
        <w:div w:id="267661961">
          <w:marLeft w:val="0"/>
          <w:marRight w:val="0"/>
          <w:marTop w:val="0"/>
          <w:marBottom w:val="0"/>
          <w:divBdr>
            <w:top w:val="single" w:sz="2" w:space="4" w:color="7A2D00"/>
            <w:left w:val="single" w:sz="6" w:space="11" w:color="7A2D00"/>
            <w:bottom w:val="single" w:sz="2" w:space="0" w:color="7A2D00"/>
            <w:right w:val="single" w:sz="2" w:space="0" w:color="7A2D00"/>
          </w:divBdr>
        </w:div>
        <w:div w:id="984818066">
          <w:marLeft w:val="0"/>
          <w:marRight w:val="-18928"/>
          <w:marTop w:val="0"/>
          <w:marBottom w:val="0"/>
          <w:divBdr>
            <w:top w:val="none" w:sz="0" w:space="0" w:color="auto"/>
            <w:left w:val="none" w:sz="0" w:space="0" w:color="auto"/>
            <w:bottom w:val="none" w:sz="0" w:space="0" w:color="auto"/>
            <w:right w:val="none" w:sz="0" w:space="0" w:color="auto"/>
          </w:divBdr>
          <w:divsChild>
            <w:div w:id="274483810">
              <w:marLeft w:val="0"/>
              <w:marRight w:val="-18928"/>
              <w:marTop w:val="0"/>
              <w:marBottom w:val="0"/>
              <w:divBdr>
                <w:top w:val="none" w:sz="0" w:space="0" w:color="auto"/>
                <w:left w:val="none" w:sz="0" w:space="0" w:color="auto"/>
                <w:bottom w:val="none" w:sz="0" w:space="0" w:color="auto"/>
                <w:right w:val="none" w:sz="0" w:space="0" w:color="auto"/>
              </w:divBdr>
            </w:div>
          </w:divsChild>
        </w:div>
        <w:div w:id="1498887640">
          <w:marLeft w:val="0"/>
          <w:marRight w:val="-18928"/>
          <w:marTop w:val="0"/>
          <w:marBottom w:val="0"/>
          <w:divBdr>
            <w:top w:val="none" w:sz="0" w:space="0" w:color="auto"/>
            <w:left w:val="none" w:sz="0" w:space="0" w:color="auto"/>
            <w:bottom w:val="none" w:sz="0" w:space="0" w:color="auto"/>
            <w:right w:val="none" w:sz="0" w:space="0" w:color="auto"/>
          </w:divBdr>
          <w:divsChild>
            <w:div w:id="2064867310">
              <w:marLeft w:val="0"/>
              <w:marRight w:val="-18928"/>
              <w:marTop w:val="0"/>
              <w:marBottom w:val="0"/>
              <w:divBdr>
                <w:top w:val="none" w:sz="0" w:space="0" w:color="auto"/>
                <w:left w:val="none" w:sz="0" w:space="0" w:color="auto"/>
                <w:bottom w:val="none" w:sz="0" w:space="0" w:color="auto"/>
                <w:right w:val="none" w:sz="0" w:space="0" w:color="auto"/>
              </w:divBdr>
            </w:div>
          </w:divsChild>
        </w:div>
        <w:div w:id="1942450474">
          <w:marLeft w:val="0"/>
          <w:marRight w:val="-18928"/>
          <w:marTop w:val="0"/>
          <w:marBottom w:val="0"/>
          <w:divBdr>
            <w:top w:val="none" w:sz="0" w:space="0" w:color="auto"/>
            <w:left w:val="none" w:sz="0" w:space="0" w:color="auto"/>
            <w:bottom w:val="none" w:sz="0" w:space="0" w:color="auto"/>
            <w:right w:val="none" w:sz="0" w:space="0" w:color="auto"/>
          </w:divBdr>
          <w:divsChild>
            <w:div w:id="1392072616">
              <w:marLeft w:val="0"/>
              <w:marRight w:val="-18928"/>
              <w:marTop w:val="0"/>
              <w:marBottom w:val="0"/>
              <w:divBdr>
                <w:top w:val="none" w:sz="0" w:space="0" w:color="auto"/>
                <w:left w:val="none" w:sz="0" w:space="0" w:color="auto"/>
                <w:bottom w:val="none" w:sz="0" w:space="0" w:color="auto"/>
                <w:right w:val="none" w:sz="0" w:space="0" w:color="auto"/>
              </w:divBdr>
            </w:div>
          </w:divsChild>
        </w:div>
        <w:div w:id="2061401240">
          <w:marLeft w:val="0"/>
          <w:marRight w:val="-18928"/>
          <w:marTop w:val="0"/>
          <w:marBottom w:val="0"/>
          <w:divBdr>
            <w:top w:val="none" w:sz="0" w:space="0" w:color="auto"/>
            <w:left w:val="none" w:sz="0" w:space="0" w:color="auto"/>
            <w:bottom w:val="none" w:sz="0" w:space="0" w:color="auto"/>
            <w:right w:val="none" w:sz="0" w:space="0" w:color="auto"/>
          </w:divBdr>
          <w:divsChild>
            <w:div w:id="612857867">
              <w:marLeft w:val="0"/>
              <w:marRight w:val="-18928"/>
              <w:marTop w:val="0"/>
              <w:marBottom w:val="0"/>
              <w:divBdr>
                <w:top w:val="none" w:sz="0" w:space="0" w:color="auto"/>
                <w:left w:val="none" w:sz="0" w:space="0" w:color="auto"/>
                <w:bottom w:val="none" w:sz="0" w:space="0" w:color="auto"/>
                <w:right w:val="none" w:sz="0" w:space="0" w:color="auto"/>
              </w:divBdr>
            </w:div>
          </w:divsChild>
        </w:div>
        <w:div w:id="2077506114">
          <w:marLeft w:val="0"/>
          <w:marRight w:val="-18928"/>
          <w:marTop w:val="0"/>
          <w:marBottom w:val="0"/>
          <w:divBdr>
            <w:top w:val="none" w:sz="0" w:space="0" w:color="auto"/>
            <w:left w:val="none" w:sz="0" w:space="0" w:color="auto"/>
            <w:bottom w:val="none" w:sz="0" w:space="0" w:color="auto"/>
            <w:right w:val="none" w:sz="0" w:space="0" w:color="auto"/>
          </w:divBdr>
          <w:divsChild>
            <w:div w:id="91165984">
              <w:marLeft w:val="0"/>
              <w:marRight w:val="-18928"/>
              <w:marTop w:val="0"/>
              <w:marBottom w:val="0"/>
              <w:divBdr>
                <w:top w:val="none" w:sz="0" w:space="0" w:color="auto"/>
                <w:left w:val="none" w:sz="0" w:space="0" w:color="auto"/>
                <w:bottom w:val="none" w:sz="0" w:space="0" w:color="auto"/>
                <w:right w:val="none" w:sz="0" w:space="0" w:color="auto"/>
              </w:divBdr>
            </w:div>
          </w:divsChild>
        </w:div>
      </w:divsChild>
    </w:div>
    <w:div w:id="1201431014">
      <w:bodyDiv w:val="1"/>
      <w:marLeft w:val="0"/>
      <w:marRight w:val="0"/>
      <w:marTop w:val="0"/>
      <w:marBottom w:val="0"/>
      <w:divBdr>
        <w:top w:val="none" w:sz="0" w:space="0" w:color="auto"/>
        <w:left w:val="none" w:sz="0" w:space="0" w:color="auto"/>
        <w:bottom w:val="none" w:sz="0" w:space="0" w:color="auto"/>
        <w:right w:val="none" w:sz="0" w:space="0" w:color="auto"/>
      </w:divBdr>
    </w:div>
    <w:div w:id="1263950047">
      <w:bodyDiv w:val="1"/>
      <w:marLeft w:val="0"/>
      <w:marRight w:val="0"/>
      <w:marTop w:val="0"/>
      <w:marBottom w:val="0"/>
      <w:divBdr>
        <w:top w:val="none" w:sz="0" w:space="0" w:color="auto"/>
        <w:left w:val="none" w:sz="0" w:space="0" w:color="auto"/>
        <w:bottom w:val="none" w:sz="0" w:space="0" w:color="auto"/>
        <w:right w:val="none" w:sz="0" w:space="0" w:color="auto"/>
      </w:divBdr>
      <w:divsChild>
        <w:div w:id="72896386">
          <w:marLeft w:val="1267"/>
          <w:marRight w:val="0"/>
          <w:marTop w:val="120"/>
          <w:marBottom w:val="0"/>
          <w:divBdr>
            <w:top w:val="none" w:sz="0" w:space="0" w:color="auto"/>
            <w:left w:val="none" w:sz="0" w:space="0" w:color="auto"/>
            <w:bottom w:val="none" w:sz="0" w:space="0" w:color="auto"/>
            <w:right w:val="none" w:sz="0" w:space="0" w:color="auto"/>
          </w:divBdr>
        </w:div>
        <w:div w:id="462381256">
          <w:marLeft w:val="1267"/>
          <w:marRight w:val="0"/>
          <w:marTop w:val="120"/>
          <w:marBottom w:val="0"/>
          <w:divBdr>
            <w:top w:val="none" w:sz="0" w:space="0" w:color="auto"/>
            <w:left w:val="none" w:sz="0" w:space="0" w:color="auto"/>
            <w:bottom w:val="none" w:sz="0" w:space="0" w:color="auto"/>
            <w:right w:val="none" w:sz="0" w:space="0" w:color="auto"/>
          </w:divBdr>
        </w:div>
        <w:div w:id="1264996421">
          <w:marLeft w:val="1267"/>
          <w:marRight w:val="0"/>
          <w:marTop w:val="120"/>
          <w:marBottom w:val="0"/>
          <w:divBdr>
            <w:top w:val="none" w:sz="0" w:space="0" w:color="auto"/>
            <w:left w:val="none" w:sz="0" w:space="0" w:color="auto"/>
            <w:bottom w:val="none" w:sz="0" w:space="0" w:color="auto"/>
            <w:right w:val="none" w:sz="0" w:space="0" w:color="auto"/>
          </w:divBdr>
        </w:div>
        <w:div w:id="1549413311">
          <w:marLeft w:val="1267"/>
          <w:marRight w:val="0"/>
          <w:marTop w:val="120"/>
          <w:marBottom w:val="0"/>
          <w:divBdr>
            <w:top w:val="none" w:sz="0" w:space="0" w:color="auto"/>
            <w:left w:val="none" w:sz="0" w:space="0" w:color="auto"/>
            <w:bottom w:val="none" w:sz="0" w:space="0" w:color="auto"/>
            <w:right w:val="none" w:sz="0" w:space="0" w:color="auto"/>
          </w:divBdr>
        </w:div>
        <w:div w:id="2052337606">
          <w:marLeft w:val="1267"/>
          <w:marRight w:val="0"/>
          <w:marTop w:val="120"/>
          <w:marBottom w:val="0"/>
          <w:divBdr>
            <w:top w:val="none" w:sz="0" w:space="0" w:color="auto"/>
            <w:left w:val="none" w:sz="0" w:space="0" w:color="auto"/>
            <w:bottom w:val="none" w:sz="0" w:space="0" w:color="auto"/>
            <w:right w:val="none" w:sz="0" w:space="0" w:color="auto"/>
          </w:divBdr>
        </w:div>
      </w:divsChild>
    </w:div>
    <w:div w:id="1293367093">
      <w:bodyDiv w:val="1"/>
      <w:marLeft w:val="0"/>
      <w:marRight w:val="0"/>
      <w:marTop w:val="0"/>
      <w:marBottom w:val="0"/>
      <w:divBdr>
        <w:top w:val="none" w:sz="0" w:space="0" w:color="auto"/>
        <w:left w:val="none" w:sz="0" w:space="0" w:color="auto"/>
        <w:bottom w:val="none" w:sz="0" w:space="0" w:color="auto"/>
        <w:right w:val="none" w:sz="0" w:space="0" w:color="auto"/>
      </w:divBdr>
    </w:div>
    <w:div w:id="1335496201">
      <w:bodyDiv w:val="1"/>
      <w:marLeft w:val="0"/>
      <w:marRight w:val="0"/>
      <w:marTop w:val="0"/>
      <w:marBottom w:val="0"/>
      <w:divBdr>
        <w:top w:val="none" w:sz="0" w:space="0" w:color="auto"/>
        <w:left w:val="none" w:sz="0" w:space="0" w:color="auto"/>
        <w:bottom w:val="none" w:sz="0" w:space="0" w:color="auto"/>
        <w:right w:val="none" w:sz="0" w:space="0" w:color="auto"/>
      </w:divBdr>
    </w:div>
    <w:div w:id="1344163714">
      <w:bodyDiv w:val="1"/>
      <w:marLeft w:val="0"/>
      <w:marRight w:val="0"/>
      <w:marTop w:val="0"/>
      <w:marBottom w:val="0"/>
      <w:divBdr>
        <w:top w:val="none" w:sz="0" w:space="0" w:color="auto"/>
        <w:left w:val="none" w:sz="0" w:space="0" w:color="auto"/>
        <w:bottom w:val="none" w:sz="0" w:space="0" w:color="auto"/>
        <w:right w:val="none" w:sz="0" w:space="0" w:color="auto"/>
      </w:divBdr>
      <w:divsChild>
        <w:div w:id="85734761">
          <w:marLeft w:val="547"/>
          <w:marRight w:val="0"/>
          <w:marTop w:val="120"/>
          <w:marBottom w:val="0"/>
          <w:divBdr>
            <w:top w:val="none" w:sz="0" w:space="0" w:color="auto"/>
            <w:left w:val="none" w:sz="0" w:space="0" w:color="auto"/>
            <w:bottom w:val="none" w:sz="0" w:space="0" w:color="auto"/>
            <w:right w:val="none" w:sz="0" w:space="0" w:color="auto"/>
          </w:divBdr>
        </w:div>
        <w:div w:id="128942061">
          <w:marLeft w:val="547"/>
          <w:marRight w:val="0"/>
          <w:marTop w:val="120"/>
          <w:marBottom w:val="0"/>
          <w:divBdr>
            <w:top w:val="none" w:sz="0" w:space="0" w:color="auto"/>
            <w:left w:val="none" w:sz="0" w:space="0" w:color="auto"/>
            <w:bottom w:val="none" w:sz="0" w:space="0" w:color="auto"/>
            <w:right w:val="none" w:sz="0" w:space="0" w:color="auto"/>
          </w:divBdr>
        </w:div>
        <w:div w:id="361328057">
          <w:marLeft w:val="547"/>
          <w:marRight w:val="0"/>
          <w:marTop w:val="120"/>
          <w:marBottom w:val="0"/>
          <w:divBdr>
            <w:top w:val="none" w:sz="0" w:space="0" w:color="auto"/>
            <w:left w:val="none" w:sz="0" w:space="0" w:color="auto"/>
            <w:bottom w:val="none" w:sz="0" w:space="0" w:color="auto"/>
            <w:right w:val="none" w:sz="0" w:space="0" w:color="auto"/>
          </w:divBdr>
        </w:div>
        <w:div w:id="460152743">
          <w:marLeft w:val="547"/>
          <w:marRight w:val="0"/>
          <w:marTop w:val="120"/>
          <w:marBottom w:val="0"/>
          <w:divBdr>
            <w:top w:val="none" w:sz="0" w:space="0" w:color="auto"/>
            <w:left w:val="none" w:sz="0" w:space="0" w:color="auto"/>
            <w:bottom w:val="none" w:sz="0" w:space="0" w:color="auto"/>
            <w:right w:val="none" w:sz="0" w:space="0" w:color="auto"/>
          </w:divBdr>
        </w:div>
        <w:div w:id="471138728">
          <w:marLeft w:val="547"/>
          <w:marRight w:val="0"/>
          <w:marTop w:val="120"/>
          <w:marBottom w:val="0"/>
          <w:divBdr>
            <w:top w:val="none" w:sz="0" w:space="0" w:color="auto"/>
            <w:left w:val="none" w:sz="0" w:space="0" w:color="auto"/>
            <w:bottom w:val="none" w:sz="0" w:space="0" w:color="auto"/>
            <w:right w:val="none" w:sz="0" w:space="0" w:color="auto"/>
          </w:divBdr>
        </w:div>
      </w:divsChild>
    </w:div>
    <w:div w:id="1352495259">
      <w:bodyDiv w:val="1"/>
      <w:marLeft w:val="0"/>
      <w:marRight w:val="0"/>
      <w:marTop w:val="0"/>
      <w:marBottom w:val="0"/>
      <w:divBdr>
        <w:top w:val="none" w:sz="0" w:space="0" w:color="auto"/>
        <w:left w:val="none" w:sz="0" w:space="0" w:color="auto"/>
        <w:bottom w:val="none" w:sz="0" w:space="0" w:color="auto"/>
        <w:right w:val="none" w:sz="0" w:space="0" w:color="auto"/>
      </w:divBdr>
      <w:divsChild>
        <w:div w:id="136268617">
          <w:marLeft w:val="547"/>
          <w:marRight w:val="0"/>
          <w:marTop w:val="0"/>
          <w:marBottom w:val="0"/>
          <w:divBdr>
            <w:top w:val="none" w:sz="0" w:space="0" w:color="auto"/>
            <w:left w:val="none" w:sz="0" w:space="0" w:color="auto"/>
            <w:bottom w:val="none" w:sz="0" w:space="0" w:color="auto"/>
            <w:right w:val="none" w:sz="0" w:space="0" w:color="auto"/>
          </w:divBdr>
        </w:div>
        <w:div w:id="1571379722">
          <w:marLeft w:val="547"/>
          <w:marRight w:val="0"/>
          <w:marTop w:val="0"/>
          <w:marBottom w:val="0"/>
          <w:divBdr>
            <w:top w:val="none" w:sz="0" w:space="0" w:color="auto"/>
            <w:left w:val="none" w:sz="0" w:space="0" w:color="auto"/>
            <w:bottom w:val="none" w:sz="0" w:space="0" w:color="auto"/>
            <w:right w:val="none" w:sz="0" w:space="0" w:color="auto"/>
          </w:divBdr>
        </w:div>
        <w:div w:id="1632517611">
          <w:marLeft w:val="547"/>
          <w:marRight w:val="0"/>
          <w:marTop w:val="0"/>
          <w:marBottom w:val="0"/>
          <w:divBdr>
            <w:top w:val="none" w:sz="0" w:space="0" w:color="auto"/>
            <w:left w:val="none" w:sz="0" w:space="0" w:color="auto"/>
            <w:bottom w:val="none" w:sz="0" w:space="0" w:color="auto"/>
            <w:right w:val="none" w:sz="0" w:space="0" w:color="auto"/>
          </w:divBdr>
        </w:div>
        <w:div w:id="1879778913">
          <w:marLeft w:val="547"/>
          <w:marRight w:val="0"/>
          <w:marTop w:val="0"/>
          <w:marBottom w:val="0"/>
          <w:divBdr>
            <w:top w:val="none" w:sz="0" w:space="0" w:color="auto"/>
            <w:left w:val="none" w:sz="0" w:space="0" w:color="auto"/>
            <w:bottom w:val="none" w:sz="0" w:space="0" w:color="auto"/>
            <w:right w:val="none" w:sz="0" w:space="0" w:color="auto"/>
          </w:divBdr>
        </w:div>
        <w:div w:id="1984961424">
          <w:marLeft w:val="547"/>
          <w:marRight w:val="0"/>
          <w:marTop w:val="0"/>
          <w:marBottom w:val="0"/>
          <w:divBdr>
            <w:top w:val="none" w:sz="0" w:space="0" w:color="auto"/>
            <w:left w:val="none" w:sz="0" w:space="0" w:color="auto"/>
            <w:bottom w:val="none" w:sz="0" w:space="0" w:color="auto"/>
            <w:right w:val="none" w:sz="0" w:space="0" w:color="auto"/>
          </w:divBdr>
        </w:div>
        <w:div w:id="2022468202">
          <w:marLeft w:val="547"/>
          <w:marRight w:val="0"/>
          <w:marTop w:val="0"/>
          <w:marBottom w:val="0"/>
          <w:divBdr>
            <w:top w:val="none" w:sz="0" w:space="0" w:color="auto"/>
            <w:left w:val="none" w:sz="0" w:space="0" w:color="auto"/>
            <w:bottom w:val="none" w:sz="0" w:space="0" w:color="auto"/>
            <w:right w:val="none" w:sz="0" w:space="0" w:color="auto"/>
          </w:divBdr>
        </w:div>
      </w:divsChild>
    </w:div>
    <w:div w:id="1370757928">
      <w:bodyDiv w:val="1"/>
      <w:marLeft w:val="0"/>
      <w:marRight w:val="0"/>
      <w:marTop w:val="0"/>
      <w:marBottom w:val="0"/>
      <w:divBdr>
        <w:top w:val="none" w:sz="0" w:space="0" w:color="auto"/>
        <w:left w:val="none" w:sz="0" w:space="0" w:color="auto"/>
        <w:bottom w:val="none" w:sz="0" w:space="0" w:color="auto"/>
        <w:right w:val="none" w:sz="0" w:space="0" w:color="auto"/>
      </w:divBdr>
    </w:div>
    <w:div w:id="1408499891">
      <w:bodyDiv w:val="1"/>
      <w:marLeft w:val="0"/>
      <w:marRight w:val="0"/>
      <w:marTop w:val="0"/>
      <w:marBottom w:val="0"/>
      <w:divBdr>
        <w:top w:val="none" w:sz="0" w:space="0" w:color="auto"/>
        <w:left w:val="none" w:sz="0" w:space="0" w:color="auto"/>
        <w:bottom w:val="none" w:sz="0" w:space="0" w:color="auto"/>
        <w:right w:val="none" w:sz="0" w:space="0" w:color="auto"/>
      </w:divBdr>
    </w:div>
    <w:div w:id="1428649071">
      <w:bodyDiv w:val="1"/>
      <w:marLeft w:val="0"/>
      <w:marRight w:val="0"/>
      <w:marTop w:val="0"/>
      <w:marBottom w:val="0"/>
      <w:divBdr>
        <w:top w:val="none" w:sz="0" w:space="0" w:color="auto"/>
        <w:left w:val="none" w:sz="0" w:space="0" w:color="auto"/>
        <w:bottom w:val="none" w:sz="0" w:space="0" w:color="auto"/>
        <w:right w:val="none" w:sz="0" w:space="0" w:color="auto"/>
      </w:divBdr>
      <w:divsChild>
        <w:div w:id="399985461">
          <w:marLeft w:val="1267"/>
          <w:marRight w:val="0"/>
          <w:marTop w:val="120"/>
          <w:marBottom w:val="0"/>
          <w:divBdr>
            <w:top w:val="none" w:sz="0" w:space="0" w:color="auto"/>
            <w:left w:val="none" w:sz="0" w:space="0" w:color="auto"/>
            <w:bottom w:val="none" w:sz="0" w:space="0" w:color="auto"/>
            <w:right w:val="none" w:sz="0" w:space="0" w:color="auto"/>
          </w:divBdr>
        </w:div>
        <w:div w:id="981933184">
          <w:marLeft w:val="1267"/>
          <w:marRight w:val="0"/>
          <w:marTop w:val="120"/>
          <w:marBottom w:val="0"/>
          <w:divBdr>
            <w:top w:val="none" w:sz="0" w:space="0" w:color="auto"/>
            <w:left w:val="none" w:sz="0" w:space="0" w:color="auto"/>
            <w:bottom w:val="none" w:sz="0" w:space="0" w:color="auto"/>
            <w:right w:val="none" w:sz="0" w:space="0" w:color="auto"/>
          </w:divBdr>
        </w:div>
        <w:div w:id="1180848113">
          <w:marLeft w:val="1267"/>
          <w:marRight w:val="0"/>
          <w:marTop w:val="120"/>
          <w:marBottom w:val="0"/>
          <w:divBdr>
            <w:top w:val="none" w:sz="0" w:space="0" w:color="auto"/>
            <w:left w:val="none" w:sz="0" w:space="0" w:color="auto"/>
            <w:bottom w:val="none" w:sz="0" w:space="0" w:color="auto"/>
            <w:right w:val="none" w:sz="0" w:space="0" w:color="auto"/>
          </w:divBdr>
        </w:div>
        <w:div w:id="1633094314">
          <w:marLeft w:val="1267"/>
          <w:marRight w:val="0"/>
          <w:marTop w:val="120"/>
          <w:marBottom w:val="0"/>
          <w:divBdr>
            <w:top w:val="none" w:sz="0" w:space="0" w:color="auto"/>
            <w:left w:val="none" w:sz="0" w:space="0" w:color="auto"/>
            <w:bottom w:val="none" w:sz="0" w:space="0" w:color="auto"/>
            <w:right w:val="none" w:sz="0" w:space="0" w:color="auto"/>
          </w:divBdr>
        </w:div>
        <w:div w:id="1769304524">
          <w:marLeft w:val="1267"/>
          <w:marRight w:val="0"/>
          <w:marTop w:val="120"/>
          <w:marBottom w:val="0"/>
          <w:divBdr>
            <w:top w:val="none" w:sz="0" w:space="0" w:color="auto"/>
            <w:left w:val="none" w:sz="0" w:space="0" w:color="auto"/>
            <w:bottom w:val="none" w:sz="0" w:space="0" w:color="auto"/>
            <w:right w:val="none" w:sz="0" w:space="0" w:color="auto"/>
          </w:divBdr>
        </w:div>
      </w:divsChild>
    </w:div>
    <w:div w:id="1437022465">
      <w:bodyDiv w:val="1"/>
      <w:marLeft w:val="0"/>
      <w:marRight w:val="0"/>
      <w:marTop w:val="0"/>
      <w:marBottom w:val="0"/>
      <w:divBdr>
        <w:top w:val="none" w:sz="0" w:space="0" w:color="auto"/>
        <w:left w:val="none" w:sz="0" w:space="0" w:color="auto"/>
        <w:bottom w:val="none" w:sz="0" w:space="0" w:color="auto"/>
        <w:right w:val="none" w:sz="0" w:space="0" w:color="auto"/>
      </w:divBdr>
      <w:divsChild>
        <w:div w:id="121971461">
          <w:marLeft w:val="547"/>
          <w:marRight w:val="0"/>
          <w:marTop w:val="0"/>
          <w:marBottom w:val="0"/>
          <w:divBdr>
            <w:top w:val="none" w:sz="0" w:space="0" w:color="auto"/>
            <w:left w:val="none" w:sz="0" w:space="0" w:color="auto"/>
            <w:bottom w:val="none" w:sz="0" w:space="0" w:color="auto"/>
            <w:right w:val="none" w:sz="0" w:space="0" w:color="auto"/>
          </w:divBdr>
        </w:div>
        <w:div w:id="205336708">
          <w:marLeft w:val="547"/>
          <w:marRight w:val="0"/>
          <w:marTop w:val="0"/>
          <w:marBottom w:val="0"/>
          <w:divBdr>
            <w:top w:val="none" w:sz="0" w:space="0" w:color="auto"/>
            <w:left w:val="none" w:sz="0" w:space="0" w:color="auto"/>
            <w:bottom w:val="none" w:sz="0" w:space="0" w:color="auto"/>
            <w:right w:val="none" w:sz="0" w:space="0" w:color="auto"/>
          </w:divBdr>
        </w:div>
        <w:div w:id="304547707">
          <w:marLeft w:val="547"/>
          <w:marRight w:val="0"/>
          <w:marTop w:val="0"/>
          <w:marBottom w:val="0"/>
          <w:divBdr>
            <w:top w:val="none" w:sz="0" w:space="0" w:color="auto"/>
            <w:left w:val="none" w:sz="0" w:space="0" w:color="auto"/>
            <w:bottom w:val="none" w:sz="0" w:space="0" w:color="auto"/>
            <w:right w:val="none" w:sz="0" w:space="0" w:color="auto"/>
          </w:divBdr>
        </w:div>
        <w:div w:id="787696535">
          <w:marLeft w:val="547"/>
          <w:marRight w:val="0"/>
          <w:marTop w:val="0"/>
          <w:marBottom w:val="0"/>
          <w:divBdr>
            <w:top w:val="none" w:sz="0" w:space="0" w:color="auto"/>
            <w:left w:val="none" w:sz="0" w:space="0" w:color="auto"/>
            <w:bottom w:val="none" w:sz="0" w:space="0" w:color="auto"/>
            <w:right w:val="none" w:sz="0" w:space="0" w:color="auto"/>
          </w:divBdr>
        </w:div>
      </w:divsChild>
    </w:div>
    <w:div w:id="1442920071">
      <w:bodyDiv w:val="1"/>
      <w:marLeft w:val="0"/>
      <w:marRight w:val="0"/>
      <w:marTop w:val="0"/>
      <w:marBottom w:val="0"/>
      <w:divBdr>
        <w:top w:val="none" w:sz="0" w:space="0" w:color="auto"/>
        <w:left w:val="none" w:sz="0" w:space="0" w:color="auto"/>
        <w:bottom w:val="none" w:sz="0" w:space="0" w:color="auto"/>
        <w:right w:val="none" w:sz="0" w:space="0" w:color="auto"/>
      </w:divBdr>
      <w:divsChild>
        <w:div w:id="130252148">
          <w:marLeft w:val="533"/>
          <w:marRight w:val="0"/>
          <w:marTop w:val="120"/>
          <w:marBottom w:val="0"/>
          <w:divBdr>
            <w:top w:val="none" w:sz="0" w:space="0" w:color="auto"/>
            <w:left w:val="none" w:sz="0" w:space="0" w:color="auto"/>
            <w:bottom w:val="none" w:sz="0" w:space="0" w:color="auto"/>
            <w:right w:val="none" w:sz="0" w:space="0" w:color="auto"/>
          </w:divBdr>
        </w:div>
        <w:div w:id="192311098">
          <w:marLeft w:val="533"/>
          <w:marRight w:val="0"/>
          <w:marTop w:val="120"/>
          <w:marBottom w:val="0"/>
          <w:divBdr>
            <w:top w:val="none" w:sz="0" w:space="0" w:color="auto"/>
            <w:left w:val="none" w:sz="0" w:space="0" w:color="auto"/>
            <w:bottom w:val="none" w:sz="0" w:space="0" w:color="auto"/>
            <w:right w:val="none" w:sz="0" w:space="0" w:color="auto"/>
          </w:divBdr>
        </w:div>
        <w:div w:id="535701746">
          <w:marLeft w:val="533"/>
          <w:marRight w:val="0"/>
          <w:marTop w:val="120"/>
          <w:marBottom w:val="0"/>
          <w:divBdr>
            <w:top w:val="none" w:sz="0" w:space="0" w:color="auto"/>
            <w:left w:val="none" w:sz="0" w:space="0" w:color="auto"/>
            <w:bottom w:val="none" w:sz="0" w:space="0" w:color="auto"/>
            <w:right w:val="none" w:sz="0" w:space="0" w:color="auto"/>
          </w:divBdr>
        </w:div>
        <w:div w:id="549804945">
          <w:marLeft w:val="533"/>
          <w:marRight w:val="0"/>
          <w:marTop w:val="120"/>
          <w:marBottom w:val="0"/>
          <w:divBdr>
            <w:top w:val="none" w:sz="0" w:space="0" w:color="auto"/>
            <w:left w:val="none" w:sz="0" w:space="0" w:color="auto"/>
            <w:bottom w:val="none" w:sz="0" w:space="0" w:color="auto"/>
            <w:right w:val="none" w:sz="0" w:space="0" w:color="auto"/>
          </w:divBdr>
        </w:div>
        <w:div w:id="2008707291">
          <w:marLeft w:val="533"/>
          <w:marRight w:val="0"/>
          <w:marTop w:val="120"/>
          <w:marBottom w:val="0"/>
          <w:divBdr>
            <w:top w:val="none" w:sz="0" w:space="0" w:color="auto"/>
            <w:left w:val="none" w:sz="0" w:space="0" w:color="auto"/>
            <w:bottom w:val="none" w:sz="0" w:space="0" w:color="auto"/>
            <w:right w:val="none" w:sz="0" w:space="0" w:color="auto"/>
          </w:divBdr>
        </w:div>
        <w:div w:id="2111968647">
          <w:marLeft w:val="533"/>
          <w:marRight w:val="0"/>
          <w:marTop w:val="120"/>
          <w:marBottom w:val="0"/>
          <w:divBdr>
            <w:top w:val="none" w:sz="0" w:space="0" w:color="auto"/>
            <w:left w:val="none" w:sz="0" w:space="0" w:color="auto"/>
            <w:bottom w:val="none" w:sz="0" w:space="0" w:color="auto"/>
            <w:right w:val="none" w:sz="0" w:space="0" w:color="auto"/>
          </w:divBdr>
        </w:div>
      </w:divsChild>
    </w:div>
    <w:div w:id="1467163586">
      <w:bodyDiv w:val="1"/>
      <w:marLeft w:val="0"/>
      <w:marRight w:val="0"/>
      <w:marTop w:val="0"/>
      <w:marBottom w:val="0"/>
      <w:divBdr>
        <w:top w:val="none" w:sz="0" w:space="0" w:color="auto"/>
        <w:left w:val="none" w:sz="0" w:space="0" w:color="auto"/>
        <w:bottom w:val="none" w:sz="0" w:space="0" w:color="auto"/>
        <w:right w:val="none" w:sz="0" w:space="0" w:color="auto"/>
      </w:divBdr>
    </w:div>
    <w:div w:id="1524320775">
      <w:bodyDiv w:val="1"/>
      <w:marLeft w:val="0"/>
      <w:marRight w:val="0"/>
      <w:marTop w:val="0"/>
      <w:marBottom w:val="0"/>
      <w:divBdr>
        <w:top w:val="none" w:sz="0" w:space="0" w:color="auto"/>
        <w:left w:val="none" w:sz="0" w:space="0" w:color="auto"/>
        <w:bottom w:val="none" w:sz="0" w:space="0" w:color="auto"/>
        <w:right w:val="none" w:sz="0" w:space="0" w:color="auto"/>
      </w:divBdr>
    </w:div>
    <w:div w:id="1577469615">
      <w:bodyDiv w:val="1"/>
      <w:marLeft w:val="0"/>
      <w:marRight w:val="0"/>
      <w:marTop w:val="0"/>
      <w:marBottom w:val="0"/>
      <w:divBdr>
        <w:top w:val="none" w:sz="0" w:space="0" w:color="auto"/>
        <w:left w:val="none" w:sz="0" w:space="0" w:color="auto"/>
        <w:bottom w:val="none" w:sz="0" w:space="0" w:color="auto"/>
        <w:right w:val="none" w:sz="0" w:space="0" w:color="auto"/>
      </w:divBdr>
      <w:divsChild>
        <w:div w:id="91047560">
          <w:marLeft w:val="547"/>
          <w:marRight w:val="0"/>
          <w:marTop w:val="96"/>
          <w:marBottom w:val="0"/>
          <w:divBdr>
            <w:top w:val="none" w:sz="0" w:space="0" w:color="auto"/>
            <w:left w:val="none" w:sz="0" w:space="0" w:color="auto"/>
            <w:bottom w:val="none" w:sz="0" w:space="0" w:color="auto"/>
            <w:right w:val="none" w:sz="0" w:space="0" w:color="auto"/>
          </w:divBdr>
        </w:div>
        <w:div w:id="191964927">
          <w:marLeft w:val="547"/>
          <w:marRight w:val="0"/>
          <w:marTop w:val="96"/>
          <w:marBottom w:val="0"/>
          <w:divBdr>
            <w:top w:val="none" w:sz="0" w:space="0" w:color="auto"/>
            <w:left w:val="none" w:sz="0" w:space="0" w:color="auto"/>
            <w:bottom w:val="none" w:sz="0" w:space="0" w:color="auto"/>
            <w:right w:val="none" w:sz="0" w:space="0" w:color="auto"/>
          </w:divBdr>
        </w:div>
        <w:div w:id="365525216">
          <w:marLeft w:val="547"/>
          <w:marRight w:val="0"/>
          <w:marTop w:val="96"/>
          <w:marBottom w:val="0"/>
          <w:divBdr>
            <w:top w:val="none" w:sz="0" w:space="0" w:color="auto"/>
            <w:left w:val="none" w:sz="0" w:space="0" w:color="auto"/>
            <w:bottom w:val="none" w:sz="0" w:space="0" w:color="auto"/>
            <w:right w:val="none" w:sz="0" w:space="0" w:color="auto"/>
          </w:divBdr>
        </w:div>
        <w:div w:id="467554500">
          <w:marLeft w:val="547"/>
          <w:marRight w:val="0"/>
          <w:marTop w:val="96"/>
          <w:marBottom w:val="0"/>
          <w:divBdr>
            <w:top w:val="none" w:sz="0" w:space="0" w:color="auto"/>
            <w:left w:val="none" w:sz="0" w:space="0" w:color="auto"/>
            <w:bottom w:val="none" w:sz="0" w:space="0" w:color="auto"/>
            <w:right w:val="none" w:sz="0" w:space="0" w:color="auto"/>
          </w:divBdr>
        </w:div>
        <w:div w:id="615135338">
          <w:marLeft w:val="547"/>
          <w:marRight w:val="0"/>
          <w:marTop w:val="96"/>
          <w:marBottom w:val="0"/>
          <w:divBdr>
            <w:top w:val="none" w:sz="0" w:space="0" w:color="auto"/>
            <w:left w:val="none" w:sz="0" w:space="0" w:color="auto"/>
            <w:bottom w:val="none" w:sz="0" w:space="0" w:color="auto"/>
            <w:right w:val="none" w:sz="0" w:space="0" w:color="auto"/>
          </w:divBdr>
        </w:div>
        <w:div w:id="982081009">
          <w:marLeft w:val="547"/>
          <w:marRight w:val="0"/>
          <w:marTop w:val="96"/>
          <w:marBottom w:val="0"/>
          <w:divBdr>
            <w:top w:val="none" w:sz="0" w:space="0" w:color="auto"/>
            <w:left w:val="none" w:sz="0" w:space="0" w:color="auto"/>
            <w:bottom w:val="none" w:sz="0" w:space="0" w:color="auto"/>
            <w:right w:val="none" w:sz="0" w:space="0" w:color="auto"/>
          </w:divBdr>
        </w:div>
        <w:div w:id="1085225145">
          <w:marLeft w:val="547"/>
          <w:marRight w:val="0"/>
          <w:marTop w:val="96"/>
          <w:marBottom w:val="0"/>
          <w:divBdr>
            <w:top w:val="none" w:sz="0" w:space="0" w:color="auto"/>
            <w:left w:val="none" w:sz="0" w:space="0" w:color="auto"/>
            <w:bottom w:val="none" w:sz="0" w:space="0" w:color="auto"/>
            <w:right w:val="none" w:sz="0" w:space="0" w:color="auto"/>
          </w:divBdr>
        </w:div>
        <w:div w:id="1271738929">
          <w:marLeft w:val="547"/>
          <w:marRight w:val="0"/>
          <w:marTop w:val="96"/>
          <w:marBottom w:val="0"/>
          <w:divBdr>
            <w:top w:val="none" w:sz="0" w:space="0" w:color="auto"/>
            <w:left w:val="none" w:sz="0" w:space="0" w:color="auto"/>
            <w:bottom w:val="none" w:sz="0" w:space="0" w:color="auto"/>
            <w:right w:val="none" w:sz="0" w:space="0" w:color="auto"/>
          </w:divBdr>
        </w:div>
        <w:div w:id="1631327608">
          <w:marLeft w:val="547"/>
          <w:marRight w:val="0"/>
          <w:marTop w:val="96"/>
          <w:marBottom w:val="0"/>
          <w:divBdr>
            <w:top w:val="none" w:sz="0" w:space="0" w:color="auto"/>
            <w:left w:val="none" w:sz="0" w:space="0" w:color="auto"/>
            <w:bottom w:val="none" w:sz="0" w:space="0" w:color="auto"/>
            <w:right w:val="none" w:sz="0" w:space="0" w:color="auto"/>
          </w:divBdr>
        </w:div>
        <w:div w:id="1665430255">
          <w:marLeft w:val="547"/>
          <w:marRight w:val="0"/>
          <w:marTop w:val="96"/>
          <w:marBottom w:val="0"/>
          <w:divBdr>
            <w:top w:val="none" w:sz="0" w:space="0" w:color="auto"/>
            <w:left w:val="none" w:sz="0" w:space="0" w:color="auto"/>
            <w:bottom w:val="none" w:sz="0" w:space="0" w:color="auto"/>
            <w:right w:val="none" w:sz="0" w:space="0" w:color="auto"/>
          </w:divBdr>
        </w:div>
        <w:div w:id="1783650135">
          <w:marLeft w:val="547"/>
          <w:marRight w:val="0"/>
          <w:marTop w:val="96"/>
          <w:marBottom w:val="0"/>
          <w:divBdr>
            <w:top w:val="none" w:sz="0" w:space="0" w:color="auto"/>
            <w:left w:val="none" w:sz="0" w:space="0" w:color="auto"/>
            <w:bottom w:val="none" w:sz="0" w:space="0" w:color="auto"/>
            <w:right w:val="none" w:sz="0" w:space="0" w:color="auto"/>
          </w:divBdr>
        </w:div>
      </w:divsChild>
    </w:div>
    <w:div w:id="1580167771">
      <w:bodyDiv w:val="1"/>
      <w:marLeft w:val="0"/>
      <w:marRight w:val="0"/>
      <w:marTop w:val="0"/>
      <w:marBottom w:val="0"/>
      <w:divBdr>
        <w:top w:val="none" w:sz="0" w:space="0" w:color="auto"/>
        <w:left w:val="none" w:sz="0" w:space="0" w:color="auto"/>
        <w:bottom w:val="none" w:sz="0" w:space="0" w:color="auto"/>
        <w:right w:val="none" w:sz="0" w:space="0" w:color="auto"/>
      </w:divBdr>
      <w:divsChild>
        <w:div w:id="4287047">
          <w:marLeft w:val="547"/>
          <w:marRight w:val="0"/>
          <w:marTop w:val="96"/>
          <w:marBottom w:val="0"/>
          <w:divBdr>
            <w:top w:val="none" w:sz="0" w:space="0" w:color="auto"/>
            <w:left w:val="none" w:sz="0" w:space="0" w:color="auto"/>
            <w:bottom w:val="none" w:sz="0" w:space="0" w:color="auto"/>
            <w:right w:val="none" w:sz="0" w:space="0" w:color="auto"/>
          </w:divBdr>
        </w:div>
        <w:div w:id="482283291">
          <w:marLeft w:val="547"/>
          <w:marRight w:val="0"/>
          <w:marTop w:val="96"/>
          <w:marBottom w:val="0"/>
          <w:divBdr>
            <w:top w:val="none" w:sz="0" w:space="0" w:color="auto"/>
            <w:left w:val="none" w:sz="0" w:space="0" w:color="auto"/>
            <w:bottom w:val="none" w:sz="0" w:space="0" w:color="auto"/>
            <w:right w:val="none" w:sz="0" w:space="0" w:color="auto"/>
          </w:divBdr>
        </w:div>
        <w:div w:id="603657633">
          <w:marLeft w:val="547"/>
          <w:marRight w:val="0"/>
          <w:marTop w:val="96"/>
          <w:marBottom w:val="0"/>
          <w:divBdr>
            <w:top w:val="none" w:sz="0" w:space="0" w:color="auto"/>
            <w:left w:val="none" w:sz="0" w:space="0" w:color="auto"/>
            <w:bottom w:val="none" w:sz="0" w:space="0" w:color="auto"/>
            <w:right w:val="none" w:sz="0" w:space="0" w:color="auto"/>
          </w:divBdr>
        </w:div>
        <w:div w:id="800534207">
          <w:marLeft w:val="547"/>
          <w:marRight w:val="0"/>
          <w:marTop w:val="96"/>
          <w:marBottom w:val="0"/>
          <w:divBdr>
            <w:top w:val="none" w:sz="0" w:space="0" w:color="auto"/>
            <w:left w:val="none" w:sz="0" w:space="0" w:color="auto"/>
            <w:bottom w:val="none" w:sz="0" w:space="0" w:color="auto"/>
            <w:right w:val="none" w:sz="0" w:space="0" w:color="auto"/>
          </w:divBdr>
        </w:div>
        <w:div w:id="1332679826">
          <w:marLeft w:val="547"/>
          <w:marRight w:val="0"/>
          <w:marTop w:val="96"/>
          <w:marBottom w:val="0"/>
          <w:divBdr>
            <w:top w:val="none" w:sz="0" w:space="0" w:color="auto"/>
            <w:left w:val="none" w:sz="0" w:space="0" w:color="auto"/>
            <w:bottom w:val="none" w:sz="0" w:space="0" w:color="auto"/>
            <w:right w:val="none" w:sz="0" w:space="0" w:color="auto"/>
          </w:divBdr>
        </w:div>
        <w:div w:id="1371418057">
          <w:marLeft w:val="547"/>
          <w:marRight w:val="0"/>
          <w:marTop w:val="96"/>
          <w:marBottom w:val="0"/>
          <w:divBdr>
            <w:top w:val="none" w:sz="0" w:space="0" w:color="auto"/>
            <w:left w:val="none" w:sz="0" w:space="0" w:color="auto"/>
            <w:bottom w:val="none" w:sz="0" w:space="0" w:color="auto"/>
            <w:right w:val="none" w:sz="0" w:space="0" w:color="auto"/>
          </w:divBdr>
        </w:div>
        <w:div w:id="1784689988">
          <w:marLeft w:val="547"/>
          <w:marRight w:val="0"/>
          <w:marTop w:val="96"/>
          <w:marBottom w:val="0"/>
          <w:divBdr>
            <w:top w:val="none" w:sz="0" w:space="0" w:color="auto"/>
            <w:left w:val="none" w:sz="0" w:space="0" w:color="auto"/>
            <w:bottom w:val="none" w:sz="0" w:space="0" w:color="auto"/>
            <w:right w:val="none" w:sz="0" w:space="0" w:color="auto"/>
          </w:divBdr>
        </w:div>
        <w:div w:id="1854612914">
          <w:marLeft w:val="547"/>
          <w:marRight w:val="0"/>
          <w:marTop w:val="96"/>
          <w:marBottom w:val="0"/>
          <w:divBdr>
            <w:top w:val="none" w:sz="0" w:space="0" w:color="auto"/>
            <w:left w:val="none" w:sz="0" w:space="0" w:color="auto"/>
            <w:bottom w:val="none" w:sz="0" w:space="0" w:color="auto"/>
            <w:right w:val="none" w:sz="0" w:space="0" w:color="auto"/>
          </w:divBdr>
        </w:div>
        <w:div w:id="2093971287">
          <w:marLeft w:val="547"/>
          <w:marRight w:val="0"/>
          <w:marTop w:val="96"/>
          <w:marBottom w:val="0"/>
          <w:divBdr>
            <w:top w:val="none" w:sz="0" w:space="0" w:color="auto"/>
            <w:left w:val="none" w:sz="0" w:space="0" w:color="auto"/>
            <w:bottom w:val="none" w:sz="0" w:space="0" w:color="auto"/>
            <w:right w:val="none" w:sz="0" w:space="0" w:color="auto"/>
          </w:divBdr>
        </w:div>
      </w:divsChild>
    </w:div>
    <w:div w:id="1592425682">
      <w:bodyDiv w:val="1"/>
      <w:marLeft w:val="0"/>
      <w:marRight w:val="0"/>
      <w:marTop w:val="0"/>
      <w:marBottom w:val="0"/>
      <w:divBdr>
        <w:top w:val="none" w:sz="0" w:space="0" w:color="auto"/>
        <w:left w:val="none" w:sz="0" w:space="0" w:color="auto"/>
        <w:bottom w:val="none" w:sz="0" w:space="0" w:color="auto"/>
        <w:right w:val="none" w:sz="0" w:space="0" w:color="auto"/>
      </w:divBdr>
      <w:divsChild>
        <w:div w:id="760300361">
          <w:marLeft w:val="547"/>
          <w:marRight w:val="0"/>
          <w:marTop w:val="0"/>
          <w:marBottom w:val="0"/>
          <w:divBdr>
            <w:top w:val="none" w:sz="0" w:space="0" w:color="auto"/>
            <w:left w:val="none" w:sz="0" w:space="0" w:color="auto"/>
            <w:bottom w:val="none" w:sz="0" w:space="0" w:color="auto"/>
            <w:right w:val="none" w:sz="0" w:space="0" w:color="auto"/>
          </w:divBdr>
        </w:div>
      </w:divsChild>
    </w:div>
    <w:div w:id="1608195331">
      <w:bodyDiv w:val="1"/>
      <w:marLeft w:val="0"/>
      <w:marRight w:val="0"/>
      <w:marTop w:val="0"/>
      <w:marBottom w:val="0"/>
      <w:divBdr>
        <w:top w:val="none" w:sz="0" w:space="0" w:color="auto"/>
        <w:left w:val="none" w:sz="0" w:space="0" w:color="auto"/>
        <w:bottom w:val="none" w:sz="0" w:space="0" w:color="auto"/>
        <w:right w:val="none" w:sz="0" w:space="0" w:color="auto"/>
      </w:divBdr>
    </w:div>
    <w:div w:id="1652052371">
      <w:bodyDiv w:val="1"/>
      <w:marLeft w:val="0"/>
      <w:marRight w:val="0"/>
      <w:marTop w:val="0"/>
      <w:marBottom w:val="0"/>
      <w:divBdr>
        <w:top w:val="none" w:sz="0" w:space="0" w:color="auto"/>
        <w:left w:val="none" w:sz="0" w:space="0" w:color="auto"/>
        <w:bottom w:val="none" w:sz="0" w:space="0" w:color="auto"/>
        <w:right w:val="none" w:sz="0" w:space="0" w:color="auto"/>
      </w:divBdr>
      <w:divsChild>
        <w:div w:id="416902471">
          <w:marLeft w:val="547"/>
          <w:marRight w:val="0"/>
          <w:marTop w:val="0"/>
          <w:marBottom w:val="0"/>
          <w:divBdr>
            <w:top w:val="none" w:sz="0" w:space="0" w:color="auto"/>
            <w:left w:val="none" w:sz="0" w:space="0" w:color="auto"/>
            <w:bottom w:val="none" w:sz="0" w:space="0" w:color="auto"/>
            <w:right w:val="none" w:sz="0" w:space="0" w:color="auto"/>
          </w:divBdr>
        </w:div>
        <w:div w:id="1413432885">
          <w:marLeft w:val="547"/>
          <w:marRight w:val="0"/>
          <w:marTop w:val="0"/>
          <w:marBottom w:val="0"/>
          <w:divBdr>
            <w:top w:val="none" w:sz="0" w:space="0" w:color="auto"/>
            <w:left w:val="none" w:sz="0" w:space="0" w:color="auto"/>
            <w:bottom w:val="none" w:sz="0" w:space="0" w:color="auto"/>
            <w:right w:val="none" w:sz="0" w:space="0" w:color="auto"/>
          </w:divBdr>
        </w:div>
        <w:div w:id="1420755203">
          <w:marLeft w:val="547"/>
          <w:marRight w:val="0"/>
          <w:marTop w:val="0"/>
          <w:marBottom w:val="0"/>
          <w:divBdr>
            <w:top w:val="none" w:sz="0" w:space="0" w:color="auto"/>
            <w:left w:val="none" w:sz="0" w:space="0" w:color="auto"/>
            <w:bottom w:val="none" w:sz="0" w:space="0" w:color="auto"/>
            <w:right w:val="none" w:sz="0" w:space="0" w:color="auto"/>
          </w:divBdr>
        </w:div>
        <w:div w:id="1469056283">
          <w:marLeft w:val="547"/>
          <w:marRight w:val="0"/>
          <w:marTop w:val="0"/>
          <w:marBottom w:val="0"/>
          <w:divBdr>
            <w:top w:val="none" w:sz="0" w:space="0" w:color="auto"/>
            <w:left w:val="none" w:sz="0" w:space="0" w:color="auto"/>
            <w:bottom w:val="none" w:sz="0" w:space="0" w:color="auto"/>
            <w:right w:val="none" w:sz="0" w:space="0" w:color="auto"/>
          </w:divBdr>
        </w:div>
        <w:div w:id="1722627940">
          <w:marLeft w:val="547"/>
          <w:marRight w:val="0"/>
          <w:marTop w:val="0"/>
          <w:marBottom w:val="0"/>
          <w:divBdr>
            <w:top w:val="none" w:sz="0" w:space="0" w:color="auto"/>
            <w:left w:val="none" w:sz="0" w:space="0" w:color="auto"/>
            <w:bottom w:val="none" w:sz="0" w:space="0" w:color="auto"/>
            <w:right w:val="none" w:sz="0" w:space="0" w:color="auto"/>
          </w:divBdr>
        </w:div>
        <w:div w:id="1818646807">
          <w:marLeft w:val="547"/>
          <w:marRight w:val="0"/>
          <w:marTop w:val="0"/>
          <w:marBottom w:val="0"/>
          <w:divBdr>
            <w:top w:val="none" w:sz="0" w:space="0" w:color="auto"/>
            <w:left w:val="none" w:sz="0" w:space="0" w:color="auto"/>
            <w:bottom w:val="none" w:sz="0" w:space="0" w:color="auto"/>
            <w:right w:val="none" w:sz="0" w:space="0" w:color="auto"/>
          </w:divBdr>
        </w:div>
      </w:divsChild>
    </w:div>
    <w:div w:id="1670256325">
      <w:bodyDiv w:val="1"/>
      <w:marLeft w:val="0"/>
      <w:marRight w:val="0"/>
      <w:marTop w:val="0"/>
      <w:marBottom w:val="0"/>
      <w:divBdr>
        <w:top w:val="none" w:sz="0" w:space="0" w:color="auto"/>
        <w:left w:val="none" w:sz="0" w:space="0" w:color="auto"/>
        <w:bottom w:val="none" w:sz="0" w:space="0" w:color="auto"/>
        <w:right w:val="none" w:sz="0" w:space="0" w:color="auto"/>
      </w:divBdr>
      <w:divsChild>
        <w:div w:id="947080253">
          <w:marLeft w:val="547"/>
          <w:marRight w:val="0"/>
          <w:marTop w:val="0"/>
          <w:marBottom w:val="0"/>
          <w:divBdr>
            <w:top w:val="none" w:sz="0" w:space="0" w:color="auto"/>
            <w:left w:val="none" w:sz="0" w:space="0" w:color="auto"/>
            <w:bottom w:val="none" w:sz="0" w:space="0" w:color="auto"/>
            <w:right w:val="none" w:sz="0" w:space="0" w:color="auto"/>
          </w:divBdr>
        </w:div>
      </w:divsChild>
    </w:div>
    <w:div w:id="1671980929">
      <w:bodyDiv w:val="1"/>
      <w:marLeft w:val="0"/>
      <w:marRight w:val="0"/>
      <w:marTop w:val="0"/>
      <w:marBottom w:val="0"/>
      <w:divBdr>
        <w:top w:val="none" w:sz="0" w:space="0" w:color="auto"/>
        <w:left w:val="none" w:sz="0" w:space="0" w:color="auto"/>
        <w:bottom w:val="none" w:sz="0" w:space="0" w:color="auto"/>
        <w:right w:val="none" w:sz="0" w:space="0" w:color="auto"/>
      </w:divBdr>
    </w:div>
    <w:div w:id="1690371543">
      <w:bodyDiv w:val="1"/>
      <w:marLeft w:val="0"/>
      <w:marRight w:val="0"/>
      <w:marTop w:val="0"/>
      <w:marBottom w:val="0"/>
      <w:divBdr>
        <w:top w:val="none" w:sz="0" w:space="0" w:color="auto"/>
        <w:left w:val="none" w:sz="0" w:space="0" w:color="auto"/>
        <w:bottom w:val="none" w:sz="0" w:space="0" w:color="auto"/>
        <w:right w:val="none" w:sz="0" w:space="0" w:color="auto"/>
      </w:divBdr>
    </w:div>
    <w:div w:id="1718819553">
      <w:bodyDiv w:val="1"/>
      <w:marLeft w:val="0"/>
      <w:marRight w:val="0"/>
      <w:marTop w:val="0"/>
      <w:marBottom w:val="0"/>
      <w:divBdr>
        <w:top w:val="none" w:sz="0" w:space="0" w:color="auto"/>
        <w:left w:val="none" w:sz="0" w:space="0" w:color="auto"/>
        <w:bottom w:val="none" w:sz="0" w:space="0" w:color="auto"/>
        <w:right w:val="none" w:sz="0" w:space="0" w:color="auto"/>
      </w:divBdr>
    </w:div>
    <w:div w:id="1719620275">
      <w:bodyDiv w:val="1"/>
      <w:marLeft w:val="0"/>
      <w:marRight w:val="0"/>
      <w:marTop w:val="0"/>
      <w:marBottom w:val="0"/>
      <w:divBdr>
        <w:top w:val="none" w:sz="0" w:space="0" w:color="auto"/>
        <w:left w:val="none" w:sz="0" w:space="0" w:color="auto"/>
        <w:bottom w:val="none" w:sz="0" w:space="0" w:color="auto"/>
        <w:right w:val="none" w:sz="0" w:space="0" w:color="auto"/>
      </w:divBdr>
    </w:div>
    <w:div w:id="1787890502">
      <w:bodyDiv w:val="1"/>
      <w:marLeft w:val="0"/>
      <w:marRight w:val="0"/>
      <w:marTop w:val="0"/>
      <w:marBottom w:val="0"/>
      <w:divBdr>
        <w:top w:val="none" w:sz="0" w:space="0" w:color="auto"/>
        <w:left w:val="none" w:sz="0" w:space="0" w:color="auto"/>
        <w:bottom w:val="none" w:sz="0" w:space="0" w:color="auto"/>
        <w:right w:val="none" w:sz="0" w:space="0" w:color="auto"/>
      </w:divBdr>
      <w:divsChild>
        <w:div w:id="735738431">
          <w:marLeft w:val="547"/>
          <w:marRight w:val="0"/>
          <w:marTop w:val="0"/>
          <w:marBottom w:val="0"/>
          <w:divBdr>
            <w:top w:val="none" w:sz="0" w:space="0" w:color="auto"/>
            <w:left w:val="none" w:sz="0" w:space="0" w:color="auto"/>
            <w:bottom w:val="none" w:sz="0" w:space="0" w:color="auto"/>
            <w:right w:val="none" w:sz="0" w:space="0" w:color="auto"/>
          </w:divBdr>
        </w:div>
        <w:div w:id="926352592">
          <w:marLeft w:val="547"/>
          <w:marRight w:val="0"/>
          <w:marTop w:val="0"/>
          <w:marBottom w:val="0"/>
          <w:divBdr>
            <w:top w:val="none" w:sz="0" w:space="0" w:color="auto"/>
            <w:left w:val="none" w:sz="0" w:space="0" w:color="auto"/>
            <w:bottom w:val="none" w:sz="0" w:space="0" w:color="auto"/>
            <w:right w:val="none" w:sz="0" w:space="0" w:color="auto"/>
          </w:divBdr>
        </w:div>
        <w:div w:id="1349680825">
          <w:marLeft w:val="547"/>
          <w:marRight w:val="0"/>
          <w:marTop w:val="0"/>
          <w:marBottom w:val="0"/>
          <w:divBdr>
            <w:top w:val="none" w:sz="0" w:space="0" w:color="auto"/>
            <w:left w:val="none" w:sz="0" w:space="0" w:color="auto"/>
            <w:bottom w:val="none" w:sz="0" w:space="0" w:color="auto"/>
            <w:right w:val="none" w:sz="0" w:space="0" w:color="auto"/>
          </w:divBdr>
        </w:div>
        <w:div w:id="1442451102">
          <w:marLeft w:val="547"/>
          <w:marRight w:val="0"/>
          <w:marTop w:val="0"/>
          <w:marBottom w:val="0"/>
          <w:divBdr>
            <w:top w:val="none" w:sz="0" w:space="0" w:color="auto"/>
            <w:left w:val="none" w:sz="0" w:space="0" w:color="auto"/>
            <w:bottom w:val="none" w:sz="0" w:space="0" w:color="auto"/>
            <w:right w:val="none" w:sz="0" w:space="0" w:color="auto"/>
          </w:divBdr>
        </w:div>
      </w:divsChild>
    </w:div>
    <w:div w:id="1801261265">
      <w:bodyDiv w:val="1"/>
      <w:marLeft w:val="0"/>
      <w:marRight w:val="0"/>
      <w:marTop w:val="0"/>
      <w:marBottom w:val="0"/>
      <w:divBdr>
        <w:top w:val="none" w:sz="0" w:space="0" w:color="auto"/>
        <w:left w:val="none" w:sz="0" w:space="0" w:color="auto"/>
        <w:bottom w:val="none" w:sz="0" w:space="0" w:color="auto"/>
        <w:right w:val="none" w:sz="0" w:space="0" w:color="auto"/>
      </w:divBdr>
    </w:div>
    <w:div w:id="1874461451">
      <w:bodyDiv w:val="1"/>
      <w:marLeft w:val="0"/>
      <w:marRight w:val="0"/>
      <w:marTop w:val="0"/>
      <w:marBottom w:val="0"/>
      <w:divBdr>
        <w:top w:val="none" w:sz="0" w:space="0" w:color="auto"/>
        <w:left w:val="none" w:sz="0" w:space="0" w:color="auto"/>
        <w:bottom w:val="none" w:sz="0" w:space="0" w:color="auto"/>
        <w:right w:val="none" w:sz="0" w:space="0" w:color="auto"/>
      </w:divBdr>
    </w:div>
    <w:div w:id="1898319690">
      <w:bodyDiv w:val="1"/>
      <w:marLeft w:val="0"/>
      <w:marRight w:val="0"/>
      <w:marTop w:val="0"/>
      <w:marBottom w:val="0"/>
      <w:divBdr>
        <w:top w:val="none" w:sz="0" w:space="0" w:color="auto"/>
        <w:left w:val="none" w:sz="0" w:space="0" w:color="auto"/>
        <w:bottom w:val="none" w:sz="0" w:space="0" w:color="auto"/>
        <w:right w:val="none" w:sz="0" w:space="0" w:color="auto"/>
      </w:divBdr>
      <w:divsChild>
        <w:div w:id="415827686">
          <w:marLeft w:val="0"/>
          <w:marRight w:val="0"/>
          <w:marTop w:val="0"/>
          <w:marBottom w:val="0"/>
          <w:divBdr>
            <w:top w:val="none" w:sz="0" w:space="0" w:color="auto"/>
            <w:left w:val="none" w:sz="0" w:space="0" w:color="auto"/>
            <w:bottom w:val="none" w:sz="0" w:space="0" w:color="auto"/>
            <w:right w:val="none" w:sz="0" w:space="0" w:color="auto"/>
          </w:divBdr>
          <w:divsChild>
            <w:div w:id="478377279">
              <w:marLeft w:val="0"/>
              <w:marRight w:val="0"/>
              <w:marTop w:val="0"/>
              <w:marBottom w:val="0"/>
              <w:divBdr>
                <w:top w:val="none" w:sz="0" w:space="0" w:color="auto"/>
                <w:left w:val="none" w:sz="0" w:space="0" w:color="auto"/>
                <w:bottom w:val="none" w:sz="0" w:space="0" w:color="auto"/>
                <w:right w:val="none" w:sz="0" w:space="0" w:color="auto"/>
              </w:divBdr>
            </w:div>
          </w:divsChild>
        </w:div>
        <w:div w:id="699476531">
          <w:marLeft w:val="0"/>
          <w:marRight w:val="0"/>
          <w:marTop w:val="0"/>
          <w:marBottom w:val="0"/>
          <w:divBdr>
            <w:top w:val="none" w:sz="0" w:space="0" w:color="auto"/>
            <w:left w:val="none" w:sz="0" w:space="0" w:color="auto"/>
            <w:bottom w:val="none" w:sz="0" w:space="0" w:color="auto"/>
            <w:right w:val="none" w:sz="0" w:space="0" w:color="auto"/>
          </w:divBdr>
          <w:divsChild>
            <w:div w:id="83095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366926">
      <w:bodyDiv w:val="1"/>
      <w:marLeft w:val="0"/>
      <w:marRight w:val="0"/>
      <w:marTop w:val="0"/>
      <w:marBottom w:val="0"/>
      <w:divBdr>
        <w:top w:val="none" w:sz="0" w:space="0" w:color="auto"/>
        <w:left w:val="none" w:sz="0" w:space="0" w:color="auto"/>
        <w:bottom w:val="none" w:sz="0" w:space="0" w:color="auto"/>
        <w:right w:val="none" w:sz="0" w:space="0" w:color="auto"/>
      </w:divBdr>
      <w:divsChild>
        <w:div w:id="400712289">
          <w:marLeft w:val="547"/>
          <w:marRight w:val="0"/>
          <w:marTop w:val="0"/>
          <w:marBottom w:val="0"/>
          <w:divBdr>
            <w:top w:val="none" w:sz="0" w:space="0" w:color="auto"/>
            <w:left w:val="none" w:sz="0" w:space="0" w:color="auto"/>
            <w:bottom w:val="none" w:sz="0" w:space="0" w:color="auto"/>
            <w:right w:val="none" w:sz="0" w:space="0" w:color="auto"/>
          </w:divBdr>
        </w:div>
        <w:div w:id="493496360">
          <w:marLeft w:val="547"/>
          <w:marRight w:val="0"/>
          <w:marTop w:val="0"/>
          <w:marBottom w:val="0"/>
          <w:divBdr>
            <w:top w:val="none" w:sz="0" w:space="0" w:color="auto"/>
            <w:left w:val="none" w:sz="0" w:space="0" w:color="auto"/>
            <w:bottom w:val="none" w:sz="0" w:space="0" w:color="auto"/>
            <w:right w:val="none" w:sz="0" w:space="0" w:color="auto"/>
          </w:divBdr>
        </w:div>
        <w:div w:id="748769942">
          <w:marLeft w:val="547"/>
          <w:marRight w:val="0"/>
          <w:marTop w:val="0"/>
          <w:marBottom w:val="0"/>
          <w:divBdr>
            <w:top w:val="none" w:sz="0" w:space="0" w:color="auto"/>
            <w:left w:val="none" w:sz="0" w:space="0" w:color="auto"/>
            <w:bottom w:val="none" w:sz="0" w:space="0" w:color="auto"/>
            <w:right w:val="none" w:sz="0" w:space="0" w:color="auto"/>
          </w:divBdr>
        </w:div>
        <w:div w:id="802498807">
          <w:marLeft w:val="547"/>
          <w:marRight w:val="0"/>
          <w:marTop w:val="0"/>
          <w:marBottom w:val="0"/>
          <w:divBdr>
            <w:top w:val="none" w:sz="0" w:space="0" w:color="auto"/>
            <w:left w:val="none" w:sz="0" w:space="0" w:color="auto"/>
            <w:bottom w:val="none" w:sz="0" w:space="0" w:color="auto"/>
            <w:right w:val="none" w:sz="0" w:space="0" w:color="auto"/>
          </w:divBdr>
        </w:div>
        <w:div w:id="1519543149">
          <w:marLeft w:val="547"/>
          <w:marRight w:val="0"/>
          <w:marTop w:val="0"/>
          <w:marBottom w:val="0"/>
          <w:divBdr>
            <w:top w:val="none" w:sz="0" w:space="0" w:color="auto"/>
            <w:left w:val="none" w:sz="0" w:space="0" w:color="auto"/>
            <w:bottom w:val="none" w:sz="0" w:space="0" w:color="auto"/>
            <w:right w:val="none" w:sz="0" w:space="0" w:color="auto"/>
          </w:divBdr>
        </w:div>
        <w:div w:id="1783912558">
          <w:marLeft w:val="547"/>
          <w:marRight w:val="0"/>
          <w:marTop w:val="0"/>
          <w:marBottom w:val="0"/>
          <w:divBdr>
            <w:top w:val="none" w:sz="0" w:space="0" w:color="auto"/>
            <w:left w:val="none" w:sz="0" w:space="0" w:color="auto"/>
            <w:bottom w:val="none" w:sz="0" w:space="0" w:color="auto"/>
            <w:right w:val="none" w:sz="0" w:space="0" w:color="auto"/>
          </w:divBdr>
        </w:div>
      </w:divsChild>
    </w:div>
    <w:div w:id="1909613898">
      <w:bodyDiv w:val="1"/>
      <w:marLeft w:val="0"/>
      <w:marRight w:val="0"/>
      <w:marTop w:val="0"/>
      <w:marBottom w:val="0"/>
      <w:divBdr>
        <w:top w:val="none" w:sz="0" w:space="0" w:color="auto"/>
        <w:left w:val="none" w:sz="0" w:space="0" w:color="auto"/>
        <w:bottom w:val="none" w:sz="0" w:space="0" w:color="auto"/>
        <w:right w:val="none" w:sz="0" w:space="0" w:color="auto"/>
      </w:divBdr>
    </w:div>
    <w:div w:id="1942684420">
      <w:bodyDiv w:val="1"/>
      <w:marLeft w:val="0"/>
      <w:marRight w:val="0"/>
      <w:marTop w:val="0"/>
      <w:marBottom w:val="0"/>
      <w:divBdr>
        <w:top w:val="none" w:sz="0" w:space="0" w:color="auto"/>
        <w:left w:val="none" w:sz="0" w:space="0" w:color="auto"/>
        <w:bottom w:val="none" w:sz="0" w:space="0" w:color="auto"/>
        <w:right w:val="none" w:sz="0" w:space="0" w:color="auto"/>
      </w:divBdr>
      <w:divsChild>
        <w:div w:id="1312757433">
          <w:marLeft w:val="0"/>
          <w:marRight w:val="0"/>
          <w:marTop w:val="0"/>
          <w:marBottom w:val="0"/>
          <w:divBdr>
            <w:top w:val="none" w:sz="0" w:space="0" w:color="auto"/>
            <w:left w:val="none" w:sz="0" w:space="0" w:color="auto"/>
            <w:bottom w:val="none" w:sz="0" w:space="0" w:color="auto"/>
            <w:right w:val="none" w:sz="0" w:space="0" w:color="auto"/>
          </w:divBdr>
          <w:divsChild>
            <w:div w:id="1008095176">
              <w:marLeft w:val="0"/>
              <w:marRight w:val="0"/>
              <w:marTop w:val="0"/>
              <w:marBottom w:val="0"/>
              <w:divBdr>
                <w:top w:val="none" w:sz="0" w:space="0" w:color="auto"/>
                <w:left w:val="none" w:sz="0" w:space="0" w:color="auto"/>
                <w:bottom w:val="none" w:sz="0" w:space="0" w:color="auto"/>
                <w:right w:val="none" w:sz="0" w:space="0" w:color="auto"/>
              </w:divBdr>
            </w:div>
          </w:divsChild>
        </w:div>
        <w:div w:id="2072538987">
          <w:marLeft w:val="0"/>
          <w:marRight w:val="0"/>
          <w:marTop w:val="0"/>
          <w:marBottom w:val="0"/>
          <w:divBdr>
            <w:top w:val="none" w:sz="0" w:space="0" w:color="auto"/>
            <w:left w:val="none" w:sz="0" w:space="0" w:color="auto"/>
            <w:bottom w:val="none" w:sz="0" w:space="0" w:color="auto"/>
            <w:right w:val="none" w:sz="0" w:space="0" w:color="auto"/>
          </w:divBdr>
          <w:divsChild>
            <w:div w:id="134270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909996">
      <w:bodyDiv w:val="1"/>
      <w:marLeft w:val="0"/>
      <w:marRight w:val="0"/>
      <w:marTop w:val="0"/>
      <w:marBottom w:val="0"/>
      <w:divBdr>
        <w:top w:val="none" w:sz="0" w:space="0" w:color="auto"/>
        <w:left w:val="none" w:sz="0" w:space="0" w:color="auto"/>
        <w:bottom w:val="none" w:sz="0" w:space="0" w:color="auto"/>
        <w:right w:val="none" w:sz="0" w:space="0" w:color="auto"/>
      </w:divBdr>
    </w:div>
    <w:div w:id="1991984405">
      <w:bodyDiv w:val="1"/>
      <w:marLeft w:val="0"/>
      <w:marRight w:val="0"/>
      <w:marTop w:val="0"/>
      <w:marBottom w:val="0"/>
      <w:divBdr>
        <w:top w:val="none" w:sz="0" w:space="0" w:color="auto"/>
        <w:left w:val="none" w:sz="0" w:space="0" w:color="auto"/>
        <w:bottom w:val="none" w:sz="0" w:space="0" w:color="auto"/>
        <w:right w:val="none" w:sz="0" w:space="0" w:color="auto"/>
      </w:divBdr>
    </w:div>
    <w:div w:id="2028019700">
      <w:bodyDiv w:val="1"/>
      <w:marLeft w:val="0"/>
      <w:marRight w:val="0"/>
      <w:marTop w:val="0"/>
      <w:marBottom w:val="0"/>
      <w:divBdr>
        <w:top w:val="none" w:sz="0" w:space="0" w:color="auto"/>
        <w:left w:val="none" w:sz="0" w:space="0" w:color="auto"/>
        <w:bottom w:val="none" w:sz="0" w:space="0" w:color="auto"/>
        <w:right w:val="none" w:sz="0" w:space="0" w:color="auto"/>
      </w:divBdr>
    </w:div>
    <w:div w:id="2061054762">
      <w:bodyDiv w:val="1"/>
      <w:marLeft w:val="0"/>
      <w:marRight w:val="0"/>
      <w:marTop w:val="0"/>
      <w:marBottom w:val="0"/>
      <w:divBdr>
        <w:top w:val="none" w:sz="0" w:space="0" w:color="auto"/>
        <w:left w:val="none" w:sz="0" w:space="0" w:color="auto"/>
        <w:bottom w:val="none" w:sz="0" w:space="0" w:color="auto"/>
        <w:right w:val="none" w:sz="0" w:space="0" w:color="auto"/>
      </w:divBdr>
    </w:div>
    <w:div w:id="2081247534">
      <w:bodyDiv w:val="1"/>
      <w:marLeft w:val="0"/>
      <w:marRight w:val="0"/>
      <w:marTop w:val="0"/>
      <w:marBottom w:val="0"/>
      <w:divBdr>
        <w:top w:val="none" w:sz="0" w:space="0" w:color="auto"/>
        <w:left w:val="none" w:sz="0" w:space="0" w:color="auto"/>
        <w:bottom w:val="none" w:sz="0" w:space="0" w:color="auto"/>
        <w:right w:val="none" w:sz="0" w:space="0" w:color="auto"/>
      </w:divBdr>
    </w:div>
    <w:div w:id="2098364121">
      <w:bodyDiv w:val="1"/>
      <w:marLeft w:val="0"/>
      <w:marRight w:val="0"/>
      <w:marTop w:val="0"/>
      <w:marBottom w:val="0"/>
      <w:divBdr>
        <w:top w:val="none" w:sz="0" w:space="0" w:color="auto"/>
        <w:left w:val="none" w:sz="0" w:space="0" w:color="auto"/>
        <w:bottom w:val="none" w:sz="0" w:space="0" w:color="auto"/>
        <w:right w:val="none" w:sz="0" w:space="0" w:color="auto"/>
      </w:divBdr>
    </w:div>
    <w:div w:id="21367563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ntraloria.gov.co/web/rendicion-de-cuentas/rendicion-de-cuentas-al-congreso" TargetMode="External"/><Relationship Id="rId21" Type="http://schemas.openxmlformats.org/officeDocument/2006/relationships/hyperlink" Target="http://www.contraloriagen.gov.co/web/guest/auditorias-liberadas" TargetMode="External"/><Relationship Id="rId42" Type="http://schemas.openxmlformats.org/officeDocument/2006/relationships/hyperlink" Target="http://www.contraloriagen.gov.co/" TargetMode="External"/><Relationship Id="rId47" Type="http://schemas.openxmlformats.org/officeDocument/2006/relationships/hyperlink" Target="http://www.contraloriagen.gov.co/" TargetMode="External"/><Relationship Id="rId63" Type="http://schemas.openxmlformats.org/officeDocument/2006/relationships/hyperlink" Target="https://www.facebook.com/contraloriacolombia" TargetMode="External"/><Relationship Id="rId68" Type="http://schemas.openxmlformats.org/officeDocument/2006/relationships/hyperlink" Target="http://www.contraloriagen.gov.co/web/guest/participacion-ciudadana-estrategias-del-control-fiscal" TargetMode="External"/><Relationship Id="rId84" Type="http://schemas.openxmlformats.org/officeDocument/2006/relationships/customXml" Target="../customXml/item7.xml"/><Relationship Id="rId16" Type="http://schemas.openxmlformats.org/officeDocument/2006/relationships/footer" Target="footer3.xml"/><Relationship Id="rId11" Type="http://schemas.openxmlformats.org/officeDocument/2006/relationships/hyperlink" Target="http://es.wikipedia.org/wiki/Constituci%C3%B3n_de_Colombia_de_1991" TargetMode="External"/><Relationship Id="rId32" Type="http://schemas.openxmlformats.org/officeDocument/2006/relationships/hyperlink" Target="http://www.contraloria.gov.co/web/rendicion-de-cuentas/rendicion-de-cuentas-al-congreso" TargetMode="External"/><Relationship Id="rId37" Type="http://schemas.openxmlformats.org/officeDocument/2006/relationships/hyperlink" Target="http://www.contraloriagen.gov.co/web/guest/estructura-del-estado" TargetMode="External"/><Relationship Id="rId53" Type="http://schemas.openxmlformats.org/officeDocument/2006/relationships/hyperlink" Target="http://www.minhacienda.gov.co/HomeMinhacienda/presupuestogeneraldelanacion/AnteproyectoPGN" TargetMode="External"/><Relationship Id="rId58" Type="http://schemas.openxmlformats.org/officeDocument/2006/relationships/hyperlink" Target="http://www.contraloria.gov.co/web/guest/rtcongreso" TargetMode="External"/><Relationship Id="rId74" Type="http://schemas.openxmlformats.org/officeDocument/2006/relationships/hyperlink" Target="https://www.youtube.com/playlist?list=PLiaI7oI-849QiCVDnTKPx1rB17hv6c6HM" TargetMode="External"/><Relationship Id="rId79" Type="http://schemas.openxmlformats.org/officeDocument/2006/relationships/theme" Target="theme/theme1.xml"/><Relationship Id="rId5" Type="http://schemas.microsoft.com/office/2007/relationships/stylesWithEffects" Target="stylesWithEffects.xml"/><Relationship Id="rId61" Type="http://schemas.openxmlformats.org/officeDocument/2006/relationships/hyperlink" Target="http://www.contraloria.gov.co/web/guest/boletines-2014" TargetMode="External"/><Relationship Id="rId82" Type="http://schemas.openxmlformats.org/officeDocument/2006/relationships/customXml" Target="../customXml/item5.xml"/><Relationship Id="rId19" Type="http://schemas.openxmlformats.org/officeDocument/2006/relationships/hyperlink" Target="http://www.contraloriagen.gov.co/web/guest/informesconstitucionales" TargetMode="External"/><Relationship Id="rId14" Type="http://schemas.openxmlformats.org/officeDocument/2006/relationships/footer" Target="footer2.xml"/><Relationship Id="rId22" Type="http://schemas.openxmlformats.org/officeDocument/2006/relationships/hyperlink" Target="http://www.contraloriagen.gov.co/web/guest/auditorias-liberadas" TargetMode="External"/><Relationship Id="rId27" Type="http://schemas.openxmlformats.org/officeDocument/2006/relationships/hyperlink" Target="http://www.contraloria.gov.co/web/guest/auditorias" TargetMode="External"/><Relationship Id="rId30" Type="http://schemas.openxmlformats.org/officeDocument/2006/relationships/hyperlink" Target="http://www.contraloriagen.gov.co/web/guest/participacion-ciudadana-balance-de-gestion" TargetMode="External"/><Relationship Id="rId35" Type="http://schemas.openxmlformats.org/officeDocument/2006/relationships/hyperlink" Target="http://www.contraloriagen.gov.co/documents/10136/186962495/Informe+de+la+Situaci%C3%B3n+de+la+Deuda+P%C3%BAblica+Colombiana+2013.pdf/34533c19-bc8f-46d1-b18a-da1f66b7790a" TargetMode="External"/><Relationship Id="rId43" Type="http://schemas.openxmlformats.org/officeDocument/2006/relationships/hyperlink" Target="http://www.camara.gov.co/" TargetMode="External"/><Relationship Id="rId48" Type="http://schemas.openxmlformats.org/officeDocument/2006/relationships/hyperlink" Target="http://www.contaduria.gov.co" TargetMode="External"/><Relationship Id="rId56" Type="http://schemas.openxmlformats.org/officeDocument/2006/relationships/hyperlink" Target="https://concursocontraloria.co" TargetMode="External"/><Relationship Id="rId64" Type="http://schemas.openxmlformats.org/officeDocument/2006/relationships/hyperlink" Target="https://twitter.com/CGR_Colombia" TargetMode="External"/><Relationship Id="rId69" Type="http://schemas.openxmlformats.org/officeDocument/2006/relationships/hyperlink" Target="http://www.contraloria.gov.co/web/guest/informes" TargetMode="External"/><Relationship Id="rId77" Type="http://schemas.openxmlformats.org/officeDocument/2006/relationships/footer" Target="footer6.xml"/><Relationship Id="rId8" Type="http://schemas.openxmlformats.org/officeDocument/2006/relationships/footnotes" Target="footnotes.xml"/><Relationship Id="rId51" Type="http://schemas.openxmlformats.org/officeDocument/2006/relationships/hyperlink" Target="http://www.contaduria.gov.co" TargetMode="External"/><Relationship Id="rId72" Type="http://schemas.openxmlformats.org/officeDocument/2006/relationships/hyperlink" Target="http://www.contraloriagen.gov.co/web/guest/registrodeprensa" TargetMode="External"/><Relationship Id="rId80" Type="http://schemas.openxmlformats.org/officeDocument/2006/relationships/customXml" Target="../customXml/item3.xml"/><Relationship Id="rId3" Type="http://schemas.openxmlformats.org/officeDocument/2006/relationships/numbering" Target="numbering.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hyperlink" Target="http://www.contraloria.gov.co/web/rendicion-de-cuentas/rendicion-de-cuentas-al-congreso" TargetMode="External"/><Relationship Id="rId33" Type="http://schemas.openxmlformats.org/officeDocument/2006/relationships/hyperlink" Target="http://www.contraloria.gov.co/web/rendicion-de-cuentas/rendicion-de-cuentas-al-congreso" TargetMode="External"/><Relationship Id="rId38" Type="http://schemas.openxmlformats.org/officeDocument/2006/relationships/hyperlink" Target="http://noticiasunolaredindependiente.com/2014/08/13/noticias/fiscalia-imputara-cargos-a-sandra-morelli/" TargetMode="External"/><Relationship Id="rId46" Type="http://schemas.openxmlformats.org/officeDocument/2006/relationships/hyperlink" Target="http://www.contraloriagen.gov.co/" TargetMode="External"/><Relationship Id="rId59" Type="http://schemas.openxmlformats.org/officeDocument/2006/relationships/hyperlink" Target="http://www.contraloria.gov.co/web/guest/analisis-proyectos-de-ley-y-actos-legislativos" TargetMode="External"/><Relationship Id="rId67" Type="http://schemas.openxmlformats.org/officeDocument/2006/relationships/hyperlink" Target="http://www.defensoria.org.co/virtual/" TargetMode="External"/><Relationship Id="rId20" Type="http://schemas.openxmlformats.org/officeDocument/2006/relationships/hyperlink" Target="http://www.contraloriagen.gov.co/" TargetMode="External"/><Relationship Id="rId41" Type="http://schemas.openxmlformats.org/officeDocument/2006/relationships/hyperlink" Target="http://noticiasunolaredindependiente.com/2014/08/13/noticias/fiscalia-imputara-cargos-a-sandra-morelli/" TargetMode="External"/><Relationship Id="rId54" Type="http://schemas.openxmlformats.org/officeDocument/2006/relationships/hyperlink" Target="http://www.minhacienda.gov.co/HomeMinhacienda/siif" TargetMode="External"/><Relationship Id="rId62" Type="http://schemas.openxmlformats.org/officeDocument/2006/relationships/hyperlink" Target="http://www.contraloriagen.gov.co/web/guest/boletinprensa" TargetMode="External"/><Relationship Id="rId70" Type="http://schemas.openxmlformats.org/officeDocument/2006/relationships/hyperlink" Target="http://www.contraloriagen.gov.co/web/red-institucional-de-apoyo-a-veedurias-ciudadanas/capacitacion" TargetMode="External"/><Relationship Id="rId75" Type="http://schemas.openxmlformats.org/officeDocument/2006/relationships/header" Target="header3.xml"/><Relationship Id="rId83"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yperlink" Target="http://www.contraloriagen.gov.co/web/guest/sala-de-prensa" TargetMode="External"/><Relationship Id="rId28" Type="http://schemas.openxmlformats.org/officeDocument/2006/relationships/hyperlink" Target="http://www.contraloriagen.gov.co/web/guest/estados-financieros" TargetMode="External"/><Relationship Id="rId36" Type="http://schemas.openxmlformats.org/officeDocument/2006/relationships/hyperlink" Target="http://www.auditoria.gov.co" TargetMode="External"/><Relationship Id="rId49" Type="http://schemas.openxmlformats.org/officeDocument/2006/relationships/hyperlink" Target="http://www.contraloria.gov.co/web/guest/auditorias" TargetMode="External"/><Relationship Id="rId57" Type="http://schemas.openxmlformats.org/officeDocument/2006/relationships/hyperlink" Target="http://www.contraloria.gov.co/web/guest/analisis-proyectos-de-ley-y-actos-legislativos" TargetMode="External"/><Relationship Id="rId10" Type="http://schemas.openxmlformats.org/officeDocument/2006/relationships/image" Target="media/image1.gif"/><Relationship Id="rId31" Type="http://schemas.openxmlformats.org/officeDocument/2006/relationships/hyperlink" Target="http://www.contraloriagen.gov.co/web/guest/plan-general-de-auditoria-pga" TargetMode="External"/><Relationship Id="rId44" Type="http://schemas.openxmlformats.org/officeDocument/2006/relationships/hyperlink" Target="http://www.contraloria.gov.co/web/guest/plan-accion-2015" TargetMode="External"/><Relationship Id="rId52" Type="http://schemas.openxmlformats.org/officeDocument/2006/relationships/hyperlink" Target="http://portal.dafp.gov.co/portal/page/portal/home" TargetMode="External"/><Relationship Id="rId60" Type="http://schemas.openxmlformats.org/officeDocument/2006/relationships/hyperlink" Target="http://www.contraloria.gov.co/web/guest/auditorias" TargetMode="External"/><Relationship Id="rId65" Type="http://schemas.openxmlformats.org/officeDocument/2006/relationships/hyperlink" Target="https://www.youtube.com/user/ContraloriaColombia/featured" TargetMode="External"/><Relationship Id="rId73" Type="http://schemas.openxmlformats.org/officeDocument/2006/relationships/hyperlink" Target="http://www.contraloriagen.gov.co/web/guest/atencion-al-ciudadano" TargetMode="External"/><Relationship Id="rId78" Type="http://schemas.openxmlformats.org/officeDocument/2006/relationships/fontTable" Target="fontTable.xml"/><Relationship Id="rId81"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www.contraloriagen.gov.co/web/guest/auditorias-liberadas" TargetMode="External"/><Relationship Id="rId39" Type="http://schemas.openxmlformats.org/officeDocument/2006/relationships/hyperlink" Target="http://www.contraloriagen.gov.co/web/guest/organigrama" TargetMode="External"/><Relationship Id="rId34" Type="http://schemas.openxmlformats.org/officeDocument/2006/relationships/hyperlink" Target="http://www.contraloriagen.gov.co/web/guest/sala-de-prensa" TargetMode="External"/><Relationship Id="rId50" Type="http://schemas.openxmlformats.org/officeDocument/2006/relationships/hyperlink" Target="http://www.auditoria.gov.co" TargetMode="External"/><Relationship Id="rId55" Type="http://schemas.openxmlformats.org/officeDocument/2006/relationships/hyperlink" Target="http://sigedoc.contraloria.gov.co/SGD_WEB/main/login.jsp" TargetMode="External"/><Relationship Id="rId76" Type="http://schemas.openxmlformats.org/officeDocument/2006/relationships/footer" Target="footer5.xml"/><Relationship Id="rId7" Type="http://schemas.openxmlformats.org/officeDocument/2006/relationships/webSettings" Target="webSettings.xml"/><Relationship Id="rId71" Type="http://schemas.openxmlformats.org/officeDocument/2006/relationships/hyperlink" Target="http://www.contraloriagen.gov.co/" TargetMode="External"/><Relationship Id="rId2" Type="http://schemas.openxmlformats.org/officeDocument/2006/relationships/customXml" Target="../customXml/item2.xml"/><Relationship Id="rId29" Type="http://schemas.openxmlformats.org/officeDocument/2006/relationships/hyperlink" Target="http://www.contraloriagen.gov.co/web/guest/informes-de-gestion" TargetMode="External"/><Relationship Id="rId24" Type="http://schemas.openxmlformats.org/officeDocument/2006/relationships/hyperlink" Target="http://www.contraloriagen.gov.co/web/guest/organigrama" TargetMode="External"/><Relationship Id="rId40" Type="http://schemas.openxmlformats.org/officeDocument/2006/relationships/hyperlink" Target="http://www.contraloriagen.gov.co/" TargetMode="External"/><Relationship Id="rId45" Type="http://schemas.openxmlformats.org/officeDocument/2006/relationships/hyperlink" Target="http://www.contraloria.gov.co/web/guest/plan-estrategico-2014-2018" TargetMode="External"/><Relationship Id="rId66" Type="http://schemas.openxmlformats.org/officeDocument/2006/relationships/hyperlink" Target="http://www.contraloriagen.gov.co/web/red-institucional-de-apoyo-a-veedurias-ciudadanas/documentos"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auditoria.gov.co/Objetivos-Y-funciones" TargetMode="External"/><Relationship Id="rId13" Type="http://schemas.openxmlformats.org/officeDocument/2006/relationships/hyperlink" Target="http://calsegen01.alcaldiabogota.gov.co:7772/sisjur/normas/Norma1.jsp?i=4589" TargetMode="External"/><Relationship Id="rId18" Type="http://schemas.openxmlformats.org/officeDocument/2006/relationships/hyperlink" Target="http://www.Contraloria.gov.co/web/guest/boletines-2014" TargetMode="External"/><Relationship Id="rId3" Type="http://schemas.openxmlformats.org/officeDocument/2006/relationships/hyperlink" Target="http://bit.ly/fallocorteCGR" TargetMode="External"/><Relationship Id="rId7" Type="http://schemas.openxmlformats.org/officeDocument/2006/relationships/hyperlink" Target="http://www.contraloriagen.gov.co/documents/10136/21259937/Informe+de+Gesti%C3%B3n+2010+-2014/ed46e2ad-be03-4c65-9c5d-3b00d9e27611?version=1.0" TargetMode="External"/><Relationship Id="rId12" Type="http://schemas.openxmlformats.org/officeDocument/2006/relationships/hyperlink" Target="http://www.Contraloria.gov.co/web/guest/plan-accion-2015" TargetMode="External"/><Relationship Id="rId17" Type="http://schemas.openxmlformats.org/officeDocument/2006/relationships/hyperlink" Target="https://www.youtube.com/user/ContraloriaColombia/featured" TargetMode="External"/><Relationship Id="rId2" Type="http://schemas.openxmlformats.org/officeDocument/2006/relationships/hyperlink" Target="http://www.auditoria.gov.co/Objetivos-Y-funciones" TargetMode="External"/><Relationship Id="rId16" Type="http://schemas.openxmlformats.org/officeDocument/2006/relationships/hyperlink" Target="http://www.Contraloria.gov.co/web/guest/plan-estrategico-2014-2018" TargetMode="External"/><Relationship Id="rId1" Type="http://schemas.openxmlformats.org/officeDocument/2006/relationships/hyperlink" Target="http://www.contraloriagen.gov.co/web/guest/estructura-del-estado" TargetMode="External"/><Relationship Id="rId6" Type="http://schemas.openxmlformats.org/officeDocument/2006/relationships/hyperlink" Target="http://www.contraloriagen.gov.co/web/sireci/inicio" TargetMode="External"/><Relationship Id="rId11" Type="http://schemas.openxmlformats.org/officeDocument/2006/relationships/hyperlink" Target="http://www.contraloriagen.gov.co/web/guest/organigrama" TargetMode="External"/><Relationship Id="rId5" Type="http://schemas.openxmlformats.org/officeDocument/2006/relationships/hyperlink" Target="http://www.icbf.gov.co/cargues/avance/docs/resolucion_Contraloria_0009_2014.htm" TargetMode="External"/><Relationship Id="rId15" Type="http://schemas.openxmlformats.org/officeDocument/2006/relationships/hyperlink" Target="https://concursocontraloria.co" TargetMode="External"/><Relationship Id="rId10" Type="http://schemas.openxmlformats.org/officeDocument/2006/relationships/hyperlink" Target="http://www.contraloriagen.gov.co/web/guest/estructura-del-estado" TargetMode="External"/><Relationship Id="rId4" Type="http://schemas.openxmlformats.org/officeDocument/2006/relationships/hyperlink" Target="http://www.contraloriagen.gov.co/web/guest/organigrama" TargetMode="External"/><Relationship Id="rId9" Type="http://schemas.openxmlformats.org/officeDocument/2006/relationships/hyperlink" Target="http://bit.ly/fallocorteCGR" TargetMode="External"/><Relationship Id="rId14" Type="http://schemas.openxmlformats.org/officeDocument/2006/relationships/hyperlink" Target="http://www.auditoria.gov.co/Objetivos-Y-funcion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cf0be0ad-272c-4e7f-a157-3f0abda6cde5" ContentTypeId="0x01010046CF21643EE8D14686A648AA6DAD0892"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file>

<file path=customXml/item5.xml><?xml version="1.0" encoding="utf-8"?>
<CoverPageProperties xmlns="http://schemas.microsoft.com/office/2006/coverPageProps">
  <PublishDate>2014-12-19T00:00:00</PublishDate>
  <Abstract>El presente documento presenta los servicios profesionales, ofertas de capacitación y facilitadores ofrecidos por VHG Consulting. LLC para el Banco Nacional de Fomento del Ecuador. Esta propuesta contiene material confidencial propiedad de VHG Consulting, LLC. Los materiales, informaciones, ideas y conceptos contenidos en este documento no son públicos y se deben utilizar única y exclusivamente para evaluar las capacidades de VHG Consulting, LLC para prestar servicios al Banco Nacional de Fomento del Ecuador y no deben ser utilizados de manera inadecuada o en violación de leyes aplicables. El contenido de este documento está destinado solamente para el uso del  el Banco Nacional de Fomento del Ecuador  y no podrá ser distribuido a terceros. Este documento es de carácter meramente informativo y no constituye un contrato o convenio de servicios. </Abstract>
  <CompanyAddress/>
  <CompanyPhone/>
  <CompanyFax/>
  <CompanyEmail/>
</CoverPageProperties>
</file>

<file path=customXml/item6.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C0B1C68D910A0D4B8C06086886B7DE0C" ma:contentTypeVersion="0" ma:contentTypeDescription="A content type to manage public (operations) IDB documents" ma:contentTypeScope="" ma:versionID="296184365e6d4502054451879afb754b">
  <xsd:schema xmlns:xsd="http://www.w3.org/2001/XMLSchema" xmlns:xs="http://www.w3.org/2001/XMLSchema" xmlns:p="http://schemas.microsoft.com/office/2006/metadata/properties" xmlns:ns2="9c571b2f-e523-4ab2-ba2e-09e151a03ef4" targetNamespace="http://schemas.microsoft.com/office/2006/metadata/properties" ma:root="true" ma:fieldsID="5e396acf9842407597efee5fc1224e8a"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060eec94-9ea5-4a7b-9f6d-cccf30bfb5dc}" ma:internalName="TaxCatchAll" ma:showField="CatchAllData" ma:web="de16acd7-ff20-4325-8e03-4fc85fddf82a">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060eec94-9ea5-4a7b-9f6d-cccf30bfb5dc}" ma:internalName="TaxCatchAllLabel" ma:readOnly="true" ma:showField="CatchAllDataLabel" ma:web="de16acd7-ff20-4325-8e03-4fc85fddf82a">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xmlns:pc="http://schemas.microsoft.com/office/infopath/2007/PartnerControls">
  <documentManagement>
    <Project_x0020_Document_x0020_Type xmlns="9c571b2f-e523-4ab2-ba2e-09e151a03ef4" xsi:nil="true"/>
    <Abstract xmlns="9c571b2f-e523-4ab2-ba2e-09e151a03ef4" xsi:nil="true"/>
    <Disclosure_x0020_Activity xmlns="9c571b2f-e523-4ab2-ba2e-09e151a03ef4">Loan Proposal</Disclosure_x0020_Activity>
    <Key_x0020_Document xmlns="9c571b2f-e523-4ab2-ba2e-09e151a03ef4">false</Key_x0020_Document>
    <Division_x0020_or_x0020_Unit xmlns="9c571b2f-e523-4ab2-ba2e-09e151a03ef4">IFD/ICS</Division_x0020_or_x0020_Unit>
    <Other_x0020_Author xmlns="9c571b2f-e523-4ab2-ba2e-09e151a03ef4" xsi:nil="true"/>
    <Region xmlns="9c571b2f-e523-4ab2-ba2e-09e151a03ef4" xsi:nil="true"/>
    <IDBDocs_x0020_Number xmlns="9c571b2f-e523-4ab2-ba2e-09e151a03ef4">39611486</IDBDocs_x0020_Number>
    <Document_x0020_Author xmlns="9c571b2f-e523-4ab2-ba2e-09e151a03ef4">Arisi, Diego</Document_x0020_Author>
    <Publication_x0020_Type xmlns="9c571b2f-e523-4ab2-ba2e-09e151a03ef4" xsi:nil="true"/>
    <Operation_x0020_Type xmlns="9c571b2f-e523-4ab2-ba2e-09e151a03ef4" xsi:nil="true"/>
    <TaxCatchAll xmlns="9c571b2f-e523-4ab2-ba2e-09e151a03ef4">
      <Value>5</Value>
      <Value>6</Value>
    </TaxCatchAll>
    <Fiscal_x0020_Year_x0020_IDB xmlns="9c571b2f-e523-4ab2-ba2e-09e151a03ef4">2015</Fiscal_x0020_Year_x0020_IDB>
    <Issue_x0020_Date xmlns="9c571b2f-e523-4ab2-ba2e-09e151a03ef4" xsi:nil="true"/>
    <m555d3814edf4817b4410a4e57f94ce9 xmlns="9c571b2f-e523-4ab2-ba2e-09e151a03ef4">
      <Terms xmlns="http://schemas.microsoft.com/office/infopath/2007/PartnerControls"/>
    </m555d3814edf4817b4410a4e57f94ce9>
    <Project_x0020_Number xmlns="9c571b2f-e523-4ab2-ba2e-09e151a03ef4">CO-L1154</Project_x0020_Number>
    <o5138a91267540169645e33d09c9ddc6 xmlns="9c571b2f-e523-4ab2-ba2e-09e151a03ef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a6dff32e-d477-44cd-a56b-85efe9e0a56c</TermId>
        </TermInfo>
      </Terms>
    </o5138a91267540169645e33d09c9ddc6>
    <Package_x0020_Code xmlns="9c571b2f-e523-4ab2-ba2e-09e151a03ef4" xsi:nil="true"/>
    <Migration_x0020_Info xmlns="9c571b2f-e523-4ab2-ba2e-09e151a03ef4">&lt;Data&gt;&lt;APPLICATION&gt;MS WORD&lt;/APPLICATION&gt;&lt;USER_STAGE&gt;Loan Proposal&lt;/USER_STAGE&gt;&lt;PD_OBJ_TYPE&gt;0&lt;/PD_OBJ_TYPE&gt;&lt;MAKERECORD&gt;N&lt;/MAKERECORD&gt;&lt;/Data&gt;</Migration_x0020_Info>
    <Approval_x0020_Number xmlns="9c571b2f-e523-4ab2-ba2e-09e151a03ef4" xsi:nil="true"/>
    <Access_x0020_to_x0020_Information_x00a0_Policy xmlns="9c571b2f-e523-4ab2-ba2e-09e151a03ef4">Public</Access_x0020_to_x0020_Information_x00a0_Policy>
    <Business_x0020_Area xmlns="9c571b2f-e523-4ab2-ba2e-09e151a03ef4" xsi:nil="true"/>
    <SISCOR_x0020_Number xmlns="9c571b2f-e523-4ab2-ba2e-09e151a03ef4" xsi:nil="true"/>
    <Webtopic xmlns="9c571b2f-e523-4ab2-ba2e-09e151a03ef4">RM-GIP</Webtopic>
    <Identifier xmlns="9c571b2f-e523-4ab2-ba2e-09e151a03ef4"> TECFILE</Identifier>
    <Publishing_x0020_House xmlns="9c571b2f-e523-4ab2-ba2e-09e151a03ef4" xsi:nil="true"/>
    <Document_x0020_Language_x0020_IDB xmlns="9c571b2f-e523-4ab2-ba2e-09e151a03ef4">Spanish</Document_x0020_Language_x0020_IDB>
    <KP_x0020_Topics xmlns="9c571b2f-e523-4ab2-ba2e-09e151a03ef4" xsi:nil="true"/>
    <Phase xmlns="9c571b2f-e523-4ab2-ba2e-09e151a03ef4" xsi:nil="true"/>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IDBDocs</TermName>
          <TermId xmlns="http://schemas.microsoft.com/office/infopath/2007/PartnerControls">cca77002-e150-4b2d-ab1f-1d7a7cdcae16</TermId>
        </TermInfo>
      </Terms>
    </fd0e48b6a66848a9885f717e5bbf40c4>
    <e559ffcc31d34167856647188be35015 xmlns="9c571b2f-e523-4ab2-ba2e-09e151a03ef4">
      <Terms xmlns="http://schemas.microsoft.com/office/infopath/2007/PartnerControls"/>
    </e559ffcc31d34167856647188be35015>
    <c456731dbc904a5fb605ec556c33e883 xmlns="9c571b2f-e523-4ab2-ba2e-09e151a03ef4">
      <Terms xmlns="http://schemas.microsoft.com/office/infopath/2007/PartnerControls"/>
    </c456731dbc904a5fb605ec556c33e883>
    <Editor1 xmlns="9c571b2f-e523-4ab2-ba2e-09e151a03ef4" xsi:nil="true"/>
    <j8b96605ee2f4c4e988849e658583fee xmlns="9c571b2f-e523-4ab2-ba2e-09e151a03ef4">
      <Terms xmlns="http://schemas.microsoft.com/office/infopath/2007/PartnerControls"/>
    </j8b96605ee2f4c4e988849e658583fee>
  </documentManagement>
</p:properties>
</file>

<file path=customXml/itemProps1.xml><?xml version="1.0" encoding="utf-8"?>
<ds:datastoreItem xmlns:ds="http://schemas.openxmlformats.org/officeDocument/2006/customXml" ds:itemID="{ED4BCE0E-CCA2-4BFE-96C2-C3F67984390C}"/>
</file>

<file path=customXml/itemProps2.xml><?xml version="1.0" encoding="utf-8"?>
<ds:datastoreItem xmlns:ds="http://schemas.openxmlformats.org/officeDocument/2006/customXml" ds:itemID="{703B737E-928D-47E0-B695-7E37C795CE87}"/>
</file>

<file path=customXml/itemProps3.xml><?xml version="1.0" encoding="utf-8"?>
<ds:datastoreItem xmlns:ds="http://schemas.openxmlformats.org/officeDocument/2006/customXml" ds:itemID="{FAFDDA13-FA1B-4154-AFB6-416CB3848EC3}"/>
</file>

<file path=customXml/itemProps4.xml><?xml version="1.0" encoding="utf-8"?>
<ds:datastoreItem xmlns:ds="http://schemas.openxmlformats.org/officeDocument/2006/customXml" ds:itemID="{8C859CC5-3FD8-47D1-BCCA-12AA3D194168}"/>
</file>

<file path=customXml/itemProps5.xml><?xml version="1.0" encoding="utf-8"?>
<ds:datastoreItem xmlns:ds="http://schemas.openxmlformats.org/officeDocument/2006/customXml" ds:itemID="{55AF091B-3C7A-41E3-B477-F2FDAA23CFDA}"/>
</file>

<file path=customXml/itemProps6.xml><?xml version="1.0" encoding="utf-8"?>
<ds:datastoreItem xmlns:ds="http://schemas.openxmlformats.org/officeDocument/2006/customXml" ds:itemID="{741366BA-EB23-4844-A731-EBC198B3E3E5}"/>
</file>

<file path=customXml/itemProps7.xml><?xml version="1.0" encoding="utf-8"?>
<ds:datastoreItem xmlns:ds="http://schemas.openxmlformats.org/officeDocument/2006/customXml" ds:itemID="{E6EC3837-0907-4450-95B1-25B67B13A7D9}"/>
</file>

<file path=docProps/app.xml><?xml version="1.0" encoding="utf-8"?>
<Properties xmlns="http://schemas.openxmlformats.org/officeDocument/2006/extended-properties" xmlns:vt="http://schemas.openxmlformats.org/officeDocument/2006/docPropsVTypes">
  <Template>Normal.dotm</Template>
  <TotalTime>6</TotalTime>
  <Pages>104</Pages>
  <Words>44842</Words>
  <Characters>249326</Characters>
  <Application>Microsoft Office Word</Application>
  <DocSecurity>0</DocSecurity>
  <Lines>7791</Lines>
  <Paragraphs>2262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Informe de Diagnóstico Basado en la Metodología del Marco de Medición del Desempeño de las Entidades Fiscalizadoras Superiores (MMD-EFS)</vt:lpstr>
    </vt:vector>
  </TitlesOfParts>
  <Company>Inter-American Development Bank</Company>
  <LinksUpToDate>false</LinksUpToDate>
  <CharactersWithSpaces>291906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Enlace Opcional 9 - Informe de Diagnóstico Aplicación Marco de Medición del Desempeño de las Entidades Fiscalizadora</dc:title>
  <dc:subject>Contraloría General de la República de Colombia</dc:subject>
  <dc:creator>Claribel Acosta T</dc:creator>
  <cp:lastModifiedBy>IADB</cp:lastModifiedBy>
  <cp:revision>3</cp:revision>
  <cp:lastPrinted>2015-06-16T13:30:00Z</cp:lastPrinted>
  <dcterms:created xsi:type="dcterms:W3CDTF">2015-06-18T14:39:00Z</dcterms:created>
  <dcterms:modified xsi:type="dcterms:W3CDTF">2015-06-18T14:48:00Z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2011-08-18T05:00:00Z</vt:filetime>
  </property>
  <property fmtid="{D5CDD505-2E9C-101B-9397-08002B2CF9AE}" pid="3" name="LastSaved">
    <vt:filetime>2011-08-20T05:00:00Z</vt:filetime>
  </property>
  <property fmtid="{D5CDD505-2E9C-101B-9397-08002B2CF9AE}" pid="4" name="TaxKeyword">
    <vt:lpwstr/>
  </property>
  <property fmtid="{D5CDD505-2E9C-101B-9397-08002B2CF9AE}" pid="5" name="Sub_x002d_Sector">
    <vt:lpwstr/>
  </property>
  <property fmtid="{D5CDD505-2E9C-101B-9397-08002B2CF9AE}" pid="6" name="ContentTypeId">
    <vt:lpwstr>0x01010046CF21643EE8D14686A648AA6DAD089200C0B1C68D910A0D4B8C06086886B7DE0C</vt:lpwstr>
  </property>
  <property fmtid="{D5CDD505-2E9C-101B-9397-08002B2CF9AE}" pid="7" name="TaxKeywordTaxHTField">
    <vt:lpwstr/>
  </property>
  <property fmtid="{D5CDD505-2E9C-101B-9397-08002B2CF9AE}" pid="8" name="Series Operations IDB">
    <vt:lpwstr>5;#Unclassified|a6dff32e-d477-44cd-a56b-85efe9e0a56c</vt:lpwstr>
  </property>
  <property fmtid="{D5CDD505-2E9C-101B-9397-08002B2CF9AE}" pid="9" name="Sub-Sector">
    <vt:lpwstr/>
  </property>
  <property fmtid="{D5CDD505-2E9C-101B-9397-08002B2CF9AE}" pid="10" name="Country">
    <vt:lpwstr/>
  </property>
  <property fmtid="{D5CDD505-2E9C-101B-9397-08002B2CF9AE}" pid="11" name="Fund IDB">
    <vt:lpwstr/>
  </property>
  <property fmtid="{D5CDD505-2E9C-101B-9397-08002B2CF9AE}" pid="12" name="Series_x0020_Operations_x0020_IDB">
    <vt:lpwstr>5;#Unclassified|a6dff32e-d477-44cd-a56b-85efe9e0a56c</vt:lpwstr>
  </property>
  <property fmtid="{D5CDD505-2E9C-101B-9397-08002B2CF9AE}" pid="13" name="To:">
    <vt:lpwstr/>
  </property>
  <property fmtid="{D5CDD505-2E9C-101B-9397-08002B2CF9AE}" pid="14" name="From:">
    <vt:lpwstr/>
  </property>
  <property fmtid="{D5CDD505-2E9C-101B-9397-08002B2CF9AE}" pid="15" name="Sector IDB">
    <vt:lpwstr/>
  </property>
  <property fmtid="{D5CDD505-2E9C-101B-9397-08002B2CF9AE}" pid="16" name="Function Operations IDB">
    <vt:lpwstr>6;#IDBDocs|cca77002-e150-4b2d-ab1f-1d7a7cdcae16</vt:lpwstr>
  </property>
</Properties>
</file>